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02" w:rsidRPr="002F6002" w:rsidRDefault="002F6002" w:rsidP="00D37BB1">
      <w:pPr>
        <w:jc w:val="both"/>
        <w:rPr>
          <w:b/>
          <w:u w:val="single"/>
          <w:lang w:val="en-US"/>
        </w:rPr>
      </w:pPr>
    </w:p>
    <w:p w:rsidR="002F6002" w:rsidRPr="002F6002" w:rsidRDefault="002F6002" w:rsidP="00D37BB1">
      <w:pPr>
        <w:jc w:val="both"/>
        <w:rPr>
          <w:b/>
          <w:u w:val="single"/>
          <w:lang w:val="en-US"/>
        </w:rPr>
      </w:pPr>
    </w:p>
    <w:p w:rsidR="002F6002" w:rsidRPr="002F6002" w:rsidRDefault="002F6002" w:rsidP="00D37BB1">
      <w:pPr>
        <w:jc w:val="both"/>
        <w:rPr>
          <w:b/>
          <w:u w:val="single"/>
          <w:lang w:val="en-US"/>
        </w:rPr>
      </w:pPr>
      <w:r w:rsidRPr="002F6002">
        <w:rPr>
          <w:b/>
          <w:lang w:val="en-US"/>
        </w:rPr>
        <w:t xml:space="preserve">                                  </w:t>
      </w:r>
      <w:r w:rsidRPr="002F6002">
        <w:rPr>
          <w:noProof/>
          <w:lang w:eastAsia="nl-BE"/>
        </w:rPr>
        <w:drawing>
          <wp:inline distT="0" distB="0" distL="0" distR="0">
            <wp:extent cx="2857500" cy="1905000"/>
            <wp:effectExtent l="19050" t="0" r="0" b="0"/>
            <wp:docPr id="1" name="Afbeelding 4" descr="http://www.google.co.uk/url?source=imglanding&amp;ct=img&amp;q=http://www.theflemishprimitives.com/sites/default/files/imagecache/large/KULeuven_2.jpg&amp;sa=X&amp;ei=LQWFUMfKEajB0QX8w4D4Aw&amp;ved=0CAsQ8wc&amp;usg=AFQjCNEVsZgGe-4O6gFYSSw8Ld34JvfS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ogle.co.uk/url?source=imglanding&amp;ct=img&amp;q=http://www.theflemishprimitives.com/sites/default/files/imagecache/large/KULeuven_2.jpg&amp;sa=X&amp;ei=LQWFUMfKEajB0QX8w4D4Aw&amp;ved=0CAsQ8wc&amp;usg=AFQjCNEVsZgGe-4O6gFYSSw8Ld34JvfSSw"/>
                    <pic:cNvPicPr>
                      <a:picLocks noChangeAspect="1" noChangeArrowheads="1"/>
                    </pic:cNvPicPr>
                  </pic:nvPicPr>
                  <pic:blipFill>
                    <a:blip r:embed="rId8"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A0687E" w:rsidRDefault="002F6002" w:rsidP="00D37BB1">
      <w:pPr>
        <w:jc w:val="both"/>
        <w:rPr>
          <w:lang w:val="en-US"/>
        </w:rPr>
      </w:pPr>
      <w:r w:rsidRPr="002F6002">
        <w:rPr>
          <w:lang w:val="en-US"/>
        </w:rPr>
        <w:t xml:space="preserve">                                          </w:t>
      </w:r>
      <w:r w:rsidR="00B841DD">
        <w:rPr>
          <w:lang w:val="en-US"/>
        </w:rPr>
        <w:t xml:space="preserve">                    </w:t>
      </w:r>
    </w:p>
    <w:p w:rsidR="002F6002" w:rsidRPr="00C44789" w:rsidRDefault="00A0687E" w:rsidP="00D37BB1">
      <w:pPr>
        <w:jc w:val="both"/>
        <w:rPr>
          <w:b/>
          <w:lang w:val="en-US"/>
        </w:rPr>
      </w:pPr>
      <w:r>
        <w:rPr>
          <w:lang w:val="en-US"/>
        </w:rPr>
        <w:t xml:space="preserve">                                                              </w:t>
      </w:r>
      <w:r w:rsidR="00B841DD" w:rsidRPr="00C44789">
        <w:rPr>
          <w:b/>
          <w:lang w:val="en-US"/>
        </w:rPr>
        <w:t>KU Leuven</w:t>
      </w:r>
    </w:p>
    <w:p w:rsidR="002F6002" w:rsidRPr="00C44789" w:rsidRDefault="002F6002" w:rsidP="00D37BB1">
      <w:pPr>
        <w:jc w:val="both"/>
        <w:rPr>
          <w:b/>
          <w:lang w:val="en-US"/>
        </w:rPr>
      </w:pPr>
      <w:r w:rsidRPr="00C44789">
        <w:rPr>
          <w:b/>
          <w:lang w:val="en-US"/>
        </w:rPr>
        <w:t xml:space="preserve">                                                  </w:t>
      </w:r>
      <w:r w:rsidR="00B841DD" w:rsidRPr="00C44789">
        <w:rPr>
          <w:b/>
          <w:lang w:val="en-US"/>
        </w:rPr>
        <w:t xml:space="preserve">        </w:t>
      </w:r>
      <w:r w:rsidRPr="00C44789">
        <w:rPr>
          <w:b/>
          <w:lang w:val="en-US"/>
        </w:rPr>
        <w:t xml:space="preserve"> Faculty of Law</w:t>
      </w:r>
    </w:p>
    <w:p w:rsidR="002F6002" w:rsidRPr="00C44789" w:rsidRDefault="002F6002" w:rsidP="00D37BB1">
      <w:pPr>
        <w:jc w:val="both"/>
        <w:rPr>
          <w:b/>
          <w:lang w:val="en-US"/>
        </w:rPr>
      </w:pPr>
      <w:r w:rsidRPr="00C44789">
        <w:rPr>
          <w:b/>
          <w:lang w:val="en-US"/>
        </w:rPr>
        <w:t xml:space="preserve">                                        </w:t>
      </w:r>
      <w:r w:rsidR="00B841DD" w:rsidRPr="00C44789">
        <w:rPr>
          <w:b/>
          <w:lang w:val="en-US"/>
        </w:rPr>
        <w:t xml:space="preserve">        </w:t>
      </w:r>
      <w:r w:rsidR="00673920" w:rsidRPr="00C44789">
        <w:rPr>
          <w:b/>
          <w:lang w:val="en-US"/>
        </w:rPr>
        <w:t xml:space="preserve"> </w:t>
      </w:r>
      <w:r w:rsidR="00B841DD" w:rsidRPr="00C44789">
        <w:rPr>
          <w:b/>
          <w:lang w:val="en-US"/>
        </w:rPr>
        <w:t xml:space="preserve"> </w:t>
      </w:r>
      <w:r w:rsidRPr="00C44789">
        <w:rPr>
          <w:b/>
          <w:lang w:val="en-US"/>
        </w:rPr>
        <w:t>Academic Year 2012-2013</w:t>
      </w:r>
    </w:p>
    <w:p w:rsidR="004B17FD" w:rsidRDefault="004B17FD" w:rsidP="00D37BB1">
      <w:pPr>
        <w:jc w:val="both"/>
        <w:rPr>
          <w:lang w:val="en-US"/>
        </w:rPr>
      </w:pPr>
    </w:p>
    <w:p w:rsidR="004B17FD" w:rsidRDefault="004B17FD" w:rsidP="00D37BB1">
      <w:pPr>
        <w:jc w:val="both"/>
        <w:rPr>
          <w:lang w:val="en-US"/>
        </w:rPr>
      </w:pPr>
    </w:p>
    <w:p w:rsidR="004B17FD" w:rsidRPr="009F7778" w:rsidRDefault="004B17FD" w:rsidP="00D37BB1">
      <w:pPr>
        <w:jc w:val="both"/>
        <w:rPr>
          <w:b/>
          <w:sz w:val="32"/>
          <w:szCs w:val="32"/>
          <w:lang w:val="en-US"/>
        </w:rPr>
      </w:pPr>
      <w:r w:rsidRPr="009F7778">
        <w:rPr>
          <w:b/>
          <w:sz w:val="32"/>
          <w:szCs w:val="32"/>
          <w:lang w:val="en-US"/>
        </w:rPr>
        <w:t xml:space="preserve">                        “Discrimination of Women at Work” </w:t>
      </w:r>
    </w:p>
    <w:p w:rsidR="002F6002" w:rsidRPr="002F6002" w:rsidRDefault="002F6002" w:rsidP="00D37BB1">
      <w:pPr>
        <w:jc w:val="both"/>
        <w:rPr>
          <w:lang w:val="en-US"/>
        </w:rPr>
      </w:pPr>
    </w:p>
    <w:p w:rsidR="002F6002" w:rsidRPr="002F6002" w:rsidRDefault="002F6002" w:rsidP="00D37BB1">
      <w:pPr>
        <w:jc w:val="both"/>
        <w:rPr>
          <w:b/>
          <w:u w:val="single"/>
          <w:lang w:val="en-US"/>
        </w:rPr>
      </w:pPr>
    </w:p>
    <w:p w:rsidR="002F6002" w:rsidRPr="002F6002" w:rsidRDefault="002F6002" w:rsidP="00D37BB1">
      <w:pPr>
        <w:jc w:val="both"/>
        <w:rPr>
          <w:b/>
          <w:u w:val="single"/>
          <w:lang w:val="en-US"/>
        </w:rPr>
      </w:pPr>
    </w:p>
    <w:p w:rsidR="002F6002" w:rsidRPr="002F6002" w:rsidRDefault="002F6002" w:rsidP="00D37BB1">
      <w:pPr>
        <w:jc w:val="both"/>
        <w:rPr>
          <w:b/>
          <w:u w:val="single"/>
          <w:lang w:val="en-US"/>
        </w:rPr>
      </w:pPr>
    </w:p>
    <w:p w:rsidR="002F6002" w:rsidRPr="002F6002" w:rsidRDefault="002F6002" w:rsidP="00D37BB1">
      <w:pPr>
        <w:jc w:val="both"/>
        <w:rPr>
          <w:b/>
          <w:u w:val="single"/>
          <w:lang w:val="en-US"/>
        </w:rPr>
      </w:pPr>
    </w:p>
    <w:p w:rsidR="002F6002" w:rsidRPr="002F6002" w:rsidRDefault="002F6002" w:rsidP="00D37BB1">
      <w:pPr>
        <w:jc w:val="both"/>
        <w:rPr>
          <w:b/>
          <w:u w:val="single"/>
          <w:lang w:val="en-US"/>
        </w:rPr>
      </w:pPr>
    </w:p>
    <w:p w:rsidR="002F6002" w:rsidRPr="002F6002" w:rsidRDefault="002F6002" w:rsidP="00D37BB1">
      <w:pPr>
        <w:jc w:val="both"/>
        <w:rPr>
          <w:b/>
          <w:u w:val="single"/>
          <w:lang w:val="en-US"/>
        </w:rPr>
      </w:pPr>
    </w:p>
    <w:p w:rsidR="002F6002" w:rsidRPr="002F6002" w:rsidRDefault="002F6002" w:rsidP="00D37BB1">
      <w:pPr>
        <w:jc w:val="both"/>
        <w:rPr>
          <w:b/>
          <w:u w:val="single"/>
          <w:lang w:val="en-US"/>
        </w:rPr>
      </w:pPr>
    </w:p>
    <w:p w:rsidR="002F6002" w:rsidRPr="002F6002" w:rsidRDefault="002F6002" w:rsidP="00D37BB1">
      <w:pPr>
        <w:jc w:val="both"/>
        <w:rPr>
          <w:lang w:val="en-US"/>
        </w:rPr>
      </w:pPr>
      <w:r w:rsidRPr="002F6002">
        <w:rPr>
          <w:lang w:val="en-US"/>
        </w:rPr>
        <w:t xml:space="preserve">Supervisor: Prof. Dr. P. </w:t>
      </w:r>
      <w:proofErr w:type="spellStart"/>
      <w:r w:rsidRPr="002F6002">
        <w:rPr>
          <w:lang w:val="en-US"/>
        </w:rPr>
        <w:t>L</w:t>
      </w:r>
      <w:r w:rsidR="00DA6C64">
        <w:rPr>
          <w:lang w:val="en-US"/>
        </w:rPr>
        <w:t>emmens</w:t>
      </w:r>
      <w:proofErr w:type="spellEnd"/>
      <w:r w:rsidR="00DA6C64">
        <w:rPr>
          <w:lang w:val="en-US"/>
        </w:rPr>
        <w:t xml:space="preserve">                          </w:t>
      </w:r>
      <w:r w:rsidRPr="002F6002">
        <w:rPr>
          <w:lang w:val="en-US"/>
        </w:rPr>
        <w:t xml:space="preserve">Master’s thesis, submitted by                                                                                                   </w:t>
      </w:r>
    </w:p>
    <w:p w:rsidR="002F6002" w:rsidRPr="002F6002" w:rsidRDefault="00DA6C64" w:rsidP="00D37BB1">
      <w:pPr>
        <w:jc w:val="both"/>
        <w:rPr>
          <w:lang w:val="en-US"/>
        </w:rPr>
      </w:pPr>
      <w:r>
        <w:rPr>
          <w:lang w:val="en-US"/>
        </w:rPr>
        <w:t xml:space="preserve">                              </w:t>
      </w:r>
      <w:r w:rsidR="005A0C8A">
        <w:rPr>
          <w:lang w:val="en-US"/>
        </w:rPr>
        <w:t xml:space="preserve">                                                   </w:t>
      </w:r>
      <w:r w:rsidR="002F6002" w:rsidRPr="002F6002">
        <w:rPr>
          <w:lang w:val="en-US"/>
        </w:rPr>
        <w:t>Philippine van den Brande</w:t>
      </w:r>
    </w:p>
    <w:p w:rsidR="002F6002" w:rsidRPr="002F6002" w:rsidRDefault="002F6002" w:rsidP="00D37BB1">
      <w:pPr>
        <w:jc w:val="both"/>
        <w:rPr>
          <w:b/>
          <w:u w:val="single"/>
          <w:lang w:val="en-US"/>
        </w:rPr>
      </w:pPr>
      <w:r w:rsidRPr="002F6002">
        <w:rPr>
          <w:lang w:val="en-US"/>
        </w:rPr>
        <w:t xml:space="preserve">                                                 </w:t>
      </w:r>
      <w:r w:rsidR="00DA6C64">
        <w:rPr>
          <w:lang w:val="en-US"/>
        </w:rPr>
        <w:t xml:space="preserve">                               </w:t>
      </w:r>
      <w:r w:rsidRPr="002F6002">
        <w:rPr>
          <w:lang w:val="en-US"/>
        </w:rPr>
        <w:t xml:space="preserve">As part of the final examination                                                                                                      </w:t>
      </w:r>
    </w:p>
    <w:p w:rsidR="002F6002" w:rsidRPr="008D63C0" w:rsidRDefault="002F6002" w:rsidP="00D37BB1">
      <w:pPr>
        <w:jc w:val="both"/>
        <w:rPr>
          <w:lang w:val="en-US"/>
        </w:rPr>
      </w:pPr>
      <w:r w:rsidRPr="002F6002">
        <w:rPr>
          <w:lang w:val="en-US"/>
        </w:rPr>
        <w:t xml:space="preserve">                                                                                for the degree of MASTER OF LAWS</w:t>
      </w:r>
    </w:p>
    <w:p w:rsidR="00820B6A" w:rsidRDefault="00820B6A" w:rsidP="00D37BB1">
      <w:pPr>
        <w:jc w:val="both"/>
        <w:rPr>
          <w:b/>
          <w:sz w:val="32"/>
          <w:szCs w:val="32"/>
          <w:lang w:val="en-US"/>
        </w:rPr>
        <w:sectPr w:rsidR="00820B6A" w:rsidSect="004B4D68">
          <w:footerReference w:type="first" r:id="rId9"/>
          <w:pgSz w:w="11906" w:h="16838" w:code="9"/>
          <w:pgMar w:top="1418" w:right="1418" w:bottom="1418" w:left="1418" w:header="709" w:footer="709" w:gutter="0"/>
          <w:pgNumType w:start="1"/>
          <w:cols w:space="708"/>
          <w:titlePg/>
          <w:docGrid w:linePitch="360"/>
        </w:sectPr>
      </w:pPr>
    </w:p>
    <w:p w:rsidR="009F731E" w:rsidRPr="009F731E" w:rsidRDefault="00E611E8" w:rsidP="009F731E">
      <w:pPr>
        <w:jc w:val="both"/>
        <w:rPr>
          <w:b/>
          <w:sz w:val="32"/>
          <w:szCs w:val="32"/>
          <w:u w:val="single"/>
          <w:lang w:val="en-US"/>
        </w:rPr>
      </w:pPr>
      <w:r w:rsidRPr="00551E68">
        <w:rPr>
          <w:b/>
          <w:sz w:val="32"/>
          <w:szCs w:val="32"/>
          <w:lang w:val="en-US"/>
        </w:rPr>
        <w:lastRenderedPageBreak/>
        <w:t xml:space="preserve">    </w:t>
      </w:r>
      <w:r w:rsidR="00277456" w:rsidRPr="00551E68">
        <w:rPr>
          <w:b/>
          <w:sz w:val="32"/>
          <w:szCs w:val="32"/>
          <w:lang w:val="en-US"/>
        </w:rPr>
        <w:t xml:space="preserve">                                </w:t>
      </w:r>
      <w:r w:rsidR="00B36817" w:rsidRPr="00551E68">
        <w:rPr>
          <w:b/>
          <w:sz w:val="32"/>
          <w:szCs w:val="32"/>
          <w:u w:val="single"/>
          <w:lang w:val="en-US"/>
        </w:rPr>
        <w:t xml:space="preserve">Table of Contents </w:t>
      </w:r>
    </w:p>
    <w:p w:rsidR="00DC590B" w:rsidRDefault="00DC590B" w:rsidP="00707C1B">
      <w:pPr>
        <w:spacing w:line="360" w:lineRule="auto"/>
        <w:contextualSpacing/>
        <w:jc w:val="both"/>
        <w:rPr>
          <w:b/>
          <w:u w:val="single"/>
          <w:lang w:val="en-US"/>
        </w:rPr>
      </w:pPr>
    </w:p>
    <w:p w:rsidR="00B23F30" w:rsidRPr="00BD4D5C" w:rsidRDefault="002F6002" w:rsidP="00A960B6">
      <w:pPr>
        <w:spacing w:line="360" w:lineRule="auto"/>
        <w:contextualSpacing/>
        <w:rPr>
          <w:lang w:val="en-US"/>
        </w:rPr>
      </w:pPr>
      <w:r w:rsidRPr="00F90E41">
        <w:rPr>
          <w:b/>
          <w:u w:val="single"/>
          <w:lang w:val="en-US"/>
        </w:rPr>
        <w:t>Part I. Equality and Non-Discrimination</w:t>
      </w:r>
      <w:r w:rsidR="00241482">
        <w:rPr>
          <w:lang w:val="en-US"/>
        </w:rPr>
        <w:t xml:space="preserve">                                                                               </w:t>
      </w:r>
    </w:p>
    <w:p w:rsidR="002F6002" w:rsidRPr="00BD4D5C" w:rsidRDefault="002F6002" w:rsidP="00241482">
      <w:pPr>
        <w:spacing w:line="360" w:lineRule="auto"/>
        <w:contextualSpacing/>
        <w:jc w:val="both"/>
        <w:rPr>
          <w:u w:val="single"/>
          <w:lang w:val="en-US"/>
        </w:rPr>
      </w:pPr>
      <w:r w:rsidRPr="00F90E41">
        <w:rPr>
          <w:b/>
          <w:u w:val="single"/>
          <w:lang w:val="en-US"/>
        </w:rPr>
        <w:t xml:space="preserve">Chapter I. Non-Discrimination: Part and Parcel of Human </w:t>
      </w:r>
      <w:r w:rsidRPr="001F5553">
        <w:rPr>
          <w:b/>
          <w:u w:val="single"/>
          <w:lang w:val="en-US"/>
        </w:rPr>
        <w:t xml:space="preserve">Rights </w:t>
      </w:r>
      <w:r w:rsidRPr="00241482">
        <w:rPr>
          <w:b/>
          <w:u w:val="single"/>
          <w:lang w:val="en-US"/>
        </w:rPr>
        <w:t>Protectio</w:t>
      </w:r>
      <w:r w:rsidR="00BF0230" w:rsidRPr="00241482">
        <w:rPr>
          <w:b/>
          <w:u w:val="single"/>
          <w:lang w:val="en-US"/>
        </w:rPr>
        <w:t>n</w:t>
      </w:r>
      <w:r w:rsidR="00241482" w:rsidRPr="00241482">
        <w:rPr>
          <w:b/>
          <w:lang w:val="en-US"/>
        </w:rPr>
        <w:t xml:space="preserve"> </w:t>
      </w:r>
      <w:r w:rsidR="00A960B6">
        <w:rPr>
          <w:lang w:val="en-US"/>
        </w:rPr>
        <w:t xml:space="preserve">                 </w:t>
      </w:r>
      <w:r w:rsidRPr="00BD4D5C">
        <w:rPr>
          <w:u w:val="single"/>
          <w:lang w:val="en-US"/>
        </w:rPr>
        <w:t xml:space="preserve"> </w:t>
      </w:r>
    </w:p>
    <w:p w:rsidR="002F6002" w:rsidRPr="00BD4D5C" w:rsidRDefault="00941C3F" w:rsidP="00A960B6">
      <w:pPr>
        <w:spacing w:line="360" w:lineRule="auto"/>
        <w:contextualSpacing/>
        <w:rPr>
          <w:lang w:val="en-US"/>
        </w:rPr>
      </w:pPr>
      <w:r w:rsidRPr="00BD4D5C">
        <w:rPr>
          <w:u w:val="single"/>
          <w:lang w:val="en-US"/>
        </w:rPr>
        <w:t>Section I. Relevant Provisions outside the EU F</w:t>
      </w:r>
      <w:r w:rsidR="002F6002" w:rsidRPr="00BD4D5C">
        <w:rPr>
          <w:u w:val="single"/>
          <w:lang w:val="en-US"/>
        </w:rPr>
        <w:t>ramework</w:t>
      </w:r>
      <w:r w:rsidR="00A960B6">
        <w:rPr>
          <w:lang w:val="en-US"/>
        </w:rPr>
        <w:t xml:space="preserve">                                                        </w:t>
      </w:r>
    </w:p>
    <w:p w:rsidR="002F6002" w:rsidRPr="00BD4D5C" w:rsidRDefault="00B96700" w:rsidP="00707C1B">
      <w:pPr>
        <w:spacing w:line="360" w:lineRule="auto"/>
        <w:contextualSpacing/>
        <w:jc w:val="both"/>
        <w:rPr>
          <w:lang w:val="en-US"/>
        </w:rPr>
      </w:pPr>
      <w:r w:rsidRPr="00BD4D5C">
        <w:rPr>
          <w:u w:val="single"/>
          <w:lang w:val="en-US"/>
        </w:rPr>
        <w:t>Section II. The P</w:t>
      </w:r>
      <w:r w:rsidR="002F6002" w:rsidRPr="00BD4D5C">
        <w:rPr>
          <w:u w:val="single"/>
          <w:lang w:val="en-US"/>
        </w:rPr>
        <w:t>rinciple</w:t>
      </w:r>
      <w:r w:rsidR="000F0171" w:rsidRPr="00BD4D5C">
        <w:rPr>
          <w:u w:val="single"/>
          <w:lang w:val="en-US"/>
        </w:rPr>
        <w:t xml:space="preserve"> of Non-Discrimination in the European Unio</w:t>
      </w:r>
      <w:r w:rsidR="00A960B6">
        <w:rPr>
          <w:u w:val="single"/>
          <w:lang w:val="en-US"/>
        </w:rPr>
        <w:t>n</w:t>
      </w:r>
    </w:p>
    <w:p w:rsidR="006731F8" w:rsidRPr="00BD4D5C" w:rsidRDefault="006731F8" w:rsidP="00707C1B">
      <w:pPr>
        <w:spacing w:line="360" w:lineRule="auto"/>
        <w:contextualSpacing/>
        <w:jc w:val="both"/>
        <w:rPr>
          <w:u w:val="single"/>
          <w:lang w:val="en-US"/>
        </w:rPr>
      </w:pPr>
    </w:p>
    <w:p w:rsidR="002F6002" w:rsidRPr="00BD4D5C" w:rsidRDefault="00185200" w:rsidP="00707C1B">
      <w:pPr>
        <w:spacing w:line="360" w:lineRule="auto"/>
        <w:contextualSpacing/>
        <w:jc w:val="both"/>
        <w:rPr>
          <w:lang w:val="en-US"/>
        </w:rPr>
      </w:pPr>
      <w:r w:rsidRPr="00F005BE">
        <w:rPr>
          <w:b/>
          <w:u w:val="single"/>
          <w:lang w:val="en-US"/>
        </w:rPr>
        <w:t>Chapter II. Core</w:t>
      </w:r>
      <w:r w:rsidR="002F6002" w:rsidRPr="00F005BE">
        <w:rPr>
          <w:b/>
          <w:u w:val="single"/>
          <w:lang w:val="en-US"/>
        </w:rPr>
        <w:t xml:space="preserve"> Concepts in Anti-Discrimination Law</w:t>
      </w:r>
    </w:p>
    <w:p w:rsidR="002F6002" w:rsidRPr="00BD4D5C" w:rsidRDefault="00784234" w:rsidP="00707C1B">
      <w:pPr>
        <w:spacing w:line="360" w:lineRule="auto"/>
        <w:contextualSpacing/>
        <w:jc w:val="both"/>
        <w:rPr>
          <w:u w:val="single"/>
          <w:lang w:val="en-US"/>
        </w:rPr>
      </w:pPr>
      <w:r w:rsidRPr="00BD4D5C">
        <w:rPr>
          <w:u w:val="single"/>
          <w:lang w:val="en-US"/>
        </w:rPr>
        <w:t xml:space="preserve">Section I. </w:t>
      </w:r>
      <w:r w:rsidR="002F6002" w:rsidRPr="00BD4D5C">
        <w:rPr>
          <w:u w:val="single"/>
          <w:lang w:val="en-US"/>
        </w:rPr>
        <w:t>Eq</w:t>
      </w:r>
      <w:r w:rsidRPr="00BD4D5C">
        <w:rPr>
          <w:u w:val="single"/>
          <w:lang w:val="en-US"/>
        </w:rPr>
        <w:t>uality and Discrimina</w:t>
      </w:r>
      <w:r w:rsidR="00166877">
        <w:rPr>
          <w:u w:val="single"/>
          <w:lang w:val="en-US"/>
        </w:rPr>
        <w:t>tion: Two Sides of the Same Coin</w:t>
      </w:r>
    </w:p>
    <w:p w:rsidR="002F6002" w:rsidRPr="00BD4D5C" w:rsidRDefault="000E1779" w:rsidP="00707C1B">
      <w:pPr>
        <w:spacing w:line="360" w:lineRule="auto"/>
        <w:contextualSpacing/>
        <w:jc w:val="both"/>
        <w:rPr>
          <w:lang w:val="en-US"/>
        </w:rPr>
      </w:pPr>
      <w:r w:rsidRPr="00BD4D5C">
        <w:rPr>
          <w:lang w:val="en-US"/>
        </w:rPr>
        <w:t>§1. Equality: A Complex Noti</w:t>
      </w:r>
      <w:r w:rsidR="004F2C80">
        <w:rPr>
          <w:lang w:val="en-US"/>
        </w:rPr>
        <w:t>on</w:t>
      </w:r>
    </w:p>
    <w:p w:rsidR="002F6002" w:rsidRPr="00BD4D5C" w:rsidRDefault="002F6002" w:rsidP="00707C1B">
      <w:pPr>
        <w:spacing w:line="360" w:lineRule="auto"/>
        <w:contextualSpacing/>
        <w:jc w:val="both"/>
        <w:rPr>
          <w:lang w:val="en-US"/>
        </w:rPr>
      </w:pPr>
      <w:r w:rsidRPr="00BD4D5C">
        <w:rPr>
          <w:lang w:val="en-US"/>
        </w:rPr>
        <w:t>§2. Prohibited Classifications</w:t>
      </w:r>
    </w:p>
    <w:p w:rsidR="002F6002" w:rsidRPr="003A4D5A" w:rsidRDefault="004F2C80" w:rsidP="00707C1B">
      <w:pPr>
        <w:spacing w:line="360" w:lineRule="auto"/>
        <w:contextualSpacing/>
        <w:jc w:val="both"/>
        <w:rPr>
          <w:lang w:val="en-US"/>
        </w:rPr>
      </w:pPr>
      <w:r>
        <w:rPr>
          <w:lang w:val="en-US"/>
        </w:rPr>
        <w:t>§3. Comparability</w:t>
      </w:r>
    </w:p>
    <w:p w:rsidR="002F6002" w:rsidRPr="003A4D5A" w:rsidRDefault="002F6002" w:rsidP="00707C1B">
      <w:pPr>
        <w:spacing w:line="360" w:lineRule="auto"/>
        <w:contextualSpacing/>
        <w:jc w:val="both"/>
        <w:rPr>
          <w:lang w:val="en-US"/>
        </w:rPr>
      </w:pPr>
      <w:r w:rsidRPr="003A4D5A">
        <w:rPr>
          <w:u w:val="single"/>
          <w:lang w:val="en-US"/>
        </w:rPr>
        <w:t xml:space="preserve">Section II. Direct </w:t>
      </w:r>
      <w:r w:rsidRPr="00A47663">
        <w:rPr>
          <w:u w:val="single"/>
          <w:lang w:val="en-US"/>
        </w:rPr>
        <w:t>Discrimination</w:t>
      </w:r>
    </w:p>
    <w:p w:rsidR="002F6002" w:rsidRPr="00BD4D5C" w:rsidRDefault="002F6002" w:rsidP="00707C1B">
      <w:pPr>
        <w:spacing w:line="360" w:lineRule="auto"/>
        <w:contextualSpacing/>
        <w:jc w:val="both"/>
        <w:rPr>
          <w:lang w:val="fr-FR"/>
        </w:rPr>
      </w:pPr>
      <w:r w:rsidRPr="00BD4D5C">
        <w:rPr>
          <w:u w:val="single"/>
          <w:lang w:val="fr-FR"/>
        </w:rPr>
        <w:t>Sect</w:t>
      </w:r>
      <w:r w:rsidR="001F7452">
        <w:rPr>
          <w:u w:val="single"/>
          <w:lang w:val="fr-FR"/>
        </w:rPr>
        <w:t>ion III. Indirect Discrimination</w:t>
      </w:r>
    </w:p>
    <w:p w:rsidR="002F6002" w:rsidRPr="00BD4D5C" w:rsidRDefault="002F6002" w:rsidP="00707C1B">
      <w:pPr>
        <w:spacing w:line="360" w:lineRule="auto"/>
        <w:contextualSpacing/>
        <w:jc w:val="both"/>
        <w:rPr>
          <w:lang w:val="fr-FR"/>
        </w:rPr>
      </w:pPr>
      <w:r w:rsidRPr="00BD4D5C">
        <w:rPr>
          <w:u w:val="single"/>
          <w:lang w:val="fr-FR"/>
        </w:rPr>
        <w:t>Section IV. Justifications</w:t>
      </w:r>
    </w:p>
    <w:p w:rsidR="001C4D5B" w:rsidRPr="00BD4D5C" w:rsidRDefault="000F453D" w:rsidP="00707C1B">
      <w:pPr>
        <w:spacing w:line="360" w:lineRule="auto"/>
        <w:contextualSpacing/>
        <w:jc w:val="both"/>
        <w:rPr>
          <w:lang w:val="fr-FR"/>
        </w:rPr>
      </w:pPr>
      <w:r w:rsidRPr="00BD4D5C">
        <w:rPr>
          <w:u w:val="single"/>
          <w:lang w:val="fr-FR"/>
        </w:rPr>
        <w:t>Section V</w:t>
      </w:r>
      <w:r w:rsidR="002F6002" w:rsidRPr="00BD4D5C">
        <w:rPr>
          <w:u w:val="single"/>
          <w:lang w:val="fr-FR"/>
        </w:rPr>
        <w:t>. Affirmative Action</w:t>
      </w:r>
    </w:p>
    <w:p w:rsidR="00562AA2" w:rsidRPr="004625CE" w:rsidRDefault="00562AA2" w:rsidP="00707C1B">
      <w:pPr>
        <w:spacing w:line="360" w:lineRule="auto"/>
        <w:contextualSpacing/>
        <w:jc w:val="both"/>
        <w:rPr>
          <w:u w:val="single"/>
          <w:lang w:val="fr-FR"/>
        </w:rPr>
      </w:pPr>
    </w:p>
    <w:p w:rsidR="00387057" w:rsidRPr="00BD4D5C" w:rsidRDefault="002F6002" w:rsidP="00707C1B">
      <w:pPr>
        <w:spacing w:line="360" w:lineRule="auto"/>
        <w:contextualSpacing/>
        <w:jc w:val="both"/>
        <w:rPr>
          <w:lang w:val="en-US"/>
        </w:rPr>
      </w:pPr>
      <w:r w:rsidRPr="00562AA2">
        <w:rPr>
          <w:b/>
          <w:u w:val="single"/>
          <w:lang w:val="en-US"/>
        </w:rPr>
        <w:t>Part II. Human Rights at Work</w:t>
      </w:r>
    </w:p>
    <w:p w:rsidR="002F6002" w:rsidRPr="00BD4D5C" w:rsidRDefault="00DF7842" w:rsidP="00707C1B">
      <w:pPr>
        <w:spacing w:line="360" w:lineRule="auto"/>
        <w:contextualSpacing/>
        <w:jc w:val="both"/>
        <w:rPr>
          <w:lang w:val="en-US"/>
        </w:rPr>
      </w:pPr>
      <w:r w:rsidRPr="00B23F30">
        <w:rPr>
          <w:b/>
          <w:u w:val="single"/>
          <w:lang w:val="en-US"/>
        </w:rPr>
        <w:t>Chapter I. Relevant Provisions</w:t>
      </w:r>
      <w:r w:rsidR="00755002" w:rsidRPr="00B23F30">
        <w:rPr>
          <w:b/>
          <w:u w:val="single"/>
          <w:lang w:val="en-US"/>
        </w:rPr>
        <w:t xml:space="preserve"> o</w:t>
      </w:r>
      <w:r w:rsidRPr="00B23F30">
        <w:rPr>
          <w:b/>
          <w:u w:val="single"/>
          <w:lang w:val="en-US"/>
        </w:rPr>
        <w:t>utside T</w:t>
      </w:r>
      <w:r w:rsidR="00755002" w:rsidRPr="00B23F30">
        <w:rPr>
          <w:b/>
          <w:u w:val="single"/>
          <w:lang w:val="en-US"/>
        </w:rPr>
        <w:t>he EU F</w:t>
      </w:r>
      <w:r w:rsidR="00221B67">
        <w:rPr>
          <w:b/>
          <w:u w:val="single"/>
          <w:lang w:val="en-US"/>
        </w:rPr>
        <w:t>ramework</w:t>
      </w:r>
    </w:p>
    <w:p w:rsidR="002F6002" w:rsidRPr="00BD4D5C" w:rsidRDefault="002F6002" w:rsidP="00707C1B">
      <w:pPr>
        <w:spacing w:line="360" w:lineRule="auto"/>
        <w:contextualSpacing/>
        <w:jc w:val="both"/>
        <w:rPr>
          <w:lang w:val="en-US"/>
        </w:rPr>
      </w:pPr>
      <w:r w:rsidRPr="00BD4D5C">
        <w:rPr>
          <w:u w:val="single"/>
          <w:lang w:val="en-US"/>
        </w:rPr>
        <w:t>Section I. International Instruments</w:t>
      </w:r>
    </w:p>
    <w:p w:rsidR="005734CC" w:rsidRPr="00BD4D5C" w:rsidRDefault="002F6002" w:rsidP="00707C1B">
      <w:pPr>
        <w:spacing w:line="360" w:lineRule="auto"/>
        <w:contextualSpacing/>
        <w:jc w:val="both"/>
        <w:rPr>
          <w:lang w:val="en-US"/>
        </w:rPr>
      </w:pPr>
      <w:r w:rsidRPr="00BD4D5C">
        <w:rPr>
          <w:u w:val="single"/>
          <w:lang w:val="en-US"/>
        </w:rPr>
        <w:t>Section II. Regional Instrume</w:t>
      </w:r>
      <w:r w:rsidR="005734CC" w:rsidRPr="00BD4D5C">
        <w:rPr>
          <w:u w:val="single"/>
          <w:lang w:val="en-US"/>
        </w:rPr>
        <w:t>nts</w:t>
      </w:r>
    </w:p>
    <w:p w:rsidR="00CD1861" w:rsidRPr="00BD4D5C" w:rsidRDefault="00CD1861" w:rsidP="00707C1B">
      <w:pPr>
        <w:spacing w:line="360" w:lineRule="auto"/>
        <w:contextualSpacing/>
        <w:jc w:val="both"/>
        <w:rPr>
          <w:u w:val="single"/>
          <w:lang w:val="en-US"/>
        </w:rPr>
      </w:pPr>
    </w:p>
    <w:p w:rsidR="002F6002" w:rsidRPr="00BD4D5C" w:rsidRDefault="00840C4E" w:rsidP="00707C1B">
      <w:pPr>
        <w:spacing w:line="360" w:lineRule="auto"/>
        <w:contextualSpacing/>
        <w:jc w:val="both"/>
        <w:rPr>
          <w:lang w:val="en-US"/>
        </w:rPr>
      </w:pPr>
      <w:r w:rsidRPr="00A333C3">
        <w:rPr>
          <w:b/>
          <w:u w:val="single"/>
          <w:lang w:val="en-US"/>
        </w:rPr>
        <w:t>Chapter II. T</w:t>
      </w:r>
      <w:r w:rsidR="008546EE" w:rsidRPr="00A333C3">
        <w:rPr>
          <w:b/>
          <w:u w:val="single"/>
          <w:lang w:val="en-US"/>
        </w:rPr>
        <w:t>he European Union</w:t>
      </w:r>
    </w:p>
    <w:p w:rsidR="002F6002" w:rsidRPr="00BD4D5C" w:rsidRDefault="002F6002" w:rsidP="00707C1B">
      <w:pPr>
        <w:spacing w:line="360" w:lineRule="auto"/>
        <w:contextualSpacing/>
        <w:jc w:val="both"/>
        <w:rPr>
          <w:lang w:val="en-US"/>
        </w:rPr>
      </w:pPr>
      <w:r w:rsidRPr="00BD4D5C">
        <w:rPr>
          <w:u w:val="single"/>
          <w:lang w:val="en-US"/>
        </w:rPr>
        <w:t>Section I. The EU and Social Rights: Elusive or Crystal Clear?</w:t>
      </w:r>
    </w:p>
    <w:p w:rsidR="00946531" w:rsidRPr="00BD4D5C" w:rsidRDefault="00946531" w:rsidP="00707C1B">
      <w:pPr>
        <w:spacing w:line="360" w:lineRule="auto"/>
        <w:contextualSpacing/>
        <w:jc w:val="both"/>
        <w:rPr>
          <w:lang w:val="en-US"/>
        </w:rPr>
      </w:pPr>
      <w:r w:rsidRPr="00BD4D5C">
        <w:rPr>
          <w:lang w:val="en-US"/>
        </w:rPr>
        <w:t>§1. The EU’s Social Policy</w:t>
      </w:r>
    </w:p>
    <w:p w:rsidR="005F7E50" w:rsidRDefault="00946531" w:rsidP="00707C1B">
      <w:pPr>
        <w:spacing w:line="360" w:lineRule="auto"/>
        <w:contextualSpacing/>
        <w:jc w:val="both"/>
        <w:rPr>
          <w:lang w:val="en-US"/>
        </w:rPr>
      </w:pPr>
      <w:r w:rsidRPr="00BD4D5C">
        <w:rPr>
          <w:lang w:val="en-US"/>
        </w:rPr>
        <w:t>§2. Soc</w:t>
      </w:r>
      <w:r w:rsidR="00D1378E">
        <w:rPr>
          <w:lang w:val="en-US"/>
        </w:rPr>
        <w:t>ial Rights in the European Union</w:t>
      </w:r>
      <w:r w:rsidR="00CD1861" w:rsidRPr="00BD4D5C">
        <w:rPr>
          <w:lang w:val="en-US"/>
        </w:rPr>
        <w:t xml:space="preserve"> </w:t>
      </w:r>
    </w:p>
    <w:p w:rsidR="00946531" w:rsidRPr="00BD4D5C" w:rsidRDefault="00946531" w:rsidP="00707C1B">
      <w:pPr>
        <w:spacing w:line="360" w:lineRule="auto"/>
        <w:contextualSpacing/>
        <w:jc w:val="both"/>
        <w:rPr>
          <w:lang w:val="en-US"/>
        </w:rPr>
      </w:pPr>
      <w:r w:rsidRPr="00BD4D5C">
        <w:rPr>
          <w:u w:val="single"/>
          <w:lang w:val="en-US"/>
        </w:rPr>
        <w:t xml:space="preserve">Section II. The EU, Employment Law and </w:t>
      </w:r>
      <w:proofErr w:type="spellStart"/>
      <w:r w:rsidRPr="00BD4D5C">
        <w:rPr>
          <w:u w:val="single"/>
          <w:lang w:val="en-US"/>
        </w:rPr>
        <w:t>Labour</w:t>
      </w:r>
      <w:proofErr w:type="spellEnd"/>
      <w:r w:rsidRPr="00BD4D5C">
        <w:rPr>
          <w:u w:val="single"/>
          <w:lang w:val="en-US"/>
        </w:rPr>
        <w:t xml:space="preserve"> Rights</w:t>
      </w:r>
    </w:p>
    <w:p w:rsidR="00946531" w:rsidRPr="00BD4D5C" w:rsidRDefault="00946531" w:rsidP="00707C1B">
      <w:pPr>
        <w:spacing w:line="360" w:lineRule="auto"/>
        <w:contextualSpacing/>
        <w:jc w:val="both"/>
        <w:rPr>
          <w:lang w:val="en-US"/>
        </w:rPr>
      </w:pPr>
      <w:r w:rsidRPr="00BD4D5C">
        <w:rPr>
          <w:lang w:val="en-US"/>
        </w:rPr>
        <w:t>§1. EU Employment Law</w:t>
      </w:r>
    </w:p>
    <w:p w:rsidR="00946531" w:rsidRPr="00BD4D5C" w:rsidRDefault="00946531" w:rsidP="00707C1B">
      <w:pPr>
        <w:spacing w:line="360" w:lineRule="auto"/>
        <w:contextualSpacing/>
        <w:jc w:val="both"/>
        <w:rPr>
          <w:lang w:val="en-US"/>
        </w:rPr>
      </w:pPr>
      <w:r w:rsidRPr="00BD4D5C">
        <w:rPr>
          <w:lang w:val="en-US"/>
        </w:rPr>
        <w:t xml:space="preserve">§2. </w:t>
      </w:r>
      <w:proofErr w:type="spellStart"/>
      <w:r w:rsidRPr="00BD4D5C">
        <w:rPr>
          <w:lang w:val="en-US"/>
        </w:rPr>
        <w:t>Labour</w:t>
      </w:r>
      <w:proofErr w:type="spellEnd"/>
      <w:r w:rsidRPr="00BD4D5C">
        <w:rPr>
          <w:lang w:val="en-US"/>
        </w:rPr>
        <w:t xml:space="preserve"> Rights in the European Union</w:t>
      </w:r>
    </w:p>
    <w:p w:rsidR="00320527" w:rsidRPr="00BD4D5C" w:rsidRDefault="00320527" w:rsidP="00707C1B">
      <w:pPr>
        <w:spacing w:line="360" w:lineRule="auto"/>
        <w:contextualSpacing/>
        <w:jc w:val="both"/>
        <w:rPr>
          <w:lang w:val="en-US"/>
        </w:rPr>
      </w:pPr>
    </w:p>
    <w:p w:rsidR="00300693" w:rsidRDefault="00300693" w:rsidP="00707C1B">
      <w:pPr>
        <w:spacing w:line="360" w:lineRule="auto"/>
        <w:contextualSpacing/>
        <w:jc w:val="both"/>
        <w:rPr>
          <w:b/>
          <w:u w:val="single"/>
          <w:lang w:val="en-US"/>
        </w:rPr>
      </w:pPr>
    </w:p>
    <w:p w:rsidR="00300693" w:rsidRDefault="00300693" w:rsidP="00707C1B">
      <w:pPr>
        <w:spacing w:line="360" w:lineRule="auto"/>
        <w:contextualSpacing/>
        <w:jc w:val="both"/>
        <w:rPr>
          <w:b/>
          <w:u w:val="single"/>
          <w:lang w:val="en-US"/>
        </w:rPr>
      </w:pPr>
    </w:p>
    <w:p w:rsidR="003A4D5A" w:rsidRDefault="003A4D5A" w:rsidP="00707C1B">
      <w:pPr>
        <w:spacing w:line="360" w:lineRule="auto"/>
        <w:contextualSpacing/>
        <w:jc w:val="both"/>
        <w:rPr>
          <w:b/>
          <w:u w:val="single"/>
          <w:lang w:val="en-US"/>
        </w:rPr>
      </w:pPr>
    </w:p>
    <w:p w:rsidR="006731F8" w:rsidRPr="00BD4D5C" w:rsidRDefault="001C4D5B" w:rsidP="00707C1B">
      <w:pPr>
        <w:spacing w:line="360" w:lineRule="auto"/>
        <w:contextualSpacing/>
        <w:jc w:val="both"/>
        <w:rPr>
          <w:u w:val="single"/>
          <w:lang w:val="en-US"/>
        </w:rPr>
      </w:pPr>
      <w:r w:rsidRPr="000C75AF">
        <w:rPr>
          <w:b/>
          <w:u w:val="single"/>
          <w:lang w:val="en-US"/>
        </w:rPr>
        <w:lastRenderedPageBreak/>
        <w:t xml:space="preserve">Part III. Women’s </w:t>
      </w:r>
      <w:proofErr w:type="spellStart"/>
      <w:r w:rsidRPr="000C75AF">
        <w:rPr>
          <w:b/>
          <w:u w:val="single"/>
          <w:lang w:val="en-US"/>
        </w:rPr>
        <w:t>Labour</w:t>
      </w:r>
      <w:proofErr w:type="spellEnd"/>
      <w:r w:rsidRPr="000C75AF">
        <w:rPr>
          <w:b/>
          <w:u w:val="single"/>
          <w:lang w:val="en-US"/>
        </w:rPr>
        <w:t xml:space="preserve"> Rights: Some Key Issues</w:t>
      </w:r>
    </w:p>
    <w:p w:rsidR="001C4D5B" w:rsidRPr="00BD4D5C" w:rsidRDefault="00BC7906" w:rsidP="00707C1B">
      <w:pPr>
        <w:spacing w:line="360" w:lineRule="auto"/>
        <w:contextualSpacing/>
        <w:jc w:val="both"/>
        <w:rPr>
          <w:lang w:val="en-US"/>
        </w:rPr>
      </w:pPr>
      <w:r w:rsidRPr="00F217C0">
        <w:rPr>
          <w:b/>
          <w:u w:val="single"/>
          <w:lang w:val="en-US"/>
        </w:rPr>
        <w:t>Chapter I. Employment O</w:t>
      </w:r>
      <w:r w:rsidR="001C4D5B" w:rsidRPr="00F217C0">
        <w:rPr>
          <w:b/>
          <w:u w:val="single"/>
          <w:lang w:val="en-US"/>
        </w:rPr>
        <w:t>pportunities and Fair Working Condition</w:t>
      </w:r>
      <w:r w:rsidR="00520FB4" w:rsidRPr="00F217C0">
        <w:rPr>
          <w:b/>
          <w:u w:val="single"/>
          <w:lang w:val="en-US"/>
        </w:rPr>
        <w:t>s</w:t>
      </w:r>
    </w:p>
    <w:p w:rsidR="00320527" w:rsidRPr="003A4D5A" w:rsidRDefault="001C4D5B" w:rsidP="00707C1B">
      <w:pPr>
        <w:spacing w:line="360" w:lineRule="auto"/>
        <w:contextualSpacing/>
        <w:jc w:val="both"/>
        <w:rPr>
          <w:lang w:val="en-US"/>
        </w:rPr>
      </w:pPr>
      <w:r w:rsidRPr="00BD4D5C">
        <w:rPr>
          <w:u w:val="single"/>
          <w:lang w:val="en-US"/>
        </w:rPr>
        <w:t>Section I. Job Opportunitie</w:t>
      </w:r>
      <w:r w:rsidR="009B7514">
        <w:rPr>
          <w:u w:val="single"/>
          <w:lang w:val="en-US"/>
        </w:rPr>
        <w:t>s</w:t>
      </w:r>
      <w:r w:rsidRPr="00BD4D5C">
        <w:rPr>
          <w:lang w:val="en-US"/>
        </w:rPr>
        <w:t xml:space="preserve">   </w:t>
      </w:r>
    </w:p>
    <w:p w:rsidR="001C4D5B" w:rsidRPr="009667DA" w:rsidRDefault="001C4D5B" w:rsidP="00707C1B">
      <w:pPr>
        <w:spacing w:line="360" w:lineRule="auto"/>
        <w:contextualSpacing/>
        <w:jc w:val="both"/>
        <w:rPr>
          <w:lang w:val="en-US"/>
        </w:rPr>
      </w:pPr>
      <w:r w:rsidRPr="00BD4D5C">
        <w:rPr>
          <w:u w:val="single"/>
          <w:lang w:val="en-US"/>
        </w:rPr>
        <w:t>Section II. Equal Pay</w:t>
      </w:r>
    </w:p>
    <w:p w:rsidR="001C4D5B" w:rsidRPr="00BD4D5C" w:rsidRDefault="001C4D5B" w:rsidP="00707C1B">
      <w:pPr>
        <w:spacing w:line="360" w:lineRule="auto"/>
        <w:contextualSpacing/>
        <w:jc w:val="both"/>
        <w:rPr>
          <w:lang w:val="en-US"/>
        </w:rPr>
      </w:pPr>
      <w:r w:rsidRPr="00BD4D5C">
        <w:rPr>
          <w:u w:val="single"/>
          <w:lang w:val="en-US"/>
        </w:rPr>
        <w:t>Section III. Sexual Harassment</w:t>
      </w:r>
    </w:p>
    <w:p w:rsidR="00A56A2C" w:rsidRPr="00BD4D5C" w:rsidRDefault="00A56A2C" w:rsidP="00707C1B">
      <w:pPr>
        <w:spacing w:line="360" w:lineRule="auto"/>
        <w:contextualSpacing/>
        <w:jc w:val="both"/>
        <w:rPr>
          <w:u w:val="single"/>
          <w:lang w:val="en-US"/>
        </w:rPr>
      </w:pPr>
    </w:p>
    <w:p w:rsidR="001C4D5B" w:rsidRPr="00BD4D5C" w:rsidRDefault="001C4D5B" w:rsidP="00707C1B">
      <w:pPr>
        <w:spacing w:line="360" w:lineRule="auto"/>
        <w:contextualSpacing/>
        <w:jc w:val="both"/>
        <w:rPr>
          <w:lang w:val="en-US"/>
        </w:rPr>
      </w:pPr>
      <w:r w:rsidRPr="007B3FE3">
        <w:rPr>
          <w:b/>
          <w:u w:val="single"/>
          <w:lang w:val="en-US"/>
        </w:rPr>
        <w:t xml:space="preserve">Chapter II. </w:t>
      </w:r>
      <w:r w:rsidR="00BA712D">
        <w:rPr>
          <w:b/>
          <w:u w:val="single"/>
          <w:lang w:val="en-US"/>
        </w:rPr>
        <w:t>Reconciling Work and Family Life</w:t>
      </w:r>
    </w:p>
    <w:p w:rsidR="001C4D5B" w:rsidRPr="00BD4D5C" w:rsidRDefault="001C4D5B" w:rsidP="00707C1B">
      <w:pPr>
        <w:spacing w:line="360" w:lineRule="auto"/>
        <w:contextualSpacing/>
        <w:jc w:val="both"/>
        <w:rPr>
          <w:lang w:val="en-US"/>
        </w:rPr>
      </w:pPr>
      <w:r w:rsidRPr="00BD4D5C">
        <w:rPr>
          <w:u w:val="single"/>
          <w:lang w:val="en-US"/>
        </w:rPr>
        <w:t>Section I. Part-Time Wor</w:t>
      </w:r>
      <w:r w:rsidR="00A56A2C" w:rsidRPr="00BD4D5C">
        <w:rPr>
          <w:u w:val="single"/>
          <w:lang w:val="en-US"/>
        </w:rPr>
        <w:t>k</w:t>
      </w:r>
    </w:p>
    <w:p w:rsidR="001C4D5B" w:rsidRPr="00BD4D5C" w:rsidRDefault="001C4D5B" w:rsidP="00707C1B">
      <w:pPr>
        <w:spacing w:line="360" w:lineRule="auto"/>
        <w:contextualSpacing/>
        <w:jc w:val="both"/>
        <w:rPr>
          <w:lang w:val="en-US"/>
        </w:rPr>
      </w:pPr>
      <w:r w:rsidRPr="00BD4D5C">
        <w:rPr>
          <w:u w:val="single"/>
          <w:lang w:val="en-US"/>
        </w:rPr>
        <w:t>Section II. Pregnanc</w:t>
      </w:r>
      <w:r w:rsidR="00A56A2C" w:rsidRPr="00BD4D5C">
        <w:rPr>
          <w:u w:val="single"/>
          <w:lang w:val="en-US"/>
        </w:rPr>
        <w:t>y</w:t>
      </w:r>
    </w:p>
    <w:p w:rsidR="001C4D5B" w:rsidRPr="00BD4D5C" w:rsidRDefault="001C4D5B" w:rsidP="00707C1B">
      <w:pPr>
        <w:spacing w:line="360" w:lineRule="auto"/>
        <w:contextualSpacing/>
        <w:jc w:val="both"/>
        <w:rPr>
          <w:lang w:val="en-US"/>
        </w:rPr>
      </w:pPr>
      <w:r w:rsidRPr="00BD4D5C">
        <w:rPr>
          <w:lang w:val="en-US"/>
        </w:rPr>
        <w:t>§1. Recruitment and Job Security</w:t>
      </w:r>
    </w:p>
    <w:p w:rsidR="00A56A2C" w:rsidRPr="00BD4D5C" w:rsidRDefault="001C4D5B" w:rsidP="00707C1B">
      <w:pPr>
        <w:spacing w:line="360" w:lineRule="auto"/>
        <w:contextualSpacing/>
        <w:jc w:val="both"/>
        <w:rPr>
          <w:lang w:val="en-US"/>
        </w:rPr>
      </w:pPr>
      <w:r w:rsidRPr="00BD4D5C">
        <w:rPr>
          <w:lang w:val="en-US"/>
        </w:rPr>
        <w:t>§2. Child-Birth Leave</w:t>
      </w:r>
    </w:p>
    <w:p w:rsidR="00A56A2C" w:rsidRPr="00BD4D5C" w:rsidRDefault="001C4D5B" w:rsidP="00707C1B">
      <w:pPr>
        <w:spacing w:line="360" w:lineRule="auto"/>
        <w:contextualSpacing/>
        <w:jc w:val="both"/>
        <w:rPr>
          <w:lang w:val="en-US"/>
        </w:rPr>
      </w:pPr>
      <w:r w:rsidRPr="00BD4D5C">
        <w:rPr>
          <w:u w:val="single"/>
          <w:lang w:val="en-US"/>
        </w:rPr>
        <w:t xml:space="preserve">Section III. Parental Leave and Child-Care </w:t>
      </w:r>
      <w:r w:rsidRPr="008242DB">
        <w:rPr>
          <w:u w:val="single"/>
          <w:lang w:val="en-US"/>
        </w:rPr>
        <w:t>Service</w:t>
      </w:r>
      <w:r w:rsidR="00A56A2C" w:rsidRPr="008242DB">
        <w:rPr>
          <w:u w:val="single"/>
          <w:lang w:val="en-US"/>
        </w:rPr>
        <w:t>s</w:t>
      </w:r>
    </w:p>
    <w:p w:rsidR="00A56A2C" w:rsidRPr="00BD4D5C" w:rsidRDefault="00DF401C" w:rsidP="00707C1B">
      <w:pPr>
        <w:spacing w:line="360" w:lineRule="auto"/>
        <w:contextualSpacing/>
        <w:jc w:val="both"/>
        <w:rPr>
          <w:u w:val="single"/>
          <w:lang w:val="en-US"/>
        </w:rPr>
      </w:pPr>
      <w:r>
        <w:rPr>
          <w:lang w:val="en-US"/>
        </w:rPr>
        <w:t>§1. Parental Leave</w:t>
      </w:r>
    </w:p>
    <w:p w:rsidR="006731F8" w:rsidRPr="00BD4D5C" w:rsidRDefault="00DF401C" w:rsidP="00707C1B">
      <w:pPr>
        <w:spacing w:line="360" w:lineRule="auto"/>
        <w:contextualSpacing/>
        <w:jc w:val="both"/>
        <w:rPr>
          <w:lang w:val="en-US"/>
        </w:rPr>
      </w:pPr>
      <w:r>
        <w:rPr>
          <w:lang w:val="en-US"/>
        </w:rPr>
        <w:t>§2. Child-Care Services</w:t>
      </w:r>
    </w:p>
    <w:p w:rsidR="00087B0B" w:rsidRPr="00BD4D5C" w:rsidRDefault="00087B0B" w:rsidP="00707C1B">
      <w:pPr>
        <w:spacing w:line="360" w:lineRule="auto"/>
        <w:contextualSpacing/>
        <w:jc w:val="both"/>
        <w:rPr>
          <w:lang w:val="en-US"/>
        </w:rPr>
      </w:pPr>
    </w:p>
    <w:p w:rsidR="001C4D5B" w:rsidRPr="00BD4D5C" w:rsidRDefault="001C4D5B" w:rsidP="00707C1B">
      <w:pPr>
        <w:spacing w:line="360" w:lineRule="auto"/>
        <w:contextualSpacing/>
        <w:jc w:val="both"/>
        <w:rPr>
          <w:lang w:val="en-US"/>
        </w:rPr>
      </w:pPr>
      <w:r w:rsidRPr="009E2B2E">
        <w:rPr>
          <w:b/>
          <w:u w:val="single"/>
          <w:lang w:val="en-US"/>
        </w:rPr>
        <w:t>Conclusion</w:t>
      </w:r>
    </w:p>
    <w:p w:rsidR="002F6002" w:rsidRPr="001C4D5B" w:rsidRDefault="002F6002" w:rsidP="000E1779">
      <w:pPr>
        <w:jc w:val="right"/>
        <w:rPr>
          <w:lang w:val="en-US"/>
        </w:rPr>
      </w:pPr>
    </w:p>
    <w:p w:rsidR="002F6002" w:rsidRPr="002F6002" w:rsidRDefault="002F6002" w:rsidP="000E1779">
      <w:pPr>
        <w:jc w:val="right"/>
        <w:rPr>
          <w:i/>
          <w:u w:val="single"/>
          <w:lang w:val="en-US"/>
        </w:rPr>
      </w:pPr>
    </w:p>
    <w:p w:rsidR="002F6002" w:rsidRPr="002F6002" w:rsidRDefault="002F6002" w:rsidP="00D37BB1">
      <w:pPr>
        <w:jc w:val="both"/>
        <w:rPr>
          <w:i/>
          <w:u w:val="single"/>
          <w:lang w:val="en-US"/>
        </w:rPr>
      </w:pPr>
    </w:p>
    <w:p w:rsidR="003148E9" w:rsidRDefault="003148E9" w:rsidP="00D37BB1">
      <w:pPr>
        <w:jc w:val="both"/>
        <w:rPr>
          <w:i/>
          <w:u w:val="single"/>
          <w:lang w:val="en-US"/>
        </w:rPr>
      </w:pPr>
    </w:p>
    <w:p w:rsidR="002D3C37" w:rsidRDefault="002D3C37" w:rsidP="00D37BB1">
      <w:pPr>
        <w:jc w:val="both"/>
        <w:rPr>
          <w:i/>
          <w:u w:val="single"/>
          <w:lang w:val="en-US"/>
        </w:rPr>
      </w:pPr>
    </w:p>
    <w:p w:rsidR="002D3C37" w:rsidRDefault="002D3C37" w:rsidP="00D37BB1">
      <w:pPr>
        <w:jc w:val="both"/>
        <w:rPr>
          <w:i/>
          <w:u w:val="single"/>
          <w:lang w:val="en-US"/>
        </w:rPr>
      </w:pPr>
    </w:p>
    <w:p w:rsidR="002D3C37" w:rsidRDefault="002D3C37" w:rsidP="00D37BB1">
      <w:pPr>
        <w:jc w:val="both"/>
        <w:rPr>
          <w:i/>
          <w:u w:val="single"/>
          <w:lang w:val="en-US"/>
        </w:rPr>
      </w:pPr>
    </w:p>
    <w:p w:rsidR="004F1848" w:rsidRDefault="004F1848" w:rsidP="00D37BB1">
      <w:pPr>
        <w:jc w:val="both"/>
        <w:rPr>
          <w:i/>
          <w:u w:val="single"/>
          <w:lang w:val="en-US"/>
        </w:rPr>
      </w:pPr>
    </w:p>
    <w:p w:rsidR="004F1848" w:rsidRDefault="004F1848" w:rsidP="00D37BB1">
      <w:pPr>
        <w:jc w:val="both"/>
        <w:rPr>
          <w:i/>
          <w:u w:val="single"/>
          <w:lang w:val="en-US"/>
        </w:rPr>
      </w:pPr>
    </w:p>
    <w:p w:rsidR="004F1848" w:rsidRDefault="004F1848" w:rsidP="00D37BB1">
      <w:pPr>
        <w:jc w:val="both"/>
        <w:rPr>
          <w:i/>
          <w:u w:val="single"/>
          <w:lang w:val="en-US"/>
        </w:rPr>
      </w:pPr>
    </w:p>
    <w:p w:rsidR="004F1848" w:rsidRDefault="004F1848" w:rsidP="00D37BB1">
      <w:pPr>
        <w:jc w:val="both"/>
        <w:rPr>
          <w:i/>
          <w:u w:val="single"/>
          <w:lang w:val="en-US"/>
        </w:rPr>
      </w:pPr>
    </w:p>
    <w:p w:rsidR="004F1848" w:rsidRDefault="004F1848" w:rsidP="00D37BB1">
      <w:pPr>
        <w:jc w:val="both"/>
        <w:rPr>
          <w:i/>
          <w:u w:val="single"/>
          <w:lang w:val="en-US"/>
        </w:rPr>
      </w:pPr>
    </w:p>
    <w:p w:rsidR="00282095" w:rsidRDefault="00282095" w:rsidP="00D37BB1">
      <w:pPr>
        <w:jc w:val="both"/>
        <w:rPr>
          <w:i/>
          <w:u w:val="single"/>
          <w:lang w:val="en-US"/>
        </w:rPr>
      </w:pPr>
    </w:p>
    <w:p w:rsidR="00B9570C" w:rsidRPr="002F6002" w:rsidRDefault="00B9570C" w:rsidP="00D37BB1">
      <w:pPr>
        <w:jc w:val="both"/>
        <w:rPr>
          <w:i/>
          <w:u w:val="single"/>
          <w:lang w:val="en-US"/>
        </w:rPr>
      </w:pPr>
    </w:p>
    <w:p w:rsidR="002F6002" w:rsidRPr="00F0486B" w:rsidRDefault="002F6002" w:rsidP="00D37BB1">
      <w:pPr>
        <w:jc w:val="both"/>
        <w:rPr>
          <w:b/>
          <w:lang w:val="en-US"/>
        </w:rPr>
      </w:pPr>
      <w:r w:rsidRPr="002F6002">
        <w:rPr>
          <w:b/>
          <w:lang w:val="en-US"/>
        </w:rPr>
        <w:lastRenderedPageBreak/>
        <w:t xml:space="preserve">                  </w:t>
      </w:r>
      <w:r w:rsidR="00F0486B">
        <w:rPr>
          <w:b/>
          <w:lang w:val="en-US"/>
        </w:rPr>
        <w:t xml:space="preserve">                             </w:t>
      </w:r>
      <w:r w:rsidRPr="00F0486B">
        <w:rPr>
          <w:b/>
          <w:sz w:val="32"/>
          <w:szCs w:val="32"/>
          <w:u w:val="single"/>
          <w:lang w:val="en-US"/>
        </w:rPr>
        <w:t>List of Abbreviations</w:t>
      </w:r>
    </w:p>
    <w:p w:rsidR="002F6002" w:rsidRPr="002F6002" w:rsidRDefault="002F6002" w:rsidP="00D37BB1">
      <w:pPr>
        <w:jc w:val="both"/>
        <w:rPr>
          <w:lang w:val="en-US"/>
        </w:rPr>
      </w:pPr>
    </w:p>
    <w:p w:rsidR="002F6002" w:rsidRDefault="002F6002" w:rsidP="00D37BB1">
      <w:pPr>
        <w:jc w:val="both"/>
        <w:rPr>
          <w:lang w:val="en-US"/>
        </w:rPr>
      </w:pPr>
      <w:r w:rsidRPr="002F6002">
        <w:rPr>
          <w:lang w:val="en-US"/>
        </w:rPr>
        <w:t xml:space="preserve">EU Charter   </w:t>
      </w:r>
      <w:proofErr w:type="spellStart"/>
      <w:r w:rsidRPr="002F6002">
        <w:rPr>
          <w:lang w:val="en-US"/>
        </w:rPr>
        <w:t>Charter</w:t>
      </w:r>
      <w:proofErr w:type="spellEnd"/>
      <w:r w:rsidRPr="002F6002">
        <w:rPr>
          <w:lang w:val="en-US"/>
        </w:rPr>
        <w:t xml:space="preserve"> of Fundamental Rights of the European Union</w:t>
      </w:r>
    </w:p>
    <w:p w:rsidR="00E766E9" w:rsidRPr="002F6002" w:rsidRDefault="00E766E9" w:rsidP="00D37BB1">
      <w:pPr>
        <w:jc w:val="both"/>
        <w:rPr>
          <w:lang w:val="en-US"/>
        </w:rPr>
      </w:pPr>
      <w:r>
        <w:rPr>
          <w:lang w:val="en-US"/>
        </w:rPr>
        <w:t>CEACR        Committee of Experts on the Application of Conventions and Recommendations</w:t>
      </w:r>
    </w:p>
    <w:p w:rsidR="002F6002" w:rsidRPr="002F6002" w:rsidRDefault="002F6002" w:rsidP="00D37BB1">
      <w:pPr>
        <w:jc w:val="both"/>
        <w:rPr>
          <w:lang w:val="en-US"/>
        </w:rPr>
      </w:pPr>
      <w:r w:rsidRPr="002F6002">
        <w:rPr>
          <w:lang w:val="en-US"/>
        </w:rPr>
        <w:t>CO                Concluding Observations</w:t>
      </w:r>
    </w:p>
    <w:p w:rsidR="002F6002" w:rsidRPr="002F6002" w:rsidRDefault="002F6002" w:rsidP="00D37BB1">
      <w:pPr>
        <w:jc w:val="both"/>
        <w:rPr>
          <w:lang w:val="en-US"/>
        </w:rPr>
      </w:pPr>
      <w:r w:rsidRPr="002F6002">
        <w:rPr>
          <w:lang w:val="en-US"/>
        </w:rPr>
        <w:t>CEDAW       Convention on the Elimination of All Forms of Discrimination against Women</w:t>
      </w:r>
    </w:p>
    <w:p w:rsidR="002F6002" w:rsidRPr="002F6002" w:rsidRDefault="002F6002" w:rsidP="00D37BB1">
      <w:pPr>
        <w:jc w:val="both"/>
        <w:rPr>
          <w:lang w:val="en-US"/>
        </w:rPr>
      </w:pPr>
      <w:r w:rsidRPr="002F6002">
        <w:rPr>
          <w:lang w:val="en-US"/>
        </w:rPr>
        <w:t>CC                Collective Complaint</w:t>
      </w:r>
    </w:p>
    <w:p w:rsidR="002F6002" w:rsidRPr="002F6002" w:rsidRDefault="002F6002" w:rsidP="00D37BB1">
      <w:pPr>
        <w:jc w:val="both"/>
        <w:rPr>
          <w:lang w:val="en-GB"/>
        </w:rPr>
      </w:pPr>
      <w:r w:rsidRPr="002F6002">
        <w:rPr>
          <w:lang w:val="en-US"/>
        </w:rPr>
        <w:t xml:space="preserve">ECHR           </w:t>
      </w:r>
      <w:r w:rsidRPr="002F6002">
        <w:rPr>
          <w:lang w:val="en-GB"/>
        </w:rPr>
        <w:t>Convention for the Protection of Human Rights and Fundamental Freedoms</w:t>
      </w:r>
    </w:p>
    <w:p w:rsidR="002F6002" w:rsidRPr="002F6002" w:rsidRDefault="002F6002" w:rsidP="00D37BB1">
      <w:pPr>
        <w:jc w:val="both"/>
        <w:rPr>
          <w:lang w:val="en-US"/>
        </w:rPr>
      </w:pPr>
      <w:r w:rsidRPr="002F6002">
        <w:rPr>
          <w:lang w:val="en-US"/>
        </w:rPr>
        <w:t xml:space="preserve">ECSR            European Committee of Social Rights </w:t>
      </w:r>
    </w:p>
    <w:p w:rsidR="002F6002" w:rsidRPr="002F6002" w:rsidRDefault="002F6002" w:rsidP="00D37BB1">
      <w:pPr>
        <w:jc w:val="both"/>
        <w:rPr>
          <w:lang w:val="en-US"/>
        </w:rPr>
      </w:pPr>
      <w:proofErr w:type="spellStart"/>
      <w:r w:rsidRPr="002F6002">
        <w:rPr>
          <w:lang w:val="en-US"/>
        </w:rPr>
        <w:t>ECtHR</w:t>
      </w:r>
      <w:proofErr w:type="spellEnd"/>
      <w:r w:rsidRPr="002F6002">
        <w:rPr>
          <w:lang w:val="en-US"/>
        </w:rPr>
        <w:t xml:space="preserve">          European Court of Human Rights</w:t>
      </w:r>
    </w:p>
    <w:p w:rsidR="002F6002" w:rsidRPr="002F6002" w:rsidRDefault="002F6002" w:rsidP="00D37BB1">
      <w:pPr>
        <w:jc w:val="both"/>
        <w:rPr>
          <w:lang w:val="en-US"/>
        </w:rPr>
      </w:pPr>
      <w:r w:rsidRPr="002F6002">
        <w:rPr>
          <w:lang w:val="en-US"/>
        </w:rPr>
        <w:t>ECJ               European Court of Justice</w:t>
      </w:r>
    </w:p>
    <w:p w:rsidR="002F6002" w:rsidRPr="002F6002" w:rsidRDefault="002F6002" w:rsidP="00D37BB1">
      <w:pPr>
        <w:jc w:val="both"/>
        <w:rPr>
          <w:lang w:val="en-US"/>
        </w:rPr>
      </w:pPr>
      <w:r w:rsidRPr="002F6002">
        <w:rPr>
          <w:lang w:val="en-US"/>
        </w:rPr>
        <w:t>ESC              European Social Charter</w:t>
      </w:r>
    </w:p>
    <w:p w:rsidR="002F6002" w:rsidRDefault="007B543E" w:rsidP="00D37BB1">
      <w:pPr>
        <w:jc w:val="both"/>
        <w:rPr>
          <w:lang w:val="en-US"/>
        </w:rPr>
      </w:pPr>
      <w:r>
        <w:rPr>
          <w:lang w:val="en-US"/>
        </w:rPr>
        <w:t>GOR             Genuine Occupational R</w:t>
      </w:r>
      <w:r w:rsidR="002F6002" w:rsidRPr="002F6002">
        <w:rPr>
          <w:lang w:val="en-US"/>
        </w:rPr>
        <w:t xml:space="preserve">equirement </w:t>
      </w:r>
    </w:p>
    <w:p w:rsidR="00E60F47" w:rsidRDefault="00E60F47" w:rsidP="00D37BB1">
      <w:pPr>
        <w:jc w:val="both"/>
        <w:rPr>
          <w:lang w:val="en-US"/>
        </w:rPr>
      </w:pPr>
      <w:r>
        <w:rPr>
          <w:lang w:val="en-US"/>
        </w:rPr>
        <w:t xml:space="preserve">ICCPR          International Covenant on Civil and Political Rights </w:t>
      </w:r>
    </w:p>
    <w:p w:rsidR="00527DC7" w:rsidRPr="002F6002" w:rsidRDefault="00527DC7" w:rsidP="00D37BB1">
      <w:pPr>
        <w:jc w:val="both"/>
        <w:rPr>
          <w:lang w:val="en-US"/>
        </w:rPr>
      </w:pPr>
      <w:r>
        <w:rPr>
          <w:lang w:val="en-US"/>
        </w:rPr>
        <w:t xml:space="preserve">ICESCR        International Covenant on Economic, Social and Cultural Rights </w:t>
      </w:r>
    </w:p>
    <w:p w:rsidR="002F6002" w:rsidRPr="002F6002" w:rsidRDefault="002F6002" w:rsidP="00D37BB1">
      <w:pPr>
        <w:jc w:val="both"/>
        <w:rPr>
          <w:lang w:val="en-US"/>
        </w:rPr>
      </w:pPr>
      <w:r w:rsidRPr="002F6002">
        <w:rPr>
          <w:lang w:val="en-US"/>
        </w:rPr>
        <w:t xml:space="preserve">ILO               International </w:t>
      </w:r>
      <w:proofErr w:type="spellStart"/>
      <w:r w:rsidRPr="002F6002">
        <w:rPr>
          <w:lang w:val="en-US"/>
        </w:rPr>
        <w:t>Labour</w:t>
      </w:r>
      <w:proofErr w:type="spellEnd"/>
      <w:r w:rsidRPr="002F6002">
        <w:rPr>
          <w:lang w:val="en-US"/>
        </w:rPr>
        <w:t xml:space="preserve"> Organization</w:t>
      </w:r>
    </w:p>
    <w:p w:rsidR="002F6002" w:rsidRPr="002F6002" w:rsidRDefault="002F6002" w:rsidP="00D37BB1">
      <w:pPr>
        <w:jc w:val="both"/>
        <w:rPr>
          <w:lang w:val="en-US"/>
        </w:rPr>
      </w:pPr>
      <w:r w:rsidRPr="002F6002">
        <w:rPr>
          <w:lang w:val="en-US"/>
        </w:rPr>
        <w:t>RESC            Revised European Social Charter</w:t>
      </w:r>
    </w:p>
    <w:p w:rsidR="002F6002" w:rsidRPr="002F6002" w:rsidRDefault="002F6002" w:rsidP="00D37BB1">
      <w:pPr>
        <w:jc w:val="both"/>
        <w:rPr>
          <w:lang w:val="en-US"/>
        </w:rPr>
      </w:pPr>
      <w:r w:rsidRPr="002F6002">
        <w:rPr>
          <w:lang w:val="en-US"/>
        </w:rPr>
        <w:t>TEEC            Treaty establishing the European Economic Community</w:t>
      </w:r>
    </w:p>
    <w:p w:rsidR="002F6002" w:rsidRPr="002F6002" w:rsidRDefault="002F6002" w:rsidP="00D37BB1">
      <w:pPr>
        <w:jc w:val="both"/>
        <w:rPr>
          <w:lang w:val="en-US"/>
        </w:rPr>
      </w:pPr>
      <w:r w:rsidRPr="002F6002">
        <w:rPr>
          <w:lang w:val="en-US"/>
        </w:rPr>
        <w:t>TEU              Treaty on the European Union</w:t>
      </w:r>
    </w:p>
    <w:p w:rsidR="00177F59" w:rsidRDefault="00BA779C" w:rsidP="00D37BB1">
      <w:pPr>
        <w:jc w:val="both"/>
        <w:rPr>
          <w:lang w:val="en-US"/>
        </w:rPr>
      </w:pPr>
      <w:r>
        <w:rPr>
          <w:lang w:val="en-US"/>
        </w:rPr>
        <w:t xml:space="preserve">TFEU            </w:t>
      </w:r>
      <w:r w:rsidR="002F6002" w:rsidRPr="002F6002">
        <w:rPr>
          <w:lang w:val="en-US"/>
        </w:rPr>
        <w:t>Treaty on the Functioning of the European Union</w:t>
      </w:r>
    </w:p>
    <w:p w:rsidR="00664C52" w:rsidRDefault="00664C52" w:rsidP="00D37BB1">
      <w:pPr>
        <w:jc w:val="both"/>
        <w:rPr>
          <w:lang w:val="en-US"/>
        </w:rPr>
        <w:sectPr w:rsidR="00664C52" w:rsidSect="000A50B5">
          <w:footerReference w:type="default" r:id="rId10"/>
          <w:footerReference w:type="first" r:id="rId11"/>
          <w:pgSz w:w="11906" w:h="16838" w:code="9"/>
          <w:pgMar w:top="1418" w:right="1418" w:bottom="1418" w:left="1418" w:header="709" w:footer="709" w:gutter="0"/>
          <w:pgNumType w:fmt="upperRoman" w:start="2"/>
          <w:cols w:space="708"/>
          <w:titlePg/>
          <w:docGrid w:linePitch="360"/>
        </w:sectPr>
      </w:pPr>
    </w:p>
    <w:p w:rsidR="00C32A06" w:rsidRDefault="002F6002" w:rsidP="00D37BB1">
      <w:pPr>
        <w:jc w:val="both"/>
        <w:rPr>
          <w:b/>
          <w:u w:val="single"/>
          <w:lang w:val="en-US"/>
        </w:rPr>
      </w:pPr>
      <w:r w:rsidRPr="002F6002">
        <w:rPr>
          <w:b/>
          <w:u w:val="single"/>
          <w:lang w:val="en-US"/>
        </w:rPr>
        <w:lastRenderedPageBreak/>
        <w:t>Part I. Equality and Non-Discrimination</w:t>
      </w:r>
    </w:p>
    <w:p w:rsidR="00C32A06" w:rsidRDefault="002F6002" w:rsidP="00D37BB1">
      <w:pPr>
        <w:jc w:val="both"/>
        <w:rPr>
          <w:b/>
          <w:u w:val="single"/>
          <w:lang w:val="en-US"/>
        </w:rPr>
      </w:pPr>
      <w:r w:rsidRPr="002F6002">
        <w:rPr>
          <w:b/>
          <w:u w:val="single"/>
          <w:lang w:val="en-US"/>
        </w:rPr>
        <w:t xml:space="preserve">Chapter I. Non-Discrimination: Part and Parcel of Human Rights Protection </w:t>
      </w:r>
    </w:p>
    <w:p w:rsidR="002F6002" w:rsidRPr="00C32A06" w:rsidRDefault="002F6002" w:rsidP="00D37BB1">
      <w:pPr>
        <w:jc w:val="both"/>
        <w:rPr>
          <w:b/>
          <w:u w:val="single"/>
          <w:lang w:val="en-US"/>
        </w:rPr>
      </w:pPr>
      <w:r w:rsidRPr="002F6002">
        <w:rPr>
          <w:u w:val="single"/>
          <w:lang w:val="en-US"/>
        </w:rPr>
        <w:t xml:space="preserve">Section I. Relevant </w:t>
      </w:r>
      <w:r w:rsidR="00A02CFE">
        <w:rPr>
          <w:u w:val="single"/>
          <w:lang w:val="en-US"/>
        </w:rPr>
        <w:t>P</w:t>
      </w:r>
      <w:r w:rsidR="00E65511">
        <w:rPr>
          <w:u w:val="single"/>
          <w:lang w:val="en-US"/>
        </w:rPr>
        <w:t>rovisions outside the EU F</w:t>
      </w:r>
      <w:r w:rsidRPr="002F6002">
        <w:rPr>
          <w:u w:val="single"/>
          <w:lang w:val="en-US"/>
        </w:rPr>
        <w:t>ramework</w:t>
      </w:r>
    </w:p>
    <w:p w:rsidR="003E023A" w:rsidRDefault="004C0D7E" w:rsidP="00687D8A">
      <w:pPr>
        <w:spacing w:line="360" w:lineRule="auto"/>
        <w:jc w:val="both"/>
        <w:rPr>
          <w:lang w:val="en-US"/>
        </w:rPr>
      </w:pPr>
      <w:r w:rsidRPr="004C0D7E">
        <w:rPr>
          <w:i/>
          <w:lang w:val="en-US"/>
        </w:rPr>
        <w:t>1.</w:t>
      </w:r>
      <w:r>
        <w:rPr>
          <w:lang w:val="en-US"/>
        </w:rPr>
        <w:t xml:space="preserve"> </w:t>
      </w:r>
      <w:r w:rsidR="002F6002" w:rsidRPr="00F42D75">
        <w:rPr>
          <w:lang w:val="en-US"/>
        </w:rPr>
        <w:t>Although the</w:t>
      </w:r>
      <w:r w:rsidR="00C10F8C">
        <w:rPr>
          <w:lang w:val="en-US"/>
        </w:rPr>
        <w:t xml:space="preserve"> general</w:t>
      </w:r>
      <w:r w:rsidR="002F6002" w:rsidRPr="00F42D75">
        <w:rPr>
          <w:lang w:val="en-US"/>
        </w:rPr>
        <w:t xml:space="preserve"> principles of equality and non-discrimination already appeared sporadically in the beginning of the 20</w:t>
      </w:r>
      <w:r w:rsidR="002F6002" w:rsidRPr="00F42D75">
        <w:rPr>
          <w:vertAlign w:val="superscript"/>
          <w:lang w:val="en-US"/>
        </w:rPr>
        <w:t>th</w:t>
      </w:r>
      <w:r w:rsidR="002F6002" w:rsidRPr="00F42D75">
        <w:rPr>
          <w:lang w:val="en-US"/>
        </w:rPr>
        <w:t xml:space="preserve"> century</w:t>
      </w:r>
      <w:r w:rsidR="002F6002" w:rsidRPr="002F6002">
        <w:rPr>
          <w:vertAlign w:val="superscript"/>
          <w:lang w:val="en-US"/>
        </w:rPr>
        <w:footnoteReference w:id="1"/>
      </w:r>
      <w:r w:rsidR="002F6002" w:rsidRPr="00F42D75">
        <w:rPr>
          <w:lang w:val="en-US"/>
        </w:rPr>
        <w:t xml:space="preserve">, they only </w:t>
      </w:r>
      <w:r w:rsidR="00E03DC6" w:rsidRPr="00F42D75">
        <w:rPr>
          <w:lang w:val="en-US"/>
        </w:rPr>
        <w:t xml:space="preserve">really became visible </w:t>
      </w:r>
      <w:r w:rsidR="002F6002" w:rsidRPr="00F42D75">
        <w:rPr>
          <w:lang w:val="en-US"/>
        </w:rPr>
        <w:t>after World War II</w:t>
      </w:r>
      <w:r w:rsidR="00FB38BA">
        <w:rPr>
          <w:rStyle w:val="Voetnootmarkering"/>
          <w:lang w:val="en-US"/>
        </w:rPr>
        <w:footnoteReference w:id="2"/>
      </w:r>
      <w:r w:rsidR="002F6002" w:rsidRPr="00F42D75">
        <w:rPr>
          <w:lang w:val="en-US"/>
        </w:rPr>
        <w:t xml:space="preserve">. </w:t>
      </w:r>
      <w:r w:rsidR="0061723E">
        <w:rPr>
          <w:lang w:val="en-US"/>
        </w:rPr>
        <w:t>The same is true</w:t>
      </w:r>
      <w:r w:rsidR="00E50DBE">
        <w:rPr>
          <w:lang w:val="en-US"/>
        </w:rPr>
        <w:t xml:space="preserve"> for</w:t>
      </w:r>
      <w:r w:rsidR="00B43785">
        <w:rPr>
          <w:lang w:val="en-US"/>
        </w:rPr>
        <w:t xml:space="preserve"> </w:t>
      </w:r>
      <w:r w:rsidR="00E50DBE">
        <w:rPr>
          <w:lang w:val="en-US"/>
        </w:rPr>
        <w:t xml:space="preserve">the </w:t>
      </w:r>
      <w:r w:rsidR="00B43785">
        <w:rPr>
          <w:lang w:val="en-US"/>
        </w:rPr>
        <w:t>gender equality</w:t>
      </w:r>
      <w:r w:rsidR="001551AF">
        <w:rPr>
          <w:lang w:val="en-US"/>
        </w:rPr>
        <w:t xml:space="preserve"> principle</w:t>
      </w:r>
      <w:r w:rsidR="00B43785">
        <w:rPr>
          <w:lang w:val="en-US"/>
        </w:rPr>
        <w:t>.</w:t>
      </w:r>
      <w:r w:rsidR="001551AF">
        <w:rPr>
          <w:lang w:val="en-US"/>
        </w:rPr>
        <w:t xml:space="preserve"> Women in several European countries ha</w:t>
      </w:r>
      <w:r w:rsidR="00E50DBE">
        <w:rPr>
          <w:lang w:val="en-US"/>
        </w:rPr>
        <w:t>d</w:t>
      </w:r>
      <w:r w:rsidR="001551AF">
        <w:rPr>
          <w:lang w:val="en-US"/>
        </w:rPr>
        <w:t xml:space="preserve"> already received voting rights </w:t>
      </w:r>
      <w:r w:rsidR="00E50DBE">
        <w:rPr>
          <w:lang w:val="en-US"/>
        </w:rPr>
        <w:t>in the first half of the twentieth century</w:t>
      </w:r>
      <w:r w:rsidR="009568E5">
        <w:rPr>
          <w:rStyle w:val="Voetnootmarkering"/>
          <w:lang w:val="en-US"/>
        </w:rPr>
        <w:footnoteReference w:id="3"/>
      </w:r>
      <w:r w:rsidR="000C5B00">
        <w:rPr>
          <w:lang w:val="en-US"/>
        </w:rPr>
        <w:t xml:space="preserve">, </w:t>
      </w:r>
      <w:r w:rsidR="00E50DBE">
        <w:rPr>
          <w:lang w:val="en-US"/>
        </w:rPr>
        <w:t>but their struggle for equality in other areas of life was only really taken seriously in the post war years</w:t>
      </w:r>
      <w:r w:rsidR="001B0296">
        <w:rPr>
          <w:rStyle w:val="Voetnootmarkering"/>
          <w:lang w:val="en-US"/>
        </w:rPr>
        <w:footnoteReference w:id="4"/>
      </w:r>
      <w:r w:rsidR="00E50DBE">
        <w:rPr>
          <w:lang w:val="en-US"/>
        </w:rPr>
        <w:t xml:space="preserve">. </w:t>
      </w:r>
      <w:r w:rsidR="002F6002" w:rsidRPr="00F42D75">
        <w:rPr>
          <w:lang w:val="en-US"/>
        </w:rPr>
        <w:t>The Charter establishing the United Nations contains several references to a right to equality and non-discrimination</w:t>
      </w:r>
      <w:r w:rsidR="002F6002" w:rsidRPr="002F6002">
        <w:rPr>
          <w:vertAlign w:val="superscript"/>
          <w:lang w:val="en-US"/>
        </w:rPr>
        <w:footnoteReference w:id="5"/>
      </w:r>
      <w:r w:rsidR="0075502E">
        <w:rPr>
          <w:lang w:val="en-US"/>
        </w:rPr>
        <w:t xml:space="preserve">. </w:t>
      </w:r>
      <w:r w:rsidR="002F6002" w:rsidRPr="00F42D75">
        <w:rPr>
          <w:lang w:val="en-US"/>
        </w:rPr>
        <w:t>The Universal Declaration of Human Rights includes no less than three articles expressly referring to non-discrimination and equality</w:t>
      </w:r>
      <w:r w:rsidR="002F6002" w:rsidRPr="002F6002">
        <w:rPr>
          <w:vertAlign w:val="superscript"/>
          <w:lang w:val="en-US"/>
        </w:rPr>
        <w:footnoteReference w:id="6"/>
      </w:r>
      <w:r w:rsidR="002F6002" w:rsidRPr="00F42D75">
        <w:rPr>
          <w:lang w:val="en-US"/>
        </w:rPr>
        <w:t>. Today, the principles can be read in virtually every important human rights treaty, regardless</w:t>
      </w:r>
      <w:r w:rsidR="005B51FA" w:rsidRPr="00F42D75">
        <w:rPr>
          <w:lang w:val="en-US"/>
        </w:rPr>
        <w:t xml:space="preserve"> of</w:t>
      </w:r>
      <w:r w:rsidR="002F6002" w:rsidRPr="00F42D75">
        <w:rPr>
          <w:lang w:val="en-US"/>
        </w:rPr>
        <w:t xml:space="preserve"> its international</w:t>
      </w:r>
      <w:r w:rsidR="002F6002" w:rsidRPr="002F6002">
        <w:rPr>
          <w:vertAlign w:val="superscript"/>
          <w:lang w:val="en-US"/>
        </w:rPr>
        <w:footnoteReference w:id="7"/>
      </w:r>
      <w:r w:rsidR="002F6002" w:rsidRPr="00F42D75">
        <w:rPr>
          <w:lang w:val="en-US"/>
        </w:rPr>
        <w:t>, regional</w:t>
      </w:r>
      <w:r w:rsidR="002F6002" w:rsidRPr="002F6002">
        <w:rPr>
          <w:vertAlign w:val="superscript"/>
          <w:lang w:val="en-US"/>
        </w:rPr>
        <w:footnoteReference w:id="8"/>
      </w:r>
      <w:r w:rsidR="002F6002" w:rsidRPr="00F42D75">
        <w:rPr>
          <w:lang w:val="en-US"/>
        </w:rPr>
        <w:t>, general</w:t>
      </w:r>
      <w:r w:rsidR="002F6002" w:rsidRPr="002F6002">
        <w:rPr>
          <w:vertAlign w:val="superscript"/>
          <w:lang w:val="en-US"/>
        </w:rPr>
        <w:footnoteReference w:id="9"/>
      </w:r>
      <w:r w:rsidR="002F6002" w:rsidRPr="00F42D75">
        <w:rPr>
          <w:lang w:val="en-US"/>
        </w:rPr>
        <w:t xml:space="preserve"> or specialized</w:t>
      </w:r>
      <w:r w:rsidR="002F6002" w:rsidRPr="002F6002">
        <w:rPr>
          <w:vertAlign w:val="superscript"/>
          <w:lang w:val="en-US"/>
        </w:rPr>
        <w:footnoteReference w:id="10"/>
      </w:r>
      <w:r w:rsidR="002F6002" w:rsidRPr="00F42D75">
        <w:rPr>
          <w:lang w:val="en-US"/>
        </w:rPr>
        <w:t xml:space="preserve"> nature.</w:t>
      </w:r>
      <w:r w:rsidR="00B37F1C">
        <w:rPr>
          <w:lang w:val="en-US"/>
        </w:rPr>
        <w:t xml:space="preserve"> Although nowadays there is indeed a </w:t>
      </w:r>
      <w:r w:rsidR="003E023A">
        <w:rPr>
          <w:lang w:val="en-US"/>
        </w:rPr>
        <w:t xml:space="preserve">universal consensus on the importance of the equality and non-discrimination principles, they have not yet received a uniform interpretation or definition. </w:t>
      </w:r>
      <w:r w:rsidR="002F6002" w:rsidRPr="00F42D75">
        <w:rPr>
          <w:lang w:val="en-US"/>
        </w:rPr>
        <w:t xml:space="preserve"> </w:t>
      </w:r>
    </w:p>
    <w:p w:rsidR="0096168C" w:rsidRPr="00B31BD8" w:rsidRDefault="002F6002" w:rsidP="00687D8A">
      <w:pPr>
        <w:spacing w:line="360" w:lineRule="auto"/>
        <w:jc w:val="both"/>
        <w:rPr>
          <w:lang w:val="en-US"/>
        </w:rPr>
      </w:pPr>
      <w:r w:rsidRPr="002F6002">
        <w:rPr>
          <w:i/>
          <w:lang w:val="en-US"/>
        </w:rPr>
        <w:t>2.</w:t>
      </w:r>
      <w:r w:rsidRPr="002F6002">
        <w:rPr>
          <w:lang w:val="en-US"/>
        </w:rPr>
        <w:t xml:space="preserve"> The scope and weight allocated to the non-discrimination principle also varies from treaty to treaty. A few instruments hold an autonomous prohibition on non-discrimination</w:t>
      </w:r>
      <w:r w:rsidRPr="002F6002">
        <w:rPr>
          <w:vertAlign w:val="superscript"/>
          <w:lang w:val="en-US"/>
        </w:rPr>
        <w:footnoteReference w:id="11"/>
      </w:r>
      <w:r w:rsidRPr="002F6002">
        <w:rPr>
          <w:lang w:val="en-US"/>
        </w:rPr>
        <w:t xml:space="preserve">. In most </w:t>
      </w:r>
      <w:r w:rsidRPr="002F6002">
        <w:rPr>
          <w:lang w:val="en-US"/>
        </w:rPr>
        <w:lastRenderedPageBreak/>
        <w:t>instances however, the non-discrimination provision only applies to rights protected by the relevant treaty</w:t>
      </w:r>
      <w:r w:rsidRPr="002F6002">
        <w:rPr>
          <w:vertAlign w:val="superscript"/>
          <w:lang w:val="en-US"/>
        </w:rPr>
        <w:footnoteReference w:id="12"/>
      </w:r>
      <w:r w:rsidRPr="002F6002">
        <w:rPr>
          <w:lang w:val="en-US"/>
        </w:rPr>
        <w:t>. In the latter case, the principle does not have an independent existence and thus can only be invoked before a treaty body or court in conjunction with another substantive convention right</w:t>
      </w:r>
      <w:r w:rsidRPr="002F6002">
        <w:rPr>
          <w:vertAlign w:val="superscript"/>
          <w:lang w:val="en-US"/>
        </w:rPr>
        <w:footnoteReference w:id="13"/>
      </w:r>
      <w:r w:rsidR="004B4D68">
        <w:rPr>
          <w:lang w:val="en-US"/>
        </w:rPr>
        <w:t xml:space="preserve">. </w:t>
      </w:r>
    </w:p>
    <w:p w:rsidR="002F6002" w:rsidRPr="00C32A06" w:rsidRDefault="00C32A06" w:rsidP="00687D8A">
      <w:pPr>
        <w:spacing w:line="360" w:lineRule="auto"/>
        <w:jc w:val="both"/>
        <w:rPr>
          <w:u w:val="single"/>
          <w:lang w:val="en-US"/>
        </w:rPr>
      </w:pPr>
      <w:r>
        <w:rPr>
          <w:u w:val="single"/>
          <w:lang w:val="en-US"/>
        </w:rPr>
        <w:t>Sectio</w:t>
      </w:r>
      <w:r w:rsidR="00C157AE">
        <w:rPr>
          <w:u w:val="single"/>
          <w:lang w:val="en-US"/>
        </w:rPr>
        <w:t>n II. The P</w:t>
      </w:r>
      <w:r w:rsidR="002F6002" w:rsidRPr="002F6002">
        <w:rPr>
          <w:u w:val="single"/>
          <w:lang w:val="en-US"/>
        </w:rPr>
        <w:t>rinciple of Non-Discrimination in the European Union</w:t>
      </w:r>
    </w:p>
    <w:p w:rsidR="002F6002" w:rsidRPr="002F6002" w:rsidRDefault="002F6002" w:rsidP="00687D8A">
      <w:pPr>
        <w:spacing w:line="360" w:lineRule="auto"/>
        <w:jc w:val="both"/>
        <w:rPr>
          <w:u w:val="single"/>
          <w:lang w:val="en-US"/>
        </w:rPr>
      </w:pPr>
      <w:r w:rsidRPr="002F6002">
        <w:rPr>
          <w:u w:val="single"/>
          <w:lang w:val="en-US"/>
        </w:rPr>
        <w:t>Human Right</w:t>
      </w:r>
      <w:r w:rsidR="00A351E3">
        <w:rPr>
          <w:u w:val="single"/>
          <w:lang w:val="en-US"/>
        </w:rPr>
        <w:t>s</w:t>
      </w:r>
      <w:r w:rsidRPr="002F6002">
        <w:rPr>
          <w:u w:val="single"/>
          <w:lang w:val="en-US"/>
        </w:rPr>
        <w:t xml:space="preserve"> in the European Union</w:t>
      </w:r>
    </w:p>
    <w:p w:rsidR="002F6002" w:rsidRPr="002F6002" w:rsidRDefault="002F6002" w:rsidP="00687D8A">
      <w:pPr>
        <w:spacing w:line="360" w:lineRule="auto"/>
        <w:jc w:val="both"/>
        <w:rPr>
          <w:lang w:val="en-US"/>
        </w:rPr>
      </w:pPr>
      <w:r w:rsidRPr="002F6002">
        <w:rPr>
          <w:i/>
          <w:lang w:val="en-US"/>
        </w:rPr>
        <w:t>3.</w:t>
      </w:r>
      <w:r w:rsidRPr="002F6002">
        <w:rPr>
          <w:lang w:val="en-US"/>
        </w:rPr>
        <w:t xml:space="preserve"> Before locating the principle of non-discrimination, it is necessary to review the general status of human rights in the EU. The treaty of Rome did not expressly refer to human rights</w:t>
      </w:r>
      <w:r w:rsidRPr="002F6002">
        <w:rPr>
          <w:vertAlign w:val="superscript"/>
          <w:lang w:val="en-US"/>
        </w:rPr>
        <w:footnoteReference w:id="14"/>
      </w:r>
      <w:r w:rsidRPr="002F6002">
        <w:rPr>
          <w:lang w:val="en-US"/>
        </w:rPr>
        <w:t>. In 1957, the development of the international human rights framework was still in its infancy and the drafters of the treaty primarily focused on the establishment of an economic community</w:t>
      </w:r>
      <w:r w:rsidRPr="002F6002">
        <w:rPr>
          <w:vertAlign w:val="superscript"/>
          <w:lang w:val="en-US"/>
        </w:rPr>
        <w:footnoteReference w:id="15"/>
      </w:r>
      <w:r w:rsidR="000941B8">
        <w:rPr>
          <w:lang w:val="en-US"/>
        </w:rPr>
        <w:t>. T</w:t>
      </w:r>
      <w:r w:rsidRPr="002F6002">
        <w:rPr>
          <w:lang w:val="en-US"/>
        </w:rPr>
        <w:t>h</w:t>
      </w:r>
      <w:r w:rsidR="009C115E">
        <w:rPr>
          <w:lang w:val="en-US"/>
        </w:rPr>
        <w:t>e Eu</w:t>
      </w:r>
      <w:r w:rsidR="000941B8">
        <w:rPr>
          <w:lang w:val="en-US"/>
        </w:rPr>
        <w:t>ropean Court of Justice was</w:t>
      </w:r>
      <w:r w:rsidR="009C115E">
        <w:rPr>
          <w:lang w:val="en-US"/>
        </w:rPr>
        <w:t xml:space="preserve"> responsible for launching </w:t>
      </w:r>
      <w:r w:rsidRPr="002F6002">
        <w:rPr>
          <w:lang w:val="en-US"/>
        </w:rPr>
        <w:t>the idea of human rights within the EU. For the first time</w:t>
      </w:r>
      <w:r w:rsidR="00032A8E">
        <w:rPr>
          <w:lang w:val="en-US"/>
        </w:rPr>
        <w:t xml:space="preserve"> in 1969, the Court balanced </w:t>
      </w:r>
      <w:r w:rsidRPr="002F6002">
        <w:rPr>
          <w:lang w:val="en-US"/>
        </w:rPr>
        <w:t>human rights and economic freedoms</w:t>
      </w:r>
      <w:r w:rsidRPr="002F6002">
        <w:rPr>
          <w:vertAlign w:val="superscript"/>
          <w:lang w:val="en-US"/>
        </w:rPr>
        <w:footnoteReference w:id="16"/>
      </w:r>
      <w:r w:rsidRPr="002F6002">
        <w:rPr>
          <w:lang w:val="en-US"/>
        </w:rPr>
        <w:t>. Although no human rights violation was determined, the importance of this judgment cannot be underestimated. In the last paragraph it is stated that human rights constitute one of the general principles of Community law protected by the Court</w:t>
      </w:r>
      <w:r w:rsidRPr="002F6002">
        <w:rPr>
          <w:vertAlign w:val="superscript"/>
          <w:lang w:val="en-US"/>
        </w:rPr>
        <w:footnoteReference w:id="17"/>
      </w:r>
      <w:r w:rsidRPr="002F6002">
        <w:rPr>
          <w:lang w:val="en-US"/>
        </w:rPr>
        <w:t>. These general principles attained notable value because they surpass specific ar</w:t>
      </w:r>
      <w:r w:rsidR="00BF2EC0">
        <w:rPr>
          <w:lang w:val="en-US"/>
        </w:rPr>
        <w:t>eas of law and, as it were,</w:t>
      </w:r>
      <w:r w:rsidRPr="002F6002">
        <w:rPr>
          <w:lang w:val="en-US"/>
        </w:rPr>
        <w:t xml:space="preserve"> underpin the whole EU legal order</w:t>
      </w:r>
      <w:r w:rsidR="003A083B">
        <w:rPr>
          <w:lang w:val="en-US"/>
        </w:rPr>
        <w:t xml:space="preserve">. As far </w:t>
      </w:r>
      <w:r w:rsidRPr="002F6002">
        <w:rPr>
          <w:lang w:val="en-US"/>
        </w:rPr>
        <w:t>as possible, both p</w:t>
      </w:r>
      <w:r w:rsidR="00DB1472">
        <w:rPr>
          <w:lang w:val="en-US"/>
        </w:rPr>
        <w:t>rimary and secondary EU law need to</w:t>
      </w:r>
      <w:r w:rsidRPr="002F6002">
        <w:rPr>
          <w:lang w:val="en-US"/>
        </w:rPr>
        <w:t xml:space="preserve"> be interpreted in conformity with the general principles</w:t>
      </w:r>
      <w:r w:rsidR="003779DE">
        <w:rPr>
          <w:rStyle w:val="Voetnootmarkering"/>
          <w:lang w:val="en-US"/>
        </w:rPr>
        <w:footnoteReference w:id="18"/>
      </w:r>
      <w:r w:rsidRPr="002F6002">
        <w:rPr>
          <w:lang w:val="en-US"/>
        </w:rPr>
        <w:t>. The</w:t>
      </w:r>
      <w:r w:rsidR="00655422">
        <w:rPr>
          <w:lang w:val="en-US"/>
        </w:rPr>
        <w:t xml:space="preserve">y are often used to initiate </w:t>
      </w:r>
      <w:r w:rsidRPr="002F6002">
        <w:rPr>
          <w:lang w:val="en-US"/>
        </w:rPr>
        <w:t>annulment</w:t>
      </w:r>
      <w:r w:rsidRPr="002F6002">
        <w:rPr>
          <w:vertAlign w:val="superscript"/>
          <w:lang w:val="en-US"/>
        </w:rPr>
        <w:footnoteReference w:id="19"/>
      </w:r>
      <w:r w:rsidRPr="002F6002">
        <w:rPr>
          <w:lang w:val="en-US"/>
        </w:rPr>
        <w:t xml:space="preserve"> or preliminary rulings procedures</w:t>
      </w:r>
      <w:r w:rsidRPr="002F6002">
        <w:rPr>
          <w:vertAlign w:val="superscript"/>
          <w:lang w:val="en-US"/>
        </w:rPr>
        <w:footnoteReference w:id="20"/>
      </w:r>
      <w:r w:rsidRPr="002F6002">
        <w:rPr>
          <w:lang w:val="en-US"/>
        </w:rPr>
        <w:t xml:space="preserve"> before the Court. When a general </w:t>
      </w:r>
      <w:r w:rsidRPr="002F6002">
        <w:rPr>
          <w:lang w:val="en-US"/>
        </w:rPr>
        <w:lastRenderedPageBreak/>
        <w:t>principle has been violated this may</w:t>
      </w:r>
      <w:r w:rsidR="00943E9E">
        <w:rPr>
          <w:lang w:val="en-US"/>
        </w:rPr>
        <w:t xml:space="preserve"> also</w:t>
      </w:r>
      <w:r w:rsidRPr="002F6002">
        <w:rPr>
          <w:lang w:val="en-US"/>
        </w:rPr>
        <w:t xml:space="preserve"> entail the liability of</w:t>
      </w:r>
      <w:r w:rsidR="001E3B7E">
        <w:rPr>
          <w:lang w:val="en-US"/>
        </w:rPr>
        <w:t xml:space="preserve"> the</w:t>
      </w:r>
      <w:r w:rsidRPr="002F6002">
        <w:rPr>
          <w:lang w:val="en-US"/>
        </w:rPr>
        <w:t xml:space="preserve"> EU institutions</w:t>
      </w:r>
      <w:r w:rsidRPr="002F6002">
        <w:rPr>
          <w:vertAlign w:val="superscript"/>
          <w:lang w:val="en-US"/>
        </w:rPr>
        <w:footnoteReference w:id="21"/>
      </w:r>
      <w:r w:rsidRPr="002F6002">
        <w:rPr>
          <w:lang w:val="en-US"/>
        </w:rPr>
        <w:t>. Partly owing to pressur</w:t>
      </w:r>
      <w:r w:rsidR="00D35AB4">
        <w:rPr>
          <w:lang w:val="en-US"/>
        </w:rPr>
        <w:t xml:space="preserve">e exercised by national </w:t>
      </w:r>
      <w:r w:rsidR="00635135">
        <w:rPr>
          <w:lang w:val="en-US"/>
        </w:rPr>
        <w:t xml:space="preserve">Constitutional </w:t>
      </w:r>
      <w:r w:rsidRPr="002F6002">
        <w:rPr>
          <w:lang w:val="en-US"/>
        </w:rPr>
        <w:t>Courts</w:t>
      </w:r>
      <w:r w:rsidRPr="002F6002">
        <w:rPr>
          <w:vertAlign w:val="superscript"/>
          <w:lang w:val="en-US"/>
        </w:rPr>
        <w:footnoteReference w:id="22"/>
      </w:r>
      <w:r w:rsidRPr="002F6002">
        <w:rPr>
          <w:lang w:val="en-US"/>
        </w:rPr>
        <w:t>, the Court subsequently elaborated on its initial human rights stance. It defined that, when dealing with human rights, its sources of inspiration are the common constitutional traditions of member states and international treaties to whi</w:t>
      </w:r>
      <w:r w:rsidR="00CA74D2">
        <w:rPr>
          <w:lang w:val="en-US"/>
        </w:rPr>
        <w:t xml:space="preserve">ch the member states are </w:t>
      </w:r>
      <w:r w:rsidRPr="002F6002">
        <w:rPr>
          <w:lang w:val="en-US"/>
        </w:rPr>
        <w:t>a party</w:t>
      </w:r>
      <w:r w:rsidRPr="002F6002">
        <w:rPr>
          <w:vertAlign w:val="superscript"/>
          <w:lang w:val="en-US"/>
        </w:rPr>
        <w:footnoteReference w:id="23"/>
      </w:r>
      <w:r w:rsidRPr="002F6002">
        <w:rPr>
          <w:lang w:val="en-US"/>
        </w:rPr>
        <w:t>. Within the latter category particular gravity is allocated to the European Convention on Human rights</w:t>
      </w:r>
      <w:r w:rsidRPr="002F6002">
        <w:rPr>
          <w:vertAlign w:val="superscript"/>
          <w:lang w:val="en-US"/>
        </w:rPr>
        <w:footnoteReference w:id="24"/>
      </w:r>
      <w:r w:rsidRPr="002F6002">
        <w:rPr>
          <w:lang w:val="en-US"/>
        </w:rPr>
        <w:t xml:space="preserve">. Other institutions only hesitantly pursued the Court’s initiatives. It took until 1977 for the European Parliament, the Commission and the Council </w:t>
      </w:r>
      <w:r w:rsidR="000446B6">
        <w:rPr>
          <w:lang w:val="en-US"/>
        </w:rPr>
        <w:t xml:space="preserve">to declare that they consider </w:t>
      </w:r>
      <w:r w:rsidRPr="002F6002">
        <w:rPr>
          <w:lang w:val="en-US"/>
        </w:rPr>
        <w:t>the protection of human rights important</w:t>
      </w:r>
      <w:r w:rsidRPr="002F6002">
        <w:rPr>
          <w:vertAlign w:val="superscript"/>
          <w:lang w:val="en-US"/>
        </w:rPr>
        <w:footnoteReference w:id="25"/>
      </w:r>
      <w:r w:rsidRPr="002F6002">
        <w:rPr>
          <w:lang w:val="en-US"/>
        </w:rPr>
        <w:t>. The first express reference to human rights may be read in the preamble of the 1986 Single European Act</w:t>
      </w:r>
      <w:r w:rsidRPr="002F6002">
        <w:rPr>
          <w:vertAlign w:val="superscript"/>
          <w:lang w:val="en-US"/>
        </w:rPr>
        <w:footnoteReference w:id="26"/>
      </w:r>
      <w:r w:rsidRPr="002F6002">
        <w:rPr>
          <w:lang w:val="en-US"/>
        </w:rPr>
        <w:t>. Each subsequent treaty has been buil</w:t>
      </w:r>
      <w:r w:rsidR="00BA618B">
        <w:rPr>
          <w:lang w:val="en-US"/>
        </w:rPr>
        <w:t>d</w:t>
      </w:r>
      <w:r w:rsidRPr="002F6002">
        <w:rPr>
          <w:lang w:val="en-US"/>
        </w:rPr>
        <w:t>ing further on this reference. Article F of the Maastricht treaty</w:t>
      </w:r>
      <w:r w:rsidR="00E8698D">
        <w:rPr>
          <w:rStyle w:val="Voetnootmarkering"/>
          <w:lang w:val="en-US"/>
        </w:rPr>
        <w:footnoteReference w:id="27"/>
      </w:r>
      <w:r w:rsidRPr="002F6002">
        <w:rPr>
          <w:lang w:val="en-US"/>
        </w:rPr>
        <w:t xml:space="preserve"> obliged the EU to respect fundamental rights and iterated that they are general principles of Community law. Furthermore, the European Convention on Human Rights has been explicitly mentioned in the founding treaties since then</w:t>
      </w:r>
      <w:r w:rsidRPr="002F6002">
        <w:rPr>
          <w:vertAlign w:val="superscript"/>
          <w:lang w:val="en-US"/>
        </w:rPr>
        <w:footnoteReference w:id="28"/>
      </w:r>
      <w:r w:rsidRPr="002F6002">
        <w:rPr>
          <w:lang w:val="en-US"/>
        </w:rPr>
        <w:t>. The Amsterdam treaty included respect for human rights in the values fostered by the EU</w:t>
      </w:r>
      <w:r w:rsidRPr="002F6002">
        <w:rPr>
          <w:vertAlign w:val="superscript"/>
          <w:lang w:val="en-US"/>
        </w:rPr>
        <w:footnoteReference w:id="29"/>
      </w:r>
      <w:r w:rsidRPr="002F6002">
        <w:rPr>
          <w:lang w:val="en-US"/>
        </w:rPr>
        <w:t>. It also determined that a state with a deficient human rights record cannot become a member of the EU</w:t>
      </w:r>
      <w:r w:rsidRPr="002F6002">
        <w:rPr>
          <w:vertAlign w:val="superscript"/>
          <w:lang w:val="en-US"/>
        </w:rPr>
        <w:footnoteReference w:id="30"/>
      </w:r>
      <w:r w:rsidRPr="002F6002">
        <w:rPr>
          <w:lang w:val="en-US"/>
        </w:rPr>
        <w:t>. Another major invention was a procedure enabling suspension of a member state’s voting rights when it persistently violates human rights</w:t>
      </w:r>
      <w:r w:rsidRPr="002F6002">
        <w:rPr>
          <w:vertAlign w:val="superscript"/>
          <w:lang w:val="en-US"/>
        </w:rPr>
        <w:footnoteReference w:id="31"/>
      </w:r>
      <w:r w:rsidR="00EE717D">
        <w:rPr>
          <w:lang w:val="en-US"/>
        </w:rPr>
        <w:t xml:space="preserve">. </w:t>
      </w:r>
      <w:r w:rsidRPr="002F6002">
        <w:rPr>
          <w:lang w:val="en-US"/>
        </w:rPr>
        <w:t xml:space="preserve">In December </w:t>
      </w:r>
      <w:r w:rsidRPr="002F6002">
        <w:rPr>
          <w:lang w:val="en-US"/>
        </w:rPr>
        <w:lastRenderedPageBreak/>
        <w:t>2000 the Charter of Fundamental Rights</w:t>
      </w:r>
      <w:r w:rsidR="009C1FC0">
        <w:rPr>
          <w:rStyle w:val="Voetnootmarkering"/>
          <w:lang w:val="en-US"/>
        </w:rPr>
        <w:footnoteReference w:id="32"/>
      </w:r>
      <w:r w:rsidRPr="002F6002">
        <w:rPr>
          <w:lang w:val="en-US"/>
        </w:rPr>
        <w:t xml:space="preserve"> was proclaimed in order to give the E</w:t>
      </w:r>
      <w:r w:rsidR="00EE717D">
        <w:rPr>
          <w:lang w:val="en-US"/>
        </w:rPr>
        <w:t xml:space="preserve">U </w:t>
      </w:r>
      <w:r w:rsidR="00A47553">
        <w:rPr>
          <w:lang w:val="en-US"/>
        </w:rPr>
        <w:t>its own human rights C</w:t>
      </w:r>
      <w:r w:rsidR="00EE717D">
        <w:rPr>
          <w:lang w:val="en-US"/>
        </w:rPr>
        <w:t>harter. It is necessary to reflect a bit more in detail on this instrument.</w:t>
      </w:r>
      <w:r w:rsidR="00BC4CD6">
        <w:rPr>
          <w:lang w:val="en-US"/>
        </w:rPr>
        <w:t xml:space="preserve"> At the date of its adoption, the Charter did not have legally binding value. It only became part of pr</w:t>
      </w:r>
      <w:r w:rsidR="008A4F44">
        <w:rPr>
          <w:lang w:val="en-US"/>
        </w:rPr>
        <w:t xml:space="preserve">imary EU law with the coming </w:t>
      </w:r>
      <w:r w:rsidR="00BC4CD6">
        <w:rPr>
          <w:lang w:val="en-US"/>
        </w:rPr>
        <w:t>into force of the Lisbon Treaty</w:t>
      </w:r>
      <w:r w:rsidR="00BC4CD6">
        <w:rPr>
          <w:rStyle w:val="Voetnootmarkering"/>
          <w:lang w:val="en-US"/>
        </w:rPr>
        <w:footnoteReference w:id="33"/>
      </w:r>
      <w:r w:rsidR="00BC4CD6">
        <w:rPr>
          <w:lang w:val="en-US"/>
        </w:rPr>
        <w:t>.</w:t>
      </w:r>
      <w:r w:rsidR="00E97F70">
        <w:rPr>
          <w:lang w:val="en-US"/>
        </w:rPr>
        <w:t xml:space="preserve"> It contains both first and</w:t>
      </w:r>
      <w:r w:rsidR="0009751A">
        <w:rPr>
          <w:lang w:val="en-US"/>
        </w:rPr>
        <w:t xml:space="preserve"> second generation rights, respectively civil and political rights an</w:t>
      </w:r>
      <w:r w:rsidR="00C631D3">
        <w:rPr>
          <w:lang w:val="en-US"/>
        </w:rPr>
        <w:t xml:space="preserve">d economic and social </w:t>
      </w:r>
      <w:r w:rsidR="0009751A">
        <w:rPr>
          <w:lang w:val="en-US"/>
        </w:rPr>
        <w:t>rights</w:t>
      </w:r>
      <w:r w:rsidR="0009751A">
        <w:rPr>
          <w:rStyle w:val="Voetnootmarkering"/>
          <w:lang w:val="en-US"/>
        </w:rPr>
        <w:footnoteReference w:id="34"/>
      </w:r>
      <w:r w:rsidR="0009751A">
        <w:rPr>
          <w:lang w:val="en-US"/>
        </w:rPr>
        <w:t xml:space="preserve">. </w:t>
      </w:r>
      <w:r w:rsidR="00A77870">
        <w:rPr>
          <w:lang w:val="en-US"/>
        </w:rPr>
        <w:t>The Charter does not comprise an exhaustive list of rights. Many more rights are guaranteed within</w:t>
      </w:r>
      <w:r w:rsidR="00E84BF6">
        <w:rPr>
          <w:lang w:val="en-US"/>
        </w:rPr>
        <w:t xml:space="preserve"> both</w:t>
      </w:r>
      <w:r w:rsidR="00A77870">
        <w:rPr>
          <w:lang w:val="en-US"/>
        </w:rPr>
        <w:t xml:space="preserve"> the EU framework and the national legal orders</w:t>
      </w:r>
      <w:r w:rsidR="00A77870">
        <w:rPr>
          <w:rStyle w:val="Voetnootmarkering"/>
          <w:lang w:val="en-US"/>
        </w:rPr>
        <w:footnoteReference w:id="35"/>
      </w:r>
      <w:r w:rsidR="007937C5">
        <w:rPr>
          <w:lang w:val="en-US"/>
        </w:rPr>
        <w:t>. Mindful of the third pa</w:t>
      </w:r>
      <w:r w:rsidR="00776107">
        <w:rPr>
          <w:lang w:val="en-US"/>
        </w:rPr>
        <w:t>rt of this dissertation (</w:t>
      </w:r>
      <w:r w:rsidR="00776107">
        <w:rPr>
          <w:i/>
          <w:lang w:val="en-US"/>
        </w:rPr>
        <w:t>infra no. 43 and onwards</w:t>
      </w:r>
      <w:r w:rsidR="007937C5">
        <w:rPr>
          <w:lang w:val="en-US"/>
        </w:rPr>
        <w:t>),</w:t>
      </w:r>
      <w:r w:rsidR="0035206E">
        <w:rPr>
          <w:lang w:val="en-US"/>
        </w:rPr>
        <w:t xml:space="preserve"> we</w:t>
      </w:r>
      <w:r w:rsidR="00CF2021">
        <w:rPr>
          <w:lang w:val="en-US"/>
        </w:rPr>
        <w:t xml:space="preserve"> should</w:t>
      </w:r>
      <w:r w:rsidR="00323A78">
        <w:rPr>
          <w:lang w:val="en-US"/>
        </w:rPr>
        <w:t xml:space="preserve"> explain why the EU Charter was adopted. The Charter’s drafters did not want</w:t>
      </w:r>
      <w:r w:rsidR="00584A6B">
        <w:rPr>
          <w:lang w:val="en-US"/>
        </w:rPr>
        <w:t xml:space="preserve"> to</w:t>
      </w:r>
      <w:r w:rsidR="00323A78">
        <w:rPr>
          <w:lang w:val="en-US"/>
        </w:rPr>
        <w:t xml:space="preserve"> create any new powers or tasks for the Union</w:t>
      </w:r>
      <w:r w:rsidR="009C7769">
        <w:rPr>
          <w:rStyle w:val="Voetnootmarkering"/>
          <w:lang w:val="en-US"/>
        </w:rPr>
        <w:footnoteReference w:id="36"/>
      </w:r>
      <w:r w:rsidR="00323A78">
        <w:rPr>
          <w:lang w:val="en-US"/>
        </w:rPr>
        <w:t>. Their main goal was to increase the visibility of fundamental rights for EU citizens</w:t>
      </w:r>
      <w:r w:rsidR="009C7769">
        <w:rPr>
          <w:rStyle w:val="Voetnootmarkering"/>
          <w:lang w:val="en-US"/>
        </w:rPr>
        <w:footnoteReference w:id="37"/>
      </w:r>
      <w:r w:rsidR="00323A78">
        <w:rPr>
          <w:lang w:val="en-US"/>
        </w:rPr>
        <w:t>.</w:t>
      </w:r>
      <w:r w:rsidR="009C7769">
        <w:rPr>
          <w:lang w:val="en-US"/>
        </w:rPr>
        <w:t xml:space="preserve"> </w:t>
      </w:r>
      <w:r w:rsidR="00BC0DB6">
        <w:rPr>
          <w:lang w:val="en-US"/>
        </w:rPr>
        <w:t xml:space="preserve">As will be seen in the third part of the dissertation, some scholars do not take into account </w:t>
      </w:r>
      <w:r w:rsidR="00784993">
        <w:rPr>
          <w:lang w:val="en-US"/>
        </w:rPr>
        <w:t>the drafters’ intentions. They</w:t>
      </w:r>
      <w:r w:rsidR="00A8088C">
        <w:rPr>
          <w:lang w:val="en-US"/>
        </w:rPr>
        <w:t xml:space="preserve"> want to</w:t>
      </w:r>
      <w:r w:rsidR="00784993">
        <w:rPr>
          <w:lang w:val="en-US"/>
        </w:rPr>
        <w:t xml:space="preserve"> read ne</w:t>
      </w:r>
      <w:r w:rsidR="00A8088C">
        <w:rPr>
          <w:lang w:val="en-US"/>
        </w:rPr>
        <w:t>w rights or obligations in</w:t>
      </w:r>
      <w:r w:rsidR="00784993">
        <w:rPr>
          <w:lang w:val="en-US"/>
        </w:rPr>
        <w:t xml:space="preserve"> the Char</w:t>
      </w:r>
      <w:r w:rsidR="00712C31">
        <w:rPr>
          <w:lang w:val="en-US"/>
        </w:rPr>
        <w:t>ter and they are disappointed when</w:t>
      </w:r>
      <w:r w:rsidR="00784993">
        <w:rPr>
          <w:lang w:val="en-US"/>
        </w:rPr>
        <w:t xml:space="preserve"> the text of the Charter does not appear to add anything new</w:t>
      </w:r>
      <w:r w:rsidR="00E10398">
        <w:rPr>
          <w:lang w:val="en-US"/>
        </w:rPr>
        <w:t xml:space="preserve"> (</w:t>
      </w:r>
      <w:r w:rsidR="00E10398">
        <w:rPr>
          <w:i/>
          <w:lang w:val="en-US"/>
        </w:rPr>
        <w:t>infra nos</w:t>
      </w:r>
      <w:r w:rsidR="00784993">
        <w:rPr>
          <w:lang w:val="en-US"/>
        </w:rPr>
        <w:t>.</w:t>
      </w:r>
      <w:r w:rsidR="00E52C66">
        <w:rPr>
          <w:i/>
          <w:lang w:val="en-US"/>
        </w:rPr>
        <w:t xml:space="preserve"> 53, 75</w:t>
      </w:r>
      <w:r w:rsidR="001414B3">
        <w:rPr>
          <w:i/>
          <w:lang w:val="en-US"/>
        </w:rPr>
        <w:t>, 80</w:t>
      </w:r>
      <w:r w:rsidR="00ED1B25">
        <w:rPr>
          <w:i/>
          <w:lang w:val="en-US"/>
        </w:rPr>
        <w:t xml:space="preserve"> </w:t>
      </w:r>
      <w:r w:rsidR="00E52C66">
        <w:rPr>
          <w:i/>
          <w:lang w:val="en-US"/>
        </w:rPr>
        <w:t>and 93</w:t>
      </w:r>
      <w:r w:rsidR="00E52C66">
        <w:rPr>
          <w:lang w:val="en-US"/>
        </w:rPr>
        <w:t xml:space="preserve">). </w:t>
      </w:r>
      <w:r w:rsidR="00CF2021">
        <w:rPr>
          <w:lang w:val="en-US"/>
        </w:rPr>
        <w:t>Furthermore, it needs to be observed</w:t>
      </w:r>
      <w:r w:rsidR="00C428E0">
        <w:rPr>
          <w:lang w:val="en-US"/>
        </w:rPr>
        <w:t xml:space="preserve"> that the Charter only appears to apply in vertical relationships </w:t>
      </w:r>
      <w:r w:rsidR="00FE29FE">
        <w:rPr>
          <w:lang w:val="en-US"/>
        </w:rPr>
        <w:t>between individuals and the EU institutions or a member state</w:t>
      </w:r>
      <w:r w:rsidR="00FE29FE">
        <w:rPr>
          <w:rStyle w:val="Voetnootmarkering"/>
          <w:lang w:val="en-US"/>
        </w:rPr>
        <w:footnoteReference w:id="38"/>
      </w:r>
      <w:r w:rsidR="00FE29FE">
        <w:rPr>
          <w:lang w:val="en-US"/>
        </w:rPr>
        <w:t>.</w:t>
      </w:r>
      <w:r w:rsidR="00A744C3">
        <w:rPr>
          <w:lang w:val="en-US"/>
        </w:rPr>
        <w:t xml:space="preserve"> </w:t>
      </w:r>
      <w:r w:rsidR="00D61E35">
        <w:rPr>
          <w:lang w:val="en-US"/>
        </w:rPr>
        <w:t>Finally, it needs</w:t>
      </w:r>
      <w:r w:rsidRPr="002F6002">
        <w:rPr>
          <w:lang w:val="en-US"/>
        </w:rPr>
        <w:t xml:space="preserve"> to</w:t>
      </w:r>
      <w:r w:rsidR="00D61E35">
        <w:rPr>
          <w:lang w:val="en-US"/>
        </w:rPr>
        <w:t xml:space="preserve"> be</w:t>
      </w:r>
      <w:r w:rsidRPr="002F6002">
        <w:rPr>
          <w:lang w:val="en-US"/>
        </w:rPr>
        <w:t xml:space="preserve"> mention</w:t>
      </w:r>
      <w:r w:rsidR="00D61E35">
        <w:rPr>
          <w:lang w:val="en-US"/>
        </w:rPr>
        <w:t>ed</w:t>
      </w:r>
      <w:r w:rsidRPr="002F6002">
        <w:rPr>
          <w:lang w:val="en-US"/>
        </w:rPr>
        <w:t xml:space="preserve"> that the EU has had its own human rights institution since 2007. The Agency for Fundamental Rights provides the EU institutions and the member states with advice, conducts studies on particular topics an</w:t>
      </w:r>
      <w:r w:rsidR="002E1A14">
        <w:rPr>
          <w:lang w:val="en-US"/>
        </w:rPr>
        <w:t>d educates people on their</w:t>
      </w:r>
      <w:r w:rsidRPr="002F6002">
        <w:rPr>
          <w:lang w:val="en-US"/>
        </w:rPr>
        <w:t xml:space="preserve"> rights</w:t>
      </w:r>
      <w:r w:rsidRPr="002F6002">
        <w:rPr>
          <w:vertAlign w:val="superscript"/>
          <w:lang w:val="en-US"/>
        </w:rPr>
        <w:footnoteReference w:id="39"/>
      </w:r>
      <w:r w:rsidRPr="002F6002">
        <w:rPr>
          <w:lang w:val="en-US"/>
        </w:rPr>
        <w:t xml:space="preserve">. </w:t>
      </w:r>
    </w:p>
    <w:p w:rsidR="00461D83" w:rsidRPr="00461D83" w:rsidRDefault="002F6002" w:rsidP="00687D8A">
      <w:pPr>
        <w:spacing w:line="360" w:lineRule="auto"/>
        <w:jc w:val="both"/>
        <w:rPr>
          <w:lang w:val="en-US"/>
        </w:rPr>
      </w:pPr>
      <w:r w:rsidRPr="002F6002">
        <w:rPr>
          <w:i/>
          <w:lang w:val="en-US"/>
        </w:rPr>
        <w:t>4.</w:t>
      </w:r>
      <w:r w:rsidRPr="002F6002">
        <w:rPr>
          <w:lang w:val="en-US"/>
        </w:rPr>
        <w:t xml:space="preserve"> The foregoing survey</w:t>
      </w:r>
      <w:r w:rsidR="004B5F71">
        <w:rPr>
          <w:lang w:val="en-US"/>
        </w:rPr>
        <w:t xml:space="preserve"> demonstrates that today, the European Union</w:t>
      </w:r>
      <w:r w:rsidRPr="002F6002">
        <w:rPr>
          <w:lang w:val="en-US"/>
        </w:rPr>
        <w:t xml:space="preserve"> pays considerable attention to human rights protection. Its policy is however not without controversies. Some scholars argue that the EU applies a double standard, especially towards third states. Others maintain that economic freedoms still prevail</w:t>
      </w:r>
      <w:r w:rsidRPr="002F6002">
        <w:rPr>
          <w:vertAlign w:val="superscript"/>
          <w:lang w:val="en-US"/>
        </w:rPr>
        <w:footnoteReference w:id="40"/>
      </w:r>
      <w:r w:rsidRPr="002F6002">
        <w:rPr>
          <w:lang w:val="en-US"/>
        </w:rPr>
        <w:t xml:space="preserve">. Finally, one should always keep in mind that </w:t>
      </w:r>
      <w:r w:rsidRPr="002F6002">
        <w:rPr>
          <w:lang w:val="en-US"/>
        </w:rPr>
        <w:lastRenderedPageBreak/>
        <w:t>the EU does not have a general or unlimited competence to deal with human rights</w:t>
      </w:r>
      <w:r w:rsidRPr="002F6002">
        <w:rPr>
          <w:vertAlign w:val="superscript"/>
          <w:lang w:val="en-US"/>
        </w:rPr>
        <w:footnoteReference w:id="41"/>
      </w:r>
      <w:r w:rsidRPr="002F6002">
        <w:rPr>
          <w:lang w:val="en-US"/>
        </w:rPr>
        <w:t>. According to the principle of conferral</w:t>
      </w:r>
      <w:r w:rsidRPr="002F6002">
        <w:rPr>
          <w:vertAlign w:val="superscript"/>
          <w:lang w:val="en-US"/>
        </w:rPr>
        <w:footnoteReference w:id="42"/>
      </w:r>
      <w:r w:rsidRPr="002F6002">
        <w:rPr>
          <w:lang w:val="en-US"/>
        </w:rPr>
        <w:t>, the European Union can only act within the competences it received from the member states. The protection of human rights within policy fields not conferred to the EU thus la</w:t>
      </w:r>
      <w:r w:rsidR="00461D83">
        <w:rPr>
          <w:lang w:val="en-US"/>
        </w:rPr>
        <w:t>rgely remains a national matter.</w:t>
      </w:r>
    </w:p>
    <w:p w:rsidR="002F6002" w:rsidRPr="002F6002" w:rsidRDefault="002F6002" w:rsidP="00687D8A">
      <w:pPr>
        <w:spacing w:line="360" w:lineRule="auto"/>
        <w:jc w:val="both"/>
        <w:rPr>
          <w:u w:val="single"/>
          <w:lang w:val="en-US"/>
        </w:rPr>
      </w:pPr>
      <w:r w:rsidRPr="002F6002">
        <w:rPr>
          <w:u w:val="single"/>
          <w:lang w:val="en-US"/>
        </w:rPr>
        <w:t xml:space="preserve">Equality and </w:t>
      </w:r>
      <w:r w:rsidR="00060F8B">
        <w:rPr>
          <w:u w:val="single"/>
          <w:lang w:val="en-US"/>
        </w:rPr>
        <w:t>Non-D</w:t>
      </w:r>
      <w:r w:rsidRPr="002F6002">
        <w:rPr>
          <w:u w:val="single"/>
          <w:lang w:val="en-US"/>
        </w:rPr>
        <w:t>iscrimination in the European Union</w:t>
      </w:r>
    </w:p>
    <w:p w:rsidR="0024443A" w:rsidRDefault="002F6002" w:rsidP="00687D8A">
      <w:pPr>
        <w:spacing w:line="360" w:lineRule="auto"/>
        <w:jc w:val="both"/>
        <w:rPr>
          <w:lang w:val="en-US"/>
        </w:rPr>
      </w:pPr>
      <w:r w:rsidRPr="002F6002">
        <w:rPr>
          <w:i/>
          <w:lang w:val="en-US"/>
        </w:rPr>
        <w:t>5.</w:t>
      </w:r>
      <w:r w:rsidR="008E1549">
        <w:rPr>
          <w:lang w:val="en-US"/>
        </w:rPr>
        <w:t xml:space="preserve"> The T</w:t>
      </w:r>
      <w:r w:rsidRPr="002F6002">
        <w:rPr>
          <w:lang w:val="en-US"/>
        </w:rPr>
        <w:t>reaty on the Establishment of the European Economic Community did not contain a general prohibition of non-discrimination. It did include, however, more specific prohibitions. Articles within the treaty dictated that member states could not discriminate on the basis of nationality</w:t>
      </w:r>
      <w:r w:rsidRPr="002F6002">
        <w:rPr>
          <w:vertAlign w:val="superscript"/>
          <w:lang w:val="en-US"/>
        </w:rPr>
        <w:footnoteReference w:id="43"/>
      </w:r>
      <w:r w:rsidRPr="002F6002">
        <w:rPr>
          <w:lang w:val="en-US"/>
        </w:rPr>
        <w:t>. Although limited to the issue of pay, it also stated that women and men must be treated equally</w:t>
      </w:r>
      <w:r w:rsidRPr="002F6002">
        <w:rPr>
          <w:vertAlign w:val="superscript"/>
          <w:lang w:val="en-US"/>
        </w:rPr>
        <w:footnoteReference w:id="44"/>
      </w:r>
      <w:r w:rsidRPr="002F6002">
        <w:rPr>
          <w:lang w:val="en-US"/>
        </w:rPr>
        <w:t>. It is clear that the adoption of these initial provisions was not instigated by a concern for human rights, but by an economic rationale</w:t>
      </w:r>
      <w:r w:rsidRPr="002F6002">
        <w:rPr>
          <w:vertAlign w:val="superscript"/>
          <w:lang w:val="en-US"/>
        </w:rPr>
        <w:footnoteReference w:id="45"/>
      </w:r>
      <w:r w:rsidRPr="002F6002">
        <w:rPr>
          <w:lang w:val="en-US"/>
        </w:rPr>
        <w:t>. The primary goal of the European Economic Community was the establishment of a common market</w:t>
      </w:r>
      <w:r w:rsidRPr="002F6002">
        <w:rPr>
          <w:vertAlign w:val="superscript"/>
          <w:lang w:val="en-US"/>
        </w:rPr>
        <w:footnoteReference w:id="46"/>
      </w:r>
      <w:r w:rsidRPr="002F6002">
        <w:rPr>
          <w:lang w:val="en-US"/>
        </w:rPr>
        <w:t>. By discriminating against other member states’ nationals or women workers, member states could gain a competitive advantage within this common market</w:t>
      </w:r>
      <w:r w:rsidRPr="002F6002">
        <w:rPr>
          <w:vertAlign w:val="superscript"/>
          <w:lang w:val="en-US"/>
        </w:rPr>
        <w:footnoteReference w:id="47"/>
      </w:r>
      <w:r w:rsidRPr="002F6002">
        <w:rPr>
          <w:lang w:val="en-US"/>
        </w:rPr>
        <w:t>.</w:t>
      </w:r>
      <w:r w:rsidR="00AA033C">
        <w:rPr>
          <w:lang w:val="en-US"/>
        </w:rPr>
        <w:t xml:space="preserve"> </w:t>
      </w:r>
      <w:r w:rsidR="00F53ED3">
        <w:rPr>
          <w:lang w:val="en-US"/>
        </w:rPr>
        <w:t>The original equal pay</w:t>
      </w:r>
      <w:r w:rsidR="00105172">
        <w:rPr>
          <w:lang w:val="en-US"/>
        </w:rPr>
        <w:t xml:space="preserve"> provision</w:t>
      </w:r>
      <w:r w:rsidR="00105172">
        <w:rPr>
          <w:rStyle w:val="Voetnootmarkering"/>
          <w:lang w:val="en-US"/>
        </w:rPr>
        <w:footnoteReference w:id="48"/>
      </w:r>
      <w:r w:rsidR="00105172">
        <w:rPr>
          <w:lang w:val="en-US"/>
        </w:rPr>
        <w:t xml:space="preserve"> subsequently served as </w:t>
      </w:r>
      <w:r w:rsidR="00F53ED3">
        <w:rPr>
          <w:lang w:val="en-US"/>
        </w:rPr>
        <w:t>an inspiration</w:t>
      </w:r>
      <w:r w:rsidR="00075CB3">
        <w:rPr>
          <w:lang w:val="en-US"/>
        </w:rPr>
        <w:t xml:space="preserve"> for the adoption of secondary EU law on equal treatment between women and men</w:t>
      </w:r>
      <w:r w:rsidR="00105172">
        <w:rPr>
          <w:lang w:val="en-US"/>
        </w:rPr>
        <w:t>,</w:t>
      </w:r>
      <w:r w:rsidR="00280238">
        <w:rPr>
          <w:lang w:val="en-US"/>
        </w:rPr>
        <w:t xml:space="preserve"> chiefly </w:t>
      </w:r>
      <w:r w:rsidR="0068707D">
        <w:rPr>
          <w:lang w:val="en-US"/>
        </w:rPr>
        <w:t>in the field of employment</w:t>
      </w:r>
      <w:r w:rsidR="00075CB3">
        <w:rPr>
          <w:rStyle w:val="Voetnootmarkering"/>
          <w:lang w:val="en-US"/>
        </w:rPr>
        <w:footnoteReference w:id="49"/>
      </w:r>
      <w:r w:rsidR="00075CB3">
        <w:rPr>
          <w:lang w:val="en-US"/>
        </w:rPr>
        <w:t>.</w:t>
      </w:r>
      <w:r w:rsidR="00C11A7C">
        <w:rPr>
          <w:lang w:val="en-US"/>
        </w:rPr>
        <w:t xml:space="preserve"> Also very significant is that the European Court of Justice declared several times that the principle of </w:t>
      </w:r>
      <w:r w:rsidR="00C11A7C">
        <w:rPr>
          <w:lang w:val="en-US"/>
        </w:rPr>
        <w:lastRenderedPageBreak/>
        <w:t>sex equality is one of the fundamental rights within the EU</w:t>
      </w:r>
      <w:r w:rsidR="0079099E">
        <w:rPr>
          <w:rStyle w:val="Voetnootmarkering"/>
          <w:lang w:val="en-US"/>
        </w:rPr>
        <w:footnoteReference w:id="50"/>
      </w:r>
      <w:r w:rsidR="00C11A7C">
        <w:rPr>
          <w:lang w:val="en-US"/>
        </w:rPr>
        <w:t xml:space="preserve">. </w:t>
      </w:r>
      <w:r w:rsidR="00060F8B">
        <w:rPr>
          <w:lang w:val="en-US"/>
        </w:rPr>
        <w:t xml:space="preserve">The Amsterdam treaty </w:t>
      </w:r>
      <w:r w:rsidR="00CA7A20">
        <w:rPr>
          <w:lang w:val="en-US"/>
        </w:rPr>
        <w:t xml:space="preserve">represents </w:t>
      </w:r>
      <w:r w:rsidR="00060F8B">
        <w:rPr>
          <w:lang w:val="en-US"/>
        </w:rPr>
        <w:t xml:space="preserve">another important step </w:t>
      </w:r>
      <w:r w:rsidR="00CA7A20">
        <w:rPr>
          <w:lang w:val="en-US"/>
        </w:rPr>
        <w:t>on the path to</w:t>
      </w:r>
      <w:r w:rsidR="006474EA">
        <w:rPr>
          <w:lang w:val="en-US"/>
        </w:rPr>
        <w:t>wards</w:t>
      </w:r>
      <w:r w:rsidR="00CA7A20">
        <w:rPr>
          <w:lang w:val="en-US"/>
        </w:rPr>
        <w:t xml:space="preserve"> gender equality.</w:t>
      </w:r>
      <w:r w:rsidR="00BD211E">
        <w:rPr>
          <w:lang w:val="en-US"/>
        </w:rPr>
        <w:t xml:space="preserve"> </w:t>
      </w:r>
      <w:r w:rsidR="000E36B2">
        <w:rPr>
          <w:lang w:val="en-US"/>
        </w:rPr>
        <w:t>It inserts</w:t>
      </w:r>
      <w:r w:rsidR="00A53BB0">
        <w:rPr>
          <w:lang w:val="en-US"/>
        </w:rPr>
        <w:t xml:space="preserve"> a</w:t>
      </w:r>
      <w:r w:rsidR="000E36B2">
        <w:rPr>
          <w:lang w:val="en-US"/>
        </w:rPr>
        <w:t xml:space="preserve"> general principle of equality between women and men into primary EU law and makes its attainment one of the EU’s goals</w:t>
      </w:r>
      <w:r w:rsidR="003348F4">
        <w:rPr>
          <w:rStyle w:val="Voetnootmarkering"/>
          <w:lang w:val="en-US"/>
        </w:rPr>
        <w:footnoteReference w:id="51"/>
      </w:r>
      <w:r w:rsidR="000E36B2">
        <w:rPr>
          <w:lang w:val="en-US"/>
        </w:rPr>
        <w:t>.</w:t>
      </w:r>
      <w:r w:rsidR="004364FA">
        <w:rPr>
          <w:lang w:val="en-US"/>
        </w:rPr>
        <w:t xml:space="preserve"> At the start </w:t>
      </w:r>
      <w:r w:rsidR="003348F4">
        <w:rPr>
          <w:lang w:val="en-US"/>
        </w:rPr>
        <w:t xml:space="preserve">of the new </w:t>
      </w:r>
      <w:r w:rsidR="00784198">
        <w:rPr>
          <w:lang w:val="en-US"/>
        </w:rPr>
        <w:t>millennium, part of the Court’s case-law on gender equality was codified in a number of updated directives</w:t>
      </w:r>
      <w:r w:rsidR="00105172">
        <w:rPr>
          <w:rStyle w:val="Voetnootmarkering"/>
          <w:lang w:val="en-US"/>
        </w:rPr>
        <w:footnoteReference w:id="52"/>
      </w:r>
      <w:r w:rsidR="00784198">
        <w:rPr>
          <w:lang w:val="en-US"/>
        </w:rPr>
        <w:t>.</w:t>
      </w:r>
      <w:r w:rsidR="00474C50">
        <w:rPr>
          <w:lang w:val="en-US"/>
        </w:rPr>
        <w:t xml:space="preserve"> It is remarkable that some of these new instruments, unlike their predecessors, explicitly enumerate the European Convention on Human Rights and all the important United Nations conventions</w:t>
      </w:r>
      <w:r w:rsidR="00474C50">
        <w:rPr>
          <w:rStyle w:val="Voetnootmarkering"/>
          <w:lang w:val="en-US"/>
        </w:rPr>
        <w:footnoteReference w:id="53"/>
      </w:r>
      <w:r w:rsidR="00474C50">
        <w:rPr>
          <w:lang w:val="en-US"/>
        </w:rPr>
        <w:t>.</w:t>
      </w:r>
      <w:r w:rsidR="00105172">
        <w:rPr>
          <w:lang w:val="en-US"/>
        </w:rPr>
        <w:t xml:space="preserve"> One must briefly mention that the European institutions have been active as well in contesting other forms of discrimination. </w:t>
      </w:r>
      <w:r w:rsidR="005A664F">
        <w:rPr>
          <w:lang w:val="en-US"/>
        </w:rPr>
        <w:t xml:space="preserve">Article 19 of the Treaty on the Functioning of the European Union allows for the adoption of measures against discrimination on the basis </w:t>
      </w:r>
      <w:r w:rsidR="00E90BA1">
        <w:rPr>
          <w:lang w:val="en-US"/>
        </w:rPr>
        <w:t xml:space="preserve">of </w:t>
      </w:r>
      <w:r w:rsidR="005A664F">
        <w:rPr>
          <w:lang w:val="en-US"/>
        </w:rPr>
        <w:t>race, religion, disability, age and sexual orientation</w:t>
      </w:r>
      <w:r w:rsidR="005A664F">
        <w:rPr>
          <w:rStyle w:val="Voetnootmarkering"/>
          <w:lang w:val="en-US"/>
        </w:rPr>
        <w:footnoteReference w:id="54"/>
      </w:r>
      <w:r w:rsidR="005A664F">
        <w:rPr>
          <w:lang w:val="en-US"/>
        </w:rPr>
        <w:t xml:space="preserve">. </w:t>
      </w:r>
    </w:p>
    <w:p w:rsidR="00820110" w:rsidRDefault="00820110" w:rsidP="00687D8A">
      <w:pPr>
        <w:spacing w:line="360" w:lineRule="auto"/>
        <w:jc w:val="both"/>
        <w:rPr>
          <w:lang w:val="en-US"/>
        </w:rPr>
      </w:pPr>
      <w:r>
        <w:rPr>
          <w:i/>
          <w:lang w:val="en-US"/>
        </w:rPr>
        <w:t>6.</w:t>
      </w:r>
      <w:r>
        <w:rPr>
          <w:lang w:val="en-US"/>
        </w:rPr>
        <w:t xml:space="preserve"> </w:t>
      </w:r>
      <w:r w:rsidR="007B024D">
        <w:rPr>
          <w:lang w:val="en-US"/>
        </w:rPr>
        <w:t>One must</w:t>
      </w:r>
      <w:r w:rsidR="00EF22A8">
        <w:rPr>
          <w:lang w:val="en-US"/>
        </w:rPr>
        <w:t xml:space="preserve"> not forget the EU Charter of Fundamental Rights. Its third chapter is entirely devoted to the equality and non-discrimination principles.</w:t>
      </w:r>
      <w:r w:rsidR="00DC2F25">
        <w:rPr>
          <w:lang w:val="en-US"/>
        </w:rPr>
        <w:t xml:space="preserve"> Article 21 </w:t>
      </w:r>
      <w:r w:rsidR="004D7409">
        <w:rPr>
          <w:lang w:val="en-US"/>
        </w:rPr>
        <w:t>sets out</w:t>
      </w:r>
      <w:r w:rsidR="00DC2F25">
        <w:rPr>
          <w:lang w:val="en-US"/>
        </w:rPr>
        <w:t xml:space="preserve"> a general prohibition on discrimination. It mentions sex as one of the protected grounds.</w:t>
      </w:r>
      <w:r w:rsidR="00E43773">
        <w:rPr>
          <w:lang w:val="en-US"/>
        </w:rPr>
        <w:t xml:space="preserve"> Article 23 on equality between women and men was inspired by a provision in the Revised European Social Charter</w:t>
      </w:r>
      <w:r w:rsidR="00E43773">
        <w:rPr>
          <w:rStyle w:val="Voetnootmarkering"/>
          <w:lang w:val="en-US"/>
        </w:rPr>
        <w:footnoteReference w:id="55"/>
      </w:r>
      <w:r w:rsidR="00B043C4">
        <w:rPr>
          <w:lang w:val="en-US"/>
        </w:rPr>
        <w:t xml:space="preserve"> (</w:t>
      </w:r>
      <w:r w:rsidR="00B043C4">
        <w:rPr>
          <w:i/>
          <w:lang w:val="en-US"/>
        </w:rPr>
        <w:t xml:space="preserve">infra </w:t>
      </w:r>
      <w:proofErr w:type="spellStart"/>
      <w:r w:rsidR="00B043C4">
        <w:rPr>
          <w:i/>
          <w:lang w:val="en-US"/>
        </w:rPr>
        <w:t>nos</w:t>
      </w:r>
      <w:proofErr w:type="spellEnd"/>
      <w:r w:rsidR="00B043C4">
        <w:rPr>
          <w:i/>
          <w:lang w:val="en-US"/>
        </w:rPr>
        <w:t xml:space="preserve"> 34-35</w:t>
      </w:r>
      <w:r w:rsidR="00E43773">
        <w:rPr>
          <w:lang w:val="en-US"/>
        </w:rPr>
        <w:t xml:space="preserve">). It states that equality </w:t>
      </w:r>
      <w:r w:rsidR="00280238">
        <w:rPr>
          <w:lang w:val="en-US"/>
        </w:rPr>
        <w:t>must not only be ensured in employment</w:t>
      </w:r>
      <w:r w:rsidR="001337C9">
        <w:rPr>
          <w:lang w:val="en-US"/>
        </w:rPr>
        <w:t xml:space="preserve"> but in all areas. Article 23</w:t>
      </w:r>
      <w:r w:rsidR="00E43773">
        <w:rPr>
          <w:lang w:val="en-US"/>
        </w:rPr>
        <w:t xml:space="preserve"> thus resonate</w:t>
      </w:r>
      <w:r w:rsidR="008002AC">
        <w:rPr>
          <w:lang w:val="en-US"/>
        </w:rPr>
        <w:t xml:space="preserve">s </w:t>
      </w:r>
      <w:r w:rsidR="00E43773">
        <w:rPr>
          <w:lang w:val="en-US"/>
        </w:rPr>
        <w:t>the</w:t>
      </w:r>
      <w:r w:rsidR="001337C9">
        <w:rPr>
          <w:lang w:val="en-US"/>
        </w:rPr>
        <w:t xml:space="preserve"> content of the</w:t>
      </w:r>
      <w:r w:rsidR="00E43773">
        <w:rPr>
          <w:lang w:val="en-US"/>
        </w:rPr>
        <w:t xml:space="preserve"> provisions introduced by the Amsterdam Treaty.</w:t>
      </w:r>
      <w:r w:rsidR="0009751A">
        <w:rPr>
          <w:lang w:val="en-US"/>
        </w:rPr>
        <w:t xml:space="preserve"> As indicated above</w:t>
      </w:r>
      <w:r w:rsidR="00402B2D">
        <w:rPr>
          <w:lang w:val="en-US"/>
        </w:rPr>
        <w:t xml:space="preserve"> (</w:t>
      </w:r>
      <w:r w:rsidR="00402B2D" w:rsidRPr="00402B2D">
        <w:rPr>
          <w:i/>
          <w:lang w:val="en-US"/>
        </w:rPr>
        <w:t>supra no. 3</w:t>
      </w:r>
      <w:r w:rsidR="00402B2D">
        <w:rPr>
          <w:lang w:val="en-US"/>
        </w:rPr>
        <w:t xml:space="preserve">) </w:t>
      </w:r>
      <w:r w:rsidR="0009751A">
        <w:rPr>
          <w:lang w:val="en-US"/>
        </w:rPr>
        <w:t xml:space="preserve">, it appears that the Charter articles only </w:t>
      </w:r>
      <w:r w:rsidR="0009751A">
        <w:rPr>
          <w:lang w:val="en-US"/>
        </w:rPr>
        <w:lastRenderedPageBreak/>
        <w:t>operate vertically. This</w:t>
      </w:r>
      <w:r w:rsidR="00FE6F60">
        <w:rPr>
          <w:lang w:val="en-US"/>
        </w:rPr>
        <w:t xml:space="preserve"> means for example that article 23 cannot be relied upon against private employers</w:t>
      </w:r>
      <w:r w:rsidR="00CE227F">
        <w:rPr>
          <w:rStyle w:val="Voetnootmarkering"/>
          <w:lang w:val="en-US"/>
        </w:rPr>
        <w:footnoteReference w:id="56"/>
      </w:r>
      <w:r w:rsidR="00FE6F60">
        <w:rPr>
          <w:lang w:val="en-US"/>
        </w:rPr>
        <w:t xml:space="preserve">.  </w:t>
      </w:r>
      <w:r w:rsidR="00E43773">
        <w:rPr>
          <w:lang w:val="en-US"/>
        </w:rPr>
        <w:t xml:space="preserve">  </w:t>
      </w:r>
      <w:r w:rsidR="00DC2F25">
        <w:rPr>
          <w:lang w:val="en-US"/>
        </w:rPr>
        <w:t xml:space="preserve"> </w:t>
      </w:r>
      <w:r w:rsidR="00EF22A8">
        <w:rPr>
          <w:lang w:val="en-US"/>
        </w:rPr>
        <w:t xml:space="preserve"> </w:t>
      </w:r>
    </w:p>
    <w:p w:rsidR="004D7409" w:rsidRPr="004D7409" w:rsidRDefault="004D7409" w:rsidP="00687D8A">
      <w:pPr>
        <w:spacing w:line="360" w:lineRule="auto"/>
        <w:jc w:val="both"/>
        <w:rPr>
          <w:i/>
          <w:lang w:val="en-US"/>
        </w:rPr>
      </w:pPr>
      <w:r w:rsidRPr="004D7409">
        <w:rPr>
          <w:i/>
          <w:lang w:val="en-US"/>
        </w:rPr>
        <w:t>7.</w:t>
      </w:r>
      <w:r>
        <w:rPr>
          <w:lang w:val="en-US"/>
        </w:rPr>
        <w:t xml:space="preserve"> It may be concluded that EU law contains a</w:t>
      </w:r>
      <w:r w:rsidR="004F5EC2">
        <w:rPr>
          <w:lang w:val="en-US"/>
        </w:rPr>
        <w:t xml:space="preserve"> rather</w:t>
      </w:r>
      <w:r w:rsidR="00BC415D">
        <w:rPr>
          <w:lang w:val="en-US"/>
        </w:rPr>
        <w:t xml:space="preserve"> disorganized amalgam of equality and non-discrimination provisions.</w:t>
      </w:r>
      <w:r w:rsidR="004F5EC2">
        <w:rPr>
          <w:lang w:val="en-US"/>
        </w:rPr>
        <w:t xml:space="preserve"> The European Court of Justice’s case-law made a significant contribution to the early development of th</w:t>
      </w:r>
      <w:r w:rsidR="009D0BD6">
        <w:rPr>
          <w:lang w:val="en-US"/>
        </w:rPr>
        <w:t>e latter two</w:t>
      </w:r>
      <w:r w:rsidR="004F5EC2">
        <w:rPr>
          <w:lang w:val="en-US"/>
        </w:rPr>
        <w:t xml:space="preserve"> principles.</w:t>
      </w:r>
      <w:r w:rsidR="006C2431">
        <w:rPr>
          <w:lang w:val="en-US"/>
        </w:rPr>
        <w:t xml:space="preserve"> </w:t>
      </w:r>
      <w:r w:rsidR="00006E1A">
        <w:rPr>
          <w:lang w:val="en-US"/>
        </w:rPr>
        <w:t xml:space="preserve">As regards sex discrimination and gender equality, most legally binding measures have been taken in the employment context. </w:t>
      </w:r>
      <w:r w:rsidR="009D0BD6">
        <w:rPr>
          <w:lang w:val="en-US"/>
        </w:rPr>
        <w:t xml:space="preserve"> </w:t>
      </w:r>
      <w:r w:rsidR="004F5EC2">
        <w:rPr>
          <w:lang w:val="en-US"/>
        </w:rPr>
        <w:t xml:space="preserve"> </w:t>
      </w:r>
      <w:r w:rsidR="00BC415D">
        <w:rPr>
          <w:lang w:val="en-US"/>
        </w:rPr>
        <w:t xml:space="preserve"> </w:t>
      </w:r>
      <w:r>
        <w:rPr>
          <w:lang w:val="en-US"/>
        </w:rPr>
        <w:t xml:space="preserve"> </w:t>
      </w:r>
      <w:r w:rsidRPr="004D7409">
        <w:rPr>
          <w:i/>
          <w:lang w:val="en-US"/>
        </w:rPr>
        <w:t xml:space="preserve"> </w:t>
      </w:r>
    </w:p>
    <w:p w:rsidR="0024443A" w:rsidRDefault="0024443A" w:rsidP="00687D8A">
      <w:pPr>
        <w:spacing w:line="360" w:lineRule="auto"/>
        <w:jc w:val="both"/>
        <w:rPr>
          <w:lang w:val="en-US"/>
        </w:rPr>
      </w:pPr>
    </w:p>
    <w:p w:rsidR="003348F4" w:rsidRDefault="003348F4" w:rsidP="00687D8A">
      <w:pPr>
        <w:spacing w:line="360" w:lineRule="auto"/>
        <w:jc w:val="both"/>
        <w:rPr>
          <w:lang w:val="en-US"/>
        </w:rPr>
      </w:pPr>
    </w:p>
    <w:p w:rsidR="003348F4" w:rsidRDefault="003348F4" w:rsidP="00687D8A">
      <w:pPr>
        <w:spacing w:line="360" w:lineRule="auto"/>
        <w:jc w:val="both"/>
        <w:rPr>
          <w:lang w:val="en-US"/>
        </w:rPr>
      </w:pPr>
    </w:p>
    <w:p w:rsidR="00E10840" w:rsidRDefault="00E10840" w:rsidP="00687D8A">
      <w:pPr>
        <w:spacing w:line="360" w:lineRule="auto"/>
        <w:jc w:val="both"/>
        <w:rPr>
          <w:lang w:val="en-US"/>
        </w:rPr>
      </w:pPr>
    </w:p>
    <w:p w:rsidR="00E10840" w:rsidRDefault="00E10840" w:rsidP="00687D8A">
      <w:pPr>
        <w:spacing w:line="360" w:lineRule="auto"/>
        <w:jc w:val="both"/>
        <w:rPr>
          <w:lang w:val="en-US"/>
        </w:rPr>
      </w:pPr>
    </w:p>
    <w:p w:rsidR="00E10840" w:rsidRDefault="00E10840" w:rsidP="00687D8A">
      <w:pPr>
        <w:spacing w:line="360" w:lineRule="auto"/>
        <w:jc w:val="both"/>
        <w:rPr>
          <w:lang w:val="en-US"/>
        </w:rPr>
      </w:pPr>
    </w:p>
    <w:p w:rsidR="00E10840" w:rsidRDefault="00E10840" w:rsidP="00687D8A">
      <w:pPr>
        <w:spacing w:line="360" w:lineRule="auto"/>
        <w:jc w:val="both"/>
        <w:rPr>
          <w:lang w:val="en-US"/>
        </w:rPr>
      </w:pPr>
    </w:p>
    <w:p w:rsidR="002F6002" w:rsidRDefault="002F6002" w:rsidP="00687D8A">
      <w:pPr>
        <w:spacing w:line="360" w:lineRule="auto"/>
        <w:jc w:val="both"/>
        <w:rPr>
          <w:lang w:val="en-US"/>
        </w:rPr>
      </w:pPr>
    </w:p>
    <w:p w:rsidR="00EC092A" w:rsidRPr="00EC092A" w:rsidRDefault="00EC092A" w:rsidP="00687D8A">
      <w:pPr>
        <w:spacing w:line="360" w:lineRule="auto"/>
        <w:jc w:val="both"/>
        <w:rPr>
          <w:lang w:val="en-US"/>
        </w:rPr>
      </w:pPr>
    </w:p>
    <w:p w:rsidR="00670715" w:rsidRDefault="00670715" w:rsidP="00687D8A">
      <w:pPr>
        <w:spacing w:line="360" w:lineRule="auto"/>
        <w:jc w:val="both"/>
        <w:rPr>
          <w:b/>
          <w:u w:val="single"/>
          <w:lang w:val="en-US"/>
        </w:rPr>
      </w:pPr>
    </w:p>
    <w:p w:rsidR="00670715" w:rsidRDefault="00670715" w:rsidP="00687D8A">
      <w:pPr>
        <w:spacing w:line="360" w:lineRule="auto"/>
        <w:jc w:val="both"/>
        <w:rPr>
          <w:b/>
          <w:u w:val="single"/>
          <w:lang w:val="en-US"/>
        </w:rPr>
      </w:pPr>
    </w:p>
    <w:p w:rsidR="00670715" w:rsidRDefault="00670715" w:rsidP="00687D8A">
      <w:pPr>
        <w:spacing w:line="360" w:lineRule="auto"/>
        <w:jc w:val="both"/>
        <w:rPr>
          <w:b/>
          <w:u w:val="single"/>
          <w:lang w:val="en-US"/>
        </w:rPr>
      </w:pPr>
    </w:p>
    <w:p w:rsidR="00670715" w:rsidRDefault="00670715" w:rsidP="00687D8A">
      <w:pPr>
        <w:spacing w:line="360" w:lineRule="auto"/>
        <w:jc w:val="both"/>
        <w:rPr>
          <w:b/>
          <w:u w:val="single"/>
          <w:lang w:val="en-US"/>
        </w:rPr>
      </w:pPr>
    </w:p>
    <w:p w:rsidR="00670715" w:rsidRDefault="00670715" w:rsidP="00687D8A">
      <w:pPr>
        <w:spacing w:line="360" w:lineRule="auto"/>
        <w:jc w:val="both"/>
        <w:rPr>
          <w:b/>
          <w:u w:val="single"/>
          <w:lang w:val="en-US"/>
        </w:rPr>
      </w:pPr>
    </w:p>
    <w:p w:rsidR="00F433A0" w:rsidRDefault="00F433A0" w:rsidP="00687D8A">
      <w:pPr>
        <w:spacing w:line="360" w:lineRule="auto"/>
        <w:jc w:val="both"/>
        <w:rPr>
          <w:b/>
          <w:u w:val="single"/>
          <w:lang w:val="en-US"/>
        </w:rPr>
      </w:pPr>
    </w:p>
    <w:p w:rsidR="00146452" w:rsidRDefault="00146452" w:rsidP="00687D8A">
      <w:pPr>
        <w:spacing w:line="360" w:lineRule="auto"/>
        <w:jc w:val="both"/>
        <w:rPr>
          <w:b/>
          <w:u w:val="single"/>
          <w:lang w:val="en-US"/>
        </w:rPr>
      </w:pPr>
    </w:p>
    <w:p w:rsidR="00133C73" w:rsidRDefault="00133C73" w:rsidP="00687D8A">
      <w:pPr>
        <w:spacing w:line="360" w:lineRule="auto"/>
        <w:jc w:val="both"/>
        <w:rPr>
          <w:b/>
          <w:u w:val="single"/>
          <w:lang w:val="en-US"/>
        </w:rPr>
      </w:pPr>
    </w:p>
    <w:p w:rsidR="002F6002" w:rsidRPr="00B73BAE" w:rsidRDefault="002F6002" w:rsidP="00687D8A">
      <w:pPr>
        <w:spacing w:line="360" w:lineRule="auto"/>
        <w:jc w:val="both"/>
        <w:rPr>
          <w:b/>
          <w:u w:val="single"/>
          <w:lang w:val="en-US"/>
        </w:rPr>
      </w:pPr>
      <w:r w:rsidRPr="002F6002">
        <w:rPr>
          <w:b/>
          <w:u w:val="single"/>
          <w:lang w:val="en-US"/>
        </w:rPr>
        <w:lastRenderedPageBreak/>
        <w:t xml:space="preserve">Chapter II. </w:t>
      </w:r>
      <w:r w:rsidR="00B73BAE">
        <w:rPr>
          <w:b/>
          <w:u w:val="single"/>
          <w:lang w:val="en-US"/>
        </w:rPr>
        <w:t>Core</w:t>
      </w:r>
      <w:r w:rsidRPr="002F6002">
        <w:rPr>
          <w:b/>
          <w:u w:val="single"/>
          <w:lang w:val="en-US"/>
        </w:rPr>
        <w:t xml:space="preserve"> Concepts in Anti-Discrimination Law</w:t>
      </w:r>
    </w:p>
    <w:p w:rsidR="00ED1281" w:rsidRDefault="002F6002" w:rsidP="00687D8A">
      <w:pPr>
        <w:spacing w:line="360" w:lineRule="auto"/>
        <w:jc w:val="both"/>
        <w:rPr>
          <w:lang w:val="en-US"/>
        </w:rPr>
      </w:pPr>
      <w:r w:rsidRPr="002F6002">
        <w:rPr>
          <w:u w:val="single"/>
          <w:lang w:val="en-US"/>
        </w:rPr>
        <w:t>Section I. Eq</w:t>
      </w:r>
      <w:r w:rsidR="001E2704">
        <w:rPr>
          <w:u w:val="single"/>
          <w:lang w:val="en-US"/>
        </w:rPr>
        <w:t>uality and Discrimination: Two Sides of the Same C</w:t>
      </w:r>
      <w:r w:rsidRPr="002F6002">
        <w:rPr>
          <w:u w:val="single"/>
          <w:lang w:val="en-US"/>
        </w:rPr>
        <w:t>oin</w:t>
      </w:r>
      <w:r w:rsidRPr="002F6002">
        <w:rPr>
          <w:lang w:val="en-US"/>
        </w:rPr>
        <w:t xml:space="preserve"> </w:t>
      </w:r>
    </w:p>
    <w:p w:rsidR="002F6002" w:rsidRPr="002F6002" w:rsidRDefault="002F6002" w:rsidP="00687D8A">
      <w:pPr>
        <w:spacing w:line="360" w:lineRule="auto"/>
        <w:jc w:val="both"/>
        <w:rPr>
          <w:lang w:val="en-US"/>
        </w:rPr>
      </w:pPr>
      <w:r w:rsidRPr="002F6002">
        <w:rPr>
          <w:lang w:val="en-US"/>
        </w:rPr>
        <w:t xml:space="preserve">§1. Equality: A Complex Notion </w:t>
      </w:r>
    </w:p>
    <w:p w:rsidR="002F6002" w:rsidRPr="002F6002" w:rsidRDefault="00B740CC" w:rsidP="00687D8A">
      <w:pPr>
        <w:spacing w:line="360" w:lineRule="auto"/>
        <w:jc w:val="both"/>
        <w:rPr>
          <w:lang w:val="en-US"/>
        </w:rPr>
      </w:pPr>
      <w:r>
        <w:rPr>
          <w:i/>
          <w:lang w:val="en-US"/>
        </w:rPr>
        <w:t>8</w:t>
      </w:r>
      <w:r w:rsidR="002F6002" w:rsidRPr="002F6002">
        <w:rPr>
          <w:i/>
          <w:lang w:val="en-US"/>
        </w:rPr>
        <w:t>.</w:t>
      </w:r>
      <w:r w:rsidR="002F6002" w:rsidRPr="002F6002">
        <w:rPr>
          <w:lang w:val="en-US"/>
        </w:rPr>
        <w:t xml:space="preserve"> As already mentioned above (</w:t>
      </w:r>
      <w:r w:rsidR="002F6002" w:rsidRPr="002F6002">
        <w:rPr>
          <w:i/>
          <w:lang w:val="en-US"/>
        </w:rPr>
        <w:t>supra no. 1</w:t>
      </w:r>
      <w:r w:rsidR="002F6002" w:rsidRPr="002F6002">
        <w:rPr>
          <w:lang w:val="en-US"/>
        </w:rPr>
        <w:t xml:space="preserve">), divergent opinions exist on the exact meaning of and </w:t>
      </w:r>
      <w:r w:rsidR="00A40482">
        <w:rPr>
          <w:lang w:val="en-US"/>
        </w:rPr>
        <w:t xml:space="preserve">the </w:t>
      </w:r>
      <w:r w:rsidR="002F6002" w:rsidRPr="002F6002">
        <w:rPr>
          <w:lang w:val="en-US"/>
        </w:rPr>
        <w:t>relationship between equality and non-discrimination. Some scholars argue that the two principles substantially have the same meaning. For others they signify two different things</w:t>
      </w:r>
      <w:r w:rsidR="00CD754B">
        <w:rPr>
          <w:rStyle w:val="Voetnootmarkering"/>
          <w:lang w:val="en-US"/>
        </w:rPr>
        <w:footnoteReference w:id="57"/>
      </w:r>
      <w:r w:rsidR="00CD754B">
        <w:rPr>
          <w:lang w:val="en-US"/>
        </w:rPr>
        <w:t xml:space="preserve">. It is submitted that they </w:t>
      </w:r>
      <w:r w:rsidR="002F6002" w:rsidRPr="002F6002">
        <w:rPr>
          <w:lang w:val="en-US"/>
        </w:rPr>
        <w:t>are actually twin notions. They are closely linked to each other but they do not have the exact same meaning. The principle of equality is articulated as a command, as a positive obligation to do something. The principle of non-discrimination, in contrast, is phrased as a prohibition; you cannot do something</w:t>
      </w:r>
      <w:r w:rsidR="002F6002" w:rsidRPr="002F6002">
        <w:rPr>
          <w:vertAlign w:val="superscript"/>
          <w:lang w:val="en-US"/>
        </w:rPr>
        <w:footnoteReference w:id="58"/>
      </w:r>
      <w:r w:rsidR="002F6002" w:rsidRPr="002F6002">
        <w:rPr>
          <w:lang w:val="en-US"/>
        </w:rPr>
        <w:t>.</w:t>
      </w:r>
    </w:p>
    <w:p w:rsidR="009F09A5" w:rsidRDefault="00B740CC" w:rsidP="00687D8A">
      <w:pPr>
        <w:spacing w:line="360" w:lineRule="auto"/>
        <w:jc w:val="both"/>
        <w:rPr>
          <w:lang w:val="en-US"/>
        </w:rPr>
      </w:pPr>
      <w:r>
        <w:rPr>
          <w:i/>
          <w:lang w:val="en-US"/>
        </w:rPr>
        <w:t>9</w:t>
      </w:r>
      <w:r w:rsidR="002F6002" w:rsidRPr="002F6002">
        <w:rPr>
          <w:i/>
          <w:lang w:val="en-US"/>
        </w:rPr>
        <w:t>.</w:t>
      </w:r>
      <w:r w:rsidR="002F6002" w:rsidRPr="002F6002">
        <w:rPr>
          <w:lang w:val="en-US"/>
        </w:rPr>
        <w:t xml:space="preserve"> It should be mentioned that both case-law and literature make a difference between distinct types of equality. Formal and substantive equality are two generally recognized equality models. Formal or Aristotelian equality corresponds to a liberal vision on equality. According to this model similar situations need to be treated alike and dissimilar situations need to be treated differently</w:t>
      </w:r>
      <w:r w:rsidR="002F6002" w:rsidRPr="002F6002">
        <w:rPr>
          <w:vertAlign w:val="superscript"/>
          <w:lang w:val="en-US"/>
        </w:rPr>
        <w:footnoteReference w:id="59"/>
      </w:r>
      <w:r w:rsidR="002F6002" w:rsidRPr="002F6002">
        <w:rPr>
          <w:lang w:val="en-US"/>
        </w:rPr>
        <w:t>.</w:t>
      </w:r>
      <w:r w:rsidR="004D40FD">
        <w:rPr>
          <w:lang w:val="en-US"/>
        </w:rPr>
        <w:t xml:space="preserve"> The formal equality </w:t>
      </w:r>
      <w:r w:rsidR="007025DD">
        <w:rPr>
          <w:lang w:val="en-US"/>
        </w:rPr>
        <w:t>model</w:t>
      </w:r>
      <w:r w:rsidR="004D40FD">
        <w:rPr>
          <w:lang w:val="en-US"/>
        </w:rPr>
        <w:t xml:space="preserve"> has been subject to a lot of criticism. </w:t>
      </w:r>
      <w:r w:rsidR="00DF0CC4">
        <w:rPr>
          <w:lang w:val="en-US"/>
        </w:rPr>
        <w:t>Many scholars indicate that it is not clear what is exactly meant with ‘alike’</w:t>
      </w:r>
      <w:r w:rsidR="00AD3BA2">
        <w:rPr>
          <w:rStyle w:val="Voetnootmarkering"/>
          <w:lang w:val="en-US"/>
        </w:rPr>
        <w:footnoteReference w:id="60"/>
      </w:r>
      <w:r w:rsidR="00DF0CC4">
        <w:rPr>
          <w:lang w:val="en-US"/>
        </w:rPr>
        <w:t>.</w:t>
      </w:r>
      <w:r w:rsidR="006224B0">
        <w:rPr>
          <w:lang w:val="en-US"/>
        </w:rPr>
        <w:t xml:space="preserve"> Some authors</w:t>
      </w:r>
      <w:r w:rsidR="00B17623">
        <w:rPr>
          <w:lang w:val="en-US"/>
        </w:rPr>
        <w:t xml:space="preserve"> have</w:t>
      </w:r>
      <w:r w:rsidR="006224B0">
        <w:rPr>
          <w:lang w:val="en-US"/>
        </w:rPr>
        <w:t xml:space="preserve"> argued that the Aristotelian equality is an empty shell</w:t>
      </w:r>
      <w:r w:rsidR="006224B0">
        <w:rPr>
          <w:rStyle w:val="Voetnootmarkering"/>
          <w:lang w:val="en-US"/>
        </w:rPr>
        <w:footnoteReference w:id="61"/>
      </w:r>
      <w:r w:rsidR="006224B0">
        <w:rPr>
          <w:lang w:val="en-US"/>
        </w:rPr>
        <w:t>. The concept is also frequently criticized for leaving power and privilege structures intact. Formal equality does not focus on the causes of inequality or on a particular result</w:t>
      </w:r>
      <w:r w:rsidR="00AD3BA2">
        <w:rPr>
          <w:rStyle w:val="Voetnootmarkering"/>
          <w:lang w:val="en-US"/>
        </w:rPr>
        <w:footnoteReference w:id="62"/>
      </w:r>
      <w:r w:rsidR="006224B0">
        <w:rPr>
          <w:lang w:val="en-US"/>
        </w:rPr>
        <w:t>.</w:t>
      </w:r>
      <w:r w:rsidR="007F7CF8">
        <w:rPr>
          <w:lang w:val="en-US"/>
        </w:rPr>
        <w:t xml:space="preserve"> Direct discrimination is often associated </w:t>
      </w:r>
      <w:r w:rsidR="007F7CF8">
        <w:rPr>
          <w:lang w:val="en-US"/>
        </w:rPr>
        <w:lastRenderedPageBreak/>
        <w:t>with Aristotelian equality</w:t>
      </w:r>
      <w:r w:rsidR="002F6002" w:rsidRPr="002F6002">
        <w:rPr>
          <w:vertAlign w:val="superscript"/>
          <w:lang w:val="en-US"/>
        </w:rPr>
        <w:footnoteReference w:id="63"/>
      </w:r>
      <w:r w:rsidR="002F6002" w:rsidRPr="002F6002">
        <w:rPr>
          <w:lang w:val="en-US"/>
        </w:rPr>
        <w:t>.</w:t>
      </w:r>
      <w:r w:rsidR="00A0025C">
        <w:rPr>
          <w:lang w:val="en-US"/>
        </w:rPr>
        <w:t xml:space="preserve"> </w:t>
      </w:r>
      <w:r w:rsidR="002B5768">
        <w:rPr>
          <w:lang w:val="en-US"/>
        </w:rPr>
        <w:t>Substantive equality is sometimes referred to as ‘real equality’ or ‘de facto equality’</w:t>
      </w:r>
      <w:r w:rsidR="002B5768">
        <w:rPr>
          <w:rStyle w:val="Voetnootmarkering"/>
          <w:lang w:val="en-US"/>
        </w:rPr>
        <w:footnoteReference w:id="64"/>
      </w:r>
      <w:r w:rsidR="002B5768">
        <w:rPr>
          <w:lang w:val="en-US"/>
        </w:rPr>
        <w:t>.</w:t>
      </w:r>
      <w:r w:rsidR="001626D8">
        <w:rPr>
          <w:lang w:val="en-US"/>
        </w:rPr>
        <w:t xml:space="preserve"> It is claimed that substantive equality strives for inclusion</w:t>
      </w:r>
      <w:r w:rsidR="001626D8">
        <w:rPr>
          <w:rStyle w:val="Voetnootmarkering"/>
          <w:lang w:val="en-US"/>
        </w:rPr>
        <w:footnoteReference w:id="65"/>
      </w:r>
      <w:r w:rsidR="001626D8">
        <w:rPr>
          <w:lang w:val="en-US"/>
        </w:rPr>
        <w:t>.</w:t>
      </w:r>
      <w:r w:rsidR="002B5768">
        <w:rPr>
          <w:lang w:val="en-US"/>
        </w:rPr>
        <w:t xml:space="preserve"> </w:t>
      </w:r>
      <w:r w:rsidR="001626D8">
        <w:rPr>
          <w:lang w:val="en-US"/>
        </w:rPr>
        <w:t>It ta</w:t>
      </w:r>
      <w:r w:rsidR="0034268C">
        <w:rPr>
          <w:lang w:val="en-US"/>
        </w:rPr>
        <w:t>kes into account social reality and tries to improve the societal position of deprived groups</w:t>
      </w:r>
      <w:r w:rsidR="00745580">
        <w:rPr>
          <w:rStyle w:val="Voetnootmarkering"/>
          <w:lang w:val="en-US"/>
        </w:rPr>
        <w:footnoteReference w:id="66"/>
      </w:r>
      <w:r w:rsidR="0034268C">
        <w:rPr>
          <w:lang w:val="en-US"/>
        </w:rPr>
        <w:t>.</w:t>
      </w:r>
      <w:r w:rsidR="007E3A8F">
        <w:rPr>
          <w:lang w:val="en-US"/>
        </w:rPr>
        <w:t xml:space="preserve"> </w:t>
      </w:r>
      <w:r w:rsidR="00AB5963">
        <w:rPr>
          <w:lang w:val="en-US"/>
        </w:rPr>
        <w:t xml:space="preserve">Real equality seeks to ensure that the different societal groups are represented proportionally </w:t>
      </w:r>
      <w:r w:rsidR="00707668">
        <w:rPr>
          <w:lang w:val="en-US"/>
        </w:rPr>
        <w:t xml:space="preserve">in for example, the workplace. </w:t>
      </w:r>
      <w:r w:rsidR="00205BC0">
        <w:rPr>
          <w:lang w:val="en-US"/>
        </w:rPr>
        <w:t>The concepts of indirect discriminatio</w:t>
      </w:r>
      <w:r w:rsidR="00F8335D">
        <w:rPr>
          <w:lang w:val="en-US"/>
        </w:rPr>
        <w:t>n and affirmative action (</w:t>
      </w:r>
      <w:r w:rsidR="00F8335D">
        <w:rPr>
          <w:i/>
          <w:lang w:val="en-US"/>
        </w:rPr>
        <w:t xml:space="preserve">infra </w:t>
      </w:r>
      <w:proofErr w:type="spellStart"/>
      <w:r w:rsidR="00F8335D">
        <w:rPr>
          <w:i/>
          <w:lang w:val="en-US"/>
        </w:rPr>
        <w:t>nos</w:t>
      </w:r>
      <w:proofErr w:type="spellEnd"/>
      <w:r w:rsidR="00F8335D">
        <w:rPr>
          <w:i/>
          <w:lang w:val="en-US"/>
        </w:rPr>
        <w:t xml:space="preserve"> 17-20 and 25-28</w:t>
      </w:r>
      <w:r w:rsidR="00205BC0">
        <w:rPr>
          <w:lang w:val="en-US"/>
        </w:rPr>
        <w:t>) are  often linked to substantive equality</w:t>
      </w:r>
      <w:r w:rsidR="002C77F7">
        <w:rPr>
          <w:rStyle w:val="Voetnootmarkering"/>
          <w:lang w:val="en-US"/>
        </w:rPr>
        <w:footnoteReference w:id="67"/>
      </w:r>
      <w:r w:rsidR="00205BC0">
        <w:rPr>
          <w:lang w:val="en-US"/>
        </w:rPr>
        <w:t>.</w:t>
      </w:r>
      <w:r w:rsidR="005E06DB">
        <w:rPr>
          <w:lang w:val="en-US"/>
        </w:rPr>
        <w:t xml:space="preserve"> Another term often encountered is equality of opportunity. </w:t>
      </w:r>
      <w:r w:rsidR="00347BB8">
        <w:rPr>
          <w:lang w:val="en-US"/>
        </w:rPr>
        <w:t>According to some, this is a subcategory of substantive equality</w:t>
      </w:r>
      <w:r w:rsidR="00773A0C">
        <w:rPr>
          <w:rStyle w:val="Voetnootmarkering"/>
          <w:lang w:val="en-US"/>
        </w:rPr>
        <w:footnoteReference w:id="68"/>
      </w:r>
      <w:r w:rsidR="00347BB8">
        <w:rPr>
          <w:lang w:val="en-US"/>
        </w:rPr>
        <w:t>. For others it is an independent concept which is located between formal and substantive equality</w:t>
      </w:r>
      <w:r w:rsidR="00773A0C">
        <w:rPr>
          <w:rStyle w:val="Voetnootmarkering"/>
          <w:lang w:val="en-US"/>
        </w:rPr>
        <w:footnoteReference w:id="69"/>
      </w:r>
      <w:r w:rsidR="00347BB8">
        <w:rPr>
          <w:lang w:val="en-US"/>
        </w:rPr>
        <w:t>.</w:t>
      </w:r>
      <w:r w:rsidR="00CB095E">
        <w:rPr>
          <w:lang w:val="en-US"/>
        </w:rPr>
        <w:t xml:space="preserve"> For the purpose of this dissertation, the second approach will be adhered to. </w:t>
      </w:r>
      <w:r w:rsidR="00906B13">
        <w:rPr>
          <w:lang w:val="en-US"/>
        </w:rPr>
        <w:t>Equality of opportunity reflects the idea of a ‘level playing field’</w:t>
      </w:r>
      <w:r w:rsidR="00906B13">
        <w:rPr>
          <w:rStyle w:val="Voetnootmarkering"/>
          <w:lang w:val="en-US"/>
        </w:rPr>
        <w:footnoteReference w:id="70"/>
      </w:r>
      <w:r w:rsidR="00906B13">
        <w:rPr>
          <w:lang w:val="en-US"/>
        </w:rPr>
        <w:t>.</w:t>
      </w:r>
      <w:r w:rsidR="00F71469">
        <w:rPr>
          <w:lang w:val="en-US"/>
        </w:rPr>
        <w:t xml:space="preserve"> It wants to guarantee that everybody sets of</w:t>
      </w:r>
      <w:r w:rsidR="00477550">
        <w:rPr>
          <w:lang w:val="en-US"/>
        </w:rPr>
        <w:t>f</w:t>
      </w:r>
      <w:r w:rsidR="00F71469">
        <w:rPr>
          <w:lang w:val="en-US"/>
        </w:rPr>
        <w:t xml:space="preserve"> from the same starting line when competing for valuable social goods. Equality of opportunity does however not strive for equality of results or proportionate representation. </w:t>
      </w:r>
      <w:r w:rsidR="00A53296">
        <w:rPr>
          <w:lang w:val="en-US"/>
        </w:rPr>
        <w:t>Once each person</w:t>
      </w:r>
      <w:r w:rsidR="001B1B3A">
        <w:rPr>
          <w:lang w:val="en-US"/>
        </w:rPr>
        <w:t xml:space="preserve"> has</w:t>
      </w:r>
      <w:r w:rsidR="00A53296">
        <w:rPr>
          <w:lang w:val="en-US"/>
        </w:rPr>
        <w:t xml:space="preserve"> received the same opportunities to ‘compete in the race’, the attention shifts to </w:t>
      </w:r>
      <w:r w:rsidR="002A17D3">
        <w:rPr>
          <w:lang w:val="en-US"/>
        </w:rPr>
        <w:t xml:space="preserve">choice and individual </w:t>
      </w:r>
      <w:r w:rsidR="00A53296">
        <w:rPr>
          <w:lang w:val="en-US"/>
        </w:rPr>
        <w:t>merit and qualities</w:t>
      </w:r>
      <w:r w:rsidR="00A53296">
        <w:rPr>
          <w:rStyle w:val="Voetnootmarkering"/>
          <w:lang w:val="en-US"/>
        </w:rPr>
        <w:footnoteReference w:id="71"/>
      </w:r>
      <w:r w:rsidR="00D73761">
        <w:rPr>
          <w:lang w:val="en-US"/>
        </w:rPr>
        <w:t>. Finally</w:t>
      </w:r>
      <w:r w:rsidR="00C86992">
        <w:rPr>
          <w:lang w:val="en-US"/>
        </w:rPr>
        <w:t>, it must be admitt</w:t>
      </w:r>
      <w:r w:rsidR="00A33EA4">
        <w:rPr>
          <w:lang w:val="en-US"/>
        </w:rPr>
        <w:t xml:space="preserve">ed that the distinction </w:t>
      </w:r>
      <w:r w:rsidR="00C86992">
        <w:rPr>
          <w:lang w:val="en-US"/>
        </w:rPr>
        <w:t>between formal equality, substantive equality and equality of opportun</w:t>
      </w:r>
      <w:r w:rsidR="00A33EA4">
        <w:rPr>
          <w:lang w:val="en-US"/>
        </w:rPr>
        <w:t xml:space="preserve">ity is not always fully apparent. </w:t>
      </w:r>
      <w:r w:rsidR="00C86992">
        <w:rPr>
          <w:lang w:val="en-US"/>
        </w:rPr>
        <w:t xml:space="preserve"> </w:t>
      </w:r>
      <w:r w:rsidR="005E06DB">
        <w:rPr>
          <w:lang w:val="en-US"/>
        </w:rPr>
        <w:t xml:space="preserve"> </w:t>
      </w:r>
      <w:r w:rsidR="00205BC0">
        <w:rPr>
          <w:lang w:val="en-US"/>
        </w:rPr>
        <w:t xml:space="preserve"> </w:t>
      </w:r>
    </w:p>
    <w:p w:rsidR="002F6002" w:rsidRDefault="009F09A5" w:rsidP="00687D8A">
      <w:pPr>
        <w:spacing w:line="360" w:lineRule="auto"/>
        <w:jc w:val="both"/>
        <w:rPr>
          <w:lang w:val="en-US"/>
        </w:rPr>
      </w:pPr>
      <w:r>
        <w:rPr>
          <w:i/>
          <w:lang w:val="en-US"/>
        </w:rPr>
        <w:t>10</w:t>
      </w:r>
      <w:r w:rsidR="002F6002" w:rsidRPr="002F6002">
        <w:rPr>
          <w:i/>
          <w:lang w:val="en-US"/>
        </w:rPr>
        <w:t>.</w:t>
      </w:r>
      <w:r w:rsidR="002F6002" w:rsidRPr="002F6002">
        <w:rPr>
          <w:lang w:val="en-US"/>
        </w:rPr>
        <w:t xml:space="preserve"> F</w:t>
      </w:r>
      <w:r w:rsidR="004B13E3">
        <w:rPr>
          <w:lang w:val="en-US"/>
        </w:rPr>
        <w:t>rom a merely linguistic point of view</w:t>
      </w:r>
      <w:r w:rsidR="002F6002" w:rsidRPr="002F6002">
        <w:rPr>
          <w:lang w:val="en-US"/>
        </w:rPr>
        <w:t xml:space="preserve"> the verb ‘to discriminate’ does not have a negative connotation. To discriminate means to differentiate. From a social and legal perspective </w:t>
      </w:r>
      <w:r w:rsidR="002F6002" w:rsidRPr="002F6002">
        <w:rPr>
          <w:lang w:val="en-US"/>
        </w:rPr>
        <w:lastRenderedPageBreak/>
        <w:t>discrimination nevertheless has a detrimental undertone. At present, lawyers agree that discrimination can only be constituted by arbitrary and illegal discrepancies in treatment</w:t>
      </w:r>
      <w:r w:rsidR="002F6002" w:rsidRPr="002F6002">
        <w:rPr>
          <w:vertAlign w:val="superscript"/>
          <w:lang w:val="en-US"/>
        </w:rPr>
        <w:footnoteReference w:id="72"/>
      </w:r>
      <w:r w:rsidR="002F6002" w:rsidRPr="002F6002">
        <w:rPr>
          <w:lang w:val="en-US"/>
        </w:rPr>
        <w:t xml:space="preserve">. ‘Discrimination’ has not yet been defined in a universal manner. </w:t>
      </w:r>
      <w:r w:rsidR="00A33EA4">
        <w:rPr>
          <w:lang w:val="en-US"/>
        </w:rPr>
        <w:t>As regards EU law, it</w:t>
      </w:r>
      <w:r w:rsidR="00420309">
        <w:rPr>
          <w:lang w:val="en-US"/>
        </w:rPr>
        <w:t xml:space="preserve"> is not always easy to figure out the difference between equality, equal treatment and non-discrimination. </w:t>
      </w:r>
      <w:r w:rsidR="002F6002" w:rsidRPr="002F6002">
        <w:rPr>
          <w:lang w:val="en-US"/>
        </w:rPr>
        <w:t>The European Court of Justice is not always consistent and sometimes uses the</w:t>
      </w:r>
      <w:r w:rsidR="00420309">
        <w:rPr>
          <w:lang w:val="en-US"/>
        </w:rPr>
        <w:t>se</w:t>
      </w:r>
      <w:r w:rsidR="002F6002" w:rsidRPr="002F6002">
        <w:rPr>
          <w:lang w:val="en-US"/>
        </w:rPr>
        <w:t xml:space="preserve"> concepts interchangeably. </w:t>
      </w:r>
    </w:p>
    <w:p w:rsidR="002F6002" w:rsidRDefault="009F09A5" w:rsidP="00687D8A">
      <w:pPr>
        <w:spacing w:line="360" w:lineRule="auto"/>
        <w:jc w:val="both"/>
        <w:rPr>
          <w:lang w:val="en-US"/>
        </w:rPr>
      </w:pPr>
      <w:r>
        <w:rPr>
          <w:i/>
          <w:lang w:val="en-US"/>
        </w:rPr>
        <w:t>11</w:t>
      </w:r>
      <w:r w:rsidR="0074119A" w:rsidRPr="0074119A">
        <w:rPr>
          <w:i/>
          <w:lang w:val="en-US"/>
        </w:rPr>
        <w:t>.</w:t>
      </w:r>
      <w:r w:rsidR="0074119A">
        <w:rPr>
          <w:lang w:val="en-US"/>
        </w:rPr>
        <w:t xml:space="preserve"> </w:t>
      </w:r>
      <w:r w:rsidR="00906A0B">
        <w:rPr>
          <w:lang w:val="en-US"/>
        </w:rPr>
        <w:t xml:space="preserve">One may wonder whether a discriminatory intent or motive is required before a distinction in treatment is considered to be illegal. In other words, does the prohibition on discrimination require that the perpetrator knew that his practice, measure or rule would disadvantage a certain group or individual? </w:t>
      </w:r>
      <w:r w:rsidR="00F16EEC">
        <w:rPr>
          <w:lang w:val="en-US"/>
        </w:rPr>
        <w:t>One can answer this question in the negative. Neither EU law</w:t>
      </w:r>
      <w:r w:rsidR="005F6A71">
        <w:rPr>
          <w:rStyle w:val="Voetnootmarkering"/>
          <w:lang w:val="en-US"/>
        </w:rPr>
        <w:footnoteReference w:id="73"/>
      </w:r>
      <w:r w:rsidR="00F16EEC">
        <w:rPr>
          <w:lang w:val="en-US"/>
        </w:rPr>
        <w:t>, nor the relevant human rights instruments require a discriminatory intent</w:t>
      </w:r>
      <w:r w:rsidR="00F7574A">
        <w:rPr>
          <w:rStyle w:val="Voetnootmarkering"/>
          <w:lang w:val="en-US"/>
        </w:rPr>
        <w:footnoteReference w:id="74"/>
      </w:r>
      <w:r w:rsidR="00F16EEC">
        <w:rPr>
          <w:lang w:val="en-US"/>
        </w:rPr>
        <w:t>.</w:t>
      </w:r>
    </w:p>
    <w:p w:rsidR="002F6002" w:rsidRPr="002F6002" w:rsidRDefault="002F6002" w:rsidP="00687D8A">
      <w:pPr>
        <w:spacing w:line="360" w:lineRule="auto"/>
        <w:jc w:val="both"/>
        <w:rPr>
          <w:lang w:val="en-US"/>
        </w:rPr>
      </w:pPr>
      <w:r w:rsidRPr="002F6002">
        <w:rPr>
          <w:lang w:val="en-US"/>
        </w:rPr>
        <w:t>§2. Prohibited Classifications</w:t>
      </w:r>
    </w:p>
    <w:p w:rsidR="00227D0B" w:rsidRDefault="009F09A5" w:rsidP="00687D8A">
      <w:pPr>
        <w:spacing w:line="360" w:lineRule="auto"/>
        <w:jc w:val="both"/>
        <w:rPr>
          <w:lang w:val="en-US"/>
        </w:rPr>
      </w:pPr>
      <w:r>
        <w:rPr>
          <w:i/>
          <w:lang w:val="en-US"/>
        </w:rPr>
        <w:t>12</w:t>
      </w:r>
      <w:r w:rsidR="002F6002" w:rsidRPr="002F6002">
        <w:rPr>
          <w:i/>
          <w:lang w:val="en-US"/>
        </w:rPr>
        <w:t>.</w:t>
      </w:r>
      <w:r w:rsidR="002F6002" w:rsidRPr="002F6002">
        <w:rPr>
          <w:lang w:val="en-US"/>
        </w:rPr>
        <w:t xml:space="preserve"> A legal provision normally does not </w:t>
      </w:r>
      <w:r w:rsidR="00BB0C71">
        <w:rPr>
          <w:lang w:val="en-US"/>
        </w:rPr>
        <w:t>interdict discrimination per se</w:t>
      </w:r>
      <w:r w:rsidR="002F6002" w:rsidRPr="002F6002">
        <w:rPr>
          <w:lang w:val="en-US"/>
        </w:rPr>
        <w:t>. In most instances, it prescribes prohibited grounds of discrimination. There are authors who prefer to use the word ‘protected’ instead of ‘pro</w:t>
      </w:r>
      <w:r w:rsidR="006D5CB2">
        <w:rPr>
          <w:lang w:val="en-US"/>
        </w:rPr>
        <w:t>hibited’</w:t>
      </w:r>
      <w:r w:rsidR="006D5CB2">
        <w:rPr>
          <w:rStyle w:val="Voetnootmarkering"/>
          <w:lang w:val="en-US"/>
        </w:rPr>
        <w:footnoteReference w:id="75"/>
      </w:r>
      <w:r w:rsidR="006D5CB2">
        <w:rPr>
          <w:lang w:val="en-US"/>
        </w:rPr>
        <w:t>. B</w:t>
      </w:r>
      <w:r w:rsidR="002F6002" w:rsidRPr="002F6002">
        <w:rPr>
          <w:lang w:val="en-US"/>
        </w:rPr>
        <w:t>oth words will be used interchangeably</w:t>
      </w:r>
      <w:r w:rsidR="00BB4870">
        <w:rPr>
          <w:lang w:val="en-US"/>
        </w:rPr>
        <w:t xml:space="preserve"> here</w:t>
      </w:r>
      <w:r w:rsidR="002F6002" w:rsidRPr="002F6002">
        <w:rPr>
          <w:lang w:val="en-US"/>
        </w:rPr>
        <w:t xml:space="preserve">. </w:t>
      </w:r>
      <w:r w:rsidR="00BB4870">
        <w:rPr>
          <w:lang w:val="en-US"/>
        </w:rPr>
        <w:t xml:space="preserve">For this dissertation, the most important protected ground is of course sex. Other protected grounds are for example skin </w:t>
      </w:r>
      <w:proofErr w:type="spellStart"/>
      <w:r w:rsidR="00BB4870">
        <w:rPr>
          <w:lang w:val="en-US"/>
        </w:rPr>
        <w:t>colour</w:t>
      </w:r>
      <w:proofErr w:type="spellEnd"/>
      <w:r w:rsidR="00BB4870">
        <w:rPr>
          <w:lang w:val="en-US"/>
        </w:rPr>
        <w:t>, disability, religion</w:t>
      </w:r>
      <w:r w:rsidR="00D347E8">
        <w:rPr>
          <w:lang w:val="en-US"/>
        </w:rPr>
        <w:t>, sexual orientation</w:t>
      </w:r>
      <w:r w:rsidR="00BB4870">
        <w:rPr>
          <w:lang w:val="en-US"/>
        </w:rPr>
        <w:t xml:space="preserve"> or political conviction</w:t>
      </w:r>
      <w:r w:rsidR="00BB4870">
        <w:rPr>
          <w:rStyle w:val="Voetnootmarkering"/>
          <w:lang w:val="en-US"/>
        </w:rPr>
        <w:footnoteReference w:id="76"/>
      </w:r>
      <w:r w:rsidR="00BB4870">
        <w:rPr>
          <w:lang w:val="en-US"/>
        </w:rPr>
        <w:t>.</w:t>
      </w:r>
      <w:r w:rsidR="00DD3915">
        <w:rPr>
          <w:lang w:val="en-US"/>
        </w:rPr>
        <w:t xml:space="preserve"> </w:t>
      </w:r>
      <w:r w:rsidR="002F6002" w:rsidRPr="002F6002">
        <w:rPr>
          <w:lang w:val="en-US"/>
        </w:rPr>
        <w:t>It h</w:t>
      </w:r>
      <w:r w:rsidR="00DD3915">
        <w:rPr>
          <w:lang w:val="en-US"/>
        </w:rPr>
        <w:t>as been demonstrated that women or other persons</w:t>
      </w:r>
      <w:r w:rsidR="002F6002" w:rsidRPr="002F6002">
        <w:rPr>
          <w:lang w:val="en-US"/>
        </w:rPr>
        <w:t xml:space="preserve"> possessing one or more of these specific characteristics or features often belong to the more vulnerable groups in society</w:t>
      </w:r>
      <w:r w:rsidR="002F6002" w:rsidRPr="002F6002">
        <w:rPr>
          <w:vertAlign w:val="superscript"/>
          <w:lang w:val="en-US"/>
        </w:rPr>
        <w:footnoteReference w:id="77"/>
      </w:r>
      <w:r w:rsidR="006D5CB2">
        <w:rPr>
          <w:lang w:val="en-US"/>
        </w:rPr>
        <w:t xml:space="preserve">. </w:t>
      </w:r>
      <w:r w:rsidR="00FD3D0A">
        <w:rPr>
          <w:lang w:val="en-US"/>
        </w:rPr>
        <w:t xml:space="preserve">      </w:t>
      </w:r>
      <w:r w:rsidR="002F6002" w:rsidRPr="002F6002">
        <w:rPr>
          <w:lang w:val="en-US"/>
        </w:rPr>
        <w:t>Adverse differential treatment cannot be based on one of the protected grounds.</w:t>
      </w:r>
      <w:r w:rsidR="00F57768">
        <w:rPr>
          <w:lang w:val="en-US"/>
        </w:rPr>
        <w:t xml:space="preserve"> </w:t>
      </w:r>
      <w:r w:rsidR="006D5CB2">
        <w:rPr>
          <w:lang w:val="en-US"/>
        </w:rPr>
        <w:t>For example,</w:t>
      </w:r>
      <w:r w:rsidR="00F57768">
        <w:rPr>
          <w:lang w:val="en-US"/>
        </w:rPr>
        <w:t xml:space="preserve"> an employer is not allowed to pay a female employee less than a male one just because she </w:t>
      </w:r>
      <w:r w:rsidR="00F57768">
        <w:rPr>
          <w:lang w:val="en-US"/>
        </w:rPr>
        <w:lastRenderedPageBreak/>
        <w:t xml:space="preserve">happens to be a women. </w:t>
      </w:r>
      <w:r w:rsidR="002F6002" w:rsidRPr="002F6002">
        <w:rPr>
          <w:lang w:val="en-US"/>
        </w:rPr>
        <w:t>The workers’ sex is totally irrelevant to the determination of wages. A provision enumerating protected grounds can be open-ended or closed</w:t>
      </w:r>
      <w:r w:rsidR="002F6002" w:rsidRPr="002F6002">
        <w:rPr>
          <w:vertAlign w:val="superscript"/>
          <w:lang w:val="en-US"/>
        </w:rPr>
        <w:footnoteReference w:id="78"/>
      </w:r>
      <w:r w:rsidR="00C97A91">
        <w:rPr>
          <w:lang w:val="en-US"/>
        </w:rPr>
        <w:t xml:space="preserve">. In EU legislation we </w:t>
      </w:r>
      <w:r w:rsidR="002F6002" w:rsidRPr="002F6002">
        <w:rPr>
          <w:lang w:val="en-US"/>
        </w:rPr>
        <w:t>find</w:t>
      </w:r>
      <w:r w:rsidR="00C97A91">
        <w:rPr>
          <w:lang w:val="en-US"/>
        </w:rPr>
        <w:t xml:space="preserve"> </w:t>
      </w:r>
      <w:r w:rsidR="002F6002" w:rsidRPr="002F6002">
        <w:rPr>
          <w:lang w:val="en-US"/>
        </w:rPr>
        <w:t>a combination of open and closed anti-discrimination provisions</w:t>
      </w:r>
      <w:r w:rsidR="002F6002" w:rsidRPr="002F6002">
        <w:rPr>
          <w:vertAlign w:val="superscript"/>
          <w:lang w:val="en-US"/>
        </w:rPr>
        <w:footnoteReference w:id="79"/>
      </w:r>
      <w:r w:rsidR="007956E7">
        <w:rPr>
          <w:lang w:val="en-US"/>
        </w:rPr>
        <w:t>. T</w:t>
      </w:r>
      <w:r w:rsidR="002F6002" w:rsidRPr="002F6002">
        <w:rPr>
          <w:lang w:val="en-US"/>
        </w:rPr>
        <w:t>he Revised European Social Charter</w:t>
      </w:r>
      <w:r w:rsidR="007956E7">
        <w:rPr>
          <w:lang w:val="en-US"/>
        </w:rPr>
        <w:t>’s non-discrimination provision</w:t>
      </w:r>
      <w:r w:rsidR="002F6002" w:rsidRPr="002F6002">
        <w:rPr>
          <w:vertAlign w:val="superscript"/>
          <w:lang w:val="en-US"/>
        </w:rPr>
        <w:footnoteReference w:id="80"/>
      </w:r>
      <w:r w:rsidR="007956E7">
        <w:rPr>
          <w:lang w:val="en-US"/>
        </w:rPr>
        <w:t xml:space="preserve"> is of </w:t>
      </w:r>
      <w:r w:rsidR="002F6002" w:rsidRPr="002F6002">
        <w:rPr>
          <w:lang w:val="en-US"/>
        </w:rPr>
        <w:t>an open-ended nature</w:t>
      </w:r>
      <w:r w:rsidR="002F6002" w:rsidRPr="002F6002">
        <w:rPr>
          <w:vertAlign w:val="superscript"/>
          <w:lang w:val="en-US"/>
        </w:rPr>
        <w:footnoteReference w:id="81"/>
      </w:r>
      <w:r w:rsidR="002F6002" w:rsidRPr="002F6002">
        <w:rPr>
          <w:lang w:val="en-US"/>
        </w:rPr>
        <w:t>. The</w:t>
      </w:r>
      <w:r w:rsidR="006B740C">
        <w:rPr>
          <w:lang w:val="en-US"/>
        </w:rPr>
        <w:t xml:space="preserve"> UN</w:t>
      </w:r>
      <w:r w:rsidR="002F6002" w:rsidRPr="002F6002">
        <w:rPr>
          <w:lang w:val="en-US"/>
        </w:rPr>
        <w:t xml:space="preserve"> Co</w:t>
      </w:r>
      <w:r w:rsidR="00BC3494">
        <w:rPr>
          <w:lang w:val="en-US"/>
        </w:rPr>
        <w:t>nvention on the Elimination of A</w:t>
      </w:r>
      <w:r w:rsidR="002F6002" w:rsidRPr="002F6002">
        <w:rPr>
          <w:lang w:val="en-US"/>
        </w:rPr>
        <w:t>ll</w:t>
      </w:r>
      <w:r w:rsidR="006B740C">
        <w:rPr>
          <w:lang w:val="en-US"/>
        </w:rPr>
        <w:t xml:space="preserve"> Forms of</w:t>
      </w:r>
      <w:r w:rsidR="002F6002" w:rsidRPr="002F6002">
        <w:rPr>
          <w:lang w:val="en-US"/>
        </w:rPr>
        <w:t xml:space="preserve"> Discrimination against Women</w:t>
      </w:r>
      <w:r w:rsidR="002F6002" w:rsidRPr="002F6002">
        <w:rPr>
          <w:vertAlign w:val="superscript"/>
          <w:lang w:val="en-US"/>
        </w:rPr>
        <w:footnoteReference w:id="82"/>
      </w:r>
      <w:r w:rsidR="002F6002" w:rsidRPr="002F6002">
        <w:rPr>
          <w:lang w:val="en-US"/>
        </w:rPr>
        <w:t xml:space="preserve"> and the ILO anti-discrimination Convention</w:t>
      </w:r>
      <w:r w:rsidR="002F6002" w:rsidRPr="002F6002">
        <w:rPr>
          <w:vertAlign w:val="superscript"/>
          <w:lang w:val="en-US"/>
        </w:rPr>
        <w:footnoteReference w:id="83"/>
      </w:r>
      <w:r w:rsidR="002F6002" w:rsidRPr="002F6002">
        <w:rPr>
          <w:lang w:val="en-US"/>
        </w:rPr>
        <w:t xml:space="preserve"> comprise closed proscriptions on discrimination</w:t>
      </w:r>
      <w:r w:rsidR="002F6002" w:rsidRPr="002F6002">
        <w:rPr>
          <w:vertAlign w:val="superscript"/>
          <w:lang w:val="en-US"/>
        </w:rPr>
        <w:footnoteReference w:id="84"/>
      </w:r>
      <w:r w:rsidR="002F6002" w:rsidRPr="002F6002">
        <w:rPr>
          <w:lang w:val="en-US"/>
        </w:rPr>
        <w:t xml:space="preserve">. </w:t>
      </w:r>
    </w:p>
    <w:p w:rsidR="002F6002" w:rsidRPr="002F6002" w:rsidRDefault="002F6002" w:rsidP="00687D8A">
      <w:pPr>
        <w:spacing w:line="360" w:lineRule="auto"/>
        <w:jc w:val="both"/>
        <w:rPr>
          <w:lang w:val="en-US"/>
        </w:rPr>
      </w:pPr>
      <w:r w:rsidRPr="002F6002">
        <w:rPr>
          <w:lang w:val="en-US"/>
        </w:rPr>
        <w:t>§3. Comparability</w:t>
      </w:r>
    </w:p>
    <w:p w:rsidR="002F6002" w:rsidRPr="002F6002" w:rsidRDefault="009F09A5" w:rsidP="00687D8A">
      <w:pPr>
        <w:spacing w:line="360" w:lineRule="auto"/>
        <w:jc w:val="both"/>
        <w:rPr>
          <w:lang w:val="en-US"/>
        </w:rPr>
      </w:pPr>
      <w:r>
        <w:rPr>
          <w:i/>
          <w:lang w:val="en-US"/>
        </w:rPr>
        <w:t>13</w:t>
      </w:r>
      <w:r w:rsidR="002F6002" w:rsidRPr="002F6002">
        <w:rPr>
          <w:i/>
          <w:lang w:val="en-US"/>
        </w:rPr>
        <w:t>.</w:t>
      </w:r>
      <w:r w:rsidR="002F6002" w:rsidRPr="002F6002">
        <w:rPr>
          <w:lang w:val="en-US"/>
        </w:rPr>
        <w:t xml:space="preserve"> Paragraph one of this section made clear that, in principle, application of the non-discrimination concept requires a comparison</w:t>
      </w:r>
      <w:r w:rsidR="008A1583">
        <w:rPr>
          <w:rStyle w:val="Voetnootmarkering"/>
          <w:lang w:val="en-US"/>
        </w:rPr>
        <w:footnoteReference w:id="85"/>
      </w:r>
      <w:r w:rsidR="002F6002" w:rsidRPr="002F6002">
        <w:rPr>
          <w:lang w:val="en-US"/>
        </w:rPr>
        <w:t>. You need to compare the treatment of two individuals or two groups of persons in a similar si</w:t>
      </w:r>
      <w:r w:rsidR="00855924">
        <w:rPr>
          <w:lang w:val="en-US"/>
        </w:rPr>
        <w:t xml:space="preserve">tuation. One of the two has a protected </w:t>
      </w:r>
      <w:r w:rsidR="002F6002" w:rsidRPr="002F6002">
        <w:rPr>
          <w:lang w:val="en-US"/>
        </w:rPr>
        <w:t xml:space="preserve">characteristic or feature, the other has not. When the individual or group </w:t>
      </w:r>
      <w:r w:rsidR="002F6002" w:rsidRPr="002F6002">
        <w:rPr>
          <w:i/>
          <w:lang w:val="en-US"/>
        </w:rPr>
        <w:t>with</w:t>
      </w:r>
      <w:r w:rsidR="002F6002" w:rsidRPr="002F6002">
        <w:rPr>
          <w:lang w:val="en-US"/>
        </w:rPr>
        <w:t xml:space="preserve"> the characteristic is treated less </w:t>
      </w:r>
      <w:proofErr w:type="spellStart"/>
      <w:r w:rsidR="002F6002" w:rsidRPr="002F6002">
        <w:rPr>
          <w:lang w:val="en-US"/>
        </w:rPr>
        <w:t>favourably</w:t>
      </w:r>
      <w:proofErr w:type="spellEnd"/>
      <w:r w:rsidR="002F6002" w:rsidRPr="002F6002">
        <w:rPr>
          <w:lang w:val="en-US"/>
        </w:rPr>
        <w:t xml:space="preserve"> than the individual or group </w:t>
      </w:r>
      <w:r w:rsidR="002F6002" w:rsidRPr="002F6002">
        <w:rPr>
          <w:i/>
          <w:lang w:val="en-US"/>
        </w:rPr>
        <w:t>without</w:t>
      </w:r>
      <w:r w:rsidR="002F6002" w:rsidRPr="002F6002">
        <w:rPr>
          <w:lang w:val="en-US"/>
        </w:rPr>
        <w:t xml:space="preserve"> the characteristic and this difference in treatment is owing, directly or indirectly, to the characteristic, then there is discrimination.</w:t>
      </w:r>
      <w:r w:rsidR="00855924">
        <w:rPr>
          <w:lang w:val="en-US"/>
        </w:rPr>
        <w:t xml:space="preserve"> In most cases where sex is the protected characteristic,</w:t>
      </w:r>
      <w:r w:rsidR="00206BF1">
        <w:rPr>
          <w:lang w:val="en-US"/>
        </w:rPr>
        <w:t xml:space="preserve"> comparability is not an issue. The comparator requirement however does become more problematic when one is confronted with pregnancy discrimination and sexual harassment</w:t>
      </w:r>
      <w:r w:rsidR="00162C57">
        <w:rPr>
          <w:lang w:val="en-US"/>
        </w:rPr>
        <w:t xml:space="preserve"> (</w:t>
      </w:r>
      <w:r w:rsidR="00162C57">
        <w:rPr>
          <w:i/>
          <w:lang w:val="en-US"/>
        </w:rPr>
        <w:t xml:space="preserve">infra </w:t>
      </w:r>
      <w:proofErr w:type="spellStart"/>
      <w:r w:rsidR="00162C57">
        <w:rPr>
          <w:i/>
          <w:lang w:val="en-US"/>
        </w:rPr>
        <w:t>nos</w:t>
      </w:r>
      <w:proofErr w:type="spellEnd"/>
      <w:r w:rsidR="00162C57">
        <w:rPr>
          <w:i/>
          <w:lang w:val="en-US"/>
        </w:rPr>
        <w:t xml:space="preserve"> 55 and 74</w:t>
      </w:r>
      <w:r w:rsidR="00515182">
        <w:rPr>
          <w:lang w:val="en-US"/>
        </w:rPr>
        <w:t xml:space="preserve">). </w:t>
      </w:r>
      <w:r w:rsidR="002F6002" w:rsidRPr="002F6002">
        <w:rPr>
          <w:lang w:val="en-US"/>
        </w:rPr>
        <w:t xml:space="preserve">  </w:t>
      </w:r>
    </w:p>
    <w:p w:rsidR="002F6002" w:rsidRPr="002F6002" w:rsidRDefault="002F6002" w:rsidP="00687D8A">
      <w:pPr>
        <w:spacing w:line="360" w:lineRule="auto"/>
        <w:jc w:val="both"/>
        <w:rPr>
          <w:lang w:val="en-US"/>
        </w:rPr>
      </w:pPr>
    </w:p>
    <w:p w:rsidR="002F6002" w:rsidRPr="002F6002" w:rsidRDefault="002F6002" w:rsidP="00687D8A">
      <w:pPr>
        <w:spacing w:line="360" w:lineRule="auto"/>
        <w:jc w:val="both"/>
        <w:rPr>
          <w:lang w:val="en-US"/>
        </w:rPr>
      </w:pPr>
    </w:p>
    <w:p w:rsidR="002F6002" w:rsidRPr="002F6002" w:rsidRDefault="002F6002" w:rsidP="00687D8A">
      <w:pPr>
        <w:spacing w:line="360" w:lineRule="auto"/>
        <w:jc w:val="both"/>
        <w:rPr>
          <w:lang w:val="en-US"/>
        </w:rPr>
      </w:pPr>
    </w:p>
    <w:p w:rsidR="002F6002" w:rsidRPr="002F6002" w:rsidRDefault="002F6002" w:rsidP="00687D8A">
      <w:pPr>
        <w:spacing w:line="360" w:lineRule="auto"/>
        <w:jc w:val="both"/>
        <w:rPr>
          <w:lang w:val="en-US"/>
        </w:rPr>
      </w:pPr>
      <w:r w:rsidRPr="002F6002">
        <w:rPr>
          <w:lang w:val="en-US"/>
        </w:rPr>
        <w:t xml:space="preserve"> </w:t>
      </w:r>
    </w:p>
    <w:p w:rsidR="00475FD9" w:rsidRDefault="00475FD9" w:rsidP="00687D8A">
      <w:pPr>
        <w:spacing w:line="360" w:lineRule="auto"/>
        <w:jc w:val="both"/>
        <w:rPr>
          <w:lang w:val="en-US"/>
        </w:rPr>
      </w:pPr>
    </w:p>
    <w:p w:rsidR="002F6002" w:rsidRPr="00C041AA" w:rsidRDefault="002F6002" w:rsidP="00687D8A">
      <w:pPr>
        <w:spacing w:line="360" w:lineRule="auto"/>
        <w:jc w:val="both"/>
        <w:rPr>
          <w:lang w:val="en-US"/>
        </w:rPr>
      </w:pPr>
      <w:r w:rsidRPr="002F6002">
        <w:rPr>
          <w:u w:val="single"/>
          <w:lang w:val="en-US"/>
        </w:rPr>
        <w:lastRenderedPageBreak/>
        <w:t>Section II. Direct Discrimination</w:t>
      </w:r>
    </w:p>
    <w:p w:rsidR="002F6002" w:rsidRPr="002F6002" w:rsidRDefault="00033F67" w:rsidP="00687D8A">
      <w:pPr>
        <w:spacing w:line="360" w:lineRule="auto"/>
        <w:jc w:val="both"/>
        <w:rPr>
          <w:lang w:val="en-US"/>
        </w:rPr>
      </w:pPr>
      <w:r>
        <w:rPr>
          <w:i/>
          <w:lang w:val="en-US"/>
        </w:rPr>
        <w:t>14</w:t>
      </w:r>
      <w:r w:rsidR="002F6002" w:rsidRPr="002F6002">
        <w:rPr>
          <w:i/>
          <w:lang w:val="en-US"/>
        </w:rPr>
        <w:t>.</w:t>
      </w:r>
      <w:r w:rsidR="002F6002" w:rsidRPr="002F6002">
        <w:rPr>
          <w:lang w:val="en-US"/>
        </w:rPr>
        <w:t xml:space="preserve"> </w:t>
      </w:r>
      <w:r w:rsidR="00E97775">
        <w:rPr>
          <w:lang w:val="en-US"/>
        </w:rPr>
        <w:t>Most direct discrimination cases are rather straightforward. A</w:t>
      </w:r>
      <w:r w:rsidR="002F6002" w:rsidRPr="002F6002">
        <w:rPr>
          <w:lang w:val="en-US"/>
        </w:rPr>
        <w:t xml:space="preserve"> person </w:t>
      </w:r>
      <w:r w:rsidR="002F6002" w:rsidRPr="002F6002">
        <w:rPr>
          <w:i/>
          <w:lang w:val="en-US"/>
        </w:rPr>
        <w:t>with</w:t>
      </w:r>
      <w:r w:rsidR="002F6002" w:rsidRPr="002F6002">
        <w:rPr>
          <w:lang w:val="en-US"/>
        </w:rPr>
        <w:t xml:space="preserve"> a protected characteristic is treated detrimentally in comparison to another person </w:t>
      </w:r>
      <w:r w:rsidR="002F6002" w:rsidRPr="002F6002">
        <w:rPr>
          <w:i/>
          <w:lang w:val="en-US"/>
        </w:rPr>
        <w:t>without</w:t>
      </w:r>
      <w:r w:rsidR="002F6002" w:rsidRPr="002F6002">
        <w:rPr>
          <w:lang w:val="en-US"/>
        </w:rPr>
        <w:t xml:space="preserve"> the characte</w:t>
      </w:r>
      <w:r w:rsidR="007F5A90">
        <w:rPr>
          <w:lang w:val="en-US"/>
        </w:rPr>
        <w:t>ristic exactly because she or he</w:t>
      </w:r>
      <w:r w:rsidR="002F6002" w:rsidRPr="002F6002">
        <w:rPr>
          <w:lang w:val="en-US"/>
        </w:rPr>
        <w:t xml:space="preserve"> has the characteristic. The less </w:t>
      </w:r>
      <w:proofErr w:type="spellStart"/>
      <w:r w:rsidR="002F6002" w:rsidRPr="002F6002">
        <w:rPr>
          <w:lang w:val="en-US"/>
        </w:rPr>
        <w:t>favourable</w:t>
      </w:r>
      <w:proofErr w:type="spellEnd"/>
      <w:r w:rsidR="002F6002" w:rsidRPr="002F6002">
        <w:rPr>
          <w:lang w:val="en-US"/>
        </w:rPr>
        <w:t xml:space="preserve"> treatment is thus directly owing to the characteristic</w:t>
      </w:r>
      <w:r w:rsidR="000465A2">
        <w:rPr>
          <w:rStyle w:val="Voetnootmarkering"/>
          <w:lang w:val="en-US"/>
        </w:rPr>
        <w:footnoteReference w:id="86"/>
      </w:r>
      <w:r w:rsidR="002F6002" w:rsidRPr="002F6002">
        <w:rPr>
          <w:lang w:val="en-US"/>
        </w:rPr>
        <w:t>. Direct discrimination will often, but not always, be of an overt nature</w:t>
      </w:r>
      <w:r w:rsidR="000465A2">
        <w:rPr>
          <w:rStyle w:val="Voetnootmarkering"/>
          <w:lang w:val="en-US"/>
        </w:rPr>
        <w:footnoteReference w:id="87"/>
      </w:r>
      <w:r w:rsidR="0029468D">
        <w:rPr>
          <w:lang w:val="en-US"/>
        </w:rPr>
        <w:t xml:space="preserve">. An </w:t>
      </w:r>
      <w:r w:rsidR="002F6002" w:rsidRPr="002F6002">
        <w:rPr>
          <w:lang w:val="en-US"/>
        </w:rPr>
        <w:t>example would be a an adve</w:t>
      </w:r>
      <w:r w:rsidR="0029468D">
        <w:rPr>
          <w:lang w:val="en-US"/>
        </w:rPr>
        <w:t>rtisement for a job in a factory stating ‘team leader or foreman wanted</w:t>
      </w:r>
      <w:r w:rsidR="002F6002" w:rsidRPr="002F6002">
        <w:rPr>
          <w:lang w:val="en-US"/>
        </w:rPr>
        <w:t>, men only’. In this case there is clearly direct discrimination on the basis of sex. The cause for direct discrimination can often be found in persistent prejudices or stereotyp</w:t>
      </w:r>
      <w:r w:rsidR="009A1E60">
        <w:rPr>
          <w:lang w:val="en-US"/>
        </w:rPr>
        <w:t>es</w:t>
      </w:r>
      <w:r w:rsidR="001A6804">
        <w:rPr>
          <w:rStyle w:val="Voetnootmarkering"/>
          <w:lang w:val="en-US"/>
        </w:rPr>
        <w:footnoteReference w:id="88"/>
      </w:r>
      <w:r w:rsidR="009A1E60">
        <w:rPr>
          <w:lang w:val="en-US"/>
        </w:rPr>
        <w:t>. In the case of the factory t</w:t>
      </w:r>
      <w:r w:rsidR="00A83EC3">
        <w:rPr>
          <w:lang w:val="en-US"/>
        </w:rPr>
        <w:t>he people</w:t>
      </w:r>
      <w:r w:rsidR="002F6002" w:rsidRPr="002F6002">
        <w:rPr>
          <w:lang w:val="en-US"/>
        </w:rPr>
        <w:t xml:space="preserve"> responsible for recruitment might t</w:t>
      </w:r>
      <w:r w:rsidR="00970C80">
        <w:rPr>
          <w:lang w:val="en-US"/>
        </w:rPr>
        <w:t>hink ‘</w:t>
      </w:r>
      <w:r w:rsidR="009D4E8A">
        <w:rPr>
          <w:lang w:val="en-US"/>
        </w:rPr>
        <w:t>women are sensitive and have difficu</w:t>
      </w:r>
      <w:r w:rsidR="007831A8">
        <w:rPr>
          <w:lang w:val="en-US"/>
        </w:rPr>
        <w:t>lties in maintaining authority; being a t</w:t>
      </w:r>
      <w:r w:rsidR="009D4E8A">
        <w:rPr>
          <w:lang w:val="en-US"/>
        </w:rPr>
        <w:t xml:space="preserve">eam leader is no job for a woman’. </w:t>
      </w:r>
    </w:p>
    <w:p w:rsidR="002F6002" w:rsidRPr="00DF0DE1" w:rsidRDefault="00033F67" w:rsidP="00687D8A">
      <w:pPr>
        <w:spacing w:line="360" w:lineRule="auto"/>
        <w:jc w:val="both"/>
        <w:rPr>
          <w:lang w:val="en-US"/>
        </w:rPr>
      </w:pPr>
      <w:r>
        <w:rPr>
          <w:i/>
          <w:lang w:val="en-US"/>
        </w:rPr>
        <w:t>15</w:t>
      </w:r>
      <w:r w:rsidR="002F6002" w:rsidRPr="002F6002">
        <w:rPr>
          <w:i/>
          <w:lang w:val="en-US"/>
        </w:rPr>
        <w:t>.</w:t>
      </w:r>
      <w:r w:rsidR="002F6002" w:rsidRPr="002F6002">
        <w:rPr>
          <w:lang w:val="en-US"/>
        </w:rPr>
        <w:t xml:space="preserve"> In the early years of anti-discrimination legislation, direct discrimination played a significant role. As the prohibition on discrimination became more integrated in national and international systems, it also became apparent that it is often easy to circumvent a direct discrimination provision. The principle of indirect discrimination was consequently contrived in order to support and complement the latter. </w:t>
      </w:r>
    </w:p>
    <w:p w:rsidR="00900F20" w:rsidRDefault="002F6002" w:rsidP="00687D8A">
      <w:pPr>
        <w:spacing w:line="360" w:lineRule="auto"/>
        <w:jc w:val="both"/>
        <w:rPr>
          <w:lang w:val="en-US"/>
        </w:rPr>
      </w:pPr>
      <w:r w:rsidRPr="002F6002">
        <w:rPr>
          <w:i/>
          <w:lang w:val="en-US"/>
        </w:rPr>
        <w:t>1</w:t>
      </w:r>
      <w:r w:rsidR="00033F67">
        <w:rPr>
          <w:i/>
          <w:lang w:val="en-US"/>
        </w:rPr>
        <w:t>6</w:t>
      </w:r>
      <w:r w:rsidRPr="002F6002">
        <w:rPr>
          <w:i/>
          <w:lang w:val="en-US"/>
        </w:rPr>
        <w:t>.</w:t>
      </w:r>
      <w:r w:rsidRPr="002F6002">
        <w:rPr>
          <w:lang w:val="en-US"/>
        </w:rPr>
        <w:t xml:space="preserve"> The Treaty on the Establishment of the European Economic Community did not distinguish between direct and indirect forms of discrimination. For a long time, it was left to the European Court of Justice to give su</w:t>
      </w:r>
      <w:r w:rsidR="00900F20">
        <w:rPr>
          <w:lang w:val="en-US"/>
        </w:rPr>
        <w:t>bstance to the concept</w:t>
      </w:r>
      <w:r w:rsidR="00917ECA">
        <w:rPr>
          <w:lang w:val="en-US"/>
        </w:rPr>
        <w:t xml:space="preserve"> of discrimination</w:t>
      </w:r>
      <w:r w:rsidRPr="002F6002">
        <w:rPr>
          <w:vertAlign w:val="superscript"/>
          <w:lang w:val="en-US"/>
        </w:rPr>
        <w:footnoteReference w:id="89"/>
      </w:r>
      <w:r w:rsidR="00E87A5A">
        <w:rPr>
          <w:lang w:val="en-US"/>
        </w:rPr>
        <w:t xml:space="preserve">. In </w:t>
      </w:r>
      <w:r w:rsidRPr="002F6002">
        <w:rPr>
          <w:lang w:val="en-US"/>
        </w:rPr>
        <w:t>the early 2000s,</w:t>
      </w:r>
      <w:r w:rsidR="00DB7A11">
        <w:rPr>
          <w:lang w:val="en-US"/>
        </w:rPr>
        <w:t xml:space="preserve"> a definition of direct </w:t>
      </w:r>
      <w:r w:rsidR="00E87A5A">
        <w:rPr>
          <w:lang w:val="en-US"/>
        </w:rPr>
        <w:t>discrimination</w:t>
      </w:r>
      <w:r w:rsidR="00DB7A11">
        <w:rPr>
          <w:lang w:val="en-US"/>
        </w:rPr>
        <w:t xml:space="preserve"> on the basis of sex</w:t>
      </w:r>
      <w:r w:rsidR="00E87A5A">
        <w:rPr>
          <w:lang w:val="en-US"/>
        </w:rPr>
        <w:t xml:space="preserve"> was included in the equal treatment directives</w:t>
      </w:r>
      <w:r w:rsidR="00E87A5A">
        <w:rPr>
          <w:rStyle w:val="Voetnootmarkering"/>
          <w:lang w:val="en-US"/>
        </w:rPr>
        <w:footnoteReference w:id="90"/>
      </w:r>
      <w:r w:rsidR="00E87A5A">
        <w:rPr>
          <w:lang w:val="en-US"/>
        </w:rPr>
        <w:t>.</w:t>
      </w:r>
      <w:r w:rsidR="00716603">
        <w:rPr>
          <w:lang w:val="en-US"/>
        </w:rPr>
        <w:t xml:space="preserve"> Direct discrimination</w:t>
      </w:r>
      <w:r w:rsidR="00DB7A11">
        <w:rPr>
          <w:lang w:val="en-US"/>
        </w:rPr>
        <w:t xml:space="preserve"> on the grounds of sex</w:t>
      </w:r>
      <w:r w:rsidR="00716603">
        <w:rPr>
          <w:lang w:val="en-US"/>
        </w:rPr>
        <w:t xml:space="preserve"> is also</w:t>
      </w:r>
      <w:r w:rsidR="00DF0DE1">
        <w:rPr>
          <w:lang w:val="en-US"/>
        </w:rPr>
        <w:t xml:space="preserve"> universally</w:t>
      </w:r>
      <w:r w:rsidR="00716603">
        <w:rPr>
          <w:lang w:val="en-US"/>
        </w:rPr>
        <w:t xml:space="preserve"> recognized in international and regional human rights law</w:t>
      </w:r>
      <w:r w:rsidR="002858C0">
        <w:rPr>
          <w:rStyle w:val="Voetnootmarkering"/>
          <w:lang w:val="en-US"/>
        </w:rPr>
        <w:footnoteReference w:id="91"/>
      </w:r>
      <w:r w:rsidR="00716603">
        <w:rPr>
          <w:lang w:val="en-US"/>
        </w:rPr>
        <w:t xml:space="preserve">. </w:t>
      </w:r>
      <w:r w:rsidR="00166739">
        <w:rPr>
          <w:lang w:val="en-US"/>
        </w:rPr>
        <w:t xml:space="preserve"> </w:t>
      </w:r>
      <w:r w:rsidR="00E87A5A">
        <w:rPr>
          <w:lang w:val="en-US"/>
        </w:rPr>
        <w:t xml:space="preserve"> </w:t>
      </w:r>
      <w:r w:rsidRPr="002F6002">
        <w:rPr>
          <w:lang w:val="en-US"/>
        </w:rPr>
        <w:t xml:space="preserve"> </w:t>
      </w:r>
    </w:p>
    <w:p w:rsidR="004D2F98" w:rsidRDefault="004D2F98" w:rsidP="00687D8A">
      <w:pPr>
        <w:spacing w:line="360" w:lineRule="auto"/>
        <w:jc w:val="both"/>
        <w:rPr>
          <w:lang w:val="en-US"/>
        </w:rPr>
      </w:pPr>
    </w:p>
    <w:p w:rsidR="002F6002" w:rsidRPr="002F6002" w:rsidRDefault="002F6002" w:rsidP="00687D8A">
      <w:pPr>
        <w:spacing w:line="360" w:lineRule="auto"/>
        <w:jc w:val="both"/>
        <w:rPr>
          <w:u w:val="single"/>
          <w:lang w:val="en-US"/>
        </w:rPr>
      </w:pPr>
      <w:r w:rsidRPr="002F6002">
        <w:rPr>
          <w:u w:val="single"/>
          <w:lang w:val="en-US"/>
        </w:rPr>
        <w:lastRenderedPageBreak/>
        <w:t>Section III. Indirect Discrimination</w:t>
      </w:r>
    </w:p>
    <w:p w:rsidR="002F6002" w:rsidRPr="002F6002" w:rsidRDefault="0083142E" w:rsidP="00687D8A">
      <w:pPr>
        <w:spacing w:line="360" w:lineRule="auto"/>
        <w:jc w:val="both"/>
        <w:rPr>
          <w:u w:val="single"/>
          <w:lang w:val="en-US"/>
        </w:rPr>
      </w:pPr>
      <w:r>
        <w:rPr>
          <w:u w:val="single"/>
          <w:lang w:val="en-US"/>
        </w:rPr>
        <w:t>What is Indirect D</w:t>
      </w:r>
      <w:r w:rsidR="00EA04B8">
        <w:rPr>
          <w:u w:val="single"/>
          <w:lang w:val="en-US"/>
        </w:rPr>
        <w:t>iscrimination?</w:t>
      </w:r>
    </w:p>
    <w:p w:rsidR="005449B6" w:rsidRPr="00CB2DCE" w:rsidRDefault="006B5292" w:rsidP="00687D8A">
      <w:pPr>
        <w:spacing w:line="360" w:lineRule="auto"/>
        <w:jc w:val="both"/>
        <w:rPr>
          <w:lang w:val="en-US"/>
        </w:rPr>
      </w:pPr>
      <w:r>
        <w:rPr>
          <w:i/>
          <w:lang w:val="en-US"/>
        </w:rPr>
        <w:t>17</w:t>
      </w:r>
      <w:r w:rsidR="002F6002" w:rsidRPr="002F6002">
        <w:rPr>
          <w:i/>
          <w:lang w:val="en-US"/>
        </w:rPr>
        <w:t>.</w:t>
      </w:r>
      <w:r w:rsidR="002F6002" w:rsidRPr="002F6002">
        <w:rPr>
          <w:lang w:val="en-US"/>
        </w:rPr>
        <w:t xml:space="preserve"> In general, three distinct elements shape the concept of indirect discrimination. The first element is a provision, rule or practice which appears to be neutral at first sight. It does not mention one of the prohibited grounds and t</w:t>
      </w:r>
      <w:r w:rsidR="0023284C">
        <w:rPr>
          <w:lang w:val="en-US"/>
        </w:rPr>
        <w:t>hus seems to apply to all people</w:t>
      </w:r>
      <w:r w:rsidR="002F6002" w:rsidRPr="002F6002">
        <w:rPr>
          <w:lang w:val="en-US"/>
        </w:rPr>
        <w:t xml:space="preserve"> without any distinction</w:t>
      </w:r>
      <w:r w:rsidR="002F6002" w:rsidRPr="002F6002">
        <w:rPr>
          <w:vertAlign w:val="superscript"/>
          <w:lang w:val="en-US"/>
        </w:rPr>
        <w:footnoteReference w:id="92"/>
      </w:r>
      <w:r w:rsidR="002F6002" w:rsidRPr="002F6002">
        <w:rPr>
          <w:lang w:val="en-US"/>
        </w:rPr>
        <w:t>. The second element concer</w:t>
      </w:r>
      <w:r w:rsidR="00DD6B39">
        <w:rPr>
          <w:lang w:val="en-US"/>
        </w:rPr>
        <w:t xml:space="preserve">ns the operation of the seemingly </w:t>
      </w:r>
      <w:r w:rsidR="002F6002" w:rsidRPr="002F6002">
        <w:rPr>
          <w:lang w:val="en-US"/>
        </w:rPr>
        <w:t>neutral rule in practice. We already referred to the comparability requirement (</w:t>
      </w:r>
      <w:r w:rsidR="002F6002" w:rsidRPr="002F6002">
        <w:rPr>
          <w:i/>
          <w:lang w:val="en-US"/>
        </w:rPr>
        <w:t>supra no. 1</w:t>
      </w:r>
      <w:r w:rsidR="00704690">
        <w:rPr>
          <w:i/>
          <w:lang w:val="en-US"/>
        </w:rPr>
        <w:t>3</w:t>
      </w:r>
      <w:r w:rsidR="008C7579">
        <w:rPr>
          <w:lang w:val="en-US"/>
        </w:rPr>
        <w:t xml:space="preserve">). When applying </w:t>
      </w:r>
      <w:r w:rsidR="002F6002" w:rsidRPr="002F6002">
        <w:rPr>
          <w:lang w:val="en-US"/>
        </w:rPr>
        <w:t xml:space="preserve">this requirement to the rule under consideration, one </w:t>
      </w:r>
      <w:r w:rsidR="0067744D">
        <w:rPr>
          <w:lang w:val="en-US"/>
        </w:rPr>
        <w:t>may ascertain that it may not be</w:t>
      </w:r>
      <w:r w:rsidR="002F6002" w:rsidRPr="002F6002">
        <w:rPr>
          <w:lang w:val="en-US"/>
        </w:rPr>
        <w:t xml:space="preserve"> as neutral as it seems. An at face neutral rule often has, when in operation, a different impact on distinct groups of people. In the majority of the cases the impact of the rule will be more detrimental for a group with a protected characteristic</w:t>
      </w:r>
      <w:r w:rsidR="002F6002" w:rsidRPr="002F6002">
        <w:rPr>
          <w:vertAlign w:val="superscript"/>
          <w:lang w:val="en-US"/>
        </w:rPr>
        <w:footnoteReference w:id="93"/>
      </w:r>
      <w:r w:rsidR="002F6002" w:rsidRPr="002F6002">
        <w:rPr>
          <w:lang w:val="en-US"/>
        </w:rPr>
        <w:t>. The third element has to do with the detrimental impact itself. Not just any negative impact gives rise to indirect discrimination. The incurred disadvantage for the group with the protected characteristic needs to be considerable</w:t>
      </w:r>
      <w:r w:rsidR="002F6002" w:rsidRPr="002F6002">
        <w:rPr>
          <w:vertAlign w:val="superscript"/>
          <w:lang w:val="en-US"/>
        </w:rPr>
        <w:footnoteReference w:id="94"/>
      </w:r>
      <w:r w:rsidR="002F6002" w:rsidRPr="002F6002">
        <w:rPr>
          <w:lang w:val="en-US"/>
        </w:rPr>
        <w:t>.</w:t>
      </w:r>
      <w:r w:rsidR="00C65F7E">
        <w:rPr>
          <w:lang w:val="en-US"/>
        </w:rPr>
        <w:t xml:space="preserve"> The following example may clarify the working of the indirect discrimination concept. An employer who uses the recruitment slogan ‘warehouse workers wanted, at least one meter </w:t>
      </w:r>
      <w:r w:rsidR="0043416A">
        <w:rPr>
          <w:lang w:val="en-US"/>
        </w:rPr>
        <w:t>75</w:t>
      </w:r>
      <w:r w:rsidR="00C65F7E">
        <w:rPr>
          <w:lang w:val="en-US"/>
        </w:rPr>
        <w:t xml:space="preserve"> tall’ in principle commits indirect discrimination.</w:t>
      </w:r>
      <w:r w:rsidR="00F9669D">
        <w:rPr>
          <w:lang w:val="en-US"/>
        </w:rPr>
        <w:t xml:space="preserve"> </w:t>
      </w:r>
      <w:r w:rsidR="002F6002" w:rsidRPr="002F6002">
        <w:rPr>
          <w:lang w:val="en-US"/>
        </w:rPr>
        <w:t>The slogan seems to contain a neutral requirement. A person’s length is not considered to be a prohibited ground. In practice however, the slogan will have a negative influence on women’s chances to get the job.</w:t>
      </w:r>
      <w:r w:rsidR="00BD322A">
        <w:rPr>
          <w:lang w:val="en-US"/>
        </w:rPr>
        <w:t xml:space="preserve"> The third element which shapes indirect discrimination is also present. </w:t>
      </w:r>
      <w:r w:rsidR="002F6002" w:rsidRPr="002F6002">
        <w:rPr>
          <w:lang w:val="en-US"/>
        </w:rPr>
        <w:t xml:space="preserve">The negative impact of the slogan on women will be vast because the bulk of female jobseekers is smaller than </w:t>
      </w:r>
      <w:r w:rsidR="00015D19">
        <w:rPr>
          <w:lang w:val="en-US"/>
        </w:rPr>
        <w:t>one meter 75</w:t>
      </w:r>
      <w:r w:rsidR="00BA07A7">
        <w:rPr>
          <w:lang w:val="en-US"/>
        </w:rPr>
        <w:t>.</w:t>
      </w:r>
      <w:r w:rsidR="002F78FA">
        <w:rPr>
          <w:lang w:val="en-US"/>
        </w:rPr>
        <w:t xml:space="preserve"> </w:t>
      </w:r>
      <w:r w:rsidR="002F6002" w:rsidRPr="002F6002">
        <w:rPr>
          <w:lang w:val="en-US"/>
        </w:rPr>
        <w:t>Some ot</w:t>
      </w:r>
      <w:r w:rsidR="00CB37AA">
        <w:rPr>
          <w:lang w:val="en-US"/>
        </w:rPr>
        <w:t>her remarks need to be made</w:t>
      </w:r>
      <w:r w:rsidR="002D2B61">
        <w:rPr>
          <w:lang w:val="en-US"/>
        </w:rPr>
        <w:t xml:space="preserve">. It is noteworthy </w:t>
      </w:r>
      <w:r w:rsidR="002F6002" w:rsidRPr="002F6002">
        <w:rPr>
          <w:lang w:val="en-US"/>
        </w:rPr>
        <w:t>that indirect discrimination is rather concerned with groups of people than with individuals</w:t>
      </w:r>
      <w:r w:rsidR="002F6002" w:rsidRPr="002F6002">
        <w:rPr>
          <w:vertAlign w:val="superscript"/>
          <w:lang w:val="en-US"/>
        </w:rPr>
        <w:footnoteReference w:id="95"/>
      </w:r>
      <w:r w:rsidR="002F6002" w:rsidRPr="002F6002">
        <w:rPr>
          <w:lang w:val="en-US"/>
        </w:rPr>
        <w:t xml:space="preserve">. To establish whether indirect discrimination has occurred one will consider a group in its entirety </w:t>
      </w:r>
      <w:r w:rsidR="007D3714">
        <w:rPr>
          <w:lang w:val="en-US"/>
        </w:rPr>
        <w:t xml:space="preserve">in order </w:t>
      </w:r>
      <w:r w:rsidR="002F6002" w:rsidRPr="002F6002">
        <w:rPr>
          <w:lang w:val="en-US"/>
        </w:rPr>
        <w:t>to determine the extent of</w:t>
      </w:r>
      <w:r w:rsidR="007D3714">
        <w:rPr>
          <w:lang w:val="en-US"/>
        </w:rPr>
        <w:t xml:space="preserve"> the</w:t>
      </w:r>
      <w:r w:rsidR="002F6002" w:rsidRPr="002F6002">
        <w:rPr>
          <w:lang w:val="en-US"/>
        </w:rPr>
        <w:t xml:space="preserve"> detrimental impact. It is also clear that when looking for indirect discrimination one should focus on the effect of a rule, not on its form</w:t>
      </w:r>
      <w:r w:rsidR="002F6002" w:rsidRPr="002F6002">
        <w:rPr>
          <w:vertAlign w:val="superscript"/>
          <w:lang w:val="en-US"/>
        </w:rPr>
        <w:footnoteReference w:id="96"/>
      </w:r>
      <w:r w:rsidR="002F6002" w:rsidRPr="002F6002">
        <w:rPr>
          <w:lang w:val="en-US"/>
        </w:rPr>
        <w:t xml:space="preserve">. Since it may be complex to detect the specific effects of a rule, indirect discrimination cases are often less easily uncovered. The </w:t>
      </w:r>
      <w:r w:rsidR="002F6002" w:rsidRPr="002F6002">
        <w:rPr>
          <w:lang w:val="en-US"/>
        </w:rPr>
        <w:lastRenderedPageBreak/>
        <w:t>concept’s existence is nevertheless important for the overall effectiveness of anti-discrimin</w:t>
      </w:r>
      <w:r w:rsidR="0049252E">
        <w:rPr>
          <w:lang w:val="en-US"/>
        </w:rPr>
        <w:t xml:space="preserve">ation legislation. Employers may </w:t>
      </w:r>
      <w:r w:rsidR="002F6002" w:rsidRPr="002F6002">
        <w:rPr>
          <w:lang w:val="en-US"/>
        </w:rPr>
        <w:t>attempt to circumvent direct discrimination prohibitions by using apparently impartial rules</w:t>
      </w:r>
      <w:r w:rsidR="002F6002" w:rsidRPr="002F6002">
        <w:rPr>
          <w:vertAlign w:val="superscript"/>
          <w:lang w:val="en-US"/>
        </w:rPr>
        <w:footnoteReference w:id="97"/>
      </w:r>
      <w:r w:rsidR="002F6002" w:rsidRPr="002F6002">
        <w:rPr>
          <w:lang w:val="en-US"/>
        </w:rPr>
        <w:t>. A prohibition on indirect discrimination will render this more diff</w:t>
      </w:r>
      <w:r w:rsidR="00091400">
        <w:rPr>
          <w:lang w:val="en-US"/>
        </w:rPr>
        <w:t>icult. In contemporary Europe</w:t>
      </w:r>
      <w:r w:rsidR="005F174C">
        <w:rPr>
          <w:lang w:val="en-US"/>
        </w:rPr>
        <w:t xml:space="preserve">, most cases of </w:t>
      </w:r>
      <w:r w:rsidR="002F6002" w:rsidRPr="002F6002">
        <w:rPr>
          <w:lang w:val="en-US"/>
        </w:rPr>
        <w:t>discrimination</w:t>
      </w:r>
      <w:r w:rsidR="005F174C">
        <w:rPr>
          <w:lang w:val="en-US"/>
        </w:rPr>
        <w:t xml:space="preserve"> on the grounds of sex </w:t>
      </w:r>
      <w:r w:rsidR="002F6002" w:rsidRPr="002F6002">
        <w:rPr>
          <w:lang w:val="en-US"/>
        </w:rPr>
        <w:t>are of an indirect nature</w:t>
      </w:r>
      <w:r w:rsidR="00091400">
        <w:rPr>
          <w:lang w:val="en-US"/>
        </w:rPr>
        <w:t xml:space="preserve">. </w:t>
      </w:r>
    </w:p>
    <w:p w:rsidR="002F6002" w:rsidRPr="002F6002" w:rsidRDefault="00C72902" w:rsidP="00687D8A">
      <w:pPr>
        <w:spacing w:line="360" w:lineRule="auto"/>
        <w:jc w:val="both"/>
        <w:rPr>
          <w:u w:val="single"/>
          <w:lang w:val="en-US"/>
        </w:rPr>
      </w:pPr>
      <w:r>
        <w:rPr>
          <w:u w:val="single"/>
          <w:lang w:val="en-US"/>
        </w:rPr>
        <w:t>Origins of the Principle of Indirect D</w:t>
      </w:r>
      <w:r w:rsidR="002F6002" w:rsidRPr="002F6002">
        <w:rPr>
          <w:u w:val="single"/>
          <w:lang w:val="en-US"/>
        </w:rPr>
        <w:t>iscrimination</w:t>
      </w:r>
    </w:p>
    <w:p w:rsidR="002F6002" w:rsidRPr="002F6002" w:rsidRDefault="006B5292" w:rsidP="00687D8A">
      <w:pPr>
        <w:spacing w:line="360" w:lineRule="auto"/>
        <w:jc w:val="both"/>
        <w:rPr>
          <w:lang w:val="en-US"/>
        </w:rPr>
      </w:pPr>
      <w:r>
        <w:rPr>
          <w:i/>
          <w:lang w:val="en-US"/>
        </w:rPr>
        <w:t>18</w:t>
      </w:r>
      <w:r w:rsidR="002F6002" w:rsidRPr="002F6002">
        <w:rPr>
          <w:i/>
          <w:lang w:val="en-US"/>
        </w:rPr>
        <w:t>.</w:t>
      </w:r>
      <w:r w:rsidR="00390DC2">
        <w:rPr>
          <w:lang w:val="en-US"/>
        </w:rPr>
        <w:t xml:space="preserve"> The earliest traces of the </w:t>
      </w:r>
      <w:r w:rsidR="002F6002" w:rsidRPr="002F6002">
        <w:rPr>
          <w:lang w:val="en-US"/>
        </w:rPr>
        <w:t>concept of indirect discrimina</w:t>
      </w:r>
      <w:r w:rsidR="00705751">
        <w:rPr>
          <w:lang w:val="en-US"/>
        </w:rPr>
        <w:t>tion can be found in advisory opinions</w:t>
      </w:r>
      <w:r w:rsidR="002F6002" w:rsidRPr="002F6002">
        <w:rPr>
          <w:lang w:val="en-US"/>
        </w:rPr>
        <w:t xml:space="preserve"> adopted by the Permanent Court of International Justice</w:t>
      </w:r>
      <w:r w:rsidR="002F6002" w:rsidRPr="002F6002">
        <w:rPr>
          <w:vertAlign w:val="superscript"/>
          <w:lang w:val="en-US"/>
        </w:rPr>
        <w:footnoteReference w:id="98"/>
      </w:r>
      <w:r w:rsidR="002F6002" w:rsidRPr="002F6002">
        <w:rPr>
          <w:lang w:val="en-US"/>
        </w:rPr>
        <w:t>. Since the reasoning employed in these cases is still of a rudimentary nature, it is preferred to discuss the evolution of indirect discrimination from the early seventies onwards. In the late 1950s the European Court of Justice already applied some kind of prohibition on indirect discrimination, but only so in the context of the free moveme</w:t>
      </w:r>
      <w:r w:rsidR="00B12622">
        <w:rPr>
          <w:lang w:val="en-US"/>
        </w:rPr>
        <w:t>nt of goods, not of workers</w:t>
      </w:r>
      <w:r w:rsidR="002F6002" w:rsidRPr="002F6002">
        <w:rPr>
          <w:vertAlign w:val="superscript"/>
          <w:lang w:val="en-US"/>
        </w:rPr>
        <w:footnoteReference w:id="99"/>
      </w:r>
      <w:r w:rsidR="005A0C6C">
        <w:rPr>
          <w:lang w:val="en-US"/>
        </w:rPr>
        <w:t>. Although we</w:t>
      </w:r>
      <w:r w:rsidR="002F6002" w:rsidRPr="002F6002">
        <w:rPr>
          <w:lang w:val="en-US"/>
        </w:rPr>
        <w:t xml:space="preserve"> may thus detect early traces of the concept in case-law of the European Court of Justice</w:t>
      </w:r>
      <w:r w:rsidR="002F6002" w:rsidRPr="002F6002">
        <w:rPr>
          <w:vertAlign w:val="superscript"/>
          <w:lang w:val="en-US"/>
        </w:rPr>
        <w:footnoteReference w:id="100"/>
      </w:r>
      <w:r w:rsidR="002F6002" w:rsidRPr="002F6002">
        <w:rPr>
          <w:lang w:val="en-US"/>
        </w:rPr>
        <w:t>, it is reasonable to argue that the US Supreme Court was the first to clearly define the term indirect discrimination. It found that a formally neutral rule used by an employer in fact disadvantaged black employees</w:t>
      </w:r>
      <w:r w:rsidR="002F6002" w:rsidRPr="002F6002">
        <w:rPr>
          <w:vertAlign w:val="superscript"/>
          <w:lang w:val="en-US"/>
        </w:rPr>
        <w:footnoteReference w:id="101"/>
      </w:r>
      <w:r w:rsidR="002F6002" w:rsidRPr="002F6002">
        <w:rPr>
          <w:lang w:val="en-US"/>
        </w:rPr>
        <w:t>. The law relied upon by the Supreme Court for its reasoning did not distinguish between direct and indirect discrimination</w:t>
      </w:r>
      <w:r w:rsidR="002F6002" w:rsidRPr="002F6002">
        <w:rPr>
          <w:vertAlign w:val="superscript"/>
          <w:lang w:val="en-US"/>
        </w:rPr>
        <w:footnoteReference w:id="102"/>
      </w:r>
      <w:r w:rsidR="002F6002" w:rsidRPr="002F6002">
        <w:rPr>
          <w:lang w:val="en-US"/>
        </w:rPr>
        <w:t>. The first legislative act expressly describing the phenomenon of indir</w:t>
      </w:r>
      <w:r w:rsidR="00EB4777">
        <w:rPr>
          <w:lang w:val="en-US"/>
        </w:rPr>
        <w:t xml:space="preserve">ect discrimination was the United Kingdom’s </w:t>
      </w:r>
      <w:r w:rsidR="002F6002" w:rsidRPr="002F6002">
        <w:rPr>
          <w:lang w:val="en-US"/>
        </w:rPr>
        <w:t>1975 Sex Discrimination Act</w:t>
      </w:r>
      <w:r w:rsidR="002F6002" w:rsidRPr="002F6002">
        <w:rPr>
          <w:vertAlign w:val="superscript"/>
          <w:lang w:val="en-US"/>
        </w:rPr>
        <w:footnoteReference w:id="103"/>
      </w:r>
      <w:r w:rsidR="002F6002" w:rsidRPr="002F6002">
        <w:rPr>
          <w:lang w:val="en-US"/>
        </w:rPr>
        <w:t xml:space="preserve">. </w:t>
      </w:r>
    </w:p>
    <w:p w:rsidR="002421A2" w:rsidRDefault="002421A2" w:rsidP="00687D8A">
      <w:pPr>
        <w:spacing w:line="360" w:lineRule="auto"/>
        <w:jc w:val="both"/>
        <w:rPr>
          <w:u w:val="single"/>
          <w:lang w:val="en-US"/>
        </w:rPr>
      </w:pPr>
    </w:p>
    <w:p w:rsidR="002F6002" w:rsidRPr="002F6002" w:rsidRDefault="00225D47" w:rsidP="00687D8A">
      <w:pPr>
        <w:spacing w:line="360" w:lineRule="auto"/>
        <w:jc w:val="both"/>
        <w:rPr>
          <w:u w:val="single"/>
          <w:lang w:val="en-US"/>
        </w:rPr>
      </w:pPr>
      <w:r>
        <w:rPr>
          <w:u w:val="single"/>
          <w:lang w:val="en-US"/>
        </w:rPr>
        <w:lastRenderedPageBreak/>
        <w:t>The C</w:t>
      </w:r>
      <w:r w:rsidR="00DD6851">
        <w:rPr>
          <w:u w:val="single"/>
          <w:lang w:val="en-US"/>
        </w:rPr>
        <w:t>oncept of Indirect D</w:t>
      </w:r>
      <w:r w:rsidR="002F6002" w:rsidRPr="002F6002">
        <w:rPr>
          <w:u w:val="single"/>
          <w:lang w:val="en-US"/>
        </w:rPr>
        <w:t>iscrimination in the E</w:t>
      </w:r>
      <w:r w:rsidR="00156027">
        <w:rPr>
          <w:u w:val="single"/>
          <w:lang w:val="en-US"/>
        </w:rPr>
        <w:t xml:space="preserve">uropean </w:t>
      </w:r>
      <w:r w:rsidR="002F6002" w:rsidRPr="002F6002">
        <w:rPr>
          <w:u w:val="single"/>
          <w:lang w:val="en-US"/>
        </w:rPr>
        <w:t>U</w:t>
      </w:r>
      <w:r w:rsidR="00156027">
        <w:rPr>
          <w:u w:val="single"/>
          <w:lang w:val="en-US"/>
        </w:rPr>
        <w:t>nion</w:t>
      </w:r>
      <w:r w:rsidR="002F6002" w:rsidRPr="002F6002">
        <w:rPr>
          <w:u w:val="single"/>
          <w:lang w:val="en-US"/>
        </w:rPr>
        <w:t xml:space="preserve"> </w:t>
      </w:r>
    </w:p>
    <w:p w:rsidR="002F6002" w:rsidRPr="002F6002" w:rsidRDefault="006B5292" w:rsidP="00687D8A">
      <w:pPr>
        <w:spacing w:line="360" w:lineRule="auto"/>
        <w:jc w:val="both"/>
        <w:rPr>
          <w:lang w:val="en-US"/>
        </w:rPr>
      </w:pPr>
      <w:r>
        <w:rPr>
          <w:i/>
          <w:lang w:val="en-US"/>
        </w:rPr>
        <w:t>19</w:t>
      </w:r>
      <w:r w:rsidR="002F6002" w:rsidRPr="002F6002">
        <w:rPr>
          <w:i/>
          <w:lang w:val="en-US"/>
        </w:rPr>
        <w:t>.</w:t>
      </w:r>
      <w:r w:rsidR="002F6002" w:rsidRPr="002F6002">
        <w:rPr>
          <w:lang w:val="en-US"/>
        </w:rPr>
        <w:t xml:space="preserve"> The Treaty of Rome did not expressly mention the principle of indirect discrimination (</w:t>
      </w:r>
      <w:r w:rsidR="002F6002" w:rsidRPr="002F6002">
        <w:rPr>
          <w:i/>
          <w:lang w:val="en-US"/>
        </w:rPr>
        <w:t>supra no. 1</w:t>
      </w:r>
      <w:r w:rsidR="00530B26">
        <w:rPr>
          <w:i/>
          <w:lang w:val="en-US"/>
        </w:rPr>
        <w:t>6</w:t>
      </w:r>
      <w:r w:rsidR="002F6002" w:rsidRPr="002F6002">
        <w:rPr>
          <w:lang w:val="en-US"/>
        </w:rPr>
        <w:t>). Neit</w:t>
      </w:r>
      <w:r w:rsidR="00A044F4">
        <w:rPr>
          <w:lang w:val="en-US"/>
        </w:rPr>
        <w:t>her did the first directive which</w:t>
      </w:r>
      <w:r w:rsidR="002F6002" w:rsidRPr="002F6002">
        <w:rPr>
          <w:lang w:val="en-US"/>
        </w:rPr>
        <w:t xml:space="preserve"> dealt with the implementation of the principle of equal pay for women and men</w:t>
      </w:r>
      <w:r w:rsidR="002F6002" w:rsidRPr="002F6002">
        <w:rPr>
          <w:vertAlign w:val="superscript"/>
          <w:lang w:val="en-US"/>
        </w:rPr>
        <w:footnoteReference w:id="104"/>
      </w:r>
      <w:r w:rsidR="002F6002" w:rsidRPr="002F6002">
        <w:rPr>
          <w:lang w:val="en-US"/>
        </w:rPr>
        <w:t>. A second directive, adopted to improve equal treatment of women in the wider employment sphere</w:t>
      </w:r>
      <w:r w:rsidR="002F6002" w:rsidRPr="002F6002">
        <w:rPr>
          <w:vertAlign w:val="superscript"/>
          <w:lang w:val="en-US"/>
        </w:rPr>
        <w:footnoteReference w:id="105"/>
      </w:r>
      <w:r w:rsidR="002F6002" w:rsidRPr="002F6002">
        <w:rPr>
          <w:lang w:val="en-US"/>
        </w:rPr>
        <w:t xml:space="preserve"> did mention that ‘there shall be no discrimination whatsoever on the grounds of sex</w:t>
      </w:r>
      <w:r w:rsidR="00C42158">
        <w:rPr>
          <w:lang w:val="en-US"/>
        </w:rPr>
        <w:t xml:space="preserve"> either directly or indirectly</w:t>
      </w:r>
      <w:r w:rsidR="002F6002" w:rsidRPr="002F6002">
        <w:rPr>
          <w:lang w:val="en-US"/>
        </w:rPr>
        <w:t>’. It did not, however, clarify what was exactly meant with ‘direc</w:t>
      </w:r>
      <w:r w:rsidR="00EE4866">
        <w:rPr>
          <w:lang w:val="en-US"/>
        </w:rPr>
        <w:t>tly or indirectly’. It may therefore be</w:t>
      </w:r>
      <w:r w:rsidR="002F6002" w:rsidRPr="002F6002">
        <w:rPr>
          <w:lang w:val="en-US"/>
        </w:rPr>
        <w:t xml:space="preserve"> conclude</w:t>
      </w:r>
      <w:r w:rsidR="00EE4866">
        <w:rPr>
          <w:lang w:val="en-US"/>
        </w:rPr>
        <w:t>d</w:t>
      </w:r>
      <w:r w:rsidR="002F6002" w:rsidRPr="002F6002">
        <w:rPr>
          <w:lang w:val="en-US"/>
        </w:rPr>
        <w:t xml:space="preserve"> that the development of the concept of indirect discrimination in the Community was left to the European Court of Justice. It pronounced its first landmark case in 1974. In this case, a general definition of indirect discrimination was provided for. It was stated that ‘the rules regarding equality of treatment do not only forbid overt discrimination but also all covert forms of discrimination</w:t>
      </w:r>
      <w:r w:rsidR="008C030B">
        <w:rPr>
          <w:lang w:val="en-US"/>
        </w:rPr>
        <w:t xml:space="preserve">, </w:t>
      </w:r>
      <w:r w:rsidR="002F6002" w:rsidRPr="002F6002">
        <w:rPr>
          <w:lang w:val="en-US"/>
        </w:rPr>
        <w:t>which, by the application of other criteria of differentiation, lead in fact to the same result’</w:t>
      </w:r>
      <w:r w:rsidR="002F6002" w:rsidRPr="002F6002">
        <w:rPr>
          <w:vertAlign w:val="superscript"/>
          <w:lang w:val="en-US"/>
        </w:rPr>
        <w:footnoteReference w:id="106"/>
      </w:r>
      <w:r w:rsidR="002F6002" w:rsidRPr="002F6002">
        <w:rPr>
          <w:lang w:val="en-US"/>
        </w:rPr>
        <w:t>. The last p</w:t>
      </w:r>
      <w:r w:rsidR="00070450">
        <w:rPr>
          <w:lang w:val="en-US"/>
        </w:rPr>
        <w:t>art of the previous sentence indicates that the Court</w:t>
      </w:r>
      <w:r w:rsidR="002F6002" w:rsidRPr="002F6002">
        <w:rPr>
          <w:lang w:val="en-US"/>
        </w:rPr>
        <w:t xml:space="preserve"> adopt</w:t>
      </w:r>
      <w:r w:rsidR="00070450">
        <w:rPr>
          <w:lang w:val="en-US"/>
        </w:rPr>
        <w:t>s</w:t>
      </w:r>
      <w:r w:rsidR="002F6002" w:rsidRPr="002F6002">
        <w:rPr>
          <w:lang w:val="en-US"/>
        </w:rPr>
        <w:t xml:space="preserve"> an effect based approach. Another important case, concerning indirect discrimination of </w:t>
      </w:r>
      <w:r w:rsidR="005F07E2">
        <w:rPr>
          <w:lang w:val="en-US"/>
        </w:rPr>
        <w:t xml:space="preserve">female </w:t>
      </w:r>
      <w:r w:rsidR="002F6002" w:rsidRPr="002F6002">
        <w:rPr>
          <w:lang w:val="en-US"/>
        </w:rPr>
        <w:t>part-time workers was adopted several years later</w:t>
      </w:r>
      <w:r w:rsidR="002F6002" w:rsidRPr="002F6002">
        <w:rPr>
          <w:vertAlign w:val="superscript"/>
          <w:lang w:val="en-US"/>
        </w:rPr>
        <w:footnoteReference w:id="107"/>
      </w:r>
      <w:r w:rsidR="002F6002" w:rsidRPr="002F6002">
        <w:rPr>
          <w:lang w:val="en-US"/>
        </w:rPr>
        <w:t xml:space="preserve">. A statutory definition, </w:t>
      </w:r>
      <w:r w:rsidR="002F6002" w:rsidRPr="002F6002">
        <w:rPr>
          <w:lang w:val="en-GB"/>
        </w:rPr>
        <w:t>modelled</w:t>
      </w:r>
      <w:r w:rsidR="002F6002" w:rsidRPr="002F6002">
        <w:rPr>
          <w:lang w:val="en-US"/>
        </w:rPr>
        <w:t xml:space="preserve"> on the case-law of the Court, for the first time appeared in a 1997 directive</w:t>
      </w:r>
      <w:r w:rsidR="002F6002" w:rsidRPr="002F6002">
        <w:rPr>
          <w:vertAlign w:val="superscript"/>
          <w:lang w:val="en-US"/>
        </w:rPr>
        <w:footnoteReference w:id="108"/>
      </w:r>
      <w:r w:rsidR="002F6002" w:rsidRPr="002F6002">
        <w:rPr>
          <w:lang w:val="en-US"/>
        </w:rPr>
        <w:t>. Nowadays, indirect</w:t>
      </w:r>
      <w:r w:rsidR="0055110C">
        <w:rPr>
          <w:lang w:val="en-US"/>
        </w:rPr>
        <w:t xml:space="preserve"> sex</w:t>
      </w:r>
      <w:r w:rsidR="002F6002" w:rsidRPr="002F6002">
        <w:rPr>
          <w:lang w:val="en-US"/>
        </w:rPr>
        <w:t xml:space="preserve"> discrimination occurs where ‘an apparently neutral provision, criterion or practice would put persons</w:t>
      </w:r>
      <w:r w:rsidR="002B1656">
        <w:rPr>
          <w:lang w:val="en-US"/>
        </w:rPr>
        <w:t xml:space="preserve"> of one sex</w:t>
      </w:r>
      <w:r w:rsidR="002F6002" w:rsidRPr="002F6002">
        <w:rPr>
          <w:lang w:val="en-US"/>
        </w:rPr>
        <w:t xml:space="preserve"> at a particular disadvantage </w:t>
      </w:r>
      <w:r w:rsidR="002B1656">
        <w:rPr>
          <w:lang w:val="en-US"/>
        </w:rPr>
        <w:t>compared with persons of the other sex</w:t>
      </w:r>
      <w:r w:rsidR="002F6002" w:rsidRPr="002F6002">
        <w:rPr>
          <w:lang w:val="en-US"/>
        </w:rPr>
        <w:t>, unless that provision, criterion or practice is objectively justified by a legitimate aim, and the means of achieving that aim are appropriate and necessary’</w:t>
      </w:r>
      <w:r w:rsidR="002F6002" w:rsidRPr="002F6002">
        <w:rPr>
          <w:vertAlign w:val="superscript"/>
          <w:lang w:val="en-US"/>
        </w:rPr>
        <w:footnoteReference w:id="109"/>
      </w:r>
      <w:r w:rsidR="002F6002" w:rsidRPr="002F6002">
        <w:rPr>
          <w:lang w:val="en-US"/>
        </w:rPr>
        <w:t xml:space="preserve"> (</w:t>
      </w:r>
      <w:r w:rsidR="002F6002" w:rsidRPr="002F6002">
        <w:rPr>
          <w:i/>
          <w:lang w:val="en-US"/>
        </w:rPr>
        <w:t>infra no. 2</w:t>
      </w:r>
      <w:r w:rsidR="00DC6C17">
        <w:rPr>
          <w:i/>
          <w:lang w:val="en-US"/>
        </w:rPr>
        <w:t>1</w:t>
      </w:r>
      <w:r w:rsidR="002F6002" w:rsidRPr="002F6002">
        <w:rPr>
          <w:lang w:val="en-US"/>
        </w:rPr>
        <w:t xml:space="preserve">).  </w:t>
      </w:r>
    </w:p>
    <w:p w:rsidR="002F6002" w:rsidRDefault="00FB2316" w:rsidP="00687D8A">
      <w:pPr>
        <w:spacing w:line="360" w:lineRule="auto"/>
        <w:jc w:val="both"/>
        <w:rPr>
          <w:u w:val="single"/>
          <w:lang w:val="en-US"/>
        </w:rPr>
      </w:pPr>
      <w:r>
        <w:rPr>
          <w:u w:val="single"/>
          <w:lang w:val="en-US"/>
        </w:rPr>
        <w:t>The Concept of Indirect D</w:t>
      </w:r>
      <w:r w:rsidR="002F6002" w:rsidRPr="002F6002">
        <w:rPr>
          <w:u w:val="single"/>
          <w:lang w:val="en-US"/>
        </w:rPr>
        <w:t xml:space="preserve">iscrimination </w:t>
      </w:r>
      <w:r>
        <w:rPr>
          <w:u w:val="single"/>
          <w:lang w:val="en-US"/>
        </w:rPr>
        <w:t>in the R</w:t>
      </w:r>
      <w:r w:rsidR="00380830">
        <w:rPr>
          <w:u w:val="single"/>
          <w:lang w:val="en-US"/>
        </w:rPr>
        <w:t>el</w:t>
      </w:r>
      <w:r>
        <w:rPr>
          <w:u w:val="single"/>
          <w:lang w:val="en-US"/>
        </w:rPr>
        <w:t>evant Human Rights I</w:t>
      </w:r>
      <w:r w:rsidR="00380830">
        <w:rPr>
          <w:u w:val="single"/>
          <w:lang w:val="en-US"/>
        </w:rPr>
        <w:t>nstruments</w:t>
      </w:r>
    </w:p>
    <w:p w:rsidR="00380830" w:rsidRPr="00380830" w:rsidRDefault="006B5292" w:rsidP="00687D8A">
      <w:pPr>
        <w:spacing w:line="360" w:lineRule="auto"/>
        <w:jc w:val="both"/>
        <w:rPr>
          <w:lang w:val="en-US"/>
        </w:rPr>
      </w:pPr>
      <w:r>
        <w:rPr>
          <w:i/>
          <w:lang w:val="en-US"/>
        </w:rPr>
        <w:t>20</w:t>
      </w:r>
      <w:r w:rsidR="00967348" w:rsidRPr="00967348">
        <w:rPr>
          <w:i/>
          <w:lang w:val="en-US"/>
        </w:rPr>
        <w:t>.</w:t>
      </w:r>
      <w:r w:rsidR="00967348">
        <w:rPr>
          <w:lang w:val="en-US"/>
        </w:rPr>
        <w:t xml:space="preserve"> </w:t>
      </w:r>
      <w:r w:rsidR="00380830">
        <w:rPr>
          <w:lang w:val="en-US"/>
        </w:rPr>
        <w:t>The Revised European Social Charter does not expressly refer to indirect discrimination. Case-law of the European Committee of Social Rights nonetheless clarifies that the concept is recognized</w:t>
      </w:r>
      <w:r w:rsidR="00FE3594">
        <w:rPr>
          <w:rStyle w:val="Voetnootmarkering"/>
          <w:lang w:val="en-US"/>
        </w:rPr>
        <w:footnoteReference w:id="110"/>
      </w:r>
      <w:r w:rsidR="00380830">
        <w:rPr>
          <w:lang w:val="en-US"/>
        </w:rPr>
        <w:t xml:space="preserve">. </w:t>
      </w:r>
      <w:r w:rsidR="00137931">
        <w:rPr>
          <w:lang w:val="en-US"/>
        </w:rPr>
        <w:t>Much</w:t>
      </w:r>
      <w:r w:rsidR="005B1FAE">
        <w:rPr>
          <w:lang w:val="en-US"/>
        </w:rPr>
        <w:t xml:space="preserve"> like the European Social Charter, the ILO’s non-discrimination </w:t>
      </w:r>
      <w:r w:rsidR="005B1FAE">
        <w:rPr>
          <w:lang w:val="en-US"/>
        </w:rPr>
        <w:lastRenderedPageBreak/>
        <w:t>Convention</w:t>
      </w:r>
      <w:r w:rsidR="005B1FAE">
        <w:rPr>
          <w:rStyle w:val="Voetnootmarkering"/>
          <w:lang w:val="en-US"/>
        </w:rPr>
        <w:footnoteReference w:id="111"/>
      </w:r>
      <w:r w:rsidR="005B1FAE">
        <w:rPr>
          <w:lang w:val="en-US"/>
        </w:rPr>
        <w:t xml:space="preserve"> does not explicitly prohibit indirect discrimination. It is nevertheless clear that the notion is covered by broadly defined article 1</w:t>
      </w:r>
      <w:r w:rsidR="005B1FAE">
        <w:rPr>
          <w:rStyle w:val="Voetnootmarkering"/>
          <w:lang w:val="en-US"/>
        </w:rPr>
        <w:footnoteReference w:id="112"/>
      </w:r>
      <w:r w:rsidR="008208FE">
        <w:rPr>
          <w:lang w:val="en-US"/>
        </w:rPr>
        <w:t>. Lastly, i</w:t>
      </w:r>
      <w:r w:rsidR="00380830" w:rsidRPr="00380830">
        <w:rPr>
          <w:lang w:val="en-US"/>
        </w:rPr>
        <w:t>ndirect discrimination plays an important role under th</w:t>
      </w:r>
      <w:r w:rsidR="00380830">
        <w:rPr>
          <w:lang w:val="en-US"/>
        </w:rPr>
        <w:t xml:space="preserve">e UN Convention on the Elimination of All Forms of Discrimination </w:t>
      </w:r>
      <w:r w:rsidR="00FE3594">
        <w:rPr>
          <w:lang w:val="en-US"/>
        </w:rPr>
        <w:t>against Women</w:t>
      </w:r>
      <w:r w:rsidR="00EF3035">
        <w:rPr>
          <w:rStyle w:val="Voetnootmarkering"/>
          <w:lang w:val="en-US"/>
        </w:rPr>
        <w:footnoteReference w:id="113"/>
      </w:r>
      <w:r w:rsidR="00F978C0">
        <w:rPr>
          <w:lang w:val="en-US"/>
        </w:rPr>
        <w:t xml:space="preserve">. It is evident to </w:t>
      </w:r>
      <w:r w:rsidR="00126917">
        <w:rPr>
          <w:lang w:val="en-US"/>
        </w:rPr>
        <w:t xml:space="preserve">conclude that indirect discrimination was devised in Anglo-Saxon law but that today, it is also firmly rooted in EU and human rights law. </w:t>
      </w:r>
    </w:p>
    <w:p w:rsidR="009655CD" w:rsidRDefault="009655CD" w:rsidP="00687D8A">
      <w:pPr>
        <w:spacing w:line="360" w:lineRule="auto"/>
        <w:jc w:val="both"/>
        <w:rPr>
          <w:lang w:val="en-US"/>
        </w:rPr>
      </w:pPr>
    </w:p>
    <w:p w:rsidR="009655CD" w:rsidRDefault="009655CD" w:rsidP="00687D8A">
      <w:pPr>
        <w:spacing w:line="360" w:lineRule="auto"/>
        <w:jc w:val="both"/>
        <w:rPr>
          <w:lang w:val="en-US"/>
        </w:rPr>
      </w:pPr>
    </w:p>
    <w:p w:rsidR="00111233" w:rsidRDefault="00111233" w:rsidP="00687D8A">
      <w:pPr>
        <w:spacing w:line="360" w:lineRule="auto"/>
        <w:jc w:val="both"/>
        <w:rPr>
          <w:lang w:val="en-US"/>
        </w:rPr>
      </w:pPr>
    </w:p>
    <w:p w:rsidR="00E06F35" w:rsidRDefault="00E06F35" w:rsidP="00687D8A">
      <w:pPr>
        <w:spacing w:line="360" w:lineRule="auto"/>
        <w:jc w:val="both"/>
        <w:rPr>
          <w:lang w:val="en-US"/>
        </w:rPr>
      </w:pPr>
    </w:p>
    <w:p w:rsidR="00E06F35" w:rsidRDefault="00E06F35" w:rsidP="00687D8A">
      <w:pPr>
        <w:spacing w:line="360" w:lineRule="auto"/>
        <w:jc w:val="both"/>
        <w:rPr>
          <w:lang w:val="en-US"/>
        </w:rPr>
      </w:pPr>
    </w:p>
    <w:p w:rsidR="000D2C91" w:rsidRDefault="000D2C91" w:rsidP="00687D8A">
      <w:pPr>
        <w:spacing w:line="360" w:lineRule="auto"/>
        <w:jc w:val="both"/>
        <w:rPr>
          <w:lang w:val="en-US"/>
        </w:rPr>
      </w:pPr>
    </w:p>
    <w:p w:rsidR="00376E34" w:rsidRDefault="00376E34" w:rsidP="00687D8A">
      <w:pPr>
        <w:spacing w:line="360" w:lineRule="auto"/>
        <w:jc w:val="both"/>
        <w:rPr>
          <w:u w:val="single"/>
          <w:lang w:val="en-US"/>
        </w:rPr>
      </w:pPr>
    </w:p>
    <w:p w:rsidR="00376E34" w:rsidRDefault="00376E34" w:rsidP="00687D8A">
      <w:pPr>
        <w:spacing w:line="360" w:lineRule="auto"/>
        <w:jc w:val="both"/>
        <w:rPr>
          <w:u w:val="single"/>
          <w:lang w:val="en-US"/>
        </w:rPr>
      </w:pPr>
    </w:p>
    <w:p w:rsidR="00376E34" w:rsidRDefault="00376E34" w:rsidP="00687D8A">
      <w:pPr>
        <w:spacing w:line="360" w:lineRule="auto"/>
        <w:jc w:val="both"/>
        <w:rPr>
          <w:u w:val="single"/>
          <w:lang w:val="en-US"/>
        </w:rPr>
      </w:pPr>
    </w:p>
    <w:p w:rsidR="00376E34" w:rsidRDefault="00376E34" w:rsidP="00687D8A">
      <w:pPr>
        <w:spacing w:line="360" w:lineRule="auto"/>
        <w:jc w:val="both"/>
        <w:rPr>
          <w:u w:val="single"/>
          <w:lang w:val="en-US"/>
        </w:rPr>
      </w:pPr>
    </w:p>
    <w:p w:rsidR="00376E34" w:rsidRDefault="00376E34" w:rsidP="00687D8A">
      <w:pPr>
        <w:spacing w:line="360" w:lineRule="auto"/>
        <w:jc w:val="both"/>
        <w:rPr>
          <w:u w:val="single"/>
          <w:lang w:val="en-US"/>
        </w:rPr>
      </w:pPr>
    </w:p>
    <w:p w:rsidR="00376E34" w:rsidRDefault="00376E34" w:rsidP="00687D8A">
      <w:pPr>
        <w:spacing w:line="360" w:lineRule="auto"/>
        <w:jc w:val="both"/>
        <w:rPr>
          <w:u w:val="single"/>
          <w:lang w:val="en-US"/>
        </w:rPr>
      </w:pPr>
    </w:p>
    <w:p w:rsidR="00376E34" w:rsidRDefault="00376E34" w:rsidP="00687D8A">
      <w:pPr>
        <w:spacing w:line="360" w:lineRule="auto"/>
        <w:jc w:val="both"/>
        <w:rPr>
          <w:u w:val="single"/>
          <w:lang w:val="en-US"/>
        </w:rPr>
      </w:pPr>
    </w:p>
    <w:p w:rsidR="00376E34" w:rsidRDefault="00376E34" w:rsidP="00687D8A">
      <w:pPr>
        <w:spacing w:line="360" w:lineRule="auto"/>
        <w:jc w:val="both"/>
        <w:rPr>
          <w:u w:val="single"/>
          <w:lang w:val="en-US"/>
        </w:rPr>
      </w:pPr>
    </w:p>
    <w:p w:rsidR="00DB7FCF" w:rsidRDefault="00DB7FCF" w:rsidP="00687D8A">
      <w:pPr>
        <w:spacing w:line="360" w:lineRule="auto"/>
        <w:jc w:val="both"/>
        <w:rPr>
          <w:u w:val="single"/>
          <w:lang w:val="en-US"/>
        </w:rPr>
      </w:pPr>
    </w:p>
    <w:p w:rsidR="002F6002" w:rsidRPr="002F6002" w:rsidRDefault="002F6002" w:rsidP="00687D8A">
      <w:pPr>
        <w:spacing w:line="360" w:lineRule="auto"/>
        <w:jc w:val="both"/>
        <w:rPr>
          <w:lang w:val="en-US"/>
        </w:rPr>
      </w:pPr>
      <w:r w:rsidRPr="002F6002">
        <w:rPr>
          <w:u w:val="single"/>
          <w:lang w:val="en-US"/>
        </w:rPr>
        <w:lastRenderedPageBreak/>
        <w:t>Section IV. Justifications</w:t>
      </w:r>
      <w:r w:rsidRPr="002F6002">
        <w:rPr>
          <w:lang w:val="en-US"/>
        </w:rPr>
        <w:t xml:space="preserve">   </w:t>
      </w:r>
    </w:p>
    <w:p w:rsidR="002F6002" w:rsidRPr="002F6002" w:rsidRDefault="00C849A7" w:rsidP="00687D8A">
      <w:pPr>
        <w:spacing w:line="360" w:lineRule="auto"/>
        <w:jc w:val="both"/>
        <w:rPr>
          <w:lang w:val="en-US"/>
        </w:rPr>
      </w:pPr>
      <w:r>
        <w:rPr>
          <w:i/>
          <w:lang w:val="en-US"/>
        </w:rPr>
        <w:t>21</w:t>
      </w:r>
      <w:r w:rsidR="002F6002" w:rsidRPr="002F6002">
        <w:rPr>
          <w:i/>
          <w:lang w:val="en-US"/>
        </w:rPr>
        <w:t>.</w:t>
      </w:r>
      <w:r w:rsidR="002F6002" w:rsidRPr="002F6002">
        <w:rPr>
          <w:lang w:val="en-US"/>
        </w:rPr>
        <w:t xml:space="preserve"> Not all differential treatment amounts to a violation of the</w:t>
      </w:r>
      <w:r w:rsidR="00F97804">
        <w:rPr>
          <w:lang w:val="en-US"/>
        </w:rPr>
        <w:t xml:space="preserve"> non-discrimination principle. S</w:t>
      </w:r>
      <w:r w:rsidR="002F6002" w:rsidRPr="002F6002">
        <w:rPr>
          <w:lang w:val="en-US"/>
        </w:rPr>
        <w:t>tatutes or case-law may provide for justifications.</w:t>
      </w:r>
      <w:r w:rsidR="00E673D7">
        <w:rPr>
          <w:lang w:val="en-US"/>
        </w:rPr>
        <w:t xml:space="preserve"> In </w:t>
      </w:r>
      <w:r w:rsidR="00C10F8C">
        <w:rPr>
          <w:lang w:val="en-US"/>
        </w:rPr>
        <w:t xml:space="preserve">international </w:t>
      </w:r>
      <w:r w:rsidR="00E673D7">
        <w:rPr>
          <w:lang w:val="en-US"/>
        </w:rPr>
        <w:t xml:space="preserve">human rights law, only one system of justifications applies. In EU law, a distinction is made between direct and indirect discrimination. </w:t>
      </w:r>
    </w:p>
    <w:p w:rsidR="002F6002" w:rsidRPr="002F6002" w:rsidRDefault="009E538B" w:rsidP="00687D8A">
      <w:pPr>
        <w:spacing w:line="360" w:lineRule="auto"/>
        <w:jc w:val="both"/>
        <w:rPr>
          <w:lang w:val="en-US"/>
        </w:rPr>
      </w:pPr>
      <w:r>
        <w:rPr>
          <w:u w:val="single"/>
          <w:lang w:val="en-US"/>
        </w:rPr>
        <w:t xml:space="preserve">Justifications under </w:t>
      </w:r>
      <w:r w:rsidR="002F6002" w:rsidRPr="002F6002">
        <w:rPr>
          <w:u w:val="single"/>
          <w:lang w:val="en-US"/>
        </w:rPr>
        <w:t>E</w:t>
      </w:r>
      <w:r w:rsidR="00CA1881">
        <w:rPr>
          <w:u w:val="single"/>
          <w:lang w:val="en-US"/>
        </w:rPr>
        <w:t>U Law</w:t>
      </w:r>
    </w:p>
    <w:p w:rsidR="00A871E6" w:rsidRDefault="00C849A7" w:rsidP="00687D8A">
      <w:pPr>
        <w:spacing w:line="360" w:lineRule="auto"/>
        <w:jc w:val="both"/>
        <w:rPr>
          <w:lang w:val="en-US"/>
        </w:rPr>
      </w:pPr>
      <w:r>
        <w:rPr>
          <w:i/>
          <w:lang w:val="en-US"/>
        </w:rPr>
        <w:t>22</w:t>
      </w:r>
      <w:r w:rsidR="002F6002" w:rsidRPr="002F6002">
        <w:rPr>
          <w:i/>
          <w:lang w:val="en-US"/>
        </w:rPr>
        <w:t>.</w:t>
      </w:r>
      <w:r w:rsidR="00A17FD0">
        <w:rPr>
          <w:lang w:val="en-US"/>
        </w:rPr>
        <w:t xml:space="preserve"> </w:t>
      </w:r>
      <w:r w:rsidR="002C53B8">
        <w:rPr>
          <w:lang w:val="en-US"/>
        </w:rPr>
        <w:t xml:space="preserve">In case of direct discrimination, </w:t>
      </w:r>
      <w:r w:rsidR="002F6002" w:rsidRPr="002F6002">
        <w:rPr>
          <w:lang w:val="en-US"/>
        </w:rPr>
        <w:t>the general rule is that no justifications will be accepted. Sometimes it is ho</w:t>
      </w:r>
      <w:r w:rsidR="006C6356">
        <w:rPr>
          <w:lang w:val="en-US"/>
        </w:rPr>
        <w:t>wever possible for the employer or other defendant</w:t>
      </w:r>
      <w:r w:rsidR="002F6002" w:rsidRPr="002F6002">
        <w:rPr>
          <w:lang w:val="en-US"/>
        </w:rPr>
        <w:t xml:space="preserve"> to rely on an express legislative provision stating that differential treatment on the basis of a prohibited criterion does not constitute discrimination</w:t>
      </w:r>
      <w:r w:rsidR="002F6002" w:rsidRPr="002F6002">
        <w:rPr>
          <w:vertAlign w:val="superscript"/>
          <w:lang w:val="en-US"/>
        </w:rPr>
        <w:footnoteReference w:id="114"/>
      </w:r>
      <w:r w:rsidR="002F6002" w:rsidRPr="002F6002">
        <w:rPr>
          <w:lang w:val="en-US"/>
        </w:rPr>
        <w:t>. For the sake of accuracy such a provision should be referred to as an exception rather than as a justification. The most important excepti</w:t>
      </w:r>
      <w:r w:rsidR="0090526F">
        <w:rPr>
          <w:lang w:val="en-US"/>
        </w:rPr>
        <w:t>on in the context of sex discrimination</w:t>
      </w:r>
      <w:r w:rsidR="00E838D6">
        <w:rPr>
          <w:lang w:val="en-US"/>
        </w:rPr>
        <w:t xml:space="preserve"> is the ‘Genuine Occupational R</w:t>
      </w:r>
      <w:r w:rsidR="00280FB8">
        <w:rPr>
          <w:lang w:val="en-US"/>
        </w:rPr>
        <w:t xml:space="preserve">equirement’ (GOR). It </w:t>
      </w:r>
      <w:r w:rsidR="002F6002" w:rsidRPr="002F6002">
        <w:rPr>
          <w:lang w:val="en-US"/>
        </w:rPr>
        <w:t>may</w:t>
      </w:r>
      <w:r w:rsidR="00280FB8">
        <w:rPr>
          <w:lang w:val="en-US"/>
        </w:rPr>
        <w:t xml:space="preserve"> be</w:t>
      </w:r>
      <w:r w:rsidR="002F6002" w:rsidRPr="002F6002">
        <w:rPr>
          <w:lang w:val="en-US"/>
        </w:rPr>
        <w:t xml:space="preserve"> determine</w:t>
      </w:r>
      <w:r w:rsidR="00280FB8">
        <w:rPr>
          <w:lang w:val="en-US"/>
        </w:rPr>
        <w:t>d</w:t>
      </w:r>
      <w:r w:rsidR="00373202">
        <w:rPr>
          <w:lang w:val="en-US"/>
        </w:rPr>
        <w:t xml:space="preserve"> that the 1976 equal treatment d</w:t>
      </w:r>
      <w:r w:rsidR="002F6002" w:rsidRPr="002F6002">
        <w:rPr>
          <w:lang w:val="en-US"/>
        </w:rPr>
        <w:t>irective already mentioned the GOR</w:t>
      </w:r>
      <w:r w:rsidR="002F6002" w:rsidRPr="002F6002">
        <w:rPr>
          <w:vertAlign w:val="superscript"/>
          <w:lang w:val="en-US"/>
        </w:rPr>
        <w:footnoteReference w:id="115"/>
      </w:r>
      <w:r w:rsidR="00373202">
        <w:rPr>
          <w:lang w:val="en-US"/>
        </w:rPr>
        <w:t>. It can also be read in the current equal treatment recast dir</w:t>
      </w:r>
      <w:r w:rsidR="00BE02F4">
        <w:rPr>
          <w:lang w:val="en-US"/>
        </w:rPr>
        <w:t xml:space="preserve">ective </w:t>
      </w:r>
      <w:r w:rsidR="002F6002" w:rsidRPr="002F6002">
        <w:rPr>
          <w:vertAlign w:val="superscript"/>
          <w:lang w:val="en-US"/>
        </w:rPr>
        <w:footnoteReference w:id="116"/>
      </w:r>
      <w:r w:rsidR="00BE02F4">
        <w:rPr>
          <w:lang w:val="en-US"/>
        </w:rPr>
        <w:t xml:space="preserve">. </w:t>
      </w:r>
      <w:r w:rsidR="002F6002" w:rsidRPr="002F6002">
        <w:rPr>
          <w:lang w:val="en-US"/>
        </w:rPr>
        <w:t xml:space="preserve">The GOR exception actually turns over the principle of non-discrimination. It allows an employer to hire somebody exactly because of a prohibited characteristic. Applicants who do not have </w:t>
      </w:r>
      <w:r w:rsidR="009E2C6B">
        <w:rPr>
          <w:lang w:val="en-US"/>
        </w:rPr>
        <w:t>the characteristic may</w:t>
      </w:r>
      <w:r w:rsidR="002F6002" w:rsidRPr="002F6002">
        <w:rPr>
          <w:lang w:val="en-US"/>
        </w:rPr>
        <w:t xml:space="preserve"> be lawfully refused. The prohibited characteristic in question must be inherently linked to the capacity to perform the job or to the qualifications required for it</w:t>
      </w:r>
      <w:r w:rsidR="002F6002" w:rsidRPr="002F6002">
        <w:rPr>
          <w:vertAlign w:val="superscript"/>
          <w:lang w:val="en-US"/>
        </w:rPr>
        <w:footnoteReference w:id="117"/>
      </w:r>
      <w:r w:rsidR="002F6002" w:rsidRPr="002F6002">
        <w:rPr>
          <w:lang w:val="en-US"/>
        </w:rPr>
        <w:t>. Typical examples may be the hiring</w:t>
      </w:r>
      <w:r w:rsidR="009A5CB6">
        <w:rPr>
          <w:lang w:val="en-US"/>
        </w:rPr>
        <w:t xml:space="preserve"> of </w:t>
      </w:r>
      <w:r w:rsidR="002F6002" w:rsidRPr="002F6002">
        <w:rPr>
          <w:lang w:val="en-US"/>
        </w:rPr>
        <w:t>female models to show off the newest bikini collection</w:t>
      </w:r>
      <w:r w:rsidR="009A5CB6">
        <w:rPr>
          <w:lang w:val="en-US"/>
        </w:rPr>
        <w:t xml:space="preserve"> or the casting of a male actor to perform the role of a male character in a play</w:t>
      </w:r>
      <w:r w:rsidR="002F6002" w:rsidRPr="002F6002">
        <w:rPr>
          <w:lang w:val="en-US"/>
        </w:rPr>
        <w:t>. A second express exception to the prohibition on direct discrimination relates to religious institutions. When recruiting they are allowed to limit the pool of suitable candidates based on the ethos of their religion</w:t>
      </w:r>
      <w:r w:rsidR="002F6002" w:rsidRPr="002F6002">
        <w:rPr>
          <w:vertAlign w:val="superscript"/>
          <w:lang w:val="en-US"/>
        </w:rPr>
        <w:footnoteReference w:id="118"/>
      </w:r>
      <w:r w:rsidR="002F6002" w:rsidRPr="002F6002">
        <w:rPr>
          <w:lang w:val="en-US"/>
        </w:rPr>
        <w:t xml:space="preserve">. The Catholic church or the board of a mosque are thus not liable for discrimination when refusing to recruit women as priests or imams. </w:t>
      </w:r>
    </w:p>
    <w:p w:rsidR="008714E5" w:rsidRPr="008714E5" w:rsidRDefault="008714E5" w:rsidP="00687D8A">
      <w:pPr>
        <w:spacing w:line="360" w:lineRule="auto"/>
        <w:jc w:val="both"/>
        <w:rPr>
          <w:lang w:val="en-US"/>
        </w:rPr>
      </w:pPr>
      <w:r w:rsidRPr="008714E5">
        <w:rPr>
          <w:i/>
          <w:lang w:val="en-US"/>
        </w:rPr>
        <w:t>2</w:t>
      </w:r>
      <w:r w:rsidR="00C849A7">
        <w:rPr>
          <w:i/>
          <w:lang w:val="en-US"/>
        </w:rPr>
        <w:t>3</w:t>
      </w:r>
      <w:r w:rsidR="00253C06">
        <w:rPr>
          <w:i/>
          <w:lang w:val="en-US"/>
        </w:rPr>
        <w:t xml:space="preserve">. </w:t>
      </w:r>
      <w:r w:rsidRPr="008714E5">
        <w:rPr>
          <w:lang w:val="en-US"/>
        </w:rPr>
        <w:t>In order to excuse a case of indirect discrimination, there is no need to rely upon an expre</w:t>
      </w:r>
      <w:r w:rsidR="00006C39">
        <w:rPr>
          <w:lang w:val="en-US"/>
        </w:rPr>
        <w:t>ss and specific legislative provision</w:t>
      </w:r>
      <w:r w:rsidRPr="008714E5">
        <w:rPr>
          <w:lang w:val="en-US"/>
        </w:rPr>
        <w:t xml:space="preserve">. The concept of indirect discrimination allows for </w:t>
      </w:r>
      <w:r w:rsidRPr="008714E5">
        <w:rPr>
          <w:lang w:val="en-US"/>
        </w:rPr>
        <w:lastRenderedPageBreak/>
        <w:t>the usage of so-called ‘objective justifications’. The European Court of Justice developed the ‘objective justifications’ test when dealing with indirect discrimination of female part-time workers</w:t>
      </w:r>
      <w:r w:rsidRPr="008714E5">
        <w:rPr>
          <w:vertAlign w:val="superscript"/>
          <w:lang w:val="en-US"/>
        </w:rPr>
        <w:footnoteReference w:id="119"/>
      </w:r>
      <w:r w:rsidRPr="008714E5">
        <w:rPr>
          <w:lang w:val="en-US"/>
        </w:rPr>
        <w:t>. The Court used a partly different wording for cases concerning practices of private employers</w:t>
      </w:r>
      <w:r w:rsidRPr="008714E5">
        <w:rPr>
          <w:vertAlign w:val="superscript"/>
          <w:lang w:val="en-US"/>
        </w:rPr>
        <w:footnoteReference w:id="120"/>
      </w:r>
      <w:r w:rsidRPr="008714E5">
        <w:rPr>
          <w:lang w:val="en-US"/>
        </w:rPr>
        <w:t xml:space="preserve"> on the one hand and cases concerning member states’ legislation</w:t>
      </w:r>
      <w:r w:rsidRPr="008714E5">
        <w:rPr>
          <w:vertAlign w:val="superscript"/>
          <w:lang w:val="en-US"/>
        </w:rPr>
        <w:footnoteReference w:id="121"/>
      </w:r>
      <w:r w:rsidRPr="008714E5">
        <w:rPr>
          <w:lang w:val="en-US"/>
        </w:rPr>
        <w:t xml:space="preserve"> on the other, but by and large it may be concluded that two requirements need to be met for an objective justification to exist. Firstly, the defendant n</w:t>
      </w:r>
      <w:r w:rsidR="00FB3445">
        <w:rPr>
          <w:lang w:val="en-US"/>
        </w:rPr>
        <w:t>eeds to prove that he or she has</w:t>
      </w:r>
      <w:r w:rsidRPr="008714E5">
        <w:rPr>
          <w:lang w:val="en-US"/>
        </w:rPr>
        <w:t xml:space="preserve"> a legitimate aim for the indirectly differential treatment</w:t>
      </w:r>
      <w:r w:rsidRPr="008714E5">
        <w:rPr>
          <w:vertAlign w:val="superscript"/>
          <w:lang w:val="en-US"/>
        </w:rPr>
        <w:footnoteReference w:id="122"/>
      </w:r>
      <w:r w:rsidRPr="008714E5">
        <w:rPr>
          <w:lang w:val="en-US"/>
        </w:rPr>
        <w:t>. ‘Legitimate’ indicates that the aim is objective, thus independent of prohibited grounds of discrimin</w:t>
      </w:r>
      <w:r>
        <w:rPr>
          <w:lang w:val="en-US"/>
        </w:rPr>
        <w:t xml:space="preserve">ation. It is also requires that </w:t>
      </w:r>
      <w:r w:rsidRPr="008714E5">
        <w:rPr>
          <w:lang w:val="en-US"/>
        </w:rPr>
        <w:t>there is a real need on the part of the employer or the government to achieve the aim</w:t>
      </w:r>
      <w:r w:rsidRPr="008714E5">
        <w:rPr>
          <w:vertAlign w:val="superscript"/>
          <w:lang w:val="en-US"/>
        </w:rPr>
        <w:footnoteReference w:id="123"/>
      </w:r>
      <w:r w:rsidRPr="008714E5">
        <w:rPr>
          <w:lang w:val="en-US"/>
        </w:rPr>
        <w:t>.  Secondly, the measure that causes the differential treatment needs to be appropriate and necessary for attaining the aim pursued</w:t>
      </w:r>
      <w:r w:rsidR="002855AD">
        <w:rPr>
          <w:rStyle w:val="Voetnootmarkering"/>
          <w:lang w:val="en-US"/>
        </w:rPr>
        <w:footnoteReference w:id="124"/>
      </w:r>
      <w:r w:rsidRPr="008714E5">
        <w:rPr>
          <w:lang w:val="en-US"/>
        </w:rPr>
        <w:t>. ‘Appropriate and necessary’ signifies that the measure can only be used when there is no less far-reaching alternative. The relationship between the aim pursued and the</w:t>
      </w:r>
      <w:r w:rsidR="009E4F69">
        <w:rPr>
          <w:lang w:val="en-US"/>
        </w:rPr>
        <w:t xml:space="preserve"> means employed</w:t>
      </w:r>
      <w:r w:rsidRPr="008714E5">
        <w:rPr>
          <w:lang w:val="en-US"/>
        </w:rPr>
        <w:t xml:space="preserve"> must</w:t>
      </w:r>
      <w:r w:rsidR="009E4F69">
        <w:rPr>
          <w:lang w:val="en-US"/>
        </w:rPr>
        <w:t xml:space="preserve"> thus</w:t>
      </w:r>
      <w:r w:rsidRPr="008714E5">
        <w:rPr>
          <w:lang w:val="en-US"/>
        </w:rPr>
        <w:t xml:space="preserve"> be proportionate</w:t>
      </w:r>
      <w:r w:rsidR="00C51FF1">
        <w:rPr>
          <w:rStyle w:val="Voetnootmarkering"/>
          <w:lang w:val="en-US"/>
        </w:rPr>
        <w:footnoteReference w:id="125"/>
      </w:r>
      <w:r w:rsidRPr="008714E5">
        <w:rPr>
          <w:lang w:val="en-US"/>
        </w:rPr>
        <w:t>. Today, the Court’s ‘objective justifications’ test can also be read in secondary EU law</w:t>
      </w:r>
      <w:r w:rsidRPr="008714E5">
        <w:rPr>
          <w:vertAlign w:val="superscript"/>
          <w:lang w:val="en-US"/>
        </w:rPr>
        <w:footnoteReference w:id="126"/>
      </w:r>
      <w:r w:rsidRPr="008714E5">
        <w:rPr>
          <w:lang w:val="en-US"/>
        </w:rPr>
        <w:t>. When a member state needs to provide a justification for indirectly discriminatory legislation, it often enjoys a ‘broad margin of discretion’</w:t>
      </w:r>
      <w:r w:rsidRPr="008714E5">
        <w:rPr>
          <w:vertAlign w:val="superscript"/>
          <w:lang w:val="en-US"/>
        </w:rPr>
        <w:footnoteReference w:id="127"/>
      </w:r>
      <w:r w:rsidRPr="008714E5">
        <w:rPr>
          <w:lang w:val="en-US"/>
        </w:rPr>
        <w:t xml:space="preserve">.     </w:t>
      </w:r>
    </w:p>
    <w:p w:rsidR="002F6002" w:rsidRDefault="002F6002" w:rsidP="00687D8A">
      <w:pPr>
        <w:spacing w:line="360" w:lineRule="auto"/>
        <w:jc w:val="both"/>
        <w:rPr>
          <w:u w:val="single"/>
          <w:lang w:val="en-US"/>
        </w:rPr>
      </w:pPr>
      <w:r w:rsidRPr="002F6002">
        <w:rPr>
          <w:u w:val="single"/>
          <w:lang w:val="en-US"/>
        </w:rPr>
        <w:t>Justifications in Regional and International Human Rights Law</w:t>
      </w:r>
    </w:p>
    <w:p w:rsidR="002F6002" w:rsidRPr="002F6002" w:rsidRDefault="00C849A7" w:rsidP="00687D8A">
      <w:pPr>
        <w:spacing w:line="360" w:lineRule="auto"/>
        <w:jc w:val="both"/>
        <w:rPr>
          <w:lang w:val="en-US"/>
        </w:rPr>
      </w:pPr>
      <w:r>
        <w:rPr>
          <w:i/>
          <w:lang w:val="en-US"/>
        </w:rPr>
        <w:t>24</w:t>
      </w:r>
      <w:r w:rsidR="00451147" w:rsidRPr="00451147">
        <w:rPr>
          <w:i/>
          <w:lang w:val="en-US"/>
        </w:rPr>
        <w:t>.</w:t>
      </w:r>
      <w:r w:rsidR="00451147">
        <w:rPr>
          <w:lang w:val="en-US"/>
        </w:rPr>
        <w:t xml:space="preserve"> </w:t>
      </w:r>
      <w:r w:rsidR="00C10EF4">
        <w:rPr>
          <w:lang w:val="en-US"/>
        </w:rPr>
        <w:t>Since the Revised European Social Charter does not contain any detailed rules on direct</w:t>
      </w:r>
      <w:r w:rsidR="004C632E">
        <w:rPr>
          <w:lang w:val="en-US"/>
        </w:rPr>
        <w:t xml:space="preserve"> </w:t>
      </w:r>
      <w:r w:rsidR="00C10EF4">
        <w:rPr>
          <w:lang w:val="en-US"/>
        </w:rPr>
        <w:t>or indirect discrimination, the European Committee of Social Rights needed to provide for clarifica</w:t>
      </w:r>
      <w:r w:rsidR="007667F1">
        <w:rPr>
          <w:lang w:val="en-US"/>
        </w:rPr>
        <w:t xml:space="preserve">tion. Taking the case-law </w:t>
      </w:r>
      <w:r w:rsidR="00C10EF4">
        <w:rPr>
          <w:lang w:val="en-US"/>
        </w:rPr>
        <w:t>of the European Court of Human Rights</w:t>
      </w:r>
      <w:r w:rsidR="00C10EF4">
        <w:rPr>
          <w:rStyle w:val="Voetnootmarkering"/>
          <w:lang w:val="en-US"/>
        </w:rPr>
        <w:footnoteReference w:id="128"/>
      </w:r>
      <w:r w:rsidR="007667F1">
        <w:rPr>
          <w:lang w:val="en-US"/>
        </w:rPr>
        <w:t xml:space="preserve"> as a model</w:t>
      </w:r>
      <w:r w:rsidR="00C10EF4">
        <w:rPr>
          <w:lang w:val="en-US"/>
        </w:rPr>
        <w:t xml:space="preserve">, it was decided that </w:t>
      </w:r>
      <w:r w:rsidR="00DF1FB9">
        <w:rPr>
          <w:lang w:val="en-US"/>
        </w:rPr>
        <w:t xml:space="preserve">no discrimination takes place when the differential treatment is based on an </w:t>
      </w:r>
      <w:r w:rsidR="00DF1FB9">
        <w:rPr>
          <w:lang w:val="en-US"/>
        </w:rPr>
        <w:lastRenderedPageBreak/>
        <w:t>objective and reasonable justification</w:t>
      </w:r>
      <w:r w:rsidR="00DF1FB9">
        <w:rPr>
          <w:rStyle w:val="Voetnootmarkering"/>
          <w:lang w:val="en-US"/>
        </w:rPr>
        <w:footnoteReference w:id="129"/>
      </w:r>
      <w:r w:rsidR="00DF1FB9">
        <w:rPr>
          <w:lang w:val="en-US"/>
        </w:rPr>
        <w:t>.</w:t>
      </w:r>
      <w:r w:rsidR="00564B36">
        <w:rPr>
          <w:lang w:val="en-US"/>
        </w:rPr>
        <w:t xml:space="preserve"> </w:t>
      </w:r>
      <w:r w:rsidR="002F6002" w:rsidRPr="002F6002">
        <w:rPr>
          <w:lang w:val="en-US"/>
        </w:rPr>
        <w:t xml:space="preserve">Under the term ‘margin of appreciation’, </w:t>
      </w:r>
      <w:r w:rsidR="00564B36">
        <w:rPr>
          <w:lang w:val="en-US"/>
        </w:rPr>
        <w:t xml:space="preserve">the Committee of Social Rights often grants states </w:t>
      </w:r>
      <w:r w:rsidR="002F6002" w:rsidRPr="002F6002">
        <w:rPr>
          <w:lang w:val="en-US"/>
        </w:rPr>
        <w:t>a considerable degree of discretion when deciding on these justifications</w:t>
      </w:r>
      <w:r w:rsidR="002F6002" w:rsidRPr="002F6002">
        <w:rPr>
          <w:vertAlign w:val="superscript"/>
          <w:lang w:val="en-US"/>
        </w:rPr>
        <w:footnoteReference w:id="130"/>
      </w:r>
      <w:r w:rsidR="002F6002" w:rsidRPr="002F6002">
        <w:rPr>
          <w:lang w:val="en-US"/>
        </w:rPr>
        <w:t xml:space="preserve">. </w:t>
      </w:r>
      <w:r w:rsidR="00125985">
        <w:rPr>
          <w:lang w:val="en-US"/>
        </w:rPr>
        <w:t xml:space="preserve">The situation is less clear in the case of the International </w:t>
      </w:r>
      <w:proofErr w:type="spellStart"/>
      <w:r w:rsidR="00125985">
        <w:rPr>
          <w:lang w:val="en-US"/>
        </w:rPr>
        <w:t>Labour</w:t>
      </w:r>
      <w:proofErr w:type="spellEnd"/>
      <w:r w:rsidR="00125985">
        <w:rPr>
          <w:lang w:val="en-US"/>
        </w:rPr>
        <w:t xml:space="preserve"> Organization and the UN Convention on the Elimination of All Forms of Discrimination against Women. </w:t>
      </w:r>
      <w:r w:rsidR="00B128AB">
        <w:rPr>
          <w:lang w:val="en-US"/>
        </w:rPr>
        <w:t>The ILO’s discrimination Convention</w:t>
      </w:r>
      <w:r w:rsidR="00B128AB">
        <w:rPr>
          <w:rStyle w:val="Voetnootmarkering"/>
          <w:lang w:val="en-US"/>
        </w:rPr>
        <w:footnoteReference w:id="131"/>
      </w:r>
      <w:r w:rsidR="00B128AB">
        <w:rPr>
          <w:lang w:val="en-US"/>
        </w:rPr>
        <w:t xml:space="preserve"> and its Committee of experts remain silent on the issue. From ot</w:t>
      </w:r>
      <w:r w:rsidR="00A97E2B">
        <w:rPr>
          <w:lang w:val="en-US"/>
        </w:rPr>
        <w:t xml:space="preserve">her publications by the ILO, </w:t>
      </w:r>
      <w:r w:rsidR="00B63B6D">
        <w:rPr>
          <w:lang w:val="en-US"/>
        </w:rPr>
        <w:t>we</w:t>
      </w:r>
      <w:r w:rsidR="00B128AB">
        <w:rPr>
          <w:lang w:val="en-US"/>
        </w:rPr>
        <w:t xml:space="preserve"> may deduce that differential treatment can be justified if it pursues a legitimate aim and is necessary and proportionate</w:t>
      </w:r>
      <w:r w:rsidR="00B128AB">
        <w:rPr>
          <w:rStyle w:val="Voetnootmarkering"/>
          <w:lang w:val="en-US"/>
        </w:rPr>
        <w:footnoteReference w:id="132"/>
      </w:r>
      <w:r w:rsidR="00B128AB">
        <w:rPr>
          <w:lang w:val="en-US"/>
        </w:rPr>
        <w:t>.</w:t>
      </w:r>
      <w:r w:rsidR="00F60116">
        <w:rPr>
          <w:lang w:val="en-US"/>
        </w:rPr>
        <w:t xml:space="preserve"> As to the UN Convention on the Elimination of All Forms of Discrimination against Women, one may refer to the statements of the other UN treaty bodies. According to the Human Rights Committee</w:t>
      </w:r>
      <w:r w:rsidR="00F60116">
        <w:rPr>
          <w:rStyle w:val="Voetnootmarkering"/>
          <w:lang w:val="en-US"/>
        </w:rPr>
        <w:footnoteReference w:id="133"/>
      </w:r>
      <w:r w:rsidR="00F60116">
        <w:rPr>
          <w:lang w:val="en-US"/>
        </w:rPr>
        <w:t xml:space="preserve"> and the Committee on Economic, Social and Cultural Rights</w:t>
      </w:r>
      <w:r w:rsidR="00F60116">
        <w:rPr>
          <w:rStyle w:val="Voetnootmarkering"/>
          <w:lang w:val="en-US"/>
        </w:rPr>
        <w:footnoteReference w:id="134"/>
      </w:r>
      <w:r w:rsidR="00F60116">
        <w:rPr>
          <w:lang w:val="en-US"/>
        </w:rPr>
        <w:t>, a distinction in treatment based on objective and reasonable criteria does not constitu</w:t>
      </w:r>
      <w:r w:rsidR="00DE03E9">
        <w:rPr>
          <w:lang w:val="en-US"/>
        </w:rPr>
        <w:t>te a prohibited discrimination. It can</w:t>
      </w:r>
      <w:r w:rsidR="00C40A52">
        <w:rPr>
          <w:lang w:val="en-US"/>
        </w:rPr>
        <w:t xml:space="preserve"> reasonably</w:t>
      </w:r>
      <w:r w:rsidR="00DE03E9">
        <w:rPr>
          <w:lang w:val="en-US"/>
        </w:rPr>
        <w:t xml:space="preserve"> be</w:t>
      </w:r>
      <w:r w:rsidR="00C40A52">
        <w:rPr>
          <w:lang w:val="en-US"/>
        </w:rPr>
        <w:t xml:space="preserve"> argue</w:t>
      </w:r>
      <w:r w:rsidR="00DE03E9">
        <w:rPr>
          <w:lang w:val="en-US"/>
        </w:rPr>
        <w:t>d</w:t>
      </w:r>
      <w:r w:rsidR="00C40A52">
        <w:rPr>
          <w:lang w:val="en-US"/>
        </w:rPr>
        <w:t xml:space="preserve"> that the same is true under the </w:t>
      </w:r>
      <w:r w:rsidR="00BC3494">
        <w:rPr>
          <w:lang w:val="en-US"/>
        </w:rPr>
        <w:t xml:space="preserve">UN </w:t>
      </w:r>
      <w:r w:rsidR="00C40A52">
        <w:rPr>
          <w:lang w:val="en-US"/>
        </w:rPr>
        <w:t xml:space="preserve">Convention on the Elimination of Discrimination against Women. </w:t>
      </w:r>
      <w:r w:rsidR="00B128AB">
        <w:rPr>
          <w:lang w:val="en-US"/>
        </w:rPr>
        <w:t xml:space="preserve"> </w:t>
      </w:r>
      <w:r w:rsidR="002F6002" w:rsidRPr="002F6002">
        <w:rPr>
          <w:lang w:val="en-US"/>
        </w:rPr>
        <w:t xml:space="preserve">  </w:t>
      </w:r>
    </w:p>
    <w:p w:rsidR="002F6002" w:rsidRPr="002F6002" w:rsidRDefault="002F6002" w:rsidP="00687D8A">
      <w:pPr>
        <w:spacing w:line="360" w:lineRule="auto"/>
        <w:jc w:val="both"/>
        <w:rPr>
          <w:lang w:val="en-US"/>
        </w:rPr>
      </w:pPr>
    </w:p>
    <w:p w:rsidR="002F6002" w:rsidRPr="002F6002" w:rsidRDefault="002F6002" w:rsidP="00687D8A">
      <w:pPr>
        <w:spacing w:line="360" w:lineRule="auto"/>
        <w:jc w:val="both"/>
        <w:rPr>
          <w:lang w:val="en-US"/>
        </w:rPr>
      </w:pPr>
    </w:p>
    <w:p w:rsidR="002F6002" w:rsidRPr="002F6002" w:rsidRDefault="002F6002" w:rsidP="00687D8A">
      <w:pPr>
        <w:spacing w:line="360" w:lineRule="auto"/>
        <w:jc w:val="both"/>
        <w:rPr>
          <w:lang w:val="en-US"/>
        </w:rPr>
      </w:pPr>
    </w:p>
    <w:p w:rsidR="002F6002" w:rsidRPr="002F6002" w:rsidRDefault="002F6002" w:rsidP="00687D8A">
      <w:pPr>
        <w:spacing w:line="360" w:lineRule="auto"/>
        <w:jc w:val="both"/>
        <w:rPr>
          <w:lang w:val="en-US"/>
        </w:rPr>
      </w:pPr>
    </w:p>
    <w:p w:rsidR="002F6002" w:rsidRPr="002F6002" w:rsidRDefault="002F6002" w:rsidP="00687D8A">
      <w:pPr>
        <w:spacing w:line="360" w:lineRule="auto"/>
        <w:jc w:val="both"/>
        <w:rPr>
          <w:lang w:val="en-US"/>
        </w:rPr>
      </w:pPr>
    </w:p>
    <w:p w:rsidR="00EA329A" w:rsidRDefault="00EA329A" w:rsidP="00687D8A">
      <w:pPr>
        <w:spacing w:line="360" w:lineRule="auto"/>
        <w:jc w:val="both"/>
        <w:rPr>
          <w:lang w:val="en-US"/>
        </w:rPr>
      </w:pPr>
    </w:p>
    <w:p w:rsidR="00840D07" w:rsidRDefault="00840D07" w:rsidP="00687D8A">
      <w:pPr>
        <w:spacing w:line="360" w:lineRule="auto"/>
        <w:jc w:val="both"/>
        <w:rPr>
          <w:lang w:val="en-US"/>
        </w:rPr>
      </w:pPr>
    </w:p>
    <w:p w:rsidR="002F6002" w:rsidRPr="002F6002" w:rsidRDefault="002B75BC" w:rsidP="00687D8A">
      <w:pPr>
        <w:spacing w:line="360" w:lineRule="auto"/>
        <w:jc w:val="both"/>
        <w:rPr>
          <w:lang w:val="en-US"/>
        </w:rPr>
      </w:pPr>
      <w:r>
        <w:rPr>
          <w:u w:val="single"/>
          <w:lang w:val="en-US"/>
        </w:rPr>
        <w:lastRenderedPageBreak/>
        <w:t>Section V</w:t>
      </w:r>
      <w:r w:rsidR="002F6002" w:rsidRPr="002F6002">
        <w:rPr>
          <w:u w:val="single"/>
          <w:lang w:val="en-US"/>
        </w:rPr>
        <w:t>. Affirmative Action</w:t>
      </w:r>
    </w:p>
    <w:p w:rsidR="002F6002" w:rsidRPr="002F6002" w:rsidRDefault="00C849A7" w:rsidP="00687D8A">
      <w:pPr>
        <w:spacing w:line="360" w:lineRule="auto"/>
        <w:jc w:val="both"/>
        <w:rPr>
          <w:lang w:val="en-US"/>
        </w:rPr>
      </w:pPr>
      <w:r>
        <w:rPr>
          <w:i/>
          <w:lang w:val="en-US"/>
        </w:rPr>
        <w:t>25</w:t>
      </w:r>
      <w:r w:rsidR="009A1ED3">
        <w:rPr>
          <w:i/>
          <w:lang w:val="en-US"/>
        </w:rPr>
        <w:t xml:space="preserve">. </w:t>
      </w:r>
      <w:r w:rsidR="002F6002" w:rsidRPr="002F6002">
        <w:rPr>
          <w:lang w:val="en-US"/>
        </w:rPr>
        <w:t>In the context of affirmative action, several terms are utilized to refer to the same concept</w:t>
      </w:r>
      <w:r w:rsidR="002F6002" w:rsidRPr="002F6002">
        <w:rPr>
          <w:vertAlign w:val="superscript"/>
          <w:lang w:val="en-US"/>
        </w:rPr>
        <w:footnoteReference w:id="135"/>
      </w:r>
      <w:r w:rsidR="009A1ED3">
        <w:rPr>
          <w:lang w:val="en-US"/>
        </w:rPr>
        <w:t>. Throughout this text, the phrases</w:t>
      </w:r>
      <w:r w:rsidR="002F6002" w:rsidRPr="002F6002">
        <w:rPr>
          <w:lang w:val="en-US"/>
        </w:rPr>
        <w:t xml:space="preserve"> ‘positive action’ and ‘affirmative action’ will be used interchangeably. The second meaning of ‘positive action’, namely positive </w:t>
      </w:r>
      <w:r w:rsidR="002F6002" w:rsidRPr="002F6002">
        <w:rPr>
          <w:i/>
          <w:lang w:val="en-US"/>
        </w:rPr>
        <w:t>state</w:t>
      </w:r>
      <w:r w:rsidR="00E67640">
        <w:rPr>
          <w:lang w:val="en-US"/>
        </w:rPr>
        <w:t xml:space="preserve"> action - </w:t>
      </w:r>
      <w:r w:rsidR="002F6002" w:rsidRPr="002F6002">
        <w:rPr>
          <w:lang w:val="en-US"/>
        </w:rPr>
        <w:t xml:space="preserve">as opposed to a state’s duty </w:t>
      </w:r>
      <w:r w:rsidR="00E67640">
        <w:rPr>
          <w:lang w:val="en-US"/>
        </w:rPr>
        <w:t xml:space="preserve">to refrain from doing something- </w:t>
      </w:r>
      <w:r w:rsidR="002F6002" w:rsidRPr="002F6002">
        <w:rPr>
          <w:lang w:val="en-US"/>
        </w:rPr>
        <w:t xml:space="preserve"> </w:t>
      </w:r>
      <w:r w:rsidR="00E67640">
        <w:rPr>
          <w:lang w:val="en-US"/>
        </w:rPr>
        <w:t>is of less significance here. ‘Temporary s</w:t>
      </w:r>
      <w:r w:rsidR="002F6002" w:rsidRPr="002F6002">
        <w:rPr>
          <w:lang w:val="en-US"/>
        </w:rPr>
        <w:t>pecial measures’ are further</w:t>
      </w:r>
      <w:r w:rsidR="00E67640">
        <w:rPr>
          <w:lang w:val="en-US"/>
        </w:rPr>
        <w:t xml:space="preserve">more deemed to indicate </w:t>
      </w:r>
      <w:r w:rsidR="002F6002" w:rsidRPr="002F6002">
        <w:rPr>
          <w:lang w:val="en-US"/>
        </w:rPr>
        <w:t>the same as ‘affirmative action’</w:t>
      </w:r>
      <w:r w:rsidR="00E3426F">
        <w:rPr>
          <w:lang w:val="en-US"/>
        </w:rPr>
        <w:t xml:space="preserve"> (</w:t>
      </w:r>
      <w:r w:rsidR="00E3426F">
        <w:rPr>
          <w:i/>
          <w:lang w:val="en-US"/>
        </w:rPr>
        <w:t>infra no. 47</w:t>
      </w:r>
      <w:r w:rsidR="00DC0E9F">
        <w:rPr>
          <w:lang w:val="en-US"/>
        </w:rPr>
        <w:t>)</w:t>
      </w:r>
      <w:r w:rsidR="002F6002" w:rsidRPr="002F6002">
        <w:rPr>
          <w:lang w:val="en-US"/>
        </w:rPr>
        <w:t>. The term ‘positive discrimination’ will not appear because it is not believed to be accurate.</w:t>
      </w:r>
      <w:r w:rsidR="00EE4CED">
        <w:rPr>
          <w:lang w:val="en-US"/>
        </w:rPr>
        <w:t xml:space="preserve"> Within the legal framework, ‘discrimination’ has a negative connota</w:t>
      </w:r>
      <w:r w:rsidR="00240E76">
        <w:rPr>
          <w:lang w:val="en-US"/>
        </w:rPr>
        <w:t xml:space="preserve">tion </w:t>
      </w:r>
      <w:r w:rsidR="002F6002" w:rsidRPr="002F6002">
        <w:rPr>
          <w:lang w:val="en-US"/>
        </w:rPr>
        <w:t>(</w:t>
      </w:r>
      <w:r w:rsidR="002F6002" w:rsidRPr="002F6002">
        <w:rPr>
          <w:i/>
          <w:lang w:val="en-US"/>
        </w:rPr>
        <w:t xml:space="preserve">supra no. </w:t>
      </w:r>
      <w:r w:rsidR="008E796B">
        <w:rPr>
          <w:i/>
          <w:lang w:val="en-US"/>
        </w:rPr>
        <w:t>10</w:t>
      </w:r>
      <w:r w:rsidR="00A80379">
        <w:rPr>
          <w:lang w:val="en-US"/>
        </w:rPr>
        <w:t>). It may therefore be argued</w:t>
      </w:r>
      <w:r w:rsidR="002F6002" w:rsidRPr="002F6002">
        <w:rPr>
          <w:lang w:val="en-US"/>
        </w:rPr>
        <w:t xml:space="preserve"> that ‘positive’ and ‘discrimination’ are two contradictory terms</w:t>
      </w:r>
      <w:r w:rsidR="002F6002" w:rsidRPr="002F6002">
        <w:rPr>
          <w:vertAlign w:val="superscript"/>
          <w:lang w:val="en-US"/>
        </w:rPr>
        <w:footnoteReference w:id="136"/>
      </w:r>
      <w:r w:rsidR="002F6002" w:rsidRPr="002F6002">
        <w:rPr>
          <w:lang w:val="en-US"/>
        </w:rPr>
        <w:t>.</w:t>
      </w:r>
      <w:r w:rsidR="002F6002" w:rsidRPr="002F6002">
        <w:rPr>
          <w:u w:val="single"/>
          <w:lang w:val="en-GB"/>
        </w:rPr>
        <w:t xml:space="preserve"> </w:t>
      </w:r>
    </w:p>
    <w:p w:rsidR="002F6002" w:rsidRPr="002F6002" w:rsidRDefault="00C849A7" w:rsidP="00687D8A">
      <w:pPr>
        <w:spacing w:line="360" w:lineRule="auto"/>
        <w:jc w:val="both"/>
        <w:rPr>
          <w:lang w:val="en-GB"/>
        </w:rPr>
      </w:pPr>
      <w:r>
        <w:rPr>
          <w:i/>
          <w:lang w:val="en-GB"/>
        </w:rPr>
        <w:t>26</w:t>
      </w:r>
      <w:r w:rsidR="002F6002" w:rsidRPr="002F6002">
        <w:rPr>
          <w:i/>
          <w:lang w:val="en-GB"/>
        </w:rPr>
        <w:t>.</w:t>
      </w:r>
      <w:r w:rsidR="002F6002" w:rsidRPr="002F6002">
        <w:rPr>
          <w:lang w:val="en-GB"/>
        </w:rPr>
        <w:t xml:space="preserve"> In much the same way as there is no common agreement on terminology used in the positive action sphere, a uniform definition of the concept is also lacking. We define positive action as an amalgam of mostly temporary measures consciously proclaimed to ameliorate the situation of specific groups in society. These groups are often characterized by one or more of the protected features.  </w:t>
      </w:r>
    </w:p>
    <w:p w:rsidR="002F6002" w:rsidRPr="002F6002" w:rsidRDefault="00C849A7" w:rsidP="00687D8A">
      <w:pPr>
        <w:spacing w:line="360" w:lineRule="auto"/>
        <w:jc w:val="both"/>
        <w:rPr>
          <w:lang w:val="en-GB"/>
        </w:rPr>
      </w:pPr>
      <w:r>
        <w:rPr>
          <w:i/>
          <w:lang w:val="en-GB"/>
        </w:rPr>
        <w:t>27</w:t>
      </w:r>
      <w:r w:rsidR="002F6002" w:rsidRPr="002F6002">
        <w:rPr>
          <w:i/>
          <w:lang w:val="en-GB"/>
        </w:rPr>
        <w:t>.</w:t>
      </w:r>
      <w:r w:rsidR="002F6002" w:rsidRPr="002F6002">
        <w:rPr>
          <w:lang w:val="en-GB"/>
        </w:rPr>
        <w:t xml:space="preserve"> There may be several reasons behind the adoption of positive action measures. The majority of scholars maintain that they are often adopted to compensate for historical discrimination</w:t>
      </w:r>
      <w:r w:rsidR="002F6002" w:rsidRPr="002F6002">
        <w:rPr>
          <w:vertAlign w:val="superscript"/>
          <w:lang w:val="en-GB"/>
        </w:rPr>
        <w:footnoteReference w:id="137"/>
      </w:r>
      <w:r w:rsidR="002F6002" w:rsidRPr="002F6002">
        <w:rPr>
          <w:lang w:val="en-GB"/>
        </w:rPr>
        <w:t>. Some groups of people have been discriminated against for decades or even centuries. In these cases the enactment of anti-discrimination legislation is considered to be far from sufficient. Because of the prolonged maltreatment the groups under consideration cannot start from the same position as other groups. They need some extra help to enable them to compete from a simi</w:t>
      </w:r>
      <w:r w:rsidR="0058321A">
        <w:rPr>
          <w:lang w:val="en-GB"/>
        </w:rPr>
        <w:t xml:space="preserve">lar position. Women </w:t>
      </w:r>
      <w:r w:rsidR="002F6002" w:rsidRPr="002F6002">
        <w:rPr>
          <w:lang w:val="en-GB"/>
        </w:rPr>
        <w:t>are well-known victims of historical discrimination. They have been treated as second-class human beings for a very long time. It is thus not reasonable to expect that a piece of anti-discrimination legislation would e</w:t>
      </w:r>
      <w:r w:rsidR="00A718ED">
        <w:rPr>
          <w:lang w:val="en-GB"/>
        </w:rPr>
        <w:t xml:space="preserve">ntirely </w:t>
      </w:r>
      <w:r w:rsidR="00A718ED">
        <w:rPr>
          <w:lang w:val="en-GB"/>
        </w:rPr>
        <w:lastRenderedPageBreak/>
        <w:t xml:space="preserve">remedy their situation. </w:t>
      </w:r>
      <w:r w:rsidR="002F6002" w:rsidRPr="002F6002">
        <w:rPr>
          <w:lang w:val="en-GB"/>
        </w:rPr>
        <w:t>Affirmative action measures may also be enacted in order to enhance diversity within the workplace, to provide for role models that stimulate other members of disadvantaged groups and to prevent social unrest</w:t>
      </w:r>
      <w:r w:rsidR="002F6002" w:rsidRPr="002F6002">
        <w:rPr>
          <w:vertAlign w:val="superscript"/>
          <w:lang w:val="en-GB"/>
        </w:rPr>
        <w:footnoteReference w:id="138"/>
      </w:r>
      <w:r w:rsidR="002F6002" w:rsidRPr="002F6002">
        <w:rPr>
          <w:lang w:val="en-GB"/>
        </w:rPr>
        <w:t xml:space="preserve">. </w:t>
      </w:r>
    </w:p>
    <w:p w:rsidR="002F6002" w:rsidRPr="002F6002" w:rsidRDefault="00C849A7" w:rsidP="00687D8A">
      <w:pPr>
        <w:spacing w:line="360" w:lineRule="auto"/>
        <w:jc w:val="both"/>
        <w:rPr>
          <w:lang w:val="en-GB"/>
        </w:rPr>
      </w:pPr>
      <w:r>
        <w:rPr>
          <w:i/>
          <w:lang w:val="en-GB"/>
        </w:rPr>
        <w:t>28</w:t>
      </w:r>
      <w:r w:rsidR="002F6002" w:rsidRPr="002F6002">
        <w:rPr>
          <w:i/>
          <w:lang w:val="en-GB"/>
        </w:rPr>
        <w:t>.</w:t>
      </w:r>
      <w:r w:rsidR="002F6002" w:rsidRPr="002F6002">
        <w:rPr>
          <w:lang w:val="en-GB"/>
        </w:rPr>
        <w:t xml:space="preserve"> Affirmative action can take on diverse forms. Broadly speaking, four types of measures are used in the employment sphere. The first type largely concerns recruitment, vocational guidance and job training. The disadvantaged group may be strongly encouraged to apply for a certain job or receive additional training to become as competitive as the other groups</w:t>
      </w:r>
      <w:r w:rsidR="002F6002" w:rsidRPr="002F6002">
        <w:rPr>
          <w:vertAlign w:val="superscript"/>
          <w:lang w:val="en-GB"/>
        </w:rPr>
        <w:footnoteReference w:id="139"/>
      </w:r>
      <w:r w:rsidR="002F6002" w:rsidRPr="002F6002">
        <w:rPr>
          <w:lang w:val="en-GB"/>
        </w:rPr>
        <w:t>. Measures such as these may also, although less frequently, provide for a flexible arrangement of working hours or assist in finding an equilibrium between a career and family responsibilities</w:t>
      </w:r>
      <w:r w:rsidR="002F6002" w:rsidRPr="002F6002">
        <w:rPr>
          <w:vertAlign w:val="superscript"/>
          <w:lang w:val="en-GB"/>
        </w:rPr>
        <w:footnoteReference w:id="140"/>
      </w:r>
      <w:r w:rsidR="002F6002" w:rsidRPr="002F6002">
        <w:rPr>
          <w:lang w:val="en-GB"/>
        </w:rPr>
        <w:t>. The second kind focuses on the fairness of the system</w:t>
      </w:r>
      <w:r w:rsidR="002F6002" w:rsidRPr="002F6002">
        <w:rPr>
          <w:vertAlign w:val="superscript"/>
          <w:lang w:val="en-GB"/>
        </w:rPr>
        <w:footnoteReference w:id="141"/>
      </w:r>
      <w:r w:rsidR="002F6002" w:rsidRPr="002F6002">
        <w:rPr>
          <w:lang w:val="en-GB"/>
        </w:rPr>
        <w:t>. It attempts to ensure that decisions related to for example promotion or hiring are exclusively merit based. Considerable attention is often dedicated to the establishment of complaint procedures and control mechanisms</w:t>
      </w:r>
      <w:r w:rsidR="002F6002" w:rsidRPr="002F6002">
        <w:rPr>
          <w:vertAlign w:val="superscript"/>
          <w:lang w:val="en-GB"/>
        </w:rPr>
        <w:footnoteReference w:id="142"/>
      </w:r>
      <w:r w:rsidR="002F6002" w:rsidRPr="002F6002">
        <w:rPr>
          <w:lang w:val="en-GB"/>
        </w:rPr>
        <w:t>. The third type is referred to as ‘preferential treatment’. The latter itself can be divided into two subcategories: strong and weak preferential treatment. The strong version gives absolute priority to a female job candidate, even when the competing male candidate is better qualified. The weak version only favours the female job candidate in case of competition between similarly qualified job applicants</w:t>
      </w:r>
      <w:r w:rsidR="002F6002" w:rsidRPr="002F6002">
        <w:rPr>
          <w:vertAlign w:val="superscript"/>
          <w:lang w:val="en-GB"/>
        </w:rPr>
        <w:footnoteReference w:id="143"/>
      </w:r>
      <w:r w:rsidR="002F6002" w:rsidRPr="002F6002">
        <w:rPr>
          <w:lang w:val="en-GB"/>
        </w:rPr>
        <w:t>. The fourth type of positive action is no doubt the most controversial one</w:t>
      </w:r>
      <w:r w:rsidR="006A1884">
        <w:rPr>
          <w:rStyle w:val="Voetnootmarkering"/>
          <w:lang w:val="en-GB"/>
        </w:rPr>
        <w:footnoteReference w:id="144"/>
      </w:r>
      <w:r w:rsidR="002F6002" w:rsidRPr="002F6002">
        <w:rPr>
          <w:lang w:val="en-GB"/>
        </w:rPr>
        <w:t xml:space="preserve">. It involves the use of so-called goals or quotas. The latter may be rigidly fixed, for example the requirement that within three years </w:t>
      </w:r>
      <w:r w:rsidR="002F6002" w:rsidRPr="002F6002">
        <w:rPr>
          <w:lang w:val="en-GB"/>
        </w:rPr>
        <w:lastRenderedPageBreak/>
        <w:t>40% of the senior management of a company needs to be female. Less rigorous use can also be made of a quota system. For example, a rule may state that 30% of the newly recruited employees need to be female. If however, no sufficient number of qualified female applicants presents itself, the remaining vacancies may be filled by male employees</w:t>
      </w:r>
      <w:r w:rsidR="002F6002" w:rsidRPr="002F6002">
        <w:rPr>
          <w:vertAlign w:val="superscript"/>
          <w:lang w:val="en-GB"/>
        </w:rPr>
        <w:footnoteReference w:id="145"/>
      </w:r>
      <w:r w:rsidR="002F6002" w:rsidRPr="002F6002">
        <w:rPr>
          <w:lang w:val="en-GB"/>
        </w:rPr>
        <w:t>. This last  kind of affirmative action has both strong opponents and proponents. It is true that quotas offer an efficient way to swiftly remedy the inferior position of a disadvantaged group. On the other hand, questions of individual merit and free choice arise</w:t>
      </w:r>
      <w:r w:rsidR="002F6002" w:rsidRPr="002F6002">
        <w:rPr>
          <w:vertAlign w:val="superscript"/>
          <w:lang w:val="en-GB"/>
        </w:rPr>
        <w:footnoteReference w:id="146"/>
      </w:r>
      <w:r w:rsidR="002F6002" w:rsidRPr="002F6002">
        <w:rPr>
          <w:lang w:val="en-GB"/>
        </w:rPr>
        <w:t xml:space="preserve">. </w:t>
      </w:r>
      <w:r w:rsidR="00C27099">
        <w:rPr>
          <w:lang w:val="en-GB"/>
        </w:rPr>
        <w:t>S</w:t>
      </w:r>
      <w:r w:rsidR="002F6002" w:rsidRPr="002F6002">
        <w:rPr>
          <w:lang w:val="en-GB"/>
        </w:rPr>
        <w:t>cholars belongi</w:t>
      </w:r>
      <w:r w:rsidR="00C27099">
        <w:rPr>
          <w:lang w:val="en-GB"/>
        </w:rPr>
        <w:t>ng to a disadvantaged group do not invariably argue in favour of</w:t>
      </w:r>
      <w:r w:rsidR="002F6002" w:rsidRPr="002F6002">
        <w:rPr>
          <w:lang w:val="en-GB"/>
        </w:rPr>
        <w:t xml:space="preserve"> quota system</w:t>
      </w:r>
      <w:r w:rsidR="00C27099">
        <w:rPr>
          <w:lang w:val="en-GB"/>
        </w:rPr>
        <w:t>s</w:t>
      </w:r>
      <w:r w:rsidR="002F6002" w:rsidRPr="002F6002">
        <w:rPr>
          <w:lang w:val="en-GB"/>
        </w:rPr>
        <w:t xml:space="preserve">. They </w:t>
      </w:r>
      <w:r w:rsidR="0076417D">
        <w:rPr>
          <w:lang w:val="en-GB"/>
        </w:rPr>
        <w:t xml:space="preserve">sometimes warn for a ‘reverse effect’. According to them, it may well be that strong affirmative action measures bolster harmful stereotypes and lead to a belief </w:t>
      </w:r>
      <w:r w:rsidR="002F6002" w:rsidRPr="002F6002">
        <w:rPr>
          <w:lang w:val="en-GB"/>
        </w:rPr>
        <w:t>that the members of the disadvantaged group are less skilled and could never have gained the same success without the quota system</w:t>
      </w:r>
      <w:r w:rsidR="002F6002" w:rsidRPr="002F6002">
        <w:rPr>
          <w:vertAlign w:val="superscript"/>
          <w:lang w:val="en-GB"/>
        </w:rPr>
        <w:footnoteReference w:id="147"/>
      </w:r>
      <w:r w:rsidR="002F6002" w:rsidRPr="002F6002">
        <w:rPr>
          <w:lang w:val="en-GB"/>
        </w:rPr>
        <w:t xml:space="preserve">.         </w:t>
      </w:r>
    </w:p>
    <w:p w:rsidR="002F6002" w:rsidRPr="002F6002" w:rsidRDefault="002F6002" w:rsidP="00687D8A">
      <w:pPr>
        <w:spacing w:line="360" w:lineRule="auto"/>
        <w:jc w:val="both"/>
        <w:rPr>
          <w:lang w:val="en-US"/>
        </w:rPr>
      </w:pPr>
      <w:r w:rsidRPr="002F6002">
        <w:rPr>
          <w:lang w:val="en-US"/>
        </w:rPr>
        <w:t xml:space="preserve"> </w:t>
      </w:r>
    </w:p>
    <w:p w:rsidR="002F6002" w:rsidRDefault="002F6002" w:rsidP="00687D8A">
      <w:pPr>
        <w:spacing w:line="360" w:lineRule="auto"/>
        <w:jc w:val="both"/>
        <w:rPr>
          <w:b/>
          <w:u w:val="single"/>
          <w:lang w:val="en-US"/>
        </w:rPr>
      </w:pPr>
    </w:p>
    <w:p w:rsidR="00A52A2B" w:rsidRDefault="00A52A2B" w:rsidP="00687D8A">
      <w:pPr>
        <w:spacing w:line="360" w:lineRule="auto"/>
        <w:jc w:val="both"/>
        <w:rPr>
          <w:b/>
          <w:u w:val="single"/>
          <w:lang w:val="en-US"/>
        </w:rPr>
      </w:pPr>
    </w:p>
    <w:p w:rsidR="00A52A2B" w:rsidRDefault="00A52A2B" w:rsidP="00687D8A">
      <w:pPr>
        <w:spacing w:line="360" w:lineRule="auto"/>
        <w:jc w:val="both"/>
        <w:rPr>
          <w:b/>
          <w:u w:val="single"/>
          <w:lang w:val="en-US"/>
        </w:rPr>
      </w:pPr>
    </w:p>
    <w:p w:rsidR="00A52A2B" w:rsidRDefault="00A52A2B" w:rsidP="00687D8A">
      <w:pPr>
        <w:spacing w:line="360" w:lineRule="auto"/>
        <w:jc w:val="both"/>
        <w:rPr>
          <w:b/>
          <w:u w:val="single"/>
          <w:lang w:val="en-US"/>
        </w:rPr>
      </w:pPr>
    </w:p>
    <w:p w:rsidR="00A52A2B" w:rsidRDefault="00A52A2B" w:rsidP="00687D8A">
      <w:pPr>
        <w:spacing w:line="360" w:lineRule="auto"/>
        <w:jc w:val="both"/>
        <w:rPr>
          <w:b/>
          <w:u w:val="single"/>
          <w:lang w:val="en-US"/>
        </w:rPr>
      </w:pPr>
    </w:p>
    <w:p w:rsidR="00A52A2B" w:rsidRPr="002F6002" w:rsidRDefault="00A52A2B" w:rsidP="00687D8A">
      <w:pPr>
        <w:spacing w:line="360" w:lineRule="auto"/>
        <w:jc w:val="both"/>
        <w:rPr>
          <w:b/>
          <w:u w:val="single"/>
          <w:lang w:val="en-US"/>
        </w:rPr>
      </w:pPr>
    </w:p>
    <w:p w:rsidR="00274CE1" w:rsidRDefault="00274CE1" w:rsidP="00687D8A">
      <w:pPr>
        <w:spacing w:line="360" w:lineRule="auto"/>
        <w:jc w:val="both"/>
        <w:rPr>
          <w:b/>
          <w:u w:val="single"/>
          <w:lang w:val="en-US"/>
        </w:rPr>
      </w:pPr>
    </w:p>
    <w:p w:rsidR="002F6002" w:rsidRPr="002F6002" w:rsidRDefault="002F6002" w:rsidP="00687D8A">
      <w:pPr>
        <w:spacing w:line="360" w:lineRule="auto"/>
        <w:jc w:val="both"/>
        <w:rPr>
          <w:b/>
          <w:u w:val="single"/>
          <w:lang w:val="en-US"/>
        </w:rPr>
      </w:pPr>
      <w:r w:rsidRPr="002F6002">
        <w:rPr>
          <w:b/>
          <w:u w:val="single"/>
          <w:lang w:val="en-US"/>
        </w:rPr>
        <w:lastRenderedPageBreak/>
        <w:t>Part II. Human Rights at Work</w:t>
      </w:r>
    </w:p>
    <w:p w:rsidR="006E7A83" w:rsidRDefault="006E7A83" w:rsidP="00687D8A">
      <w:pPr>
        <w:spacing w:line="360" w:lineRule="auto"/>
        <w:jc w:val="both"/>
        <w:rPr>
          <w:b/>
          <w:u w:val="single"/>
          <w:lang w:val="en-US"/>
        </w:rPr>
      </w:pPr>
      <w:r>
        <w:rPr>
          <w:b/>
          <w:u w:val="single"/>
          <w:lang w:val="en-US"/>
        </w:rPr>
        <w:t xml:space="preserve">Chapter I. Relevant Provisions outside the European Union </w:t>
      </w:r>
      <w:r w:rsidR="000E139A">
        <w:rPr>
          <w:b/>
          <w:u w:val="single"/>
          <w:lang w:val="en-US"/>
        </w:rPr>
        <w:t>F</w:t>
      </w:r>
      <w:r w:rsidR="002F6002" w:rsidRPr="002F6002">
        <w:rPr>
          <w:b/>
          <w:u w:val="single"/>
          <w:lang w:val="en-US"/>
        </w:rPr>
        <w:t>ramework</w:t>
      </w:r>
    </w:p>
    <w:p w:rsidR="00542814" w:rsidRPr="0084143F" w:rsidRDefault="00542814" w:rsidP="00687D8A">
      <w:pPr>
        <w:spacing w:line="360" w:lineRule="auto"/>
        <w:jc w:val="both"/>
        <w:rPr>
          <w:u w:val="single"/>
          <w:lang w:val="en-US"/>
        </w:rPr>
      </w:pPr>
      <w:r w:rsidRPr="0084143F">
        <w:rPr>
          <w:u w:val="single"/>
          <w:lang w:val="en-US"/>
        </w:rPr>
        <w:t xml:space="preserve">Introduction </w:t>
      </w:r>
    </w:p>
    <w:p w:rsidR="00A5007A" w:rsidRDefault="000575C0" w:rsidP="00687D8A">
      <w:pPr>
        <w:spacing w:line="360" w:lineRule="auto"/>
        <w:jc w:val="both"/>
        <w:rPr>
          <w:lang w:val="en-US"/>
        </w:rPr>
      </w:pPr>
      <w:r w:rsidRPr="000575C0">
        <w:rPr>
          <w:i/>
          <w:lang w:val="en-US"/>
        </w:rPr>
        <w:t>29.</w:t>
      </w:r>
      <w:r>
        <w:rPr>
          <w:lang w:val="en-US"/>
        </w:rPr>
        <w:t xml:space="preserve"> </w:t>
      </w:r>
      <w:r w:rsidR="00D0163E" w:rsidRPr="00D0163E">
        <w:rPr>
          <w:lang w:val="en-US"/>
        </w:rPr>
        <w:t>The fir</w:t>
      </w:r>
      <w:r w:rsidR="00D0163E">
        <w:rPr>
          <w:lang w:val="en-US"/>
        </w:rPr>
        <w:t xml:space="preserve">st part of this dissertation </w:t>
      </w:r>
      <w:proofErr w:type="spellStart"/>
      <w:r w:rsidR="00D0163E">
        <w:rPr>
          <w:lang w:val="en-US"/>
        </w:rPr>
        <w:t>endeavoured</w:t>
      </w:r>
      <w:proofErr w:type="spellEnd"/>
      <w:r w:rsidR="00D0163E">
        <w:rPr>
          <w:lang w:val="en-US"/>
        </w:rPr>
        <w:t xml:space="preserve"> to outline the various building block of the equality and non-discrimination framework. Since </w:t>
      </w:r>
      <w:r w:rsidR="0008469E">
        <w:rPr>
          <w:lang w:val="en-US"/>
        </w:rPr>
        <w:t xml:space="preserve">this thesis’ main solicitude lies with the treatment of female workers, </w:t>
      </w:r>
      <w:r w:rsidR="002F7D56">
        <w:rPr>
          <w:lang w:val="en-US"/>
        </w:rPr>
        <w:t xml:space="preserve">the current part will </w:t>
      </w:r>
      <w:r w:rsidR="0008469E">
        <w:rPr>
          <w:lang w:val="en-US"/>
        </w:rPr>
        <w:t>elaborate on employment related human righ</w:t>
      </w:r>
      <w:r w:rsidR="002F7D56">
        <w:rPr>
          <w:lang w:val="en-US"/>
        </w:rPr>
        <w:t>ts and the relevant organizations, instruments and treaty bodies.</w:t>
      </w:r>
    </w:p>
    <w:p w:rsidR="00A37FC5" w:rsidRDefault="002673E2" w:rsidP="00687D8A">
      <w:pPr>
        <w:spacing w:line="360" w:lineRule="auto"/>
        <w:jc w:val="both"/>
        <w:rPr>
          <w:lang w:val="en-US"/>
        </w:rPr>
      </w:pPr>
      <w:r w:rsidRPr="002673E2">
        <w:rPr>
          <w:i/>
          <w:lang w:val="en-US"/>
        </w:rPr>
        <w:t>30.</w:t>
      </w:r>
      <w:r>
        <w:rPr>
          <w:lang w:val="en-US"/>
        </w:rPr>
        <w:t xml:space="preserve"> </w:t>
      </w:r>
      <w:r w:rsidR="00A5007A" w:rsidRPr="00A5007A">
        <w:rPr>
          <w:lang w:val="en-US"/>
        </w:rPr>
        <w:t>According to the traditional human rights doctrine, there are three different generations of human rights</w:t>
      </w:r>
      <w:r w:rsidR="00A5007A" w:rsidRPr="00A5007A">
        <w:rPr>
          <w:vertAlign w:val="superscript"/>
          <w:lang w:val="en-US"/>
        </w:rPr>
        <w:footnoteReference w:id="148"/>
      </w:r>
      <w:r w:rsidR="00A5007A" w:rsidRPr="00A5007A">
        <w:rPr>
          <w:lang w:val="en-US"/>
        </w:rPr>
        <w:t xml:space="preserve">. </w:t>
      </w:r>
      <w:r w:rsidR="009E7696">
        <w:rPr>
          <w:lang w:val="en-US"/>
        </w:rPr>
        <w:t>When discussing the EU Chart</w:t>
      </w:r>
      <w:r w:rsidR="002E6A39">
        <w:rPr>
          <w:lang w:val="en-US"/>
        </w:rPr>
        <w:t>er of Fundamental Rights (</w:t>
      </w:r>
      <w:r w:rsidR="002E6A39">
        <w:rPr>
          <w:i/>
          <w:lang w:val="en-US"/>
        </w:rPr>
        <w:t>supra no. 3</w:t>
      </w:r>
      <w:r w:rsidR="009E7696">
        <w:rPr>
          <w:lang w:val="en-US"/>
        </w:rPr>
        <w:t xml:space="preserve">), brief reference was already made to the first and second generation. </w:t>
      </w:r>
      <w:r w:rsidR="00A5007A" w:rsidRPr="00A5007A">
        <w:rPr>
          <w:lang w:val="en-US"/>
        </w:rPr>
        <w:t>Civil and political rights are generally considered as constituting the group of first generation rights</w:t>
      </w:r>
      <w:r w:rsidR="00A5007A" w:rsidRPr="00A5007A">
        <w:rPr>
          <w:vertAlign w:val="superscript"/>
          <w:lang w:val="en-US"/>
        </w:rPr>
        <w:footnoteReference w:id="149"/>
      </w:r>
      <w:r w:rsidR="00A5007A" w:rsidRPr="00A5007A">
        <w:rPr>
          <w:lang w:val="en-US"/>
        </w:rPr>
        <w:t>.</w:t>
      </w:r>
      <w:r w:rsidR="009E7696">
        <w:rPr>
          <w:lang w:val="en-US"/>
        </w:rPr>
        <w:t xml:space="preserve"> Amongst others, they include the right to liberty and security, the right to a fair trial, the right to freedom of expression, the right to freedom </w:t>
      </w:r>
      <w:r w:rsidR="00E102E7">
        <w:rPr>
          <w:lang w:val="en-US"/>
        </w:rPr>
        <w:t>of religion and the prohibition</w:t>
      </w:r>
      <w:r w:rsidR="009E7696">
        <w:rPr>
          <w:lang w:val="en-US"/>
        </w:rPr>
        <w:t xml:space="preserve"> of torture and slavery</w:t>
      </w:r>
      <w:r w:rsidR="009E7696">
        <w:rPr>
          <w:rStyle w:val="Voetnootmarkering"/>
          <w:lang w:val="en-US"/>
        </w:rPr>
        <w:footnoteReference w:id="150"/>
      </w:r>
      <w:r w:rsidR="009E7696">
        <w:rPr>
          <w:lang w:val="en-US"/>
        </w:rPr>
        <w:t>.</w:t>
      </w:r>
      <w:r w:rsidR="00BC6DC7">
        <w:rPr>
          <w:lang w:val="en-US"/>
        </w:rPr>
        <w:t xml:space="preserve"> The designation given to second generation rights depends on the particular framework.</w:t>
      </w:r>
      <w:r w:rsidR="00573231">
        <w:rPr>
          <w:lang w:val="en-US"/>
        </w:rPr>
        <w:t xml:space="preserve"> </w:t>
      </w:r>
      <w:r w:rsidR="00A5007A" w:rsidRPr="00A5007A">
        <w:rPr>
          <w:lang w:val="en-US"/>
        </w:rPr>
        <w:t>At the United Nations level, the term economic and social rights is used</w:t>
      </w:r>
      <w:r w:rsidR="00573231">
        <w:rPr>
          <w:lang w:val="en-US"/>
        </w:rPr>
        <w:t xml:space="preserve"> </w:t>
      </w:r>
      <w:r w:rsidR="000B476A">
        <w:rPr>
          <w:lang w:val="en-US"/>
        </w:rPr>
        <w:t>when referring to second generation rights</w:t>
      </w:r>
      <w:r w:rsidR="00A5007A" w:rsidRPr="00A5007A">
        <w:rPr>
          <w:vertAlign w:val="superscript"/>
          <w:lang w:val="en-US"/>
        </w:rPr>
        <w:footnoteReference w:id="151"/>
      </w:r>
      <w:r w:rsidR="00A5007A" w:rsidRPr="00A5007A">
        <w:rPr>
          <w:lang w:val="en-US"/>
        </w:rPr>
        <w:t>. At the European level, it is more common to refer t</w:t>
      </w:r>
      <w:r w:rsidR="000B476A">
        <w:rPr>
          <w:lang w:val="en-US"/>
        </w:rPr>
        <w:t>o them</w:t>
      </w:r>
      <w:r w:rsidR="00FF2F41">
        <w:rPr>
          <w:lang w:val="en-US"/>
        </w:rPr>
        <w:t xml:space="preserve"> with the umbrella term</w:t>
      </w:r>
      <w:r w:rsidR="00A5007A" w:rsidRPr="00A5007A">
        <w:rPr>
          <w:lang w:val="en-US"/>
        </w:rPr>
        <w:t xml:space="preserve"> </w:t>
      </w:r>
      <w:r w:rsidR="007A351B">
        <w:rPr>
          <w:lang w:val="en-US"/>
        </w:rPr>
        <w:t>‘</w:t>
      </w:r>
      <w:r w:rsidR="00A5007A" w:rsidRPr="00A5007A">
        <w:rPr>
          <w:lang w:val="en-US"/>
        </w:rPr>
        <w:t>social rights</w:t>
      </w:r>
      <w:r w:rsidR="007A351B">
        <w:rPr>
          <w:lang w:val="en-US"/>
        </w:rPr>
        <w:t>’</w:t>
      </w:r>
      <w:r w:rsidR="00A5007A" w:rsidRPr="00A5007A">
        <w:rPr>
          <w:vertAlign w:val="superscript"/>
          <w:lang w:val="en-US"/>
        </w:rPr>
        <w:footnoteReference w:id="152"/>
      </w:r>
      <w:r w:rsidR="00C94456">
        <w:rPr>
          <w:lang w:val="en-US"/>
        </w:rPr>
        <w:t>. The second generation of human rights is composed of</w:t>
      </w:r>
      <w:r w:rsidR="00CA307A">
        <w:rPr>
          <w:lang w:val="en-US"/>
        </w:rPr>
        <w:t xml:space="preserve">, </w:t>
      </w:r>
      <w:r w:rsidR="00C94456">
        <w:rPr>
          <w:lang w:val="en-US"/>
        </w:rPr>
        <w:t>on</w:t>
      </w:r>
      <w:r w:rsidR="00396340">
        <w:rPr>
          <w:lang w:val="en-US"/>
        </w:rPr>
        <w:t xml:space="preserve"> </w:t>
      </w:r>
      <w:r w:rsidR="00C94456">
        <w:rPr>
          <w:lang w:val="en-US"/>
        </w:rPr>
        <w:t>the one hand</w:t>
      </w:r>
      <w:r w:rsidR="00CA307A">
        <w:rPr>
          <w:lang w:val="en-US"/>
        </w:rPr>
        <w:t xml:space="preserve">, </w:t>
      </w:r>
      <w:r w:rsidR="00396340">
        <w:rPr>
          <w:lang w:val="en-US"/>
        </w:rPr>
        <w:t xml:space="preserve">social rights such as for example the right to social security, the right to an adequate standard of living and the right to </w:t>
      </w:r>
      <w:r w:rsidR="00CA307A">
        <w:rPr>
          <w:lang w:val="en-US"/>
        </w:rPr>
        <w:t>education</w:t>
      </w:r>
      <w:r w:rsidR="001B52F5">
        <w:rPr>
          <w:rStyle w:val="Voetnootmarkering"/>
          <w:lang w:val="en-US"/>
        </w:rPr>
        <w:footnoteReference w:id="153"/>
      </w:r>
      <w:r w:rsidR="00CA307A">
        <w:rPr>
          <w:lang w:val="en-US"/>
        </w:rPr>
        <w:t xml:space="preserve">. On the other hand there are the </w:t>
      </w:r>
      <w:proofErr w:type="spellStart"/>
      <w:r w:rsidR="00CA307A">
        <w:rPr>
          <w:lang w:val="en-US"/>
        </w:rPr>
        <w:t>labour</w:t>
      </w:r>
      <w:proofErr w:type="spellEnd"/>
      <w:r w:rsidR="00CA307A">
        <w:rPr>
          <w:lang w:val="en-US"/>
        </w:rPr>
        <w:t xml:space="preserve"> rights or economic rights. </w:t>
      </w:r>
      <w:proofErr w:type="spellStart"/>
      <w:r w:rsidR="00CA307A">
        <w:rPr>
          <w:lang w:val="en-US"/>
        </w:rPr>
        <w:t>Labour</w:t>
      </w:r>
      <w:proofErr w:type="spellEnd"/>
      <w:r w:rsidR="00CA307A">
        <w:rPr>
          <w:lang w:val="en-US"/>
        </w:rPr>
        <w:t xml:space="preserve"> rights, in turn, can be divided into two categories. Firstly, there are the collective </w:t>
      </w:r>
      <w:proofErr w:type="spellStart"/>
      <w:r w:rsidR="00CA307A">
        <w:rPr>
          <w:lang w:val="en-US"/>
        </w:rPr>
        <w:t>labour</w:t>
      </w:r>
      <w:proofErr w:type="spellEnd"/>
      <w:r w:rsidR="00CA307A">
        <w:rPr>
          <w:lang w:val="en-US"/>
        </w:rPr>
        <w:t xml:space="preserve"> rights. Some w</w:t>
      </w:r>
      <w:r w:rsidR="00ED6C9F">
        <w:rPr>
          <w:lang w:val="en-US"/>
        </w:rPr>
        <w:t xml:space="preserve">ell-known examples </w:t>
      </w:r>
      <w:r w:rsidR="00CA307A">
        <w:rPr>
          <w:lang w:val="en-US"/>
        </w:rPr>
        <w:t>are the right to form a trade union and the right to strike</w:t>
      </w:r>
      <w:r w:rsidR="00187587">
        <w:rPr>
          <w:rStyle w:val="Voetnootmarkering"/>
          <w:lang w:val="en-US"/>
        </w:rPr>
        <w:footnoteReference w:id="154"/>
      </w:r>
      <w:r w:rsidR="00CA307A">
        <w:rPr>
          <w:lang w:val="en-US"/>
        </w:rPr>
        <w:t xml:space="preserve">. Secondly, individual </w:t>
      </w:r>
      <w:proofErr w:type="spellStart"/>
      <w:r w:rsidR="00CA307A">
        <w:rPr>
          <w:lang w:val="en-US"/>
        </w:rPr>
        <w:t>labour</w:t>
      </w:r>
      <w:proofErr w:type="spellEnd"/>
      <w:r w:rsidR="00CA307A">
        <w:rPr>
          <w:lang w:val="en-US"/>
        </w:rPr>
        <w:t xml:space="preserve"> rights can be </w:t>
      </w:r>
      <w:r w:rsidR="00CA307A">
        <w:rPr>
          <w:lang w:val="en-US"/>
        </w:rPr>
        <w:lastRenderedPageBreak/>
        <w:t xml:space="preserve">distinguished. </w:t>
      </w:r>
      <w:r w:rsidR="005C6C59">
        <w:rPr>
          <w:lang w:val="en-US"/>
        </w:rPr>
        <w:t>The right to work, the right to safe and healthy working conditions and the right to a fair and equal remuneration partly make up this second category</w:t>
      </w:r>
      <w:r w:rsidR="00187587">
        <w:rPr>
          <w:rStyle w:val="Voetnootmarkering"/>
          <w:lang w:val="en-US"/>
        </w:rPr>
        <w:footnoteReference w:id="155"/>
      </w:r>
      <w:r w:rsidR="005C6C59">
        <w:rPr>
          <w:lang w:val="en-US"/>
        </w:rPr>
        <w:t xml:space="preserve">. </w:t>
      </w:r>
    </w:p>
    <w:p w:rsidR="002F6002" w:rsidRPr="00D0163E" w:rsidRDefault="002F6002" w:rsidP="00687D8A">
      <w:pPr>
        <w:spacing w:line="360" w:lineRule="auto"/>
        <w:jc w:val="both"/>
        <w:rPr>
          <w:lang w:val="en-US"/>
        </w:rPr>
      </w:pPr>
      <w:r w:rsidRPr="00D0163E">
        <w:rPr>
          <w:u w:val="single"/>
          <w:lang w:val="en-US"/>
        </w:rPr>
        <w:t>Section I. International Instruments</w:t>
      </w:r>
    </w:p>
    <w:p w:rsidR="002F6002" w:rsidRPr="002F6002" w:rsidRDefault="002F6002" w:rsidP="00687D8A">
      <w:pPr>
        <w:spacing w:line="360" w:lineRule="auto"/>
        <w:jc w:val="both"/>
        <w:rPr>
          <w:u w:val="single"/>
          <w:lang w:val="en-US"/>
        </w:rPr>
      </w:pPr>
      <w:r w:rsidRPr="002F6002">
        <w:rPr>
          <w:u w:val="single"/>
          <w:lang w:val="en-US"/>
        </w:rPr>
        <w:t xml:space="preserve">The International </w:t>
      </w:r>
      <w:proofErr w:type="spellStart"/>
      <w:r w:rsidRPr="002F6002">
        <w:rPr>
          <w:u w:val="single"/>
          <w:lang w:val="en-US"/>
        </w:rPr>
        <w:t>Labour</w:t>
      </w:r>
      <w:proofErr w:type="spellEnd"/>
      <w:r w:rsidRPr="002F6002">
        <w:rPr>
          <w:u w:val="single"/>
          <w:lang w:val="en-US"/>
        </w:rPr>
        <w:t xml:space="preserve"> Organization</w:t>
      </w:r>
    </w:p>
    <w:p w:rsidR="00C11FCB" w:rsidRPr="00CB0BA0" w:rsidRDefault="00C87FDE" w:rsidP="00687D8A">
      <w:pPr>
        <w:spacing w:line="360" w:lineRule="auto"/>
        <w:jc w:val="both"/>
        <w:rPr>
          <w:lang w:val="en-US"/>
        </w:rPr>
      </w:pPr>
      <w:r w:rsidRPr="00C87FDE">
        <w:rPr>
          <w:i/>
          <w:lang w:val="en-US"/>
        </w:rPr>
        <w:t>31.</w:t>
      </w:r>
      <w:r>
        <w:rPr>
          <w:lang w:val="en-US"/>
        </w:rPr>
        <w:t xml:space="preserve"> </w:t>
      </w:r>
      <w:r w:rsidR="00C11FCB">
        <w:rPr>
          <w:lang w:val="en-US"/>
        </w:rPr>
        <w:t xml:space="preserve">Accounts on the history of gender equality often forget to mention </w:t>
      </w:r>
      <w:r w:rsidR="008660E6">
        <w:rPr>
          <w:lang w:val="en-US"/>
        </w:rPr>
        <w:t xml:space="preserve">the International </w:t>
      </w:r>
      <w:proofErr w:type="spellStart"/>
      <w:r w:rsidR="008660E6">
        <w:rPr>
          <w:lang w:val="en-US"/>
        </w:rPr>
        <w:t>Labour</w:t>
      </w:r>
      <w:proofErr w:type="spellEnd"/>
      <w:r w:rsidR="008660E6">
        <w:rPr>
          <w:lang w:val="en-US"/>
        </w:rPr>
        <w:t xml:space="preserve"> Organization. Since its creation in 1919, </w:t>
      </w:r>
      <w:r w:rsidR="006272ED">
        <w:rPr>
          <w:lang w:val="en-US"/>
        </w:rPr>
        <w:t xml:space="preserve">this organization has been striving </w:t>
      </w:r>
      <w:r w:rsidR="00826608">
        <w:rPr>
          <w:lang w:val="en-US"/>
        </w:rPr>
        <w:t xml:space="preserve">for </w:t>
      </w:r>
      <w:r w:rsidR="00F45787">
        <w:rPr>
          <w:lang w:val="en-US"/>
        </w:rPr>
        <w:t>improvements in</w:t>
      </w:r>
      <w:r w:rsidR="00826608">
        <w:rPr>
          <w:lang w:val="en-US"/>
        </w:rPr>
        <w:t xml:space="preserve"> workers’ living conditions</w:t>
      </w:r>
      <w:r w:rsidR="00F54DD3">
        <w:rPr>
          <w:rStyle w:val="Voetnootmarkering"/>
          <w:lang w:val="en-US"/>
        </w:rPr>
        <w:footnoteReference w:id="156"/>
      </w:r>
      <w:r w:rsidR="00826608">
        <w:rPr>
          <w:lang w:val="en-US"/>
        </w:rPr>
        <w:t xml:space="preserve">. </w:t>
      </w:r>
      <w:r w:rsidR="00EC4D15">
        <w:rPr>
          <w:lang w:val="en-US"/>
        </w:rPr>
        <w:t>In 1946, it became the first specialized agency of the United Nations</w:t>
      </w:r>
      <w:r w:rsidR="00EC4D15">
        <w:rPr>
          <w:rStyle w:val="Voetnootmarkering"/>
          <w:lang w:val="en-US"/>
        </w:rPr>
        <w:footnoteReference w:id="157"/>
      </w:r>
      <w:r w:rsidR="00EC4D15">
        <w:rPr>
          <w:lang w:val="en-US"/>
        </w:rPr>
        <w:t xml:space="preserve">. </w:t>
      </w:r>
      <w:r w:rsidR="00A731EF">
        <w:rPr>
          <w:lang w:val="en-US"/>
        </w:rPr>
        <w:t>The ILO’s composition is unique. Several of its org</w:t>
      </w:r>
      <w:r w:rsidR="00B82899">
        <w:rPr>
          <w:lang w:val="en-US"/>
        </w:rPr>
        <w:t xml:space="preserve">ans have a tripartite structure, </w:t>
      </w:r>
      <w:r w:rsidR="00A731EF">
        <w:rPr>
          <w:lang w:val="en-US"/>
        </w:rPr>
        <w:t xml:space="preserve">which means that </w:t>
      </w:r>
      <w:r w:rsidR="00C419AA">
        <w:rPr>
          <w:lang w:val="en-US"/>
        </w:rPr>
        <w:t>both national employer and employee organizations and government officials are represented</w:t>
      </w:r>
      <w:r w:rsidR="00D608F7">
        <w:rPr>
          <w:rStyle w:val="Voetnootmarkering"/>
          <w:lang w:val="en-US"/>
        </w:rPr>
        <w:footnoteReference w:id="158"/>
      </w:r>
      <w:r w:rsidR="00C419AA">
        <w:rPr>
          <w:lang w:val="en-US"/>
        </w:rPr>
        <w:t>.</w:t>
      </w:r>
      <w:r w:rsidR="00D608F7">
        <w:rPr>
          <w:lang w:val="en-US"/>
        </w:rPr>
        <w:t xml:space="preserve"> The ILO’s main occupation is the adoption and implementation of international </w:t>
      </w:r>
      <w:proofErr w:type="spellStart"/>
      <w:r w:rsidR="00D608F7">
        <w:rPr>
          <w:lang w:val="en-US"/>
        </w:rPr>
        <w:t>labour</w:t>
      </w:r>
      <w:proofErr w:type="spellEnd"/>
      <w:r w:rsidR="00D608F7">
        <w:rPr>
          <w:lang w:val="en-US"/>
        </w:rPr>
        <w:t xml:space="preserve"> standards</w:t>
      </w:r>
      <w:r w:rsidR="00AF5CEE">
        <w:rPr>
          <w:lang w:val="en-US"/>
        </w:rPr>
        <w:t xml:space="preserve"> by means of Conventions and Recommendation</w:t>
      </w:r>
      <w:r w:rsidR="004123CF">
        <w:rPr>
          <w:lang w:val="en-US"/>
        </w:rPr>
        <w:t>s</w:t>
      </w:r>
      <w:r w:rsidR="00D608F7">
        <w:rPr>
          <w:lang w:val="en-US"/>
        </w:rPr>
        <w:t>.</w:t>
      </w:r>
      <w:r w:rsidR="00EB2DE3">
        <w:rPr>
          <w:lang w:val="en-US"/>
        </w:rPr>
        <w:t xml:space="preserve"> The former are international agreements. When ratified, they impose </w:t>
      </w:r>
      <w:r w:rsidR="004123CF">
        <w:rPr>
          <w:lang w:val="en-US"/>
        </w:rPr>
        <w:t>obligations on the state parties. Recommendations do not have legally binding value but they often provide useful guidelines and supplement the Conventions</w:t>
      </w:r>
      <w:r w:rsidR="004D73E1">
        <w:rPr>
          <w:rStyle w:val="Voetnootmarkering"/>
          <w:lang w:val="en-US"/>
        </w:rPr>
        <w:footnoteReference w:id="159"/>
      </w:r>
      <w:r w:rsidR="004123CF">
        <w:rPr>
          <w:lang w:val="en-US"/>
        </w:rPr>
        <w:t>.</w:t>
      </w:r>
      <w:r w:rsidR="007E133A">
        <w:rPr>
          <w:lang w:val="en-US"/>
        </w:rPr>
        <w:t xml:space="preserve"> </w:t>
      </w:r>
      <w:r w:rsidR="00C04D1C">
        <w:rPr>
          <w:lang w:val="en-US"/>
        </w:rPr>
        <w:t>In the past, minimum standards were set in a variety of fields including wages</w:t>
      </w:r>
      <w:r w:rsidR="00B5567E">
        <w:rPr>
          <w:rStyle w:val="Voetnootmarkering"/>
          <w:lang w:val="en-US"/>
        </w:rPr>
        <w:footnoteReference w:id="160"/>
      </w:r>
      <w:r w:rsidR="00C04D1C">
        <w:rPr>
          <w:lang w:val="en-US"/>
        </w:rPr>
        <w:t>, holidays with pay</w:t>
      </w:r>
      <w:r w:rsidR="00B5567E">
        <w:rPr>
          <w:rStyle w:val="Voetnootmarkering"/>
          <w:lang w:val="en-US"/>
        </w:rPr>
        <w:footnoteReference w:id="161"/>
      </w:r>
      <w:r w:rsidR="00C04D1C">
        <w:rPr>
          <w:lang w:val="en-US"/>
        </w:rPr>
        <w:t>, termination of employment</w:t>
      </w:r>
      <w:r w:rsidR="00B5567E">
        <w:rPr>
          <w:rStyle w:val="Voetnootmarkering"/>
          <w:lang w:val="en-US"/>
        </w:rPr>
        <w:footnoteReference w:id="162"/>
      </w:r>
      <w:r w:rsidR="00C04D1C">
        <w:rPr>
          <w:lang w:val="en-US"/>
        </w:rPr>
        <w:t>, hygiene</w:t>
      </w:r>
      <w:r w:rsidR="00B5567E">
        <w:rPr>
          <w:rStyle w:val="Voetnootmarkering"/>
          <w:lang w:val="en-US"/>
        </w:rPr>
        <w:footnoteReference w:id="163"/>
      </w:r>
      <w:r w:rsidR="00C04D1C">
        <w:rPr>
          <w:lang w:val="en-US"/>
        </w:rPr>
        <w:t>, hours of work</w:t>
      </w:r>
      <w:r w:rsidR="00B5567E">
        <w:rPr>
          <w:rStyle w:val="Voetnootmarkering"/>
          <w:lang w:val="en-US"/>
        </w:rPr>
        <w:footnoteReference w:id="164"/>
      </w:r>
      <w:r w:rsidR="00C04D1C">
        <w:rPr>
          <w:lang w:val="en-US"/>
        </w:rPr>
        <w:t xml:space="preserve"> and social security</w:t>
      </w:r>
      <w:r w:rsidR="00B5567E">
        <w:rPr>
          <w:rStyle w:val="Voetnootmarkering"/>
          <w:lang w:val="en-US"/>
        </w:rPr>
        <w:footnoteReference w:id="165"/>
      </w:r>
      <w:r w:rsidR="00C04D1C">
        <w:rPr>
          <w:lang w:val="en-US"/>
        </w:rPr>
        <w:t>.</w:t>
      </w:r>
      <w:r w:rsidR="006774A7">
        <w:rPr>
          <w:lang w:val="en-US"/>
        </w:rPr>
        <w:t xml:space="preserve"> </w:t>
      </w:r>
      <w:r w:rsidR="007E133A">
        <w:rPr>
          <w:lang w:val="en-US"/>
        </w:rPr>
        <w:t>Supervision</w:t>
      </w:r>
      <w:r w:rsidR="00834149">
        <w:rPr>
          <w:lang w:val="en-US"/>
        </w:rPr>
        <w:t xml:space="preserve"> </w:t>
      </w:r>
      <w:r w:rsidR="007E133A">
        <w:rPr>
          <w:lang w:val="en-US"/>
        </w:rPr>
        <w:t xml:space="preserve">of compliance with the Conventions mainly takes place through a reporting system. </w:t>
      </w:r>
      <w:r w:rsidR="008D711F">
        <w:rPr>
          <w:lang w:val="en-US"/>
        </w:rPr>
        <w:t>T</w:t>
      </w:r>
      <w:r w:rsidR="008D711F" w:rsidRPr="008D711F">
        <w:rPr>
          <w:lang w:val="en-US"/>
        </w:rPr>
        <w:t>he Committee of Experts on the Application of Convent</w:t>
      </w:r>
      <w:r w:rsidR="008D711F">
        <w:rPr>
          <w:lang w:val="en-US"/>
        </w:rPr>
        <w:t xml:space="preserve">ions and Recommendations receives the </w:t>
      </w:r>
      <w:r w:rsidR="008D711F">
        <w:rPr>
          <w:lang w:val="en-US"/>
        </w:rPr>
        <w:lastRenderedPageBreak/>
        <w:t xml:space="preserve">reports </w:t>
      </w:r>
      <w:r w:rsidR="00671645">
        <w:rPr>
          <w:lang w:val="en-US"/>
        </w:rPr>
        <w:t>and enters into dialogue with government officials</w:t>
      </w:r>
      <w:r w:rsidR="00671645">
        <w:rPr>
          <w:rStyle w:val="Voetnootmarkering"/>
          <w:lang w:val="en-US"/>
        </w:rPr>
        <w:footnoteReference w:id="166"/>
      </w:r>
      <w:r w:rsidR="00671645">
        <w:rPr>
          <w:lang w:val="en-US"/>
        </w:rPr>
        <w:t>.</w:t>
      </w:r>
      <w:r w:rsidR="00A23DF6">
        <w:rPr>
          <w:lang w:val="en-US"/>
        </w:rPr>
        <w:t xml:space="preserve"> Special </w:t>
      </w:r>
      <w:r w:rsidR="009D709F">
        <w:rPr>
          <w:lang w:val="en-US"/>
        </w:rPr>
        <w:t>representation procedures exist</w:t>
      </w:r>
      <w:r w:rsidR="00A23DF6">
        <w:rPr>
          <w:lang w:val="en-US"/>
        </w:rPr>
        <w:t xml:space="preserve"> of complaints and representations</w:t>
      </w:r>
      <w:r w:rsidR="00A03EDE">
        <w:rPr>
          <w:rStyle w:val="Voetnootmarkering"/>
          <w:lang w:val="en-US"/>
        </w:rPr>
        <w:footnoteReference w:id="167"/>
      </w:r>
      <w:r w:rsidR="00B41FEA">
        <w:rPr>
          <w:lang w:val="en-US"/>
        </w:rPr>
        <w:t>.</w:t>
      </w:r>
      <w:r w:rsidR="00E74817">
        <w:rPr>
          <w:lang w:val="en-US"/>
        </w:rPr>
        <w:t xml:space="preserve"> Opinions on the effectiveness of t</w:t>
      </w:r>
      <w:r w:rsidR="00F12582">
        <w:rPr>
          <w:lang w:val="en-US"/>
        </w:rPr>
        <w:t>he ILO’s supervision system vary</w:t>
      </w:r>
      <w:r w:rsidR="007E16C0">
        <w:rPr>
          <w:lang w:val="en-US"/>
        </w:rPr>
        <w:t>. According to some it is one of the best in the entire United Nations framework. Others claim that it is deficient due to a ‘lack of teeth’</w:t>
      </w:r>
      <w:r w:rsidR="007E16C0">
        <w:rPr>
          <w:rStyle w:val="Voetnootmarkering"/>
          <w:lang w:val="en-US"/>
        </w:rPr>
        <w:footnoteReference w:id="168"/>
      </w:r>
      <w:r w:rsidR="007E16C0">
        <w:rPr>
          <w:lang w:val="en-US"/>
        </w:rPr>
        <w:t xml:space="preserve">. </w:t>
      </w:r>
    </w:p>
    <w:p w:rsidR="00C11FCB" w:rsidRPr="00C032B2" w:rsidRDefault="00534C99" w:rsidP="00687D8A">
      <w:pPr>
        <w:spacing w:line="360" w:lineRule="auto"/>
        <w:jc w:val="both"/>
        <w:rPr>
          <w:lang w:val="en-US"/>
        </w:rPr>
      </w:pPr>
      <w:r w:rsidRPr="00534C99">
        <w:rPr>
          <w:i/>
          <w:lang w:val="en-US"/>
        </w:rPr>
        <w:t>32.</w:t>
      </w:r>
      <w:r>
        <w:rPr>
          <w:lang w:val="en-US"/>
        </w:rPr>
        <w:t xml:space="preserve"> </w:t>
      </w:r>
      <w:r w:rsidR="00C032B2">
        <w:rPr>
          <w:lang w:val="en-US"/>
        </w:rPr>
        <w:t xml:space="preserve">The International </w:t>
      </w:r>
      <w:proofErr w:type="spellStart"/>
      <w:r w:rsidR="00C032B2">
        <w:rPr>
          <w:lang w:val="en-US"/>
        </w:rPr>
        <w:t>Labour</w:t>
      </w:r>
      <w:proofErr w:type="spellEnd"/>
      <w:r w:rsidR="00C032B2">
        <w:rPr>
          <w:lang w:val="en-US"/>
        </w:rPr>
        <w:t xml:space="preserve"> Organization was the first to adopt women specific conventions</w:t>
      </w:r>
      <w:r w:rsidR="00997859">
        <w:rPr>
          <w:rStyle w:val="Voetnootmarkering"/>
          <w:lang w:val="en-US"/>
        </w:rPr>
        <w:footnoteReference w:id="169"/>
      </w:r>
      <w:r w:rsidR="00C032B2">
        <w:rPr>
          <w:lang w:val="en-US"/>
        </w:rPr>
        <w:t>.</w:t>
      </w:r>
      <w:r w:rsidR="006D1EBC">
        <w:rPr>
          <w:lang w:val="en-US"/>
        </w:rPr>
        <w:t xml:space="preserve"> Between the two World Wars, several conventions of a predominantly protective nature were adopted</w:t>
      </w:r>
      <w:r w:rsidR="005548EE">
        <w:rPr>
          <w:rStyle w:val="Voetnootmarkering"/>
          <w:lang w:val="en-US"/>
        </w:rPr>
        <w:footnoteReference w:id="170"/>
      </w:r>
      <w:r w:rsidR="006D1EBC">
        <w:rPr>
          <w:lang w:val="en-US"/>
        </w:rPr>
        <w:t xml:space="preserve">. They were based on the paternalistic idea that women are frail and therefore need to be excluded from certain types of employment. </w:t>
      </w:r>
      <w:r w:rsidR="00121599">
        <w:rPr>
          <w:lang w:val="en-US"/>
        </w:rPr>
        <w:t xml:space="preserve">Both contemporaries and </w:t>
      </w:r>
      <w:r w:rsidR="00AF646A">
        <w:rPr>
          <w:lang w:val="en-US"/>
        </w:rPr>
        <w:t>21</w:t>
      </w:r>
      <w:r w:rsidR="00AF646A">
        <w:rPr>
          <w:vertAlign w:val="superscript"/>
          <w:lang w:val="en-US"/>
        </w:rPr>
        <w:t xml:space="preserve">st </w:t>
      </w:r>
      <w:r w:rsidR="00AF646A">
        <w:rPr>
          <w:lang w:val="en-US"/>
        </w:rPr>
        <w:t>century feminists have criticized these conventions for being discriminatory</w:t>
      </w:r>
      <w:r w:rsidR="00C043CE">
        <w:rPr>
          <w:lang w:val="en-US"/>
        </w:rPr>
        <w:t xml:space="preserve"> and ignoring individual choice</w:t>
      </w:r>
      <w:r w:rsidR="00406AC8">
        <w:rPr>
          <w:rStyle w:val="Voetnootmarkering"/>
          <w:lang w:val="en-US"/>
        </w:rPr>
        <w:footnoteReference w:id="171"/>
      </w:r>
      <w:r w:rsidR="00C043CE">
        <w:rPr>
          <w:lang w:val="en-US"/>
        </w:rPr>
        <w:t>.</w:t>
      </w:r>
      <w:r w:rsidR="00406AC8">
        <w:rPr>
          <w:lang w:val="en-US"/>
        </w:rPr>
        <w:t xml:space="preserve"> Around the end of World War II one may already discern early evidence of a shift in mentality</w:t>
      </w:r>
      <w:r w:rsidR="00560B34">
        <w:rPr>
          <w:rStyle w:val="Voetnootmarkering"/>
          <w:lang w:val="en-US"/>
        </w:rPr>
        <w:footnoteReference w:id="172"/>
      </w:r>
      <w:r w:rsidR="00406AC8">
        <w:rPr>
          <w:lang w:val="en-US"/>
        </w:rPr>
        <w:t xml:space="preserve">. The </w:t>
      </w:r>
      <w:r w:rsidR="001B6995">
        <w:rPr>
          <w:lang w:val="en-US"/>
        </w:rPr>
        <w:t xml:space="preserve">1944 </w:t>
      </w:r>
      <w:r w:rsidR="00406AC8">
        <w:rPr>
          <w:lang w:val="en-US"/>
        </w:rPr>
        <w:t xml:space="preserve">Philadelphia </w:t>
      </w:r>
      <w:r w:rsidR="001B6995">
        <w:rPr>
          <w:lang w:val="en-US"/>
        </w:rPr>
        <w:t xml:space="preserve">Declaration - currently annexed to the ILO’s </w:t>
      </w:r>
      <w:r w:rsidR="00171F06">
        <w:rPr>
          <w:lang w:val="en-US"/>
        </w:rPr>
        <w:t>C</w:t>
      </w:r>
      <w:r w:rsidR="001B6995">
        <w:rPr>
          <w:lang w:val="en-US"/>
        </w:rPr>
        <w:t>onstitution - instructs that all human beings, irrespective of sex, have the right to pursue their material well-being in conditions of economic security and equal opportunity</w:t>
      </w:r>
      <w:r w:rsidR="001B6995">
        <w:rPr>
          <w:rStyle w:val="Voetnootmarkering"/>
          <w:lang w:val="en-US"/>
        </w:rPr>
        <w:footnoteReference w:id="173"/>
      </w:r>
      <w:r w:rsidR="001B6995">
        <w:rPr>
          <w:lang w:val="en-US"/>
        </w:rPr>
        <w:t>.</w:t>
      </w:r>
      <w:r w:rsidR="0082258D">
        <w:rPr>
          <w:lang w:val="en-US"/>
        </w:rPr>
        <w:t xml:space="preserve"> Shortly afterwards, the Convention on equal remuneration for women and men</w:t>
      </w:r>
      <w:r w:rsidR="0082258D">
        <w:rPr>
          <w:rStyle w:val="Voetnootmarkering"/>
          <w:lang w:val="en-US"/>
        </w:rPr>
        <w:footnoteReference w:id="174"/>
      </w:r>
      <w:r w:rsidR="0082258D">
        <w:rPr>
          <w:lang w:val="en-US"/>
        </w:rPr>
        <w:t xml:space="preserve"> and the discrimination Convention</w:t>
      </w:r>
      <w:r w:rsidR="00B104F9">
        <w:rPr>
          <w:rStyle w:val="Voetnootmarkering"/>
          <w:lang w:val="en-US"/>
        </w:rPr>
        <w:footnoteReference w:id="175"/>
      </w:r>
      <w:r w:rsidR="0082258D">
        <w:rPr>
          <w:lang w:val="en-US"/>
        </w:rPr>
        <w:t xml:space="preserve"> were drafted.</w:t>
      </w:r>
      <w:r w:rsidR="00B422AF">
        <w:rPr>
          <w:lang w:val="en-US"/>
        </w:rPr>
        <w:t xml:space="preserve"> As their name already suggests</w:t>
      </w:r>
      <w:r w:rsidR="00D156F2">
        <w:rPr>
          <w:lang w:val="en-US"/>
        </w:rPr>
        <w:t xml:space="preserve">, </w:t>
      </w:r>
      <w:r w:rsidR="001C49A4">
        <w:rPr>
          <w:lang w:val="en-US"/>
        </w:rPr>
        <w:t xml:space="preserve">they deal with equality and non-discrimination, not with protection. </w:t>
      </w:r>
      <w:r w:rsidR="00EE65D8">
        <w:rPr>
          <w:lang w:val="en-US"/>
        </w:rPr>
        <w:t>Other relevant instruments are the workers with family responsibility Convention</w:t>
      </w:r>
      <w:r w:rsidR="00EE65D8">
        <w:rPr>
          <w:rStyle w:val="Voetnootmarkering"/>
          <w:lang w:val="en-US"/>
        </w:rPr>
        <w:footnoteReference w:id="176"/>
      </w:r>
      <w:r w:rsidR="00EE65D8">
        <w:rPr>
          <w:lang w:val="en-US"/>
        </w:rPr>
        <w:t xml:space="preserve">, the part-time work </w:t>
      </w:r>
      <w:r w:rsidR="00EE65D8">
        <w:rPr>
          <w:lang w:val="en-US"/>
        </w:rPr>
        <w:lastRenderedPageBreak/>
        <w:t>Convention</w:t>
      </w:r>
      <w:r w:rsidR="00EE65D8">
        <w:rPr>
          <w:rStyle w:val="Voetnootmarkering"/>
          <w:lang w:val="en-US"/>
        </w:rPr>
        <w:footnoteReference w:id="177"/>
      </w:r>
      <w:r w:rsidR="00EE65D8">
        <w:rPr>
          <w:lang w:val="en-US"/>
        </w:rPr>
        <w:t xml:space="preserve"> and the most recent maternity protection Convention</w:t>
      </w:r>
      <w:r w:rsidR="00EE65D8">
        <w:rPr>
          <w:rStyle w:val="Voetnootmarkering"/>
          <w:lang w:val="en-US"/>
        </w:rPr>
        <w:footnoteReference w:id="178"/>
      </w:r>
      <w:r w:rsidR="00EE65D8">
        <w:rPr>
          <w:lang w:val="en-US"/>
        </w:rPr>
        <w:t>.</w:t>
      </w:r>
      <w:r w:rsidR="005824BF">
        <w:rPr>
          <w:lang w:val="en-US"/>
        </w:rPr>
        <w:t xml:space="preserve"> The year 1998 is of particular significance </w:t>
      </w:r>
      <w:r w:rsidR="00BF3780">
        <w:rPr>
          <w:lang w:val="en-US"/>
        </w:rPr>
        <w:t xml:space="preserve">because of the acceptance </w:t>
      </w:r>
      <w:r w:rsidR="00551855">
        <w:rPr>
          <w:lang w:val="en-US"/>
        </w:rPr>
        <w:t xml:space="preserve">of </w:t>
      </w:r>
      <w:r w:rsidR="002D6257">
        <w:rPr>
          <w:lang w:val="en-US"/>
        </w:rPr>
        <w:t>the Declaration of Fundamental Principles and Rights at Work</w:t>
      </w:r>
      <w:r w:rsidR="00BF3780">
        <w:rPr>
          <w:lang w:val="en-US"/>
        </w:rPr>
        <w:t xml:space="preserve"> by employees, employers and governments</w:t>
      </w:r>
      <w:r w:rsidR="00551855">
        <w:rPr>
          <w:lang w:val="en-US"/>
        </w:rPr>
        <w:t>.</w:t>
      </w:r>
      <w:r w:rsidR="00E275A4">
        <w:rPr>
          <w:lang w:val="en-US"/>
        </w:rPr>
        <w:t xml:space="preserve"> By accepting this instrument, </w:t>
      </w:r>
      <w:r w:rsidR="00BF3780">
        <w:rPr>
          <w:lang w:val="en-US"/>
        </w:rPr>
        <w:t>representatives in the</w:t>
      </w:r>
      <w:r w:rsidR="00B2691B">
        <w:rPr>
          <w:lang w:val="en-US"/>
        </w:rPr>
        <w:t xml:space="preserve"> ILO wanted to reaffirm </w:t>
      </w:r>
      <w:r w:rsidR="00BF3780">
        <w:rPr>
          <w:lang w:val="en-US"/>
        </w:rPr>
        <w:t>their</w:t>
      </w:r>
      <w:r w:rsidR="00B2691B">
        <w:rPr>
          <w:lang w:val="en-US"/>
        </w:rPr>
        <w:t xml:space="preserve"> commitment to fundamental rights.</w:t>
      </w:r>
      <w:r w:rsidR="00725D1F">
        <w:rPr>
          <w:lang w:val="en-US"/>
        </w:rPr>
        <w:t xml:space="preserve"> </w:t>
      </w:r>
      <w:r w:rsidR="00E275A4">
        <w:rPr>
          <w:lang w:val="en-US"/>
        </w:rPr>
        <w:t>The Declaration does not impose new obligations on state parties</w:t>
      </w:r>
      <w:r w:rsidR="007C0A2C">
        <w:rPr>
          <w:lang w:val="en-US"/>
        </w:rPr>
        <w:t xml:space="preserve">, </w:t>
      </w:r>
      <w:r w:rsidR="00B969D3">
        <w:rPr>
          <w:lang w:val="en-US"/>
        </w:rPr>
        <w:t>yet it designates 8 conventions as ‘core conventions’</w:t>
      </w:r>
      <w:r w:rsidR="00EF630E">
        <w:rPr>
          <w:rStyle w:val="Voetnootmarkering"/>
          <w:lang w:val="en-US"/>
        </w:rPr>
        <w:footnoteReference w:id="179"/>
      </w:r>
      <w:r w:rsidR="00B969D3">
        <w:rPr>
          <w:lang w:val="en-US"/>
        </w:rPr>
        <w:t>.</w:t>
      </w:r>
      <w:r w:rsidR="00E21ACF">
        <w:rPr>
          <w:lang w:val="en-US"/>
        </w:rPr>
        <w:t xml:space="preserve"> The latter receive special attention. All ILO members need to report on the application of the principles in the core conventions on a yearly basis, irrespective of whether they ratified them or not</w:t>
      </w:r>
      <w:r w:rsidR="00F62E64">
        <w:rPr>
          <w:rStyle w:val="Voetnootmarkering"/>
          <w:lang w:val="en-US"/>
        </w:rPr>
        <w:footnoteReference w:id="180"/>
      </w:r>
      <w:r w:rsidR="00E21ACF">
        <w:rPr>
          <w:lang w:val="en-US"/>
        </w:rPr>
        <w:t>.</w:t>
      </w:r>
      <w:r w:rsidR="00E541CF">
        <w:rPr>
          <w:lang w:val="en-US"/>
        </w:rPr>
        <w:t xml:space="preserve"> Global reports on compliance with these conventions are also published. The equal remuneration Convention</w:t>
      </w:r>
      <w:r w:rsidR="00E541CF">
        <w:rPr>
          <w:rStyle w:val="Voetnootmarkering"/>
          <w:lang w:val="en-US"/>
        </w:rPr>
        <w:footnoteReference w:id="181"/>
      </w:r>
      <w:r w:rsidR="00E541CF">
        <w:rPr>
          <w:lang w:val="en-US"/>
        </w:rPr>
        <w:t>, as well as the discrimination Convention</w:t>
      </w:r>
      <w:r w:rsidR="00E541CF">
        <w:rPr>
          <w:rStyle w:val="Voetnootmarkering"/>
          <w:lang w:val="en-US"/>
        </w:rPr>
        <w:footnoteReference w:id="182"/>
      </w:r>
      <w:r w:rsidR="00E541CF">
        <w:rPr>
          <w:lang w:val="en-US"/>
        </w:rPr>
        <w:t xml:space="preserve"> were qualified as core conventions</w:t>
      </w:r>
      <w:r w:rsidR="00450499">
        <w:rPr>
          <w:rStyle w:val="Voetnootmarkering"/>
          <w:lang w:val="en-US"/>
        </w:rPr>
        <w:footnoteReference w:id="183"/>
      </w:r>
      <w:r w:rsidR="00E541CF">
        <w:rPr>
          <w:lang w:val="en-US"/>
        </w:rPr>
        <w:t xml:space="preserve">.  </w:t>
      </w:r>
      <w:r w:rsidR="00B969D3">
        <w:rPr>
          <w:lang w:val="en-US"/>
        </w:rPr>
        <w:t xml:space="preserve"> </w:t>
      </w:r>
      <w:r w:rsidR="00725D1F">
        <w:rPr>
          <w:lang w:val="en-US"/>
        </w:rPr>
        <w:t xml:space="preserve"> </w:t>
      </w:r>
      <w:r w:rsidR="00B2691B">
        <w:rPr>
          <w:lang w:val="en-US"/>
        </w:rPr>
        <w:t xml:space="preserve"> </w:t>
      </w:r>
      <w:r w:rsidR="002D6257">
        <w:rPr>
          <w:lang w:val="en-US"/>
        </w:rPr>
        <w:t xml:space="preserve"> </w:t>
      </w:r>
    </w:p>
    <w:p w:rsidR="00936851" w:rsidRDefault="00936851" w:rsidP="00687D8A">
      <w:pPr>
        <w:spacing w:line="360" w:lineRule="auto"/>
        <w:jc w:val="both"/>
        <w:rPr>
          <w:lang w:val="en-US"/>
        </w:rPr>
      </w:pPr>
    </w:p>
    <w:p w:rsidR="00936851" w:rsidRDefault="00936851" w:rsidP="00687D8A">
      <w:pPr>
        <w:spacing w:line="360" w:lineRule="auto"/>
        <w:jc w:val="both"/>
        <w:rPr>
          <w:lang w:val="en-US"/>
        </w:rPr>
      </w:pPr>
    </w:p>
    <w:p w:rsidR="00936851" w:rsidRDefault="00936851" w:rsidP="00687D8A">
      <w:pPr>
        <w:spacing w:line="360" w:lineRule="auto"/>
        <w:jc w:val="both"/>
        <w:rPr>
          <w:lang w:val="en-US"/>
        </w:rPr>
      </w:pPr>
    </w:p>
    <w:p w:rsidR="00936851" w:rsidRDefault="00936851" w:rsidP="00687D8A">
      <w:pPr>
        <w:spacing w:line="360" w:lineRule="auto"/>
        <w:jc w:val="both"/>
        <w:rPr>
          <w:lang w:val="en-US"/>
        </w:rPr>
      </w:pPr>
    </w:p>
    <w:p w:rsidR="00936851" w:rsidRDefault="00936851" w:rsidP="00687D8A">
      <w:pPr>
        <w:spacing w:line="360" w:lineRule="auto"/>
        <w:jc w:val="both"/>
        <w:rPr>
          <w:lang w:val="en-US"/>
        </w:rPr>
      </w:pPr>
    </w:p>
    <w:p w:rsidR="00936851" w:rsidRDefault="00936851" w:rsidP="00687D8A">
      <w:pPr>
        <w:spacing w:line="360" w:lineRule="auto"/>
        <w:jc w:val="both"/>
        <w:rPr>
          <w:lang w:val="en-US"/>
        </w:rPr>
      </w:pPr>
    </w:p>
    <w:p w:rsidR="00936851" w:rsidRDefault="00936851" w:rsidP="00687D8A">
      <w:pPr>
        <w:spacing w:line="360" w:lineRule="auto"/>
        <w:jc w:val="both"/>
        <w:rPr>
          <w:lang w:val="en-US"/>
        </w:rPr>
      </w:pPr>
    </w:p>
    <w:p w:rsidR="00936851" w:rsidRDefault="00936851" w:rsidP="00687D8A">
      <w:pPr>
        <w:spacing w:line="360" w:lineRule="auto"/>
        <w:jc w:val="both"/>
        <w:rPr>
          <w:lang w:val="en-US"/>
        </w:rPr>
      </w:pPr>
    </w:p>
    <w:p w:rsidR="00936851" w:rsidRDefault="00936851" w:rsidP="00687D8A">
      <w:pPr>
        <w:spacing w:line="360" w:lineRule="auto"/>
        <w:jc w:val="both"/>
        <w:rPr>
          <w:lang w:val="en-US"/>
        </w:rPr>
      </w:pPr>
    </w:p>
    <w:p w:rsidR="00936851" w:rsidRDefault="00936851" w:rsidP="00687D8A">
      <w:pPr>
        <w:spacing w:line="360" w:lineRule="auto"/>
        <w:jc w:val="both"/>
        <w:rPr>
          <w:lang w:val="en-US"/>
        </w:rPr>
      </w:pPr>
    </w:p>
    <w:p w:rsidR="00783FC0" w:rsidRDefault="00783FC0" w:rsidP="00687D8A">
      <w:pPr>
        <w:spacing w:line="360" w:lineRule="auto"/>
        <w:jc w:val="both"/>
        <w:rPr>
          <w:lang w:val="en-US"/>
        </w:rPr>
      </w:pPr>
    </w:p>
    <w:p w:rsidR="00F24E23" w:rsidRPr="006C3ADF" w:rsidRDefault="002F6002" w:rsidP="00687D8A">
      <w:pPr>
        <w:spacing w:line="360" w:lineRule="auto"/>
        <w:jc w:val="both"/>
        <w:rPr>
          <w:u w:val="single"/>
          <w:lang w:val="en-US"/>
        </w:rPr>
      </w:pPr>
      <w:r w:rsidRPr="002F6002">
        <w:rPr>
          <w:u w:val="single"/>
          <w:lang w:val="en-US"/>
        </w:rPr>
        <w:lastRenderedPageBreak/>
        <w:t xml:space="preserve">The </w:t>
      </w:r>
      <w:r w:rsidR="00601750">
        <w:rPr>
          <w:u w:val="single"/>
          <w:lang w:val="en-US"/>
        </w:rPr>
        <w:t xml:space="preserve">UN </w:t>
      </w:r>
      <w:r w:rsidRPr="002F6002">
        <w:rPr>
          <w:u w:val="single"/>
          <w:lang w:val="en-US"/>
        </w:rPr>
        <w:t>Convention on the Elimination of All Forms of Discrimination against Women</w:t>
      </w:r>
    </w:p>
    <w:p w:rsidR="005C0199" w:rsidRDefault="00020C7D" w:rsidP="00687D8A">
      <w:pPr>
        <w:spacing w:line="360" w:lineRule="auto"/>
        <w:jc w:val="both"/>
        <w:rPr>
          <w:lang w:val="en-US"/>
        </w:rPr>
      </w:pPr>
      <w:r>
        <w:rPr>
          <w:i/>
          <w:lang w:val="en-US"/>
        </w:rPr>
        <w:t>33</w:t>
      </w:r>
      <w:r w:rsidR="002F6002" w:rsidRPr="002F6002">
        <w:rPr>
          <w:i/>
          <w:lang w:val="en-US"/>
        </w:rPr>
        <w:t>.</w:t>
      </w:r>
      <w:r w:rsidR="002F6002" w:rsidRPr="002F6002">
        <w:rPr>
          <w:lang w:val="en-US"/>
        </w:rPr>
        <w:t xml:space="preserve"> </w:t>
      </w:r>
      <w:r w:rsidR="006C3ADF" w:rsidRPr="006C3ADF">
        <w:rPr>
          <w:lang w:val="en-US"/>
        </w:rPr>
        <w:t>The UN Convention on the Elimination of All Forms of Discrimination against Women, also referred to as the Women’s Convention</w:t>
      </w:r>
      <w:r w:rsidR="006C3ADF" w:rsidRPr="006C3ADF">
        <w:rPr>
          <w:vertAlign w:val="superscript"/>
          <w:lang w:val="en-US"/>
        </w:rPr>
        <w:footnoteReference w:id="184"/>
      </w:r>
      <w:r w:rsidR="006C3ADF" w:rsidRPr="006C3ADF">
        <w:rPr>
          <w:lang w:val="en-US"/>
        </w:rPr>
        <w:t xml:space="preserve"> or the International Bill of Women’s Rights</w:t>
      </w:r>
      <w:r w:rsidR="006C3ADF" w:rsidRPr="006C3ADF">
        <w:rPr>
          <w:vertAlign w:val="superscript"/>
          <w:lang w:val="en-US"/>
        </w:rPr>
        <w:footnoteReference w:id="185"/>
      </w:r>
      <w:r w:rsidR="006C3ADF" w:rsidRPr="006C3ADF">
        <w:rPr>
          <w:lang w:val="en-US"/>
        </w:rPr>
        <w:t xml:space="preserve">, is unique in its kind. By focusing on the elimination of </w:t>
      </w:r>
      <w:r w:rsidR="006C3ADF" w:rsidRPr="006C3ADF">
        <w:rPr>
          <w:i/>
          <w:lang w:val="en-US"/>
        </w:rPr>
        <w:t>all forms</w:t>
      </w:r>
      <w:r w:rsidR="006C3ADF" w:rsidRPr="006C3ADF">
        <w:rPr>
          <w:lang w:val="en-US"/>
        </w:rPr>
        <w:t xml:space="preserve"> of discrimination against women, it goes beyond other instruments prohibiting sex discrimination and recognizes that it is women who have been subjected to subordination for centuries</w:t>
      </w:r>
      <w:r w:rsidR="006C3ADF" w:rsidRPr="006C3ADF">
        <w:rPr>
          <w:vertAlign w:val="superscript"/>
          <w:lang w:val="en-US"/>
        </w:rPr>
        <w:footnoteReference w:id="186"/>
      </w:r>
      <w:r w:rsidR="006C3ADF" w:rsidRPr="006C3ADF">
        <w:rPr>
          <w:lang w:val="en-US"/>
        </w:rPr>
        <w:t>. Opinions on the Convention are deeply divided. Opponents blame it for comprising ‘equal rights provisions on steroids’</w:t>
      </w:r>
      <w:r w:rsidR="006C3ADF" w:rsidRPr="006C3ADF">
        <w:rPr>
          <w:vertAlign w:val="superscript"/>
          <w:lang w:val="en-US"/>
        </w:rPr>
        <w:footnoteReference w:id="187"/>
      </w:r>
      <w:r w:rsidR="006C3ADF" w:rsidRPr="006C3ADF">
        <w:rPr>
          <w:lang w:val="en-US"/>
        </w:rPr>
        <w:t>, for being an anachronism</w:t>
      </w:r>
      <w:r w:rsidR="006C3ADF" w:rsidRPr="006C3ADF">
        <w:rPr>
          <w:vertAlign w:val="superscript"/>
          <w:lang w:val="en-US"/>
        </w:rPr>
        <w:footnoteReference w:id="188"/>
      </w:r>
      <w:r w:rsidR="006C3ADF" w:rsidRPr="006C3ADF">
        <w:rPr>
          <w:lang w:val="en-US"/>
        </w:rPr>
        <w:t xml:space="preserve"> and representing outdated 1970s feminism</w:t>
      </w:r>
      <w:r w:rsidR="006C3ADF" w:rsidRPr="006C3ADF">
        <w:rPr>
          <w:vertAlign w:val="superscript"/>
          <w:lang w:val="en-US"/>
        </w:rPr>
        <w:footnoteReference w:id="189"/>
      </w:r>
      <w:r w:rsidR="006C3ADF" w:rsidRPr="006C3ADF">
        <w:rPr>
          <w:lang w:val="en-US"/>
        </w:rPr>
        <w:t>. On the other hand of the spectrum, the Women’s Convention has been called ‘innovative and ambitious’</w:t>
      </w:r>
      <w:r w:rsidR="006C3ADF" w:rsidRPr="006C3ADF">
        <w:rPr>
          <w:vertAlign w:val="superscript"/>
          <w:lang w:val="en-US"/>
        </w:rPr>
        <w:footnoteReference w:id="190"/>
      </w:r>
      <w:r w:rsidR="006C3ADF" w:rsidRPr="006C3ADF">
        <w:rPr>
          <w:lang w:val="en-US"/>
        </w:rPr>
        <w:t>, ‘potentially of great importance’</w:t>
      </w:r>
      <w:r w:rsidR="006C3ADF" w:rsidRPr="006C3ADF">
        <w:rPr>
          <w:vertAlign w:val="superscript"/>
          <w:lang w:val="en-US"/>
        </w:rPr>
        <w:footnoteReference w:id="191"/>
      </w:r>
      <w:r w:rsidR="006C3ADF" w:rsidRPr="006C3ADF">
        <w:rPr>
          <w:lang w:val="en-US"/>
        </w:rPr>
        <w:t xml:space="preserve"> and ‘strong and progressive’</w:t>
      </w:r>
      <w:r w:rsidR="006C3ADF" w:rsidRPr="006C3ADF">
        <w:rPr>
          <w:vertAlign w:val="superscript"/>
          <w:lang w:val="en-US"/>
        </w:rPr>
        <w:footnoteReference w:id="192"/>
      </w:r>
      <w:r w:rsidR="006C3ADF" w:rsidRPr="006C3ADF">
        <w:rPr>
          <w:lang w:val="en-US"/>
        </w:rPr>
        <w:t>. Article 1 broadly defines discrimination against women as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 This definition includes both de jure and de fact</w:t>
      </w:r>
      <w:r w:rsidR="007C0A2C">
        <w:rPr>
          <w:lang w:val="en-US"/>
        </w:rPr>
        <w:t xml:space="preserve">o </w:t>
      </w:r>
      <w:r w:rsidR="006C3ADF" w:rsidRPr="006C3ADF">
        <w:rPr>
          <w:lang w:val="en-US"/>
        </w:rPr>
        <w:t>as well as direct and indirect discrimination</w:t>
      </w:r>
      <w:r w:rsidR="006C3ADF" w:rsidRPr="006C3ADF">
        <w:rPr>
          <w:vertAlign w:val="superscript"/>
          <w:lang w:val="en-US"/>
        </w:rPr>
        <w:footnoteReference w:id="193"/>
      </w:r>
      <w:r w:rsidR="003961D0">
        <w:rPr>
          <w:lang w:val="en-US"/>
        </w:rPr>
        <w:t xml:space="preserve">. Needless to say </w:t>
      </w:r>
      <w:r w:rsidR="006C3ADF" w:rsidRPr="006C3ADF">
        <w:rPr>
          <w:lang w:val="en-US"/>
        </w:rPr>
        <w:t>that both intentional and unintentional adverse treatment are covered</w:t>
      </w:r>
      <w:r w:rsidR="006C3ADF" w:rsidRPr="006C3ADF">
        <w:rPr>
          <w:vertAlign w:val="superscript"/>
          <w:lang w:val="en-US"/>
        </w:rPr>
        <w:footnoteReference w:id="194"/>
      </w:r>
      <w:r w:rsidR="006C3ADF" w:rsidRPr="006C3ADF">
        <w:rPr>
          <w:lang w:val="en-US"/>
        </w:rPr>
        <w:t>. ‘Any other field’ has been interpreted as referring to the family sphere</w:t>
      </w:r>
      <w:r w:rsidR="006C3ADF" w:rsidRPr="006C3ADF">
        <w:rPr>
          <w:vertAlign w:val="superscript"/>
          <w:lang w:val="en-US"/>
        </w:rPr>
        <w:footnoteReference w:id="195"/>
      </w:r>
      <w:r w:rsidR="006C3ADF" w:rsidRPr="006C3ADF">
        <w:rPr>
          <w:lang w:val="en-US"/>
        </w:rPr>
        <w:t xml:space="preserve">. The UN Committee on the Elimination of Discrimination against Women confirmed the latter interpretation by stating that discrimination in </w:t>
      </w:r>
      <w:r w:rsidR="00032CDE">
        <w:rPr>
          <w:lang w:val="en-US"/>
        </w:rPr>
        <w:t xml:space="preserve">private </w:t>
      </w:r>
      <w:r w:rsidR="00032CDE">
        <w:rPr>
          <w:lang w:val="en-US"/>
        </w:rPr>
        <w:lastRenderedPageBreak/>
        <w:t>spheres is not accepted</w:t>
      </w:r>
      <w:r w:rsidR="006C3ADF" w:rsidRPr="006C3ADF">
        <w:rPr>
          <w:vertAlign w:val="superscript"/>
          <w:lang w:val="en-US"/>
        </w:rPr>
        <w:footnoteReference w:id="196"/>
      </w:r>
      <w:r w:rsidR="006C3ADF" w:rsidRPr="006C3ADF">
        <w:rPr>
          <w:lang w:val="en-US"/>
        </w:rPr>
        <w:t xml:space="preserve">. Two other of the Convention’s provisions already deserve attention. Article 5 obligates state parties to take measures in order to challenge gender stereotypes and fixed parental gender roles. When looking at the </w:t>
      </w:r>
      <w:r w:rsidR="00A116E2">
        <w:rPr>
          <w:lang w:val="en-US"/>
        </w:rPr>
        <w:t xml:space="preserve">UN </w:t>
      </w:r>
      <w:r w:rsidR="006C3ADF" w:rsidRPr="006C3ADF">
        <w:rPr>
          <w:lang w:val="en-US"/>
        </w:rPr>
        <w:t>Comm</w:t>
      </w:r>
      <w:r w:rsidR="008B1B03">
        <w:rPr>
          <w:lang w:val="en-US"/>
        </w:rPr>
        <w:t>ittee’s practice, the logical deduction is</w:t>
      </w:r>
      <w:r w:rsidR="006C3ADF" w:rsidRPr="006C3ADF">
        <w:rPr>
          <w:lang w:val="en-US"/>
        </w:rPr>
        <w:t xml:space="preserve"> that article 5 not only has a fa</w:t>
      </w:r>
      <w:r w:rsidR="007C2AA3">
        <w:rPr>
          <w:lang w:val="en-US"/>
        </w:rPr>
        <w:t xml:space="preserve">r-reaching scope of application, </w:t>
      </w:r>
      <w:r w:rsidR="006C3ADF" w:rsidRPr="006C3ADF">
        <w:rPr>
          <w:lang w:val="en-US"/>
        </w:rPr>
        <w:t>but that it is also of pivotal importance for the rest of the Convention</w:t>
      </w:r>
      <w:r w:rsidR="006C3ADF" w:rsidRPr="006C3ADF">
        <w:rPr>
          <w:vertAlign w:val="superscript"/>
          <w:lang w:val="en-US"/>
        </w:rPr>
        <w:footnoteReference w:id="197"/>
      </w:r>
      <w:r w:rsidR="006C3ADF" w:rsidRPr="006C3ADF">
        <w:rPr>
          <w:lang w:val="en-US"/>
        </w:rPr>
        <w:t xml:space="preserve">. According to the </w:t>
      </w:r>
      <w:r w:rsidR="00A116E2">
        <w:rPr>
          <w:lang w:val="en-US"/>
        </w:rPr>
        <w:t xml:space="preserve">UN </w:t>
      </w:r>
      <w:r w:rsidR="006C3ADF" w:rsidRPr="006C3ADF">
        <w:rPr>
          <w:lang w:val="en-US"/>
        </w:rPr>
        <w:t>Committee, gender stereotypes have a pronounced impact on women’s human rights</w:t>
      </w:r>
      <w:r w:rsidR="006C3ADF" w:rsidRPr="006C3ADF">
        <w:rPr>
          <w:vertAlign w:val="superscript"/>
          <w:lang w:val="en-US"/>
        </w:rPr>
        <w:footnoteReference w:id="198"/>
      </w:r>
      <w:r w:rsidR="006C3ADF" w:rsidRPr="006C3ADF">
        <w:rPr>
          <w:lang w:val="en-US"/>
        </w:rPr>
        <w:t>. Substantive equality cannot be reached as long as they persist. Article 11 requires states to get rid of discrimination in the field of employment and is therefore</w:t>
      </w:r>
      <w:r w:rsidR="0015272F">
        <w:rPr>
          <w:lang w:val="en-US"/>
        </w:rPr>
        <w:t xml:space="preserve"> a</w:t>
      </w:r>
      <w:r w:rsidR="006C3ADF" w:rsidRPr="006C3ADF">
        <w:rPr>
          <w:lang w:val="en-US"/>
        </w:rPr>
        <w:t xml:space="preserve"> key to women’s economic empowerment. Greater economic independence for women is indispensable because it fortifies their position in society and makes them less easy targets of malpractices such as domestic violence. Echoing the prevailing literature, some other brief observations need to be made. Only a few states did not yet ratify the Women’s Convention. The high number of reservations is nonetheless disquieting according to many authors</w:t>
      </w:r>
      <w:r w:rsidR="006C3ADF" w:rsidRPr="006C3ADF">
        <w:rPr>
          <w:vertAlign w:val="superscript"/>
          <w:lang w:val="en-US"/>
        </w:rPr>
        <w:footnoteReference w:id="199"/>
      </w:r>
      <w:r w:rsidR="006C3ADF" w:rsidRPr="006C3ADF">
        <w:rPr>
          <w:lang w:val="en-US"/>
        </w:rPr>
        <w:t>. It appears that they also alarm the Committee, since its members increasingly call for their withdrawal</w:t>
      </w:r>
      <w:r w:rsidR="006C3ADF" w:rsidRPr="006C3ADF">
        <w:rPr>
          <w:vertAlign w:val="superscript"/>
          <w:lang w:val="en-US"/>
        </w:rPr>
        <w:footnoteReference w:id="200"/>
      </w:r>
      <w:r w:rsidR="006C3ADF" w:rsidRPr="006C3ADF">
        <w:rPr>
          <w:lang w:val="en-US"/>
        </w:rPr>
        <w:t xml:space="preserve">. A second caveat raised repeatedly relates to the </w:t>
      </w:r>
      <w:r w:rsidR="00184D32">
        <w:rPr>
          <w:lang w:val="en-US"/>
        </w:rPr>
        <w:t xml:space="preserve">UN </w:t>
      </w:r>
      <w:r w:rsidR="006C3ADF" w:rsidRPr="006C3ADF">
        <w:rPr>
          <w:lang w:val="en-US"/>
        </w:rPr>
        <w:t>Committee’s weak enforcement powers</w:t>
      </w:r>
      <w:r w:rsidR="006C3ADF" w:rsidRPr="006C3ADF">
        <w:rPr>
          <w:vertAlign w:val="superscript"/>
          <w:lang w:val="en-US"/>
        </w:rPr>
        <w:footnoteReference w:id="201"/>
      </w:r>
      <w:r w:rsidR="006C3ADF" w:rsidRPr="006C3ADF">
        <w:rPr>
          <w:lang w:val="en-US"/>
        </w:rPr>
        <w:t>. Each state parties is expected to submit reports discussing the measures taken to comply with the Convention</w:t>
      </w:r>
      <w:r w:rsidR="006C3ADF" w:rsidRPr="006C3ADF">
        <w:rPr>
          <w:vertAlign w:val="superscript"/>
          <w:lang w:val="en-US"/>
        </w:rPr>
        <w:footnoteReference w:id="202"/>
      </w:r>
      <w:r w:rsidR="006C3ADF" w:rsidRPr="006C3ADF">
        <w:rPr>
          <w:lang w:val="en-US"/>
        </w:rPr>
        <w:t>. After studying these reports the</w:t>
      </w:r>
      <w:r w:rsidR="00184D32">
        <w:rPr>
          <w:lang w:val="en-US"/>
        </w:rPr>
        <w:t xml:space="preserve"> </w:t>
      </w:r>
      <w:r w:rsidR="006C3ADF" w:rsidRPr="006C3ADF">
        <w:rPr>
          <w:lang w:val="en-US"/>
        </w:rPr>
        <w:t>Committee adopts concluding observations and potentially a general recommendation</w:t>
      </w:r>
      <w:r w:rsidR="006C3ADF" w:rsidRPr="006C3ADF">
        <w:rPr>
          <w:vertAlign w:val="superscript"/>
          <w:lang w:val="en-US"/>
        </w:rPr>
        <w:footnoteReference w:id="203"/>
      </w:r>
      <w:r w:rsidR="002E5D0B">
        <w:rPr>
          <w:lang w:val="en-US"/>
        </w:rPr>
        <w:t xml:space="preserve">. As the </w:t>
      </w:r>
      <w:r w:rsidR="006C3ADF" w:rsidRPr="006C3ADF">
        <w:rPr>
          <w:lang w:val="en-US"/>
        </w:rPr>
        <w:t xml:space="preserve">Committee cannot impose any sanctions for non-compliance, its role is largely limited to the ‘naming and shaming’ of unruly state </w:t>
      </w:r>
      <w:r w:rsidR="006C3ADF" w:rsidRPr="006C3ADF">
        <w:rPr>
          <w:lang w:val="en-US"/>
        </w:rPr>
        <w:lastRenderedPageBreak/>
        <w:t>parties</w:t>
      </w:r>
      <w:r w:rsidR="006C3ADF" w:rsidRPr="006C3ADF">
        <w:rPr>
          <w:vertAlign w:val="superscript"/>
          <w:lang w:val="en-US"/>
        </w:rPr>
        <w:footnoteReference w:id="204"/>
      </w:r>
      <w:r w:rsidR="006C3ADF" w:rsidRPr="006C3ADF">
        <w:rPr>
          <w:lang w:val="en-US"/>
        </w:rPr>
        <w:t>. By introducing complaint and inquiry procedures</w:t>
      </w:r>
      <w:r w:rsidR="006C3ADF" w:rsidRPr="006C3ADF">
        <w:rPr>
          <w:vertAlign w:val="superscript"/>
          <w:lang w:val="en-US"/>
        </w:rPr>
        <w:footnoteReference w:id="205"/>
      </w:r>
      <w:r w:rsidR="006C3ADF" w:rsidRPr="006C3ADF">
        <w:rPr>
          <w:lang w:val="en-US"/>
        </w:rPr>
        <w:t>, the 1999 Optional Protocol sligh</w:t>
      </w:r>
      <w:r w:rsidR="008E6BF7">
        <w:rPr>
          <w:lang w:val="en-US"/>
        </w:rPr>
        <w:t xml:space="preserve">tly brightened up the situation, </w:t>
      </w:r>
      <w:r w:rsidR="006C3ADF" w:rsidRPr="006C3ADF">
        <w:rPr>
          <w:lang w:val="en-US"/>
        </w:rPr>
        <w:t>but the contracting parties’ good will remains significant. Also, the Committee was referred to as ‘the poor cousin</w:t>
      </w:r>
      <w:r w:rsidR="00342CB9">
        <w:rPr>
          <w:lang w:val="en-US"/>
        </w:rPr>
        <w:t xml:space="preserve"> and stepchild of </w:t>
      </w:r>
      <w:r w:rsidR="006C3ADF" w:rsidRPr="006C3ADF">
        <w:rPr>
          <w:lang w:val="en-US"/>
        </w:rPr>
        <w:t>the</w:t>
      </w:r>
      <w:r w:rsidR="00342CB9">
        <w:rPr>
          <w:lang w:val="en-US"/>
        </w:rPr>
        <w:t xml:space="preserve"> UN</w:t>
      </w:r>
      <w:r w:rsidR="006C3ADF" w:rsidRPr="006C3ADF">
        <w:rPr>
          <w:lang w:val="en-US"/>
        </w:rPr>
        <w:t xml:space="preserve"> human rights treaty bodies’</w:t>
      </w:r>
      <w:r w:rsidR="00C9760D">
        <w:rPr>
          <w:lang w:val="en-US"/>
        </w:rPr>
        <w:t xml:space="preserve">, </w:t>
      </w:r>
      <w:r w:rsidR="006C3ADF" w:rsidRPr="006C3ADF">
        <w:rPr>
          <w:lang w:val="en-US"/>
        </w:rPr>
        <w:t>because of a lack of resources and meeting time</w:t>
      </w:r>
      <w:r w:rsidR="006C3ADF" w:rsidRPr="006C3ADF">
        <w:rPr>
          <w:vertAlign w:val="superscript"/>
          <w:lang w:val="en-US"/>
        </w:rPr>
        <w:footnoteReference w:id="206"/>
      </w:r>
      <w:r w:rsidR="006C3ADF" w:rsidRPr="006C3ADF">
        <w:rPr>
          <w:lang w:val="en-US"/>
        </w:rPr>
        <w:t xml:space="preserve">.     </w:t>
      </w:r>
    </w:p>
    <w:p w:rsidR="002F6002" w:rsidRPr="002F6002" w:rsidRDefault="002F6002" w:rsidP="00687D8A">
      <w:pPr>
        <w:spacing w:line="360" w:lineRule="auto"/>
        <w:jc w:val="both"/>
        <w:rPr>
          <w:u w:val="single"/>
          <w:lang w:val="en-US"/>
        </w:rPr>
      </w:pPr>
      <w:r w:rsidRPr="002F6002">
        <w:rPr>
          <w:u w:val="single"/>
          <w:lang w:val="en-US"/>
        </w:rPr>
        <w:t>Section II. Regional Instruments</w:t>
      </w:r>
    </w:p>
    <w:p w:rsidR="002F6002" w:rsidRPr="002F6002" w:rsidRDefault="002F6002" w:rsidP="00687D8A">
      <w:pPr>
        <w:spacing w:line="360" w:lineRule="auto"/>
        <w:jc w:val="both"/>
        <w:rPr>
          <w:u w:val="single"/>
          <w:lang w:val="en-US"/>
        </w:rPr>
      </w:pPr>
      <w:r w:rsidRPr="002F6002">
        <w:rPr>
          <w:u w:val="single"/>
          <w:lang w:val="en-US"/>
        </w:rPr>
        <w:t>The</w:t>
      </w:r>
      <w:r w:rsidR="0072208D">
        <w:rPr>
          <w:u w:val="single"/>
          <w:lang w:val="en-US"/>
        </w:rPr>
        <w:t xml:space="preserve"> Revised</w:t>
      </w:r>
      <w:r w:rsidRPr="002F6002">
        <w:rPr>
          <w:u w:val="single"/>
          <w:lang w:val="en-US"/>
        </w:rPr>
        <w:t xml:space="preserve"> European Social Charter</w:t>
      </w:r>
    </w:p>
    <w:p w:rsidR="006D3BBF" w:rsidRDefault="00020C7D" w:rsidP="00687D8A">
      <w:pPr>
        <w:spacing w:line="360" w:lineRule="auto"/>
        <w:jc w:val="both"/>
        <w:rPr>
          <w:lang w:val="en-US"/>
        </w:rPr>
      </w:pPr>
      <w:r>
        <w:rPr>
          <w:i/>
          <w:lang w:val="en-US"/>
        </w:rPr>
        <w:t>34</w:t>
      </w:r>
      <w:r w:rsidR="002F6002" w:rsidRPr="002F6002">
        <w:rPr>
          <w:i/>
          <w:lang w:val="en-US"/>
        </w:rPr>
        <w:t>.</w:t>
      </w:r>
      <w:r w:rsidR="002F6002" w:rsidRPr="002F6002">
        <w:rPr>
          <w:lang w:val="en-US"/>
        </w:rPr>
        <w:t xml:space="preserve"> The ideological divide between first and second </w:t>
      </w:r>
      <w:r w:rsidR="001E11A6">
        <w:rPr>
          <w:lang w:val="en-US"/>
        </w:rPr>
        <w:t>generation human rights left</w:t>
      </w:r>
      <w:r w:rsidR="002F6002" w:rsidRPr="002F6002">
        <w:rPr>
          <w:lang w:val="en-US"/>
        </w:rPr>
        <w:t xml:space="preserve"> its marks on the European human rights system. The European Convention on Human Rights</w:t>
      </w:r>
      <w:r w:rsidR="007A04D5">
        <w:rPr>
          <w:rStyle w:val="Voetnootmarkering"/>
          <w:lang w:val="en-US"/>
        </w:rPr>
        <w:footnoteReference w:id="207"/>
      </w:r>
      <w:r w:rsidR="002F6002" w:rsidRPr="002F6002">
        <w:rPr>
          <w:lang w:val="en-US"/>
        </w:rPr>
        <w:t>, containing civil and political rights</w:t>
      </w:r>
      <w:r w:rsidR="00376090">
        <w:rPr>
          <w:lang w:val="en-US"/>
        </w:rPr>
        <w:t>,</w:t>
      </w:r>
      <w:r w:rsidR="002F6002" w:rsidRPr="002F6002">
        <w:rPr>
          <w:lang w:val="en-US"/>
        </w:rPr>
        <w:t xml:space="preserve"> was adopted in </w:t>
      </w:r>
      <w:r w:rsidR="00565255">
        <w:rPr>
          <w:lang w:val="en-US"/>
        </w:rPr>
        <w:t>1950. It took however more than a decade before</w:t>
      </w:r>
      <w:r w:rsidR="002F6002" w:rsidRPr="002F6002">
        <w:rPr>
          <w:lang w:val="en-US"/>
        </w:rPr>
        <w:t xml:space="preserve"> agreement could</w:t>
      </w:r>
      <w:r w:rsidR="00565255">
        <w:rPr>
          <w:lang w:val="en-US"/>
        </w:rPr>
        <w:t xml:space="preserve"> also</w:t>
      </w:r>
      <w:r w:rsidR="002F6002" w:rsidRPr="002F6002">
        <w:rPr>
          <w:lang w:val="en-US"/>
        </w:rPr>
        <w:t xml:space="preserve"> be reached on </w:t>
      </w:r>
      <w:r w:rsidR="007A04D5">
        <w:rPr>
          <w:lang w:val="en-US"/>
        </w:rPr>
        <w:t xml:space="preserve">economic and </w:t>
      </w:r>
      <w:r w:rsidR="002F6002" w:rsidRPr="002F6002">
        <w:rPr>
          <w:lang w:val="en-US"/>
        </w:rPr>
        <w:t xml:space="preserve">social rights. </w:t>
      </w:r>
      <w:r w:rsidR="00D93E8E">
        <w:rPr>
          <w:lang w:val="en-US"/>
        </w:rPr>
        <w:t>Eventually, t</w:t>
      </w:r>
      <w:r w:rsidR="002F6002" w:rsidRPr="002F6002">
        <w:rPr>
          <w:lang w:val="en-US"/>
        </w:rPr>
        <w:t>he European Social Charter was ad</w:t>
      </w:r>
      <w:r w:rsidR="00BE675A">
        <w:rPr>
          <w:lang w:val="en-US"/>
        </w:rPr>
        <w:t>opted in 1961</w:t>
      </w:r>
      <w:r w:rsidR="00B17328">
        <w:rPr>
          <w:rStyle w:val="Voetnootmarkering"/>
          <w:lang w:val="en-US"/>
        </w:rPr>
        <w:footnoteReference w:id="208"/>
      </w:r>
      <w:r w:rsidR="00AD7F0D">
        <w:rPr>
          <w:lang w:val="en-US"/>
        </w:rPr>
        <w:t>. While t</w:t>
      </w:r>
      <w:r w:rsidR="002F6002" w:rsidRPr="002F6002">
        <w:rPr>
          <w:lang w:val="en-US"/>
        </w:rPr>
        <w:t>he European Convention was at th</w:t>
      </w:r>
      <w:r w:rsidR="00BE675A">
        <w:rPr>
          <w:lang w:val="en-US"/>
        </w:rPr>
        <w:t>e center of scholarly attention over the years, t</w:t>
      </w:r>
      <w:r w:rsidR="002F6002" w:rsidRPr="002F6002">
        <w:rPr>
          <w:lang w:val="en-US"/>
        </w:rPr>
        <w:t>he</w:t>
      </w:r>
      <w:r w:rsidR="00BE675A">
        <w:rPr>
          <w:lang w:val="en-US"/>
        </w:rPr>
        <w:t xml:space="preserve"> European Social Charter</w:t>
      </w:r>
      <w:r w:rsidR="002F6002" w:rsidRPr="002F6002">
        <w:rPr>
          <w:lang w:val="en-US"/>
        </w:rPr>
        <w:t xml:space="preserve"> received </w:t>
      </w:r>
      <w:r w:rsidR="00BE675A">
        <w:rPr>
          <w:lang w:val="en-US"/>
        </w:rPr>
        <w:t xml:space="preserve">considerably </w:t>
      </w:r>
      <w:r w:rsidR="002F6002" w:rsidRPr="002F6002">
        <w:rPr>
          <w:lang w:val="en-US"/>
        </w:rPr>
        <w:t>less attention.</w:t>
      </w:r>
      <w:r w:rsidR="00663F51">
        <w:rPr>
          <w:lang w:val="en-US"/>
        </w:rPr>
        <w:t xml:space="preserve"> Therefore it is not </w:t>
      </w:r>
      <w:r w:rsidR="006D3BBF">
        <w:rPr>
          <w:lang w:val="en-US"/>
        </w:rPr>
        <w:t>surprising that people refer to the Social Charter as the European Convention’s little sister</w:t>
      </w:r>
      <w:r w:rsidR="006D3BBF">
        <w:rPr>
          <w:rStyle w:val="Voetnootmarkering"/>
          <w:lang w:val="en-US"/>
        </w:rPr>
        <w:footnoteReference w:id="209"/>
      </w:r>
      <w:r w:rsidR="006D3BBF">
        <w:rPr>
          <w:lang w:val="en-US"/>
        </w:rPr>
        <w:t>.</w:t>
      </w:r>
      <w:r w:rsidR="00D2785A">
        <w:rPr>
          <w:lang w:val="en-US"/>
        </w:rPr>
        <w:t xml:space="preserve"> There are however o</w:t>
      </w:r>
      <w:r w:rsidR="00AD28D6">
        <w:rPr>
          <w:lang w:val="en-US"/>
        </w:rPr>
        <w:t>ther reasons behind the use of this nickname. Firstly, scholars often criticized the Social Charter for its weak supervision mechanism</w:t>
      </w:r>
      <w:r w:rsidR="00416DE7">
        <w:rPr>
          <w:rStyle w:val="Voetnootmarkering"/>
          <w:lang w:val="en-US"/>
        </w:rPr>
        <w:footnoteReference w:id="210"/>
      </w:r>
      <w:r w:rsidR="00AD28D6">
        <w:rPr>
          <w:lang w:val="en-US"/>
        </w:rPr>
        <w:t xml:space="preserve">. </w:t>
      </w:r>
      <w:r w:rsidR="007C4712">
        <w:rPr>
          <w:lang w:val="en-US"/>
        </w:rPr>
        <w:t xml:space="preserve">Until 1998, state compliance was </w:t>
      </w:r>
      <w:r w:rsidR="00624BFA">
        <w:rPr>
          <w:lang w:val="en-US"/>
        </w:rPr>
        <w:t xml:space="preserve">only </w:t>
      </w:r>
      <w:r w:rsidR="007C4712">
        <w:rPr>
          <w:lang w:val="en-US"/>
        </w:rPr>
        <w:t xml:space="preserve">supervised on the basis of reports. </w:t>
      </w:r>
      <w:r w:rsidR="00624BFA">
        <w:rPr>
          <w:lang w:val="en-US"/>
        </w:rPr>
        <w:t>The European Committee of Socia</w:t>
      </w:r>
      <w:r w:rsidR="000D332F">
        <w:rPr>
          <w:lang w:val="en-US"/>
        </w:rPr>
        <w:t>l Rights, the Charter’s Expert C</w:t>
      </w:r>
      <w:r w:rsidR="00624BFA">
        <w:rPr>
          <w:lang w:val="en-US"/>
        </w:rPr>
        <w:t>ommittee</w:t>
      </w:r>
      <w:r w:rsidR="002A3009">
        <w:rPr>
          <w:rStyle w:val="Voetnootmarkering"/>
          <w:lang w:val="en-US"/>
        </w:rPr>
        <w:footnoteReference w:id="211"/>
      </w:r>
      <w:r w:rsidR="00624BFA">
        <w:rPr>
          <w:lang w:val="en-US"/>
        </w:rPr>
        <w:t>,</w:t>
      </w:r>
      <w:r w:rsidR="00DD7EFF">
        <w:rPr>
          <w:lang w:val="en-US"/>
        </w:rPr>
        <w:t xml:space="preserve"> receives </w:t>
      </w:r>
      <w:r w:rsidR="000D332F">
        <w:rPr>
          <w:lang w:val="en-US"/>
        </w:rPr>
        <w:t>state reports and pronounces on compliance with the Charter provisions</w:t>
      </w:r>
      <w:r w:rsidR="00416DE7">
        <w:rPr>
          <w:rStyle w:val="Voetnootmarkering"/>
          <w:lang w:val="en-US"/>
        </w:rPr>
        <w:footnoteReference w:id="212"/>
      </w:r>
      <w:r w:rsidR="000D332F">
        <w:rPr>
          <w:lang w:val="en-US"/>
        </w:rPr>
        <w:t>. No penalties can be imposed for non-compliance. In 1998, the Collective Complaints Protocol</w:t>
      </w:r>
      <w:r w:rsidR="00F4724E">
        <w:rPr>
          <w:rStyle w:val="Voetnootmarkering"/>
          <w:lang w:val="en-US"/>
        </w:rPr>
        <w:footnoteReference w:id="213"/>
      </w:r>
      <w:r w:rsidR="000D332F">
        <w:rPr>
          <w:lang w:val="en-US"/>
        </w:rPr>
        <w:t xml:space="preserve"> entered into force.</w:t>
      </w:r>
      <w:r w:rsidR="00154D11">
        <w:rPr>
          <w:lang w:val="en-US"/>
        </w:rPr>
        <w:t xml:space="preserve"> It allows employers</w:t>
      </w:r>
      <w:r w:rsidR="00CF4AA8">
        <w:rPr>
          <w:lang w:val="en-US"/>
        </w:rPr>
        <w:t>’</w:t>
      </w:r>
      <w:r w:rsidR="00154D11">
        <w:rPr>
          <w:lang w:val="en-US"/>
        </w:rPr>
        <w:t xml:space="preserve"> organizations, trade unions and recognized NGO’s to file a </w:t>
      </w:r>
      <w:r w:rsidR="00C842D1">
        <w:rPr>
          <w:lang w:val="en-US"/>
        </w:rPr>
        <w:t>quasi-judicial complaint</w:t>
      </w:r>
      <w:r w:rsidR="00AB26BA">
        <w:rPr>
          <w:lang w:val="en-US"/>
        </w:rPr>
        <w:t xml:space="preserve"> against their governments</w:t>
      </w:r>
      <w:r w:rsidR="00416DE7">
        <w:rPr>
          <w:rStyle w:val="Voetnootmarkering"/>
          <w:lang w:val="en-US"/>
        </w:rPr>
        <w:footnoteReference w:id="214"/>
      </w:r>
      <w:r w:rsidR="00AB26BA">
        <w:rPr>
          <w:lang w:val="en-US"/>
        </w:rPr>
        <w:t xml:space="preserve">. This protocol whittled down </w:t>
      </w:r>
      <w:r w:rsidR="00AB26BA">
        <w:rPr>
          <w:lang w:val="en-US"/>
        </w:rPr>
        <w:lastRenderedPageBreak/>
        <w:t>criticism but the Charter’s compliance system is still no match for that of the European Convention on Human Rights.</w:t>
      </w:r>
      <w:r w:rsidR="00416DE7">
        <w:rPr>
          <w:lang w:val="en-US"/>
        </w:rPr>
        <w:t xml:space="preserve"> </w:t>
      </w:r>
      <w:r w:rsidR="00964A58">
        <w:rPr>
          <w:lang w:val="en-US"/>
        </w:rPr>
        <w:t>The latter provides for a system of individual judicial complaints</w:t>
      </w:r>
      <w:r w:rsidR="00964A58">
        <w:rPr>
          <w:rStyle w:val="Voetnootmarkering"/>
          <w:lang w:val="en-US"/>
        </w:rPr>
        <w:footnoteReference w:id="215"/>
      </w:r>
      <w:r w:rsidR="00964A58">
        <w:rPr>
          <w:lang w:val="en-US"/>
        </w:rPr>
        <w:t xml:space="preserve"> and just satisfaction</w:t>
      </w:r>
      <w:r w:rsidR="00964A58">
        <w:rPr>
          <w:rStyle w:val="Voetnootmarkering"/>
          <w:lang w:val="en-US"/>
        </w:rPr>
        <w:footnoteReference w:id="216"/>
      </w:r>
      <w:r w:rsidR="00964A58">
        <w:rPr>
          <w:lang w:val="en-US"/>
        </w:rPr>
        <w:t xml:space="preserve">. </w:t>
      </w:r>
      <w:r w:rsidR="007860D1">
        <w:rPr>
          <w:lang w:val="en-US"/>
        </w:rPr>
        <w:t xml:space="preserve">Secondly, </w:t>
      </w:r>
      <w:r w:rsidR="00F175FD">
        <w:rPr>
          <w:lang w:val="en-US"/>
        </w:rPr>
        <w:t>article 20 of the Social Charter operates an ‘à la carte’ system. States can pick and choose</w:t>
      </w:r>
      <w:r w:rsidR="00D429A0">
        <w:rPr>
          <w:lang w:val="en-US"/>
        </w:rPr>
        <w:t xml:space="preserve"> certain</w:t>
      </w:r>
      <w:r w:rsidR="000647A3">
        <w:rPr>
          <w:lang w:val="en-US"/>
        </w:rPr>
        <w:t xml:space="preserve"> provisions for ratification; </w:t>
      </w:r>
      <w:r w:rsidR="00F175FD">
        <w:rPr>
          <w:lang w:val="en-US"/>
        </w:rPr>
        <w:t>they do not need to ratify all the Charter’s provisions</w:t>
      </w:r>
      <w:r w:rsidR="00F175FD">
        <w:rPr>
          <w:rStyle w:val="Voetnootmarkering"/>
          <w:lang w:val="en-US"/>
        </w:rPr>
        <w:footnoteReference w:id="217"/>
      </w:r>
      <w:r w:rsidR="00F175FD">
        <w:rPr>
          <w:lang w:val="en-US"/>
        </w:rPr>
        <w:t xml:space="preserve">. </w:t>
      </w:r>
      <w:r w:rsidR="00AD051C">
        <w:rPr>
          <w:lang w:val="en-US"/>
        </w:rPr>
        <w:t>Even before the text of Collective Complaints Protocol was finished, there had been calls to do more to revitalize the Charter</w:t>
      </w:r>
      <w:r w:rsidR="00F17419">
        <w:rPr>
          <w:rStyle w:val="Voetnootmarkering"/>
          <w:lang w:val="en-US"/>
        </w:rPr>
        <w:footnoteReference w:id="218"/>
      </w:r>
      <w:r w:rsidR="00AD051C">
        <w:rPr>
          <w:lang w:val="en-US"/>
        </w:rPr>
        <w:t xml:space="preserve">. </w:t>
      </w:r>
      <w:r w:rsidR="00467245">
        <w:rPr>
          <w:lang w:val="en-US"/>
        </w:rPr>
        <w:t>They resulted in the adoption of the 1996 Revised Social Charter</w:t>
      </w:r>
      <w:r w:rsidR="00F17419">
        <w:rPr>
          <w:rStyle w:val="Voetnootmarkering"/>
          <w:lang w:val="en-US"/>
        </w:rPr>
        <w:footnoteReference w:id="219"/>
      </w:r>
      <w:r w:rsidR="00467245">
        <w:rPr>
          <w:lang w:val="en-US"/>
        </w:rPr>
        <w:t xml:space="preserve">. </w:t>
      </w:r>
      <w:r w:rsidR="008A14D3">
        <w:rPr>
          <w:lang w:val="en-US"/>
        </w:rPr>
        <w:t>The 1961 Charter is not</w:t>
      </w:r>
      <w:r w:rsidR="00F17419">
        <w:rPr>
          <w:lang w:val="en-US"/>
        </w:rPr>
        <w:t xml:space="preserve"> suddenly</w:t>
      </w:r>
      <w:r w:rsidR="008A14D3">
        <w:rPr>
          <w:lang w:val="en-US"/>
        </w:rPr>
        <w:t xml:space="preserve"> replaced by the Revised Charter. States that choose not to ratify the new Charter remain bound by the 1961 Charter</w:t>
      </w:r>
      <w:r w:rsidR="00F17419">
        <w:rPr>
          <w:rStyle w:val="Voetnootmarkering"/>
          <w:lang w:val="en-US"/>
        </w:rPr>
        <w:footnoteReference w:id="220"/>
      </w:r>
      <w:r w:rsidR="008A14D3">
        <w:rPr>
          <w:lang w:val="en-US"/>
        </w:rPr>
        <w:t>.</w:t>
      </w:r>
      <w:r w:rsidR="00F23F15">
        <w:rPr>
          <w:lang w:val="en-US"/>
        </w:rPr>
        <w:t xml:space="preserve"> The Revised Charter increases the number of protected rights and removes outdated provisions</w:t>
      </w:r>
      <w:r w:rsidR="008760E7">
        <w:rPr>
          <w:rStyle w:val="Voetnootmarkering"/>
          <w:lang w:val="en-US"/>
        </w:rPr>
        <w:footnoteReference w:id="221"/>
      </w:r>
      <w:r w:rsidR="00F23F15">
        <w:rPr>
          <w:lang w:val="en-US"/>
        </w:rPr>
        <w:t>. The ‘a la carte’ ratification system is maintained but a higher number of rights need</w:t>
      </w:r>
      <w:r w:rsidR="00177084">
        <w:rPr>
          <w:lang w:val="en-US"/>
        </w:rPr>
        <w:t>s</w:t>
      </w:r>
      <w:r w:rsidR="00F23F15">
        <w:rPr>
          <w:lang w:val="en-US"/>
        </w:rPr>
        <w:t xml:space="preserve"> to accepted</w:t>
      </w:r>
      <w:r w:rsidR="008760E7">
        <w:rPr>
          <w:rStyle w:val="Voetnootmarkering"/>
          <w:lang w:val="en-US"/>
        </w:rPr>
        <w:footnoteReference w:id="222"/>
      </w:r>
      <w:r w:rsidR="00F23F15">
        <w:rPr>
          <w:lang w:val="en-US"/>
        </w:rPr>
        <w:t xml:space="preserve">.  </w:t>
      </w:r>
    </w:p>
    <w:p w:rsidR="002F6002" w:rsidRDefault="00BE3ACA" w:rsidP="00687D8A">
      <w:pPr>
        <w:spacing w:line="360" w:lineRule="auto"/>
        <w:jc w:val="both"/>
        <w:rPr>
          <w:lang w:val="en-US"/>
        </w:rPr>
      </w:pPr>
      <w:r w:rsidRPr="00BE3ACA">
        <w:rPr>
          <w:i/>
          <w:lang w:val="en-US"/>
        </w:rPr>
        <w:t>3</w:t>
      </w:r>
      <w:r w:rsidR="00BE4709">
        <w:rPr>
          <w:i/>
          <w:lang w:val="en-US"/>
        </w:rPr>
        <w:t>5</w:t>
      </w:r>
      <w:r w:rsidRPr="00BE3ACA">
        <w:rPr>
          <w:i/>
          <w:lang w:val="en-US"/>
        </w:rPr>
        <w:t>.</w:t>
      </w:r>
      <w:r>
        <w:rPr>
          <w:lang w:val="en-US"/>
        </w:rPr>
        <w:t xml:space="preserve"> </w:t>
      </w:r>
      <w:r w:rsidR="00332DBE">
        <w:rPr>
          <w:lang w:val="en-US"/>
        </w:rPr>
        <w:t xml:space="preserve">There are only </w:t>
      </w:r>
      <w:r w:rsidR="00C735CA">
        <w:rPr>
          <w:lang w:val="en-US"/>
        </w:rPr>
        <w:t>two provisions in the 1961 C</w:t>
      </w:r>
      <w:r w:rsidR="00727656">
        <w:rPr>
          <w:lang w:val="en-US"/>
        </w:rPr>
        <w:t xml:space="preserve">harter which explicitly relate </w:t>
      </w:r>
      <w:r w:rsidR="00C735CA">
        <w:rPr>
          <w:lang w:val="en-US"/>
        </w:rPr>
        <w:t>to wom</w:t>
      </w:r>
      <w:r w:rsidR="005D35B0">
        <w:rPr>
          <w:lang w:val="en-US"/>
        </w:rPr>
        <w:t xml:space="preserve">en’s </w:t>
      </w:r>
      <w:proofErr w:type="spellStart"/>
      <w:r w:rsidR="005D35B0">
        <w:rPr>
          <w:lang w:val="en-US"/>
        </w:rPr>
        <w:t>labour</w:t>
      </w:r>
      <w:proofErr w:type="spellEnd"/>
      <w:r w:rsidR="005D35B0">
        <w:rPr>
          <w:lang w:val="en-US"/>
        </w:rPr>
        <w:t xml:space="preserve"> rights. Article 4, paragraph 3,</w:t>
      </w:r>
      <w:r w:rsidR="00C735CA">
        <w:rPr>
          <w:lang w:val="en-US"/>
        </w:rPr>
        <w:t xml:space="preserve"> aims to guarantee that female workers get equal pay for work of equal value. Article 8’s heading refers to the right of employed women to protection. Its first three paragraphs are concerned with the protection of pregnant wo</w:t>
      </w:r>
      <w:r w:rsidR="00C10009">
        <w:rPr>
          <w:lang w:val="en-US"/>
        </w:rPr>
        <w:t xml:space="preserve">rkers and women who have recently given birth. The fourth paragraph of article 8 was no doubt inspired by </w:t>
      </w:r>
      <w:r w:rsidR="00EB6806">
        <w:rPr>
          <w:lang w:val="en-US"/>
        </w:rPr>
        <w:t xml:space="preserve">the </w:t>
      </w:r>
      <w:r w:rsidR="00C10009">
        <w:rPr>
          <w:lang w:val="en-US"/>
        </w:rPr>
        <w:t>early i</w:t>
      </w:r>
      <w:r w:rsidR="00F05CE7">
        <w:rPr>
          <w:lang w:val="en-US"/>
        </w:rPr>
        <w:t>ntrusive ILO conventions (</w:t>
      </w:r>
      <w:r w:rsidR="00F05CE7">
        <w:rPr>
          <w:i/>
          <w:lang w:val="en-US"/>
        </w:rPr>
        <w:t>supra no. 32</w:t>
      </w:r>
      <w:r w:rsidR="00C10009">
        <w:rPr>
          <w:lang w:val="en-US"/>
        </w:rPr>
        <w:t>)</w:t>
      </w:r>
      <w:r w:rsidR="00F05CE7">
        <w:rPr>
          <w:lang w:val="en-US"/>
        </w:rPr>
        <w:t xml:space="preserve"> </w:t>
      </w:r>
      <w:r w:rsidR="00454139">
        <w:rPr>
          <w:rStyle w:val="Voetnootmarkering"/>
          <w:lang w:val="en-US"/>
        </w:rPr>
        <w:footnoteReference w:id="223"/>
      </w:r>
      <w:r w:rsidR="00AE2AB5">
        <w:rPr>
          <w:lang w:val="en-US"/>
        </w:rPr>
        <w:t>. In broad terms, it excludes women from night work and other</w:t>
      </w:r>
      <w:r w:rsidR="00210D3B">
        <w:rPr>
          <w:lang w:val="en-US"/>
        </w:rPr>
        <w:t xml:space="preserve"> </w:t>
      </w:r>
      <w:r w:rsidR="00AE2AB5">
        <w:rPr>
          <w:lang w:val="en-US"/>
        </w:rPr>
        <w:t>work which is ‘unsuitable for them by reasons of its dangerous, unhealthy or arduous nature’.</w:t>
      </w:r>
      <w:r w:rsidR="008C1048">
        <w:rPr>
          <w:lang w:val="en-US"/>
        </w:rPr>
        <w:t xml:space="preserve"> During the drafting of the Charter, Scandinavian representatives nevertheless expressed to no avail that they disagreed with the inclusion of the fourth paragraph of article 8</w:t>
      </w:r>
      <w:r w:rsidR="003B7E4B">
        <w:rPr>
          <w:rStyle w:val="Voetnootmarkering"/>
          <w:lang w:val="en-US"/>
        </w:rPr>
        <w:footnoteReference w:id="224"/>
      </w:r>
      <w:r w:rsidR="008C1048">
        <w:rPr>
          <w:lang w:val="en-US"/>
        </w:rPr>
        <w:t xml:space="preserve">. </w:t>
      </w:r>
      <w:r w:rsidR="00454139">
        <w:rPr>
          <w:lang w:val="en-US"/>
        </w:rPr>
        <w:t xml:space="preserve">After some time, the European Committee of Social Rights </w:t>
      </w:r>
      <w:r w:rsidR="000A3903">
        <w:rPr>
          <w:lang w:val="en-US"/>
        </w:rPr>
        <w:t>also began to interpret article 1 on the right to work and article 16 on the right of the</w:t>
      </w:r>
      <w:r w:rsidR="009B5736">
        <w:rPr>
          <w:lang w:val="en-US"/>
        </w:rPr>
        <w:t xml:space="preserve"> family to </w:t>
      </w:r>
      <w:r w:rsidR="009B5736">
        <w:rPr>
          <w:lang w:val="en-US"/>
        </w:rPr>
        <w:lastRenderedPageBreak/>
        <w:t>protection in a manner which is beneficial for</w:t>
      </w:r>
      <w:r w:rsidR="000A3903">
        <w:rPr>
          <w:lang w:val="en-US"/>
        </w:rPr>
        <w:t xml:space="preserve"> female workers</w:t>
      </w:r>
      <w:r w:rsidR="00EA61F3">
        <w:rPr>
          <w:rStyle w:val="Voetnootmarkering"/>
          <w:lang w:val="en-US"/>
        </w:rPr>
        <w:footnoteReference w:id="225"/>
      </w:r>
      <w:r w:rsidR="000A3903">
        <w:rPr>
          <w:lang w:val="en-US"/>
        </w:rPr>
        <w:t xml:space="preserve">. </w:t>
      </w:r>
      <w:r w:rsidR="002E7066">
        <w:rPr>
          <w:lang w:val="en-US"/>
        </w:rPr>
        <w:t>The Revised European Social Charter is more promising from a feminist perspective.</w:t>
      </w:r>
      <w:r w:rsidR="00A00798">
        <w:rPr>
          <w:lang w:val="en-US"/>
        </w:rPr>
        <w:t xml:space="preserve"> The explanatory report to the Revised </w:t>
      </w:r>
      <w:r w:rsidR="0054608A">
        <w:rPr>
          <w:lang w:val="en-US"/>
        </w:rPr>
        <w:t>Charter explains that all amend</w:t>
      </w:r>
      <w:r w:rsidR="00A00798">
        <w:rPr>
          <w:lang w:val="en-US"/>
        </w:rPr>
        <w:t>ments were made bearing in mind the need to ensure equal treatment of men and women</w:t>
      </w:r>
      <w:r w:rsidR="00A00798">
        <w:rPr>
          <w:rStyle w:val="Voetnootmarkering"/>
          <w:lang w:val="en-US"/>
        </w:rPr>
        <w:footnoteReference w:id="226"/>
      </w:r>
      <w:r w:rsidR="00A00798">
        <w:rPr>
          <w:lang w:val="en-US"/>
        </w:rPr>
        <w:t>.</w:t>
      </w:r>
      <w:r w:rsidR="00EA61F3">
        <w:rPr>
          <w:lang w:val="en-US"/>
        </w:rPr>
        <w:t xml:space="preserve"> With article E of the Revised Charter, a general prohibition on the basis of sex was introduced.</w:t>
      </w:r>
      <w:r w:rsidR="00850569">
        <w:rPr>
          <w:lang w:val="en-US"/>
        </w:rPr>
        <w:t xml:space="preserve"> Article 8 was re-written and now only excludes pregnant women from dangerous, unhealthy or arduous work. </w:t>
      </w:r>
      <w:r w:rsidR="008A48C4">
        <w:rPr>
          <w:lang w:val="en-US"/>
        </w:rPr>
        <w:t>New article 20 on the right to equal treatment in matters of employment and occupation without discrimination on the grounds of sex reacts against practices which disadvantage women in access to employment, dismissal</w:t>
      </w:r>
      <w:r w:rsidR="009E5374">
        <w:rPr>
          <w:lang w:val="en-US"/>
        </w:rPr>
        <w:t xml:space="preserve"> arrangements</w:t>
      </w:r>
      <w:r w:rsidR="008A48C4">
        <w:rPr>
          <w:lang w:val="en-US"/>
        </w:rPr>
        <w:t>, working conditions, training and promotion.</w:t>
      </w:r>
      <w:r w:rsidR="00F3537D">
        <w:rPr>
          <w:lang w:val="en-US"/>
        </w:rPr>
        <w:t xml:space="preserve"> New article 26 pays </w:t>
      </w:r>
      <w:r w:rsidR="002D55F4">
        <w:rPr>
          <w:lang w:val="en-US"/>
        </w:rPr>
        <w:t xml:space="preserve">attention to sexual harassment. </w:t>
      </w:r>
      <w:r w:rsidR="00F3537D">
        <w:rPr>
          <w:lang w:val="en-US"/>
        </w:rPr>
        <w:t>And finally, article 27 provides workers with f</w:t>
      </w:r>
      <w:r w:rsidR="00755D92">
        <w:rPr>
          <w:lang w:val="en-US"/>
        </w:rPr>
        <w:t xml:space="preserve">amily responsibilities - mainly women - </w:t>
      </w:r>
      <w:r w:rsidR="00F3537D">
        <w:rPr>
          <w:lang w:val="en-US"/>
        </w:rPr>
        <w:t xml:space="preserve">with a right to equal opportunities. </w:t>
      </w:r>
      <w:r w:rsidR="008A48C4">
        <w:rPr>
          <w:lang w:val="en-US"/>
        </w:rPr>
        <w:t xml:space="preserve">  </w:t>
      </w:r>
      <w:r w:rsidR="00EA61F3">
        <w:rPr>
          <w:lang w:val="en-US"/>
        </w:rPr>
        <w:t xml:space="preserve"> </w:t>
      </w:r>
      <w:r w:rsidR="00A00798">
        <w:rPr>
          <w:lang w:val="en-US"/>
        </w:rPr>
        <w:t xml:space="preserve"> </w:t>
      </w:r>
    </w:p>
    <w:p w:rsidR="006D5D77" w:rsidRDefault="006D5D77" w:rsidP="00687D8A">
      <w:pPr>
        <w:spacing w:line="360" w:lineRule="auto"/>
        <w:jc w:val="both"/>
        <w:rPr>
          <w:b/>
          <w:u w:val="single"/>
          <w:lang w:val="en-US"/>
        </w:rPr>
      </w:pPr>
    </w:p>
    <w:p w:rsidR="006D5D77" w:rsidRDefault="006D5D77" w:rsidP="00687D8A">
      <w:pPr>
        <w:spacing w:line="360" w:lineRule="auto"/>
        <w:jc w:val="both"/>
        <w:rPr>
          <w:b/>
          <w:u w:val="single"/>
          <w:lang w:val="en-US"/>
        </w:rPr>
      </w:pPr>
    </w:p>
    <w:p w:rsidR="006D5D77" w:rsidRDefault="006D5D77" w:rsidP="00687D8A">
      <w:pPr>
        <w:spacing w:line="360" w:lineRule="auto"/>
        <w:jc w:val="both"/>
        <w:rPr>
          <w:b/>
          <w:u w:val="single"/>
          <w:lang w:val="en-US"/>
        </w:rPr>
      </w:pPr>
    </w:p>
    <w:p w:rsidR="00B22FC0" w:rsidRDefault="00B22FC0" w:rsidP="00687D8A">
      <w:pPr>
        <w:spacing w:line="360" w:lineRule="auto"/>
        <w:jc w:val="both"/>
        <w:rPr>
          <w:b/>
          <w:u w:val="single"/>
          <w:lang w:val="en-US"/>
        </w:rPr>
      </w:pPr>
    </w:p>
    <w:p w:rsidR="008A75C8" w:rsidRDefault="008A75C8" w:rsidP="00687D8A">
      <w:pPr>
        <w:spacing w:line="360" w:lineRule="auto"/>
        <w:jc w:val="both"/>
        <w:rPr>
          <w:b/>
          <w:u w:val="single"/>
          <w:lang w:val="en-US"/>
        </w:rPr>
      </w:pPr>
    </w:p>
    <w:p w:rsidR="008A75C8" w:rsidRDefault="008A75C8" w:rsidP="00687D8A">
      <w:pPr>
        <w:spacing w:line="360" w:lineRule="auto"/>
        <w:jc w:val="both"/>
        <w:rPr>
          <w:b/>
          <w:u w:val="single"/>
          <w:lang w:val="en-US"/>
        </w:rPr>
      </w:pPr>
    </w:p>
    <w:p w:rsidR="008A75C8" w:rsidRDefault="008A75C8" w:rsidP="00687D8A">
      <w:pPr>
        <w:spacing w:line="360" w:lineRule="auto"/>
        <w:jc w:val="both"/>
        <w:rPr>
          <w:b/>
          <w:u w:val="single"/>
          <w:lang w:val="en-US"/>
        </w:rPr>
      </w:pPr>
    </w:p>
    <w:p w:rsidR="008A75C8" w:rsidRDefault="008A75C8" w:rsidP="00687D8A">
      <w:pPr>
        <w:spacing w:line="360" w:lineRule="auto"/>
        <w:jc w:val="both"/>
        <w:rPr>
          <w:b/>
          <w:u w:val="single"/>
          <w:lang w:val="en-US"/>
        </w:rPr>
      </w:pPr>
    </w:p>
    <w:p w:rsidR="008A75C8" w:rsidRDefault="008A75C8" w:rsidP="00687D8A">
      <w:pPr>
        <w:spacing w:line="360" w:lineRule="auto"/>
        <w:jc w:val="both"/>
        <w:rPr>
          <w:b/>
          <w:u w:val="single"/>
          <w:lang w:val="en-US"/>
        </w:rPr>
      </w:pPr>
    </w:p>
    <w:p w:rsidR="008A75C8" w:rsidRDefault="008A75C8" w:rsidP="00687D8A">
      <w:pPr>
        <w:spacing w:line="360" w:lineRule="auto"/>
        <w:jc w:val="both"/>
        <w:rPr>
          <w:b/>
          <w:u w:val="single"/>
          <w:lang w:val="en-US"/>
        </w:rPr>
      </w:pPr>
    </w:p>
    <w:p w:rsidR="008A75C8" w:rsidRDefault="008A75C8" w:rsidP="00687D8A">
      <w:pPr>
        <w:spacing w:line="360" w:lineRule="auto"/>
        <w:jc w:val="both"/>
        <w:rPr>
          <w:b/>
          <w:u w:val="single"/>
          <w:lang w:val="en-US"/>
        </w:rPr>
      </w:pPr>
    </w:p>
    <w:p w:rsidR="008C586B" w:rsidRDefault="008C586B" w:rsidP="00687D8A">
      <w:pPr>
        <w:spacing w:line="360" w:lineRule="auto"/>
        <w:jc w:val="both"/>
        <w:rPr>
          <w:b/>
          <w:u w:val="single"/>
          <w:lang w:val="en-US"/>
        </w:rPr>
      </w:pPr>
    </w:p>
    <w:p w:rsidR="00954F9F" w:rsidRDefault="00954F9F" w:rsidP="00687D8A">
      <w:pPr>
        <w:spacing w:line="360" w:lineRule="auto"/>
        <w:jc w:val="both"/>
        <w:rPr>
          <w:b/>
          <w:u w:val="single"/>
          <w:lang w:val="en-US"/>
        </w:rPr>
      </w:pPr>
    </w:p>
    <w:p w:rsidR="00552865" w:rsidRPr="00552865" w:rsidRDefault="0091217E" w:rsidP="00687D8A">
      <w:pPr>
        <w:spacing w:line="360" w:lineRule="auto"/>
        <w:jc w:val="both"/>
        <w:rPr>
          <w:b/>
          <w:u w:val="single"/>
          <w:lang w:val="en-US"/>
        </w:rPr>
      </w:pPr>
      <w:r>
        <w:rPr>
          <w:b/>
          <w:u w:val="single"/>
          <w:lang w:val="en-US"/>
        </w:rPr>
        <w:lastRenderedPageBreak/>
        <w:t xml:space="preserve">Chapter II. The European Union </w:t>
      </w:r>
    </w:p>
    <w:p w:rsidR="00552865" w:rsidRPr="00552865" w:rsidRDefault="00552865" w:rsidP="00687D8A">
      <w:pPr>
        <w:spacing w:line="360" w:lineRule="auto"/>
        <w:jc w:val="both"/>
        <w:rPr>
          <w:u w:val="single"/>
          <w:lang w:val="en-US"/>
        </w:rPr>
      </w:pPr>
      <w:r w:rsidRPr="00552865">
        <w:rPr>
          <w:u w:val="single"/>
          <w:lang w:val="en-US"/>
        </w:rPr>
        <w:t>Section I. The EU and Social Rights: Elusive or Crystal Clear?</w:t>
      </w:r>
    </w:p>
    <w:p w:rsidR="00552865" w:rsidRPr="00552865" w:rsidRDefault="00552865" w:rsidP="00687D8A">
      <w:pPr>
        <w:spacing w:line="360" w:lineRule="auto"/>
        <w:jc w:val="both"/>
        <w:rPr>
          <w:lang w:val="en-US"/>
        </w:rPr>
      </w:pPr>
      <w:r w:rsidRPr="00552865">
        <w:rPr>
          <w:i/>
          <w:lang w:val="en-US"/>
        </w:rPr>
        <w:t>36.</w:t>
      </w:r>
      <w:r w:rsidRPr="00552865">
        <w:rPr>
          <w:lang w:val="en-US"/>
        </w:rPr>
        <w:t xml:space="preserve"> Commenting on the relationship between the European Union and social rights is rather a complex task. EU intervention in the social sphere is not clearly</w:t>
      </w:r>
      <w:r w:rsidR="00A52612">
        <w:rPr>
          <w:lang w:val="en-US"/>
        </w:rPr>
        <w:t xml:space="preserve"> a</w:t>
      </w:r>
      <w:r w:rsidRPr="00552865">
        <w:rPr>
          <w:lang w:val="en-US"/>
        </w:rPr>
        <w:t xml:space="preserve"> black or white</w:t>
      </w:r>
      <w:r w:rsidR="00A52612">
        <w:rPr>
          <w:lang w:val="en-US"/>
        </w:rPr>
        <w:t xml:space="preserve"> matter</w:t>
      </w:r>
      <w:r w:rsidRPr="00552865">
        <w:rPr>
          <w:lang w:val="en-US"/>
        </w:rPr>
        <w:t>. Scholarly opinions diverge considerably as to the necessity of EU intervention, its exact role and the results achieved in the social sphere</w:t>
      </w:r>
      <w:r w:rsidRPr="00552865">
        <w:rPr>
          <w:vertAlign w:val="superscript"/>
          <w:lang w:val="en-US"/>
        </w:rPr>
        <w:footnoteReference w:id="227"/>
      </w:r>
      <w:r w:rsidRPr="00552865">
        <w:rPr>
          <w:lang w:val="en-US"/>
        </w:rPr>
        <w:t xml:space="preserve">. Paragraph 1 below briefly looks at social measures taken by the EU outside the human rights framework. Paragraph 2 on the contrary, departs from a human rights perspective. The same two-tiered exercise is repeated in the context of </w:t>
      </w:r>
      <w:proofErr w:type="spellStart"/>
      <w:r w:rsidRPr="00552865">
        <w:rPr>
          <w:lang w:val="en-US"/>
        </w:rPr>
        <w:t>labour</w:t>
      </w:r>
      <w:proofErr w:type="spellEnd"/>
      <w:r w:rsidRPr="00552865">
        <w:rPr>
          <w:lang w:val="en-US"/>
        </w:rPr>
        <w:t xml:space="preserve"> law and employment rights. </w:t>
      </w:r>
    </w:p>
    <w:p w:rsidR="00552865" w:rsidRPr="00552865" w:rsidRDefault="00552865" w:rsidP="00687D8A">
      <w:pPr>
        <w:spacing w:line="360" w:lineRule="auto"/>
        <w:jc w:val="both"/>
        <w:rPr>
          <w:lang w:val="en-US"/>
        </w:rPr>
      </w:pPr>
      <w:r w:rsidRPr="00552865">
        <w:rPr>
          <w:lang w:val="en-US"/>
        </w:rPr>
        <w:t>§1. The EU’s Social Policy</w:t>
      </w:r>
    </w:p>
    <w:p w:rsidR="00552865" w:rsidRPr="00552865" w:rsidRDefault="00552865" w:rsidP="00687D8A">
      <w:pPr>
        <w:spacing w:line="360" w:lineRule="auto"/>
        <w:jc w:val="both"/>
        <w:rPr>
          <w:lang w:val="en-US"/>
        </w:rPr>
      </w:pPr>
      <w:r w:rsidRPr="00552865">
        <w:rPr>
          <w:i/>
          <w:lang w:val="en-US"/>
        </w:rPr>
        <w:t xml:space="preserve">37. </w:t>
      </w:r>
      <w:r w:rsidRPr="00552865">
        <w:rPr>
          <w:lang w:val="en-US"/>
        </w:rPr>
        <w:t>There is general agreement on the fact that an ‘EU social policy’ exists</w:t>
      </w:r>
      <w:r w:rsidRPr="00552865">
        <w:rPr>
          <w:vertAlign w:val="superscript"/>
          <w:lang w:val="en-US"/>
        </w:rPr>
        <w:footnoteReference w:id="228"/>
      </w:r>
      <w:r w:rsidRPr="00552865">
        <w:rPr>
          <w:lang w:val="en-US"/>
        </w:rPr>
        <w:t>. It is however less clear what it exactly comprises. In one book, a social policy is compared to an elephant. You recognize it when you see it but it is notoriously difficult to describe</w:t>
      </w:r>
      <w:r w:rsidRPr="00552865">
        <w:rPr>
          <w:vertAlign w:val="superscript"/>
          <w:lang w:val="en-US"/>
        </w:rPr>
        <w:footnoteReference w:id="229"/>
      </w:r>
      <w:r w:rsidRPr="00552865">
        <w:rPr>
          <w:lang w:val="en-US"/>
        </w:rPr>
        <w:t xml:space="preserve">. It is submitted that it is indeed difficult to adequately define ‘social policy’. In this thesis, ‘social policy’ is understood to include the netting of rules, measures and </w:t>
      </w:r>
      <w:proofErr w:type="spellStart"/>
      <w:r w:rsidRPr="00552865">
        <w:rPr>
          <w:lang w:val="en-US"/>
        </w:rPr>
        <w:t>programmes</w:t>
      </w:r>
      <w:proofErr w:type="spellEnd"/>
      <w:r w:rsidRPr="00552865">
        <w:rPr>
          <w:lang w:val="en-US"/>
        </w:rPr>
        <w:t xml:space="preserve"> dealing with social security, employment, equality, poverty, health and education. Typically, nation states stand guard over rules dealing with poverty, health, educati</w:t>
      </w:r>
      <w:r w:rsidR="00C85143">
        <w:rPr>
          <w:lang w:val="en-US"/>
        </w:rPr>
        <w:t>on and so forth. Hence it is not</w:t>
      </w:r>
      <w:r w:rsidRPr="00552865">
        <w:rPr>
          <w:lang w:val="en-US"/>
        </w:rPr>
        <w:t xml:space="preserve"> surprising that the transfer of social policy competences to the EU has not always been received with open arms by the member states</w:t>
      </w:r>
      <w:r w:rsidRPr="00552865">
        <w:rPr>
          <w:vertAlign w:val="superscript"/>
          <w:lang w:val="en-US"/>
        </w:rPr>
        <w:footnoteReference w:id="230"/>
      </w:r>
      <w:r w:rsidRPr="00552865">
        <w:rPr>
          <w:lang w:val="en-US"/>
        </w:rPr>
        <w:t>.</w:t>
      </w:r>
    </w:p>
    <w:p w:rsidR="00C60036" w:rsidRDefault="00552865" w:rsidP="00687D8A">
      <w:pPr>
        <w:spacing w:line="360" w:lineRule="auto"/>
        <w:jc w:val="both"/>
        <w:rPr>
          <w:lang w:val="en-US"/>
        </w:rPr>
      </w:pPr>
      <w:r w:rsidRPr="00552865">
        <w:rPr>
          <w:i/>
          <w:lang w:val="en-US"/>
        </w:rPr>
        <w:t>38.</w:t>
      </w:r>
      <w:r w:rsidRPr="00552865">
        <w:rPr>
          <w:lang w:val="en-US"/>
        </w:rPr>
        <w:t xml:space="preserve"> Various provisions of primary EU law served as a legal basis for the adoption of social measures. The articles on the free movement of workers</w:t>
      </w:r>
      <w:r w:rsidRPr="00552865">
        <w:rPr>
          <w:vertAlign w:val="superscript"/>
          <w:lang w:val="en-US"/>
        </w:rPr>
        <w:footnoteReference w:id="231"/>
      </w:r>
      <w:r w:rsidRPr="00552865">
        <w:rPr>
          <w:lang w:val="en-US"/>
        </w:rPr>
        <w:t xml:space="preserve"> and self-employed</w:t>
      </w:r>
      <w:r w:rsidRPr="00552865">
        <w:rPr>
          <w:vertAlign w:val="superscript"/>
          <w:lang w:val="en-US"/>
        </w:rPr>
        <w:footnoteReference w:id="232"/>
      </w:r>
      <w:r w:rsidRPr="00552865">
        <w:rPr>
          <w:lang w:val="en-US"/>
        </w:rPr>
        <w:t xml:space="preserve"> provide a first example. The EU’s Common Market is characterized by the so-called ‘four freedoms’, </w:t>
      </w:r>
      <w:r w:rsidRPr="00552865">
        <w:rPr>
          <w:lang w:val="en-US"/>
        </w:rPr>
        <w:lastRenderedPageBreak/>
        <w:t>including free movement of services, capital, goods and the economically active persons</w:t>
      </w:r>
      <w:r w:rsidRPr="00552865">
        <w:rPr>
          <w:vertAlign w:val="superscript"/>
          <w:lang w:val="en-US"/>
        </w:rPr>
        <w:footnoteReference w:id="233"/>
      </w:r>
      <w:r w:rsidRPr="00552865">
        <w:rPr>
          <w:lang w:val="en-US"/>
        </w:rPr>
        <w:t>. Inadequate social protection would hinder the movement of the latter. In order to avoid such a hindrance, several regulations were enacted to guarantee the mobile workers</w:t>
      </w:r>
      <w:r w:rsidR="003740E8">
        <w:rPr>
          <w:lang w:val="en-US"/>
        </w:rPr>
        <w:t>’</w:t>
      </w:r>
      <w:r w:rsidRPr="00552865">
        <w:rPr>
          <w:lang w:val="en-US"/>
        </w:rPr>
        <w:t xml:space="preserve"> adequate social security entitlements</w:t>
      </w:r>
      <w:r w:rsidRPr="00552865">
        <w:rPr>
          <w:vertAlign w:val="superscript"/>
          <w:lang w:val="en-US"/>
        </w:rPr>
        <w:footnoteReference w:id="234"/>
      </w:r>
      <w:r w:rsidRPr="00552865">
        <w:rPr>
          <w:lang w:val="en-US"/>
        </w:rPr>
        <w:t>. The European Court of Justice then again relied on the rules on the free movement of services when deciding on issues related to health care provision</w:t>
      </w:r>
      <w:r w:rsidRPr="00552865">
        <w:rPr>
          <w:vertAlign w:val="superscript"/>
          <w:lang w:val="en-US"/>
        </w:rPr>
        <w:footnoteReference w:id="235"/>
      </w:r>
      <w:r w:rsidRPr="00552865">
        <w:rPr>
          <w:lang w:val="en-US"/>
        </w:rPr>
        <w:t>. A second legal base can be found in the Treaty on the Establishment of the European Economic Community. The latter already included a chapter on ‘Social Provisions’</w:t>
      </w:r>
      <w:r w:rsidRPr="00552865">
        <w:rPr>
          <w:vertAlign w:val="superscript"/>
          <w:lang w:val="en-US"/>
        </w:rPr>
        <w:footnoteReference w:id="236"/>
      </w:r>
      <w:r w:rsidRPr="00552865">
        <w:rPr>
          <w:lang w:val="en-US"/>
        </w:rPr>
        <w:t>. The chapter was inserted in the Treaty because some of the participating states feared the phenomenon of social dumping</w:t>
      </w:r>
      <w:r w:rsidRPr="00552865">
        <w:rPr>
          <w:vertAlign w:val="superscript"/>
          <w:lang w:val="en-US"/>
        </w:rPr>
        <w:footnoteReference w:id="237"/>
      </w:r>
      <w:r w:rsidRPr="00552865">
        <w:rPr>
          <w:lang w:val="en-US"/>
        </w:rPr>
        <w:t xml:space="preserve"> (</w:t>
      </w:r>
      <w:r w:rsidRPr="00552865">
        <w:rPr>
          <w:i/>
          <w:lang w:val="en-US"/>
        </w:rPr>
        <w:t>supra no. 5)</w:t>
      </w:r>
      <w:r w:rsidRPr="00552865">
        <w:rPr>
          <w:lang w:val="en-US"/>
        </w:rPr>
        <w:t>. During the first two decades of European integration, the chapter’s only important article was article 119 on the principle of equal pay for women and men. The other social policy provisions were too vague and did not transfer any specific competence to the Community institutions</w:t>
      </w:r>
      <w:r w:rsidRPr="00552865">
        <w:rPr>
          <w:vertAlign w:val="superscript"/>
          <w:lang w:val="en-US"/>
        </w:rPr>
        <w:footnoteReference w:id="238"/>
      </w:r>
      <w:r w:rsidRPr="00552865">
        <w:rPr>
          <w:lang w:val="en-US"/>
        </w:rPr>
        <w:t>. Subsequent treaty changes increased the relevance of the provisions in the social policy chapter. Today, they explicitly refer to the European Social Charter and the 1989 Community Charter (</w:t>
      </w:r>
      <w:r w:rsidRPr="00552865">
        <w:rPr>
          <w:i/>
          <w:lang w:val="en-US"/>
        </w:rPr>
        <w:t>infra no. 40</w:t>
      </w:r>
      <w:r w:rsidRPr="00552865">
        <w:rPr>
          <w:lang w:val="en-US"/>
        </w:rPr>
        <w:t>)</w:t>
      </w:r>
      <w:r w:rsidRPr="00552865">
        <w:rPr>
          <w:vertAlign w:val="superscript"/>
          <w:lang w:val="en-US"/>
        </w:rPr>
        <w:footnoteReference w:id="239"/>
      </w:r>
      <w:r w:rsidRPr="00552865">
        <w:rPr>
          <w:lang w:val="en-US"/>
        </w:rPr>
        <w:t>. The role of the social partners is promoted at EU level</w:t>
      </w:r>
      <w:r w:rsidRPr="00552865">
        <w:rPr>
          <w:vertAlign w:val="superscript"/>
          <w:lang w:val="en-US"/>
        </w:rPr>
        <w:footnoteReference w:id="240"/>
      </w:r>
      <w:r w:rsidRPr="00552865">
        <w:rPr>
          <w:lang w:val="en-US"/>
        </w:rPr>
        <w:t>. Another article allows for the adoption of directives on several work related issues</w:t>
      </w:r>
      <w:r w:rsidRPr="00552865">
        <w:rPr>
          <w:vertAlign w:val="superscript"/>
          <w:lang w:val="en-US"/>
        </w:rPr>
        <w:footnoteReference w:id="241"/>
      </w:r>
      <w:r w:rsidRPr="00552865">
        <w:rPr>
          <w:lang w:val="en-US"/>
        </w:rPr>
        <w:t xml:space="preserve">. Non-legally binding EU </w:t>
      </w:r>
      <w:proofErr w:type="spellStart"/>
      <w:r w:rsidRPr="00552865">
        <w:rPr>
          <w:lang w:val="en-US"/>
        </w:rPr>
        <w:t>programmes</w:t>
      </w:r>
      <w:proofErr w:type="spellEnd"/>
      <w:r w:rsidRPr="00552865">
        <w:rPr>
          <w:lang w:val="en-US"/>
        </w:rPr>
        <w:t xml:space="preserve"> can be drafted in the context of social exclusion and the modernization of social protection systems</w:t>
      </w:r>
      <w:r w:rsidRPr="00552865">
        <w:rPr>
          <w:vertAlign w:val="superscript"/>
          <w:lang w:val="en-US"/>
        </w:rPr>
        <w:footnoteReference w:id="242"/>
      </w:r>
      <w:r w:rsidRPr="00552865">
        <w:rPr>
          <w:lang w:val="en-US"/>
        </w:rPr>
        <w:t>. The EU also received confined competences in the field of education and public health</w:t>
      </w:r>
      <w:r w:rsidRPr="00552865">
        <w:rPr>
          <w:vertAlign w:val="superscript"/>
          <w:lang w:val="en-US"/>
        </w:rPr>
        <w:footnoteReference w:id="243"/>
      </w:r>
      <w:r w:rsidRPr="00552865">
        <w:rPr>
          <w:lang w:val="en-US"/>
        </w:rPr>
        <w:t xml:space="preserve">.  </w:t>
      </w:r>
    </w:p>
    <w:p w:rsidR="00D663E0" w:rsidRDefault="00D663E0" w:rsidP="00687D8A">
      <w:pPr>
        <w:spacing w:line="360" w:lineRule="auto"/>
        <w:jc w:val="both"/>
        <w:rPr>
          <w:lang w:val="en-US"/>
        </w:rPr>
      </w:pPr>
    </w:p>
    <w:p w:rsidR="00D663E0" w:rsidRDefault="00D663E0" w:rsidP="00687D8A">
      <w:pPr>
        <w:spacing w:line="360" w:lineRule="auto"/>
        <w:jc w:val="both"/>
        <w:rPr>
          <w:lang w:val="en-US"/>
        </w:rPr>
      </w:pPr>
    </w:p>
    <w:p w:rsidR="00552865" w:rsidRPr="00552865" w:rsidRDefault="00552865" w:rsidP="00687D8A">
      <w:pPr>
        <w:spacing w:line="360" w:lineRule="auto"/>
        <w:jc w:val="both"/>
        <w:rPr>
          <w:lang w:val="en-US"/>
        </w:rPr>
      </w:pPr>
      <w:r w:rsidRPr="00552865">
        <w:rPr>
          <w:lang w:val="en-US"/>
        </w:rPr>
        <w:lastRenderedPageBreak/>
        <w:t>§2. Social Rights in the European Union</w:t>
      </w:r>
    </w:p>
    <w:p w:rsidR="00552865" w:rsidRPr="00552865" w:rsidRDefault="00552865" w:rsidP="00687D8A">
      <w:pPr>
        <w:spacing w:line="360" w:lineRule="auto"/>
        <w:jc w:val="both"/>
        <w:rPr>
          <w:lang w:val="en-US"/>
        </w:rPr>
      </w:pPr>
      <w:r w:rsidRPr="00552865">
        <w:rPr>
          <w:i/>
          <w:lang w:val="en-US"/>
        </w:rPr>
        <w:t>39.</w:t>
      </w:r>
      <w:r w:rsidRPr="00552865">
        <w:rPr>
          <w:lang w:val="en-US"/>
        </w:rPr>
        <w:t xml:space="preserve"> The EU Charter of Fundamental Rights (</w:t>
      </w:r>
      <w:r w:rsidRPr="00552865">
        <w:rPr>
          <w:i/>
          <w:lang w:val="en-US"/>
        </w:rPr>
        <w:t>supra no. 3</w:t>
      </w:r>
      <w:r w:rsidRPr="00552865">
        <w:rPr>
          <w:lang w:val="en-US"/>
        </w:rPr>
        <w:t>) encloses several social rights</w:t>
      </w:r>
      <w:r w:rsidR="00601D80">
        <w:rPr>
          <w:lang w:val="en-US"/>
        </w:rPr>
        <w:t>. EU citizens are reminded of</w:t>
      </w:r>
      <w:r w:rsidRPr="00552865">
        <w:rPr>
          <w:lang w:val="en-US"/>
        </w:rPr>
        <w:t xml:space="preserve"> the fact that they have a right to access to health care</w:t>
      </w:r>
      <w:r w:rsidRPr="00552865">
        <w:rPr>
          <w:vertAlign w:val="superscript"/>
          <w:lang w:val="en-US"/>
        </w:rPr>
        <w:footnoteReference w:id="244"/>
      </w:r>
      <w:r w:rsidRPr="00552865">
        <w:rPr>
          <w:lang w:val="en-US"/>
        </w:rPr>
        <w:t>, a right to social security and social assistance</w:t>
      </w:r>
      <w:r w:rsidRPr="00552865">
        <w:rPr>
          <w:vertAlign w:val="superscript"/>
          <w:lang w:val="en-US"/>
        </w:rPr>
        <w:footnoteReference w:id="245"/>
      </w:r>
      <w:r w:rsidRPr="00552865">
        <w:rPr>
          <w:lang w:val="en-US"/>
        </w:rPr>
        <w:t xml:space="preserve"> and a right to education</w:t>
      </w:r>
      <w:r w:rsidRPr="00552865">
        <w:rPr>
          <w:vertAlign w:val="superscript"/>
          <w:lang w:val="en-US"/>
        </w:rPr>
        <w:footnoteReference w:id="246"/>
      </w:r>
      <w:r w:rsidRPr="00552865">
        <w:rPr>
          <w:lang w:val="en-US"/>
        </w:rPr>
        <w:t>. Their inclusion was inspired by both the European Social Charter and an additional protocol to the European Convention on Human Rights</w:t>
      </w:r>
      <w:r w:rsidRPr="00552865">
        <w:rPr>
          <w:vertAlign w:val="superscript"/>
          <w:lang w:val="en-US"/>
        </w:rPr>
        <w:footnoteReference w:id="247"/>
      </w:r>
      <w:r w:rsidRPr="00552865">
        <w:rPr>
          <w:lang w:val="en-US"/>
        </w:rPr>
        <w:t xml:space="preserve">.   </w:t>
      </w:r>
    </w:p>
    <w:p w:rsidR="00552865" w:rsidRPr="00552865" w:rsidRDefault="00552865" w:rsidP="00687D8A">
      <w:pPr>
        <w:spacing w:line="360" w:lineRule="auto"/>
        <w:jc w:val="both"/>
        <w:rPr>
          <w:lang w:val="en-US"/>
        </w:rPr>
      </w:pPr>
      <w:r w:rsidRPr="00552865">
        <w:rPr>
          <w:i/>
          <w:lang w:val="en-US"/>
        </w:rPr>
        <w:t>40.</w:t>
      </w:r>
      <w:r w:rsidRPr="00552865">
        <w:rPr>
          <w:lang w:val="en-US"/>
        </w:rPr>
        <w:t xml:space="preserve"> The adoption of the EU Charter of Fundamental Rights was actually preceded by the proclamation of another relevant instrument. In 1989 all the member states, with the exception of the United Kingdom, accepted the Community Charter of Fundamental Social Rights</w:t>
      </w:r>
      <w:r w:rsidRPr="00552865">
        <w:rPr>
          <w:vertAlign w:val="superscript"/>
          <w:lang w:val="en-US"/>
        </w:rPr>
        <w:footnoteReference w:id="248"/>
      </w:r>
      <w:r w:rsidRPr="00552865">
        <w:rPr>
          <w:lang w:val="en-US"/>
        </w:rPr>
        <w:t>. References to the ILO and the European Social Charter make clear that human rights concerns inspired its acceptance. The Community Charter’s influence nonetheless remained fairly limited because it was not assigned</w:t>
      </w:r>
      <w:r w:rsidR="00046DEF">
        <w:rPr>
          <w:lang w:val="en-US"/>
        </w:rPr>
        <w:t xml:space="preserve"> any</w:t>
      </w:r>
      <w:r w:rsidRPr="00552865">
        <w:rPr>
          <w:lang w:val="en-US"/>
        </w:rPr>
        <w:t xml:space="preserve"> legally binding value</w:t>
      </w:r>
      <w:r w:rsidRPr="00552865">
        <w:rPr>
          <w:vertAlign w:val="superscript"/>
          <w:lang w:val="en-US"/>
        </w:rPr>
        <w:footnoteReference w:id="249"/>
      </w:r>
      <w:r w:rsidRPr="00552865">
        <w:rPr>
          <w:lang w:val="en-US"/>
        </w:rPr>
        <w:t xml:space="preserve">. </w:t>
      </w:r>
    </w:p>
    <w:p w:rsidR="00552865" w:rsidRPr="00552865" w:rsidRDefault="00552865" w:rsidP="00687D8A">
      <w:pPr>
        <w:spacing w:line="360" w:lineRule="auto"/>
        <w:jc w:val="both"/>
        <w:rPr>
          <w:u w:val="single"/>
          <w:lang w:val="en-US"/>
        </w:rPr>
      </w:pPr>
      <w:r w:rsidRPr="00552865">
        <w:rPr>
          <w:u w:val="single"/>
          <w:lang w:val="en-US"/>
        </w:rPr>
        <w:t>Section II. The E</w:t>
      </w:r>
      <w:r w:rsidR="00F7369B">
        <w:rPr>
          <w:u w:val="single"/>
          <w:lang w:val="en-US"/>
        </w:rPr>
        <w:t>U</w:t>
      </w:r>
      <w:r w:rsidRPr="00552865">
        <w:rPr>
          <w:u w:val="single"/>
          <w:lang w:val="en-US"/>
        </w:rPr>
        <w:t xml:space="preserve">, Employment Law and </w:t>
      </w:r>
      <w:proofErr w:type="spellStart"/>
      <w:r w:rsidRPr="00552865">
        <w:rPr>
          <w:u w:val="single"/>
          <w:lang w:val="en-US"/>
        </w:rPr>
        <w:t>Labour</w:t>
      </w:r>
      <w:proofErr w:type="spellEnd"/>
      <w:r w:rsidRPr="00552865">
        <w:rPr>
          <w:u w:val="single"/>
          <w:lang w:val="en-US"/>
        </w:rPr>
        <w:t xml:space="preserve"> Rights </w:t>
      </w:r>
    </w:p>
    <w:p w:rsidR="00552865" w:rsidRPr="00552865" w:rsidRDefault="00552865" w:rsidP="00687D8A">
      <w:pPr>
        <w:spacing w:line="360" w:lineRule="auto"/>
        <w:jc w:val="both"/>
        <w:rPr>
          <w:lang w:val="en-US"/>
        </w:rPr>
      </w:pPr>
      <w:r w:rsidRPr="00552865">
        <w:rPr>
          <w:lang w:val="en-US"/>
        </w:rPr>
        <w:t>§1. EU Employment Law</w:t>
      </w:r>
    </w:p>
    <w:p w:rsidR="00552865" w:rsidRPr="00552865" w:rsidRDefault="00552865" w:rsidP="00687D8A">
      <w:pPr>
        <w:spacing w:line="360" w:lineRule="auto"/>
        <w:jc w:val="both"/>
        <w:rPr>
          <w:u w:val="single"/>
          <w:lang w:val="en-US"/>
        </w:rPr>
      </w:pPr>
      <w:r w:rsidRPr="00552865">
        <w:rPr>
          <w:i/>
          <w:lang w:val="en-US"/>
        </w:rPr>
        <w:t>41.</w:t>
      </w:r>
      <w:r w:rsidR="004C3FA3">
        <w:rPr>
          <w:lang w:val="en-US"/>
        </w:rPr>
        <w:t xml:space="preserve"> It is a fact </w:t>
      </w:r>
      <w:r w:rsidRPr="00552865">
        <w:rPr>
          <w:lang w:val="en-US"/>
        </w:rPr>
        <w:t>that most of the measures adopted in the EU social sphere relate to employment. Many of the articles in the social policy chapter concern worker related issues</w:t>
      </w:r>
      <w:r w:rsidRPr="00552865">
        <w:rPr>
          <w:vertAlign w:val="superscript"/>
          <w:lang w:val="en-US"/>
        </w:rPr>
        <w:footnoteReference w:id="250"/>
      </w:r>
      <w:r w:rsidR="007A7CE5">
        <w:rPr>
          <w:lang w:val="en-US"/>
        </w:rPr>
        <w:t>. As</w:t>
      </w:r>
      <w:r w:rsidRPr="00552865">
        <w:rPr>
          <w:lang w:val="en-US"/>
        </w:rPr>
        <w:t xml:space="preserve"> in the case of the general EU social policy, it has not always been easy to strike a balance between preserving a competitive market and protecting workers’ rights. It has often been argued that protective employment laws increase costs and inefficiency</w:t>
      </w:r>
      <w:r w:rsidRPr="00552865">
        <w:rPr>
          <w:vertAlign w:val="superscript"/>
          <w:lang w:val="en-US"/>
        </w:rPr>
        <w:footnoteReference w:id="251"/>
      </w:r>
      <w:r w:rsidRPr="00552865">
        <w:rPr>
          <w:lang w:val="en-US"/>
        </w:rPr>
        <w:t>.  Throughout the years, a series of relevant directives have been adopted. They have been dealing with topics such as working-time</w:t>
      </w:r>
      <w:r w:rsidRPr="00552865">
        <w:rPr>
          <w:vertAlign w:val="superscript"/>
          <w:lang w:val="en-US"/>
        </w:rPr>
        <w:footnoteReference w:id="252"/>
      </w:r>
      <w:r w:rsidRPr="00552865">
        <w:rPr>
          <w:lang w:val="en-US"/>
        </w:rPr>
        <w:t>, health and safety</w:t>
      </w:r>
      <w:r w:rsidRPr="00552865">
        <w:rPr>
          <w:vertAlign w:val="superscript"/>
          <w:lang w:val="en-US"/>
        </w:rPr>
        <w:footnoteReference w:id="253"/>
      </w:r>
      <w:r w:rsidRPr="00552865">
        <w:rPr>
          <w:lang w:val="en-US"/>
        </w:rPr>
        <w:t xml:space="preserve">, protection in case of collective </w:t>
      </w:r>
      <w:r w:rsidRPr="00552865">
        <w:rPr>
          <w:lang w:val="en-US"/>
        </w:rPr>
        <w:lastRenderedPageBreak/>
        <w:t>redundancies</w:t>
      </w:r>
      <w:r w:rsidRPr="00552865">
        <w:rPr>
          <w:vertAlign w:val="superscript"/>
          <w:lang w:val="en-US"/>
        </w:rPr>
        <w:footnoteReference w:id="254"/>
      </w:r>
      <w:r w:rsidRPr="00552865">
        <w:rPr>
          <w:lang w:val="en-US"/>
        </w:rPr>
        <w:t xml:space="preserve"> or employer’s insolvency</w:t>
      </w:r>
      <w:r w:rsidRPr="00552865">
        <w:rPr>
          <w:vertAlign w:val="superscript"/>
          <w:lang w:val="en-US"/>
        </w:rPr>
        <w:footnoteReference w:id="255"/>
      </w:r>
      <w:r w:rsidRPr="00552865">
        <w:rPr>
          <w:lang w:val="en-US"/>
        </w:rPr>
        <w:t>, protection of atypical and part-time workers</w:t>
      </w:r>
      <w:r w:rsidRPr="00552865">
        <w:rPr>
          <w:vertAlign w:val="superscript"/>
          <w:lang w:val="en-US"/>
        </w:rPr>
        <w:footnoteReference w:id="256"/>
      </w:r>
      <w:r w:rsidRPr="00552865">
        <w:rPr>
          <w:lang w:val="en-US"/>
        </w:rPr>
        <w:t>, protection of pregnant workers</w:t>
      </w:r>
      <w:r w:rsidRPr="00552865">
        <w:rPr>
          <w:vertAlign w:val="superscript"/>
          <w:lang w:val="en-US"/>
        </w:rPr>
        <w:footnoteReference w:id="257"/>
      </w:r>
      <w:r w:rsidRPr="00552865">
        <w:rPr>
          <w:lang w:val="en-US"/>
        </w:rPr>
        <w:t>, parental leave for workers</w:t>
      </w:r>
      <w:r w:rsidRPr="00552865">
        <w:rPr>
          <w:vertAlign w:val="superscript"/>
          <w:lang w:val="en-US"/>
        </w:rPr>
        <w:footnoteReference w:id="258"/>
      </w:r>
      <w:r w:rsidRPr="00552865">
        <w:rPr>
          <w:lang w:val="en-US"/>
        </w:rPr>
        <w:t xml:space="preserve"> and of course equal treatment and non-discrimination in employment</w:t>
      </w:r>
      <w:r w:rsidRPr="00552865">
        <w:rPr>
          <w:vertAlign w:val="superscript"/>
          <w:lang w:val="en-US"/>
        </w:rPr>
        <w:footnoteReference w:id="259"/>
      </w:r>
      <w:r w:rsidRPr="00552865">
        <w:rPr>
          <w:lang w:val="en-US"/>
        </w:rPr>
        <w:t xml:space="preserve"> (</w:t>
      </w:r>
      <w:r w:rsidRPr="00552865">
        <w:rPr>
          <w:i/>
          <w:lang w:val="en-US"/>
        </w:rPr>
        <w:t>supra no. 5</w:t>
      </w:r>
      <w:r w:rsidRPr="00552865">
        <w:rPr>
          <w:lang w:val="en-US"/>
        </w:rPr>
        <w:t>).</w:t>
      </w:r>
    </w:p>
    <w:p w:rsidR="00552865" w:rsidRPr="00552865" w:rsidRDefault="00552865" w:rsidP="00687D8A">
      <w:pPr>
        <w:spacing w:line="360" w:lineRule="auto"/>
        <w:jc w:val="both"/>
        <w:rPr>
          <w:lang w:val="en-US"/>
        </w:rPr>
      </w:pPr>
      <w:r w:rsidRPr="00552865">
        <w:rPr>
          <w:lang w:val="en-US"/>
        </w:rPr>
        <w:t xml:space="preserve">§2. </w:t>
      </w:r>
      <w:proofErr w:type="spellStart"/>
      <w:r w:rsidRPr="00552865">
        <w:rPr>
          <w:lang w:val="en-US"/>
        </w:rPr>
        <w:t>Labour</w:t>
      </w:r>
      <w:proofErr w:type="spellEnd"/>
      <w:r w:rsidRPr="00552865">
        <w:rPr>
          <w:lang w:val="en-US"/>
        </w:rPr>
        <w:t xml:space="preserve"> Rights in the European Union</w:t>
      </w:r>
    </w:p>
    <w:p w:rsidR="00552865" w:rsidRPr="00552865" w:rsidRDefault="00552865" w:rsidP="00687D8A">
      <w:pPr>
        <w:spacing w:line="360" w:lineRule="auto"/>
        <w:jc w:val="both"/>
        <w:rPr>
          <w:lang w:val="en-US"/>
        </w:rPr>
      </w:pPr>
      <w:r w:rsidRPr="00552865">
        <w:rPr>
          <w:i/>
          <w:lang w:val="en-US"/>
        </w:rPr>
        <w:t>42.</w:t>
      </w:r>
      <w:r w:rsidRPr="00552865">
        <w:rPr>
          <w:lang w:val="en-US"/>
        </w:rPr>
        <w:t xml:space="preserve"> The EU Charter of Fundamental Rights pays attention to both collective and individual </w:t>
      </w:r>
      <w:proofErr w:type="spellStart"/>
      <w:r w:rsidRPr="00552865">
        <w:rPr>
          <w:lang w:val="en-US"/>
        </w:rPr>
        <w:t>labour</w:t>
      </w:r>
      <w:proofErr w:type="spellEnd"/>
      <w:r w:rsidRPr="00552865">
        <w:rPr>
          <w:lang w:val="en-US"/>
        </w:rPr>
        <w:t xml:space="preserve"> rights. The latter category includes for example the right to protection in the event of unjustified dismissal</w:t>
      </w:r>
      <w:r w:rsidRPr="00552865">
        <w:rPr>
          <w:vertAlign w:val="superscript"/>
          <w:lang w:val="en-US"/>
        </w:rPr>
        <w:footnoteReference w:id="260"/>
      </w:r>
      <w:r w:rsidRPr="00552865">
        <w:rPr>
          <w:lang w:val="en-US"/>
        </w:rPr>
        <w:t xml:space="preserve"> and the right to fair and just working conditions</w:t>
      </w:r>
      <w:r w:rsidRPr="00552865">
        <w:rPr>
          <w:vertAlign w:val="superscript"/>
          <w:lang w:val="en-US"/>
        </w:rPr>
        <w:footnoteReference w:id="261"/>
      </w:r>
      <w:r w:rsidRPr="00552865">
        <w:rPr>
          <w:lang w:val="en-US"/>
        </w:rPr>
        <w:t xml:space="preserve">. All individual </w:t>
      </w:r>
      <w:proofErr w:type="spellStart"/>
      <w:r w:rsidRPr="00552865">
        <w:rPr>
          <w:lang w:val="en-US"/>
        </w:rPr>
        <w:t>labour</w:t>
      </w:r>
      <w:proofErr w:type="spellEnd"/>
      <w:r w:rsidRPr="00552865">
        <w:rPr>
          <w:lang w:val="en-US"/>
        </w:rPr>
        <w:t xml:space="preserve"> rights need to be read in conjunction with the general prohibition on discrimination in article 21 of the Charter. Also interesting for the purpose of the present text is article 33 on</w:t>
      </w:r>
      <w:r w:rsidR="00B7322D">
        <w:rPr>
          <w:lang w:val="en-US"/>
        </w:rPr>
        <w:t xml:space="preserve"> family and professional life. </w:t>
      </w:r>
      <w:r w:rsidRPr="00552865">
        <w:rPr>
          <w:lang w:val="en-US"/>
        </w:rPr>
        <w:t xml:space="preserve">It includes a right </w:t>
      </w:r>
      <w:r w:rsidR="00863D56">
        <w:rPr>
          <w:lang w:val="en-US"/>
        </w:rPr>
        <w:t>to parental leave and protects</w:t>
      </w:r>
      <w:r w:rsidR="00D867D5">
        <w:rPr>
          <w:lang w:val="en-US"/>
        </w:rPr>
        <w:t xml:space="preserve"> pregnant workers and new mothers from discrimination. </w:t>
      </w:r>
      <w:r w:rsidRPr="00552865">
        <w:rPr>
          <w:lang w:val="en-US"/>
        </w:rPr>
        <w:t xml:space="preserve"> </w:t>
      </w:r>
    </w:p>
    <w:p w:rsidR="00B77DAA" w:rsidRDefault="00B77DAA" w:rsidP="00687D8A">
      <w:pPr>
        <w:spacing w:line="360" w:lineRule="auto"/>
        <w:jc w:val="both"/>
        <w:rPr>
          <w:lang w:val="en-US"/>
        </w:rPr>
      </w:pPr>
    </w:p>
    <w:p w:rsidR="00B77DAA" w:rsidRDefault="00B77DAA" w:rsidP="00687D8A">
      <w:pPr>
        <w:spacing w:line="360" w:lineRule="auto"/>
        <w:jc w:val="both"/>
        <w:rPr>
          <w:lang w:val="en-US"/>
        </w:rPr>
      </w:pPr>
    </w:p>
    <w:p w:rsidR="008D5DA0" w:rsidRDefault="008D5DA0" w:rsidP="00687D8A">
      <w:pPr>
        <w:spacing w:line="360" w:lineRule="auto"/>
        <w:jc w:val="both"/>
        <w:rPr>
          <w:b/>
          <w:u w:val="single"/>
          <w:lang w:val="en-US"/>
        </w:rPr>
      </w:pPr>
    </w:p>
    <w:p w:rsidR="008D5DA0" w:rsidRDefault="008D5DA0" w:rsidP="00687D8A">
      <w:pPr>
        <w:spacing w:line="360" w:lineRule="auto"/>
        <w:jc w:val="both"/>
        <w:rPr>
          <w:b/>
          <w:u w:val="single"/>
          <w:lang w:val="en-US"/>
        </w:rPr>
      </w:pPr>
    </w:p>
    <w:p w:rsidR="008D5DA0" w:rsidRDefault="008D5DA0" w:rsidP="00687D8A">
      <w:pPr>
        <w:spacing w:line="360" w:lineRule="auto"/>
        <w:jc w:val="both"/>
        <w:rPr>
          <w:b/>
          <w:u w:val="single"/>
          <w:lang w:val="en-US"/>
        </w:rPr>
      </w:pPr>
    </w:p>
    <w:p w:rsidR="008D5DA0" w:rsidRDefault="008D5DA0" w:rsidP="00687D8A">
      <w:pPr>
        <w:spacing w:line="360" w:lineRule="auto"/>
        <w:jc w:val="both"/>
        <w:rPr>
          <w:b/>
          <w:u w:val="single"/>
          <w:lang w:val="en-US"/>
        </w:rPr>
      </w:pPr>
    </w:p>
    <w:p w:rsidR="008D5DA0" w:rsidRDefault="008D5DA0" w:rsidP="00687D8A">
      <w:pPr>
        <w:spacing w:line="360" w:lineRule="auto"/>
        <w:jc w:val="both"/>
        <w:rPr>
          <w:b/>
          <w:u w:val="single"/>
          <w:lang w:val="en-US"/>
        </w:rPr>
      </w:pPr>
    </w:p>
    <w:p w:rsidR="008D5DA0" w:rsidRDefault="008D5DA0" w:rsidP="00687D8A">
      <w:pPr>
        <w:spacing w:line="360" w:lineRule="auto"/>
        <w:jc w:val="both"/>
        <w:rPr>
          <w:b/>
          <w:u w:val="single"/>
          <w:lang w:val="en-US"/>
        </w:rPr>
      </w:pPr>
    </w:p>
    <w:p w:rsidR="00433B9F" w:rsidRDefault="00433B9F" w:rsidP="00687D8A">
      <w:pPr>
        <w:spacing w:line="360" w:lineRule="auto"/>
        <w:jc w:val="both"/>
        <w:rPr>
          <w:b/>
          <w:u w:val="single"/>
          <w:lang w:val="en-US"/>
        </w:rPr>
      </w:pPr>
      <w:r>
        <w:rPr>
          <w:b/>
          <w:u w:val="single"/>
          <w:lang w:val="en-US"/>
        </w:rPr>
        <w:lastRenderedPageBreak/>
        <w:t xml:space="preserve">Part III. Women’s </w:t>
      </w:r>
      <w:proofErr w:type="spellStart"/>
      <w:r>
        <w:rPr>
          <w:b/>
          <w:u w:val="single"/>
          <w:lang w:val="en-US"/>
        </w:rPr>
        <w:t>Labour</w:t>
      </w:r>
      <w:proofErr w:type="spellEnd"/>
      <w:r>
        <w:rPr>
          <w:b/>
          <w:u w:val="single"/>
          <w:lang w:val="en-US"/>
        </w:rPr>
        <w:t xml:space="preserve"> Rights: Some Key Issues</w:t>
      </w:r>
    </w:p>
    <w:p w:rsidR="00D37BB1" w:rsidRPr="00D37BB1" w:rsidRDefault="003E2B6D" w:rsidP="00687D8A">
      <w:pPr>
        <w:spacing w:line="360" w:lineRule="auto"/>
        <w:jc w:val="both"/>
        <w:rPr>
          <w:b/>
          <w:u w:val="single"/>
          <w:lang w:val="en-US"/>
        </w:rPr>
      </w:pPr>
      <w:r>
        <w:rPr>
          <w:b/>
          <w:u w:val="single"/>
          <w:lang w:val="en-US"/>
        </w:rPr>
        <w:t>Chapter I. Employment O</w:t>
      </w:r>
      <w:r w:rsidR="00D37BB1" w:rsidRPr="00D37BB1">
        <w:rPr>
          <w:b/>
          <w:u w:val="single"/>
          <w:lang w:val="en-US"/>
        </w:rPr>
        <w:t>pportunities and Fair Working Conditions</w:t>
      </w:r>
    </w:p>
    <w:p w:rsidR="00D37BB1" w:rsidRPr="00D37BB1" w:rsidRDefault="0083670A" w:rsidP="00687D8A">
      <w:pPr>
        <w:spacing w:line="360" w:lineRule="auto"/>
        <w:jc w:val="both"/>
        <w:rPr>
          <w:u w:val="single"/>
          <w:lang w:val="en-US"/>
        </w:rPr>
      </w:pPr>
      <w:r>
        <w:rPr>
          <w:u w:val="single"/>
          <w:lang w:val="en-US"/>
        </w:rPr>
        <w:t>Section I. Job O</w:t>
      </w:r>
      <w:r w:rsidR="00D37BB1" w:rsidRPr="00D37BB1">
        <w:rPr>
          <w:u w:val="single"/>
          <w:lang w:val="en-US"/>
        </w:rPr>
        <w:t>pportunities</w:t>
      </w:r>
    </w:p>
    <w:p w:rsidR="00D37BB1" w:rsidRPr="00D37BB1" w:rsidRDefault="00D37BB1" w:rsidP="00687D8A">
      <w:pPr>
        <w:spacing w:line="360" w:lineRule="auto"/>
        <w:jc w:val="both"/>
        <w:rPr>
          <w:u w:val="single"/>
          <w:lang w:val="en-US"/>
        </w:rPr>
      </w:pPr>
      <w:r w:rsidRPr="00D37BB1">
        <w:rPr>
          <w:u w:val="single"/>
          <w:lang w:val="en-US"/>
        </w:rPr>
        <w:t>Introduction</w:t>
      </w:r>
    </w:p>
    <w:p w:rsidR="008878C1" w:rsidRDefault="007B57B6" w:rsidP="00687D8A">
      <w:pPr>
        <w:spacing w:line="360" w:lineRule="auto"/>
        <w:jc w:val="both"/>
        <w:rPr>
          <w:lang w:val="en-US"/>
        </w:rPr>
      </w:pPr>
      <w:r>
        <w:rPr>
          <w:i/>
          <w:lang w:val="en-US"/>
        </w:rPr>
        <w:t>43</w:t>
      </w:r>
      <w:r w:rsidR="00822C92" w:rsidRPr="00822C92">
        <w:rPr>
          <w:i/>
          <w:lang w:val="en-US"/>
        </w:rPr>
        <w:t>.</w:t>
      </w:r>
      <w:r w:rsidR="00822C92">
        <w:rPr>
          <w:lang w:val="en-US"/>
        </w:rPr>
        <w:t xml:space="preserve"> </w:t>
      </w:r>
      <w:r w:rsidR="00D37BB1" w:rsidRPr="00D37BB1">
        <w:rPr>
          <w:lang w:val="en-US"/>
        </w:rPr>
        <w:t>Several reports produced by the European Commission indicate that sex segregation in employment persists in the EU and even increases in some of the member states</w:t>
      </w:r>
      <w:r w:rsidR="00D37BB1" w:rsidRPr="00D37BB1">
        <w:rPr>
          <w:vertAlign w:val="superscript"/>
          <w:lang w:val="en-US"/>
        </w:rPr>
        <w:footnoteReference w:id="262"/>
      </w:r>
      <w:r w:rsidR="00D37BB1" w:rsidRPr="00D37BB1">
        <w:rPr>
          <w:lang w:val="en-US"/>
        </w:rPr>
        <w:t>. By and large, two types of segregation are discerned in the literature. Vertical or hierarchical segregation, also known as the glass ceiling, is aligned with the nature of</w:t>
      </w:r>
      <w:r w:rsidR="003B0E2C">
        <w:rPr>
          <w:lang w:val="en-US"/>
        </w:rPr>
        <w:t xml:space="preserve"> a woma</w:t>
      </w:r>
      <w:r w:rsidR="00D37BB1" w:rsidRPr="00D37BB1">
        <w:rPr>
          <w:lang w:val="en-US"/>
        </w:rPr>
        <w:t>n’s career</w:t>
      </w:r>
      <w:r w:rsidR="00D37BB1" w:rsidRPr="00D37BB1">
        <w:rPr>
          <w:vertAlign w:val="superscript"/>
          <w:lang w:val="en-US"/>
        </w:rPr>
        <w:footnoteReference w:id="263"/>
      </w:r>
      <w:r w:rsidR="009101B1">
        <w:rPr>
          <w:lang w:val="en-US"/>
        </w:rPr>
        <w:t>. It means that considerably</w:t>
      </w:r>
      <w:r w:rsidR="00D37BB1" w:rsidRPr="00D37BB1">
        <w:rPr>
          <w:lang w:val="en-US"/>
        </w:rPr>
        <w:t xml:space="preserve"> more women are stuck in jobs which only entail a low level of authority and responsibility. Women are clearly under-represented at the top of the occupational pyramid</w:t>
      </w:r>
      <w:r w:rsidR="00D37BB1" w:rsidRPr="00D37BB1">
        <w:rPr>
          <w:vertAlign w:val="superscript"/>
          <w:lang w:val="en-US"/>
        </w:rPr>
        <w:footnoteReference w:id="264"/>
      </w:r>
      <w:r w:rsidR="00D37BB1" w:rsidRPr="00D37BB1">
        <w:rPr>
          <w:lang w:val="en-US"/>
        </w:rPr>
        <w:t>. The existence of this glass ceiling continues to negatively influence women’s wages (</w:t>
      </w:r>
      <w:r w:rsidR="00D37BB1" w:rsidRPr="00D37BB1">
        <w:rPr>
          <w:i/>
          <w:lang w:val="en-US"/>
        </w:rPr>
        <w:t>infra</w:t>
      </w:r>
      <w:r w:rsidR="00682B93">
        <w:rPr>
          <w:i/>
          <w:lang w:val="en-US"/>
        </w:rPr>
        <w:t xml:space="preserve"> no. 49</w:t>
      </w:r>
      <w:r w:rsidR="00D37BB1" w:rsidRPr="00D37BB1">
        <w:rPr>
          <w:lang w:val="en-US"/>
        </w:rPr>
        <w:t>), occupational credibility and their position in society at large</w:t>
      </w:r>
      <w:r w:rsidR="00D37BB1" w:rsidRPr="00D37BB1">
        <w:rPr>
          <w:vertAlign w:val="superscript"/>
          <w:lang w:val="en-US"/>
        </w:rPr>
        <w:footnoteReference w:id="265"/>
      </w:r>
      <w:r w:rsidR="00D37BB1" w:rsidRPr="00D37BB1">
        <w:rPr>
          <w:lang w:val="en-US"/>
        </w:rPr>
        <w:t>. Horizontal segregation refers to the concentration of women in other kinds of professions than men</w:t>
      </w:r>
      <w:r w:rsidR="00D37BB1" w:rsidRPr="00D37BB1">
        <w:rPr>
          <w:vertAlign w:val="superscript"/>
          <w:lang w:val="en-US"/>
        </w:rPr>
        <w:footnoteReference w:id="266"/>
      </w:r>
      <w:r w:rsidR="00D37BB1" w:rsidRPr="00D37BB1">
        <w:rPr>
          <w:lang w:val="en-US"/>
        </w:rPr>
        <w:t>. Affirmative action schemes and the measures supporting a more equal distribution of work and family responsibilities (</w:t>
      </w:r>
      <w:r w:rsidR="00D37BB1" w:rsidRPr="00D37BB1">
        <w:rPr>
          <w:i/>
          <w:lang w:val="en-US"/>
        </w:rPr>
        <w:t>infra</w:t>
      </w:r>
      <w:r w:rsidR="0048374E">
        <w:rPr>
          <w:i/>
          <w:lang w:val="en-US"/>
        </w:rPr>
        <w:t xml:space="preserve"> no. 64</w:t>
      </w:r>
      <w:r w:rsidR="00D37BB1" w:rsidRPr="00D37BB1">
        <w:rPr>
          <w:lang w:val="en-US"/>
        </w:rPr>
        <w:t>) are of particular importance in correcting sex segregation in employment</w:t>
      </w:r>
      <w:r w:rsidR="00D37BB1" w:rsidRPr="00D37BB1">
        <w:rPr>
          <w:vertAlign w:val="superscript"/>
          <w:lang w:val="en-US"/>
        </w:rPr>
        <w:footnoteReference w:id="267"/>
      </w:r>
      <w:r w:rsidR="00D37BB1" w:rsidRPr="00D37BB1">
        <w:rPr>
          <w:lang w:val="en-US"/>
        </w:rPr>
        <w:t xml:space="preserve">. </w:t>
      </w:r>
    </w:p>
    <w:p w:rsidR="003B121C" w:rsidRDefault="003B121C" w:rsidP="00687D8A">
      <w:pPr>
        <w:spacing w:line="360" w:lineRule="auto"/>
        <w:jc w:val="both"/>
        <w:rPr>
          <w:u w:val="single"/>
          <w:lang w:val="en-US"/>
        </w:rPr>
      </w:pPr>
    </w:p>
    <w:p w:rsidR="003B121C" w:rsidRDefault="003B121C" w:rsidP="00687D8A">
      <w:pPr>
        <w:spacing w:line="360" w:lineRule="auto"/>
        <w:jc w:val="both"/>
        <w:rPr>
          <w:u w:val="single"/>
          <w:lang w:val="en-US"/>
        </w:rPr>
      </w:pPr>
    </w:p>
    <w:p w:rsidR="00D37BB1" w:rsidRPr="008878C1" w:rsidRDefault="00D37BB1" w:rsidP="00687D8A">
      <w:pPr>
        <w:spacing w:line="360" w:lineRule="auto"/>
        <w:jc w:val="both"/>
        <w:rPr>
          <w:lang w:val="en-US"/>
        </w:rPr>
      </w:pPr>
      <w:r w:rsidRPr="00D37BB1">
        <w:rPr>
          <w:u w:val="single"/>
          <w:lang w:val="en-US"/>
        </w:rPr>
        <w:lastRenderedPageBreak/>
        <w:t xml:space="preserve">The European Union      </w:t>
      </w:r>
    </w:p>
    <w:p w:rsidR="003736BC" w:rsidRDefault="007B57B6" w:rsidP="003736BC">
      <w:pPr>
        <w:pStyle w:val="Geenafstand"/>
        <w:spacing w:line="360" w:lineRule="auto"/>
        <w:jc w:val="both"/>
        <w:rPr>
          <w:lang w:val="en-US"/>
        </w:rPr>
      </w:pPr>
      <w:r>
        <w:rPr>
          <w:i/>
          <w:lang w:val="en-US"/>
        </w:rPr>
        <w:t>44</w:t>
      </w:r>
      <w:r w:rsidR="00822C92" w:rsidRPr="00822C92">
        <w:rPr>
          <w:i/>
          <w:lang w:val="en-US"/>
        </w:rPr>
        <w:t>.</w:t>
      </w:r>
      <w:r w:rsidR="00822C92">
        <w:rPr>
          <w:lang w:val="en-US"/>
        </w:rPr>
        <w:t xml:space="preserve"> </w:t>
      </w:r>
      <w:r w:rsidR="00D37BB1" w:rsidRPr="00D37BB1">
        <w:rPr>
          <w:lang w:val="en-US"/>
        </w:rPr>
        <w:t>Positive action has been on the EU agenda since the 1980s. Early soft law instruments</w:t>
      </w:r>
      <w:r w:rsidR="00D37BB1" w:rsidRPr="00D37BB1">
        <w:rPr>
          <w:vertAlign w:val="superscript"/>
          <w:lang w:val="en-US"/>
        </w:rPr>
        <w:footnoteReference w:id="268"/>
      </w:r>
      <w:r w:rsidR="00D37BB1" w:rsidRPr="00D37BB1">
        <w:rPr>
          <w:lang w:val="en-US"/>
        </w:rPr>
        <w:t xml:space="preserve"> and case-law</w:t>
      </w:r>
      <w:r w:rsidR="00D37BB1" w:rsidRPr="00D37BB1">
        <w:rPr>
          <w:vertAlign w:val="superscript"/>
          <w:lang w:val="en-US"/>
        </w:rPr>
        <w:footnoteReference w:id="269"/>
      </w:r>
      <w:r w:rsidR="00D37BB1" w:rsidRPr="00D37BB1">
        <w:rPr>
          <w:lang w:val="en-US"/>
        </w:rPr>
        <w:t xml:space="preserve"> attracted little attention. It was only in 1995</w:t>
      </w:r>
      <w:r w:rsidR="00D37BB1" w:rsidRPr="00D37BB1">
        <w:rPr>
          <w:vertAlign w:val="superscript"/>
          <w:lang w:val="en-US"/>
        </w:rPr>
        <w:footnoteReference w:id="270"/>
      </w:r>
      <w:r w:rsidR="00D37BB1" w:rsidRPr="00D37BB1">
        <w:rPr>
          <w:lang w:val="en-US"/>
        </w:rPr>
        <w:t>, when the European Court of Justice began to develop its confusing and controversial line of case-law, that more scholarly eyes turned towards Luxembourg. By way of preliminary observation, it should be mentioned that neither primary, nor secondary EU law obligates the adoption of positive action measures</w:t>
      </w:r>
      <w:r w:rsidR="00D37BB1" w:rsidRPr="00D37BB1">
        <w:rPr>
          <w:vertAlign w:val="superscript"/>
          <w:lang w:val="en-US"/>
        </w:rPr>
        <w:footnoteReference w:id="271"/>
      </w:r>
      <w:r w:rsidR="00D37BB1" w:rsidRPr="00D37BB1">
        <w:rPr>
          <w:lang w:val="en-US"/>
        </w:rPr>
        <w:t xml:space="preserve">. If member states choose to introduce such measures they however need to take into account the following observations. Firstly, for the European Court of Justice, affirmative action in </w:t>
      </w:r>
      <w:proofErr w:type="spellStart"/>
      <w:r w:rsidR="00D37BB1" w:rsidRPr="00D37BB1">
        <w:rPr>
          <w:lang w:val="en-US"/>
        </w:rPr>
        <w:t>favour</w:t>
      </w:r>
      <w:proofErr w:type="spellEnd"/>
      <w:r w:rsidR="00D37BB1" w:rsidRPr="00D37BB1">
        <w:rPr>
          <w:lang w:val="en-US"/>
        </w:rPr>
        <w:t xml:space="preserve"> of women constitutes an exception or derogation to the principles of equality and non-discrimination</w:t>
      </w:r>
      <w:r w:rsidR="00D37BB1" w:rsidRPr="00D37BB1">
        <w:rPr>
          <w:vertAlign w:val="superscript"/>
          <w:lang w:val="en-US"/>
        </w:rPr>
        <w:footnoteReference w:id="272"/>
      </w:r>
      <w:r w:rsidR="00D37BB1" w:rsidRPr="00D37BB1">
        <w:rPr>
          <w:lang w:val="en-US"/>
        </w:rPr>
        <w:t>. Secondly, the Court appears to differentiate between access to places of employment</w:t>
      </w:r>
      <w:r w:rsidR="00D37BB1" w:rsidRPr="00D37BB1">
        <w:rPr>
          <w:vertAlign w:val="superscript"/>
          <w:lang w:val="en-US"/>
        </w:rPr>
        <w:footnoteReference w:id="273"/>
      </w:r>
      <w:r w:rsidR="00D37BB1" w:rsidRPr="00D37BB1">
        <w:rPr>
          <w:lang w:val="en-US"/>
        </w:rPr>
        <w:t xml:space="preserve"> on the one hand and access to certain working conditions and employment related opportunities on the other</w:t>
      </w:r>
      <w:r w:rsidR="00D37BB1" w:rsidRPr="00D37BB1">
        <w:rPr>
          <w:vertAlign w:val="superscript"/>
          <w:lang w:val="en-US"/>
        </w:rPr>
        <w:footnoteReference w:id="274"/>
      </w:r>
      <w:r w:rsidR="00D37BB1" w:rsidRPr="00D37BB1">
        <w:rPr>
          <w:lang w:val="en-US"/>
        </w:rPr>
        <w:t>. In its initial 1995 case on access to places of employment, the Court assumed a formal and rigid position to positive action. The provisions in a German public sector scheme were found to be incompatible with the 1976 equal treatment directive. They provided that, in sectors where women are under-represented, the female candidate with equal qualifications needs to be given priority over the male candidate</w:t>
      </w:r>
      <w:r w:rsidR="00D37BB1" w:rsidRPr="00D37BB1">
        <w:rPr>
          <w:vertAlign w:val="superscript"/>
          <w:lang w:val="en-US"/>
        </w:rPr>
        <w:footnoteReference w:id="275"/>
      </w:r>
      <w:r w:rsidR="00D37BB1" w:rsidRPr="00D37BB1">
        <w:rPr>
          <w:lang w:val="en-US"/>
        </w:rPr>
        <w:t>. The latter judgment was negatively received by the majority of scholars and criticized for the judgment’s briefness, lack of attention for the principle of subsidiarity</w:t>
      </w:r>
      <w:r w:rsidR="00D37BB1" w:rsidRPr="00D37BB1">
        <w:rPr>
          <w:vertAlign w:val="superscript"/>
          <w:lang w:val="en-US"/>
        </w:rPr>
        <w:footnoteReference w:id="276"/>
      </w:r>
      <w:r w:rsidR="00D37BB1" w:rsidRPr="00D37BB1">
        <w:rPr>
          <w:lang w:val="en-US"/>
        </w:rPr>
        <w:t xml:space="preserve"> and the failure to demonstrate sensibility towards the position of women</w:t>
      </w:r>
      <w:r w:rsidR="00D37BB1" w:rsidRPr="00D37BB1">
        <w:rPr>
          <w:vertAlign w:val="superscript"/>
          <w:lang w:val="en-US"/>
        </w:rPr>
        <w:footnoteReference w:id="277"/>
      </w:r>
      <w:r w:rsidR="00D37BB1" w:rsidRPr="00D37BB1">
        <w:rPr>
          <w:lang w:val="en-US"/>
        </w:rPr>
        <w:t xml:space="preserve">. In the next case </w:t>
      </w:r>
      <w:r w:rsidR="00D37BB1" w:rsidRPr="00D37BB1">
        <w:rPr>
          <w:lang w:val="en-US"/>
        </w:rPr>
        <w:lastRenderedPageBreak/>
        <w:t>brought before it</w:t>
      </w:r>
      <w:r w:rsidR="00D37BB1" w:rsidRPr="00D37BB1">
        <w:rPr>
          <w:vertAlign w:val="superscript"/>
          <w:lang w:val="en-US"/>
        </w:rPr>
        <w:footnoteReference w:id="278"/>
      </w:r>
      <w:r w:rsidR="00C403CE">
        <w:rPr>
          <w:lang w:val="en-US"/>
        </w:rPr>
        <w:t>, the Court appeared</w:t>
      </w:r>
      <w:r w:rsidR="00D37BB1" w:rsidRPr="00D37BB1">
        <w:rPr>
          <w:lang w:val="en-US"/>
        </w:rPr>
        <w:t xml:space="preserve"> to move away to a certain extent from its 1995 judgment. The facts were largely similar to the ones set out in the 1995 case, with the exception of a so-called savings clause. According to such a clause an equally qualified female candidate must be given priority, unless reasons specific to the individual male candidate tilt the balance in his </w:t>
      </w:r>
      <w:proofErr w:type="spellStart"/>
      <w:r w:rsidR="00D37BB1" w:rsidRPr="00D37BB1">
        <w:rPr>
          <w:lang w:val="en-US"/>
        </w:rPr>
        <w:t>favour</w:t>
      </w:r>
      <w:proofErr w:type="spellEnd"/>
      <w:r w:rsidR="00D37BB1" w:rsidRPr="00D37BB1">
        <w:rPr>
          <w:vertAlign w:val="superscript"/>
          <w:lang w:val="en-US"/>
        </w:rPr>
        <w:footnoteReference w:id="279"/>
      </w:r>
      <w:r w:rsidR="00D37BB1" w:rsidRPr="00D37BB1">
        <w:rPr>
          <w:lang w:val="en-US"/>
        </w:rPr>
        <w:t>. The public scheme was found to be compatible with the equal treatment directive because, due to the savings clause, no absolute and unconditional priority was given to women applicants</w:t>
      </w:r>
      <w:r w:rsidR="00D37BB1" w:rsidRPr="00D37BB1">
        <w:rPr>
          <w:vertAlign w:val="superscript"/>
          <w:lang w:val="en-US"/>
        </w:rPr>
        <w:footnoteReference w:id="280"/>
      </w:r>
      <w:r w:rsidR="00D37BB1" w:rsidRPr="00D37BB1">
        <w:rPr>
          <w:lang w:val="en-US"/>
        </w:rPr>
        <w:t>. This second judgment provoked more mixed reactions. For some authors, it was a step in the right dir</w:t>
      </w:r>
      <w:r w:rsidR="005F0193">
        <w:rPr>
          <w:lang w:val="en-US"/>
        </w:rPr>
        <w:t>ection because the Court appeared</w:t>
      </w:r>
      <w:r w:rsidR="00D37BB1" w:rsidRPr="00D37BB1">
        <w:rPr>
          <w:lang w:val="en-US"/>
        </w:rPr>
        <w:t xml:space="preserve"> to balance the conflicting interests more delicately</w:t>
      </w:r>
      <w:r w:rsidR="00D37BB1" w:rsidRPr="00D37BB1">
        <w:rPr>
          <w:vertAlign w:val="superscript"/>
          <w:lang w:val="en-US"/>
        </w:rPr>
        <w:footnoteReference w:id="281"/>
      </w:r>
      <w:r w:rsidR="00D37BB1" w:rsidRPr="00D37BB1">
        <w:rPr>
          <w:lang w:val="en-US"/>
        </w:rPr>
        <w:t xml:space="preserve">. For others, </w:t>
      </w:r>
      <w:proofErr w:type="spellStart"/>
      <w:r w:rsidR="00D37BB1" w:rsidRPr="00D37BB1">
        <w:rPr>
          <w:lang w:val="en-US"/>
        </w:rPr>
        <w:t>Marschall</w:t>
      </w:r>
      <w:proofErr w:type="spellEnd"/>
      <w:r w:rsidR="00D37BB1" w:rsidRPr="00D37BB1">
        <w:rPr>
          <w:lang w:val="en-US"/>
        </w:rPr>
        <w:t xml:space="preserve"> is a</w:t>
      </w:r>
      <w:r w:rsidR="00B314F3">
        <w:rPr>
          <w:lang w:val="en-US"/>
        </w:rPr>
        <w:t xml:space="preserve">n important case because </w:t>
      </w:r>
      <w:r w:rsidR="00D37BB1" w:rsidRPr="00D37BB1">
        <w:rPr>
          <w:lang w:val="en-US"/>
        </w:rPr>
        <w:t>recognition is given to the fact that prejudices and stereotypes concerning the role and capaciti</w:t>
      </w:r>
      <w:r w:rsidR="009250B3">
        <w:rPr>
          <w:lang w:val="en-US"/>
        </w:rPr>
        <w:t>es of women in working life still exist</w:t>
      </w:r>
      <w:r w:rsidR="00D37BB1" w:rsidRPr="00D37BB1">
        <w:rPr>
          <w:vertAlign w:val="superscript"/>
          <w:lang w:val="en-US"/>
        </w:rPr>
        <w:footnoteReference w:id="282"/>
      </w:r>
      <w:r w:rsidR="00D37BB1" w:rsidRPr="00D37BB1">
        <w:rPr>
          <w:lang w:val="en-US"/>
        </w:rPr>
        <w:t>.</w:t>
      </w:r>
      <w:r w:rsidR="009E645C">
        <w:rPr>
          <w:lang w:val="en-US"/>
        </w:rPr>
        <w:t xml:space="preserve"> </w:t>
      </w:r>
      <w:r w:rsidR="00687EDF">
        <w:rPr>
          <w:lang w:val="en-US"/>
        </w:rPr>
        <w:t xml:space="preserve">                  </w:t>
      </w:r>
      <w:r w:rsidR="009E645C">
        <w:rPr>
          <w:lang w:val="en-US"/>
        </w:rPr>
        <w:t xml:space="preserve">Contrarily, a </w:t>
      </w:r>
      <w:r w:rsidR="00D37BB1" w:rsidRPr="00D37BB1">
        <w:rPr>
          <w:lang w:val="en-US"/>
        </w:rPr>
        <w:t>third gr</w:t>
      </w:r>
      <w:r w:rsidR="00E02DBF">
        <w:rPr>
          <w:lang w:val="en-US"/>
        </w:rPr>
        <w:t xml:space="preserve">oup of scholars </w:t>
      </w:r>
      <w:r w:rsidR="00D37BB1" w:rsidRPr="00D37BB1">
        <w:rPr>
          <w:lang w:val="en-US"/>
        </w:rPr>
        <w:t>rightly believe that the Court’s reliance on the concept of a savings clause is artificial and may well be used to the detriment of women workers</w:t>
      </w:r>
      <w:r w:rsidR="00D37BB1" w:rsidRPr="00D37BB1">
        <w:rPr>
          <w:vertAlign w:val="superscript"/>
          <w:lang w:val="en-US"/>
        </w:rPr>
        <w:footnoteReference w:id="283"/>
      </w:r>
      <w:r w:rsidR="003736BC">
        <w:rPr>
          <w:lang w:val="en-US"/>
        </w:rPr>
        <w:t xml:space="preserve">. </w:t>
      </w:r>
      <w:r w:rsidR="00D37BB1" w:rsidRPr="00D37BB1">
        <w:rPr>
          <w:lang w:val="en-US"/>
        </w:rPr>
        <w:t>The distinction ‘savings clause or no savings clause’ has been maintained in later cases</w:t>
      </w:r>
      <w:r w:rsidR="00D37BB1" w:rsidRPr="00D37BB1">
        <w:rPr>
          <w:vertAlign w:val="superscript"/>
          <w:lang w:val="en-US"/>
        </w:rPr>
        <w:footnoteReference w:id="284"/>
      </w:r>
      <w:r w:rsidR="00D37BB1" w:rsidRPr="00D37BB1">
        <w:rPr>
          <w:lang w:val="en-US"/>
        </w:rPr>
        <w:t>.</w:t>
      </w:r>
      <w:r w:rsidR="003736BC">
        <w:rPr>
          <w:lang w:val="en-US"/>
        </w:rPr>
        <w:t xml:space="preserve"> As </w:t>
      </w:r>
      <w:r w:rsidR="00D37BB1" w:rsidRPr="00D37BB1">
        <w:rPr>
          <w:lang w:val="en-US"/>
        </w:rPr>
        <w:t>regards working conditions and employment related opportunities, the Court’s standpoint</w:t>
      </w:r>
      <w:r w:rsidR="003736BC">
        <w:rPr>
          <w:lang w:val="en-US"/>
        </w:rPr>
        <w:t xml:space="preserve"> turns out to be more generous. </w:t>
      </w:r>
    </w:p>
    <w:p w:rsidR="00F410FC" w:rsidRDefault="00D37BB1" w:rsidP="008044D9">
      <w:pPr>
        <w:spacing w:line="360" w:lineRule="auto"/>
        <w:jc w:val="both"/>
        <w:rPr>
          <w:lang w:val="en-US"/>
        </w:rPr>
      </w:pPr>
      <w:r w:rsidRPr="00D37BB1">
        <w:rPr>
          <w:lang w:val="en-US"/>
        </w:rPr>
        <w:t xml:space="preserve">In case of training places and calls for a job </w:t>
      </w:r>
      <w:r w:rsidR="00E9737F">
        <w:rPr>
          <w:lang w:val="en-US"/>
        </w:rPr>
        <w:t xml:space="preserve">interview, rigid or </w:t>
      </w:r>
      <w:r w:rsidRPr="00D37BB1">
        <w:rPr>
          <w:lang w:val="en-US"/>
        </w:rPr>
        <w:t>strict quotas passed the test</w:t>
      </w:r>
      <w:r w:rsidRPr="00D37BB1">
        <w:rPr>
          <w:vertAlign w:val="superscript"/>
          <w:lang w:val="en-US"/>
        </w:rPr>
        <w:footnoteReference w:id="285"/>
      </w:r>
      <w:r w:rsidR="005027DA">
        <w:rPr>
          <w:lang w:val="en-US"/>
        </w:rPr>
        <w:t xml:space="preserve">. </w:t>
      </w:r>
      <w:r w:rsidR="00687EDF">
        <w:rPr>
          <w:lang w:val="en-US"/>
        </w:rPr>
        <w:t xml:space="preserve">                                                                                                 </w:t>
      </w:r>
      <w:r w:rsidRPr="00D37BB1">
        <w:rPr>
          <w:lang w:val="en-US"/>
        </w:rPr>
        <w:t>The Court is also more inclined to accept working conditions designed to facilitate the pursuit of a career such as the reservation of child</w:t>
      </w:r>
      <w:r w:rsidR="00301113">
        <w:rPr>
          <w:lang w:val="en-US"/>
        </w:rPr>
        <w:t>-</w:t>
      </w:r>
      <w:r w:rsidRPr="00D37BB1">
        <w:rPr>
          <w:lang w:val="en-US"/>
        </w:rPr>
        <w:t>care places for women by a public employer</w:t>
      </w:r>
      <w:r w:rsidRPr="00D37BB1">
        <w:rPr>
          <w:vertAlign w:val="superscript"/>
          <w:lang w:val="en-US"/>
        </w:rPr>
        <w:footnoteReference w:id="286"/>
      </w:r>
      <w:r w:rsidRPr="00D37BB1">
        <w:rPr>
          <w:lang w:val="en-US"/>
        </w:rPr>
        <w:t xml:space="preserve">.                                                                                                   </w:t>
      </w:r>
      <w:r w:rsidRPr="00D37BB1">
        <w:rPr>
          <w:lang w:val="en-US"/>
        </w:rPr>
        <w:lastRenderedPageBreak/>
        <w:t>The Amsterdam treaty</w:t>
      </w:r>
      <w:r w:rsidRPr="00D37BB1">
        <w:rPr>
          <w:vertAlign w:val="superscript"/>
          <w:lang w:val="en-US"/>
        </w:rPr>
        <w:footnoteReference w:id="287"/>
      </w:r>
      <w:r w:rsidRPr="00D37BB1">
        <w:rPr>
          <w:lang w:val="en-US"/>
        </w:rPr>
        <w:t xml:space="preserve"> and the EU Charter of Fundamental Rights</w:t>
      </w:r>
      <w:r w:rsidRPr="00D37BB1">
        <w:rPr>
          <w:vertAlign w:val="superscript"/>
          <w:lang w:val="en-US"/>
        </w:rPr>
        <w:footnoteReference w:id="288"/>
      </w:r>
      <w:r w:rsidRPr="00D37BB1">
        <w:rPr>
          <w:lang w:val="en-US"/>
        </w:rPr>
        <w:t xml:space="preserve"> have given positive action constitutional value but this did not notably change the Court’s approach</w:t>
      </w:r>
      <w:r w:rsidRPr="00D37BB1">
        <w:rPr>
          <w:vertAlign w:val="superscript"/>
          <w:lang w:val="en-US"/>
        </w:rPr>
        <w:footnoteReference w:id="289"/>
      </w:r>
      <w:r w:rsidRPr="00D37BB1">
        <w:rPr>
          <w:lang w:val="en-US"/>
        </w:rPr>
        <w:t xml:space="preserve">.   </w:t>
      </w:r>
    </w:p>
    <w:p w:rsidR="00D37BB1" w:rsidRPr="00F410FC" w:rsidRDefault="00D37BB1" w:rsidP="00F410FC">
      <w:pPr>
        <w:rPr>
          <w:u w:val="single"/>
          <w:lang w:val="en-US"/>
        </w:rPr>
      </w:pPr>
      <w:r w:rsidRPr="00F410FC">
        <w:rPr>
          <w:u w:val="single"/>
          <w:lang w:val="en-US"/>
        </w:rPr>
        <w:t xml:space="preserve">The </w:t>
      </w:r>
      <w:r w:rsidR="008452DC" w:rsidRPr="00F410FC">
        <w:rPr>
          <w:u w:val="single"/>
          <w:lang w:val="en-US"/>
        </w:rPr>
        <w:t xml:space="preserve">Revised </w:t>
      </w:r>
      <w:r w:rsidRPr="00F410FC">
        <w:rPr>
          <w:u w:val="single"/>
          <w:lang w:val="en-US"/>
        </w:rPr>
        <w:t xml:space="preserve">European Social Charter </w:t>
      </w:r>
    </w:p>
    <w:p w:rsidR="00D37BB1" w:rsidRPr="00D37BB1" w:rsidRDefault="003F3286" w:rsidP="00687D8A">
      <w:pPr>
        <w:spacing w:line="360" w:lineRule="auto"/>
        <w:jc w:val="both"/>
        <w:rPr>
          <w:lang w:val="en-US"/>
        </w:rPr>
      </w:pPr>
      <w:r>
        <w:rPr>
          <w:i/>
          <w:lang w:val="en-US"/>
        </w:rPr>
        <w:t>45</w:t>
      </w:r>
      <w:r w:rsidR="00BB0F75" w:rsidRPr="00BB0F75">
        <w:rPr>
          <w:i/>
          <w:lang w:val="en-US"/>
        </w:rPr>
        <w:t>.</w:t>
      </w:r>
      <w:r w:rsidR="00BB0F75">
        <w:rPr>
          <w:lang w:val="en-US"/>
        </w:rPr>
        <w:t xml:space="preserve"> </w:t>
      </w:r>
      <w:r w:rsidR="00D37BB1" w:rsidRPr="00D37BB1">
        <w:rPr>
          <w:lang w:val="en-US"/>
        </w:rPr>
        <w:t>When the original European Social Charter took effect, it lacked any explicit reference to positive action. At present, an additional protocol</w:t>
      </w:r>
      <w:r w:rsidR="00D37BB1" w:rsidRPr="00D37BB1">
        <w:rPr>
          <w:vertAlign w:val="superscript"/>
          <w:lang w:val="en-US"/>
        </w:rPr>
        <w:footnoteReference w:id="290"/>
      </w:r>
      <w:r w:rsidR="00D37BB1" w:rsidRPr="00D37BB1">
        <w:rPr>
          <w:lang w:val="en-US"/>
        </w:rPr>
        <w:t xml:space="preserve"> and the appendix to the revised Charter</w:t>
      </w:r>
      <w:r w:rsidR="00D37BB1" w:rsidRPr="00D37BB1">
        <w:rPr>
          <w:vertAlign w:val="superscript"/>
          <w:lang w:val="en-US"/>
        </w:rPr>
        <w:footnoteReference w:id="291"/>
      </w:r>
      <w:r w:rsidR="00D37BB1" w:rsidRPr="00D37BB1">
        <w:rPr>
          <w:lang w:val="en-US"/>
        </w:rPr>
        <w:t xml:space="preserve"> clarify that it is permitted to adopt affirmative action measures to improve women’s employment situation</w:t>
      </w:r>
      <w:r w:rsidR="00D37BB1" w:rsidRPr="00D37BB1">
        <w:rPr>
          <w:vertAlign w:val="superscript"/>
          <w:lang w:val="en-US"/>
        </w:rPr>
        <w:footnoteReference w:id="292"/>
      </w:r>
      <w:r w:rsidR="00D37BB1" w:rsidRPr="00D37BB1">
        <w:rPr>
          <w:lang w:val="en-US"/>
        </w:rPr>
        <w:t>. In recent years the European Committee of Social Rights has requested several parties to e</w:t>
      </w:r>
      <w:r w:rsidR="006A1147">
        <w:rPr>
          <w:lang w:val="en-US"/>
        </w:rPr>
        <w:t>xplain whether or not they have established</w:t>
      </w:r>
      <w:r w:rsidR="00D37BB1" w:rsidRPr="00D37BB1">
        <w:rPr>
          <w:lang w:val="en-US"/>
        </w:rPr>
        <w:t xml:space="preserve"> positive action schemes</w:t>
      </w:r>
      <w:r w:rsidR="00D37BB1" w:rsidRPr="00D37BB1">
        <w:rPr>
          <w:vertAlign w:val="superscript"/>
          <w:lang w:val="en-US"/>
        </w:rPr>
        <w:footnoteReference w:id="293"/>
      </w:r>
      <w:r w:rsidR="00D37BB1" w:rsidRPr="00D37BB1">
        <w:rPr>
          <w:lang w:val="en-US"/>
        </w:rPr>
        <w:t>. The Committee’s more precise point of view however remains opaque. One conclusion might be interpreted as stating that affirmative action constitutes a derogation to the equality principle</w:t>
      </w:r>
      <w:r w:rsidR="00D37BB1" w:rsidRPr="00D37BB1">
        <w:rPr>
          <w:vertAlign w:val="superscript"/>
          <w:lang w:val="en-US"/>
        </w:rPr>
        <w:footnoteReference w:id="294"/>
      </w:r>
      <w:r w:rsidR="00D37BB1" w:rsidRPr="00D37BB1">
        <w:rPr>
          <w:lang w:val="en-US"/>
        </w:rPr>
        <w:t>. Another conclusion then again might impose an obligation to set up positive action schemes</w:t>
      </w:r>
      <w:r w:rsidR="00D37BB1" w:rsidRPr="00D37BB1">
        <w:rPr>
          <w:vertAlign w:val="superscript"/>
          <w:lang w:val="en-US"/>
        </w:rPr>
        <w:footnoteReference w:id="295"/>
      </w:r>
      <w:r w:rsidR="00D37BB1" w:rsidRPr="00D37BB1">
        <w:rPr>
          <w:lang w:val="en-US"/>
        </w:rPr>
        <w:t>. When confronted with quota systems and target numbers the Committee refrained from ruling on their compatibility with the Charter</w:t>
      </w:r>
      <w:r w:rsidR="00D37BB1" w:rsidRPr="00D37BB1">
        <w:rPr>
          <w:vertAlign w:val="superscript"/>
          <w:lang w:val="en-US"/>
        </w:rPr>
        <w:footnoteReference w:id="296"/>
      </w:r>
      <w:r w:rsidR="00D37BB1" w:rsidRPr="00D37BB1">
        <w:rPr>
          <w:lang w:val="en-US"/>
        </w:rPr>
        <w:t xml:space="preserve">.  </w:t>
      </w:r>
    </w:p>
    <w:p w:rsidR="00D37BB1" w:rsidRPr="00D37BB1" w:rsidRDefault="00D37BB1" w:rsidP="00687D8A">
      <w:pPr>
        <w:spacing w:line="360" w:lineRule="auto"/>
        <w:jc w:val="both"/>
        <w:rPr>
          <w:u w:val="single"/>
          <w:lang w:val="en-US"/>
        </w:rPr>
      </w:pPr>
      <w:r w:rsidRPr="00D37BB1">
        <w:rPr>
          <w:u w:val="single"/>
          <w:lang w:val="en-US"/>
        </w:rPr>
        <w:t xml:space="preserve">The International </w:t>
      </w:r>
      <w:proofErr w:type="spellStart"/>
      <w:r w:rsidRPr="00D37BB1">
        <w:rPr>
          <w:u w:val="single"/>
          <w:lang w:val="en-US"/>
        </w:rPr>
        <w:t>Labour</w:t>
      </w:r>
      <w:proofErr w:type="spellEnd"/>
      <w:r w:rsidRPr="00D37BB1">
        <w:rPr>
          <w:u w:val="single"/>
          <w:lang w:val="en-US"/>
        </w:rPr>
        <w:t xml:space="preserve"> Organization</w:t>
      </w:r>
    </w:p>
    <w:p w:rsidR="005372FD" w:rsidRDefault="00236BEF" w:rsidP="00687D8A">
      <w:pPr>
        <w:spacing w:line="360" w:lineRule="auto"/>
        <w:jc w:val="both"/>
        <w:rPr>
          <w:lang w:val="en-US"/>
        </w:rPr>
      </w:pPr>
      <w:r>
        <w:rPr>
          <w:i/>
          <w:lang w:val="en-US"/>
        </w:rPr>
        <w:t>46</w:t>
      </w:r>
      <w:r w:rsidR="007B4042" w:rsidRPr="007B4042">
        <w:rPr>
          <w:i/>
          <w:lang w:val="en-US"/>
        </w:rPr>
        <w:t>.</w:t>
      </w:r>
      <w:r w:rsidR="007B4042">
        <w:rPr>
          <w:lang w:val="en-US"/>
        </w:rPr>
        <w:t xml:space="preserve"> </w:t>
      </w:r>
      <w:r w:rsidR="00D37BB1" w:rsidRPr="00D37BB1">
        <w:rPr>
          <w:lang w:val="en-US"/>
        </w:rPr>
        <w:t>ILO Convention 111 on discrimination in employment and occupation does not expressly refer to affirmative action. Article 5(2) does mention that special measures of</w:t>
      </w:r>
      <w:r w:rsidR="00617FBD">
        <w:rPr>
          <w:lang w:val="en-US"/>
        </w:rPr>
        <w:t xml:space="preserve"> protection or assistance will </w:t>
      </w:r>
      <w:r w:rsidR="00D37BB1" w:rsidRPr="00D37BB1">
        <w:rPr>
          <w:lang w:val="en-US"/>
        </w:rPr>
        <w:t>not be deemed discriminatory. Special measures of protection are understood to cover measures aimed at pregnant women and mothers wh</w:t>
      </w:r>
      <w:r w:rsidR="00DD0B13">
        <w:rPr>
          <w:lang w:val="en-US"/>
        </w:rPr>
        <w:t>o have just given birth (</w:t>
      </w:r>
      <w:r w:rsidR="00DD0B13">
        <w:rPr>
          <w:i/>
          <w:lang w:val="en-US"/>
        </w:rPr>
        <w:t>infra no. 85</w:t>
      </w:r>
      <w:r w:rsidR="00D37BB1" w:rsidRPr="00D37BB1">
        <w:rPr>
          <w:lang w:val="en-US"/>
        </w:rPr>
        <w:t xml:space="preserve">). Since it is unclear what is exactly meant with ‘special measures of assistance’, one must try to find out whether affirmative action is covered by the Convention in a different way. The ILO Committee of Experts’ work clarifies the situation. By referring to affirmative action in its observations and by asking states to provide information on their affirmative action </w:t>
      </w:r>
      <w:r w:rsidR="00D37BB1" w:rsidRPr="00D37BB1">
        <w:rPr>
          <w:lang w:val="en-US"/>
        </w:rPr>
        <w:lastRenderedPageBreak/>
        <w:t>schemes</w:t>
      </w:r>
      <w:r w:rsidR="00D37BB1" w:rsidRPr="00D37BB1">
        <w:rPr>
          <w:vertAlign w:val="superscript"/>
          <w:lang w:val="en-US"/>
        </w:rPr>
        <w:footnoteReference w:id="297"/>
      </w:r>
      <w:r w:rsidR="00D37BB1" w:rsidRPr="00D37BB1">
        <w:rPr>
          <w:lang w:val="en-US"/>
        </w:rPr>
        <w:t>, th</w:t>
      </w:r>
      <w:r w:rsidR="00B65882">
        <w:rPr>
          <w:lang w:val="en-US"/>
        </w:rPr>
        <w:t>e Committee of Experts confirms</w:t>
      </w:r>
      <w:r w:rsidR="00D37BB1" w:rsidRPr="00D37BB1">
        <w:rPr>
          <w:lang w:val="en-US"/>
        </w:rPr>
        <w:t xml:space="preserve"> that such measures fit in the Convention’s structure</w:t>
      </w:r>
      <w:r w:rsidR="00D37BB1" w:rsidRPr="00D37BB1">
        <w:rPr>
          <w:vertAlign w:val="superscript"/>
          <w:lang w:val="en-US"/>
        </w:rPr>
        <w:footnoteReference w:id="298"/>
      </w:r>
      <w:r w:rsidR="00D37BB1" w:rsidRPr="00D37BB1">
        <w:rPr>
          <w:lang w:val="en-US"/>
        </w:rPr>
        <w:t>. Convention 111 is thus one of the oldest, if not the oldest international treaty under which the use of affirmative action is recognized</w:t>
      </w:r>
      <w:r w:rsidR="00D37BB1" w:rsidRPr="00D37BB1">
        <w:rPr>
          <w:vertAlign w:val="superscript"/>
          <w:lang w:val="en-US"/>
        </w:rPr>
        <w:footnoteReference w:id="299"/>
      </w:r>
      <w:r w:rsidR="00D37BB1" w:rsidRPr="00D37BB1">
        <w:rPr>
          <w:lang w:val="en-US"/>
        </w:rPr>
        <w:t>. Parties to the Convention are not compelled to introduce affirmative action measures, but their adoption is welcomed</w:t>
      </w:r>
      <w:r w:rsidR="00D37BB1" w:rsidRPr="00D37BB1">
        <w:rPr>
          <w:vertAlign w:val="superscript"/>
          <w:lang w:val="en-US"/>
        </w:rPr>
        <w:footnoteReference w:id="300"/>
      </w:r>
      <w:r w:rsidR="000F05F0">
        <w:rPr>
          <w:lang w:val="en-US"/>
        </w:rPr>
        <w:t>. Characteristic to</w:t>
      </w:r>
      <w:r w:rsidR="00D37BB1" w:rsidRPr="00D37BB1">
        <w:rPr>
          <w:lang w:val="en-US"/>
        </w:rPr>
        <w:t xml:space="preserve"> the International </w:t>
      </w:r>
      <w:proofErr w:type="spellStart"/>
      <w:r w:rsidR="00D37BB1" w:rsidRPr="00D37BB1">
        <w:rPr>
          <w:lang w:val="en-US"/>
        </w:rPr>
        <w:t>Labour</w:t>
      </w:r>
      <w:proofErr w:type="spellEnd"/>
      <w:r w:rsidR="00D37BB1" w:rsidRPr="00D37BB1">
        <w:rPr>
          <w:lang w:val="en-US"/>
        </w:rPr>
        <w:t xml:space="preserve"> Organization is the requirement to engage both employer representatives and the trade unions in discussions on affirmative action</w:t>
      </w:r>
      <w:r w:rsidR="00D37BB1" w:rsidRPr="00D37BB1">
        <w:rPr>
          <w:vertAlign w:val="superscript"/>
          <w:lang w:val="en-US"/>
        </w:rPr>
        <w:footnoteReference w:id="301"/>
      </w:r>
      <w:r w:rsidR="00D37BB1" w:rsidRPr="00D37BB1">
        <w:rPr>
          <w:lang w:val="en-US"/>
        </w:rPr>
        <w:t>. The Committee of Experts has requested EU member states to clarify the impact of EU law on their positive action schemes but refrained from criticizing the Court of Justice’s case-law</w:t>
      </w:r>
      <w:r w:rsidR="00D37BB1" w:rsidRPr="00D37BB1">
        <w:rPr>
          <w:vertAlign w:val="superscript"/>
          <w:lang w:val="en-US"/>
        </w:rPr>
        <w:footnoteReference w:id="302"/>
      </w:r>
      <w:r w:rsidR="00D37BB1" w:rsidRPr="00D37BB1">
        <w:rPr>
          <w:lang w:val="en-US"/>
        </w:rPr>
        <w:t xml:space="preserve">.   </w:t>
      </w:r>
    </w:p>
    <w:p w:rsidR="00D37BB1" w:rsidRPr="005372FD" w:rsidRDefault="00D37BB1" w:rsidP="00687D8A">
      <w:pPr>
        <w:spacing w:line="360" w:lineRule="auto"/>
        <w:jc w:val="both"/>
        <w:rPr>
          <w:lang w:val="en-US"/>
        </w:rPr>
      </w:pPr>
      <w:r w:rsidRPr="00D37BB1">
        <w:rPr>
          <w:u w:val="single"/>
          <w:lang w:val="en-US"/>
        </w:rPr>
        <w:t xml:space="preserve">The UN Convention on the Elimination of All Forms of Discrimination against Women </w:t>
      </w:r>
    </w:p>
    <w:p w:rsidR="00116161" w:rsidRDefault="00236BEF" w:rsidP="00687D8A">
      <w:pPr>
        <w:spacing w:line="360" w:lineRule="auto"/>
        <w:jc w:val="both"/>
        <w:rPr>
          <w:lang w:val="en-US"/>
        </w:rPr>
      </w:pPr>
      <w:r>
        <w:rPr>
          <w:i/>
          <w:lang w:val="en-US"/>
        </w:rPr>
        <w:t>47</w:t>
      </w:r>
      <w:r w:rsidR="00A82B35" w:rsidRPr="00A82B35">
        <w:rPr>
          <w:i/>
          <w:lang w:val="en-US"/>
        </w:rPr>
        <w:t>.</w:t>
      </w:r>
      <w:r w:rsidR="00A82B35">
        <w:rPr>
          <w:lang w:val="en-US"/>
        </w:rPr>
        <w:t xml:space="preserve"> </w:t>
      </w:r>
      <w:r w:rsidR="00D37BB1" w:rsidRPr="00D37BB1">
        <w:rPr>
          <w:lang w:val="en-US"/>
        </w:rPr>
        <w:t>Article 4 of the Convention on the Elimination of Discrimination against Women can be found in the first, general part of the Convention. This means that it needs to be read together with each substantive provision in part</w:t>
      </w:r>
      <w:r w:rsidR="00D6007E">
        <w:rPr>
          <w:lang w:val="en-US"/>
        </w:rPr>
        <w:t>s</w:t>
      </w:r>
      <w:r w:rsidR="00D37BB1" w:rsidRPr="00D37BB1">
        <w:rPr>
          <w:lang w:val="en-US"/>
        </w:rPr>
        <w:t xml:space="preserve"> two and three</w:t>
      </w:r>
      <w:r w:rsidR="00D37BB1" w:rsidRPr="00D37BB1">
        <w:rPr>
          <w:vertAlign w:val="superscript"/>
          <w:lang w:val="en-US"/>
        </w:rPr>
        <w:footnoteReference w:id="303"/>
      </w:r>
      <w:r w:rsidR="00D37BB1" w:rsidRPr="00D37BB1">
        <w:rPr>
          <w:lang w:val="en-US"/>
        </w:rPr>
        <w:t>. One must watchfully distinguish the first and second paragraph of article 4 from each other. Paragraph one refers to ‘temporary special measures’. These measures are of a compensatory and corrective nature and are therefore similar to positive or affirmative action measures</w:t>
      </w:r>
      <w:r w:rsidR="00D37BB1" w:rsidRPr="00D37BB1">
        <w:rPr>
          <w:vertAlign w:val="superscript"/>
          <w:lang w:val="en-US"/>
        </w:rPr>
        <w:footnoteReference w:id="304"/>
      </w:r>
      <w:r w:rsidR="00D37BB1" w:rsidRPr="00D37BB1">
        <w:rPr>
          <w:lang w:val="en-US"/>
        </w:rPr>
        <w:t xml:space="preserve">. Paragraph two, on the other hand, provides for special measures aimed at protecting maternity. The latter are of a </w:t>
      </w:r>
      <w:r w:rsidR="00D37BB1" w:rsidRPr="00D37BB1">
        <w:rPr>
          <w:lang w:val="en-US"/>
        </w:rPr>
        <w:lastRenderedPageBreak/>
        <w:t>permanent and protective nature</w:t>
      </w:r>
      <w:r w:rsidR="00D37BB1" w:rsidRPr="00D37BB1">
        <w:rPr>
          <w:vertAlign w:val="superscript"/>
          <w:lang w:val="en-US"/>
        </w:rPr>
        <w:footnoteReference w:id="305"/>
      </w:r>
      <w:r w:rsidR="00D37BB1" w:rsidRPr="00D37BB1">
        <w:rPr>
          <w:lang w:val="en-US"/>
        </w:rPr>
        <w:t>. The work of the Committee on the Elimination of Discrimination demonstrates that temporary special measures are of great importance to the effective application of the Convention provisions, in particular the ones related to employment. Within the CEDAW framework they are not reckoned as exceptions but as an integral part of the non-discrimination and equality regime</w:t>
      </w:r>
      <w:r w:rsidR="00D37BB1" w:rsidRPr="00D37BB1">
        <w:rPr>
          <w:vertAlign w:val="superscript"/>
          <w:lang w:val="en-US"/>
        </w:rPr>
        <w:footnoteReference w:id="306"/>
      </w:r>
      <w:r w:rsidR="00D37BB1" w:rsidRPr="00D37BB1">
        <w:rPr>
          <w:lang w:val="en-US"/>
        </w:rPr>
        <w:t>. Moreover, temporary special measures are regarded as a powerful tool in the gradual expulsion of prejudicial gender roles and stereotypes</w:t>
      </w:r>
      <w:r w:rsidR="00D37BB1" w:rsidRPr="00D37BB1">
        <w:rPr>
          <w:vertAlign w:val="superscript"/>
          <w:lang w:val="en-US"/>
        </w:rPr>
        <w:footnoteReference w:id="307"/>
      </w:r>
      <w:r w:rsidR="00D37BB1" w:rsidRPr="00D37BB1">
        <w:rPr>
          <w:lang w:val="en-US"/>
        </w:rPr>
        <w:t>. At first sight, the Committee appears to be using affirmative action as some kind of magic wand. In virtually each concluding observation, state parties are told that they need to introduce or increase the amount of positive action schemes</w:t>
      </w:r>
      <w:r w:rsidR="00D37BB1" w:rsidRPr="00D37BB1">
        <w:rPr>
          <w:vertAlign w:val="superscript"/>
          <w:lang w:val="en-US"/>
        </w:rPr>
        <w:footnoteReference w:id="308"/>
      </w:r>
      <w:r w:rsidR="00E577C2">
        <w:rPr>
          <w:lang w:val="en-US"/>
        </w:rPr>
        <w:t xml:space="preserve">. On a </w:t>
      </w:r>
      <w:r w:rsidR="00D37BB1" w:rsidRPr="00D37BB1">
        <w:rPr>
          <w:lang w:val="en-US"/>
        </w:rPr>
        <w:t>closer look, one may however conclude that the</w:t>
      </w:r>
      <w:r w:rsidR="00542E44">
        <w:rPr>
          <w:lang w:val="en-US"/>
        </w:rPr>
        <w:t xml:space="preserve"> Committee’s approach is multifarious</w:t>
      </w:r>
      <w:r w:rsidR="00D37BB1" w:rsidRPr="00D37BB1">
        <w:rPr>
          <w:lang w:val="en-US"/>
        </w:rPr>
        <w:t>. Its members have recognized that special measures are often controversial</w:t>
      </w:r>
      <w:r w:rsidR="00D37BB1" w:rsidRPr="00D37BB1">
        <w:rPr>
          <w:vertAlign w:val="superscript"/>
          <w:lang w:val="en-US"/>
        </w:rPr>
        <w:footnoteReference w:id="309"/>
      </w:r>
      <w:r w:rsidR="00D37BB1" w:rsidRPr="00D37BB1">
        <w:rPr>
          <w:lang w:val="en-US"/>
        </w:rPr>
        <w:t>. This is why measures of different strength, proportionate to the circumstances, are recommended</w:t>
      </w:r>
      <w:r w:rsidR="00D37BB1" w:rsidRPr="00D37BB1">
        <w:rPr>
          <w:vertAlign w:val="superscript"/>
          <w:lang w:val="en-US"/>
        </w:rPr>
        <w:footnoteReference w:id="310"/>
      </w:r>
      <w:r w:rsidR="00D37BB1" w:rsidRPr="00D37BB1">
        <w:rPr>
          <w:lang w:val="en-US"/>
        </w:rPr>
        <w:t xml:space="preserve">. As regards women’s employment, the Committee distinguishes between private and public sector employment. For the former sector, specific educational, (re)training </w:t>
      </w:r>
      <w:proofErr w:type="spellStart"/>
      <w:r w:rsidR="00D37BB1" w:rsidRPr="00D37BB1">
        <w:rPr>
          <w:lang w:val="en-US"/>
        </w:rPr>
        <w:t>programmes</w:t>
      </w:r>
      <w:proofErr w:type="spellEnd"/>
      <w:r w:rsidR="00D37BB1" w:rsidRPr="00D37BB1">
        <w:rPr>
          <w:lang w:val="en-US"/>
        </w:rPr>
        <w:t xml:space="preserve"> and awareness-raising campaigns are preferred</w:t>
      </w:r>
      <w:r w:rsidR="00D37BB1" w:rsidRPr="00D37BB1">
        <w:rPr>
          <w:vertAlign w:val="superscript"/>
          <w:lang w:val="en-US"/>
        </w:rPr>
        <w:footnoteReference w:id="311"/>
      </w:r>
      <w:r w:rsidR="00D37BB1" w:rsidRPr="00D37BB1">
        <w:rPr>
          <w:lang w:val="en-US"/>
        </w:rPr>
        <w:t xml:space="preserve">. Special credit and loan </w:t>
      </w:r>
      <w:proofErr w:type="spellStart"/>
      <w:r w:rsidR="00D37BB1" w:rsidRPr="00D37BB1">
        <w:rPr>
          <w:lang w:val="en-US"/>
        </w:rPr>
        <w:t>programmes</w:t>
      </w:r>
      <w:proofErr w:type="spellEnd"/>
      <w:r w:rsidR="00D37BB1" w:rsidRPr="00D37BB1">
        <w:rPr>
          <w:lang w:val="en-US"/>
        </w:rPr>
        <w:t xml:space="preserve"> should be available for women entrepreneurs</w:t>
      </w:r>
      <w:r w:rsidR="00D37BB1" w:rsidRPr="00D37BB1">
        <w:rPr>
          <w:vertAlign w:val="superscript"/>
          <w:lang w:val="en-US"/>
        </w:rPr>
        <w:footnoteReference w:id="312"/>
      </w:r>
      <w:r w:rsidR="00D37BB1" w:rsidRPr="00D37BB1">
        <w:rPr>
          <w:lang w:val="en-US"/>
        </w:rPr>
        <w:t>. Except for a few rare cases</w:t>
      </w:r>
      <w:r w:rsidR="00D37BB1" w:rsidRPr="00D37BB1">
        <w:rPr>
          <w:vertAlign w:val="superscript"/>
          <w:lang w:val="en-US"/>
        </w:rPr>
        <w:footnoteReference w:id="313"/>
      </w:r>
      <w:r w:rsidR="00D37BB1" w:rsidRPr="00D37BB1">
        <w:rPr>
          <w:lang w:val="en-US"/>
        </w:rPr>
        <w:t>, quotas, goals and timetables are reserved for public sector employment</w:t>
      </w:r>
      <w:r w:rsidR="00D37BB1" w:rsidRPr="00D37BB1">
        <w:rPr>
          <w:vertAlign w:val="superscript"/>
          <w:lang w:val="en-US"/>
        </w:rPr>
        <w:footnoteReference w:id="314"/>
      </w:r>
      <w:r w:rsidR="00D37BB1" w:rsidRPr="00D37BB1">
        <w:rPr>
          <w:lang w:val="en-US"/>
        </w:rPr>
        <w:t>. The adoption of quotas has been encouraged for, amongst others, state-owned enterprises</w:t>
      </w:r>
      <w:r w:rsidR="00D37BB1" w:rsidRPr="00D37BB1">
        <w:rPr>
          <w:vertAlign w:val="superscript"/>
          <w:lang w:val="en-US"/>
        </w:rPr>
        <w:footnoteReference w:id="315"/>
      </w:r>
      <w:r w:rsidR="00D37BB1" w:rsidRPr="00D37BB1">
        <w:rPr>
          <w:lang w:val="en-US"/>
        </w:rPr>
        <w:t>, government and public administration</w:t>
      </w:r>
      <w:r w:rsidR="00D37BB1" w:rsidRPr="00D37BB1">
        <w:rPr>
          <w:vertAlign w:val="superscript"/>
          <w:lang w:val="en-US"/>
        </w:rPr>
        <w:footnoteReference w:id="316"/>
      </w:r>
      <w:r w:rsidR="00D37BB1" w:rsidRPr="00D37BB1">
        <w:rPr>
          <w:lang w:val="en-US"/>
        </w:rPr>
        <w:t>, university professors</w:t>
      </w:r>
      <w:r w:rsidR="00D37BB1" w:rsidRPr="00D37BB1">
        <w:rPr>
          <w:vertAlign w:val="superscript"/>
          <w:lang w:val="en-US"/>
        </w:rPr>
        <w:footnoteReference w:id="317"/>
      </w:r>
      <w:r w:rsidR="00D37BB1" w:rsidRPr="00D37BB1">
        <w:rPr>
          <w:lang w:val="en-US"/>
        </w:rPr>
        <w:t>, judges</w:t>
      </w:r>
      <w:r w:rsidR="00D37BB1" w:rsidRPr="00D37BB1">
        <w:rPr>
          <w:vertAlign w:val="superscript"/>
          <w:lang w:val="en-US"/>
        </w:rPr>
        <w:footnoteReference w:id="318"/>
      </w:r>
      <w:r w:rsidR="00D37BB1" w:rsidRPr="00D37BB1">
        <w:rPr>
          <w:lang w:val="en-US"/>
        </w:rPr>
        <w:t>, the diplomatic service</w:t>
      </w:r>
      <w:r w:rsidR="00D37BB1" w:rsidRPr="00D37BB1">
        <w:rPr>
          <w:vertAlign w:val="superscript"/>
          <w:lang w:val="en-US"/>
        </w:rPr>
        <w:footnoteReference w:id="319"/>
      </w:r>
      <w:r w:rsidR="00D37BB1" w:rsidRPr="00D37BB1">
        <w:rPr>
          <w:lang w:val="en-US"/>
        </w:rPr>
        <w:t xml:space="preserve"> and representation in international </w:t>
      </w:r>
      <w:r w:rsidR="00D37BB1" w:rsidRPr="00D37BB1">
        <w:rPr>
          <w:lang w:val="en-US"/>
        </w:rPr>
        <w:lastRenderedPageBreak/>
        <w:t>organizations</w:t>
      </w:r>
      <w:r w:rsidR="00D37BB1" w:rsidRPr="00D37BB1">
        <w:rPr>
          <w:vertAlign w:val="superscript"/>
          <w:lang w:val="en-US"/>
        </w:rPr>
        <w:footnoteReference w:id="320"/>
      </w:r>
      <w:r w:rsidR="00EB36D6">
        <w:rPr>
          <w:lang w:val="en-US"/>
        </w:rPr>
        <w:t xml:space="preserve">. </w:t>
      </w:r>
      <w:r w:rsidR="00D37BB1" w:rsidRPr="00D37BB1">
        <w:rPr>
          <w:lang w:val="en-US"/>
        </w:rPr>
        <w:t>For several years, it remained unclear whether the first paragraph of article 4 is of a mandatory or a merely permissive nature. While relying on a textual reading the provision</w:t>
      </w:r>
      <w:r w:rsidR="00D37BB1" w:rsidRPr="00D37BB1">
        <w:rPr>
          <w:vertAlign w:val="superscript"/>
          <w:lang w:val="en-US"/>
        </w:rPr>
        <w:t xml:space="preserve"> </w:t>
      </w:r>
      <w:r w:rsidR="00D37BB1" w:rsidRPr="00D37BB1">
        <w:rPr>
          <w:lang w:val="en-US"/>
        </w:rPr>
        <w:t xml:space="preserve">and the </w:t>
      </w:r>
      <w:proofErr w:type="spellStart"/>
      <w:r w:rsidR="00D37BB1" w:rsidRPr="00D37BB1">
        <w:rPr>
          <w:lang w:val="en-US"/>
        </w:rPr>
        <w:t>travaux</w:t>
      </w:r>
      <w:proofErr w:type="spellEnd"/>
      <w:r w:rsidR="00D37BB1" w:rsidRPr="00D37BB1">
        <w:rPr>
          <w:lang w:val="en-US"/>
        </w:rPr>
        <w:t xml:space="preserve"> </w:t>
      </w:r>
      <w:proofErr w:type="spellStart"/>
      <w:r w:rsidR="00D37BB1" w:rsidRPr="00D37BB1">
        <w:rPr>
          <w:lang w:val="en-US"/>
        </w:rPr>
        <w:t>préparatoires</w:t>
      </w:r>
      <w:proofErr w:type="spellEnd"/>
      <w:r w:rsidR="00D37BB1" w:rsidRPr="00D37BB1">
        <w:rPr>
          <w:lang w:val="en-US"/>
        </w:rPr>
        <w:t>, it was argued from different angles that the Convention solely allows the adoption of temporary special measures</w:t>
      </w:r>
      <w:r w:rsidR="00D37BB1" w:rsidRPr="00D37BB1">
        <w:rPr>
          <w:vertAlign w:val="superscript"/>
          <w:lang w:val="en-US"/>
        </w:rPr>
        <w:footnoteReference w:id="321"/>
      </w:r>
      <w:r w:rsidR="00D37BB1" w:rsidRPr="00D37BB1">
        <w:rPr>
          <w:lang w:val="en-US"/>
        </w:rPr>
        <w:t>. In its 2004 general recommendation on article 4, the Committee decided to make short work of these assertions. States are obliged to adopt and implement affirmative action measures in relation to any of the substanti</w:t>
      </w:r>
      <w:r w:rsidR="00581F13">
        <w:rPr>
          <w:lang w:val="en-US"/>
        </w:rPr>
        <w:t xml:space="preserve">ve provisions in the Convention, </w:t>
      </w:r>
      <w:r w:rsidR="00D37BB1" w:rsidRPr="00D37BB1">
        <w:rPr>
          <w:lang w:val="en-US"/>
        </w:rPr>
        <w:t>if there is no less far-reaching way to accelerate the achievement of substantive equality for women</w:t>
      </w:r>
      <w:r w:rsidR="00D37BB1" w:rsidRPr="00D37BB1">
        <w:rPr>
          <w:vertAlign w:val="superscript"/>
          <w:lang w:val="en-US"/>
        </w:rPr>
        <w:footnoteReference w:id="322"/>
      </w:r>
      <w:r w:rsidR="00D37BB1" w:rsidRPr="00D37BB1">
        <w:rPr>
          <w:lang w:val="en-US"/>
        </w:rPr>
        <w:t>. ‘Maternity’ in the second paragraph of article 4 must be interpreted narrowly, as only referring to a w</w:t>
      </w:r>
      <w:r w:rsidR="005A1DCD">
        <w:rPr>
          <w:lang w:val="en-US"/>
        </w:rPr>
        <w:t>oman’s biological features (</w:t>
      </w:r>
      <w:r w:rsidR="005A1DCD">
        <w:rPr>
          <w:i/>
          <w:lang w:val="en-US"/>
        </w:rPr>
        <w:t>infra no. 84</w:t>
      </w:r>
      <w:r w:rsidR="00D37BB1" w:rsidRPr="00D37BB1">
        <w:rPr>
          <w:lang w:val="en-US"/>
        </w:rPr>
        <w:t xml:space="preserve">). Protective measures cannot be extended to child rearing because this would reaffirm and perpetuate the gendered division of </w:t>
      </w:r>
      <w:proofErr w:type="spellStart"/>
      <w:r w:rsidR="00D37BB1" w:rsidRPr="00D37BB1">
        <w:rPr>
          <w:lang w:val="en-US"/>
        </w:rPr>
        <w:t>labour</w:t>
      </w:r>
      <w:proofErr w:type="spellEnd"/>
      <w:r w:rsidR="00D37BB1" w:rsidRPr="00D37BB1">
        <w:rPr>
          <w:lang w:val="en-US"/>
        </w:rPr>
        <w:t xml:space="preserve"> and the archaic view of women as the weaker sex</w:t>
      </w:r>
      <w:r w:rsidR="00D37BB1" w:rsidRPr="00D37BB1">
        <w:rPr>
          <w:vertAlign w:val="superscript"/>
          <w:lang w:val="en-US"/>
        </w:rPr>
        <w:footnoteReference w:id="323"/>
      </w:r>
      <w:r w:rsidR="00D37BB1" w:rsidRPr="00D37BB1">
        <w:rPr>
          <w:lang w:val="en-US"/>
        </w:rPr>
        <w:t xml:space="preserve">.       </w:t>
      </w:r>
    </w:p>
    <w:p w:rsidR="00D37BB1" w:rsidRPr="00D37BB1" w:rsidRDefault="00431B5C" w:rsidP="00687D8A">
      <w:pPr>
        <w:spacing w:line="360" w:lineRule="auto"/>
        <w:jc w:val="both"/>
        <w:rPr>
          <w:lang w:val="en-US"/>
        </w:rPr>
      </w:pPr>
      <w:r>
        <w:rPr>
          <w:i/>
          <w:lang w:val="en-US"/>
        </w:rPr>
        <w:t>48</w:t>
      </w:r>
      <w:r w:rsidR="00116161" w:rsidRPr="00116161">
        <w:rPr>
          <w:i/>
          <w:lang w:val="en-US"/>
        </w:rPr>
        <w:t>.</w:t>
      </w:r>
      <w:r w:rsidR="00116161">
        <w:rPr>
          <w:lang w:val="en-US"/>
        </w:rPr>
        <w:t xml:space="preserve"> </w:t>
      </w:r>
      <w:r w:rsidR="00D37BB1" w:rsidRPr="00D37BB1">
        <w:rPr>
          <w:lang w:val="en-US"/>
        </w:rPr>
        <w:t xml:space="preserve">It can be concluded that, in terms of positive action, the EU institutions and the Committee on the Elimination of Discrimination against Women are located on the opposite sides of the spectrum. According to the latter, temporary special measures are indispensable to the attainment of substantive equality. In the eyes of the former, positive action measures are optional and derogate from the equality scheme. The affirmative action under the International </w:t>
      </w:r>
      <w:proofErr w:type="spellStart"/>
      <w:r w:rsidR="00D37BB1" w:rsidRPr="00D37BB1">
        <w:rPr>
          <w:lang w:val="en-US"/>
        </w:rPr>
        <w:t>Labour</w:t>
      </w:r>
      <w:proofErr w:type="spellEnd"/>
      <w:r w:rsidR="00D37BB1" w:rsidRPr="00D37BB1">
        <w:rPr>
          <w:lang w:val="en-US"/>
        </w:rPr>
        <w:t xml:space="preserve"> Organization and the European Social Charter may be situated somewhere in between the EU and the UN Convention regimes.  </w:t>
      </w:r>
    </w:p>
    <w:p w:rsidR="00D37BB1" w:rsidRPr="00D37BB1" w:rsidRDefault="00D37BB1" w:rsidP="00687D8A">
      <w:pPr>
        <w:spacing w:line="360" w:lineRule="auto"/>
        <w:jc w:val="both"/>
        <w:rPr>
          <w:u w:val="single"/>
          <w:lang w:val="en-US"/>
        </w:rPr>
      </w:pPr>
    </w:p>
    <w:p w:rsidR="00D37BB1" w:rsidRPr="00D37BB1" w:rsidRDefault="00D37BB1" w:rsidP="00687D8A">
      <w:pPr>
        <w:spacing w:line="360" w:lineRule="auto"/>
        <w:jc w:val="both"/>
        <w:rPr>
          <w:lang w:val="en-US"/>
        </w:rPr>
      </w:pPr>
    </w:p>
    <w:p w:rsidR="00D37BB1" w:rsidRDefault="00D37BB1" w:rsidP="00687D8A">
      <w:pPr>
        <w:spacing w:line="360" w:lineRule="auto"/>
        <w:jc w:val="both"/>
        <w:rPr>
          <w:lang w:val="en-US"/>
        </w:rPr>
      </w:pPr>
    </w:p>
    <w:p w:rsidR="00262271" w:rsidRDefault="00262271" w:rsidP="00687D8A">
      <w:pPr>
        <w:spacing w:line="360" w:lineRule="auto"/>
        <w:jc w:val="both"/>
        <w:rPr>
          <w:lang w:val="en-US"/>
        </w:rPr>
      </w:pPr>
    </w:p>
    <w:p w:rsidR="00D37BB1" w:rsidRPr="00D37BB1" w:rsidRDefault="00D37BB1" w:rsidP="00687D8A">
      <w:pPr>
        <w:spacing w:line="360" w:lineRule="auto"/>
        <w:jc w:val="both"/>
        <w:rPr>
          <w:u w:val="single"/>
          <w:lang w:val="en-US"/>
        </w:rPr>
      </w:pPr>
      <w:r w:rsidRPr="00D37BB1">
        <w:rPr>
          <w:u w:val="single"/>
          <w:lang w:val="en-US"/>
        </w:rPr>
        <w:lastRenderedPageBreak/>
        <w:t xml:space="preserve">Section II. Equal Pay </w:t>
      </w:r>
    </w:p>
    <w:p w:rsidR="00D37BB1" w:rsidRPr="00D37BB1" w:rsidRDefault="00D37BB1" w:rsidP="00687D8A">
      <w:pPr>
        <w:spacing w:line="360" w:lineRule="auto"/>
        <w:jc w:val="both"/>
        <w:rPr>
          <w:u w:val="single"/>
          <w:lang w:val="en-US"/>
        </w:rPr>
      </w:pPr>
      <w:r w:rsidRPr="00D37BB1">
        <w:rPr>
          <w:u w:val="single"/>
          <w:lang w:val="en-US"/>
        </w:rPr>
        <w:t>Introduction</w:t>
      </w:r>
    </w:p>
    <w:p w:rsidR="00D37BB1" w:rsidRPr="00D37BB1" w:rsidRDefault="006F6722" w:rsidP="00687D8A">
      <w:pPr>
        <w:spacing w:line="360" w:lineRule="auto"/>
        <w:jc w:val="both"/>
        <w:rPr>
          <w:lang w:val="en-US"/>
        </w:rPr>
      </w:pPr>
      <w:r>
        <w:rPr>
          <w:i/>
          <w:lang w:val="en-US"/>
        </w:rPr>
        <w:t>49</w:t>
      </w:r>
      <w:r w:rsidR="00642E9E" w:rsidRPr="00642E9E">
        <w:rPr>
          <w:i/>
          <w:lang w:val="en-US"/>
        </w:rPr>
        <w:t>.</w:t>
      </w:r>
      <w:r w:rsidR="00642E9E">
        <w:rPr>
          <w:lang w:val="en-US"/>
        </w:rPr>
        <w:t xml:space="preserve"> </w:t>
      </w:r>
      <w:r w:rsidR="00D37BB1" w:rsidRPr="00D37BB1">
        <w:rPr>
          <w:lang w:val="en-US"/>
        </w:rPr>
        <w:t>Widely discussed amongst feminists is the sex differential in earnings, also referred to as the pay gap or wage gap. This expression refers to the difference between average female and male hourly earnings</w:t>
      </w:r>
      <w:r w:rsidR="00D37BB1" w:rsidRPr="00D37BB1">
        <w:rPr>
          <w:vertAlign w:val="superscript"/>
          <w:lang w:val="en-US"/>
        </w:rPr>
        <w:footnoteReference w:id="324"/>
      </w:r>
      <w:r w:rsidR="00D37BB1" w:rsidRPr="00D37BB1">
        <w:rPr>
          <w:lang w:val="en-US"/>
        </w:rPr>
        <w:t>. The result of blatant discrimination, this gap in earnings could be as wide as 50% in the first half of the 20</w:t>
      </w:r>
      <w:r w:rsidR="00D37BB1" w:rsidRPr="00D37BB1">
        <w:rPr>
          <w:vertAlign w:val="superscript"/>
          <w:lang w:val="en-US"/>
        </w:rPr>
        <w:t>th</w:t>
      </w:r>
      <w:r w:rsidR="00D37BB1" w:rsidRPr="00D37BB1">
        <w:rPr>
          <w:lang w:val="en-US"/>
        </w:rPr>
        <w:t xml:space="preserve"> century. Due to the introduction of measures by international organizations, the gap</w:t>
      </w:r>
      <w:r w:rsidR="00F94A3E">
        <w:rPr>
          <w:lang w:val="en-US"/>
        </w:rPr>
        <w:t xml:space="preserve"> has</w:t>
      </w:r>
      <w:r w:rsidR="00D37BB1" w:rsidRPr="00D37BB1">
        <w:rPr>
          <w:lang w:val="en-US"/>
        </w:rPr>
        <w:t xml:space="preserve"> signif</w:t>
      </w:r>
      <w:r w:rsidR="00160351">
        <w:rPr>
          <w:lang w:val="en-US"/>
        </w:rPr>
        <w:t>icantly decreased. Up to this day</w:t>
      </w:r>
      <w:r w:rsidR="00D37BB1" w:rsidRPr="00D37BB1">
        <w:rPr>
          <w:lang w:val="en-US"/>
        </w:rPr>
        <w:t xml:space="preserve"> however</w:t>
      </w:r>
      <w:r w:rsidR="00160351">
        <w:rPr>
          <w:lang w:val="en-US"/>
        </w:rPr>
        <w:t>, it has</w:t>
      </w:r>
      <w:r w:rsidR="00D37BB1" w:rsidRPr="00D37BB1">
        <w:rPr>
          <w:lang w:val="en-US"/>
        </w:rPr>
        <w:t xml:space="preserve"> not yet </w:t>
      </w:r>
      <w:r w:rsidR="00160351">
        <w:rPr>
          <w:lang w:val="en-US"/>
        </w:rPr>
        <w:t>been completely effaced</w:t>
      </w:r>
      <w:r w:rsidR="00D37BB1" w:rsidRPr="00D37BB1">
        <w:rPr>
          <w:lang w:val="en-US"/>
        </w:rPr>
        <w:t>. Research shows that pay differences between 25% and 10% persist in the distinct EU member states</w:t>
      </w:r>
      <w:r w:rsidR="00D37BB1" w:rsidRPr="00D37BB1">
        <w:rPr>
          <w:vertAlign w:val="superscript"/>
          <w:lang w:val="en-US"/>
        </w:rPr>
        <w:footnoteReference w:id="325"/>
      </w:r>
      <w:r w:rsidR="00D37BB1" w:rsidRPr="00D37BB1">
        <w:rPr>
          <w:lang w:val="en-US"/>
        </w:rPr>
        <w:t>. They are thus, as expressed by one particular scholar, ‘woven into the fabric of society’</w:t>
      </w:r>
      <w:r w:rsidR="00D37BB1" w:rsidRPr="00D37BB1">
        <w:rPr>
          <w:vertAlign w:val="superscript"/>
          <w:lang w:val="en-US"/>
        </w:rPr>
        <w:footnoteReference w:id="326"/>
      </w:r>
      <w:r w:rsidR="00D37BB1" w:rsidRPr="00D37BB1">
        <w:rPr>
          <w:lang w:val="en-US"/>
        </w:rPr>
        <w:t xml:space="preserve"> and anti-discrimination measures alone might not be sufficient to eradicate them.</w:t>
      </w:r>
    </w:p>
    <w:p w:rsidR="00D37BB1" w:rsidRPr="00D37BB1" w:rsidRDefault="00D37BB1" w:rsidP="00687D8A">
      <w:pPr>
        <w:spacing w:line="360" w:lineRule="auto"/>
        <w:jc w:val="both"/>
        <w:rPr>
          <w:u w:val="single"/>
          <w:lang w:val="en-US"/>
        </w:rPr>
      </w:pPr>
      <w:r w:rsidRPr="00D37BB1">
        <w:rPr>
          <w:u w:val="single"/>
          <w:lang w:val="en-US"/>
        </w:rPr>
        <w:t xml:space="preserve">The International </w:t>
      </w:r>
      <w:proofErr w:type="spellStart"/>
      <w:r w:rsidRPr="00D37BB1">
        <w:rPr>
          <w:u w:val="single"/>
          <w:lang w:val="en-US"/>
        </w:rPr>
        <w:t>Labour</w:t>
      </w:r>
      <w:proofErr w:type="spellEnd"/>
      <w:r w:rsidRPr="00D37BB1">
        <w:rPr>
          <w:u w:val="single"/>
          <w:lang w:val="en-US"/>
        </w:rPr>
        <w:t xml:space="preserve"> Organization</w:t>
      </w:r>
    </w:p>
    <w:p w:rsidR="00D37BB1" w:rsidRPr="00D37BB1" w:rsidRDefault="006F6722" w:rsidP="00687D8A">
      <w:pPr>
        <w:spacing w:line="360" w:lineRule="auto"/>
        <w:jc w:val="both"/>
        <w:rPr>
          <w:lang w:val="en-US"/>
        </w:rPr>
      </w:pPr>
      <w:r>
        <w:rPr>
          <w:i/>
          <w:lang w:val="en-US"/>
        </w:rPr>
        <w:t>50</w:t>
      </w:r>
      <w:r w:rsidR="00642E9E" w:rsidRPr="00642E9E">
        <w:rPr>
          <w:i/>
          <w:lang w:val="en-US"/>
        </w:rPr>
        <w:t>.</w:t>
      </w:r>
      <w:r w:rsidR="00642E9E">
        <w:rPr>
          <w:lang w:val="en-US"/>
        </w:rPr>
        <w:t xml:space="preserve"> </w:t>
      </w:r>
      <w:r w:rsidR="00D37BB1" w:rsidRPr="00D37BB1">
        <w:rPr>
          <w:lang w:val="en-US"/>
        </w:rPr>
        <w:t>Since the ILO equal remuneration Convention</w:t>
      </w:r>
      <w:r w:rsidR="00D37BB1" w:rsidRPr="00D37BB1">
        <w:rPr>
          <w:vertAlign w:val="superscript"/>
          <w:lang w:val="en-US"/>
        </w:rPr>
        <w:footnoteReference w:id="327"/>
      </w:r>
      <w:r w:rsidR="00D37BB1" w:rsidRPr="00D37BB1">
        <w:rPr>
          <w:lang w:val="en-US"/>
        </w:rPr>
        <w:t xml:space="preserve"> inspired the drafters of other equal pay provisions, it is useful to discuss this regime first. Convention no. 100 is one of the eight fundamental ILO Conventions</w:t>
      </w:r>
      <w:r w:rsidR="00D37BB1" w:rsidRPr="00D37BB1">
        <w:rPr>
          <w:vertAlign w:val="superscript"/>
          <w:lang w:val="en-US"/>
        </w:rPr>
        <w:footnoteReference w:id="328"/>
      </w:r>
      <w:r w:rsidR="007825A8">
        <w:rPr>
          <w:lang w:val="en-US"/>
        </w:rPr>
        <w:t xml:space="preserve"> (</w:t>
      </w:r>
      <w:r w:rsidR="007825A8">
        <w:rPr>
          <w:i/>
          <w:lang w:val="en-US"/>
        </w:rPr>
        <w:t>supra no. 32</w:t>
      </w:r>
      <w:r w:rsidR="00D37BB1" w:rsidRPr="00D37BB1">
        <w:rPr>
          <w:lang w:val="en-US"/>
        </w:rPr>
        <w:t xml:space="preserve">). It is nevertheless partly of a promotional nature. State parties are only bound to ensure the application of the equal pay principle where they are in a position to affect the wage-fixing process. Where the assignment of the level of remuneration is left to collective bargaining, the government </w:t>
      </w:r>
      <w:r w:rsidR="00AB4E17">
        <w:rPr>
          <w:lang w:val="en-US"/>
        </w:rPr>
        <w:t xml:space="preserve">merely has </w:t>
      </w:r>
      <w:r w:rsidR="00D37BB1" w:rsidRPr="00D37BB1">
        <w:rPr>
          <w:lang w:val="en-US"/>
        </w:rPr>
        <w:t>a promotional duty</w:t>
      </w:r>
      <w:r w:rsidR="00D37BB1" w:rsidRPr="00D37BB1">
        <w:rPr>
          <w:vertAlign w:val="superscript"/>
          <w:lang w:val="en-US"/>
        </w:rPr>
        <w:footnoteReference w:id="329"/>
      </w:r>
      <w:r w:rsidR="00D37BB1" w:rsidRPr="00D37BB1">
        <w:rPr>
          <w:lang w:val="en-US"/>
        </w:rPr>
        <w:t>. The ILO regime does not oblige states to include the principle of equal remuneration in their national legislation</w:t>
      </w:r>
      <w:r w:rsidR="00D37BB1" w:rsidRPr="00D37BB1">
        <w:rPr>
          <w:vertAlign w:val="superscript"/>
          <w:lang w:val="en-US"/>
        </w:rPr>
        <w:footnoteReference w:id="330"/>
      </w:r>
      <w:r w:rsidR="00D37BB1" w:rsidRPr="00D37BB1">
        <w:rPr>
          <w:lang w:val="en-US"/>
        </w:rPr>
        <w:t xml:space="preserve">. Convention no. 100 wants to guarantee equal remuneration for female and male workers for work of equal value. The latter term covers not only the same or </w:t>
      </w:r>
      <w:r w:rsidR="00D37BB1" w:rsidRPr="00D37BB1">
        <w:rPr>
          <w:lang w:val="en-US"/>
        </w:rPr>
        <w:lastRenderedPageBreak/>
        <w:t xml:space="preserve">similar work but </w:t>
      </w:r>
      <w:r w:rsidR="009533CA">
        <w:rPr>
          <w:lang w:val="en-US"/>
        </w:rPr>
        <w:t xml:space="preserve">also work of a different nature, </w:t>
      </w:r>
      <w:r w:rsidR="00D37BB1" w:rsidRPr="00D37BB1">
        <w:rPr>
          <w:lang w:val="en-US"/>
        </w:rPr>
        <w:t>which is nonetheless of equal value</w:t>
      </w:r>
      <w:r w:rsidR="00D37BB1" w:rsidRPr="00D37BB1">
        <w:rPr>
          <w:vertAlign w:val="superscript"/>
          <w:lang w:val="en-US"/>
        </w:rPr>
        <w:footnoteReference w:id="331"/>
      </w:r>
      <w:r w:rsidR="00D37BB1" w:rsidRPr="00D37BB1">
        <w:rPr>
          <w:lang w:val="en-US"/>
        </w:rPr>
        <w:t>. The inclusion of distinct jobs of equal value is essential for the reduction of structural inequality. Owing to historical and stereotypical assumptions, work performed by women is often undervalued. This leads to lower wages being paid in sectors where women are over-represented (</w:t>
      </w:r>
      <w:r w:rsidR="00D37BB1" w:rsidRPr="00D37BB1">
        <w:rPr>
          <w:i/>
          <w:lang w:val="en-US"/>
        </w:rPr>
        <w:t>supra</w:t>
      </w:r>
      <w:r w:rsidR="002108D1">
        <w:rPr>
          <w:lang w:val="en-US"/>
        </w:rPr>
        <w:t xml:space="preserve"> no. 43</w:t>
      </w:r>
      <w:r w:rsidR="00D37BB1" w:rsidRPr="00D37BB1">
        <w:rPr>
          <w:lang w:val="en-US"/>
        </w:rPr>
        <w:t xml:space="preserve">) </w:t>
      </w:r>
      <w:r w:rsidR="00D37BB1" w:rsidRPr="00D37BB1">
        <w:rPr>
          <w:vertAlign w:val="superscript"/>
          <w:lang w:val="en-US"/>
        </w:rPr>
        <w:footnoteReference w:id="332"/>
      </w:r>
      <w:r w:rsidR="00D37BB1" w:rsidRPr="00D37BB1">
        <w:rPr>
          <w:lang w:val="en-US"/>
        </w:rPr>
        <w:t>. Ascertaining whether a male-dominated job and a female-dominated job are of equal value is however far from easy. The Convention therefore requires that the parties promote objective job appraisals, based on a comparison of skills, physical and emotional demands, responsibility and working conditions</w:t>
      </w:r>
      <w:r w:rsidR="00D37BB1" w:rsidRPr="00D37BB1">
        <w:rPr>
          <w:vertAlign w:val="superscript"/>
          <w:lang w:val="en-US"/>
        </w:rPr>
        <w:footnoteReference w:id="333"/>
      </w:r>
      <w:r w:rsidR="00D37BB1" w:rsidRPr="00D37BB1">
        <w:rPr>
          <w:lang w:val="en-US"/>
        </w:rPr>
        <w:t>. According to the Committee of Experts, job comparison should be as wide as possible and should not be limited to a single establishment or enterprise</w:t>
      </w:r>
      <w:r w:rsidR="00D37BB1" w:rsidRPr="00D37BB1">
        <w:rPr>
          <w:vertAlign w:val="superscript"/>
          <w:lang w:val="en-US"/>
        </w:rPr>
        <w:footnoteReference w:id="334"/>
      </w:r>
      <w:r w:rsidR="00D37BB1" w:rsidRPr="00D37BB1">
        <w:rPr>
          <w:lang w:val="en-US"/>
        </w:rPr>
        <w:t>. If it is determined that two jobs are of equal worth, equal remuneration needs to be granted to the women and men performing them</w:t>
      </w:r>
      <w:r w:rsidR="00D37BB1" w:rsidRPr="00D37BB1">
        <w:rPr>
          <w:vertAlign w:val="superscript"/>
          <w:lang w:val="en-US"/>
        </w:rPr>
        <w:footnoteReference w:id="335"/>
      </w:r>
      <w:r w:rsidR="00D37BB1" w:rsidRPr="00D37BB1">
        <w:rPr>
          <w:lang w:val="en-US"/>
        </w:rPr>
        <w:t>. In order to prevent both direct and indirect pay discrimination, a broad interpretation has been given to ‘remuneration’</w:t>
      </w:r>
      <w:r w:rsidR="00D37BB1" w:rsidRPr="00D37BB1">
        <w:rPr>
          <w:vertAlign w:val="superscript"/>
          <w:lang w:val="en-US"/>
        </w:rPr>
        <w:footnoteReference w:id="336"/>
      </w:r>
      <w:r w:rsidR="00D37BB1" w:rsidRPr="00D37BB1">
        <w:rPr>
          <w:lang w:val="en-US"/>
        </w:rPr>
        <w:t>. It includes amongst other increments based on seniority and marital status, cost-of-living allowances, dependency allowances and housing allowances</w:t>
      </w:r>
      <w:r w:rsidR="00D37BB1" w:rsidRPr="00D37BB1">
        <w:rPr>
          <w:vertAlign w:val="superscript"/>
          <w:lang w:val="en-US"/>
        </w:rPr>
        <w:footnoteReference w:id="337"/>
      </w:r>
      <w:r w:rsidR="00D37BB1" w:rsidRPr="00D37BB1">
        <w:rPr>
          <w:lang w:val="en-US"/>
        </w:rPr>
        <w:t>. Social security benefits paid for by the employer are likewise situated under ‘remuneration’</w:t>
      </w:r>
      <w:r w:rsidR="00D37BB1" w:rsidRPr="00D37BB1">
        <w:rPr>
          <w:vertAlign w:val="superscript"/>
          <w:lang w:val="en-US"/>
        </w:rPr>
        <w:footnoteReference w:id="338"/>
      </w:r>
      <w:r w:rsidR="00D37BB1" w:rsidRPr="00D37BB1">
        <w:rPr>
          <w:lang w:val="en-US"/>
        </w:rPr>
        <w:t>. Compensation conferred to female workers when they resign due to marriage or pregnancy has been found to be incompatible with the equal remuneration Convention</w:t>
      </w:r>
      <w:r w:rsidR="00D37BB1" w:rsidRPr="00D37BB1">
        <w:rPr>
          <w:vertAlign w:val="superscript"/>
          <w:lang w:val="en-US"/>
        </w:rPr>
        <w:footnoteReference w:id="339"/>
      </w:r>
      <w:r w:rsidR="00D37BB1" w:rsidRPr="00D37BB1">
        <w:rPr>
          <w:lang w:val="en-US"/>
        </w:rPr>
        <w:t xml:space="preserve">.  </w:t>
      </w:r>
    </w:p>
    <w:p w:rsidR="00D37BB1" w:rsidRPr="00D37BB1" w:rsidRDefault="00D37BB1" w:rsidP="00687D8A">
      <w:pPr>
        <w:spacing w:line="360" w:lineRule="auto"/>
        <w:jc w:val="both"/>
        <w:rPr>
          <w:u w:val="single"/>
          <w:lang w:val="en-US"/>
        </w:rPr>
      </w:pPr>
      <w:r w:rsidRPr="00D37BB1">
        <w:rPr>
          <w:u w:val="single"/>
          <w:lang w:val="en-US"/>
        </w:rPr>
        <w:t xml:space="preserve">The UN Convention on the Elimination of All Forms of Discrimination against Women </w:t>
      </w:r>
    </w:p>
    <w:p w:rsidR="00D37BB1" w:rsidRPr="00D37BB1" w:rsidRDefault="00A953AA" w:rsidP="00687D8A">
      <w:pPr>
        <w:spacing w:line="360" w:lineRule="auto"/>
        <w:jc w:val="both"/>
        <w:rPr>
          <w:lang w:val="en-US"/>
        </w:rPr>
      </w:pPr>
      <w:r>
        <w:rPr>
          <w:i/>
          <w:lang w:val="en-US"/>
        </w:rPr>
        <w:t>51</w:t>
      </w:r>
      <w:r w:rsidR="009219B6" w:rsidRPr="009219B6">
        <w:rPr>
          <w:i/>
          <w:lang w:val="en-US"/>
        </w:rPr>
        <w:t>.</w:t>
      </w:r>
      <w:r w:rsidR="009219B6">
        <w:rPr>
          <w:lang w:val="en-US"/>
        </w:rPr>
        <w:t xml:space="preserve"> </w:t>
      </w:r>
      <w:r w:rsidR="00D37BB1" w:rsidRPr="00D37BB1">
        <w:rPr>
          <w:lang w:val="en-US"/>
        </w:rPr>
        <w:t xml:space="preserve">The </w:t>
      </w:r>
      <w:proofErr w:type="spellStart"/>
      <w:r w:rsidR="00D37BB1" w:rsidRPr="00D37BB1">
        <w:rPr>
          <w:lang w:val="en-US"/>
        </w:rPr>
        <w:t>travaux</w:t>
      </w:r>
      <w:proofErr w:type="spellEnd"/>
      <w:r w:rsidR="00D37BB1" w:rsidRPr="00D37BB1">
        <w:rPr>
          <w:lang w:val="en-US"/>
        </w:rPr>
        <w:t xml:space="preserve"> </w:t>
      </w:r>
      <w:proofErr w:type="spellStart"/>
      <w:r w:rsidR="00D37BB1" w:rsidRPr="00D37BB1">
        <w:rPr>
          <w:lang w:val="en-US"/>
        </w:rPr>
        <w:t>préparatoires</w:t>
      </w:r>
      <w:proofErr w:type="spellEnd"/>
      <w:r w:rsidR="00D37BB1" w:rsidRPr="00D37BB1">
        <w:rPr>
          <w:lang w:val="en-US"/>
        </w:rPr>
        <w:t xml:space="preserve"> of the UN Convention on the Elimination of Disc</w:t>
      </w:r>
      <w:r w:rsidR="008C741A">
        <w:rPr>
          <w:lang w:val="en-US"/>
        </w:rPr>
        <w:t xml:space="preserve">rimination against Women convey </w:t>
      </w:r>
      <w:r w:rsidR="00D37BB1" w:rsidRPr="00D37BB1">
        <w:rPr>
          <w:lang w:val="en-US"/>
        </w:rPr>
        <w:t xml:space="preserve">that article 11(1)(d) on the right to equal remuneration is mainly </w:t>
      </w:r>
      <w:r w:rsidR="00D37BB1" w:rsidRPr="00D37BB1">
        <w:rPr>
          <w:lang w:val="en-US"/>
        </w:rPr>
        <w:lastRenderedPageBreak/>
        <w:t>based on the provisions in ILO Convention no. 100</w:t>
      </w:r>
      <w:r w:rsidR="00D37BB1" w:rsidRPr="00D37BB1">
        <w:rPr>
          <w:vertAlign w:val="superscript"/>
          <w:lang w:val="en-US"/>
        </w:rPr>
        <w:footnoteReference w:id="340"/>
      </w:r>
      <w:r w:rsidR="00D37BB1" w:rsidRPr="00D37BB1">
        <w:rPr>
          <w:lang w:val="en-US"/>
        </w:rPr>
        <w:t>. The Women’s Committee has also emphasized the importance of Convention no. 100 on several occasions. The ILO equal remuneration Convention is mentioned twice in a very brief General Recommendation</w:t>
      </w:r>
      <w:r w:rsidR="00D37BB1" w:rsidRPr="00D37BB1">
        <w:rPr>
          <w:vertAlign w:val="superscript"/>
          <w:lang w:val="en-US"/>
        </w:rPr>
        <w:footnoteReference w:id="341"/>
      </w:r>
      <w:r w:rsidR="00D37BB1" w:rsidRPr="00D37BB1">
        <w:rPr>
          <w:lang w:val="en-US"/>
        </w:rPr>
        <w:t xml:space="preserve"> and the Committee has encouraged states to ratify it</w:t>
      </w:r>
      <w:r w:rsidR="00D37BB1" w:rsidRPr="00D37BB1">
        <w:rPr>
          <w:vertAlign w:val="superscript"/>
          <w:lang w:val="en-US"/>
        </w:rPr>
        <w:footnoteReference w:id="342"/>
      </w:r>
      <w:r w:rsidR="00D37BB1" w:rsidRPr="00D37BB1">
        <w:rPr>
          <w:lang w:val="en-US"/>
        </w:rPr>
        <w:t>. The pay gap is touched upon in nearly every concluding comment</w:t>
      </w:r>
      <w:r w:rsidR="00D37BB1" w:rsidRPr="00D37BB1">
        <w:rPr>
          <w:vertAlign w:val="superscript"/>
          <w:lang w:val="en-US"/>
        </w:rPr>
        <w:footnoteReference w:id="343"/>
      </w:r>
      <w:r w:rsidR="00D37BB1" w:rsidRPr="00D37BB1">
        <w:rPr>
          <w:lang w:val="en-US"/>
        </w:rPr>
        <w:t>, which evidences how widespread and persistent it is. States are reminded of the causal link between the wage gap and occupational segregation</w:t>
      </w:r>
      <w:r w:rsidR="00D37BB1" w:rsidRPr="00D37BB1">
        <w:rPr>
          <w:vertAlign w:val="superscript"/>
          <w:lang w:val="en-US"/>
        </w:rPr>
        <w:footnoteReference w:id="344"/>
      </w:r>
      <w:r w:rsidR="00D37BB1" w:rsidRPr="00D37BB1">
        <w:rPr>
          <w:lang w:val="en-US"/>
        </w:rPr>
        <w:t>. Both the text of the UN Convention</w:t>
      </w:r>
      <w:r w:rsidR="00D37BB1" w:rsidRPr="00D37BB1">
        <w:rPr>
          <w:vertAlign w:val="superscript"/>
          <w:lang w:val="en-US"/>
        </w:rPr>
        <w:footnoteReference w:id="345"/>
      </w:r>
      <w:r w:rsidR="00D37BB1" w:rsidRPr="00D37BB1">
        <w:rPr>
          <w:lang w:val="en-US"/>
        </w:rPr>
        <w:t xml:space="preserve"> and the Committee’s statements</w:t>
      </w:r>
      <w:r w:rsidR="00D37BB1" w:rsidRPr="00D37BB1">
        <w:rPr>
          <w:vertAlign w:val="superscript"/>
          <w:lang w:val="en-US"/>
        </w:rPr>
        <w:footnoteReference w:id="346"/>
      </w:r>
      <w:r w:rsidR="00D37BB1" w:rsidRPr="00D37BB1">
        <w:rPr>
          <w:lang w:val="en-US"/>
        </w:rPr>
        <w:t xml:space="preserve"> indicate that objective job evaluation is of great importance. The latter is considered to be an inherent part of the principle of equal pay for work of equal value</w:t>
      </w:r>
      <w:r w:rsidR="00D37BB1" w:rsidRPr="00D37BB1">
        <w:rPr>
          <w:vertAlign w:val="superscript"/>
          <w:lang w:val="en-US"/>
        </w:rPr>
        <w:footnoteReference w:id="347"/>
      </w:r>
      <w:r w:rsidR="00D37BB1" w:rsidRPr="00D37BB1">
        <w:rPr>
          <w:lang w:val="en-US"/>
        </w:rPr>
        <w:t>. ‘Remuneration’ is, not surprisingly, given the same broad definition as under Convention no. 100</w:t>
      </w:r>
      <w:r w:rsidR="00D37BB1" w:rsidRPr="00D37BB1">
        <w:rPr>
          <w:vertAlign w:val="superscript"/>
          <w:lang w:val="en-US"/>
        </w:rPr>
        <w:footnoteReference w:id="348"/>
      </w:r>
      <w:r w:rsidR="00D37BB1" w:rsidRPr="00D37BB1">
        <w:rPr>
          <w:lang w:val="en-US"/>
        </w:rPr>
        <w:t xml:space="preserve">. </w:t>
      </w:r>
    </w:p>
    <w:p w:rsidR="00D37BB1" w:rsidRPr="00D37BB1" w:rsidRDefault="00D37BB1" w:rsidP="00687D8A">
      <w:pPr>
        <w:spacing w:line="360" w:lineRule="auto"/>
        <w:jc w:val="both"/>
        <w:rPr>
          <w:u w:val="single"/>
          <w:lang w:val="en-US"/>
        </w:rPr>
      </w:pPr>
      <w:r w:rsidRPr="00D37BB1">
        <w:rPr>
          <w:u w:val="single"/>
          <w:lang w:val="en-US"/>
        </w:rPr>
        <w:t xml:space="preserve">The </w:t>
      </w:r>
      <w:r w:rsidR="0078530B">
        <w:rPr>
          <w:u w:val="single"/>
          <w:lang w:val="en-US"/>
        </w:rPr>
        <w:t xml:space="preserve">Revised </w:t>
      </w:r>
      <w:r w:rsidRPr="00D37BB1">
        <w:rPr>
          <w:u w:val="single"/>
          <w:lang w:val="en-US"/>
        </w:rPr>
        <w:t>European Social Charter</w:t>
      </w:r>
    </w:p>
    <w:p w:rsidR="00D37BB1" w:rsidRDefault="00A953AA" w:rsidP="00687D8A">
      <w:pPr>
        <w:spacing w:line="360" w:lineRule="auto"/>
        <w:jc w:val="both"/>
        <w:rPr>
          <w:lang w:val="en-US"/>
        </w:rPr>
      </w:pPr>
      <w:r>
        <w:rPr>
          <w:i/>
          <w:lang w:val="en-US"/>
        </w:rPr>
        <w:t>52</w:t>
      </w:r>
      <w:r w:rsidR="00671326" w:rsidRPr="00671326">
        <w:rPr>
          <w:i/>
          <w:lang w:val="en-US"/>
        </w:rPr>
        <w:t>.</w:t>
      </w:r>
      <w:r w:rsidR="00671326">
        <w:rPr>
          <w:lang w:val="en-US"/>
        </w:rPr>
        <w:t xml:space="preserve"> </w:t>
      </w:r>
      <w:r w:rsidR="00D37BB1" w:rsidRPr="00D37BB1">
        <w:rPr>
          <w:lang w:val="en-US"/>
        </w:rPr>
        <w:t>Article 4(3) on the right to equal pay for work of equal value in both the Revised and the original European Social Charter</w:t>
      </w:r>
      <w:r w:rsidR="00D37BB1" w:rsidRPr="00D37BB1">
        <w:rPr>
          <w:vertAlign w:val="superscript"/>
          <w:lang w:val="en-US"/>
        </w:rPr>
        <w:footnoteReference w:id="349"/>
      </w:r>
      <w:r w:rsidR="00D37BB1" w:rsidRPr="00D37BB1">
        <w:rPr>
          <w:lang w:val="en-US"/>
        </w:rPr>
        <w:t xml:space="preserve"> has been referred to as ‘one of the most important provisions of the Charter’</w:t>
      </w:r>
      <w:r w:rsidR="00D37BB1" w:rsidRPr="00D37BB1">
        <w:rPr>
          <w:vertAlign w:val="superscript"/>
          <w:lang w:val="en-US"/>
        </w:rPr>
        <w:footnoteReference w:id="350"/>
      </w:r>
      <w:r w:rsidR="00D37BB1" w:rsidRPr="00D37BB1">
        <w:rPr>
          <w:lang w:val="en-US"/>
        </w:rPr>
        <w:t>. Since the adoption of the revised Charter, the right to equal pay is strengthened by the general provision on sex equality</w:t>
      </w:r>
      <w:r w:rsidR="00D37BB1" w:rsidRPr="00D37BB1">
        <w:rPr>
          <w:vertAlign w:val="superscript"/>
          <w:lang w:val="en-US"/>
        </w:rPr>
        <w:footnoteReference w:id="351"/>
      </w:r>
      <w:r w:rsidR="00A3068C">
        <w:rPr>
          <w:lang w:val="en-US"/>
        </w:rPr>
        <w:t>. A</w:t>
      </w:r>
      <w:r w:rsidR="00D37BB1" w:rsidRPr="00D37BB1">
        <w:rPr>
          <w:lang w:val="en-US"/>
        </w:rPr>
        <w:t xml:space="preserve">s in </w:t>
      </w:r>
      <w:r w:rsidR="00082C3B">
        <w:rPr>
          <w:lang w:val="en-US"/>
        </w:rPr>
        <w:t xml:space="preserve">the </w:t>
      </w:r>
      <w:r w:rsidR="00D37BB1" w:rsidRPr="00D37BB1">
        <w:rPr>
          <w:lang w:val="en-US"/>
        </w:rPr>
        <w:t>case of the EU and the Convention on Discrimination against Women, article 4(3) was based on ILO Convention no. 100. The European Committee of Social Rights however before long clarified that the Charter goes further than Convention no. 100</w:t>
      </w:r>
      <w:r w:rsidR="00D37BB1" w:rsidRPr="00D37BB1">
        <w:rPr>
          <w:vertAlign w:val="superscript"/>
          <w:lang w:val="en-US"/>
        </w:rPr>
        <w:footnoteReference w:id="352"/>
      </w:r>
      <w:r w:rsidR="00D37BB1" w:rsidRPr="00D37BB1">
        <w:rPr>
          <w:lang w:val="en-US"/>
        </w:rPr>
        <w:t>. The obligation for parties under the Charter to ensure enjoyment of the right to equal pay is absolute</w:t>
      </w:r>
      <w:r w:rsidR="00D37BB1" w:rsidRPr="00D37BB1">
        <w:rPr>
          <w:vertAlign w:val="superscript"/>
          <w:lang w:val="en-US"/>
        </w:rPr>
        <w:t xml:space="preserve"> </w:t>
      </w:r>
      <w:r w:rsidR="00D37BB1" w:rsidRPr="00D37BB1">
        <w:rPr>
          <w:lang w:val="en-US"/>
        </w:rPr>
        <w:t xml:space="preserve">and it must be expressly mentioned in national </w:t>
      </w:r>
      <w:r w:rsidR="00D37BB1" w:rsidRPr="00D37BB1">
        <w:rPr>
          <w:lang w:val="en-US"/>
        </w:rPr>
        <w:lastRenderedPageBreak/>
        <w:t>legislation</w:t>
      </w:r>
      <w:r w:rsidR="00D37BB1" w:rsidRPr="00D37BB1">
        <w:rPr>
          <w:vertAlign w:val="superscript"/>
          <w:lang w:val="en-US"/>
        </w:rPr>
        <w:footnoteReference w:id="353"/>
      </w:r>
      <w:r w:rsidR="00D37BB1" w:rsidRPr="00D37BB1">
        <w:rPr>
          <w:lang w:val="en-US"/>
        </w:rPr>
        <w:t xml:space="preserve">. These requirements contrast with Convention no. 100. According to the Committee, parties are obliged to develop appropriate schemes for job appraisal. These schemes must be based on the features </w:t>
      </w:r>
      <w:r w:rsidR="00597542">
        <w:rPr>
          <w:lang w:val="en-US"/>
        </w:rPr>
        <w:t>of the posts under consideration</w:t>
      </w:r>
      <w:r w:rsidR="00D37BB1" w:rsidRPr="00D37BB1">
        <w:rPr>
          <w:lang w:val="en-US"/>
        </w:rPr>
        <w:t>, not on the personal characteristics of the workers</w:t>
      </w:r>
      <w:r w:rsidR="00D37BB1" w:rsidRPr="00D37BB1">
        <w:rPr>
          <w:vertAlign w:val="superscript"/>
          <w:lang w:val="en-US"/>
        </w:rPr>
        <w:footnoteReference w:id="354"/>
      </w:r>
      <w:r w:rsidR="00D37BB1" w:rsidRPr="00D37BB1">
        <w:rPr>
          <w:lang w:val="en-US"/>
        </w:rPr>
        <w:t>. Criteria such as willingness to work overtime, to take on jobs with difficult working hours or muscular effort are not accepted by the Committee</w:t>
      </w:r>
      <w:r w:rsidR="004A6E6E">
        <w:rPr>
          <w:lang w:val="en-US"/>
        </w:rPr>
        <w:t>,</w:t>
      </w:r>
      <w:r w:rsidR="00D37BB1" w:rsidRPr="00D37BB1">
        <w:rPr>
          <w:lang w:val="en-US"/>
        </w:rPr>
        <w:t xml:space="preserve"> as they may be discriminatory against women workers</w:t>
      </w:r>
      <w:r w:rsidR="00D37BB1" w:rsidRPr="00D37BB1">
        <w:rPr>
          <w:vertAlign w:val="superscript"/>
          <w:lang w:val="en-US"/>
        </w:rPr>
        <w:footnoteReference w:id="355"/>
      </w:r>
      <w:r w:rsidR="00D37BB1" w:rsidRPr="00D37BB1">
        <w:rPr>
          <w:lang w:val="en-US"/>
        </w:rPr>
        <w:t>. In the footsteps of the Committee of Experts, it was stated that comparisons of male and female dominated jobs cannot be limited to one enterprise alone. Wage and job comparisons must extend to other companies</w:t>
      </w:r>
      <w:r w:rsidR="00D37BB1" w:rsidRPr="00D37BB1">
        <w:rPr>
          <w:vertAlign w:val="superscript"/>
          <w:lang w:val="en-US"/>
        </w:rPr>
        <w:footnoteReference w:id="356"/>
      </w:r>
      <w:r w:rsidR="00D37BB1" w:rsidRPr="00D37BB1">
        <w:rPr>
          <w:lang w:val="en-US"/>
        </w:rPr>
        <w:t>. ‘Pay’ has been defined broadly, in a manner similar to the ILO Convention</w:t>
      </w:r>
      <w:r w:rsidR="00D37BB1" w:rsidRPr="00D37BB1">
        <w:rPr>
          <w:vertAlign w:val="superscript"/>
          <w:lang w:val="en-US"/>
        </w:rPr>
        <w:footnoteReference w:id="357"/>
      </w:r>
      <w:r w:rsidR="00D37BB1" w:rsidRPr="00D37BB1">
        <w:rPr>
          <w:lang w:val="en-US"/>
        </w:rPr>
        <w:t xml:space="preserve">. </w:t>
      </w:r>
    </w:p>
    <w:p w:rsidR="00D37BB1" w:rsidRPr="00D37BB1" w:rsidRDefault="00D37BB1" w:rsidP="00687D8A">
      <w:pPr>
        <w:spacing w:line="360" w:lineRule="auto"/>
        <w:jc w:val="both"/>
        <w:rPr>
          <w:u w:val="single"/>
          <w:lang w:val="en-US"/>
        </w:rPr>
      </w:pPr>
      <w:r w:rsidRPr="00D37BB1">
        <w:rPr>
          <w:u w:val="single"/>
          <w:lang w:val="en-US"/>
        </w:rPr>
        <w:t>The European Union</w:t>
      </w:r>
    </w:p>
    <w:p w:rsidR="00D37BB1" w:rsidRPr="00D37BB1" w:rsidRDefault="008F66F9" w:rsidP="00687D8A">
      <w:pPr>
        <w:spacing w:line="360" w:lineRule="auto"/>
        <w:jc w:val="both"/>
        <w:rPr>
          <w:i/>
          <w:iCs/>
          <w:lang w:val="en-US"/>
        </w:rPr>
      </w:pPr>
      <w:r>
        <w:rPr>
          <w:i/>
          <w:lang w:val="en-US"/>
        </w:rPr>
        <w:t>53</w:t>
      </w:r>
      <w:r w:rsidR="00FB3D16" w:rsidRPr="00FB3D16">
        <w:rPr>
          <w:i/>
          <w:lang w:val="en-US"/>
        </w:rPr>
        <w:t>.</w:t>
      </w:r>
      <w:r w:rsidR="00FB3D16">
        <w:rPr>
          <w:lang w:val="en-US"/>
        </w:rPr>
        <w:t xml:space="preserve"> </w:t>
      </w:r>
      <w:r w:rsidR="000308BB">
        <w:rPr>
          <w:lang w:val="en-US"/>
        </w:rPr>
        <w:t>Although written to</w:t>
      </w:r>
      <w:r w:rsidR="00D37BB1" w:rsidRPr="00D37BB1">
        <w:rPr>
          <w:lang w:val="en-US"/>
        </w:rPr>
        <w:t xml:space="preserve"> the example of Convention no. 100, original article 119 on the right to equal pay for equal work of the Treaty on the European Economic Community was narrower in scope</w:t>
      </w:r>
      <w:r w:rsidR="00D37BB1" w:rsidRPr="00D37BB1">
        <w:rPr>
          <w:vertAlign w:val="superscript"/>
          <w:lang w:val="en-US"/>
        </w:rPr>
        <w:footnoteReference w:id="358"/>
      </w:r>
      <w:r w:rsidR="00D37BB1" w:rsidRPr="00D37BB1">
        <w:rPr>
          <w:lang w:val="en-US"/>
        </w:rPr>
        <w:t>. Reference to ‘work of equal value’ only appeared for the first time in a 1975 directive and became part of primary EU law with the Amsterdam Treaty</w:t>
      </w:r>
      <w:r w:rsidR="00D37BB1" w:rsidRPr="00D37BB1">
        <w:rPr>
          <w:vertAlign w:val="superscript"/>
          <w:lang w:val="en-US"/>
        </w:rPr>
        <w:footnoteReference w:id="359"/>
      </w:r>
      <w:r w:rsidR="00D37BB1" w:rsidRPr="00D37BB1">
        <w:rPr>
          <w:lang w:val="en-US"/>
        </w:rPr>
        <w:t>. The EU equal pay principle owes its wide scope to the European Court of Justice, resulting in a large quantity of case-law. Already relatively early, it became clear that what is now article 157 TFEU on the right to equal pay is a potent provision. The Court rather boldly decided that article 157 TFEU has not only vertical but also horizontal direct effect</w:t>
      </w:r>
      <w:r w:rsidR="00D37BB1" w:rsidRPr="00D37BB1">
        <w:rPr>
          <w:vertAlign w:val="superscript"/>
          <w:lang w:val="en-US"/>
        </w:rPr>
        <w:footnoteReference w:id="360"/>
      </w:r>
      <w:r w:rsidR="00D37BB1" w:rsidRPr="00D37BB1">
        <w:rPr>
          <w:lang w:val="en-US"/>
        </w:rPr>
        <w:t>. Women workers can thus invoke their right to equal remuneration against both the state and their individual employer in national courts</w:t>
      </w:r>
      <w:r w:rsidR="00D37BB1" w:rsidRPr="00D37BB1">
        <w:rPr>
          <w:vertAlign w:val="superscript"/>
          <w:lang w:val="en-US"/>
        </w:rPr>
        <w:footnoteReference w:id="361"/>
      </w:r>
      <w:r w:rsidR="00D37BB1" w:rsidRPr="00D37BB1">
        <w:rPr>
          <w:lang w:val="en-US"/>
        </w:rPr>
        <w:t xml:space="preserve">. Furthermore, the Commission successfully brought several </w:t>
      </w:r>
      <w:r w:rsidR="00D37BB1" w:rsidRPr="00D37BB1">
        <w:rPr>
          <w:lang w:val="en-US"/>
        </w:rPr>
        <w:lastRenderedPageBreak/>
        <w:t>infringement actions against member states for not respecting the equal pay principle</w:t>
      </w:r>
      <w:r w:rsidR="00D37BB1" w:rsidRPr="00D37BB1">
        <w:rPr>
          <w:vertAlign w:val="superscript"/>
          <w:lang w:val="en-US"/>
        </w:rPr>
        <w:footnoteReference w:id="362"/>
      </w:r>
      <w:r w:rsidR="00D37BB1" w:rsidRPr="00D37BB1">
        <w:rPr>
          <w:lang w:val="en-US"/>
        </w:rPr>
        <w:t>. Occupational social security schemes are covered by article 157 TFEU, state social security schemes are not</w:t>
      </w:r>
      <w:r w:rsidR="00D37BB1" w:rsidRPr="00D37BB1">
        <w:rPr>
          <w:vertAlign w:val="superscript"/>
          <w:lang w:val="en-US"/>
        </w:rPr>
        <w:footnoteReference w:id="363"/>
      </w:r>
      <w:r w:rsidR="00D37BB1" w:rsidRPr="00D37BB1">
        <w:rPr>
          <w:lang w:val="en-US"/>
        </w:rPr>
        <w:t>. As to the determination whether work performed by female and male workers is of equal value, the approach of the Court appears to be more lenient than</w:t>
      </w:r>
      <w:r w:rsidR="00ED3662">
        <w:rPr>
          <w:lang w:val="en-US"/>
        </w:rPr>
        <w:t xml:space="preserve"> that</w:t>
      </w:r>
      <w:r w:rsidR="00D37BB1" w:rsidRPr="00D37BB1">
        <w:rPr>
          <w:lang w:val="en-US"/>
        </w:rPr>
        <w:t xml:space="preserve"> of the other experts.</w:t>
      </w:r>
      <w:r w:rsidR="00D37BB1" w:rsidRPr="00D37BB1">
        <w:rPr>
          <w:i/>
          <w:iCs/>
          <w:lang w:val="en-US"/>
        </w:rPr>
        <w:t xml:space="preserve"> </w:t>
      </w:r>
      <w:r w:rsidR="00D37BB1" w:rsidRPr="00D37BB1">
        <w:rPr>
          <w:iCs/>
          <w:lang w:val="en-US"/>
        </w:rPr>
        <w:t>A number of factors such as the nature of the work, the training requirements and the working conditions need to be taken into account</w:t>
      </w:r>
      <w:r w:rsidR="00D37BB1" w:rsidRPr="00D37BB1">
        <w:rPr>
          <w:iCs/>
          <w:vertAlign w:val="superscript"/>
          <w:lang w:val="en-US"/>
        </w:rPr>
        <w:footnoteReference w:id="364"/>
      </w:r>
      <w:r w:rsidR="00D37BB1" w:rsidRPr="00D37BB1">
        <w:rPr>
          <w:iCs/>
          <w:lang w:val="en-US"/>
        </w:rPr>
        <w:t>.</w:t>
      </w:r>
      <w:r w:rsidR="00D37BB1" w:rsidRPr="00D37BB1">
        <w:rPr>
          <w:i/>
          <w:iCs/>
          <w:lang w:val="en-US"/>
        </w:rPr>
        <w:t xml:space="preserve"> </w:t>
      </w:r>
      <w:r w:rsidR="00D37BB1" w:rsidRPr="00D37BB1">
        <w:rPr>
          <w:lang w:val="en-US"/>
        </w:rPr>
        <w:t>There is however no obligation to use or create a job evaluation scheme. Other methods may be used to ascertain whether jobs are of equal value</w:t>
      </w:r>
      <w:r w:rsidR="00D37BB1" w:rsidRPr="00D37BB1">
        <w:rPr>
          <w:vertAlign w:val="superscript"/>
          <w:lang w:val="en-US"/>
        </w:rPr>
        <w:footnoteReference w:id="365"/>
      </w:r>
      <w:r w:rsidR="00D37BB1" w:rsidRPr="00D37BB1">
        <w:rPr>
          <w:lang w:val="en-US"/>
        </w:rPr>
        <w:t>. If however a job appraisal scheme is used, it cannot contain any criteria which may give rise to sex discrimination</w:t>
      </w:r>
      <w:r w:rsidR="00D37BB1" w:rsidRPr="00D37BB1">
        <w:rPr>
          <w:vertAlign w:val="superscript"/>
          <w:lang w:val="en-US"/>
        </w:rPr>
        <w:footnoteReference w:id="366"/>
      </w:r>
      <w:r w:rsidR="00D37BB1" w:rsidRPr="00D37BB1">
        <w:rPr>
          <w:lang w:val="en-US"/>
        </w:rPr>
        <w:t>.</w:t>
      </w:r>
      <w:bookmarkStart w:id="0" w:name="MO"/>
      <w:r w:rsidR="00D37BB1" w:rsidRPr="00D37BB1">
        <w:rPr>
          <w:lang w:val="en-US"/>
        </w:rPr>
        <w:t xml:space="preserve"> The case-law of the Court on whether job comparison is limited to a single enterprise or employer is rather confusing. One may assume that cross-employer comparison is possible if the two jobs are covered by the same collective agreement or legislative provision</w:t>
      </w:r>
      <w:bookmarkEnd w:id="0"/>
      <w:r w:rsidR="00D37BB1" w:rsidRPr="00D37BB1">
        <w:rPr>
          <w:vertAlign w:val="superscript"/>
          <w:lang w:val="en-US"/>
        </w:rPr>
        <w:footnoteReference w:id="367"/>
      </w:r>
      <w:r w:rsidR="00D37BB1" w:rsidRPr="00D37BB1">
        <w:rPr>
          <w:lang w:val="en-US"/>
        </w:rPr>
        <w:t>. Article 157 TFEU defines ‘pay’ in broad terms. A</w:t>
      </w:r>
      <w:r w:rsidR="00FB3CED">
        <w:rPr>
          <w:lang w:val="en-US"/>
        </w:rPr>
        <w:t xml:space="preserve">ccordingly, the Court has ruled </w:t>
      </w:r>
      <w:r w:rsidR="00D37BB1" w:rsidRPr="00D37BB1">
        <w:rPr>
          <w:lang w:val="en-US"/>
        </w:rPr>
        <w:t>that all employer-based payments constitute pay</w:t>
      </w:r>
      <w:r w:rsidR="00D37BB1" w:rsidRPr="00D37BB1">
        <w:rPr>
          <w:vertAlign w:val="superscript"/>
          <w:lang w:val="en-US"/>
        </w:rPr>
        <w:footnoteReference w:id="368"/>
      </w:r>
      <w:r w:rsidR="00212C93">
        <w:rPr>
          <w:lang w:val="en-US"/>
        </w:rPr>
        <w:t>. Included are for example:</w:t>
      </w:r>
      <w:r w:rsidR="00D37BB1" w:rsidRPr="00D37BB1">
        <w:rPr>
          <w:lang w:val="en-US"/>
        </w:rPr>
        <w:t xml:space="preserve"> payment for extra hours</w:t>
      </w:r>
      <w:r w:rsidR="00D37BB1" w:rsidRPr="00D37BB1">
        <w:rPr>
          <w:vertAlign w:val="superscript"/>
          <w:lang w:val="en-US"/>
        </w:rPr>
        <w:footnoteReference w:id="369"/>
      </w:r>
      <w:r w:rsidR="00D37BB1" w:rsidRPr="00D37BB1">
        <w:rPr>
          <w:lang w:val="en-US"/>
        </w:rPr>
        <w:t>, family and marriage allowances</w:t>
      </w:r>
      <w:r w:rsidR="00D37BB1" w:rsidRPr="00D37BB1">
        <w:rPr>
          <w:vertAlign w:val="superscript"/>
          <w:lang w:val="en-US"/>
        </w:rPr>
        <w:footnoteReference w:id="370"/>
      </w:r>
      <w:r w:rsidR="00D37BB1" w:rsidRPr="00D37BB1">
        <w:rPr>
          <w:lang w:val="en-US"/>
        </w:rPr>
        <w:t>, special bonus payments made by the employer</w:t>
      </w:r>
      <w:r w:rsidR="00D37BB1" w:rsidRPr="00D37BB1">
        <w:rPr>
          <w:vertAlign w:val="superscript"/>
          <w:lang w:val="en-US"/>
        </w:rPr>
        <w:footnoteReference w:id="371"/>
      </w:r>
      <w:r w:rsidR="00D37BB1" w:rsidRPr="00D37BB1">
        <w:rPr>
          <w:lang w:val="en-US"/>
        </w:rPr>
        <w:t>, maternity benefits paid under legislation</w:t>
      </w:r>
      <w:r w:rsidR="00D37BB1" w:rsidRPr="00D37BB1">
        <w:rPr>
          <w:vertAlign w:val="superscript"/>
          <w:lang w:val="en-US"/>
        </w:rPr>
        <w:footnoteReference w:id="372"/>
      </w:r>
      <w:r w:rsidR="00D37BB1" w:rsidRPr="00D37BB1">
        <w:rPr>
          <w:lang w:val="en-US"/>
        </w:rPr>
        <w:t>, sick leave payments</w:t>
      </w:r>
      <w:r w:rsidR="00D37BB1" w:rsidRPr="00D37BB1">
        <w:rPr>
          <w:vertAlign w:val="superscript"/>
          <w:lang w:val="en-US"/>
        </w:rPr>
        <w:footnoteReference w:id="373"/>
      </w:r>
      <w:r w:rsidR="00D37BB1" w:rsidRPr="00D37BB1">
        <w:rPr>
          <w:lang w:val="en-US"/>
        </w:rPr>
        <w:t>, compensation for attending training courses and training facilities</w:t>
      </w:r>
      <w:r w:rsidR="00D37BB1" w:rsidRPr="00D37BB1">
        <w:rPr>
          <w:vertAlign w:val="superscript"/>
          <w:lang w:val="en-US"/>
        </w:rPr>
        <w:footnoteReference w:id="374"/>
      </w:r>
      <w:r w:rsidR="009B0AAD">
        <w:rPr>
          <w:lang w:val="en-US"/>
        </w:rPr>
        <w:t xml:space="preserve">. </w:t>
      </w:r>
      <w:r w:rsidR="00D37BB1" w:rsidRPr="00D37BB1">
        <w:rPr>
          <w:lang w:val="en-US"/>
        </w:rPr>
        <w:t>Article 23 of the EU Charter states that equality between men and women must be ensured in all areas, including pay. It is however questionable whether this provision is of any additional value, since the Court already confirmed that equal pay constitutes a fundamental right</w:t>
      </w:r>
      <w:r w:rsidR="00D37BB1" w:rsidRPr="00D37BB1">
        <w:rPr>
          <w:vertAlign w:val="superscript"/>
          <w:lang w:val="en-US"/>
        </w:rPr>
        <w:footnoteReference w:id="375"/>
      </w:r>
      <w:r w:rsidR="00D37BB1" w:rsidRPr="00D37BB1">
        <w:rPr>
          <w:lang w:val="en-US"/>
        </w:rPr>
        <w:t xml:space="preserve">. The same can be argued with regard to the general non-discrimination article in the Charter.         </w:t>
      </w:r>
    </w:p>
    <w:p w:rsidR="00D37BB1" w:rsidRPr="00F9384D" w:rsidRDefault="00F9384D" w:rsidP="00687D8A">
      <w:pPr>
        <w:spacing w:line="360" w:lineRule="auto"/>
        <w:jc w:val="both"/>
        <w:rPr>
          <w:lang w:val="en-US"/>
        </w:rPr>
      </w:pPr>
      <w:r w:rsidRPr="00F9384D">
        <w:rPr>
          <w:i/>
          <w:lang w:val="en-US"/>
        </w:rPr>
        <w:lastRenderedPageBreak/>
        <w:t>54.</w:t>
      </w:r>
      <w:r w:rsidR="000E6BAD">
        <w:rPr>
          <w:lang w:val="en-US"/>
        </w:rPr>
        <w:t xml:space="preserve"> The likely conclusion to be drawn is </w:t>
      </w:r>
      <w:r w:rsidRPr="00F9384D">
        <w:rPr>
          <w:lang w:val="en-US"/>
        </w:rPr>
        <w:t xml:space="preserve">that there are many similarities between the various equal pay regimes. There are however also discrepancies. The strength of the equal pay provisions differs. The most solid and effective equal pay provisions can be found in EU law, followed by article 4(3) of the Revised European Social Charter. Different importance is attached to job appraisal schemes, with the UN Committee on the Elimination of Discrimination against Women at one end of the spectrum and the European </w:t>
      </w:r>
      <w:r>
        <w:rPr>
          <w:lang w:val="en-US"/>
        </w:rPr>
        <w:t xml:space="preserve">Court of Justice at the other. </w:t>
      </w:r>
    </w:p>
    <w:p w:rsidR="00D37BB1" w:rsidRPr="00D37BB1" w:rsidRDefault="00D37BB1" w:rsidP="00687D8A">
      <w:pPr>
        <w:spacing w:line="360" w:lineRule="auto"/>
        <w:jc w:val="both"/>
        <w:rPr>
          <w:lang w:val="en-US"/>
        </w:rPr>
      </w:pPr>
    </w:p>
    <w:p w:rsidR="00D37BB1" w:rsidRPr="00D37BB1" w:rsidRDefault="00D37BB1" w:rsidP="00687D8A">
      <w:pPr>
        <w:spacing w:line="360" w:lineRule="auto"/>
        <w:jc w:val="both"/>
        <w:rPr>
          <w:lang w:val="en-US"/>
        </w:rPr>
      </w:pPr>
    </w:p>
    <w:p w:rsidR="00D37BB1" w:rsidRPr="00D37BB1" w:rsidRDefault="00D37BB1" w:rsidP="00687D8A">
      <w:pPr>
        <w:spacing w:line="360" w:lineRule="auto"/>
        <w:jc w:val="both"/>
        <w:rPr>
          <w:u w:val="single"/>
          <w:lang w:val="en-US"/>
        </w:rPr>
      </w:pPr>
    </w:p>
    <w:p w:rsidR="00D37BB1" w:rsidRPr="00D37BB1" w:rsidRDefault="00D37BB1" w:rsidP="00687D8A">
      <w:pPr>
        <w:spacing w:line="360" w:lineRule="auto"/>
        <w:jc w:val="both"/>
        <w:rPr>
          <w:u w:val="single"/>
          <w:lang w:val="en-US"/>
        </w:rPr>
      </w:pPr>
    </w:p>
    <w:p w:rsidR="00D37BB1" w:rsidRPr="00D37BB1" w:rsidRDefault="00D37BB1" w:rsidP="00687D8A">
      <w:pPr>
        <w:spacing w:line="360" w:lineRule="auto"/>
        <w:jc w:val="both"/>
        <w:rPr>
          <w:u w:val="single"/>
          <w:lang w:val="en-US"/>
        </w:rPr>
      </w:pPr>
    </w:p>
    <w:p w:rsidR="00D37BB1" w:rsidRPr="00D37BB1" w:rsidRDefault="00D37BB1" w:rsidP="00687D8A">
      <w:pPr>
        <w:spacing w:line="360" w:lineRule="auto"/>
        <w:jc w:val="both"/>
        <w:rPr>
          <w:u w:val="single"/>
          <w:lang w:val="en-US"/>
        </w:rPr>
      </w:pPr>
    </w:p>
    <w:p w:rsidR="00D37BB1" w:rsidRPr="00D37BB1" w:rsidRDefault="00D37BB1" w:rsidP="00687D8A">
      <w:pPr>
        <w:spacing w:line="360" w:lineRule="auto"/>
        <w:jc w:val="both"/>
        <w:rPr>
          <w:u w:val="single"/>
          <w:lang w:val="en-US"/>
        </w:rPr>
      </w:pPr>
    </w:p>
    <w:p w:rsidR="00D37BB1" w:rsidRPr="00D37BB1" w:rsidRDefault="00D37BB1" w:rsidP="00687D8A">
      <w:pPr>
        <w:spacing w:line="360" w:lineRule="auto"/>
        <w:jc w:val="both"/>
        <w:rPr>
          <w:u w:val="single"/>
          <w:lang w:val="en-US"/>
        </w:rPr>
      </w:pPr>
    </w:p>
    <w:p w:rsidR="00D37BB1" w:rsidRPr="00D37BB1" w:rsidRDefault="00D37BB1" w:rsidP="00687D8A">
      <w:pPr>
        <w:spacing w:line="360" w:lineRule="auto"/>
        <w:jc w:val="both"/>
        <w:rPr>
          <w:u w:val="single"/>
          <w:lang w:val="en-US"/>
        </w:rPr>
      </w:pPr>
    </w:p>
    <w:p w:rsidR="00D37BB1" w:rsidRPr="00D37BB1" w:rsidRDefault="00D37BB1" w:rsidP="00687D8A">
      <w:pPr>
        <w:spacing w:line="360" w:lineRule="auto"/>
        <w:jc w:val="both"/>
        <w:rPr>
          <w:u w:val="single"/>
          <w:lang w:val="en-US"/>
        </w:rPr>
      </w:pPr>
    </w:p>
    <w:p w:rsidR="00D37BB1" w:rsidRPr="00D37BB1" w:rsidRDefault="00D37BB1" w:rsidP="00687D8A">
      <w:pPr>
        <w:spacing w:line="360" w:lineRule="auto"/>
        <w:jc w:val="both"/>
        <w:rPr>
          <w:u w:val="single"/>
          <w:lang w:val="en-US"/>
        </w:rPr>
      </w:pPr>
    </w:p>
    <w:p w:rsidR="00D37BB1" w:rsidRPr="00D37BB1" w:rsidRDefault="00D37BB1" w:rsidP="00687D8A">
      <w:pPr>
        <w:spacing w:line="360" w:lineRule="auto"/>
        <w:jc w:val="both"/>
        <w:rPr>
          <w:u w:val="single"/>
          <w:lang w:val="en-US"/>
        </w:rPr>
      </w:pPr>
    </w:p>
    <w:p w:rsidR="005D2AA7" w:rsidRDefault="005D2AA7" w:rsidP="00687D8A">
      <w:pPr>
        <w:spacing w:line="360" w:lineRule="auto"/>
        <w:jc w:val="both"/>
        <w:rPr>
          <w:u w:val="single"/>
          <w:lang w:val="en-US"/>
        </w:rPr>
      </w:pPr>
    </w:p>
    <w:p w:rsidR="008C2203" w:rsidRDefault="008C2203" w:rsidP="00687D8A">
      <w:pPr>
        <w:spacing w:line="360" w:lineRule="auto"/>
        <w:jc w:val="both"/>
        <w:rPr>
          <w:u w:val="single"/>
          <w:lang w:val="en-US"/>
        </w:rPr>
      </w:pPr>
    </w:p>
    <w:p w:rsidR="008C2203" w:rsidRDefault="008C2203" w:rsidP="00687D8A">
      <w:pPr>
        <w:spacing w:line="360" w:lineRule="auto"/>
        <w:jc w:val="both"/>
        <w:rPr>
          <w:u w:val="single"/>
          <w:lang w:val="en-US"/>
        </w:rPr>
      </w:pPr>
    </w:p>
    <w:p w:rsidR="008C2203" w:rsidRDefault="008C2203" w:rsidP="00687D8A">
      <w:pPr>
        <w:spacing w:line="360" w:lineRule="auto"/>
        <w:jc w:val="both"/>
        <w:rPr>
          <w:u w:val="single"/>
          <w:lang w:val="en-US"/>
        </w:rPr>
      </w:pPr>
    </w:p>
    <w:p w:rsidR="000E42D9" w:rsidRDefault="000E42D9" w:rsidP="00687D8A">
      <w:pPr>
        <w:spacing w:line="360" w:lineRule="auto"/>
        <w:jc w:val="both"/>
        <w:rPr>
          <w:u w:val="single"/>
          <w:lang w:val="en-US"/>
        </w:rPr>
      </w:pPr>
    </w:p>
    <w:p w:rsidR="000E42D9" w:rsidRDefault="000E42D9" w:rsidP="00687D8A">
      <w:pPr>
        <w:spacing w:line="360" w:lineRule="auto"/>
        <w:jc w:val="both"/>
        <w:rPr>
          <w:u w:val="single"/>
          <w:lang w:val="en-US"/>
        </w:rPr>
      </w:pPr>
    </w:p>
    <w:p w:rsidR="00D37BB1" w:rsidRPr="00D37BB1" w:rsidRDefault="00D37BB1" w:rsidP="00687D8A">
      <w:pPr>
        <w:spacing w:line="360" w:lineRule="auto"/>
        <w:jc w:val="both"/>
        <w:rPr>
          <w:u w:val="single"/>
          <w:lang w:val="en-US"/>
        </w:rPr>
      </w:pPr>
      <w:r w:rsidRPr="00D37BB1">
        <w:rPr>
          <w:u w:val="single"/>
          <w:lang w:val="en-US"/>
        </w:rPr>
        <w:lastRenderedPageBreak/>
        <w:t>Section III. Sexual Harassment</w:t>
      </w:r>
    </w:p>
    <w:p w:rsidR="00D37BB1" w:rsidRPr="00D37BB1" w:rsidRDefault="00D37BB1" w:rsidP="00687D8A">
      <w:pPr>
        <w:spacing w:line="360" w:lineRule="auto"/>
        <w:jc w:val="both"/>
        <w:rPr>
          <w:u w:val="single"/>
          <w:lang w:val="en-US"/>
        </w:rPr>
      </w:pPr>
      <w:r w:rsidRPr="00D37BB1">
        <w:rPr>
          <w:u w:val="single"/>
          <w:lang w:val="en-US"/>
        </w:rPr>
        <w:t>Introduction</w:t>
      </w:r>
    </w:p>
    <w:p w:rsidR="00D37BB1" w:rsidRPr="00D37BB1" w:rsidRDefault="004B1B1A" w:rsidP="00687D8A">
      <w:pPr>
        <w:spacing w:line="360" w:lineRule="auto"/>
        <w:jc w:val="both"/>
        <w:rPr>
          <w:lang w:val="en-US"/>
        </w:rPr>
      </w:pPr>
      <w:r>
        <w:rPr>
          <w:i/>
          <w:lang w:val="en-US"/>
        </w:rPr>
        <w:t>55</w:t>
      </w:r>
      <w:r w:rsidR="00125140" w:rsidRPr="00125140">
        <w:rPr>
          <w:i/>
          <w:lang w:val="en-US"/>
        </w:rPr>
        <w:t>.</w:t>
      </w:r>
      <w:r w:rsidR="00125140">
        <w:rPr>
          <w:lang w:val="en-US"/>
        </w:rPr>
        <w:t xml:space="preserve"> </w:t>
      </w:r>
      <w:r w:rsidR="00D37BB1" w:rsidRPr="00D37BB1">
        <w:rPr>
          <w:lang w:val="en-US"/>
        </w:rPr>
        <w:t>The term sexual harassment originated in writings of American feminist scholars in the 1970s</w:t>
      </w:r>
      <w:r w:rsidR="00D37BB1" w:rsidRPr="00D37BB1">
        <w:rPr>
          <w:vertAlign w:val="superscript"/>
          <w:lang w:val="en-US"/>
        </w:rPr>
        <w:footnoteReference w:id="376"/>
      </w:r>
      <w:r w:rsidR="00D37BB1" w:rsidRPr="00D37BB1">
        <w:rPr>
          <w:lang w:val="en-US"/>
        </w:rPr>
        <w:t>. In the second half of the 1980s, the US Supreme Court for the first time recognized that it constitutes unlawful sex discrimination under Title VII of the 1964 Civil Rights Act</w:t>
      </w:r>
      <w:r w:rsidR="00D37BB1" w:rsidRPr="00D37BB1">
        <w:rPr>
          <w:vertAlign w:val="superscript"/>
          <w:lang w:val="en-US"/>
        </w:rPr>
        <w:footnoteReference w:id="377"/>
      </w:r>
      <w:r w:rsidR="00D37BB1" w:rsidRPr="00D37BB1">
        <w:rPr>
          <w:lang w:val="en-US"/>
        </w:rPr>
        <w:t xml:space="preserve">. Subsequently, the concept penetrated into the work of international organizations and other national legal orders. Remarkable however are the differences in the concrete shaping of sexual harassment. In the United States, the question of employer liability is pivotal when dealing with sexual harassment </w:t>
      </w:r>
      <w:r w:rsidR="00AE1582">
        <w:rPr>
          <w:lang w:val="en-US"/>
        </w:rPr>
        <w:t>cases. Employers found liable for</w:t>
      </w:r>
      <w:r w:rsidR="00D37BB1" w:rsidRPr="00D37BB1">
        <w:rPr>
          <w:lang w:val="en-US"/>
        </w:rPr>
        <w:t xml:space="preserve"> sexual harassment risk being subjected to -  sometimes extreme – damages claims</w:t>
      </w:r>
      <w:r w:rsidR="00D37BB1" w:rsidRPr="00D37BB1">
        <w:rPr>
          <w:vertAlign w:val="superscript"/>
          <w:lang w:val="en-US"/>
        </w:rPr>
        <w:footnoteReference w:id="378"/>
      </w:r>
      <w:r w:rsidR="00D37BB1" w:rsidRPr="00D37BB1">
        <w:rPr>
          <w:lang w:val="en-US"/>
        </w:rPr>
        <w:t xml:space="preserve">. In other systems, employer liability appears to be of a lesser concern.   </w:t>
      </w:r>
    </w:p>
    <w:p w:rsidR="00D37BB1" w:rsidRPr="00D37BB1" w:rsidRDefault="004B1B1A" w:rsidP="00687D8A">
      <w:pPr>
        <w:spacing w:line="360" w:lineRule="auto"/>
        <w:jc w:val="both"/>
        <w:rPr>
          <w:lang w:val="en-US"/>
        </w:rPr>
      </w:pPr>
      <w:r>
        <w:rPr>
          <w:i/>
          <w:lang w:val="en-US"/>
        </w:rPr>
        <w:t>56</w:t>
      </w:r>
      <w:r w:rsidR="007E2D46" w:rsidRPr="007E2D46">
        <w:rPr>
          <w:i/>
          <w:lang w:val="en-US"/>
        </w:rPr>
        <w:t>.</w:t>
      </w:r>
      <w:r w:rsidR="007E2D46">
        <w:rPr>
          <w:lang w:val="en-US"/>
        </w:rPr>
        <w:t xml:space="preserve"> </w:t>
      </w:r>
      <w:r w:rsidR="00D37BB1" w:rsidRPr="00D37BB1">
        <w:rPr>
          <w:lang w:val="en-US"/>
        </w:rPr>
        <w:t>It is rather difficult to adequately delineate the term sexual harassment. To date, no uniform definition has been developed. For the purpose of this dissertation, it may be described as ‘unwanted conduct or expressions of a sexual nature which occur within the employment context’</w:t>
      </w:r>
      <w:r w:rsidR="00D37BB1" w:rsidRPr="00D37BB1">
        <w:rPr>
          <w:vertAlign w:val="superscript"/>
          <w:lang w:val="en-US"/>
        </w:rPr>
        <w:footnoteReference w:id="379"/>
      </w:r>
      <w:r w:rsidR="00D37BB1" w:rsidRPr="00D37BB1">
        <w:rPr>
          <w:lang w:val="en-US"/>
        </w:rPr>
        <w:t xml:space="preserve">. Sexual harassment may take on two main forms. Quid pro quo harassment points to </w:t>
      </w:r>
      <w:r w:rsidR="00D060CF">
        <w:rPr>
          <w:lang w:val="en-US"/>
        </w:rPr>
        <w:t xml:space="preserve">situations where the keeping </w:t>
      </w:r>
      <w:r w:rsidR="00D37BB1" w:rsidRPr="00D37BB1">
        <w:rPr>
          <w:lang w:val="en-US"/>
        </w:rPr>
        <w:t>of a job or the acquisition of an employment related benefit</w:t>
      </w:r>
      <w:r w:rsidR="00D37BB1" w:rsidRPr="00D37BB1">
        <w:rPr>
          <w:vertAlign w:val="superscript"/>
          <w:lang w:val="en-US"/>
        </w:rPr>
        <w:footnoteReference w:id="380"/>
      </w:r>
      <w:r w:rsidR="00D37BB1" w:rsidRPr="00D37BB1">
        <w:rPr>
          <w:lang w:val="en-US"/>
        </w:rPr>
        <w:t xml:space="preserve"> is made conditional upon the performance of sexual </w:t>
      </w:r>
      <w:proofErr w:type="spellStart"/>
      <w:r w:rsidR="00D37BB1" w:rsidRPr="00D37BB1">
        <w:rPr>
          <w:lang w:val="en-US"/>
        </w:rPr>
        <w:t>favours</w:t>
      </w:r>
      <w:proofErr w:type="spellEnd"/>
      <w:r w:rsidR="00D37BB1" w:rsidRPr="00D37BB1">
        <w:rPr>
          <w:lang w:val="en-US"/>
        </w:rPr>
        <w:t xml:space="preserve"> or subjection to other sexually tinted </w:t>
      </w:r>
      <w:proofErr w:type="spellStart"/>
      <w:r w:rsidR="00D37BB1" w:rsidRPr="00D37BB1">
        <w:rPr>
          <w:lang w:val="en-US"/>
        </w:rPr>
        <w:t>behaviour</w:t>
      </w:r>
      <w:proofErr w:type="spellEnd"/>
      <w:r w:rsidR="00D37BB1" w:rsidRPr="00D37BB1">
        <w:rPr>
          <w:vertAlign w:val="superscript"/>
          <w:lang w:val="en-US"/>
        </w:rPr>
        <w:footnoteReference w:id="381"/>
      </w:r>
      <w:r w:rsidR="00D37BB1" w:rsidRPr="00D37BB1">
        <w:rPr>
          <w:lang w:val="en-US"/>
        </w:rPr>
        <w:t>. It often manifests itself in vertical employer – employee relationships</w:t>
      </w:r>
      <w:r w:rsidR="00D37BB1" w:rsidRPr="00D37BB1">
        <w:rPr>
          <w:vertAlign w:val="superscript"/>
          <w:lang w:val="en-US"/>
        </w:rPr>
        <w:footnoteReference w:id="382"/>
      </w:r>
      <w:r w:rsidR="00D37BB1" w:rsidRPr="00D37BB1">
        <w:rPr>
          <w:lang w:val="en-US"/>
        </w:rPr>
        <w:t xml:space="preserve">. The second type of harassment is of a more general nature. Hostile environment harassment occurs when a worker’s performance is negatively affected by verbal or physical conduct of a sexual nature. The latter is more common to horizontal relationships </w:t>
      </w:r>
      <w:r w:rsidR="00D37BB1" w:rsidRPr="00D37BB1">
        <w:rPr>
          <w:lang w:val="en-US"/>
        </w:rPr>
        <w:lastRenderedPageBreak/>
        <w:t>between employees</w:t>
      </w:r>
      <w:r w:rsidR="00D37BB1" w:rsidRPr="00D37BB1">
        <w:rPr>
          <w:vertAlign w:val="superscript"/>
          <w:lang w:val="en-US"/>
        </w:rPr>
        <w:footnoteReference w:id="383"/>
      </w:r>
      <w:r w:rsidR="00D37BB1" w:rsidRPr="00D37BB1">
        <w:rPr>
          <w:lang w:val="en-US"/>
        </w:rPr>
        <w:t xml:space="preserve">. Examples covered by this type of harassment are demands for sexual </w:t>
      </w:r>
      <w:proofErr w:type="spellStart"/>
      <w:r w:rsidR="00D37BB1" w:rsidRPr="00D37BB1">
        <w:rPr>
          <w:lang w:val="en-US"/>
        </w:rPr>
        <w:t>favours</w:t>
      </w:r>
      <w:proofErr w:type="spellEnd"/>
      <w:r w:rsidR="00D37BB1" w:rsidRPr="00D37BB1">
        <w:rPr>
          <w:lang w:val="en-US"/>
        </w:rPr>
        <w:t xml:space="preserve">, touching, staring, sexual or insulting jokes, sexual </w:t>
      </w:r>
      <w:proofErr w:type="spellStart"/>
      <w:r w:rsidR="00D37BB1" w:rsidRPr="00D37BB1">
        <w:rPr>
          <w:lang w:val="en-US"/>
        </w:rPr>
        <w:t>postering</w:t>
      </w:r>
      <w:proofErr w:type="spellEnd"/>
      <w:r w:rsidR="00D37BB1" w:rsidRPr="00D37BB1">
        <w:rPr>
          <w:lang w:val="en-US"/>
        </w:rPr>
        <w:t>, asking questions about someone’s sex life, the display of pornographic material and sexual assault</w:t>
      </w:r>
      <w:r w:rsidR="00D37BB1" w:rsidRPr="00D37BB1">
        <w:rPr>
          <w:vertAlign w:val="superscript"/>
          <w:lang w:val="en-US"/>
        </w:rPr>
        <w:footnoteReference w:id="384"/>
      </w:r>
      <w:r w:rsidR="00D37BB1" w:rsidRPr="00D37BB1">
        <w:rPr>
          <w:lang w:val="en-US"/>
        </w:rPr>
        <w:t xml:space="preserve">.    </w:t>
      </w:r>
    </w:p>
    <w:p w:rsidR="00D37BB1" w:rsidRPr="00D37BB1" w:rsidRDefault="002D1E12" w:rsidP="00687D8A">
      <w:pPr>
        <w:spacing w:line="360" w:lineRule="auto"/>
        <w:jc w:val="both"/>
        <w:rPr>
          <w:lang w:val="en-US"/>
        </w:rPr>
      </w:pPr>
      <w:r>
        <w:rPr>
          <w:i/>
          <w:lang w:val="en-US"/>
        </w:rPr>
        <w:t>57</w:t>
      </w:r>
      <w:r w:rsidR="00186E66" w:rsidRPr="00186E66">
        <w:rPr>
          <w:i/>
          <w:lang w:val="en-US"/>
        </w:rPr>
        <w:t>.</w:t>
      </w:r>
      <w:r w:rsidR="00186E66">
        <w:rPr>
          <w:lang w:val="en-US"/>
        </w:rPr>
        <w:t xml:space="preserve"> </w:t>
      </w:r>
      <w:r w:rsidR="00D37BB1" w:rsidRPr="00D37BB1">
        <w:rPr>
          <w:lang w:val="en-US"/>
        </w:rPr>
        <w:t>Sexual harassment is clearly a gendered problem. Numerous studies have shown that the large majority of victims are women workers</w:t>
      </w:r>
      <w:r w:rsidR="00D37BB1" w:rsidRPr="00D37BB1">
        <w:rPr>
          <w:vertAlign w:val="superscript"/>
          <w:lang w:val="en-US"/>
        </w:rPr>
        <w:footnoteReference w:id="385"/>
      </w:r>
      <w:r w:rsidR="00D37BB1" w:rsidRPr="00D37BB1">
        <w:rPr>
          <w:lang w:val="en-US"/>
        </w:rPr>
        <w:t xml:space="preserve">. According to several feminist scholars, instances of sexual harassment perpetuate uneven power relationships between women and men in the </w:t>
      </w:r>
      <w:proofErr w:type="spellStart"/>
      <w:r w:rsidR="00D37BB1" w:rsidRPr="00D37BB1">
        <w:rPr>
          <w:lang w:val="en-US"/>
        </w:rPr>
        <w:t>labour</w:t>
      </w:r>
      <w:proofErr w:type="spellEnd"/>
      <w:r w:rsidR="00D37BB1" w:rsidRPr="00D37BB1">
        <w:rPr>
          <w:lang w:val="en-US"/>
        </w:rPr>
        <w:t xml:space="preserve"> context. By harassing women colleagues or subordinates men often, consciously or unconsciously, try to validate a sense of dominance</w:t>
      </w:r>
      <w:r w:rsidR="00D37BB1" w:rsidRPr="00D37BB1">
        <w:rPr>
          <w:vertAlign w:val="superscript"/>
          <w:lang w:val="en-US"/>
        </w:rPr>
        <w:footnoteReference w:id="386"/>
      </w:r>
      <w:r w:rsidR="00D37BB1" w:rsidRPr="00D37BB1">
        <w:rPr>
          <w:lang w:val="en-US"/>
        </w:rPr>
        <w:t xml:space="preserve">. Sexual harassment may have several negative consequences for victims. They are often dismissed, transferred, or leave their </w:t>
      </w:r>
      <w:r w:rsidR="002768BB">
        <w:rPr>
          <w:lang w:val="en-US"/>
        </w:rPr>
        <w:t>jobs al</w:t>
      </w:r>
      <w:r w:rsidR="00D37BB1" w:rsidRPr="00D37BB1">
        <w:rPr>
          <w:lang w:val="en-US"/>
        </w:rPr>
        <w:t>together</w:t>
      </w:r>
      <w:r w:rsidR="00D37BB1" w:rsidRPr="00D37BB1">
        <w:rPr>
          <w:vertAlign w:val="superscript"/>
          <w:lang w:val="en-US"/>
        </w:rPr>
        <w:footnoteReference w:id="387"/>
      </w:r>
      <w:r w:rsidR="00D37BB1" w:rsidRPr="00D37BB1">
        <w:rPr>
          <w:lang w:val="en-US"/>
        </w:rPr>
        <w:t>. Research has also demonstrated that it often has damaging effects on the victim’s health and may lead to loss of self-confidence, anxiety, sleeplessness, stress and depression</w:t>
      </w:r>
      <w:r w:rsidR="00D37BB1" w:rsidRPr="00D37BB1">
        <w:rPr>
          <w:vertAlign w:val="superscript"/>
          <w:lang w:val="en-US"/>
        </w:rPr>
        <w:footnoteReference w:id="388"/>
      </w:r>
      <w:r w:rsidR="00D37BB1" w:rsidRPr="00D37BB1">
        <w:rPr>
          <w:lang w:val="en-US"/>
        </w:rPr>
        <w:t>.</w:t>
      </w:r>
    </w:p>
    <w:p w:rsidR="00CB6C05" w:rsidRDefault="00CB6C05" w:rsidP="00687D8A">
      <w:pPr>
        <w:spacing w:line="360" w:lineRule="auto"/>
        <w:jc w:val="both"/>
        <w:rPr>
          <w:u w:val="single"/>
          <w:lang w:val="en-US"/>
        </w:rPr>
      </w:pPr>
    </w:p>
    <w:p w:rsidR="00CB6C05" w:rsidRDefault="00CB6C05" w:rsidP="00687D8A">
      <w:pPr>
        <w:spacing w:line="360" w:lineRule="auto"/>
        <w:jc w:val="both"/>
        <w:rPr>
          <w:u w:val="single"/>
          <w:lang w:val="en-US"/>
        </w:rPr>
      </w:pPr>
    </w:p>
    <w:p w:rsidR="00CB6C05" w:rsidRDefault="00CB6C05" w:rsidP="00687D8A">
      <w:pPr>
        <w:spacing w:line="360" w:lineRule="auto"/>
        <w:jc w:val="both"/>
        <w:rPr>
          <w:u w:val="single"/>
          <w:lang w:val="en-US"/>
        </w:rPr>
      </w:pPr>
    </w:p>
    <w:p w:rsidR="00D37BB1" w:rsidRPr="00D37BB1" w:rsidRDefault="00D37BB1" w:rsidP="00687D8A">
      <w:pPr>
        <w:spacing w:line="360" w:lineRule="auto"/>
        <w:jc w:val="both"/>
        <w:rPr>
          <w:u w:val="single"/>
          <w:lang w:val="en-US"/>
        </w:rPr>
      </w:pPr>
      <w:r w:rsidRPr="00D37BB1">
        <w:rPr>
          <w:u w:val="single"/>
          <w:lang w:val="en-US"/>
        </w:rPr>
        <w:lastRenderedPageBreak/>
        <w:t>The European Union</w:t>
      </w:r>
    </w:p>
    <w:p w:rsidR="00D37BB1" w:rsidRPr="00D37BB1" w:rsidRDefault="002D1E12" w:rsidP="00687D8A">
      <w:pPr>
        <w:spacing w:line="360" w:lineRule="auto"/>
        <w:jc w:val="both"/>
        <w:rPr>
          <w:lang w:val="en-US"/>
        </w:rPr>
      </w:pPr>
      <w:r>
        <w:rPr>
          <w:i/>
          <w:lang w:val="en-US"/>
        </w:rPr>
        <w:t>58</w:t>
      </w:r>
      <w:r w:rsidR="001B557C" w:rsidRPr="001B557C">
        <w:rPr>
          <w:i/>
          <w:lang w:val="en-US"/>
        </w:rPr>
        <w:t>.</w:t>
      </w:r>
      <w:r w:rsidR="001B557C">
        <w:rPr>
          <w:lang w:val="en-US"/>
        </w:rPr>
        <w:t xml:space="preserve"> </w:t>
      </w:r>
      <w:r w:rsidR="00D37BB1" w:rsidRPr="00D37BB1">
        <w:rPr>
          <w:lang w:val="en-US"/>
        </w:rPr>
        <w:t>In the second half of the 1980s, the EU institutions recognized that sexual harassment has a detrimental impact on workers. In several soft law instruments</w:t>
      </w:r>
      <w:r w:rsidR="00D37BB1" w:rsidRPr="00D37BB1">
        <w:rPr>
          <w:vertAlign w:val="superscript"/>
          <w:lang w:val="en-US"/>
        </w:rPr>
        <w:footnoteReference w:id="389"/>
      </w:r>
      <w:r w:rsidR="00263C6B">
        <w:rPr>
          <w:lang w:val="en-US"/>
        </w:rPr>
        <w:t>, the member s</w:t>
      </w:r>
      <w:r w:rsidR="00D37BB1" w:rsidRPr="00D37BB1">
        <w:rPr>
          <w:lang w:val="en-US"/>
        </w:rPr>
        <w:t>tates were encouraged to launch campaigns in order to educate bo</w:t>
      </w:r>
      <w:r w:rsidR="00465D1D">
        <w:rPr>
          <w:lang w:val="en-US"/>
        </w:rPr>
        <w:t>th employers and employees on</w:t>
      </w:r>
      <w:r w:rsidR="00D37BB1" w:rsidRPr="00D37BB1">
        <w:rPr>
          <w:lang w:val="en-US"/>
        </w:rPr>
        <w:t xml:space="preserve"> sexual harassment. When compared with American case-law, these early instruments display a different approach. Sexual harassment was not explicitly referred to as illegal sex discrimination but was rather seen as a violation of the dignity of both men and women at work</w:t>
      </w:r>
      <w:r w:rsidR="00D37BB1" w:rsidRPr="00D37BB1">
        <w:rPr>
          <w:vertAlign w:val="superscript"/>
          <w:lang w:val="en-US"/>
        </w:rPr>
        <w:footnoteReference w:id="390"/>
      </w:r>
      <w:r w:rsidR="00D37BB1" w:rsidRPr="00D37BB1">
        <w:rPr>
          <w:lang w:val="en-US"/>
        </w:rPr>
        <w:t>. By including a definition of sexual harassment in the 2002 equal treatment directive</w:t>
      </w:r>
      <w:r w:rsidR="00D37BB1" w:rsidRPr="00D37BB1">
        <w:rPr>
          <w:vertAlign w:val="superscript"/>
          <w:lang w:val="en-US"/>
        </w:rPr>
        <w:footnoteReference w:id="391"/>
      </w:r>
      <w:r w:rsidR="006C3899">
        <w:rPr>
          <w:lang w:val="en-US"/>
        </w:rPr>
        <w:t xml:space="preserve">, </w:t>
      </w:r>
      <w:r w:rsidR="00D37BB1" w:rsidRPr="00D37BB1">
        <w:rPr>
          <w:lang w:val="en-US"/>
        </w:rPr>
        <w:t>the EU partly adjusted its position. The current recast directive determines that both sex-based harassment</w:t>
      </w:r>
      <w:r w:rsidR="00D37BB1" w:rsidRPr="00D37BB1">
        <w:rPr>
          <w:vertAlign w:val="superscript"/>
          <w:lang w:val="en-US"/>
        </w:rPr>
        <w:footnoteReference w:id="392"/>
      </w:r>
      <w:r w:rsidR="00D37BB1" w:rsidRPr="00D37BB1">
        <w:rPr>
          <w:lang w:val="en-US"/>
        </w:rPr>
        <w:t xml:space="preserve"> and sexual harassment</w:t>
      </w:r>
      <w:r w:rsidR="00D37BB1" w:rsidRPr="00D37BB1">
        <w:rPr>
          <w:vertAlign w:val="superscript"/>
          <w:lang w:val="en-US"/>
        </w:rPr>
        <w:footnoteReference w:id="393"/>
      </w:r>
      <w:r w:rsidR="00D37BB1" w:rsidRPr="00D37BB1">
        <w:rPr>
          <w:lang w:val="en-US"/>
        </w:rPr>
        <w:t xml:space="preserve"> are forms of sex discrimination</w:t>
      </w:r>
      <w:r w:rsidR="00D37BB1" w:rsidRPr="00D37BB1">
        <w:rPr>
          <w:vertAlign w:val="superscript"/>
          <w:lang w:val="en-US"/>
        </w:rPr>
        <w:footnoteReference w:id="394"/>
      </w:r>
      <w:r w:rsidR="00D37BB1" w:rsidRPr="00D37BB1">
        <w:rPr>
          <w:lang w:val="en-US"/>
        </w:rPr>
        <w:t>. No consensus exists on the added value of these two separate definitions. Their inclusion was applauded based on the argument that many female workers are subjected to the two types of harassment at the same time. The two definitions thus strengthen</w:t>
      </w:r>
      <w:r w:rsidR="00211A26">
        <w:rPr>
          <w:lang w:val="en-US"/>
        </w:rPr>
        <w:t xml:space="preserve"> the</w:t>
      </w:r>
      <w:r w:rsidR="00D37BB1" w:rsidRPr="00D37BB1">
        <w:rPr>
          <w:lang w:val="en-US"/>
        </w:rPr>
        <w:t xml:space="preserve"> victims’ position</w:t>
      </w:r>
      <w:r w:rsidR="00D37BB1" w:rsidRPr="00D37BB1">
        <w:rPr>
          <w:vertAlign w:val="superscript"/>
          <w:lang w:val="en-US"/>
        </w:rPr>
        <w:footnoteReference w:id="395"/>
      </w:r>
      <w:r w:rsidR="00D37BB1" w:rsidRPr="00D37BB1">
        <w:rPr>
          <w:lang w:val="en-US"/>
        </w:rPr>
        <w:t>. Opponents mainly argue that the distinction between sexual harassment and sex-based harassment creates unnecessary confusion and will lead to difficulties in interpretation</w:t>
      </w:r>
      <w:r w:rsidR="00D37BB1" w:rsidRPr="00D37BB1">
        <w:rPr>
          <w:vertAlign w:val="superscript"/>
          <w:lang w:val="en-US"/>
        </w:rPr>
        <w:footnoteReference w:id="396"/>
      </w:r>
      <w:r w:rsidR="00D37BB1" w:rsidRPr="00D37BB1">
        <w:rPr>
          <w:lang w:val="en-US"/>
        </w:rPr>
        <w:t>. Sex-based harassment and sexual harassment have two attributes in common. Firstly, dignity remains a constructive element. Only if the perpetrator’s conduct endangers the dignity of the victim, there is sexual harassment or sex-based harassment</w:t>
      </w:r>
      <w:r w:rsidR="00D37BB1" w:rsidRPr="00D37BB1">
        <w:rPr>
          <w:vertAlign w:val="superscript"/>
          <w:lang w:val="en-US"/>
        </w:rPr>
        <w:footnoteReference w:id="397"/>
      </w:r>
      <w:r w:rsidR="00D37BB1" w:rsidRPr="00D37BB1">
        <w:rPr>
          <w:lang w:val="en-US"/>
        </w:rPr>
        <w:t xml:space="preserve">. Secondly, both sex-based harassment and sexual harassment are atypical forms of discrimination. They do not fit into </w:t>
      </w:r>
      <w:r w:rsidR="00D37BB1" w:rsidRPr="00D37BB1">
        <w:rPr>
          <w:lang w:val="en-US"/>
        </w:rPr>
        <w:lastRenderedPageBreak/>
        <w:t>the traditional EU equality a</w:t>
      </w:r>
      <w:r w:rsidR="009F745E">
        <w:rPr>
          <w:lang w:val="en-US"/>
        </w:rPr>
        <w:t xml:space="preserve">nd non-discrimination framework, </w:t>
      </w:r>
      <w:r w:rsidR="00D37BB1" w:rsidRPr="00D37BB1">
        <w:rPr>
          <w:lang w:val="en-US"/>
        </w:rPr>
        <w:t>because their definitions demonstrate that no comparison needs to be made</w:t>
      </w:r>
      <w:r w:rsidR="00D37BB1" w:rsidRPr="00D37BB1">
        <w:rPr>
          <w:vertAlign w:val="superscript"/>
          <w:lang w:val="en-US"/>
        </w:rPr>
        <w:footnoteReference w:id="398"/>
      </w:r>
      <w:r w:rsidR="00D37BB1" w:rsidRPr="00D37BB1">
        <w:rPr>
          <w:lang w:val="en-US"/>
        </w:rPr>
        <w:t>.  Sex-based harassment however does still require a causal relationship between the protected ground sex and the bad treatment</w:t>
      </w:r>
      <w:r w:rsidR="00D37BB1" w:rsidRPr="00D37BB1">
        <w:rPr>
          <w:vertAlign w:val="superscript"/>
          <w:lang w:val="en-US"/>
        </w:rPr>
        <w:footnoteReference w:id="399"/>
      </w:r>
      <w:r w:rsidR="00D37BB1" w:rsidRPr="00D37BB1">
        <w:rPr>
          <w:lang w:val="en-US"/>
        </w:rPr>
        <w:t>. A worker is harassed because she is female but the harmful treatment is of a non-sexual nature. Sexual harassment does not necessarily require such a causal relationship, although there will often be one in practice. For harmful treatment to be sexual harassment, it needs to be of a sexual nature</w:t>
      </w:r>
      <w:r w:rsidR="00D37BB1" w:rsidRPr="00D37BB1">
        <w:rPr>
          <w:vertAlign w:val="superscript"/>
          <w:lang w:val="en-US"/>
        </w:rPr>
        <w:footnoteReference w:id="400"/>
      </w:r>
      <w:r w:rsidR="00D37BB1" w:rsidRPr="00D37BB1">
        <w:rPr>
          <w:lang w:val="en-US"/>
        </w:rPr>
        <w:t>. Because women workers are the primary victims of harmful treatment of a sexual nature, it was decided to categorize sexual harassment as sex discrimination. Making the distinction between sex-based harassment and sexual harassment is not always easy and the two will often overlap. This is why some scholars unsuccessfully proposed to tackle sexual harassment as a health and safety issue at work in a separate directive</w:t>
      </w:r>
      <w:r w:rsidR="00D37BB1" w:rsidRPr="00D37BB1">
        <w:rPr>
          <w:vertAlign w:val="superscript"/>
          <w:lang w:val="en-US"/>
        </w:rPr>
        <w:footnoteReference w:id="401"/>
      </w:r>
      <w:r w:rsidR="00D37BB1" w:rsidRPr="00D37BB1">
        <w:rPr>
          <w:lang w:val="en-US"/>
        </w:rPr>
        <w:t>. An attentive reading of the recast directive also shows that, contrary to what a few authors claim</w:t>
      </w:r>
      <w:r w:rsidR="00D37BB1" w:rsidRPr="00D37BB1">
        <w:rPr>
          <w:vertAlign w:val="superscript"/>
          <w:lang w:val="en-US"/>
        </w:rPr>
        <w:footnoteReference w:id="402"/>
      </w:r>
      <w:r w:rsidR="00D37BB1" w:rsidRPr="00D37BB1">
        <w:rPr>
          <w:lang w:val="en-US"/>
        </w:rPr>
        <w:t>, both quid pro quo and hostile environment sexual harassment are condemned within the EU legal framework</w:t>
      </w:r>
      <w:r w:rsidR="00D37BB1" w:rsidRPr="00D37BB1">
        <w:rPr>
          <w:vertAlign w:val="superscript"/>
          <w:lang w:val="en-US"/>
        </w:rPr>
        <w:footnoteReference w:id="403"/>
      </w:r>
      <w:r w:rsidR="00D37BB1" w:rsidRPr="00D37BB1">
        <w:rPr>
          <w:lang w:val="en-US"/>
        </w:rPr>
        <w:t>. Beside the divergent weight attached to the victim’s dignity, there are other disparities between European and American attitudes towards sexual harassment. Title VII of the Civil Rights Act does not formally require the adoption of preventive measures. Owing to the r</w:t>
      </w:r>
      <w:r w:rsidR="00670EFA">
        <w:rPr>
          <w:lang w:val="en-US"/>
        </w:rPr>
        <w:t xml:space="preserve">isk of damages claims, </w:t>
      </w:r>
      <w:r w:rsidR="00D37BB1" w:rsidRPr="00D37BB1">
        <w:rPr>
          <w:lang w:val="en-US"/>
        </w:rPr>
        <w:t>virtually an</w:t>
      </w:r>
      <w:r w:rsidR="00670EFA">
        <w:rPr>
          <w:lang w:val="en-US"/>
        </w:rPr>
        <w:t xml:space="preserve">y American employer nowadays has </w:t>
      </w:r>
      <w:r w:rsidR="00D37BB1" w:rsidRPr="00D37BB1">
        <w:rPr>
          <w:lang w:val="en-US"/>
        </w:rPr>
        <w:t>a mechanism for preventing and remedying instances of sexual harassment. Case-law of the US Supreme Court also appears to be imposing a de facto preventative obligation on employers</w:t>
      </w:r>
      <w:r w:rsidR="00D37BB1" w:rsidRPr="00D37BB1">
        <w:rPr>
          <w:vertAlign w:val="superscript"/>
          <w:lang w:val="en-US"/>
        </w:rPr>
        <w:footnoteReference w:id="404"/>
      </w:r>
      <w:r w:rsidR="00D37BB1" w:rsidRPr="00D37BB1">
        <w:rPr>
          <w:lang w:val="en-US"/>
        </w:rPr>
        <w:t>. In E</w:t>
      </w:r>
      <w:r w:rsidR="008236FF">
        <w:rPr>
          <w:lang w:val="en-US"/>
        </w:rPr>
        <w:t>U law, the role of prevention appears</w:t>
      </w:r>
      <w:r w:rsidR="00D37BB1" w:rsidRPr="00D37BB1">
        <w:rPr>
          <w:lang w:val="en-US"/>
        </w:rPr>
        <w:t xml:space="preserve"> to be less significant. The recas</w:t>
      </w:r>
      <w:r w:rsidR="00525D69">
        <w:rPr>
          <w:lang w:val="en-US"/>
        </w:rPr>
        <w:t>t directive only expects member</w:t>
      </w:r>
      <w:r w:rsidR="00D37BB1" w:rsidRPr="00D37BB1">
        <w:rPr>
          <w:lang w:val="en-US"/>
        </w:rPr>
        <w:t xml:space="preserve"> states to </w:t>
      </w:r>
      <w:r w:rsidR="00D37BB1" w:rsidRPr="00D37BB1">
        <w:rPr>
          <w:i/>
          <w:lang w:val="en-US"/>
        </w:rPr>
        <w:t>encourage</w:t>
      </w:r>
      <w:r w:rsidR="00D37BB1" w:rsidRPr="00D37BB1">
        <w:rPr>
          <w:lang w:val="en-US"/>
        </w:rPr>
        <w:t xml:space="preserve"> (not oblige)</w:t>
      </w:r>
      <w:r w:rsidR="00D37BB1" w:rsidRPr="00D37BB1">
        <w:rPr>
          <w:i/>
          <w:lang w:val="en-US"/>
        </w:rPr>
        <w:t xml:space="preserve"> </w:t>
      </w:r>
      <w:r w:rsidR="00D37BB1" w:rsidRPr="00D37BB1">
        <w:rPr>
          <w:lang w:val="en-US"/>
        </w:rPr>
        <w:t>the adoption of preventive measures</w:t>
      </w:r>
      <w:r w:rsidR="00D37BB1" w:rsidRPr="00D37BB1">
        <w:rPr>
          <w:vertAlign w:val="superscript"/>
          <w:lang w:val="en-US"/>
        </w:rPr>
        <w:footnoteReference w:id="405"/>
      </w:r>
      <w:r w:rsidR="00D37BB1" w:rsidRPr="00D37BB1">
        <w:rPr>
          <w:lang w:val="en-US"/>
        </w:rPr>
        <w:t xml:space="preserve">. Furthermore, European employers are less inclined to set up internal anti-discrimination policies because of the more moderate financial risks relating to sexual harassment. The Civil Rights Act does not expressly mention sexual harassment. The </w:t>
      </w:r>
      <w:r w:rsidR="00D37BB1" w:rsidRPr="00D37BB1">
        <w:rPr>
          <w:lang w:val="en-US"/>
        </w:rPr>
        <w:lastRenderedPageBreak/>
        <w:t xml:space="preserve">American courts, not the legislature, brought it within the scope of Title VII of the Act. In the EU, in contrast, the Union judicature is the notable absentee in the sexual harassment debate. To this day, there are no important rulings by the European Court of Justice. </w:t>
      </w:r>
    </w:p>
    <w:p w:rsidR="00EB5ACD" w:rsidRPr="00812C64" w:rsidRDefault="00E164F9" w:rsidP="00687D8A">
      <w:pPr>
        <w:spacing w:line="360" w:lineRule="auto"/>
        <w:jc w:val="both"/>
        <w:rPr>
          <w:lang w:val="en-US"/>
        </w:rPr>
      </w:pPr>
      <w:r>
        <w:rPr>
          <w:i/>
          <w:lang w:val="en-US"/>
        </w:rPr>
        <w:t>59</w:t>
      </w:r>
      <w:r w:rsidR="00E61156" w:rsidRPr="00E61156">
        <w:rPr>
          <w:i/>
          <w:lang w:val="en-US"/>
        </w:rPr>
        <w:t>.</w:t>
      </w:r>
      <w:r w:rsidR="00E61156">
        <w:rPr>
          <w:lang w:val="en-US"/>
        </w:rPr>
        <w:t xml:space="preserve"> </w:t>
      </w:r>
      <w:r w:rsidR="00D37BB1" w:rsidRPr="00D37BB1">
        <w:rPr>
          <w:lang w:val="en-US"/>
        </w:rPr>
        <w:t>The EU Charter of Fundamental Rights does not make express reference to sexual harassment. Its provisions on human dignity</w:t>
      </w:r>
      <w:r w:rsidR="00D37BB1" w:rsidRPr="00D37BB1">
        <w:rPr>
          <w:vertAlign w:val="superscript"/>
          <w:lang w:val="en-US"/>
        </w:rPr>
        <w:footnoteReference w:id="406"/>
      </w:r>
      <w:r w:rsidR="00D37BB1" w:rsidRPr="00D37BB1">
        <w:rPr>
          <w:lang w:val="en-US"/>
        </w:rPr>
        <w:t>, the integrity of the person</w:t>
      </w:r>
      <w:r w:rsidR="00D37BB1" w:rsidRPr="00D37BB1">
        <w:rPr>
          <w:vertAlign w:val="superscript"/>
          <w:lang w:val="en-US"/>
        </w:rPr>
        <w:footnoteReference w:id="407"/>
      </w:r>
      <w:r w:rsidR="00D37BB1" w:rsidRPr="00D37BB1">
        <w:rPr>
          <w:lang w:val="en-US"/>
        </w:rPr>
        <w:t>, non-discrimination</w:t>
      </w:r>
      <w:r w:rsidR="00D37BB1" w:rsidRPr="00D37BB1">
        <w:rPr>
          <w:vertAlign w:val="superscript"/>
          <w:lang w:val="en-US"/>
        </w:rPr>
        <w:footnoteReference w:id="408"/>
      </w:r>
      <w:r w:rsidR="00D37BB1" w:rsidRPr="00D37BB1">
        <w:rPr>
          <w:lang w:val="en-US"/>
        </w:rPr>
        <w:t>, equality between men and women</w:t>
      </w:r>
      <w:r w:rsidR="00D37BB1" w:rsidRPr="00D37BB1">
        <w:rPr>
          <w:vertAlign w:val="superscript"/>
          <w:lang w:val="en-US"/>
        </w:rPr>
        <w:footnoteReference w:id="409"/>
      </w:r>
      <w:r w:rsidR="00D37BB1" w:rsidRPr="00D37BB1">
        <w:rPr>
          <w:lang w:val="en-US"/>
        </w:rPr>
        <w:t xml:space="preserve"> and fair and just working conditions</w:t>
      </w:r>
      <w:r w:rsidR="00D37BB1" w:rsidRPr="00D37BB1">
        <w:rPr>
          <w:vertAlign w:val="superscript"/>
          <w:lang w:val="en-US"/>
        </w:rPr>
        <w:footnoteReference w:id="410"/>
      </w:r>
      <w:r w:rsidR="00D37BB1" w:rsidRPr="00D37BB1">
        <w:rPr>
          <w:lang w:val="en-US"/>
        </w:rPr>
        <w:t xml:space="preserve"> might be of assistance to the European Court of Justice in future cases.</w:t>
      </w:r>
    </w:p>
    <w:p w:rsidR="00D37BB1" w:rsidRPr="00D37BB1" w:rsidRDefault="00D37BB1" w:rsidP="00687D8A">
      <w:pPr>
        <w:spacing w:line="360" w:lineRule="auto"/>
        <w:jc w:val="both"/>
        <w:rPr>
          <w:u w:val="single"/>
          <w:lang w:val="en-US"/>
        </w:rPr>
      </w:pPr>
      <w:r w:rsidRPr="00D37BB1">
        <w:rPr>
          <w:u w:val="single"/>
          <w:lang w:val="en-US"/>
        </w:rPr>
        <w:t xml:space="preserve">The </w:t>
      </w:r>
      <w:r w:rsidR="008271F6">
        <w:rPr>
          <w:u w:val="single"/>
          <w:lang w:val="en-US"/>
        </w:rPr>
        <w:t xml:space="preserve">Revised </w:t>
      </w:r>
      <w:r w:rsidRPr="00D37BB1">
        <w:rPr>
          <w:u w:val="single"/>
          <w:lang w:val="en-US"/>
        </w:rPr>
        <w:t xml:space="preserve">European Social Charter </w:t>
      </w:r>
    </w:p>
    <w:p w:rsidR="00D37BB1" w:rsidRPr="00D37BB1" w:rsidRDefault="00E164F9" w:rsidP="00687D8A">
      <w:pPr>
        <w:spacing w:line="360" w:lineRule="auto"/>
        <w:jc w:val="both"/>
        <w:rPr>
          <w:lang w:val="en-US"/>
        </w:rPr>
      </w:pPr>
      <w:r>
        <w:rPr>
          <w:i/>
          <w:lang w:val="en-US"/>
        </w:rPr>
        <w:t>60</w:t>
      </w:r>
      <w:r w:rsidR="00433793" w:rsidRPr="00433793">
        <w:rPr>
          <w:i/>
          <w:lang w:val="en-US"/>
        </w:rPr>
        <w:t>.</w:t>
      </w:r>
      <w:r w:rsidR="00433793">
        <w:rPr>
          <w:lang w:val="en-US"/>
        </w:rPr>
        <w:t xml:space="preserve"> </w:t>
      </w:r>
      <w:r w:rsidR="00D37BB1" w:rsidRPr="00D37BB1">
        <w:rPr>
          <w:lang w:val="en-US"/>
        </w:rPr>
        <w:t>The 1961 European Social Charter was devised some 15 years before the term sexual harassment obtained a footh</w:t>
      </w:r>
      <w:r w:rsidR="00C62809">
        <w:rPr>
          <w:lang w:val="en-US"/>
        </w:rPr>
        <w:t xml:space="preserve">old in the doctrine. In this way it is </w:t>
      </w:r>
      <w:r w:rsidR="00D37BB1" w:rsidRPr="00D37BB1">
        <w:rPr>
          <w:lang w:val="en-US"/>
        </w:rPr>
        <w:t>not surprising that the concept was not mentioned in the original Charter. Article 26 of the Revised Charter on the o</w:t>
      </w:r>
      <w:r w:rsidR="00C62809">
        <w:rPr>
          <w:lang w:val="en-US"/>
        </w:rPr>
        <w:t xml:space="preserve">ther hand explicitly notifies </w:t>
      </w:r>
      <w:r w:rsidR="00D37BB1" w:rsidRPr="00D37BB1">
        <w:rPr>
          <w:lang w:val="en-US"/>
        </w:rPr>
        <w:t>sexual harassment. Both quid pro quo and hostile environment harassment are covered</w:t>
      </w:r>
      <w:r w:rsidR="00D37BB1" w:rsidRPr="00D37BB1">
        <w:rPr>
          <w:vertAlign w:val="superscript"/>
          <w:lang w:val="en-US"/>
        </w:rPr>
        <w:footnoteReference w:id="411"/>
      </w:r>
      <w:r w:rsidR="00D37BB1" w:rsidRPr="00D37BB1">
        <w:rPr>
          <w:lang w:val="en-US"/>
        </w:rPr>
        <w:t>. The heading of article 26</w:t>
      </w:r>
      <w:r w:rsidR="00D37BB1" w:rsidRPr="00D37BB1">
        <w:rPr>
          <w:vertAlign w:val="superscript"/>
          <w:lang w:val="en-US"/>
        </w:rPr>
        <w:footnoteReference w:id="412"/>
      </w:r>
      <w:r w:rsidR="00D37BB1" w:rsidRPr="00D37BB1">
        <w:rPr>
          <w:lang w:val="en-US"/>
        </w:rPr>
        <w:t xml:space="preserve"> manifests that the drafters drew inspiration from the early EU documents</w:t>
      </w:r>
      <w:r w:rsidR="00D37BB1" w:rsidRPr="00D37BB1">
        <w:rPr>
          <w:vertAlign w:val="superscript"/>
          <w:lang w:val="en-US"/>
        </w:rPr>
        <w:footnoteReference w:id="413"/>
      </w:r>
      <w:r w:rsidR="00F56E21">
        <w:rPr>
          <w:lang w:val="en-US"/>
        </w:rPr>
        <w:t xml:space="preserve">. Unlike in the EU, </w:t>
      </w:r>
      <w:r w:rsidR="00D37BB1" w:rsidRPr="00D37BB1">
        <w:rPr>
          <w:lang w:val="en-US"/>
        </w:rPr>
        <w:t>no shift took place away from a dignity perspective to a conception of sexual harassment as sex discrimination</w:t>
      </w:r>
      <w:r w:rsidR="00F56E21">
        <w:rPr>
          <w:lang w:val="en-US"/>
        </w:rPr>
        <w:t xml:space="preserve"> later on</w:t>
      </w:r>
      <w:r w:rsidR="00D37BB1" w:rsidRPr="00D37BB1">
        <w:rPr>
          <w:lang w:val="en-US"/>
        </w:rPr>
        <w:t>. By denying that sexual harassment is a form of sex discrimination in several of its conclusions</w:t>
      </w:r>
      <w:r w:rsidR="00D37BB1" w:rsidRPr="00D37BB1">
        <w:rPr>
          <w:vertAlign w:val="superscript"/>
          <w:lang w:val="en-US"/>
        </w:rPr>
        <w:footnoteReference w:id="414"/>
      </w:r>
      <w:r w:rsidR="00D37BB1" w:rsidRPr="00D37BB1">
        <w:rPr>
          <w:lang w:val="en-US"/>
        </w:rPr>
        <w:t>, the European Committee of Social Rights affirmed that it predominantly views sexual harassment as a threat to</w:t>
      </w:r>
      <w:r w:rsidR="00D2701F">
        <w:rPr>
          <w:lang w:val="en-US"/>
        </w:rPr>
        <w:t xml:space="preserve"> a</w:t>
      </w:r>
      <w:r w:rsidR="00D37BB1" w:rsidRPr="00D37BB1">
        <w:rPr>
          <w:lang w:val="en-US"/>
        </w:rPr>
        <w:t xml:space="preserve"> worker</w:t>
      </w:r>
      <w:r w:rsidR="00D2701F">
        <w:rPr>
          <w:lang w:val="en-US"/>
        </w:rPr>
        <w:t>’s</w:t>
      </w:r>
      <w:r w:rsidR="00D37BB1" w:rsidRPr="00D37BB1">
        <w:rPr>
          <w:lang w:val="en-US"/>
        </w:rPr>
        <w:t xml:space="preserve"> dignity. In 2006, a second approach to sexual harassment was assumed. While pronouncing on </w:t>
      </w:r>
      <w:r w:rsidR="00D2701F">
        <w:rPr>
          <w:lang w:val="en-US"/>
        </w:rPr>
        <w:t>a worker’s</w:t>
      </w:r>
      <w:r w:rsidR="00D37BB1" w:rsidRPr="00D37BB1">
        <w:rPr>
          <w:lang w:val="en-US"/>
        </w:rPr>
        <w:t xml:space="preserve"> right to privacy under article 1(2) of the Charter, the Committee referred to article 26</w:t>
      </w:r>
      <w:r w:rsidR="00D37BB1" w:rsidRPr="00D37BB1">
        <w:rPr>
          <w:vertAlign w:val="superscript"/>
          <w:lang w:val="en-US"/>
        </w:rPr>
        <w:footnoteReference w:id="415"/>
      </w:r>
      <w:r w:rsidR="00D37BB1" w:rsidRPr="00D37BB1">
        <w:rPr>
          <w:lang w:val="en-US"/>
        </w:rPr>
        <w:t>. This may signify a conception of sexual harassment as a violation of the right to respect for someone’s private life</w:t>
      </w:r>
      <w:r w:rsidR="00D37BB1" w:rsidRPr="00D37BB1">
        <w:rPr>
          <w:vertAlign w:val="superscript"/>
          <w:lang w:val="en-US"/>
        </w:rPr>
        <w:footnoteReference w:id="416"/>
      </w:r>
      <w:r w:rsidR="00D37BB1" w:rsidRPr="00D37BB1">
        <w:rPr>
          <w:lang w:val="en-US"/>
        </w:rPr>
        <w:t xml:space="preserve">. This position reflects the approach of the Committee’s counterpart, the European Court of Human Rights. According to the latter, a person’s moral and physical integrity, including his or her sexual integrity, are </w:t>
      </w:r>
      <w:r w:rsidR="00D37BB1" w:rsidRPr="00D37BB1">
        <w:rPr>
          <w:lang w:val="en-US"/>
        </w:rPr>
        <w:lastRenderedPageBreak/>
        <w:t>covered by the right to a private life</w:t>
      </w:r>
      <w:r w:rsidR="00D37BB1" w:rsidRPr="00D37BB1">
        <w:rPr>
          <w:vertAlign w:val="superscript"/>
          <w:lang w:val="en-US"/>
        </w:rPr>
        <w:footnoteReference w:id="417"/>
      </w:r>
      <w:r w:rsidR="00D37BB1" w:rsidRPr="00D37BB1">
        <w:rPr>
          <w:lang w:val="en-US"/>
        </w:rPr>
        <w:t>. By refusing to qualify sexual harassment as a workplace safety and health issue, the Committee conforms to the Union’s conception. Lastly it must be remarked that, within the Council of Europe, additional measures were taken. The Convention on preventing and combating violence against women obliges parties to subject sexual harassment to criminal or other legal sanctions. The influence of the UN Women’s Committee is clearly visible throughou</w:t>
      </w:r>
      <w:r w:rsidR="002661AA">
        <w:rPr>
          <w:lang w:val="en-US"/>
        </w:rPr>
        <w:t xml:space="preserve">t the Convention. </w:t>
      </w:r>
      <w:r w:rsidR="00D37BB1" w:rsidRPr="00D37BB1">
        <w:rPr>
          <w:lang w:val="en-US"/>
        </w:rPr>
        <w:t xml:space="preserve">   </w:t>
      </w:r>
    </w:p>
    <w:p w:rsidR="00D37BB1" w:rsidRPr="00D37BB1" w:rsidRDefault="00D37BB1" w:rsidP="00687D8A">
      <w:pPr>
        <w:spacing w:line="360" w:lineRule="auto"/>
        <w:jc w:val="both"/>
        <w:rPr>
          <w:u w:val="single"/>
          <w:lang w:val="en-US"/>
        </w:rPr>
      </w:pPr>
      <w:r w:rsidRPr="00D37BB1">
        <w:rPr>
          <w:u w:val="single"/>
          <w:lang w:val="en-US"/>
        </w:rPr>
        <w:t>The UN Convention on the Elimination of All Forms of Discrimination against Women</w:t>
      </w:r>
    </w:p>
    <w:p w:rsidR="00D37BB1" w:rsidRDefault="00A224DB" w:rsidP="00687D8A">
      <w:pPr>
        <w:spacing w:line="360" w:lineRule="auto"/>
        <w:jc w:val="both"/>
        <w:rPr>
          <w:lang w:val="en-US"/>
        </w:rPr>
      </w:pPr>
      <w:r>
        <w:rPr>
          <w:i/>
          <w:lang w:val="en-US"/>
        </w:rPr>
        <w:t>61</w:t>
      </w:r>
      <w:r w:rsidR="00812C64" w:rsidRPr="00812C64">
        <w:rPr>
          <w:i/>
          <w:lang w:val="en-US"/>
        </w:rPr>
        <w:t>.</w:t>
      </w:r>
      <w:r w:rsidR="00812C64">
        <w:rPr>
          <w:lang w:val="en-US"/>
        </w:rPr>
        <w:t xml:space="preserve"> </w:t>
      </w:r>
      <w:r w:rsidR="00D37BB1" w:rsidRPr="00D37BB1">
        <w:rPr>
          <w:lang w:val="en-US"/>
        </w:rPr>
        <w:t>Since the drafting of the UN Convention on the Elimination of Discrimination Against Women predated the general recognition of the concept sexual harassment, it does not explicitly recognize the concept. The Committee on the Elimination of Discrimination against Women has nevertheless devised several strategies in order to combat the phenomenon. In two of its General Recommendations, sexual harassment has been qualified as a form of gender-based violence</w:t>
      </w:r>
      <w:r w:rsidR="00D37BB1" w:rsidRPr="00D37BB1">
        <w:rPr>
          <w:vertAlign w:val="superscript"/>
          <w:lang w:val="en-US"/>
        </w:rPr>
        <w:footnoteReference w:id="418"/>
      </w:r>
      <w:r w:rsidR="00D37BB1" w:rsidRPr="00D37BB1">
        <w:rPr>
          <w:lang w:val="en-US"/>
        </w:rPr>
        <w:t>. According to the Committee, gender-based violence is violence t</w:t>
      </w:r>
      <w:r w:rsidR="00E47531">
        <w:rPr>
          <w:lang w:val="en-US"/>
        </w:rPr>
        <w:t xml:space="preserve">hat is directed against a woman, </w:t>
      </w:r>
      <w:r w:rsidR="00D37BB1" w:rsidRPr="00D37BB1">
        <w:rPr>
          <w:lang w:val="en-US"/>
        </w:rPr>
        <w:t>because she is a woman or that affects women disproportionately</w:t>
      </w:r>
      <w:r w:rsidR="00D37BB1" w:rsidRPr="00D37BB1">
        <w:rPr>
          <w:vertAlign w:val="superscript"/>
          <w:lang w:val="en-US"/>
        </w:rPr>
        <w:footnoteReference w:id="419"/>
      </w:r>
      <w:r w:rsidR="00D37BB1" w:rsidRPr="00D37BB1">
        <w:rPr>
          <w:lang w:val="en-US"/>
        </w:rPr>
        <w:t>. Gender-based violence is covered by the broad definition of ‘discrimination against women’ in article 1 of the Convention</w:t>
      </w:r>
      <w:r w:rsidR="00D37BB1" w:rsidRPr="00D37BB1">
        <w:rPr>
          <w:vertAlign w:val="superscript"/>
          <w:lang w:val="en-US"/>
        </w:rPr>
        <w:footnoteReference w:id="420"/>
      </w:r>
      <w:r w:rsidR="00D37BB1" w:rsidRPr="00D37BB1">
        <w:rPr>
          <w:lang w:val="en-US"/>
        </w:rPr>
        <w:t>. One may wonder whether the latter description is capable of covering all forms of sexual harassment. Some types of sexual harassment, such as sexual assault and rape undoubtedly constitute serious physical violence. Other types of sexual harassment however do not involve the use of any physical force. If they nonetheless result in harm to the mental state of the victim, they may be seen as incidents of psychological violence. A close reading of the relevant General Recommendation manifests that the Committee intended to include psychological violence</w:t>
      </w:r>
      <w:r w:rsidR="00D37BB1" w:rsidRPr="00D37BB1">
        <w:rPr>
          <w:vertAlign w:val="superscript"/>
          <w:lang w:val="en-US"/>
        </w:rPr>
        <w:footnoteReference w:id="421"/>
      </w:r>
      <w:r w:rsidR="00D37BB1" w:rsidRPr="00D37BB1">
        <w:rPr>
          <w:lang w:val="en-US"/>
        </w:rPr>
        <w:t>. Within the broader UN framework, the decision was made to adhere to the categorization under the Women’s Convention</w:t>
      </w:r>
      <w:r w:rsidR="00D37BB1" w:rsidRPr="00D37BB1">
        <w:rPr>
          <w:vertAlign w:val="superscript"/>
          <w:lang w:val="en-US"/>
        </w:rPr>
        <w:footnoteReference w:id="422"/>
      </w:r>
      <w:r w:rsidR="00D37BB1" w:rsidRPr="00D37BB1">
        <w:rPr>
          <w:lang w:val="en-US"/>
        </w:rPr>
        <w:t xml:space="preserve">. The Committee’s second strategy contrasts with the choices made within the EU and the Council of Europe. It expressly recognizes that sexual harassment may </w:t>
      </w:r>
      <w:r w:rsidR="00D37BB1" w:rsidRPr="00D37BB1">
        <w:rPr>
          <w:lang w:val="en-US"/>
        </w:rPr>
        <w:lastRenderedPageBreak/>
        <w:t>constitute a health and safety issue</w:t>
      </w:r>
      <w:r w:rsidR="00D37BB1" w:rsidRPr="00D37BB1">
        <w:rPr>
          <w:vertAlign w:val="superscript"/>
          <w:lang w:val="en-US"/>
        </w:rPr>
        <w:footnoteReference w:id="423"/>
      </w:r>
      <w:r w:rsidR="00D37BB1" w:rsidRPr="00D37BB1">
        <w:rPr>
          <w:lang w:val="en-US"/>
        </w:rPr>
        <w:t xml:space="preserve">. </w:t>
      </w:r>
      <w:r w:rsidR="00066D6D">
        <w:rPr>
          <w:lang w:val="en-US"/>
        </w:rPr>
        <w:t>In line with the Com</w:t>
      </w:r>
      <w:r w:rsidR="00187697">
        <w:rPr>
          <w:lang w:val="en-US"/>
        </w:rPr>
        <w:t xml:space="preserve">mittee’s statements, it can </w:t>
      </w:r>
      <w:r w:rsidR="001F1467">
        <w:rPr>
          <w:lang w:val="en-US"/>
        </w:rPr>
        <w:t>reasonably</w:t>
      </w:r>
      <w:r w:rsidR="00187697">
        <w:rPr>
          <w:lang w:val="en-US"/>
        </w:rPr>
        <w:t xml:space="preserve"> be</w:t>
      </w:r>
      <w:r w:rsidR="001F1467">
        <w:rPr>
          <w:lang w:val="en-US"/>
        </w:rPr>
        <w:t xml:space="preserve"> argue</w:t>
      </w:r>
      <w:r w:rsidR="00187697">
        <w:rPr>
          <w:lang w:val="en-US"/>
        </w:rPr>
        <w:t>d</w:t>
      </w:r>
      <w:r w:rsidR="001F1467">
        <w:rPr>
          <w:lang w:val="en-US"/>
        </w:rPr>
        <w:t xml:space="preserve"> that a</w:t>
      </w:r>
      <w:r w:rsidR="00D37BB1" w:rsidRPr="00D37BB1">
        <w:rPr>
          <w:lang w:val="en-US"/>
        </w:rPr>
        <w:t>rticle 11(1) f) of the Convention</w:t>
      </w:r>
      <w:r w:rsidR="001F1467">
        <w:rPr>
          <w:lang w:val="en-US"/>
        </w:rPr>
        <w:t xml:space="preserve"> on </w:t>
      </w:r>
      <w:r w:rsidR="00170346">
        <w:rPr>
          <w:lang w:val="en-US"/>
        </w:rPr>
        <w:t xml:space="preserve">the protection of </w:t>
      </w:r>
      <w:r w:rsidR="001F1467">
        <w:rPr>
          <w:lang w:val="en-US"/>
        </w:rPr>
        <w:t xml:space="preserve">health and safety in working conditions </w:t>
      </w:r>
      <w:r w:rsidR="00D37BB1" w:rsidRPr="00D37BB1">
        <w:rPr>
          <w:lang w:val="en-US"/>
        </w:rPr>
        <w:t>obliges state parties to adopt adequate measures against sexual harassment. In the concluding observations to state reports, sexual harassment is tackled under the article 11 in general, without referral to any specific paragraph. Several states have been criticized for a lack of legislative measures countering sexual harassment</w:t>
      </w:r>
      <w:r w:rsidR="00D37BB1" w:rsidRPr="00D37BB1">
        <w:rPr>
          <w:vertAlign w:val="superscript"/>
          <w:lang w:val="en-US"/>
        </w:rPr>
        <w:footnoteReference w:id="424"/>
      </w:r>
      <w:r w:rsidR="00D37BB1" w:rsidRPr="00D37BB1">
        <w:rPr>
          <w:lang w:val="en-US"/>
        </w:rPr>
        <w:t>. Others have been reprimanded for not implementing their existing legislation</w:t>
      </w:r>
      <w:r w:rsidR="00D37BB1" w:rsidRPr="00D37BB1">
        <w:rPr>
          <w:vertAlign w:val="superscript"/>
          <w:lang w:val="en-US"/>
        </w:rPr>
        <w:footnoteReference w:id="425"/>
      </w:r>
      <w:r w:rsidR="00D37BB1" w:rsidRPr="00D37BB1">
        <w:rPr>
          <w:lang w:val="en-US"/>
        </w:rPr>
        <w:t>. In a few cases, the Committee relies on statistics to caution states on high levels of workplace sexual harassment in their territory</w:t>
      </w:r>
      <w:r w:rsidR="00D37BB1" w:rsidRPr="00D37BB1">
        <w:rPr>
          <w:vertAlign w:val="superscript"/>
          <w:lang w:val="en-US"/>
        </w:rPr>
        <w:footnoteReference w:id="426"/>
      </w:r>
      <w:r w:rsidR="00D37BB1" w:rsidRPr="00D37BB1">
        <w:rPr>
          <w:lang w:val="en-US"/>
        </w:rPr>
        <w:t>. Recently, it became apparent that the Committee recognizes the difference between quid pro quo and hostile environment harassment</w:t>
      </w:r>
      <w:r w:rsidR="00D37BB1" w:rsidRPr="00D37BB1">
        <w:rPr>
          <w:vertAlign w:val="superscript"/>
          <w:lang w:val="en-US"/>
        </w:rPr>
        <w:footnoteReference w:id="427"/>
      </w:r>
      <w:r w:rsidR="00D37BB1" w:rsidRPr="00D37BB1">
        <w:rPr>
          <w:lang w:val="en-US"/>
        </w:rPr>
        <w:t>. The Convention’s provision on the elimination of stereotypes</w:t>
      </w:r>
      <w:r w:rsidR="00D37BB1" w:rsidRPr="00D37BB1">
        <w:rPr>
          <w:vertAlign w:val="superscript"/>
          <w:lang w:val="en-US"/>
        </w:rPr>
        <w:footnoteReference w:id="428"/>
      </w:r>
      <w:r w:rsidR="00D37BB1" w:rsidRPr="00D37BB1">
        <w:rPr>
          <w:lang w:val="en-US"/>
        </w:rPr>
        <w:t xml:space="preserve"> also matters when discussing this subject. According to the Committee, the conduct of perpetrators of sexual harassment can often be explained with reference to stereotypes</w:t>
      </w:r>
      <w:r w:rsidR="00D37BB1" w:rsidRPr="00D37BB1">
        <w:rPr>
          <w:vertAlign w:val="superscript"/>
          <w:lang w:val="en-US"/>
        </w:rPr>
        <w:footnoteReference w:id="429"/>
      </w:r>
      <w:r w:rsidR="00D37BB1" w:rsidRPr="00D37BB1">
        <w:rPr>
          <w:lang w:val="en-US"/>
        </w:rPr>
        <w:t>. In the mo</w:t>
      </w:r>
      <w:r w:rsidR="00BF7E0C">
        <w:rPr>
          <w:lang w:val="en-US"/>
        </w:rPr>
        <w:t>dern day media and advertising business</w:t>
      </w:r>
      <w:r w:rsidR="00D37BB1" w:rsidRPr="00D37BB1">
        <w:rPr>
          <w:lang w:val="en-US"/>
        </w:rPr>
        <w:t xml:space="preserve">, women are often sexualized. A part of the male population therefore tends to believe that all women enjoy being subjected to explicit sexual </w:t>
      </w:r>
      <w:proofErr w:type="spellStart"/>
      <w:r w:rsidR="00D37BB1" w:rsidRPr="00D37BB1">
        <w:rPr>
          <w:lang w:val="en-US"/>
        </w:rPr>
        <w:t>behaviour</w:t>
      </w:r>
      <w:proofErr w:type="spellEnd"/>
      <w:r w:rsidR="00D37BB1" w:rsidRPr="00D37BB1">
        <w:rPr>
          <w:vertAlign w:val="superscript"/>
          <w:lang w:val="en-US"/>
        </w:rPr>
        <w:footnoteReference w:id="430"/>
      </w:r>
      <w:r w:rsidR="00D37BB1" w:rsidRPr="00D37BB1">
        <w:rPr>
          <w:lang w:val="en-US"/>
        </w:rPr>
        <w:t>. The Committee has expressed its concern on this depiction of women as sex objects</w:t>
      </w:r>
      <w:r w:rsidR="00D37BB1" w:rsidRPr="00D37BB1">
        <w:rPr>
          <w:vertAlign w:val="superscript"/>
          <w:lang w:val="en-US"/>
        </w:rPr>
        <w:footnoteReference w:id="431"/>
      </w:r>
      <w:r w:rsidR="00D37BB1" w:rsidRPr="00D37BB1">
        <w:rPr>
          <w:lang w:val="en-US"/>
        </w:rPr>
        <w:t>.</w:t>
      </w:r>
    </w:p>
    <w:p w:rsidR="00D37BB1" w:rsidRPr="00D37BB1" w:rsidRDefault="00D37BB1" w:rsidP="00687D8A">
      <w:pPr>
        <w:spacing w:line="360" w:lineRule="auto"/>
        <w:jc w:val="both"/>
        <w:rPr>
          <w:u w:val="single"/>
          <w:lang w:val="en-US"/>
        </w:rPr>
      </w:pPr>
      <w:r w:rsidRPr="00D37BB1">
        <w:rPr>
          <w:u w:val="single"/>
          <w:lang w:val="en-US"/>
        </w:rPr>
        <w:t xml:space="preserve">The International </w:t>
      </w:r>
      <w:proofErr w:type="spellStart"/>
      <w:r w:rsidRPr="00D37BB1">
        <w:rPr>
          <w:u w:val="single"/>
          <w:lang w:val="en-US"/>
        </w:rPr>
        <w:t>Labour</w:t>
      </w:r>
      <w:proofErr w:type="spellEnd"/>
      <w:r w:rsidRPr="00D37BB1">
        <w:rPr>
          <w:u w:val="single"/>
          <w:lang w:val="en-US"/>
        </w:rPr>
        <w:t xml:space="preserve"> Organization </w:t>
      </w:r>
    </w:p>
    <w:p w:rsidR="00D37BB1" w:rsidRPr="00D37BB1" w:rsidRDefault="00A224DB" w:rsidP="00687D8A">
      <w:pPr>
        <w:spacing w:line="360" w:lineRule="auto"/>
        <w:jc w:val="both"/>
        <w:rPr>
          <w:lang w:val="en-US"/>
        </w:rPr>
      </w:pPr>
      <w:r>
        <w:rPr>
          <w:i/>
          <w:lang w:val="en-US"/>
        </w:rPr>
        <w:t>62</w:t>
      </w:r>
      <w:r w:rsidR="00F82219" w:rsidRPr="00F82219">
        <w:rPr>
          <w:i/>
          <w:lang w:val="en-US"/>
        </w:rPr>
        <w:t>.</w:t>
      </w:r>
      <w:r w:rsidR="00F82219">
        <w:rPr>
          <w:lang w:val="en-US"/>
        </w:rPr>
        <w:t xml:space="preserve"> </w:t>
      </w:r>
      <w:r w:rsidR="00D37BB1" w:rsidRPr="00D37BB1">
        <w:rPr>
          <w:lang w:val="en-US"/>
        </w:rPr>
        <w:t xml:space="preserve">In the ILO framework it was not deemed necessary to adopt general provisions expressly mentioning sexual harassment. The only convention which provides explicit protection against sexual harassment has a narrow scope of application and is therefore of limited </w:t>
      </w:r>
      <w:r w:rsidR="00D37BB1" w:rsidRPr="00D37BB1">
        <w:rPr>
          <w:lang w:val="en-US"/>
        </w:rPr>
        <w:lastRenderedPageBreak/>
        <w:t>importance for this dissertation</w:t>
      </w:r>
      <w:r w:rsidR="00D37BB1" w:rsidRPr="00D37BB1">
        <w:rPr>
          <w:vertAlign w:val="superscript"/>
          <w:lang w:val="en-US"/>
        </w:rPr>
        <w:footnoteReference w:id="432"/>
      </w:r>
      <w:r w:rsidR="00D37BB1" w:rsidRPr="00D37BB1">
        <w:rPr>
          <w:lang w:val="en-US"/>
        </w:rPr>
        <w:t>. The ILO’s Committee of Experts clarified that sexual harassment is a form of sex discrimination falling within the broad ambit of article 1 of Convention 111 on discrimination</w:t>
      </w:r>
      <w:r w:rsidR="00D37BB1" w:rsidRPr="00D37BB1">
        <w:rPr>
          <w:vertAlign w:val="superscript"/>
          <w:lang w:val="en-US"/>
        </w:rPr>
        <w:footnoteReference w:id="433"/>
      </w:r>
      <w:r w:rsidR="00D37BB1" w:rsidRPr="00D37BB1">
        <w:rPr>
          <w:lang w:val="en-US"/>
        </w:rPr>
        <w:t>. Just as under the other legal regimes, the two types of sexual harassment are recognized</w:t>
      </w:r>
      <w:r w:rsidR="00D37BB1" w:rsidRPr="00D37BB1">
        <w:rPr>
          <w:vertAlign w:val="superscript"/>
          <w:lang w:val="en-US"/>
        </w:rPr>
        <w:footnoteReference w:id="434"/>
      </w:r>
      <w:r w:rsidR="00D37BB1" w:rsidRPr="00D37BB1">
        <w:rPr>
          <w:lang w:val="en-US"/>
        </w:rPr>
        <w:t>. Noteworthy is that the individual worker is not considered to be the only victim of sexual harassment. Such incidents are found to be damaging to the enterprise as a whole</w:t>
      </w:r>
      <w:r w:rsidR="00D37BB1" w:rsidRPr="00D37BB1">
        <w:rPr>
          <w:vertAlign w:val="superscript"/>
          <w:lang w:val="en-US"/>
        </w:rPr>
        <w:footnoteReference w:id="435"/>
      </w:r>
      <w:r w:rsidR="00D37BB1" w:rsidRPr="00D37BB1">
        <w:rPr>
          <w:lang w:val="en-US"/>
        </w:rPr>
        <w:t>. It has also been assumed that sexual harassment can be tackled under the occupational health and safety conventions</w:t>
      </w:r>
      <w:r w:rsidR="00D37BB1" w:rsidRPr="00D37BB1">
        <w:rPr>
          <w:vertAlign w:val="superscript"/>
          <w:lang w:val="en-US"/>
        </w:rPr>
        <w:footnoteReference w:id="436"/>
      </w:r>
      <w:r w:rsidR="00D37BB1" w:rsidRPr="00D37BB1">
        <w:rPr>
          <w:lang w:val="en-US"/>
        </w:rPr>
        <w:t>. These conventions place a strong emphasis on prevention</w:t>
      </w:r>
      <w:r w:rsidR="00D37BB1" w:rsidRPr="00D37BB1">
        <w:rPr>
          <w:vertAlign w:val="superscript"/>
          <w:lang w:val="en-US"/>
        </w:rPr>
        <w:footnoteReference w:id="437"/>
      </w:r>
      <w:r w:rsidR="00D37BB1" w:rsidRPr="00D37BB1">
        <w:rPr>
          <w:lang w:val="en-US"/>
        </w:rPr>
        <w:t xml:space="preserve">.  </w:t>
      </w:r>
    </w:p>
    <w:p w:rsidR="00D37BB1" w:rsidRPr="00D37BB1" w:rsidRDefault="00F50CC2" w:rsidP="00687D8A">
      <w:pPr>
        <w:spacing w:line="360" w:lineRule="auto"/>
        <w:jc w:val="both"/>
        <w:rPr>
          <w:lang w:val="en-US"/>
        </w:rPr>
      </w:pPr>
      <w:r>
        <w:rPr>
          <w:i/>
          <w:lang w:val="en-US"/>
        </w:rPr>
        <w:t>63</w:t>
      </w:r>
      <w:r w:rsidR="00526045" w:rsidRPr="00526045">
        <w:rPr>
          <w:i/>
          <w:lang w:val="en-US"/>
        </w:rPr>
        <w:t>.</w:t>
      </w:r>
      <w:r w:rsidR="00526045">
        <w:rPr>
          <w:lang w:val="en-US"/>
        </w:rPr>
        <w:t xml:space="preserve"> </w:t>
      </w:r>
      <w:r w:rsidR="00D37BB1" w:rsidRPr="00D37BB1">
        <w:rPr>
          <w:lang w:val="en-US"/>
        </w:rPr>
        <w:t>The previous paragraphs prove that there exists a general awareness of the fact that sexual harassment constitutes a serious obstacle to gender equality. Women’s rights activists looked for a practical remedy and found it in the equality and anti-discrimination fr</w:t>
      </w:r>
      <w:r w:rsidR="00153A70">
        <w:rPr>
          <w:lang w:val="en-US"/>
        </w:rPr>
        <w:t xml:space="preserve">amework. Sexual harassment </w:t>
      </w:r>
      <w:r w:rsidR="00D37BB1" w:rsidRPr="00D37BB1">
        <w:rPr>
          <w:lang w:val="en-US"/>
        </w:rPr>
        <w:t>however</w:t>
      </w:r>
      <w:r w:rsidR="00153A70">
        <w:rPr>
          <w:lang w:val="en-US"/>
        </w:rPr>
        <w:t xml:space="preserve"> fits rather uncomfortably</w:t>
      </w:r>
      <w:r w:rsidR="00D37BB1" w:rsidRPr="00D37BB1">
        <w:rPr>
          <w:lang w:val="en-US"/>
        </w:rPr>
        <w:t xml:space="preserve"> within this framework. This is why alternative approaches were resorted to, such as human dignity, the right to privacy, violence against women and health and safety issues.</w:t>
      </w:r>
    </w:p>
    <w:p w:rsidR="00D37BB1" w:rsidRPr="00D37BB1" w:rsidRDefault="00D37BB1" w:rsidP="00687D8A">
      <w:pPr>
        <w:spacing w:line="360" w:lineRule="auto"/>
        <w:jc w:val="both"/>
        <w:rPr>
          <w:u w:val="single"/>
          <w:lang w:val="en-US"/>
        </w:rPr>
      </w:pPr>
    </w:p>
    <w:p w:rsidR="00D37BB1" w:rsidRPr="00D37BB1" w:rsidRDefault="00D37BB1" w:rsidP="00687D8A">
      <w:pPr>
        <w:spacing w:line="360" w:lineRule="auto"/>
        <w:jc w:val="both"/>
        <w:rPr>
          <w:u w:val="single"/>
          <w:lang w:val="en-US"/>
        </w:rPr>
      </w:pPr>
    </w:p>
    <w:p w:rsidR="00D37BB1" w:rsidRPr="00D37BB1" w:rsidRDefault="00D37BB1" w:rsidP="00687D8A">
      <w:pPr>
        <w:spacing w:line="360" w:lineRule="auto"/>
        <w:jc w:val="both"/>
        <w:rPr>
          <w:u w:val="single"/>
          <w:lang w:val="en-US"/>
        </w:rPr>
      </w:pPr>
    </w:p>
    <w:p w:rsidR="00D37BB1" w:rsidRPr="00D37BB1" w:rsidRDefault="00D37BB1" w:rsidP="00687D8A">
      <w:pPr>
        <w:spacing w:line="360" w:lineRule="auto"/>
        <w:jc w:val="both"/>
        <w:rPr>
          <w:u w:val="single"/>
          <w:lang w:val="en-US"/>
        </w:rPr>
      </w:pPr>
    </w:p>
    <w:p w:rsidR="00E820F4" w:rsidRDefault="00E820F4" w:rsidP="00687D8A">
      <w:pPr>
        <w:spacing w:line="360" w:lineRule="auto"/>
        <w:jc w:val="both"/>
        <w:rPr>
          <w:u w:val="single"/>
          <w:lang w:val="en-US"/>
        </w:rPr>
      </w:pPr>
    </w:p>
    <w:p w:rsidR="00D37BB1" w:rsidRPr="00D37BB1" w:rsidRDefault="00D37BB1" w:rsidP="00687D8A">
      <w:pPr>
        <w:spacing w:line="360" w:lineRule="auto"/>
        <w:jc w:val="both"/>
        <w:rPr>
          <w:b/>
          <w:u w:val="single"/>
          <w:lang w:val="en-US"/>
        </w:rPr>
      </w:pPr>
      <w:r w:rsidRPr="00D37BB1">
        <w:rPr>
          <w:b/>
          <w:u w:val="single"/>
          <w:lang w:val="en-US"/>
        </w:rPr>
        <w:lastRenderedPageBreak/>
        <w:t>Chapter III. Reconciling Work and Family Life</w:t>
      </w:r>
    </w:p>
    <w:p w:rsidR="00D37BB1" w:rsidRPr="00D37BB1" w:rsidRDefault="00D37BB1" w:rsidP="00687D8A">
      <w:pPr>
        <w:spacing w:line="360" w:lineRule="auto"/>
        <w:jc w:val="both"/>
        <w:rPr>
          <w:u w:val="single"/>
          <w:lang w:val="en-US"/>
        </w:rPr>
      </w:pPr>
      <w:r w:rsidRPr="00D37BB1">
        <w:rPr>
          <w:u w:val="single"/>
          <w:lang w:val="en-US"/>
        </w:rPr>
        <w:t>Section I. Part-time Work</w:t>
      </w:r>
    </w:p>
    <w:p w:rsidR="00D37BB1" w:rsidRPr="00D37BB1" w:rsidRDefault="00D37BB1" w:rsidP="00687D8A">
      <w:pPr>
        <w:spacing w:line="360" w:lineRule="auto"/>
        <w:jc w:val="both"/>
        <w:rPr>
          <w:u w:val="single"/>
          <w:lang w:val="en-US"/>
        </w:rPr>
      </w:pPr>
      <w:r w:rsidRPr="00D37BB1">
        <w:rPr>
          <w:u w:val="single"/>
          <w:lang w:val="en-US"/>
        </w:rPr>
        <w:t xml:space="preserve">Introduction </w:t>
      </w:r>
    </w:p>
    <w:p w:rsidR="00D37BB1" w:rsidRPr="00D37BB1" w:rsidRDefault="00FF5CBD" w:rsidP="00687D8A">
      <w:pPr>
        <w:spacing w:line="360" w:lineRule="auto"/>
        <w:jc w:val="both"/>
        <w:rPr>
          <w:lang w:val="en-US"/>
        </w:rPr>
      </w:pPr>
      <w:r>
        <w:rPr>
          <w:i/>
          <w:lang w:val="en-US"/>
        </w:rPr>
        <w:t>64</w:t>
      </w:r>
      <w:r w:rsidR="008F526D" w:rsidRPr="008F526D">
        <w:rPr>
          <w:i/>
          <w:lang w:val="en-US"/>
        </w:rPr>
        <w:t>.</w:t>
      </w:r>
      <w:r w:rsidR="008F526D">
        <w:rPr>
          <w:lang w:val="en-US"/>
        </w:rPr>
        <w:t xml:space="preserve"> </w:t>
      </w:r>
      <w:r w:rsidR="00D37BB1" w:rsidRPr="00D37BB1">
        <w:rPr>
          <w:lang w:val="en-US"/>
        </w:rPr>
        <w:t>Over the last decades, the number of workers empl</w:t>
      </w:r>
      <w:r w:rsidR="00573B7E">
        <w:rPr>
          <w:lang w:val="en-US"/>
        </w:rPr>
        <w:t>oyed on a part-time basis has sh</w:t>
      </w:r>
      <w:r w:rsidR="00D37BB1" w:rsidRPr="00D37BB1">
        <w:rPr>
          <w:lang w:val="en-US"/>
        </w:rPr>
        <w:t>own a steady increase</w:t>
      </w:r>
      <w:r w:rsidR="00D37BB1" w:rsidRPr="00D37BB1">
        <w:rPr>
          <w:vertAlign w:val="superscript"/>
          <w:lang w:val="en-US"/>
        </w:rPr>
        <w:footnoteReference w:id="438"/>
      </w:r>
      <w:r w:rsidR="00D37BB1" w:rsidRPr="00D37BB1">
        <w:rPr>
          <w:lang w:val="en-US"/>
        </w:rPr>
        <w:t>. The ratio female – male part-time workers is however anything but balanced. For every male part-time worker, there are no less than four female part-time workers</w:t>
      </w:r>
      <w:r w:rsidR="00D37BB1" w:rsidRPr="00D37BB1">
        <w:rPr>
          <w:vertAlign w:val="superscript"/>
          <w:lang w:val="en-US"/>
        </w:rPr>
        <w:footnoteReference w:id="439"/>
      </w:r>
      <w:r w:rsidR="00D37BB1" w:rsidRPr="00D37BB1">
        <w:rPr>
          <w:lang w:val="en-US"/>
        </w:rPr>
        <w:t>. This is problematic because part-time work is often connected to inferior employment conditions. Part-time workers are often victims of discrimination, they perform work which requires less skills, they are given less training opportunities and have reduced prospects of progressing in their careers</w:t>
      </w:r>
      <w:r w:rsidR="00D37BB1" w:rsidRPr="00D37BB1">
        <w:rPr>
          <w:vertAlign w:val="superscript"/>
          <w:lang w:val="en-US"/>
        </w:rPr>
        <w:footnoteReference w:id="440"/>
      </w:r>
      <w:r w:rsidR="00D37BB1" w:rsidRPr="00D37BB1">
        <w:rPr>
          <w:lang w:val="en-US"/>
        </w:rPr>
        <w:t>.</w:t>
      </w:r>
    </w:p>
    <w:p w:rsidR="00D37BB1" w:rsidRPr="00D37BB1" w:rsidRDefault="00D37BB1" w:rsidP="00687D8A">
      <w:pPr>
        <w:spacing w:line="360" w:lineRule="auto"/>
        <w:jc w:val="both"/>
        <w:rPr>
          <w:u w:val="single"/>
          <w:lang w:val="en-US"/>
        </w:rPr>
      </w:pPr>
      <w:r w:rsidRPr="00D37BB1">
        <w:rPr>
          <w:u w:val="single"/>
          <w:lang w:val="en-US"/>
        </w:rPr>
        <w:t xml:space="preserve">The International </w:t>
      </w:r>
      <w:proofErr w:type="spellStart"/>
      <w:r w:rsidRPr="00D37BB1">
        <w:rPr>
          <w:u w:val="single"/>
          <w:lang w:val="en-US"/>
        </w:rPr>
        <w:t>Labour</w:t>
      </w:r>
      <w:proofErr w:type="spellEnd"/>
      <w:r w:rsidRPr="00D37BB1">
        <w:rPr>
          <w:u w:val="single"/>
          <w:lang w:val="en-US"/>
        </w:rPr>
        <w:t xml:space="preserve"> Organization </w:t>
      </w:r>
    </w:p>
    <w:p w:rsidR="00D37BB1" w:rsidRPr="00D37BB1" w:rsidRDefault="00FF5CBD" w:rsidP="00687D8A">
      <w:pPr>
        <w:spacing w:line="360" w:lineRule="auto"/>
        <w:jc w:val="both"/>
        <w:rPr>
          <w:lang w:val="en-US"/>
        </w:rPr>
      </w:pPr>
      <w:r>
        <w:rPr>
          <w:i/>
          <w:lang w:val="en-US"/>
        </w:rPr>
        <w:t>65</w:t>
      </w:r>
      <w:r w:rsidR="004F182E" w:rsidRPr="004F182E">
        <w:rPr>
          <w:i/>
          <w:lang w:val="en-US"/>
        </w:rPr>
        <w:t>.</w:t>
      </w:r>
      <w:r w:rsidR="004F182E">
        <w:rPr>
          <w:lang w:val="en-US"/>
        </w:rPr>
        <w:t xml:space="preserve"> </w:t>
      </w:r>
      <w:r w:rsidR="00D37BB1" w:rsidRPr="00D37BB1">
        <w:rPr>
          <w:lang w:val="en-US"/>
        </w:rPr>
        <w:t xml:space="preserve">In 1994, the International </w:t>
      </w:r>
      <w:proofErr w:type="spellStart"/>
      <w:r w:rsidR="00D37BB1" w:rsidRPr="00D37BB1">
        <w:rPr>
          <w:lang w:val="en-US"/>
        </w:rPr>
        <w:t>Labour</w:t>
      </w:r>
      <w:proofErr w:type="spellEnd"/>
      <w:r w:rsidR="00D37BB1" w:rsidRPr="00D37BB1">
        <w:rPr>
          <w:lang w:val="en-US"/>
        </w:rPr>
        <w:t xml:space="preserve"> Conference adopted the Part-Time Work Convention</w:t>
      </w:r>
      <w:r w:rsidR="00D37BB1" w:rsidRPr="00D37BB1">
        <w:rPr>
          <w:vertAlign w:val="superscript"/>
          <w:lang w:val="en-US"/>
        </w:rPr>
        <w:footnoteReference w:id="441"/>
      </w:r>
      <w:r w:rsidR="00D37BB1" w:rsidRPr="00D37BB1">
        <w:rPr>
          <w:lang w:val="en-US"/>
        </w:rPr>
        <w:t xml:space="preserve"> and Recommendation</w:t>
      </w:r>
      <w:r w:rsidR="00D37BB1" w:rsidRPr="00D37BB1">
        <w:rPr>
          <w:vertAlign w:val="superscript"/>
          <w:lang w:val="en-US"/>
        </w:rPr>
        <w:footnoteReference w:id="442"/>
      </w:r>
      <w:r w:rsidR="00D37BB1" w:rsidRPr="00D37BB1">
        <w:rPr>
          <w:lang w:val="en-US"/>
        </w:rPr>
        <w:t>. This was however not the first time that part-time work was on the ILO’s agenda. The older Workers with Family Responsibilities Convention</w:t>
      </w:r>
      <w:r w:rsidR="00D37BB1" w:rsidRPr="00D37BB1">
        <w:rPr>
          <w:vertAlign w:val="superscript"/>
          <w:lang w:val="en-US"/>
        </w:rPr>
        <w:footnoteReference w:id="443"/>
      </w:r>
      <w:r w:rsidR="00D37BB1" w:rsidRPr="00D37BB1">
        <w:rPr>
          <w:lang w:val="en-US"/>
        </w:rPr>
        <w:t xml:space="preserve"> clearly also tries to influence the status of part-time workers. Reality shows that women are still regarded as having the main responsibility for children and other dependent family members</w:t>
      </w:r>
      <w:r w:rsidR="00D37BB1" w:rsidRPr="00D37BB1">
        <w:rPr>
          <w:vertAlign w:val="superscript"/>
          <w:lang w:val="en-US"/>
        </w:rPr>
        <w:footnoteReference w:id="444"/>
      </w:r>
      <w:r w:rsidR="00D37BB1" w:rsidRPr="00D37BB1">
        <w:rPr>
          <w:lang w:val="en-US"/>
        </w:rPr>
        <w:t>. For that very reason, they will find themselves more often in part-time employment. State</w:t>
      </w:r>
      <w:r w:rsidR="0045051A">
        <w:rPr>
          <w:lang w:val="en-US"/>
        </w:rPr>
        <w:t>s</w:t>
      </w:r>
      <w:r w:rsidR="00D37BB1" w:rsidRPr="00D37BB1">
        <w:rPr>
          <w:lang w:val="en-US"/>
        </w:rPr>
        <w:t xml:space="preserve"> parties are encouraged to increase protection by adequate regulations and supervision</w:t>
      </w:r>
      <w:r w:rsidR="00D37BB1" w:rsidRPr="00D37BB1">
        <w:rPr>
          <w:vertAlign w:val="superscript"/>
          <w:lang w:val="en-US"/>
        </w:rPr>
        <w:footnoteReference w:id="445"/>
      </w:r>
      <w:r w:rsidR="00D37BB1" w:rsidRPr="00D37BB1">
        <w:rPr>
          <w:lang w:val="en-US"/>
        </w:rPr>
        <w:t>. Part-time workers should also be given the option to return to full-time work</w:t>
      </w:r>
      <w:r w:rsidR="00D37BB1" w:rsidRPr="00D37BB1">
        <w:rPr>
          <w:vertAlign w:val="superscript"/>
          <w:lang w:val="en-US"/>
        </w:rPr>
        <w:footnoteReference w:id="446"/>
      </w:r>
      <w:r w:rsidR="00D37BB1" w:rsidRPr="00D37BB1">
        <w:rPr>
          <w:lang w:val="en-US"/>
        </w:rPr>
        <w:t xml:space="preserve">. Article 3 of Convention 156 on workers with family responsibilities states they cannot be subjected to discriminatory treatment, which brings us to the third relevant convention. Broadly defined article 1 of </w:t>
      </w:r>
      <w:r w:rsidR="00D37BB1" w:rsidRPr="00D37BB1">
        <w:rPr>
          <w:lang w:val="en-US"/>
        </w:rPr>
        <w:lastRenderedPageBreak/>
        <w:t>Convention 111 on discrimination prohibits both direct and indirect sex discrimination</w:t>
      </w:r>
      <w:r w:rsidR="00D37BB1" w:rsidRPr="00D37BB1">
        <w:rPr>
          <w:vertAlign w:val="superscript"/>
          <w:lang w:val="en-US"/>
        </w:rPr>
        <w:footnoteReference w:id="447"/>
      </w:r>
      <w:r w:rsidR="00016EB7">
        <w:rPr>
          <w:lang w:val="en-US"/>
        </w:rPr>
        <w:t xml:space="preserve">. A seemingly </w:t>
      </w:r>
      <w:r w:rsidR="00D37BB1" w:rsidRPr="00D37BB1">
        <w:rPr>
          <w:lang w:val="en-US"/>
        </w:rPr>
        <w:t>value neutral criterion such as length of service may negatively affect part-time workers. As over 75% of them are female, this gives rise to indirect discri</w:t>
      </w:r>
      <w:r w:rsidR="00016EB7">
        <w:rPr>
          <w:lang w:val="en-US"/>
        </w:rPr>
        <w:t xml:space="preserve">mination. Although confronted with a </w:t>
      </w:r>
      <w:r w:rsidR="00D37BB1" w:rsidRPr="00D37BB1">
        <w:rPr>
          <w:lang w:val="en-US"/>
        </w:rPr>
        <w:t>considerable</w:t>
      </w:r>
      <w:r w:rsidR="00016EB7">
        <w:rPr>
          <w:lang w:val="en-US"/>
        </w:rPr>
        <w:t xml:space="preserve"> lack of </w:t>
      </w:r>
      <w:r w:rsidR="0044332C">
        <w:rPr>
          <w:lang w:val="en-US"/>
        </w:rPr>
        <w:t>clarity, we</w:t>
      </w:r>
      <w:r w:rsidR="00D37BB1" w:rsidRPr="00D37BB1">
        <w:rPr>
          <w:lang w:val="en-US"/>
        </w:rPr>
        <w:t xml:space="preserve"> may argue that under the ILO regime indirect discrimination can be justified on the basis of objective and reasonable criteria</w:t>
      </w:r>
      <w:r w:rsidR="00D37BB1" w:rsidRPr="00D37BB1">
        <w:rPr>
          <w:vertAlign w:val="superscript"/>
          <w:lang w:val="en-US"/>
        </w:rPr>
        <w:footnoteReference w:id="448"/>
      </w:r>
      <w:r w:rsidR="00D37BB1" w:rsidRPr="00D37BB1">
        <w:rPr>
          <w:lang w:val="en-US"/>
        </w:rPr>
        <w:t>. As Convention 111 does not include working-time or part-time work as protected grounds, it was found necessary to adopt Convention 175 on part-time work</w:t>
      </w:r>
      <w:r w:rsidR="00D37BB1" w:rsidRPr="00D37BB1">
        <w:rPr>
          <w:vertAlign w:val="superscript"/>
          <w:lang w:val="en-US"/>
        </w:rPr>
        <w:footnoteReference w:id="449"/>
      </w:r>
      <w:r w:rsidR="00D37BB1" w:rsidRPr="00D37BB1">
        <w:rPr>
          <w:lang w:val="en-US"/>
        </w:rPr>
        <w:t>. The latter trades the female – male comparison for a comparison between part-time and full-time workers</w:t>
      </w:r>
      <w:r w:rsidR="00D37BB1" w:rsidRPr="00D37BB1">
        <w:rPr>
          <w:vertAlign w:val="superscript"/>
          <w:lang w:val="en-US"/>
        </w:rPr>
        <w:footnoteReference w:id="450"/>
      </w:r>
      <w:r w:rsidR="00D37BB1" w:rsidRPr="00D37BB1">
        <w:rPr>
          <w:lang w:val="en-US"/>
        </w:rPr>
        <w:t>. The Convention confers specific rights on part-time workers. Included are amongst other</w:t>
      </w:r>
      <w:r w:rsidR="007E2BFB">
        <w:rPr>
          <w:lang w:val="en-US"/>
        </w:rPr>
        <w:t>s</w:t>
      </w:r>
      <w:r w:rsidR="00D37BB1" w:rsidRPr="00D37BB1">
        <w:rPr>
          <w:lang w:val="en-US"/>
        </w:rPr>
        <w:t>, the right to receive the same protection as a full-time worker in respect of discrimination in employment</w:t>
      </w:r>
      <w:r w:rsidR="00D37BB1" w:rsidRPr="00D37BB1">
        <w:rPr>
          <w:vertAlign w:val="superscript"/>
          <w:lang w:val="en-US"/>
        </w:rPr>
        <w:footnoteReference w:id="451"/>
      </w:r>
      <w:r w:rsidR="00D37BB1" w:rsidRPr="00D37BB1">
        <w:rPr>
          <w:lang w:val="en-US"/>
        </w:rPr>
        <w:t xml:space="preserve"> and the right to equivalent conditions in the fields of termination of employment, paid leave and sick leave</w:t>
      </w:r>
      <w:r w:rsidR="00D37BB1" w:rsidRPr="00D37BB1">
        <w:rPr>
          <w:vertAlign w:val="superscript"/>
          <w:lang w:val="en-US"/>
        </w:rPr>
        <w:footnoteReference w:id="452"/>
      </w:r>
      <w:r w:rsidR="00D37BB1" w:rsidRPr="00D37BB1">
        <w:rPr>
          <w:lang w:val="en-US"/>
        </w:rPr>
        <w:t>. Wages and social security benefits must be calculated on a pro-rata basis</w:t>
      </w:r>
      <w:r w:rsidR="00D37BB1" w:rsidRPr="00D37BB1">
        <w:rPr>
          <w:vertAlign w:val="superscript"/>
          <w:lang w:val="en-US"/>
        </w:rPr>
        <w:footnoteReference w:id="453"/>
      </w:r>
      <w:r w:rsidR="00D37BB1" w:rsidRPr="00D37BB1">
        <w:rPr>
          <w:lang w:val="en-US"/>
        </w:rPr>
        <w:t>. The Convention only includes one exception. A party is permitted to exclude part-time workers who do not reach a low threshold of hours of work or earnings</w:t>
      </w:r>
      <w:r w:rsidR="00D37BB1" w:rsidRPr="00D37BB1">
        <w:rPr>
          <w:vertAlign w:val="superscript"/>
          <w:lang w:val="en-US"/>
        </w:rPr>
        <w:footnoteReference w:id="454"/>
      </w:r>
      <w:r w:rsidR="00D37BB1" w:rsidRPr="00D37BB1">
        <w:rPr>
          <w:lang w:val="en-US"/>
        </w:rPr>
        <w:t>. In addition to protecting (largely female) workers, the Convention has a second goal. It wants to promote access to part-time work</w:t>
      </w:r>
      <w:r w:rsidR="00D37BB1" w:rsidRPr="00D37BB1">
        <w:rPr>
          <w:vertAlign w:val="superscript"/>
          <w:lang w:val="en-US"/>
        </w:rPr>
        <w:footnoteReference w:id="455"/>
      </w:r>
      <w:r w:rsidR="00D37BB1" w:rsidRPr="00D37BB1">
        <w:rPr>
          <w:lang w:val="en-US"/>
        </w:rPr>
        <w:t xml:space="preserve">. Within the ranks of the International </w:t>
      </w:r>
      <w:proofErr w:type="spellStart"/>
      <w:r w:rsidR="00D37BB1" w:rsidRPr="00D37BB1">
        <w:rPr>
          <w:lang w:val="en-US"/>
        </w:rPr>
        <w:t>Labour</w:t>
      </w:r>
      <w:proofErr w:type="spellEnd"/>
      <w:r w:rsidR="00D37BB1" w:rsidRPr="00D37BB1">
        <w:rPr>
          <w:lang w:val="en-US"/>
        </w:rPr>
        <w:t xml:space="preserve"> Organization it is believed that part-time work positively contributes to gender equality. Without it, many more women would be excluded from the </w:t>
      </w:r>
      <w:proofErr w:type="spellStart"/>
      <w:r w:rsidR="00D37BB1" w:rsidRPr="00D37BB1">
        <w:rPr>
          <w:lang w:val="en-US"/>
        </w:rPr>
        <w:t>labour</w:t>
      </w:r>
      <w:proofErr w:type="spellEnd"/>
      <w:r w:rsidR="00D37BB1" w:rsidRPr="00D37BB1">
        <w:rPr>
          <w:lang w:val="en-US"/>
        </w:rPr>
        <w:t xml:space="preserve"> market.               </w:t>
      </w:r>
    </w:p>
    <w:p w:rsidR="00D37BB1" w:rsidRPr="00D37BB1" w:rsidRDefault="00D37BB1" w:rsidP="00687D8A">
      <w:pPr>
        <w:spacing w:line="360" w:lineRule="auto"/>
        <w:jc w:val="both"/>
        <w:rPr>
          <w:u w:val="single"/>
          <w:lang w:val="en-US"/>
        </w:rPr>
      </w:pPr>
      <w:r w:rsidRPr="00D37BB1">
        <w:rPr>
          <w:u w:val="single"/>
          <w:lang w:val="en-US"/>
        </w:rPr>
        <w:t xml:space="preserve">The European Union </w:t>
      </w:r>
    </w:p>
    <w:p w:rsidR="00D37BB1" w:rsidRPr="00C04305" w:rsidRDefault="00C04305" w:rsidP="00687D8A">
      <w:pPr>
        <w:spacing w:line="360" w:lineRule="auto"/>
        <w:jc w:val="both"/>
        <w:rPr>
          <w:i/>
          <w:lang w:val="en-US"/>
        </w:rPr>
      </w:pPr>
      <w:r>
        <w:rPr>
          <w:i/>
          <w:lang w:val="en-US"/>
        </w:rPr>
        <w:t>66</w:t>
      </w:r>
      <w:r w:rsidR="00531FCE" w:rsidRPr="00531FCE">
        <w:rPr>
          <w:i/>
          <w:lang w:val="en-US"/>
        </w:rPr>
        <w:t>.</w:t>
      </w:r>
      <w:r w:rsidR="00531FCE">
        <w:rPr>
          <w:lang w:val="en-US"/>
        </w:rPr>
        <w:t xml:space="preserve"> </w:t>
      </w:r>
      <w:r w:rsidR="00D37BB1" w:rsidRPr="00D37BB1">
        <w:rPr>
          <w:lang w:val="en-US"/>
        </w:rPr>
        <w:t>In the EU, part-time work initially came to the fore through case-law of the Court of Justice. The part-time work directive</w:t>
      </w:r>
      <w:r w:rsidR="00D37BB1" w:rsidRPr="00D37BB1">
        <w:rPr>
          <w:vertAlign w:val="superscript"/>
          <w:lang w:val="en-US"/>
        </w:rPr>
        <w:footnoteReference w:id="456"/>
      </w:r>
      <w:r w:rsidR="00D37BB1" w:rsidRPr="00D37BB1">
        <w:rPr>
          <w:lang w:val="en-US"/>
        </w:rPr>
        <w:t xml:space="preserve"> was only adopted later on. The first case</w:t>
      </w:r>
      <w:r w:rsidR="00D37BB1" w:rsidRPr="00D37BB1">
        <w:rPr>
          <w:vertAlign w:val="superscript"/>
          <w:lang w:val="en-US"/>
        </w:rPr>
        <w:footnoteReference w:id="457"/>
      </w:r>
      <w:r w:rsidR="00D37BB1" w:rsidRPr="00D37BB1">
        <w:rPr>
          <w:lang w:val="en-US"/>
        </w:rPr>
        <w:t xml:space="preserve"> in which it was recognized that differential treatment of part-time workers constitutes i</w:t>
      </w:r>
      <w:r w:rsidR="00944367">
        <w:rPr>
          <w:lang w:val="en-US"/>
        </w:rPr>
        <w:t xml:space="preserve">ndirect sex </w:t>
      </w:r>
      <w:r w:rsidR="00944367">
        <w:rPr>
          <w:lang w:val="en-US"/>
        </w:rPr>
        <w:lastRenderedPageBreak/>
        <w:t>discrimination was</w:t>
      </w:r>
      <w:r w:rsidR="00D37BB1" w:rsidRPr="00D37BB1">
        <w:rPr>
          <w:lang w:val="en-US"/>
        </w:rPr>
        <w:t xml:space="preserve"> brought before the Court on the basis of equal pay provisions in primary</w:t>
      </w:r>
      <w:r w:rsidR="00D37BB1" w:rsidRPr="00D37BB1">
        <w:rPr>
          <w:vertAlign w:val="superscript"/>
          <w:lang w:val="en-US"/>
        </w:rPr>
        <w:footnoteReference w:id="458"/>
      </w:r>
      <w:r w:rsidR="00D37BB1" w:rsidRPr="00D37BB1">
        <w:rPr>
          <w:lang w:val="en-US"/>
        </w:rPr>
        <w:t xml:space="preserve"> as well as secondary EU law</w:t>
      </w:r>
      <w:r w:rsidR="00D37BB1" w:rsidRPr="00D37BB1">
        <w:rPr>
          <w:vertAlign w:val="superscript"/>
          <w:lang w:val="en-US"/>
        </w:rPr>
        <w:footnoteReference w:id="459"/>
      </w:r>
      <w:r w:rsidR="00D37BB1" w:rsidRPr="00D37BB1">
        <w:rPr>
          <w:lang w:val="en-US"/>
        </w:rPr>
        <w:t>. One may determine that a large number of subsequent cases also rel</w:t>
      </w:r>
      <w:r w:rsidR="00BA5AFA">
        <w:rPr>
          <w:lang w:val="en-US"/>
        </w:rPr>
        <w:t>ated to remuneration (</w:t>
      </w:r>
      <w:r w:rsidR="00BA5AFA">
        <w:rPr>
          <w:i/>
          <w:lang w:val="en-US"/>
        </w:rPr>
        <w:t>supra no. 53</w:t>
      </w:r>
      <w:r w:rsidR="00D37BB1" w:rsidRPr="00D37BB1">
        <w:rPr>
          <w:lang w:val="en-US"/>
        </w:rPr>
        <w:t>). With the help of the Court, part-timers are now strengthened in their claims for severance grants</w:t>
      </w:r>
      <w:r w:rsidR="00D37BB1" w:rsidRPr="00D37BB1">
        <w:rPr>
          <w:vertAlign w:val="superscript"/>
          <w:lang w:val="en-US"/>
        </w:rPr>
        <w:footnoteReference w:id="460"/>
      </w:r>
      <w:r w:rsidR="00D37BB1" w:rsidRPr="00D37BB1">
        <w:rPr>
          <w:lang w:val="en-US"/>
        </w:rPr>
        <w:t>, over-time pay</w:t>
      </w:r>
      <w:r w:rsidR="00D37BB1" w:rsidRPr="00D37BB1">
        <w:rPr>
          <w:vertAlign w:val="superscript"/>
          <w:lang w:val="en-US"/>
        </w:rPr>
        <w:footnoteReference w:id="461"/>
      </w:r>
      <w:r w:rsidR="00D37BB1" w:rsidRPr="00D37BB1">
        <w:rPr>
          <w:lang w:val="en-US"/>
        </w:rPr>
        <w:t>, sick pay</w:t>
      </w:r>
      <w:r w:rsidR="00D37BB1" w:rsidRPr="00D37BB1">
        <w:rPr>
          <w:vertAlign w:val="superscript"/>
          <w:lang w:val="en-US"/>
        </w:rPr>
        <w:footnoteReference w:id="462"/>
      </w:r>
      <w:r w:rsidR="00D37BB1" w:rsidRPr="00D37BB1">
        <w:rPr>
          <w:lang w:val="en-US"/>
        </w:rPr>
        <w:t>, and seniority supplements</w:t>
      </w:r>
      <w:r w:rsidR="00D37BB1" w:rsidRPr="00D37BB1">
        <w:rPr>
          <w:vertAlign w:val="superscript"/>
          <w:lang w:val="en-US"/>
        </w:rPr>
        <w:footnoteReference w:id="463"/>
      </w:r>
      <w:r w:rsidR="00D37BB1" w:rsidRPr="00D37BB1">
        <w:rPr>
          <w:lang w:val="en-US"/>
        </w:rPr>
        <w:t>. The beneficial effects of the Court’s rulings yet also stretch beyond pay issues. The situation of part-time workers</w:t>
      </w:r>
      <w:r w:rsidR="009C5E0A">
        <w:rPr>
          <w:lang w:val="en-US"/>
        </w:rPr>
        <w:t xml:space="preserve"> has</w:t>
      </w:r>
      <w:r w:rsidR="00D37BB1" w:rsidRPr="00D37BB1">
        <w:rPr>
          <w:lang w:val="en-US"/>
        </w:rPr>
        <w:t xml:space="preserve"> improved as regards promotion</w:t>
      </w:r>
      <w:r w:rsidR="00D37BB1" w:rsidRPr="00D37BB1">
        <w:rPr>
          <w:vertAlign w:val="superscript"/>
          <w:lang w:val="en-US"/>
        </w:rPr>
        <w:footnoteReference w:id="464"/>
      </w:r>
      <w:r w:rsidR="00D37BB1" w:rsidRPr="00D37BB1">
        <w:rPr>
          <w:lang w:val="en-US"/>
        </w:rPr>
        <w:t>, access to professions</w:t>
      </w:r>
      <w:r w:rsidR="00D37BB1" w:rsidRPr="00D37BB1">
        <w:rPr>
          <w:vertAlign w:val="superscript"/>
          <w:lang w:val="en-US"/>
        </w:rPr>
        <w:footnoteReference w:id="465"/>
      </w:r>
      <w:r w:rsidR="00D37BB1" w:rsidRPr="00D37BB1">
        <w:rPr>
          <w:lang w:val="en-US"/>
        </w:rPr>
        <w:t xml:space="preserve"> and social security</w:t>
      </w:r>
      <w:r w:rsidR="00D37BB1" w:rsidRPr="00D37BB1">
        <w:rPr>
          <w:vertAlign w:val="superscript"/>
          <w:lang w:val="en-US"/>
        </w:rPr>
        <w:footnoteReference w:id="466"/>
      </w:r>
      <w:r w:rsidR="00D37BB1" w:rsidRPr="00D37BB1">
        <w:rPr>
          <w:lang w:val="en-US"/>
        </w:rPr>
        <w:t>. Of course, not all case-law elicited positive reactions. Judgments dealing with the dismissal of part-time workers</w:t>
      </w:r>
      <w:r w:rsidR="00D37BB1" w:rsidRPr="00D37BB1">
        <w:rPr>
          <w:vertAlign w:val="superscript"/>
          <w:lang w:val="en-US"/>
        </w:rPr>
        <w:footnoteReference w:id="467"/>
      </w:r>
      <w:r w:rsidR="00D37BB1" w:rsidRPr="00D37BB1">
        <w:rPr>
          <w:lang w:val="en-US"/>
        </w:rPr>
        <w:t xml:space="preserve"> and a requirement of full-time postgraduate training</w:t>
      </w:r>
      <w:r w:rsidR="00D37BB1" w:rsidRPr="00D37BB1">
        <w:rPr>
          <w:vertAlign w:val="superscript"/>
          <w:lang w:val="en-US"/>
        </w:rPr>
        <w:footnoteReference w:id="468"/>
      </w:r>
      <w:r w:rsidR="00D37BB1" w:rsidRPr="00D37BB1">
        <w:rPr>
          <w:lang w:val="en-US"/>
        </w:rPr>
        <w:t xml:space="preserve"> were disapproved of by some scholars for ignoring social reality</w:t>
      </w:r>
      <w:r w:rsidR="00D37BB1" w:rsidRPr="00D37BB1">
        <w:rPr>
          <w:vertAlign w:val="superscript"/>
          <w:lang w:val="en-US"/>
        </w:rPr>
        <w:footnoteReference w:id="469"/>
      </w:r>
      <w:r w:rsidR="00D37BB1" w:rsidRPr="00D37BB1">
        <w:rPr>
          <w:lang w:val="en-US"/>
        </w:rPr>
        <w:t>.</w:t>
      </w:r>
    </w:p>
    <w:p w:rsidR="00D37BB1" w:rsidRPr="00D37BB1" w:rsidRDefault="00EF3FE1" w:rsidP="00687D8A">
      <w:pPr>
        <w:spacing w:line="360" w:lineRule="auto"/>
        <w:jc w:val="both"/>
        <w:rPr>
          <w:lang w:val="en-US"/>
        </w:rPr>
      </w:pPr>
      <w:r>
        <w:rPr>
          <w:i/>
          <w:lang w:val="en-US"/>
        </w:rPr>
        <w:t>67</w:t>
      </w:r>
      <w:r w:rsidR="001D53DD" w:rsidRPr="001D53DD">
        <w:rPr>
          <w:i/>
          <w:lang w:val="en-US"/>
        </w:rPr>
        <w:t>.</w:t>
      </w:r>
      <w:r w:rsidR="001D53DD">
        <w:rPr>
          <w:lang w:val="en-US"/>
        </w:rPr>
        <w:t xml:space="preserve"> </w:t>
      </w:r>
      <w:r w:rsidR="00D37BB1" w:rsidRPr="00D37BB1">
        <w:rPr>
          <w:lang w:val="en-US"/>
        </w:rPr>
        <w:t>One cannot forget that indirect sex discrimination can be justified. As soon as the alleged victim provides evidence of prima facie discrimination, the employer may defend the rule or practice by relying on objective factors unrelated to any discrimination based on sex</w:t>
      </w:r>
      <w:r w:rsidR="00D37BB1" w:rsidRPr="00D37BB1">
        <w:rPr>
          <w:vertAlign w:val="superscript"/>
          <w:lang w:val="en-US"/>
        </w:rPr>
        <w:footnoteReference w:id="470"/>
      </w:r>
      <w:r w:rsidR="00D37BB1" w:rsidRPr="00D37BB1">
        <w:rPr>
          <w:lang w:val="en-US"/>
        </w:rPr>
        <w:t>. Generalizations about female part-time workers, such as the belief that they are not as integrated in the undertaking as full-time (male)</w:t>
      </w:r>
      <w:r w:rsidR="00916820">
        <w:rPr>
          <w:lang w:val="en-US"/>
        </w:rPr>
        <w:t xml:space="preserve"> employees, cannot be used as </w:t>
      </w:r>
      <w:r w:rsidR="00D37BB1" w:rsidRPr="00D37BB1">
        <w:rPr>
          <w:lang w:val="en-US"/>
        </w:rPr>
        <w:t>justification</w:t>
      </w:r>
      <w:r w:rsidR="00D37BB1" w:rsidRPr="00D37BB1">
        <w:rPr>
          <w:vertAlign w:val="superscript"/>
          <w:lang w:val="en-US"/>
        </w:rPr>
        <w:footnoteReference w:id="471"/>
      </w:r>
      <w:r w:rsidR="00D37BB1" w:rsidRPr="00D37BB1">
        <w:rPr>
          <w:lang w:val="en-US"/>
        </w:rPr>
        <w:t xml:space="preserve">.                                                                                                                           </w:t>
      </w:r>
    </w:p>
    <w:p w:rsidR="00D37BB1" w:rsidRPr="00D37BB1" w:rsidRDefault="00EF3FE1" w:rsidP="00687D8A">
      <w:pPr>
        <w:spacing w:line="360" w:lineRule="auto"/>
        <w:jc w:val="both"/>
        <w:rPr>
          <w:lang w:val="en-US"/>
        </w:rPr>
      </w:pPr>
      <w:r>
        <w:rPr>
          <w:i/>
          <w:lang w:val="en-US"/>
        </w:rPr>
        <w:t>68</w:t>
      </w:r>
      <w:r w:rsidR="001D53DD" w:rsidRPr="001D53DD">
        <w:rPr>
          <w:i/>
          <w:lang w:val="en-US"/>
        </w:rPr>
        <w:t>.</w:t>
      </w:r>
      <w:r w:rsidR="001D53DD">
        <w:rPr>
          <w:lang w:val="en-US"/>
        </w:rPr>
        <w:t xml:space="preserve"> </w:t>
      </w:r>
      <w:r w:rsidR="00D37BB1" w:rsidRPr="00D37BB1">
        <w:rPr>
          <w:lang w:val="en-US"/>
        </w:rPr>
        <w:t>The drafters of the part-time directive were clearly inspired by the above-mentioned ILO Convention 175</w:t>
      </w:r>
      <w:r w:rsidR="00D37BB1" w:rsidRPr="00D37BB1">
        <w:rPr>
          <w:vertAlign w:val="superscript"/>
          <w:lang w:val="en-US"/>
        </w:rPr>
        <w:footnoteReference w:id="472"/>
      </w:r>
      <w:r w:rsidR="00D37BB1" w:rsidRPr="00D37BB1">
        <w:rPr>
          <w:lang w:val="en-US"/>
        </w:rPr>
        <w:t xml:space="preserve">. The latter’s dual aims – the removal of discrimination against part-time </w:t>
      </w:r>
      <w:r w:rsidR="00D37BB1" w:rsidRPr="00D37BB1">
        <w:rPr>
          <w:lang w:val="en-US"/>
        </w:rPr>
        <w:lastRenderedPageBreak/>
        <w:t>workers and the promotion of part-time work – and the direct comparison between part and full-time workers resonate in the directive</w:t>
      </w:r>
      <w:r w:rsidR="00D37BB1" w:rsidRPr="00D37BB1">
        <w:rPr>
          <w:vertAlign w:val="superscript"/>
          <w:lang w:val="en-US"/>
        </w:rPr>
        <w:footnoteReference w:id="473"/>
      </w:r>
      <w:r w:rsidR="00D37BB1" w:rsidRPr="00D37BB1">
        <w:rPr>
          <w:lang w:val="en-US"/>
        </w:rPr>
        <w:t>. It is notwithstanding unclear how strong the directive’s provisions are. According to some, the Convention and the directive are in complete harmony</w:t>
      </w:r>
      <w:r w:rsidR="00D37BB1" w:rsidRPr="00D37BB1">
        <w:rPr>
          <w:vertAlign w:val="superscript"/>
          <w:lang w:val="en-US"/>
        </w:rPr>
        <w:footnoteReference w:id="474"/>
      </w:r>
      <w:r w:rsidR="00D37BB1" w:rsidRPr="00D37BB1">
        <w:rPr>
          <w:lang w:val="en-US"/>
        </w:rPr>
        <w:t>. According to, what appears to be the majority of scholars, the directive’s clauses are considerably weaker than the Convention’s. For them, it seems that the directive does not really contribute to the case-law of the Court of Justice or the already existing national regimes</w:t>
      </w:r>
      <w:r w:rsidR="00D37BB1" w:rsidRPr="00D37BB1">
        <w:rPr>
          <w:vertAlign w:val="superscript"/>
          <w:lang w:val="en-US"/>
        </w:rPr>
        <w:footnoteReference w:id="475"/>
      </w:r>
      <w:r w:rsidR="00D37BB1" w:rsidRPr="00D37BB1">
        <w:rPr>
          <w:lang w:val="en-US"/>
        </w:rPr>
        <w:t>. The directive does not contain specific rights but a general principle of non-discrimination</w:t>
      </w:r>
      <w:r w:rsidR="00D37BB1" w:rsidRPr="00D37BB1">
        <w:rPr>
          <w:vertAlign w:val="superscript"/>
          <w:lang w:val="en-US"/>
        </w:rPr>
        <w:footnoteReference w:id="476"/>
      </w:r>
      <w:r w:rsidR="00D37BB1" w:rsidRPr="00D37BB1">
        <w:rPr>
          <w:lang w:val="en-US"/>
        </w:rPr>
        <w:t xml:space="preserve">. Less </w:t>
      </w:r>
      <w:proofErr w:type="spellStart"/>
      <w:r w:rsidR="00D37BB1" w:rsidRPr="00D37BB1">
        <w:rPr>
          <w:lang w:val="en-US"/>
        </w:rPr>
        <w:t>favourable</w:t>
      </w:r>
      <w:proofErr w:type="spellEnd"/>
      <w:r w:rsidR="00D37BB1" w:rsidRPr="00D37BB1">
        <w:rPr>
          <w:lang w:val="en-US"/>
        </w:rPr>
        <w:t xml:space="preserve"> treatment of part-timers as compared to full-timers is nevertheless permissible when justified on objective grounds</w:t>
      </w:r>
      <w:r w:rsidR="00D37BB1" w:rsidRPr="00D37BB1">
        <w:rPr>
          <w:vertAlign w:val="superscript"/>
          <w:lang w:val="en-US"/>
        </w:rPr>
        <w:footnoteReference w:id="477"/>
      </w:r>
      <w:r w:rsidR="00D37BB1" w:rsidRPr="00D37BB1">
        <w:rPr>
          <w:lang w:val="en-US"/>
        </w:rPr>
        <w:t>. This is rather peculiar because the general EU equality regime only tolerates direct discrimination when based on explicit legislative provisions</w:t>
      </w:r>
      <w:r w:rsidR="00D37BB1" w:rsidRPr="00D37BB1">
        <w:rPr>
          <w:vertAlign w:val="superscript"/>
          <w:lang w:val="en-US"/>
        </w:rPr>
        <w:footnoteReference w:id="478"/>
      </w:r>
      <w:r w:rsidR="006B20D4">
        <w:rPr>
          <w:lang w:val="en-US"/>
        </w:rPr>
        <w:t xml:space="preserve"> (</w:t>
      </w:r>
      <w:r w:rsidR="006B20D4">
        <w:rPr>
          <w:i/>
          <w:lang w:val="en-US"/>
        </w:rPr>
        <w:t>supra no. 22</w:t>
      </w:r>
      <w:r w:rsidR="00D37BB1" w:rsidRPr="00D37BB1">
        <w:rPr>
          <w:lang w:val="en-US"/>
        </w:rPr>
        <w:t>). Other exceptions to the non-discrimination principle can be discovered in the directive</w:t>
      </w:r>
      <w:r w:rsidR="00D37BB1" w:rsidRPr="00D37BB1">
        <w:rPr>
          <w:vertAlign w:val="superscript"/>
          <w:lang w:val="en-US"/>
        </w:rPr>
        <w:footnoteReference w:id="479"/>
      </w:r>
      <w:r w:rsidR="00D37BB1" w:rsidRPr="00D37BB1">
        <w:rPr>
          <w:lang w:val="en-US"/>
        </w:rPr>
        <w:t>. Protection of social security benefits falls largely outside the scope of the directive</w:t>
      </w:r>
      <w:r w:rsidR="00D37BB1" w:rsidRPr="00D37BB1">
        <w:rPr>
          <w:vertAlign w:val="superscript"/>
          <w:lang w:val="en-US"/>
        </w:rPr>
        <w:footnoteReference w:id="480"/>
      </w:r>
      <w:r w:rsidR="00D37BB1" w:rsidRPr="00D37BB1">
        <w:rPr>
          <w:lang w:val="en-US"/>
        </w:rPr>
        <w:t>. The EU Charter does not grant any additional rights to part-time workers. They may nevertheless rely on the articles on non-discrimination</w:t>
      </w:r>
      <w:r w:rsidR="00D37BB1" w:rsidRPr="00D37BB1">
        <w:rPr>
          <w:vertAlign w:val="superscript"/>
          <w:lang w:val="en-US"/>
        </w:rPr>
        <w:footnoteReference w:id="481"/>
      </w:r>
      <w:r w:rsidR="00D37BB1" w:rsidRPr="00D37BB1">
        <w:rPr>
          <w:lang w:val="en-US"/>
        </w:rPr>
        <w:t xml:space="preserve"> and equality between women and men</w:t>
      </w:r>
      <w:r w:rsidR="00D37BB1" w:rsidRPr="00D37BB1">
        <w:rPr>
          <w:vertAlign w:val="superscript"/>
          <w:lang w:val="en-US"/>
        </w:rPr>
        <w:footnoteReference w:id="482"/>
      </w:r>
      <w:r w:rsidR="00D37BB1" w:rsidRPr="00D37BB1">
        <w:rPr>
          <w:lang w:val="en-US"/>
        </w:rPr>
        <w:t xml:space="preserve"> to bolster their claims. </w:t>
      </w:r>
    </w:p>
    <w:p w:rsidR="00D37BB1" w:rsidRPr="00D37BB1" w:rsidRDefault="006C1D0F" w:rsidP="00687D8A">
      <w:pPr>
        <w:spacing w:line="360" w:lineRule="auto"/>
        <w:jc w:val="both"/>
        <w:rPr>
          <w:lang w:val="en-US"/>
        </w:rPr>
      </w:pPr>
      <w:r>
        <w:rPr>
          <w:i/>
          <w:lang w:val="en-US"/>
        </w:rPr>
        <w:t>69</w:t>
      </w:r>
      <w:r w:rsidR="0001204D" w:rsidRPr="0001204D">
        <w:rPr>
          <w:i/>
          <w:lang w:val="en-US"/>
        </w:rPr>
        <w:t>.</w:t>
      </w:r>
      <w:r w:rsidR="0001204D">
        <w:rPr>
          <w:lang w:val="en-US"/>
        </w:rPr>
        <w:t xml:space="preserve"> </w:t>
      </w:r>
      <w:r w:rsidR="00D37BB1" w:rsidRPr="00D37BB1">
        <w:rPr>
          <w:lang w:val="en-US"/>
        </w:rPr>
        <w:t>Convention 175 as well as the EU directive have been heckled for not paying sufficient attention to the issues of choice and voluntarism. Women may only ‘voluntarily’ choose part-time work since this is the only form of paid employment possible</w:t>
      </w:r>
      <w:r w:rsidR="00D37BB1" w:rsidRPr="00D37BB1">
        <w:rPr>
          <w:vertAlign w:val="superscript"/>
          <w:lang w:val="en-US"/>
        </w:rPr>
        <w:footnoteReference w:id="483"/>
      </w:r>
      <w:r w:rsidR="00D37BB1" w:rsidRPr="00D37BB1">
        <w:rPr>
          <w:lang w:val="en-US"/>
        </w:rPr>
        <w:t xml:space="preserve">.  </w:t>
      </w:r>
    </w:p>
    <w:p w:rsidR="001E1130" w:rsidRDefault="001E1130" w:rsidP="00687D8A">
      <w:pPr>
        <w:spacing w:line="360" w:lineRule="auto"/>
        <w:jc w:val="both"/>
        <w:rPr>
          <w:u w:val="single"/>
          <w:lang w:val="en-US"/>
        </w:rPr>
      </w:pPr>
    </w:p>
    <w:p w:rsidR="00D37BB1" w:rsidRPr="00D37BB1" w:rsidRDefault="00D37BB1" w:rsidP="00687D8A">
      <w:pPr>
        <w:spacing w:line="360" w:lineRule="auto"/>
        <w:jc w:val="both"/>
        <w:rPr>
          <w:u w:val="single"/>
          <w:lang w:val="en-US"/>
        </w:rPr>
      </w:pPr>
      <w:r w:rsidRPr="00D37BB1">
        <w:rPr>
          <w:u w:val="single"/>
          <w:lang w:val="en-US"/>
        </w:rPr>
        <w:lastRenderedPageBreak/>
        <w:t>The</w:t>
      </w:r>
      <w:r w:rsidR="00946FB2">
        <w:rPr>
          <w:u w:val="single"/>
          <w:lang w:val="en-US"/>
        </w:rPr>
        <w:t xml:space="preserve"> Revised</w:t>
      </w:r>
      <w:r w:rsidRPr="00D37BB1">
        <w:rPr>
          <w:u w:val="single"/>
          <w:lang w:val="en-US"/>
        </w:rPr>
        <w:t xml:space="preserve"> European Social Charter </w:t>
      </w:r>
    </w:p>
    <w:p w:rsidR="00D37BB1" w:rsidRPr="00F935DF" w:rsidRDefault="006C1D0F" w:rsidP="00687D8A">
      <w:pPr>
        <w:spacing w:line="360" w:lineRule="auto"/>
        <w:jc w:val="both"/>
        <w:rPr>
          <w:lang w:val="en-US"/>
        </w:rPr>
      </w:pPr>
      <w:r>
        <w:rPr>
          <w:i/>
          <w:lang w:val="en-US"/>
        </w:rPr>
        <w:t>70</w:t>
      </w:r>
      <w:r w:rsidR="0001204D" w:rsidRPr="0001204D">
        <w:rPr>
          <w:i/>
          <w:lang w:val="en-US"/>
        </w:rPr>
        <w:t>.</w:t>
      </w:r>
      <w:r w:rsidR="0001204D">
        <w:rPr>
          <w:lang w:val="en-US"/>
        </w:rPr>
        <w:t xml:space="preserve"> </w:t>
      </w:r>
      <w:r w:rsidR="00F23F58">
        <w:rPr>
          <w:lang w:val="en-US"/>
        </w:rPr>
        <w:t>Neither</w:t>
      </w:r>
      <w:r w:rsidR="00D37BB1" w:rsidRPr="00D37BB1">
        <w:rPr>
          <w:lang w:val="en-US"/>
        </w:rPr>
        <w:t xml:space="preserve"> the original European Social Charter, nor the Revised Charter mention part-time work in one of their provisions. As a general non-discrimination clause</w:t>
      </w:r>
      <w:r w:rsidR="00F44992">
        <w:rPr>
          <w:lang w:val="en-US"/>
        </w:rPr>
        <w:t xml:space="preserve"> was also lacking</w:t>
      </w:r>
      <w:r w:rsidR="00D37BB1" w:rsidRPr="00D37BB1">
        <w:rPr>
          <w:lang w:val="en-US"/>
        </w:rPr>
        <w:t>, the European Committee of Social Rights began to question state</w:t>
      </w:r>
      <w:r w:rsidR="00F4285B">
        <w:rPr>
          <w:lang w:val="en-US"/>
        </w:rPr>
        <w:t>s</w:t>
      </w:r>
      <w:r w:rsidR="00D37BB1" w:rsidRPr="00D37BB1">
        <w:rPr>
          <w:lang w:val="en-US"/>
        </w:rPr>
        <w:t xml:space="preserve"> parties on part-time work under the right to work</w:t>
      </w:r>
      <w:r w:rsidR="00D37BB1" w:rsidRPr="00D37BB1">
        <w:rPr>
          <w:vertAlign w:val="superscript"/>
          <w:lang w:val="en-US"/>
        </w:rPr>
        <w:footnoteReference w:id="484"/>
      </w:r>
      <w:r w:rsidR="00CE621B">
        <w:rPr>
          <w:lang w:val="en-US"/>
        </w:rPr>
        <w:t>. I</w:t>
      </w:r>
      <w:r w:rsidR="00D37BB1" w:rsidRPr="00D37BB1">
        <w:rPr>
          <w:lang w:val="en-US"/>
        </w:rPr>
        <w:t>f a state party</w:t>
      </w:r>
      <w:r w:rsidR="00CE621B">
        <w:rPr>
          <w:lang w:val="en-US"/>
        </w:rPr>
        <w:t xml:space="preserve"> today</w:t>
      </w:r>
      <w:r w:rsidR="00D37BB1" w:rsidRPr="00D37BB1">
        <w:rPr>
          <w:lang w:val="en-US"/>
        </w:rPr>
        <w:t xml:space="preserve"> has ratified the additional protocol to the Charter or the article on equal treatment on the grounds of sex in the Revised Charter</w:t>
      </w:r>
      <w:r w:rsidR="00D37BB1" w:rsidRPr="00D37BB1">
        <w:rPr>
          <w:vertAlign w:val="superscript"/>
          <w:lang w:val="en-US"/>
        </w:rPr>
        <w:footnoteReference w:id="485"/>
      </w:r>
      <w:r w:rsidR="00D37BB1" w:rsidRPr="00D37BB1">
        <w:rPr>
          <w:lang w:val="en-US"/>
        </w:rPr>
        <w:t xml:space="preserve">, the treatment of part-time workers will be reviewed thereunder. The Committee recognizes that less </w:t>
      </w:r>
      <w:proofErr w:type="spellStart"/>
      <w:r w:rsidR="00D37BB1" w:rsidRPr="00D37BB1">
        <w:rPr>
          <w:lang w:val="en-US"/>
        </w:rPr>
        <w:t>favourable</w:t>
      </w:r>
      <w:proofErr w:type="spellEnd"/>
      <w:r w:rsidR="00D37BB1" w:rsidRPr="00D37BB1">
        <w:rPr>
          <w:lang w:val="en-US"/>
        </w:rPr>
        <w:t xml:space="preserve"> treatment of part-time workers constitutes indirect sex discrimination</w:t>
      </w:r>
      <w:r w:rsidR="00D37BB1" w:rsidRPr="00D37BB1">
        <w:rPr>
          <w:vertAlign w:val="superscript"/>
          <w:lang w:val="en-US"/>
        </w:rPr>
        <w:footnoteReference w:id="486"/>
      </w:r>
      <w:r w:rsidR="00D37BB1" w:rsidRPr="00D37BB1">
        <w:rPr>
          <w:lang w:val="en-US"/>
        </w:rPr>
        <w:t>. Differential treatment of part-time workers can be justified on objective and reasonable grounds not related to sex</w:t>
      </w:r>
      <w:r w:rsidR="00D37BB1" w:rsidRPr="00D37BB1">
        <w:rPr>
          <w:vertAlign w:val="superscript"/>
          <w:lang w:val="en-US"/>
        </w:rPr>
        <w:footnoteReference w:id="487"/>
      </w:r>
      <w:r w:rsidR="00D37BB1" w:rsidRPr="00D37BB1">
        <w:rPr>
          <w:lang w:val="en-US"/>
        </w:rPr>
        <w:t>. Along the lines of ILO Convention 156</w:t>
      </w:r>
      <w:r w:rsidR="00D37BB1" w:rsidRPr="00D37BB1">
        <w:rPr>
          <w:vertAlign w:val="superscript"/>
          <w:lang w:val="en-US"/>
        </w:rPr>
        <w:footnoteReference w:id="488"/>
      </w:r>
      <w:r w:rsidR="00D37BB1" w:rsidRPr="00D37BB1">
        <w:rPr>
          <w:lang w:val="en-US"/>
        </w:rPr>
        <w:t>, part-time work is also dealt with under the right of workers with family responsibilities to equal treatment</w:t>
      </w:r>
      <w:r w:rsidR="00D37BB1" w:rsidRPr="00D37BB1">
        <w:rPr>
          <w:vertAlign w:val="superscript"/>
          <w:lang w:val="en-US"/>
        </w:rPr>
        <w:footnoteReference w:id="489"/>
      </w:r>
      <w:r w:rsidR="00D37BB1" w:rsidRPr="00D37BB1">
        <w:rPr>
          <w:lang w:val="en-US"/>
        </w:rPr>
        <w:t>. By stating that workers with caring responsibilities should be allowed to work-part time</w:t>
      </w:r>
      <w:r w:rsidR="00D37BB1" w:rsidRPr="00D37BB1">
        <w:rPr>
          <w:vertAlign w:val="superscript"/>
          <w:lang w:val="en-US"/>
        </w:rPr>
        <w:footnoteReference w:id="490"/>
      </w:r>
      <w:r w:rsidR="00D37BB1" w:rsidRPr="00D37BB1">
        <w:rPr>
          <w:lang w:val="en-US"/>
        </w:rPr>
        <w:t xml:space="preserve">, the Committee appears to be in </w:t>
      </w:r>
      <w:proofErr w:type="spellStart"/>
      <w:r w:rsidR="00D37BB1" w:rsidRPr="00D37BB1">
        <w:rPr>
          <w:lang w:val="en-US"/>
        </w:rPr>
        <w:t>favour</w:t>
      </w:r>
      <w:proofErr w:type="spellEnd"/>
      <w:r w:rsidR="00D37BB1" w:rsidRPr="00D37BB1">
        <w:rPr>
          <w:lang w:val="en-US"/>
        </w:rPr>
        <w:t xml:space="preserve"> of its facilitation. More than the EU and the ILO, the Committee is however mindful of the ambiguous value of part-time work for structural gender equality. It closely watches whether part-time work is equally available to both parents</w:t>
      </w:r>
      <w:r w:rsidR="00D37BB1" w:rsidRPr="00D37BB1">
        <w:rPr>
          <w:vertAlign w:val="superscript"/>
          <w:lang w:val="en-US"/>
        </w:rPr>
        <w:footnoteReference w:id="491"/>
      </w:r>
      <w:r w:rsidR="00D37BB1" w:rsidRPr="00D37BB1">
        <w:rPr>
          <w:lang w:val="en-US"/>
        </w:rPr>
        <w:t>. A rule which obliges an employer</w:t>
      </w:r>
      <w:r w:rsidR="00283B2E">
        <w:rPr>
          <w:lang w:val="en-US"/>
        </w:rPr>
        <w:t xml:space="preserve"> to</w:t>
      </w:r>
      <w:r w:rsidR="00D37BB1" w:rsidRPr="00D37BB1">
        <w:rPr>
          <w:lang w:val="en-US"/>
        </w:rPr>
        <w:t xml:space="preserve"> accept a request for</w:t>
      </w:r>
      <w:r w:rsidR="00DE3F0F">
        <w:rPr>
          <w:lang w:val="en-US"/>
        </w:rPr>
        <w:t xml:space="preserve"> reduced working hours by a woma</w:t>
      </w:r>
      <w:r w:rsidR="00D37BB1" w:rsidRPr="00D37BB1">
        <w:rPr>
          <w:lang w:val="en-US"/>
        </w:rPr>
        <w:t>n but not by a male is incompatible with article 27 of the Revised European Social Charter</w:t>
      </w:r>
      <w:r w:rsidR="00D37BB1" w:rsidRPr="00D37BB1">
        <w:rPr>
          <w:vertAlign w:val="superscript"/>
          <w:lang w:val="en-US"/>
        </w:rPr>
        <w:footnoteReference w:id="492"/>
      </w:r>
      <w:r w:rsidR="00D37BB1" w:rsidRPr="00D37BB1">
        <w:rPr>
          <w:lang w:val="en-US"/>
        </w:rPr>
        <w:t xml:space="preserve">.  </w:t>
      </w:r>
    </w:p>
    <w:p w:rsidR="00D37BB1" w:rsidRPr="00D37BB1" w:rsidRDefault="00D37BB1" w:rsidP="00687D8A">
      <w:pPr>
        <w:spacing w:line="360" w:lineRule="auto"/>
        <w:jc w:val="both"/>
        <w:rPr>
          <w:u w:val="single"/>
          <w:lang w:val="en-US"/>
        </w:rPr>
      </w:pPr>
      <w:r w:rsidRPr="00D37BB1">
        <w:rPr>
          <w:u w:val="single"/>
          <w:lang w:val="en-US"/>
        </w:rPr>
        <w:t>The UN Convention on the Elimination of All Forms of Discrimination against Women</w:t>
      </w:r>
    </w:p>
    <w:p w:rsidR="00D37BB1" w:rsidRPr="00D37BB1" w:rsidRDefault="00F91C78" w:rsidP="00687D8A">
      <w:pPr>
        <w:spacing w:line="360" w:lineRule="auto"/>
        <w:jc w:val="both"/>
        <w:rPr>
          <w:lang w:val="en-US"/>
        </w:rPr>
      </w:pPr>
      <w:r>
        <w:rPr>
          <w:i/>
          <w:lang w:val="en-US"/>
        </w:rPr>
        <w:t>71</w:t>
      </w:r>
      <w:r w:rsidR="00F935DF" w:rsidRPr="00F935DF">
        <w:rPr>
          <w:i/>
          <w:lang w:val="en-US"/>
        </w:rPr>
        <w:t>.</w:t>
      </w:r>
      <w:r w:rsidR="00F935DF">
        <w:rPr>
          <w:lang w:val="en-US"/>
        </w:rPr>
        <w:t xml:space="preserve"> </w:t>
      </w:r>
      <w:r w:rsidR="00D37BB1" w:rsidRPr="00D37BB1">
        <w:rPr>
          <w:lang w:val="en-US"/>
        </w:rPr>
        <w:t xml:space="preserve">The Women’s Treaty does not expressly refer to part-time work. Two of its articles are however of particular relevance in this context. Article 11(1) c) is important because it includes the right to free choice of profession and employment. Article 5 is interesting because it aims at the elimination of stereotypes and the recognition of common </w:t>
      </w:r>
      <w:r w:rsidR="00D37BB1" w:rsidRPr="00D37BB1">
        <w:rPr>
          <w:lang w:val="en-US"/>
        </w:rPr>
        <w:lastRenderedPageBreak/>
        <w:t>responsibilities for men and women in the upbringing of children. The UN Committee on the Elimination of Discrimination against Women is concerned about the high representation of women in part-time work. It does not accept the argument that part-time work is an adequate way to reconcile paid work and care responsibilities. On the contrary, a high number of female part-timers points to persistent hidden or indirect discrimination</w:t>
      </w:r>
      <w:r w:rsidR="00D37BB1" w:rsidRPr="00D37BB1">
        <w:rPr>
          <w:vertAlign w:val="superscript"/>
          <w:lang w:val="en-US"/>
        </w:rPr>
        <w:footnoteReference w:id="493"/>
      </w:r>
      <w:r w:rsidR="00D37BB1" w:rsidRPr="00D37BB1">
        <w:rPr>
          <w:lang w:val="en-US"/>
        </w:rPr>
        <w:t>. The Committee adheres to the dominant feminist view that part-time work is forced upon women due to a lack of child-care services and shared caring responsibilities</w:t>
      </w:r>
      <w:r w:rsidR="00D37BB1" w:rsidRPr="00D37BB1">
        <w:rPr>
          <w:vertAlign w:val="superscript"/>
          <w:lang w:val="en-US"/>
        </w:rPr>
        <w:footnoteReference w:id="494"/>
      </w:r>
      <w:r w:rsidR="00D37BB1" w:rsidRPr="00D37BB1">
        <w:rPr>
          <w:lang w:val="en-US"/>
        </w:rPr>
        <w:t>. Governments are advised not to encourage female part-time work. On the other hand, they must take all necessary measures in order to allow women to work full-time</w:t>
      </w:r>
      <w:r w:rsidR="00D37BB1" w:rsidRPr="00D37BB1">
        <w:rPr>
          <w:vertAlign w:val="superscript"/>
          <w:lang w:val="en-US"/>
        </w:rPr>
        <w:footnoteReference w:id="495"/>
      </w:r>
      <w:r w:rsidR="00D37BB1" w:rsidRPr="00D37BB1">
        <w:rPr>
          <w:lang w:val="en-US"/>
        </w:rPr>
        <w:t>. Decreased working hours are also associated with the persistence of stereotypes such as the male breadwinner and the secondary importance of female employment</w:t>
      </w:r>
      <w:r w:rsidR="00D37BB1" w:rsidRPr="00D37BB1">
        <w:rPr>
          <w:vertAlign w:val="superscript"/>
          <w:lang w:val="en-US"/>
        </w:rPr>
        <w:footnoteReference w:id="496"/>
      </w:r>
      <w:r w:rsidR="00D37BB1" w:rsidRPr="00D37BB1">
        <w:rPr>
          <w:lang w:val="en-US"/>
        </w:rPr>
        <w:t xml:space="preserve">.         </w:t>
      </w:r>
    </w:p>
    <w:p w:rsidR="005E2568" w:rsidRDefault="00F91C78" w:rsidP="00687D8A">
      <w:pPr>
        <w:spacing w:line="360" w:lineRule="auto"/>
        <w:jc w:val="both"/>
        <w:rPr>
          <w:lang w:val="en-US"/>
        </w:rPr>
      </w:pPr>
      <w:r>
        <w:rPr>
          <w:i/>
          <w:lang w:val="en-US"/>
        </w:rPr>
        <w:t>72</w:t>
      </w:r>
      <w:r w:rsidR="00F935DF" w:rsidRPr="00F935DF">
        <w:rPr>
          <w:i/>
          <w:lang w:val="en-US"/>
        </w:rPr>
        <w:t>.</w:t>
      </w:r>
      <w:r w:rsidR="00F935DF">
        <w:rPr>
          <w:lang w:val="en-US"/>
        </w:rPr>
        <w:t xml:space="preserve"> </w:t>
      </w:r>
      <w:r w:rsidR="00D37BB1" w:rsidRPr="00D37BB1">
        <w:rPr>
          <w:lang w:val="en-US"/>
        </w:rPr>
        <w:t>Under EU law, the ILO Conventions and the European Social Charter, a dual approach is adopted. On the one hand, detrimental treatment of part-time workers will often be regarded as indirect sex discrimination. The case-law of the European Court of Justice appears to offer the most extensive protection here. On the other hand, treatment of part-time workers is looked at in a gender-neutral manner and compared with full-time work. Part-time work must be promoted because it allows women to cope with their caring responsibilities. The Women’s Committee’s opinion is at odds with these beliefs. Only the latter really takes into account the potential dangers linked to part-time w</w:t>
      </w:r>
      <w:r w:rsidR="005E2568">
        <w:rPr>
          <w:lang w:val="en-US"/>
        </w:rPr>
        <w:t xml:space="preserve">ork. </w:t>
      </w:r>
    </w:p>
    <w:p w:rsidR="003A5A40" w:rsidRDefault="003A5A40" w:rsidP="00687D8A">
      <w:pPr>
        <w:spacing w:line="360" w:lineRule="auto"/>
        <w:jc w:val="both"/>
        <w:rPr>
          <w:u w:val="single"/>
          <w:lang w:val="en-US"/>
        </w:rPr>
      </w:pPr>
    </w:p>
    <w:p w:rsidR="003A5A40" w:rsidRDefault="003A5A40" w:rsidP="00687D8A">
      <w:pPr>
        <w:spacing w:line="360" w:lineRule="auto"/>
        <w:jc w:val="both"/>
        <w:rPr>
          <w:u w:val="single"/>
          <w:lang w:val="en-US"/>
        </w:rPr>
      </w:pPr>
    </w:p>
    <w:p w:rsidR="003A5A40" w:rsidRDefault="003A5A40" w:rsidP="00687D8A">
      <w:pPr>
        <w:spacing w:line="360" w:lineRule="auto"/>
        <w:jc w:val="both"/>
        <w:rPr>
          <w:u w:val="single"/>
          <w:lang w:val="en-US"/>
        </w:rPr>
      </w:pPr>
    </w:p>
    <w:p w:rsidR="003A5A40" w:rsidRDefault="003A5A40" w:rsidP="00687D8A">
      <w:pPr>
        <w:spacing w:line="360" w:lineRule="auto"/>
        <w:jc w:val="both"/>
        <w:rPr>
          <w:u w:val="single"/>
          <w:lang w:val="en-US"/>
        </w:rPr>
      </w:pPr>
    </w:p>
    <w:p w:rsidR="00D37BB1" w:rsidRPr="00D37BB1" w:rsidRDefault="00D37BB1" w:rsidP="00687D8A">
      <w:pPr>
        <w:spacing w:line="360" w:lineRule="auto"/>
        <w:jc w:val="both"/>
        <w:rPr>
          <w:lang w:val="en-US"/>
        </w:rPr>
      </w:pPr>
      <w:r w:rsidRPr="00D37BB1">
        <w:rPr>
          <w:u w:val="single"/>
          <w:lang w:val="en-US"/>
        </w:rPr>
        <w:lastRenderedPageBreak/>
        <w:t>Section II. Pregnancy</w:t>
      </w:r>
      <w:r w:rsidRPr="00D37BB1">
        <w:rPr>
          <w:lang w:val="en-US"/>
        </w:rPr>
        <w:t xml:space="preserve"> </w:t>
      </w:r>
    </w:p>
    <w:p w:rsidR="00D37BB1" w:rsidRPr="00D37BB1" w:rsidRDefault="00D37BB1" w:rsidP="00687D8A">
      <w:pPr>
        <w:spacing w:line="360" w:lineRule="auto"/>
        <w:jc w:val="both"/>
        <w:rPr>
          <w:u w:val="single"/>
          <w:lang w:val="en-US"/>
        </w:rPr>
      </w:pPr>
      <w:r w:rsidRPr="00D37BB1">
        <w:rPr>
          <w:u w:val="single"/>
          <w:lang w:val="en-US"/>
        </w:rPr>
        <w:t xml:space="preserve">Introduction </w:t>
      </w:r>
    </w:p>
    <w:p w:rsidR="00D37BB1" w:rsidRPr="00D37BB1" w:rsidRDefault="00610C44" w:rsidP="00687D8A">
      <w:pPr>
        <w:spacing w:line="360" w:lineRule="auto"/>
        <w:jc w:val="both"/>
        <w:rPr>
          <w:lang w:val="en-US"/>
        </w:rPr>
      </w:pPr>
      <w:r>
        <w:rPr>
          <w:i/>
          <w:lang w:val="en-US"/>
        </w:rPr>
        <w:t>73</w:t>
      </w:r>
      <w:r w:rsidR="00AC3DF1" w:rsidRPr="00AC3DF1">
        <w:rPr>
          <w:i/>
          <w:lang w:val="en-US"/>
        </w:rPr>
        <w:t>.</w:t>
      </w:r>
      <w:r w:rsidR="00AC3DF1">
        <w:rPr>
          <w:lang w:val="en-US"/>
        </w:rPr>
        <w:t xml:space="preserve"> </w:t>
      </w:r>
      <w:r w:rsidR="00D37BB1" w:rsidRPr="00D37BB1">
        <w:rPr>
          <w:lang w:val="en-US"/>
        </w:rPr>
        <w:t>Having children is not only something that is pursued by many individuals, women and men, for their own happiness. It is also a social necessity, especially in Europe.</w:t>
      </w:r>
      <w:r w:rsidR="00B07372">
        <w:rPr>
          <w:lang w:val="en-US"/>
        </w:rPr>
        <w:t xml:space="preserve"> Only women happen to </w:t>
      </w:r>
      <w:r w:rsidR="00D37BB1" w:rsidRPr="00D37BB1">
        <w:rPr>
          <w:lang w:val="en-US"/>
        </w:rPr>
        <w:t>have the biological characteristics to carry a child and give birth. It is unfair to sanction women fo</w:t>
      </w:r>
      <w:r w:rsidR="007E68B3">
        <w:rPr>
          <w:lang w:val="en-US"/>
        </w:rPr>
        <w:t xml:space="preserve">r having these characteristics. </w:t>
      </w:r>
      <w:r w:rsidR="00B07372">
        <w:rPr>
          <w:lang w:val="en-US"/>
        </w:rPr>
        <w:t>The f</w:t>
      </w:r>
      <w:r w:rsidR="00D37BB1" w:rsidRPr="00D37BB1">
        <w:rPr>
          <w:lang w:val="en-US"/>
        </w:rPr>
        <w:t xml:space="preserve">emale workers’ economic independence should not be endangered, neither during the pregnancy nor during the period of physical recovery after giving birth. </w:t>
      </w:r>
    </w:p>
    <w:p w:rsidR="00D37BB1" w:rsidRPr="00D37BB1" w:rsidRDefault="00610C44" w:rsidP="00687D8A">
      <w:pPr>
        <w:spacing w:line="360" w:lineRule="auto"/>
        <w:jc w:val="both"/>
        <w:rPr>
          <w:lang w:val="en-US"/>
        </w:rPr>
      </w:pPr>
      <w:r>
        <w:rPr>
          <w:i/>
          <w:lang w:val="en-US"/>
        </w:rPr>
        <w:t>74</w:t>
      </w:r>
      <w:r w:rsidR="00AC3DF1" w:rsidRPr="00AC3DF1">
        <w:rPr>
          <w:i/>
          <w:lang w:val="en-US"/>
        </w:rPr>
        <w:t>.</w:t>
      </w:r>
      <w:r w:rsidR="00AC3DF1">
        <w:rPr>
          <w:lang w:val="en-US"/>
        </w:rPr>
        <w:t xml:space="preserve"> </w:t>
      </w:r>
      <w:r w:rsidR="00D37BB1" w:rsidRPr="00D37BB1">
        <w:rPr>
          <w:lang w:val="en-US"/>
        </w:rPr>
        <w:t>The discussion on where exactly to locate pregnancy in the equality – non-discr</w:t>
      </w:r>
      <w:r w:rsidR="00757599">
        <w:rPr>
          <w:lang w:val="en-US"/>
        </w:rPr>
        <w:t>imination frame has been dragging</w:t>
      </w:r>
      <w:r w:rsidR="00D37BB1" w:rsidRPr="00D37BB1">
        <w:rPr>
          <w:lang w:val="en-US"/>
        </w:rPr>
        <w:t xml:space="preserve"> on for years. The reason for pregnancy being such a difficult topic can be found in the comparator requirement. Traditionally, discrimination occurs when, by comparing two similarly situated individuals or groups of individuals, it is established that one of them is treated less </w:t>
      </w:r>
      <w:proofErr w:type="spellStart"/>
      <w:r w:rsidR="00D37BB1" w:rsidRPr="00D37BB1">
        <w:rPr>
          <w:lang w:val="en-US"/>
        </w:rPr>
        <w:t>favourably</w:t>
      </w:r>
      <w:proofErr w:type="spellEnd"/>
      <w:r w:rsidR="00D37BB1" w:rsidRPr="00D37BB1">
        <w:rPr>
          <w:lang w:val="en-US"/>
        </w:rPr>
        <w:t>. The ability to become pregnant is a unique feature of the female body and</w:t>
      </w:r>
      <w:r w:rsidR="00307E55">
        <w:rPr>
          <w:lang w:val="en-US"/>
        </w:rPr>
        <w:t xml:space="preserve"> is therefore one of the hard nuts to crack </w:t>
      </w:r>
      <w:r w:rsidR="008366D4">
        <w:rPr>
          <w:lang w:val="en-US"/>
        </w:rPr>
        <w:t>in scholarly discussions</w:t>
      </w:r>
      <w:r w:rsidR="00D37BB1" w:rsidRPr="00D37BB1">
        <w:rPr>
          <w:vertAlign w:val="superscript"/>
          <w:lang w:val="en-US"/>
        </w:rPr>
        <w:footnoteReference w:id="497"/>
      </w:r>
      <w:r w:rsidR="00D37BB1" w:rsidRPr="00D37BB1">
        <w:rPr>
          <w:lang w:val="en-US"/>
        </w:rPr>
        <w:t xml:space="preserve">. </w:t>
      </w:r>
    </w:p>
    <w:p w:rsidR="00D37BB1" w:rsidRPr="00D37BB1" w:rsidRDefault="00D37BB1" w:rsidP="00687D8A">
      <w:pPr>
        <w:spacing w:line="360" w:lineRule="auto"/>
        <w:jc w:val="both"/>
        <w:rPr>
          <w:lang w:val="en-US"/>
        </w:rPr>
      </w:pPr>
      <w:r w:rsidRPr="00D37BB1">
        <w:rPr>
          <w:lang w:val="en-US"/>
        </w:rPr>
        <w:t xml:space="preserve">§1. Recruitment and Job Security </w:t>
      </w:r>
    </w:p>
    <w:p w:rsidR="00D37BB1" w:rsidRPr="00D37BB1" w:rsidRDefault="00D37BB1" w:rsidP="00687D8A">
      <w:pPr>
        <w:spacing w:line="360" w:lineRule="auto"/>
        <w:jc w:val="both"/>
        <w:rPr>
          <w:u w:val="single"/>
          <w:lang w:val="en-US"/>
        </w:rPr>
      </w:pPr>
      <w:r w:rsidRPr="00D37BB1">
        <w:rPr>
          <w:u w:val="single"/>
          <w:lang w:val="en-US"/>
        </w:rPr>
        <w:t xml:space="preserve">The European Union </w:t>
      </w:r>
    </w:p>
    <w:p w:rsidR="00D37BB1" w:rsidRPr="00D37BB1" w:rsidRDefault="00610C44" w:rsidP="00687D8A">
      <w:pPr>
        <w:spacing w:line="360" w:lineRule="auto"/>
        <w:jc w:val="both"/>
        <w:rPr>
          <w:lang w:val="en-US"/>
        </w:rPr>
      </w:pPr>
      <w:r>
        <w:rPr>
          <w:i/>
          <w:lang w:val="en-US"/>
        </w:rPr>
        <w:t>75</w:t>
      </w:r>
      <w:r w:rsidR="00AC3DF1" w:rsidRPr="00AC3DF1">
        <w:rPr>
          <w:i/>
          <w:lang w:val="en-US"/>
        </w:rPr>
        <w:t>.</w:t>
      </w:r>
      <w:r w:rsidR="00AC3DF1">
        <w:rPr>
          <w:lang w:val="en-US"/>
        </w:rPr>
        <w:t xml:space="preserve"> </w:t>
      </w:r>
      <w:r w:rsidR="00D37BB1" w:rsidRPr="00D37BB1">
        <w:rPr>
          <w:lang w:val="en-US"/>
        </w:rPr>
        <w:t>In the European Union, pregnancy is approached in two ways. On the one hand, there is the case-law of the European Court of Justice under the equal treatment directives</w:t>
      </w:r>
      <w:r w:rsidR="00D37BB1" w:rsidRPr="00D37BB1">
        <w:rPr>
          <w:vertAlign w:val="superscript"/>
          <w:lang w:val="en-US"/>
        </w:rPr>
        <w:footnoteReference w:id="498"/>
      </w:r>
      <w:r w:rsidR="00D37BB1" w:rsidRPr="00D37BB1">
        <w:rPr>
          <w:lang w:val="en-US"/>
        </w:rPr>
        <w:t>. On the other hand, there is the pregnancy directive</w:t>
      </w:r>
      <w:r w:rsidR="00D37BB1" w:rsidRPr="00D37BB1">
        <w:rPr>
          <w:vertAlign w:val="superscript"/>
          <w:lang w:val="en-US"/>
        </w:rPr>
        <w:footnoteReference w:id="499"/>
      </w:r>
      <w:r w:rsidR="00D37BB1" w:rsidRPr="00D37BB1">
        <w:rPr>
          <w:lang w:val="en-US"/>
        </w:rPr>
        <w:t>. Its legal basis</w:t>
      </w:r>
      <w:r w:rsidR="00D37BB1" w:rsidRPr="00D37BB1">
        <w:rPr>
          <w:vertAlign w:val="superscript"/>
          <w:lang w:val="en-US"/>
        </w:rPr>
        <w:footnoteReference w:id="500"/>
      </w:r>
      <w:r w:rsidR="00D37BB1" w:rsidRPr="00D37BB1">
        <w:rPr>
          <w:lang w:val="en-US"/>
        </w:rPr>
        <w:t xml:space="preserve"> demonstrates that this directive is rather </w:t>
      </w:r>
      <w:r w:rsidR="007A76B9">
        <w:rPr>
          <w:lang w:val="en-US"/>
        </w:rPr>
        <w:t xml:space="preserve">more </w:t>
      </w:r>
      <w:r w:rsidR="00D37BB1" w:rsidRPr="00D37BB1">
        <w:rPr>
          <w:lang w:val="en-US"/>
        </w:rPr>
        <w:t>concerned with the health and safety of pregnant workers than with equality at work</w:t>
      </w:r>
      <w:r w:rsidR="00D37BB1" w:rsidRPr="00D37BB1">
        <w:rPr>
          <w:vertAlign w:val="superscript"/>
          <w:lang w:val="en-US"/>
        </w:rPr>
        <w:footnoteReference w:id="501"/>
      </w:r>
      <w:r w:rsidR="00D37BB1" w:rsidRPr="00D37BB1">
        <w:rPr>
          <w:lang w:val="en-US"/>
        </w:rPr>
        <w:t>. EU law protects pregnant job applicants. In the landmark case Dekker, it was held that the refusal to hire a pregnant woman constitutes direct discrimination on the basis of sex</w:t>
      </w:r>
      <w:r w:rsidR="00D37BB1" w:rsidRPr="00D37BB1">
        <w:rPr>
          <w:vertAlign w:val="superscript"/>
          <w:lang w:val="en-US"/>
        </w:rPr>
        <w:footnoteReference w:id="502"/>
      </w:r>
      <w:r w:rsidR="00D37BB1" w:rsidRPr="00D37BB1">
        <w:rPr>
          <w:lang w:val="en-US"/>
        </w:rPr>
        <w:t xml:space="preserve">. By rejecting the requirement of a male comparator, the Court clarified that detrimental treatment on the grounds of pregnancy constitutes per se direct sex </w:t>
      </w:r>
      <w:r w:rsidR="00D37BB1" w:rsidRPr="00D37BB1">
        <w:rPr>
          <w:lang w:val="en-US"/>
        </w:rPr>
        <w:lastRenderedPageBreak/>
        <w:t>discrimination. Despite dissatisfied reactions of some scholars</w:t>
      </w:r>
      <w:r w:rsidR="00D37BB1" w:rsidRPr="00D37BB1">
        <w:rPr>
          <w:vertAlign w:val="superscript"/>
          <w:lang w:val="en-US"/>
        </w:rPr>
        <w:footnoteReference w:id="503"/>
      </w:r>
      <w:r w:rsidR="00D37BB1" w:rsidRPr="00D37BB1">
        <w:rPr>
          <w:lang w:val="en-US"/>
        </w:rPr>
        <w:t>, one may conclude that the Court’s decision was positively received by most feminist authors</w:t>
      </w:r>
      <w:r w:rsidR="00D37BB1" w:rsidRPr="00D37BB1">
        <w:rPr>
          <w:vertAlign w:val="superscript"/>
          <w:lang w:val="en-US"/>
        </w:rPr>
        <w:footnoteReference w:id="504"/>
      </w:r>
      <w:r w:rsidR="00D37BB1" w:rsidRPr="00D37BB1">
        <w:rPr>
          <w:lang w:val="en-US"/>
        </w:rPr>
        <w:t>. Both the Court</w:t>
      </w:r>
      <w:r w:rsidR="00D37BB1" w:rsidRPr="00D37BB1">
        <w:rPr>
          <w:vertAlign w:val="superscript"/>
          <w:lang w:val="en-US"/>
        </w:rPr>
        <w:footnoteReference w:id="505"/>
      </w:r>
      <w:r w:rsidR="00D37BB1" w:rsidRPr="00D37BB1">
        <w:rPr>
          <w:lang w:val="en-US"/>
        </w:rPr>
        <w:t xml:space="preserve"> and the pregnancy directive</w:t>
      </w:r>
      <w:r w:rsidR="00D37BB1" w:rsidRPr="00D37BB1">
        <w:rPr>
          <w:vertAlign w:val="superscript"/>
          <w:lang w:val="en-US"/>
        </w:rPr>
        <w:footnoteReference w:id="506"/>
      </w:r>
      <w:r w:rsidR="00D37BB1" w:rsidRPr="00D37BB1">
        <w:rPr>
          <w:lang w:val="en-US"/>
        </w:rPr>
        <w:t xml:space="preserve"> prohibit the dismissal of a pregnant worker during the period from the beginning of the pregnancy to the end of the period of childbirth leave. The worker must formally notify the employer of her pregnancy in order to be protected</w:t>
      </w:r>
      <w:r w:rsidR="00D37BB1" w:rsidRPr="00D37BB1">
        <w:rPr>
          <w:vertAlign w:val="superscript"/>
          <w:lang w:val="en-US"/>
        </w:rPr>
        <w:footnoteReference w:id="507"/>
      </w:r>
      <w:r w:rsidR="00D37BB1" w:rsidRPr="00D37BB1">
        <w:rPr>
          <w:lang w:val="en-US"/>
        </w:rPr>
        <w:t>. The prohibition of dismissal is not of an absolute nature. Female workers may still be laid off for reasons not related to pregnancy</w:t>
      </w:r>
      <w:r w:rsidR="00D37BB1" w:rsidRPr="00D37BB1">
        <w:rPr>
          <w:vertAlign w:val="superscript"/>
          <w:lang w:val="en-US"/>
        </w:rPr>
        <w:footnoteReference w:id="508"/>
      </w:r>
      <w:r w:rsidR="00D37BB1" w:rsidRPr="00D37BB1">
        <w:rPr>
          <w:lang w:val="en-US"/>
        </w:rPr>
        <w:t>. The member states have the discretionary power to decide on these reasons</w:t>
      </w:r>
      <w:r w:rsidR="00D37BB1" w:rsidRPr="00D37BB1">
        <w:rPr>
          <w:vertAlign w:val="superscript"/>
          <w:lang w:val="en-US"/>
        </w:rPr>
        <w:footnoteReference w:id="509"/>
      </w:r>
      <w:r w:rsidR="00D37BB1" w:rsidRPr="00D37BB1">
        <w:rPr>
          <w:lang w:val="en-US"/>
        </w:rPr>
        <w:t xml:space="preserve">. They arguably include matters such as collective dismissals, force </w:t>
      </w:r>
      <w:proofErr w:type="spellStart"/>
      <w:r w:rsidR="00D37BB1" w:rsidRPr="00D37BB1">
        <w:rPr>
          <w:lang w:val="en-US"/>
        </w:rPr>
        <w:t>majeur</w:t>
      </w:r>
      <w:proofErr w:type="spellEnd"/>
      <w:r w:rsidR="00D37BB1" w:rsidRPr="00D37BB1">
        <w:rPr>
          <w:lang w:val="en-US"/>
        </w:rPr>
        <w:t xml:space="preserve"> and disciplinary grounds</w:t>
      </w:r>
      <w:r w:rsidR="00D37BB1" w:rsidRPr="00D37BB1">
        <w:rPr>
          <w:vertAlign w:val="superscript"/>
          <w:lang w:val="en-US"/>
        </w:rPr>
        <w:footnoteReference w:id="510"/>
      </w:r>
      <w:r w:rsidR="00D37BB1" w:rsidRPr="00D37BB1">
        <w:rPr>
          <w:lang w:val="en-US"/>
        </w:rPr>
        <w:t>. Article 33(2) of the EU Charter on the reconciliation of family and professional life offers pr</w:t>
      </w:r>
      <w:r w:rsidR="009E3D5C">
        <w:rPr>
          <w:lang w:val="en-US"/>
        </w:rPr>
        <w:t>otection against dismissal for</w:t>
      </w:r>
      <w:r w:rsidR="00D37BB1" w:rsidRPr="00D37BB1">
        <w:rPr>
          <w:lang w:val="en-US"/>
        </w:rPr>
        <w:t xml:space="preserve"> reason</w:t>
      </w:r>
      <w:r w:rsidR="009E3D5C">
        <w:rPr>
          <w:lang w:val="en-US"/>
        </w:rPr>
        <w:t>s</w:t>
      </w:r>
      <w:r w:rsidR="00D37BB1" w:rsidRPr="00D37BB1">
        <w:rPr>
          <w:lang w:val="en-US"/>
        </w:rPr>
        <w:t xml:space="preserve"> connected with maternity. Job applicants are thus not covered. It has been argued that article 33(2) has a broader scope of application than the corresponding provisions in the pregnancy directive</w:t>
      </w:r>
      <w:r w:rsidR="00D37BB1" w:rsidRPr="00D37BB1">
        <w:rPr>
          <w:vertAlign w:val="superscript"/>
          <w:lang w:val="en-US"/>
        </w:rPr>
        <w:footnoteReference w:id="511"/>
      </w:r>
      <w:r w:rsidR="00D37BB1" w:rsidRPr="00D37BB1">
        <w:rPr>
          <w:lang w:val="en-US"/>
        </w:rPr>
        <w:t xml:space="preserve">. This appears to be correct because no formal notification of the employer is required.              </w:t>
      </w:r>
    </w:p>
    <w:p w:rsidR="00D37BB1" w:rsidRPr="00D37BB1" w:rsidRDefault="00D37BB1" w:rsidP="00687D8A">
      <w:pPr>
        <w:spacing w:line="360" w:lineRule="auto"/>
        <w:jc w:val="both"/>
        <w:rPr>
          <w:u w:val="single"/>
          <w:lang w:val="en-US"/>
        </w:rPr>
      </w:pPr>
      <w:r w:rsidRPr="00D37BB1">
        <w:rPr>
          <w:u w:val="single"/>
          <w:lang w:val="en-US"/>
        </w:rPr>
        <w:t xml:space="preserve">The </w:t>
      </w:r>
      <w:r w:rsidR="00A746E3">
        <w:rPr>
          <w:u w:val="single"/>
          <w:lang w:val="en-US"/>
        </w:rPr>
        <w:t xml:space="preserve">Revised </w:t>
      </w:r>
      <w:r w:rsidRPr="00D37BB1">
        <w:rPr>
          <w:u w:val="single"/>
          <w:lang w:val="en-US"/>
        </w:rPr>
        <w:t xml:space="preserve">European Social Charter </w:t>
      </w:r>
    </w:p>
    <w:p w:rsidR="00D37BB1" w:rsidRPr="00D37BB1" w:rsidRDefault="00172CEE" w:rsidP="00687D8A">
      <w:pPr>
        <w:spacing w:line="360" w:lineRule="auto"/>
        <w:jc w:val="both"/>
        <w:rPr>
          <w:lang w:val="en-US"/>
        </w:rPr>
      </w:pPr>
      <w:r>
        <w:rPr>
          <w:i/>
          <w:lang w:val="en-US"/>
        </w:rPr>
        <w:t>76</w:t>
      </w:r>
      <w:r w:rsidR="001A56FF" w:rsidRPr="001A56FF">
        <w:rPr>
          <w:i/>
          <w:lang w:val="en-US"/>
        </w:rPr>
        <w:t>.</w:t>
      </w:r>
      <w:r w:rsidR="001A56FF">
        <w:rPr>
          <w:lang w:val="en-US"/>
        </w:rPr>
        <w:t xml:space="preserve"> </w:t>
      </w:r>
      <w:r w:rsidR="00D37BB1" w:rsidRPr="00D37BB1">
        <w:rPr>
          <w:lang w:val="en-US"/>
        </w:rPr>
        <w:t>The Revised European Social Charter does not expressly protect pregnant job applicants. The European Committee of Social Rights’ position is rather unclear. Both direct and indirect sex discrimination in access to employment are prohibited under the Charter</w:t>
      </w:r>
      <w:r w:rsidR="00D37BB1" w:rsidRPr="00D37BB1">
        <w:rPr>
          <w:vertAlign w:val="superscript"/>
          <w:lang w:val="en-US"/>
        </w:rPr>
        <w:footnoteReference w:id="512"/>
      </w:r>
      <w:r w:rsidR="00D37BB1" w:rsidRPr="00D37BB1">
        <w:rPr>
          <w:lang w:val="en-US"/>
        </w:rPr>
        <w:t xml:space="preserve">. The Committee however never explained how it classifies a refusal to hire a pregnant woman. Already employed women who are with child are explicitly covered by the Charter after </w:t>
      </w:r>
      <w:r w:rsidR="00D37BB1" w:rsidRPr="00D37BB1">
        <w:rPr>
          <w:lang w:val="en-US"/>
        </w:rPr>
        <w:lastRenderedPageBreak/>
        <w:t>notification of the employer</w:t>
      </w:r>
      <w:r w:rsidR="00D37BB1" w:rsidRPr="00D37BB1">
        <w:rPr>
          <w:vertAlign w:val="superscript"/>
          <w:lang w:val="en-US"/>
        </w:rPr>
        <w:footnoteReference w:id="513"/>
      </w:r>
      <w:r w:rsidR="00D37BB1" w:rsidRPr="00D37BB1">
        <w:rPr>
          <w:lang w:val="en-US"/>
        </w:rPr>
        <w:t>. No dismissals can take place from the beginning of the pregnancy to the end of the childbirth leave, except for reasons not related to the pregnancy. The latter include amongst others misconduct, expiry of the employment contract and undertakings which cease to operate</w:t>
      </w:r>
      <w:r w:rsidR="00D37BB1" w:rsidRPr="00D37BB1">
        <w:rPr>
          <w:vertAlign w:val="superscript"/>
          <w:lang w:val="en-US"/>
        </w:rPr>
        <w:footnoteReference w:id="514"/>
      </w:r>
      <w:r w:rsidR="00D37BB1" w:rsidRPr="00D37BB1">
        <w:rPr>
          <w:lang w:val="en-US"/>
        </w:rPr>
        <w:t>. At the same time, the Committee is wary of abuse and therefore judges exceptions in a rather restrictive manner</w:t>
      </w:r>
      <w:r w:rsidR="00D37BB1" w:rsidRPr="00D37BB1">
        <w:rPr>
          <w:vertAlign w:val="superscript"/>
          <w:lang w:val="en-US"/>
        </w:rPr>
        <w:footnoteReference w:id="515"/>
      </w:r>
      <w:r w:rsidR="00D37BB1" w:rsidRPr="00D37BB1">
        <w:rPr>
          <w:lang w:val="en-US"/>
        </w:rPr>
        <w:t>. Exceptions that are articulated broadly or vaguely are held to be incompatible with the Charter</w:t>
      </w:r>
      <w:r w:rsidR="00D37BB1" w:rsidRPr="00D37BB1">
        <w:rPr>
          <w:vertAlign w:val="superscript"/>
          <w:lang w:val="en-US"/>
        </w:rPr>
        <w:footnoteReference w:id="516"/>
      </w:r>
      <w:r w:rsidR="00D37BB1" w:rsidRPr="00D37BB1">
        <w:rPr>
          <w:lang w:val="en-US"/>
        </w:rPr>
        <w:t xml:space="preserve">.    </w:t>
      </w:r>
    </w:p>
    <w:p w:rsidR="00D37BB1" w:rsidRPr="00D37BB1" w:rsidRDefault="00D37BB1" w:rsidP="00687D8A">
      <w:pPr>
        <w:spacing w:line="360" w:lineRule="auto"/>
        <w:jc w:val="both"/>
        <w:rPr>
          <w:u w:val="single"/>
          <w:lang w:val="en-US"/>
        </w:rPr>
      </w:pPr>
      <w:r w:rsidRPr="00D37BB1">
        <w:rPr>
          <w:u w:val="single"/>
          <w:lang w:val="en-US"/>
        </w:rPr>
        <w:t xml:space="preserve">The International </w:t>
      </w:r>
      <w:proofErr w:type="spellStart"/>
      <w:r w:rsidRPr="00D37BB1">
        <w:rPr>
          <w:u w:val="single"/>
          <w:lang w:val="en-US"/>
        </w:rPr>
        <w:t>Labour</w:t>
      </w:r>
      <w:proofErr w:type="spellEnd"/>
      <w:r w:rsidRPr="00D37BB1">
        <w:rPr>
          <w:u w:val="single"/>
          <w:lang w:val="en-US"/>
        </w:rPr>
        <w:t xml:space="preserve"> Organization </w:t>
      </w:r>
    </w:p>
    <w:p w:rsidR="00D37BB1" w:rsidRPr="00D37BB1" w:rsidRDefault="00CE150A" w:rsidP="00687D8A">
      <w:pPr>
        <w:spacing w:line="360" w:lineRule="auto"/>
        <w:jc w:val="both"/>
        <w:rPr>
          <w:lang w:val="en-US"/>
        </w:rPr>
      </w:pPr>
      <w:r>
        <w:rPr>
          <w:i/>
          <w:lang w:val="en-US"/>
        </w:rPr>
        <w:t>77</w:t>
      </w:r>
      <w:r w:rsidR="001B4F44" w:rsidRPr="001B4F44">
        <w:rPr>
          <w:i/>
          <w:lang w:val="en-US"/>
        </w:rPr>
        <w:t>.</w:t>
      </w:r>
      <w:r w:rsidR="001B4F44">
        <w:rPr>
          <w:lang w:val="en-US"/>
        </w:rPr>
        <w:t xml:space="preserve"> </w:t>
      </w:r>
      <w:r w:rsidR="00D37BB1" w:rsidRPr="00D37BB1">
        <w:rPr>
          <w:lang w:val="en-US"/>
        </w:rPr>
        <w:t>The ILO’s discrimination Convention applies to recruitment</w:t>
      </w:r>
      <w:r w:rsidR="00D37BB1" w:rsidRPr="00D37BB1">
        <w:rPr>
          <w:vertAlign w:val="superscript"/>
          <w:lang w:val="en-US"/>
        </w:rPr>
        <w:footnoteReference w:id="517"/>
      </w:r>
      <w:r w:rsidR="00D37BB1" w:rsidRPr="00D37BB1">
        <w:rPr>
          <w:lang w:val="en-US"/>
        </w:rPr>
        <w:t>. The Committee of Experts seems to have been inspired by the case-law of the European Court of Justice when it stated that rejection of job applicants on grounds of pregnancy constitutes direct sex discrimination</w:t>
      </w:r>
      <w:r w:rsidR="00D37BB1" w:rsidRPr="00D37BB1">
        <w:rPr>
          <w:vertAlign w:val="superscript"/>
          <w:lang w:val="en-US"/>
        </w:rPr>
        <w:footnoteReference w:id="518"/>
      </w:r>
      <w:r w:rsidR="00D37BB1" w:rsidRPr="00D37BB1">
        <w:rPr>
          <w:lang w:val="en-US"/>
        </w:rPr>
        <w:t>. The maternity protection Convention now also interdicts recruitment practices which disadvantage expectant mothers</w:t>
      </w:r>
      <w:r w:rsidR="00D37BB1" w:rsidRPr="00D37BB1">
        <w:rPr>
          <w:vertAlign w:val="superscript"/>
          <w:lang w:val="en-US"/>
        </w:rPr>
        <w:footnoteReference w:id="519"/>
      </w:r>
      <w:r w:rsidR="00D37BB1" w:rsidRPr="00D37BB1">
        <w:rPr>
          <w:lang w:val="en-US"/>
        </w:rPr>
        <w:t>. Prospective employers are banned from requiring a pregnancy test or certificate during hiring campaigns</w:t>
      </w:r>
      <w:r w:rsidR="00D37BB1" w:rsidRPr="00D37BB1">
        <w:rPr>
          <w:vertAlign w:val="superscript"/>
          <w:lang w:val="en-US"/>
        </w:rPr>
        <w:footnoteReference w:id="520"/>
      </w:r>
      <w:r w:rsidR="00D37BB1" w:rsidRPr="00D37BB1">
        <w:rPr>
          <w:lang w:val="en-US"/>
        </w:rPr>
        <w:t>. Protection against dismissal related to pregnancy goes beyond that in the pregnancy directive and the Social Charter. The new mum’s job is safeguarded until the expiry of a period after her return from childbirth leave</w:t>
      </w:r>
      <w:r w:rsidR="00D37BB1" w:rsidRPr="00D37BB1">
        <w:rPr>
          <w:vertAlign w:val="superscript"/>
          <w:lang w:val="en-US"/>
        </w:rPr>
        <w:footnoteReference w:id="521"/>
      </w:r>
      <w:r w:rsidR="00D37BB1" w:rsidRPr="00D37BB1">
        <w:rPr>
          <w:lang w:val="en-US"/>
        </w:rPr>
        <w:t>. Dismissal is still possible on grounds unrelated to pregnancy and nursing</w:t>
      </w:r>
      <w:r w:rsidR="00D37BB1" w:rsidRPr="00D37BB1">
        <w:rPr>
          <w:vertAlign w:val="superscript"/>
          <w:lang w:val="en-US"/>
        </w:rPr>
        <w:footnoteReference w:id="522"/>
      </w:r>
      <w:r w:rsidR="00D37BB1" w:rsidRPr="00D37BB1">
        <w:rPr>
          <w:lang w:val="en-US"/>
        </w:rPr>
        <w:t>. Accepted exceptions resemble those recognized by the European Committee of Social Rights</w:t>
      </w:r>
      <w:r w:rsidR="00D37BB1" w:rsidRPr="00D37BB1">
        <w:rPr>
          <w:vertAlign w:val="superscript"/>
          <w:lang w:val="en-US"/>
        </w:rPr>
        <w:footnoteReference w:id="523"/>
      </w:r>
      <w:r w:rsidR="00D37BB1" w:rsidRPr="00D37BB1">
        <w:rPr>
          <w:lang w:val="en-US"/>
        </w:rPr>
        <w:t xml:space="preserve">.   </w:t>
      </w:r>
    </w:p>
    <w:p w:rsidR="00D37BB1" w:rsidRPr="00D37BB1" w:rsidRDefault="00D37BB1" w:rsidP="00687D8A">
      <w:pPr>
        <w:spacing w:line="360" w:lineRule="auto"/>
        <w:jc w:val="both"/>
        <w:rPr>
          <w:u w:val="single"/>
          <w:lang w:val="en-US"/>
        </w:rPr>
      </w:pPr>
      <w:r w:rsidRPr="00D37BB1">
        <w:rPr>
          <w:u w:val="single"/>
          <w:lang w:val="en-US"/>
        </w:rPr>
        <w:t>The UN Convention on the Elimination of All Forms of Discrimination against Women</w:t>
      </w:r>
    </w:p>
    <w:p w:rsidR="00D37BB1" w:rsidRPr="00D37BB1" w:rsidRDefault="00CE150A" w:rsidP="00687D8A">
      <w:pPr>
        <w:spacing w:line="360" w:lineRule="auto"/>
        <w:jc w:val="both"/>
        <w:rPr>
          <w:lang w:val="en-US"/>
        </w:rPr>
      </w:pPr>
      <w:r>
        <w:rPr>
          <w:i/>
          <w:lang w:val="en-US"/>
        </w:rPr>
        <w:t>78</w:t>
      </w:r>
      <w:r w:rsidR="001B4F44" w:rsidRPr="001B4F44">
        <w:rPr>
          <w:i/>
          <w:lang w:val="en-US"/>
        </w:rPr>
        <w:t>.</w:t>
      </w:r>
      <w:r w:rsidR="001B4F44">
        <w:rPr>
          <w:lang w:val="en-US"/>
        </w:rPr>
        <w:t xml:space="preserve"> </w:t>
      </w:r>
      <w:r w:rsidR="00D37BB1" w:rsidRPr="00D37BB1">
        <w:rPr>
          <w:lang w:val="en-US"/>
        </w:rPr>
        <w:t>Article 11(2) a) of the Convention on the Elimination of Discrimination against Women forbids dismissal on the grounds of pregnancy and maternity leave. The Committee’s recommendations on pregnancy are rather reserved and g</w:t>
      </w:r>
      <w:r w:rsidR="00082473">
        <w:rPr>
          <w:lang w:val="en-US"/>
        </w:rPr>
        <w:t>eneral (</w:t>
      </w:r>
      <w:r w:rsidR="00082473">
        <w:rPr>
          <w:i/>
          <w:lang w:val="en-US"/>
        </w:rPr>
        <w:t>infra no. 83</w:t>
      </w:r>
      <w:r w:rsidR="00D37BB1" w:rsidRPr="00D37BB1">
        <w:rPr>
          <w:lang w:val="en-US"/>
        </w:rPr>
        <w:t xml:space="preserve">). In a number of </w:t>
      </w:r>
      <w:r w:rsidR="00D37BB1" w:rsidRPr="00D37BB1">
        <w:rPr>
          <w:lang w:val="en-US"/>
        </w:rPr>
        <w:lastRenderedPageBreak/>
        <w:t>concluding observations it just repeats that</w:t>
      </w:r>
      <w:r w:rsidR="00103E8C">
        <w:rPr>
          <w:lang w:val="en-US"/>
        </w:rPr>
        <w:t xml:space="preserve"> a woma</w:t>
      </w:r>
      <w:r w:rsidR="00D37BB1" w:rsidRPr="00D37BB1">
        <w:rPr>
          <w:lang w:val="en-US"/>
        </w:rPr>
        <w:t>n’s dismissal on grounds of pregnancy and childbirth is illegal</w:t>
      </w:r>
      <w:r w:rsidR="00D37BB1" w:rsidRPr="00D37BB1">
        <w:rPr>
          <w:vertAlign w:val="superscript"/>
          <w:lang w:val="en-US"/>
        </w:rPr>
        <w:footnoteReference w:id="524"/>
      </w:r>
      <w:r w:rsidR="00D37BB1" w:rsidRPr="00D37BB1">
        <w:rPr>
          <w:lang w:val="en-US"/>
        </w:rPr>
        <w:t>. Further</w:t>
      </w:r>
      <w:r w:rsidR="00F65C3C">
        <w:rPr>
          <w:lang w:val="en-US"/>
        </w:rPr>
        <w:t>more</w:t>
      </w:r>
      <w:r w:rsidR="00D37BB1" w:rsidRPr="00D37BB1">
        <w:rPr>
          <w:lang w:val="en-US"/>
        </w:rPr>
        <w:t>, it is also remarked</w:t>
      </w:r>
      <w:r w:rsidR="00B21070">
        <w:rPr>
          <w:lang w:val="en-US"/>
        </w:rPr>
        <w:t xml:space="preserve"> upon</w:t>
      </w:r>
      <w:r w:rsidR="00D37BB1" w:rsidRPr="00D37BB1">
        <w:rPr>
          <w:lang w:val="en-US"/>
        </w:rPr>
        <w:t xml:space="preserve"> that pregnancy has a social function and that society cannot tolerate discrimination against expectant mothers</w:t>
      </w:r>
      <w:r w:rsidR="00D37BB1" w:rsidRPr="00D37BB1">
        <w:rPr>
          <w:vertAlign w:val="superscript"/>
          <w:lang w:val="en-US"/>
        </w:rPr>
        <w:footnoteReference w:id="525"/>
      </w:r>
      <w:r w:rsidR="00D37BB1" w:rsidRPr="00D37BB1">
        <w:rPr>
          <w:lang w:val="en-US"/>
        </w:rPr>
        <w:t>. In or</w:t>
      </w:r>
      <w:r w:rsidR="006C16BA">
        <w:rPr>
          <w:lang w:val="en-US"/>
        </w:rPr>
        <w:t xml:space="preserve">der to learn something more scholars </w:t>
      </w:r>
      <w:r w:rsidR="00D37BB1" w:rsidRPr="00D37BB1">
        <w:rPr>
          <w:lang w:val="en-US"/>
        </w:rPr>
        <w:t xml:space="preserve">must rely on the text of the Convention. Dismissal </w:t>
      </w:r>
      <w:r w:rsidR="00D37BB1" w:rsidRPr="00D37BB1">
        <w:rPr>
          <w:i/>
          <w:lang w:val="en-US"/>
        </w:rPr>
        <w:t>on the grounds</w:t>
      </w:r>
      <w:r w:rsidR="00D37BB1" w:rsidRPr="00D37BB1">
        <w:rPr>
          <w:lang w:val="en-US"/>
        </w:rPr>
        <w:t xml:space="preserve"> of pregnancy or maternity leave is prohibited. This may indicate that it is possible, as is the case in the other systems, to lay off  female workers on grounds other than pregnancy. Article 11 remains silent on job applicants. It has nevertheless been argued that the Convention provisions cannot be interpreted</w:t>
      </w:r>
      <w:r w:rsidR="00293A40">
        <w:rPr>
          <w:lang w:val="en-US"/>
        </w:rPr>
        <w:t xml:space="preserve"> narrowly and hence also reject</w:t>
      </w:r>
      <w:r w:rsidR="00D37BB1" w:rsidRPr="00D37BB1">
        <w:rPr>
          <w:lang w:val="en-US"/>
        </w:rPr>
        <w:t xml:space="preserve"> pregnancy discrimination in hiring</w:t>
      </w:r>
      <w:r w:rsidR="00D37BB1" w:rsidRPr="00D37BB1">
        <w:rPr>
          <w:vertAlign w:val="superscript"/>
          <w:lang w:val="en-US"/>
        </w:rPr>
        <w:footnoteReference w:id="526"/>
      </w:r>
      <w:r w:rsidR="00D37BB1" w:rsidRPr="00D37BB1">
        <w:rPr>
          <w:lang w:val="en-US"/>
        </w:rPr>
        <w:t>. The Committee indirectly confirmed this argument by condemning compulsory pregnancy tests as a condition for employment</w:t>
      </w:r>
      <w:r w:rsidR="00D37BB1" w:rsidRPr="00D37BB1">
        <w:rPr>
          <w:vertAlign w:val="superscript"/>
          <w:lang w:val="en-US"/>
        </w:rPr>
        <w:footnoteReference w:id="527"/>
      </w:r>
      <w:r w:rsidR="00D37BB1" w:rsidRPr="00D37BB1">
        <w:rPr>
          <w:lang w:val="en-US"/>
        </w:rPr>
        <w:t>.</w:t>
      </w:r>
    </w:p>
    <w:p w:rsidR="00D37BB1" w:rsidRPr="00D37BB1" w:rsidRDefault="00CE150A" w:rsidP="00687D8A">
      <w:pPr>
        <w:spacing w:line="360" w:lineRule="auto"/>
        <w:jc w:val="both"/>
        <w:rPr>
          <w:lang w:val="en-US"/>
        </w:rPr>
      </w:pPr>
      <w:r>
        <w:rPr>
          <w:i/>
          <w:lang w:val="en-US"/>
        </w:rPr>
        <w:t>79</w:t>
      </w:r>
      <w:r w:rsidR="001B4F44" w:rsidRPr="001B4F44">
        <w:rPr>
          <w:i/>
          <w:lang w:val="en-US"/>
        </w:rPr>
        <w:t>.</w:t>
      </w:r>
      <w:r w:rsidR="001B4F44">
        <w:rPr>
          <w:lang w:val="en-US"/>
        </w:rPr>
        <w:t xml:space="preserve"> </w:t>
      </w:r>
      <w:r w:rsidR="00D37BB1" w:rsidRPr="00D37BB1">
        <w:rPr>
          <w:lang w:val="en-US"/>
        </w:rPr>
        <w:t xml:space="preserve">In conclusion, it may be claimed that similar results are reached in the four legal frameworks. They all ban dismissal based on pregnancy or childbirth leave. Pregnant workers can yet be laid off for other serious reasons. With the potential exception of the Social Charter, pregnancy discrimination is also unacceptable in recruitment.         </w:t>
      </w:r>
    </w:p>
    <w:p w:rsidR="00D37BB1" w:rsidRPr="00D37BB1" w:rsidRDefault="00C11712" w:rsidP="00687D8A">
      <w:pPr>
        <w:spacing w:line="360" w:lineRule="auto"/>
        <w:jc w:val="both"/>
        <w:rPr>
          <w:b/>
          <w:u w:val="single"/>
          <w:lang w:val="en-US"/>
        </w:rPr>
      </w:pPr>
      <w:r>
        <w:rPr>
          <w:lang w:val="en-US"/>
        </w:rPr>
        <w:t>§2. Child-Birth L</w:t>
      </w:r>
      <w:r w:rsidR="00D37BB1" w:rsidRPr="00D37BB1">
        <w:rPr>
          <w:lang w:val="en-US"/>
        </w:rPr>
        <w:t>eave</w:t>
      </w:r>
    </w:p>
    <w:p w:rsidR="00D37BB1" w:rsidRPr="00D37BB1" w:rsidRDefault="00D37BB1" w:rsidP="00687D8A">
      <w:pPr>
        <w:spacing w:line="360" w:lineRule="auto"/>
        <w:jc w:val="both"/>
        <w:rPr>
          <w:u w:val="single"/>
          <w:lang w:val="en-US"/>
        </w:rPr>
      </w:pPr>
      <w:r w:rsidRPr="00D37BB1">
        <w:rPr>
          <w:u w:val="single"/>
          <w:lang w:val="en-US"/>
        </w:rPr>
        <w:t xml:space="preserve">The European Union </w:t>
      </w:r>
    </w:p>
    <w:p w:rsidR="00D37BB1" w:rsidRPr="00D37BB1" w:rsidRDefault="00D7300A" w:rsidP="00687D8A">
      <w:pPr>
        <w:spacing w:line="360" w:lineRule="auto"/>
        <w:jc w:val="both"/>
        <w:rPr>
          <w:lang w:val="en-US"/>
        </w:rPr>
      </w:pPr>
      <w:r>
        <w:rPr>
          <w:i/>
          <w:lang w:val="en-US"/>
        </w:rPr>
        <w:t>80</w:t>
      </w:r>
      <w:r w:rsidR="00F17F3F" w:rsidRPr="00F17F3F">
        <w:rPr>
          <w:i/>
          <w:lang w:val="en-US"/>
        </w:rPr>
        <w:t>.</w:t>
      </w:r>
      <w:r w:rsidR="00F17F3F">
        <w:rPr>
          <w:lang w:val="en-US"/>
        </w:rPr>
        <w:t xml:space="preserve"> </w:t>
      </w:r>
      <w:r w:rsidR="00D37BB1" w:rsidRPr="00D37BB1">
        <w:rPr>
          <w:lang w:val="en-US"/>
        </w:rPr>
        <w:t>The EU pregnancy directive states that pregnant workers or workers who have recently given birth are entitled to 14 weeks of leave</w:t>
      </w:r>
      <w:r w:rsidR="00D37BB1" w:rsidRPr="00D37BB1">
        <w:rPr>
          <w:vertAlign w:val="superscript"/>
          <w:lang w:val="en-US"/>
        </w:rPr>
        <w:footnoteReference w:id="528"/>
      </w:r>
      <w:r w:rsidR="00D37BB1" w:rsidRPr="00D37BB1">
        <w:rPr>
          <w:lang w:val="en-US"/>
        </w:rPr>
        <w:t>. Each worker is obliged to take up at least 2 of these weeks before or after confinement</w:t>
      </w:r>
      <w:r w:rsidR="00D37BB1" w:rsidRPr="00D37BB1">
        <w:rPr>
          <w:vertAlign w:val="superscript"/>
          <w:lang w:val="en-US"/>
        </w:rPr>
        <w:footnoteReference w:id="529"/>
      </w:r>
      <w:r w:rsidR="006E08FE">
        <w:rPr>
          <w:lang w:val="en-US"/>
        </w:rPr>
        <w:t>. Member s</w:t>
      </w:r>
      <w:r w:rsidR="00D37BB1" w:rsidRPr="00D37BB1">
        <w:rPr>
          <w:lang w:val="en-US"/>
        </w:rPr>
        <w:t>tates are required to ensure that the woman worker receives an adequate allowance during her leave</w:t>
      </w:r>
      <w:r w:rsidR="00D37BB1" w:rsidRPr="00D37BB1">
        <w:rPr>
          <w:vertAlign w:val="superscript"/>
          <w:lang w:val="en-US"/>
        </w:rPr>
        <w:footnoteReference w:id="530"/>
      </w:r>
      <w:r w:rsidR="00D37BB1" w:rsidRPr="00D37BB1">
        <w:rPr>
          <w:lang w:val="en-US"/>
        </w:rPr>
        <w:t>. The determination of what an adequate allowance consists o</w:t>
      </w:r>
      <w:r w:rsidR="00BF5AF9">
        <w:rPr>
          <w:lang w:val="en-US"/>
        </w:rPr>
        <w:t xml:space="preserve">f, is left to the national </w:t>
      </w:r>
      <w:r w:rsidR="0067471B">
        <w:rPr>
          <w:lang w:val="en-US"/>
        </w:rPr>
        <w:t>state</w:t>
      </w:r>
      <w:r w:rsidR="00D37BB1" w:rsidRPr="00D37BB1">
        <w:rPr>
          <w:lang w:val="en-US"/>
        </w:rPr>
        <w:t xml:space="preserve"> and consequently consid</w:t>
      </w:r>
      <w:r w:rsidR="00864DB2">
        <w:rPr>
          <w:lang w:val="en-US"/>
        </w:rPr>
        <w:t>erably differs from one member s</w:t>
      </w:r>
      <w:r w:rsidR="00D37BB1" w:rsidRPr="00D37BB1">
        <w:rPr>
          <w:lang w:val="en-US"/>
        </w:rPr>
        <w:t>tate to another</w:t>
      </w:r>
      <w:r w:rsidR="00D37BB1" w:rsidRPr="00D37BB1">
        <w:rPr>
          <w:vertAlign w:val="superscript"/>
          <w:lang w:val="en-US"/>
        </w:rPr>
        <w:footnoteReference w:id="531"/>
      </w:r>
      <w:r w:rsidR="00D37BB1" w:rsidRPr="00D37BB1">
        <w:rPr>
          <w:lang w:val="en-US"/>
        </w:rPr>
        <w:t xml:space="preserve">. According to the European Court of Justice, the directive does not require that an adequate allowance is equivalent to a worker’s previous full </w:t>
      </w:r>
      <w:r w:rsidR="00D37BB1" w:rsidRPr="00D37BB1">
        <w:rPr>
          <w:lang w:val="en-US"/>
        </w:rPr>
        <w:lastRenderedPageBreak/>
        <w:t>salary</w:t>
      </w:r>
      <w:r w:rsidR="00D37BB1" w:rsidRPr="00D37BB1">
        <w:rPr>
          <w:vertAlign w:val="superscript"/>
          <w:lang w:val="en-US"/>
        </w:rPr>
        <w:footnoteReference w:id="532"/>
      </w:r>
      <w:r w:rsidR="00D37BB1" w:rsidRPr="00D37BB1">
        <w:rPr>
          <w:lang w:val="en-US"/>
        </w:rPr>
        <w:t>. It is not defined who is responsible for the payment of the allowance. The EU Charter of Fundamental Rights states that there is a right to paid maternity leave</w:t>
      </w:r>
      <w:r w:rsidR="00D37BB1" w:rsidRPr="00D37BB1">
        <w:rPr>
          <w:vertAlign w:val="superscript"/>
          <w:lang w:val="en-US"/>
        </w:rPr>
        <w:footnoteReference w:id="533"/>
      </w:r>
      <w:r w:rsidR="00D37BB1" w:rsidRPr="00D37BB1">
        <w:rPr>
          <w:lang w:val="en-US"/>
        </w:rPr>
        <w:t>. Scholars’ opinions on the added v</w:t>
      </w:r>
      <w:r w:rsidR="005D4E88">
        <w:rPr>
          <w:lang w:val="en-US"/>
        </w:rPr>
        <w:t>alue of this provision are mixed</w:t>
      </w:r>
      <w:r w:rsidR="00D37BB1" w:rsidRPr="00D37BB1">
        <w:rPr>
          <w:lang w:val="en-US"/>
        </w:rPr>
        <w:t>. Some believe that it merely affirms the entitlement to an adequate allowance</w:t>
      </w:r>
      <w:r w:rsidR="00D37BB1" w:rsidRPr="00D37BB1">
        <w:rPr>
          <w:vertAlign w:val="superscript"/>
          <w:lang w:val="en-US"/>
        </w:rPr>
        <w:footnoteReference w:id="534"/>
      </w:r>
      <w:r w:rsidR="00D37BB1" w:rsidRPr="00D37BB1">
        <w:rPr>
          <w:lang w:val="en-US"/>
        </w:rPr>
        <w:t>. Others argue that the Charter goes further than the pregnancy directive. They interpret ‘the right to paid maternity leave’ as transferring a right to payment of the full salary during the leave</w:t>
      </w:r>
      <w:r w:rsidR="00D37BB1" w:rsidRPr="00D37BB1">
        <w:rPr>
          <w:vertAlign w:val="superscript"/>
          <w:lang w:val="en-US"/>
        </w:rPr>
        <w:footnoteReference w:id="535"/>
      </w:r>
      <w:r w:rsidR="00D37BB1" w:rsidRPr="00D37BB1">
        <w:rPr>
          <w:lang w:val="en-US"/>
        </w:rPr>
        <w:t>. The Charter does not provide additional information on who should bear the costs. In 2008 the European Commission proposed to amend the pregnancy directive. The duration of the leave would be increased to 18 weeks, including 6 compulsory weeks after confinement</w:t>
      </w:r>
      <w:r w:rsidR="00D37BB1" w:rsidRPr="00D37BB1">
        <w:rPr>
          <w:vertAlign w:val="superscript"/>
          <w:lang w:val="en-US"/>
        </w:rPr>
        <w:footnoteReference w:id="536"/>
      </w:r>
      <w:r w:rsidR="00D37BB1" w:rsidRPr="00D37BB1">
        <w:rPr>
          <w:lang w:val="en-US"/>
        </w:rPr>
        <w:t>. Other suggested novelties were a childbirth benefit equivalent to the worker’s prior full monthly salary and a compulsory paternity leave of 2 weeks</w:t>
      </w:r>
      <w:r w:rsidR="00D37BB1" w:rsidRPr="00D37BB1">
        <w:rPr>
          <w:vertAlign w:val="superscript"/>
          <w:lang w:val="en-US"/>
        </w:rPr>
        <w:footnoteReference w:id="537"/>
      </w:r>
      <w:r w:rsidR="00D37BB1" w:rsidRPr="00D37BB1">
        <w:rPr>
          <w:lang w:val="en-US"/>
        </w:rPr>
        <w:t>. During its first reading, the European Parliament again raised the leave from 18 to 20 weeks. The 2 weeks compulsory paternity leave were unfortunately not retained</w:t>
      </w:r>
      <w:r w:rsidR="00D37BB1" w:rsidRPr="00D37BB1">
        <w:rPr>
          <w:vertAlign w:val="superscript"/>
          <w:lang w:val="en-US"/>
        </w:rPr>
        <w:footnoteReference w:id="538"/>
      </w:r>
      <w:r w:rsidR="00D37BB1" w:rsidRPr="00D37BB1">
        <w:rPr>
          <w:lang w:val="en-US"/>
        </w:rPr>
        <w:t>. To the present day, the new version of the directive has not been adopted due to disagreement in the Council of Ministers</w:t>
      </w:r>
      <w:r w:rsidR="00D37BB1" w:rsidRPr="00D37BB1">
        <w:rPr>
          <w:vertAlign w:val="superscript"/>
          <w:lang w:val="en-US"/>
        </w:rPr>
        <w:footnoteReference w:id="539"/>
      </w:r>
      <w:r w:rsidR="00D37BB1" w:rsidRPr="00D37BB1">
        <w:rPr>
          <w:lang w:val="en-US"/>
        </w:rPr>
        <w:t xml:space="preserve">.   </w:t>
      </w:r>
    </w:p>
    <w:p w:rsidR="00D37BB1" w:rsidRPr="00D37BB1" w:rsidRDefault="00D37BB1" w:rsidP="00687D8A">
      <w:pPr>
        <w:spacing w:line="360" w:lineRule="auto"/>
        <w:jc w:val="both"/>
        <w:rPr>
          <w:u w:val="single"/>
          <w:lang w:val="en-US"/>
        </w:rPr>
      </w:pPr>
      <w:r w:rsidRPr="00D37BB1">
        <w:rPr>
          <w:u w:val="single"/>
          <w:lang w:val="en-US"/>
        </w:rPr>
        <w:t xml:space="preserve">The </w:t>
      </w:r>
      <w:r w:rsidR="005A2D10">
        <w:rPr>
          <w:u w:val="single"/>
          <w:lang w:val="en-US"/>
        </w:rPr>
        <w:t xml:space="preserve">Revised </w:t>
      </w:r>
      <w:r w:rsidRPr="00D37BB1">
        <w:rPr>
          <w:u w:val="single"/>
          <w:lang w:val="en-US"/>
        </w:rPr>
        <w:t>European Social Charter</w:t>
      </w:r>
    </w:p>
    <w:p w:rsidR="00D37BB1" w:rsidRPr="00D37BB1" w:rsidRDefault="006F51F1" w:rsidP="00687D8A">
      <w:pPr>
        <w:spacing w:line="360" w:lineRule="auto"/>
        <w:jc w:val="both"/>
        <w:rPr>
          <w:lang w:val="en-US"/>
        </w:rPr>
      </w:pPr>
      <w:r>
        <w:rPr>
          <w:i/>
          <w:lang w:val="en-US"/>
        </w:rPr>
        <w:t>81</w:t>
      </w:r>
      <w:r w:rsidR="00F17F3F" w:rsidRPr="00F17F3F">
        <w:rPr>
          <w:i/>
          <w:lang w:val="en-US"/>
        </w:rPr>
        <w:t>.</w:t>
      </w:r>
      <w:r w:rsidR="00F17F3F">
        <w:rPr>
          <w:lang w:val="en-US"/>
        </w:rPr>
        <w:t xml:space="preserve"> </w:t>
      </w:r>
      <w:r w:rsidR="00D37BB1" w:rsidRPr="00D37BB1">
        <w:rPr>
          <w:lang w:val="en-US"/>
        </w:rPr>
        <w:t>Inspired by the pregnancy directive, the Revised European Social Charter also provides for a maternity leave of at least 14 weeks</w:t>
      </w:r>
      <w:r w:rsidR="00D37BB1" w:rsidRPr="00D37BB1">
        <w:rPr>
          <w:vertAlign w:val="superscript"/>
          <w:lang w:val="en-US"/>
        </w:rPr>
        <w:footnoteReference w:id="540"/>
      </w:r>
      <w:r w:rsidR="00D37BB1" w:rsidRPr="00D37BB1">
        <w:rPr>
          <w:lang w:val="en-US"/>
        </w:rPr>
        <w:t>. In line with the early ILO instruments</w:t>
      </w:r>
      <w:r w:rsidR="00D37BB1" w:rsidRPr="00D37BB1">
        <w:rPr>
          <w:vertAlign w:val="superscript"/>
          <w:lang w:val="en-US"/>
        </w:rPr>
        <w:footnoteReference w:id="541"/>
      </w:r>
      <w:r w:rsidR="00D37BB1" w:rsidRPr="00D37BB1">
        <w:rPr>
          <w:lang w:val="en-US"/>
        </w:rPr>
        <w:t>, the European Committee of Social Rights determined that there</w:t>
      </w:r>
      <w:r w:rsidR="00E36EAC">
        <w:rPr>
          <w:lang w:val="en-US"/>
        </w:rPr>
        <w:t xml:space="preserve"> must, in principle, </w:t>
      </w:r>
      <w:r w:rsidR="00D37BB1" w:rsidRPr="00D37BB1">
        <w:rPr>
          <w:lang w:val="en-US"/>
        </w:rPr>
        <w:t>be a compulsory period of postnatal leave of no less than 6 weeks</w:t>
      </w:r>
      <w:r w:rsidR="00D37BB1" w:rsidRPr="00D37BB1">
        <w:rPr>
          <w:vertAlign w:val="superscript"/>
          <w:lang w:val="en-US"/>
        </w:rPr>
        <w:footnoteReference w:id="542"/>
      </w:r>
      <w:r w:rsidR="00D37BB1" w:rsidRPr="00D37BB1">
        <w:rPr>
          <w:lang w:val="en-US"/>
        </w:rPr>
        <w:t xml:space="preserve"> (</w:t>
      </w:r>
      <w:r w:rsidR="007C5E4A">
        <w:rPr>
          <w:i/>
          <w:lang w:val="en-US"/>
        </w:rPr>
        <w:t>infra no. 82</w:t>
      </w:r>
      <w:r w:rsidR="007C5E4A">
        <w:rPr>
          <w:lang w:val="en-US"/>
        </w:rPr>
        <w:t>)</w:t>
      </w:r>
      <w:r w:rsidR="00D37BB1" w:rsidRPr="00D37BB1">
        <w:rPr>
          <w:i/>
          <w:lang w:val="en-US"/>
        </w:rPr>
        <w:t>.</w:t>
      </w:r>
      <w:r w:rsidR="00D37BB1" w:rsidRPr="00D37BB1">
        <w:rPr>
          <w:lang w:val="en-US"/>
        </w:rPr>
        <w:t xml:space="preserve"> Guidance on </w:t>
      </w:r>
      <w:r w:rsidR="00D37BB1" w:rsidRPr="00D37BB1">
        <w:rPr>
          <w:lang w:val="en-US"/>
        </w:rPr>
        <w:lastRenderedPageBreak/>
        <w:t>the amount of the allowance and the method of payment is more detailed than under the pregnancy directive. State</w:t>
      </w:r>
      <w:r w:rsidR="00192C47">
        <w:rPr>
          <w:lang w:val="en-US"/>
        </w:rPr>
        <w:t>s</w:t>
      </w:r>
      <w:r w:rsidR="00D37BB1" w:rsidRPr="00D37BB1">
        <w:rPr>
          <w:lang w:val="en-US"/>
        </w:rPr>
        <w:t xml:space="preserve"> parties may hold employers liable for payment of the allowance</w:t>
      </w:r>
      <w:r w:rsidR="00D37BB1" w:rsidRPr="00D37BB1">
        <w:rPr>
          <w:vertAlign w:val="superscript"/>
          <w:lang w:val="en-US"/>
        </w:rPr>
        <w:footnoteReference w:id="543"/>
      </w:r>
      <w:r w:rsidR="00D37BB1" w:rsidRPr="00D37BB1">
        <w:rPr>
          <w:lang w:val="en-US"/>
        </w:rPr>
        <w:t>. They can also finance the leave by social security benefits or taxpayer money</w:t>
      </w:r>
      <w:r w:rsidR="00D37BB1" w:rsidRPr="00D37BB1">
        <w:rPr>
          <w:vertAlign w:val="superscript"/>
          <w:lang w:val="en-US"/>
        </w:rPr>
        <w:footnoteReference w:id="544"/>
      </w:r>
      <w:r w:rsidR="00D37BB1" w:rsidRPr="00D37BB1">
        <w:rPr>
          <w:lang w:val="en-US"/>
        </w:rPr>
        <w:t>. Benefits are preferably equal to the salary of the woman worker</w:t>
      </w:r>
      <w:r w:rsidR="00D37BB1" w:rsidRPr="00D37BB1">
        <w:rPr>
          <w:vertAlign w:val="superscript"/>
          <w:lang w:val="en-US"/>
        </w:rPr>
        <w:footnoteReference w:id="545"/>
      </w:r>
      <w:r w:rsidR="00D37BB1" w:rsidRPr="00D37BB1">
        <w:rPr>
          <w:lang w:val="en-US"/>
        </w:rPr>
        <w:t>. States that do not guarantee continued payment of the full salary, should provide a benefit of at least 70% of the latter</w:t>
      </w:r>
      <w:r w:rsidR="00D37BB1" w:rsidRPr="00D37BB1">
        <w:rPr>
          <w:vertAlign w:val="superscript"/>
          <w:lang w:val="en-US"/>
        </w:rPr>
        <w:footnoteReference w:id="546"/>
      </w:r>
      <w:r w:rsidR="00D37BB1" w:rsidRPr="00D37BB1">
        <w:rPr>
          <w:lang w:val="en-US"/>
        </w:rPr>
        <w:t>. A situation where women workers only received half of the average salary while on leave, has been found to be incompatible with the Charter provisions</w:t>
      </w:r>
      <w:r w:rsidR="00D37BB1" w:rsidRPr="00D37BB1">
        <w:rPr>
          <w:vertAlign w:val="superscript"/>
          <w:lang w:val="en-US"/>
        </w:rPr>
        <w:footnoteReference w:id="547"/>
      </w:r>
      <w:r w:rsidR="00D37BB1" w:rsidRPr="00D37BB1">
        <w:rPr>
          <w:lang w:val="en-US"/>
        </w:rPr>
        <w:t xml:space="preserve">. </w:t>
      </w:r>
    </w:p>
    <w:p w:rsidR="00D37BB1" w:rsidRPr="00D37BB1" w:rsidRDefault="00D37BB1" w:rsidP="00687D8A">
      <w:pPr>
        <w:spacing w:line="360" w:lineRule="auto"/>
        <w:jc w:val="both"/>
        <w:rPr>
          <w:u w:val="single"/>
          <w:lang w:val="en-US"/>
        </w:rPr>
      </w:pPr>
      <w:r w:rsidRPr="00D37BB1">
        <w:rPr>
          <w:u w:val="single"/>
          <w:lang w:val="en-US"/>
        </w:rPr>
        <w:t xml:space="preserve">The International </w:t>
      </w:r>
      <w:proofErr w:type="spellStart"/>
      <w:r w:rsidRPr="00D37BB1">
        <w:rPr>
          <w:u w:val="single"/>
          <w:lang w:val="en-US"/>
        </w:rPr>
        <w:t>Labour</w:t>
      </w:r>
      <w:proofErr w:type="spellEnd"/>
      <w:r w:rsidRPr="00D37BB1">
        <w:rPr>
          <w:u w:val="single"/>
          <w:lang w:val="en-US"/>
        </w:rPr>
        <w:t xml:space="preserve"> Organization </w:t>
      </w:r>
    </w:p>
    <w:p w:rsidR="00D37BB1" w:rsidRPr="00D37BB1" w:rsidRDefault="006F51F1" w:rsidP="00687D8A">
      <w:pPr>
        <w:spacing w:line="360" w:lineRule="auto"/>
        <w:jc w:val="both"/>
        <w:rPr>
          <w:lang w:val="en-US"/>
        </w:rPr>
      </w:pPr>
      <w:r>
        <w:rPr>
          <w:i/>
          <w:lang w:val="en-US"/>
        </w:rPr>
        <w:t>82</w:t>
      </w:r>
      <w:r w:rsidR="00146658" w:rsidRPr="00146658">
        <w:rPr>
          <w:i/>
          <w:lang w:val="en-US"/>
        </w:rPr>
        <w:t>.</w:t>
      </w:r>
      <w:r w:rsidR="00146658">
        <w:rPr>
          <w:lang w:val="en-US"/>
        </w:rPr>
        <w:t xml:space="preserve"> </w:t>
      </w:r>
      <w:r w:rsidR="00D37BB1" w:rsidRPr="00D37BB1">
        <w:rPr>
          <w:lang w:val="en-US"/>
        </w:rPr>
        <w:t>The fairly recent ILO Convention 183 on maternity protection likewise prescribes a period of leave of at least 14 weeks</w:t>
      </w:r>
      <w:r w:rsidR="00D37BB1" w:rsidRPr="00D37BB1">
        <w:rPr>
          <w:vertAlign w:val="superscript"/>
          <w:lang w:val="en-US"/>
        </w:rPr>
        <w:footnoteReference w:id="548"/>
      </w:r>
      <w:r w:rsidR="00D37BB1" w:rsidRPr="00D37BB1">
        <w:rPr>
          <w:lang w:val="en-US"/>
        </w:rPr>
        <w:t>, including 6 weeks</w:t>
      </w:r>
      <w:r w:rsidR="00C35B7A">
        <w:rPr>
          <w:lang w:val="en-US"/>
        </w:rPr>
        <w:t xml:space="preserve"> of</w:t>
      </w:r>
      <w:r w:rsidR="00D37BB1" w:rsidRPr="00D37BB1">
        <w:rPr>
          <w:lang w:val="en-US"/>
        </w:rPr>
        <w:t xml:space="preserve"> compulsory leave after confinement</w:t>
      </w:r>
      <w:r w:rsidR="00D37BB1" w:rsidRPr="00D37BB1">
        <w:rPr>
          <w:vertAlign w:val="superscript"/>
          <w:lang w:val="en-US"/>
        </w:rPr>
        <w:footnoteReference w:id="549"/>
      </w:r>
      <w:r w:rsidR="00D37BB1" w:rsidRPr="00D37BB1">
        <w:rPr>
          <w:lang w:val="en-US"/>
        </w:rPr>
        <w:t xml:space="preserve">. The amount of the childbirth benefit must correspond to two-thirds of a woman’s previous earnings </w:t>
      </w:r>
      <w:r w:rsidR="00D37BB1" w:rsidRPr="00D37BB1">
        <w:rPr>
          <w:vertAlign w:val="superscript"/>
          <w:lang w:val="en-US"/>
        </w:rPr>
        <w:footnoteReference w:id="550"/>
      </w:r>
      <w:r w:rsidR="00D37BB1" w:rsidRPr="00D37BB1">
        <w:rPr>
          <w:lang w:val="en-US"/>
        </w:rPr>
        <w:t>, thus approximately the same as under the Social Charter. The ILO Convention distinguishes itself from the pregnancy directive and the Social Charter, as regards the manner of financing of the allowance. Clear preference is given to provision of the benefits by the social security system or taxpayer money. Employers can only exceptionally be required to disburse maternity benefits</w:t>
      </w:r>
      <w:r w:rsidR="00D37BB1" w:rsidRPr="00D37BB1">
        <w:rPr>
          <w:vertAlign w:val="superscript"/>
          <w:lang w:val="en-US"/>
        </w:rPr>
        <w:footnoteReference w:id="551"/>
      </w:r>
      <w:r w:rsidR="00D37BB1" w:rsidRPr="00D37BB1">
        <w:rPr>
          <w:lang w:val="en-US"/>
        </w:rPr>
        <w:t>. The corresponding Recommendation even raises the period of leave and the amount of benefits to respectively 18 weeks</w:t>
      </w:r>
      <w:r w:rsidR="00D37BB1" w:rsidRPr="00D37BB1">
        <w:rPr>
          <w:vertAlign w:val="superscript"/>
          <w:lang w:val="en-US"/>
        </w:rPr>
        <w:footnoteReference w:id="552"/>
      </w:r>
      <w:r w:rsidR="00D37BB1" w:rsidRPr="00D37BB1">
        <w:rPr>
          <w:lang w:val="en-US"/>
        </w:rPr>
        <w:t xml:space="preserve"> and the full amount of a woman’s previous earnings</w:t>
      </w:r>
      <w:r w:rsidR="00D37BB1" w:rsidRPr="00D37BB1">
        <w:rPr>
          <w:vertAlign w:val="superscript"/>
          <w:lang w:val="en-US"/>
        </w:rPr>
        <w:footnoteReference w:id="553"/>
      </w:r>
      <w:r w:rsidR="00D37BB1" w:rsidRPr="00D37BB1">
        <w:rPr>
          <w:lang w:val="en-US"/>
        </w:rPr>
        <w:t xml:space="preserve">.   </w:t>
      </w:r>
    </w:p>
    <w:p w:rsidR="00D37BB1" w:rsidRPr="00D37BB1" w:rsidRDefault="00D37BB1" w:rsidP="00687D8A">
      <w:pPr>
        <w:spacing w:line="360" w:lineRule="auto"/>
        <w:jc w:val="both"/>
        <w:rPr>
          <w:u w:val="single"/>
          <w:lang w:val="en-US"/>
        </w:rPr>
      </w:pPr>
      <w:r w:rsidRPr="00D37BB1">
        <w:rPr>
          <w:u w:val="single"/>
          <w:lang w:val="en-US"/>
        </w:rPr>
        <w:t>The UN Convention on the Elimination of All Forms of Discrimination against Women</w:t>
      </w:r>
    </w:p>
    <w:p w:rsidR="00D37BB1" w:rsidRPr="00D37BB1" w:rsidRDefault="00BE3266" w:rsidP="00687D8A">
      <w:pPr>
        <w:spacing w:line="360" w:lineRule="auto"/>
        <w:jc w:val="both"/>
        <w:rPr>
          <w:lang w:val="en-US"/>
        </w:rPr>
      </w:pPr>
      <w:r>
        <w:rPr>
          <w:i/>
          <w:lang w:val="en-US"/>
        </w:rPr>
        <w:t>83</w:t>
      </w:r>
      <w:r w:rsidR="0000058B" w:rsidRPr="0000058B">
        <w:rPr>
          <w:i/>
          <w:lang w:val="en-US"/>
        </w:rPr>
        <w:t>.</w:t>
      </w:r>
      <w:r w:rsidR="0000058B">
        <w:rPr>
          <w:lang w:val="en-US"/>
        </w:rPr>
        <w:t xml:space="preserve"> </w:t>
      </w:r>
      <w:r w:rsidR="00D37BB1" w:rsidRPr="00D37BB1">
        <w:rPr>
          <w:lang w:val="en-US"/>
        </w:rPr>
        <w:t>The relevant provision in the Convention on the Elimination of Discrimination against Women is of a brief and general nature</w:t>
      </w:r>
      <w:r w:rsidR="00D37BB1" w:rsidRPr="00D37BB1">
        <w:rPr>
          <w:vertAlign w:val="superscript"/>
          <w:lang w:val="en-US"/>
        </w:rPr>
        <w:footnoteReference w:id="554"/>
      </w:r>
      <w:r w:rsidR="00D37BB1" w:rsidRPr="00D37BB1">
        <w:rPr>
          <w:lang w:val="en-US"/>
        </w:rPr>
        <w:t>. It does not</w:t>
      </w:r>
      <w:r w:rsidR="00F60DE4">
        <w:rPr>
          <w:lang w:val="en-US"/>
        </w:rPr>
        <w:t xml:space="preserve"> stipulate</w:t>
      </w:r>
      <w:r w:rsidR="00D37BB1" w:rsidRPr="00D37BB1">
        <w:rPr>
          <w:lang w:val="en-US"/>
        </w:rPr>
        <w:t xml:space="preserve"> the duration of the leave. The UN Committee on the Elimination of Discrimination against Women clarified that there must be a period of mandatory leave but failed to state</w:t>
      </w:r>
      <w:r w:rsidR="00DE6155">
        <w:rPr>
          <w:lang w:val="en-US"/>
        </w:rPr>
        <w:t xml:space="preserve"> for</w:t>
      </w:r>
      <w:r w:rsidR="00D37BB1" w:rsidRPr="00D37BB1">
        <w:rPr>
          <w:lang w:val="en-US"/>
        </w:rPr>
        <w:t xml:space="preserve"> how long</w:t>
      </w:r>
      <w:r w:rsidR="00D37BB1" w:rsidRPr="00D37BB1">
        <w:rPr>
          <w:vertAlign w:val="superscript"/>
          <w:lang w:val="en-US"/>
        </w:rPr>
        <w:footnoteReference w:id="555"/>
      </w:r>
      <w:r w:rsidR="00D37BB1" w:rsidRPr="00D37BB1">
        <w:rPr>
          <w:lang w:val="en-US"/>
        </w:rPr>
        <w:t xml:space="preserve">. Since ratification of the </w:t>
      </w:r>
      <w:r w:rsidR="00D37BB1" w:rsidRPr="00D37BB1">
        <w:rPr>
          <w:lang w:val="en-US"/>
        </w:rPr>
        <w:lastRenderedPageBreak/>
        <w:t>ILO maternity protection Conventions is encouraged</w:t>
      </w:r>
      <w:r w:rsidR="00D37BB1" w:rsidRPr="00D37BB1">
        <w:rPr>
          <w:vertAlign w:val="superscript"/>
          <w:lang w:val="en-US"/>
        </w:rPr>
        <w:footnoteReference w:id="556"/>
      </w:r>
      <w:r w:rsidR="00D37BB1" w:rsidRPr="00D37BB1">
        <w:rPr>
          <w:lang w:val="en-US"/>
        </w:rPr>
        <w:t>, it may be argued that the period of mandatory leave is six weeks. The mere introduction of a period of leave is insufficient</w:t>
      </w:r>
      <w:r w:rsidR="00D37BB1" w:rsidRPr="00D37BB1">
        <w:rPr>
          <w:vertAlign w:val="superscript"/>
          <w:lang w:val="en-US"/>
        </w:rPr>
        <w:footnoteReference w:id="557"/>
      </w:r>
      <w:r w:rsidR="00D37BB1" w:rsidRPr="00D37BB1">
        <w:rPr>
          <w:lang w:val="en-US"/>
        </w:rPr>
        <w:t xml:space="preserve">. It must be maternity leave </w:t>
      </w:r>
      <w:r w:rsidR="00D37BB1" w:rsidRPr="00D37BB1">
        <w:rPr>
          <w:i/>
          <w:lang w:val="en-US"/>
        </w:rPr>
        <w:t>with pay</w:t>
      </w:r>
      <w:r w:rsidR="00D37BB1" w:rsidRPr="00D37BB1">
        <w:rPr>
          <w:lang w:val="en-US"/>
        </w:rPr>
        <w:t xml:space="preserve"> or with comparable social benefits</w:t>
      </w:r>
      <w:r w:rsidR="00D37BB1" w:rsidRPr="00D37BB1">
        <w:rPr>
          <w:vertAlign w:val="superscript"/>
          <w:lang w:val="en-US"/>
        </w:rPr>
        <w:footnoteReference w:id="558"/>
      </w:r>
      <w:r w:rsidR="00D37BB1" w:rsidRPr="00D37BB1">
        <w:rPr>
          <w:lang w:val="en-US"/>
        </w:rPr>
        <w:t>. A textual reading of the latter provision implies that the compensation awarded during the leave must amount to 100% of the previous income</w:t>
      </w:r>
      <w:r w:rsidR="00D37BB1" w:rsidRPr="00D37BB1">
        <w:rPr>
          <w:vertAlign w:val="superscript"/>
          <w:lang w:val="en-US"/>
        </w:rPr>
        <w:footnoteReference w:id="559"/>
      </w:r>
      <w:r w:rsidR="00D37BB1" w:rsidRPr="00D37BB1">
        <w:rPr>
          <w:lang w:val="en-US"/>
        </w:rPr>
        <w:t>. The Committee seemed to endorse such a reading when it expressed its concern about the reduction of pay during childbirth leave</w:t>
      </w:r>
      <w:r w:rsidR="00D37BB1" w:rsidRPr="00D37BB1">
        <w:rPr>
          <w:vertAlign w:val="superscript"/>
          <w:lang w:val="en-US"/>
        </w:rPr>
        <w:footnoteReference w:id="560"/>
      </w:r>
      <w:r w:rsidR="00D37BB1" w:rsidRPr="00D37BB1">
        <w:rPr>
          <w:lang w:val="en-US"/>
        </w:rPr>
        <w:t>. Echoing the ILO, the Committee has also expressed a preference for allocation of the benefits through social security schemes instead of employer payments</w:t>
      </w:r>
      <w:r w:rsidR="00D37BB1" w:rsidRPr="00D37BB1">
        <w:rPr>
          <w:vertAlign w:val="superscript"/>
          <w:lang w:val="en-US"/>
        </w:rPr>
        <w:footnoteReference w:id="561"/>
      </w:r>
      <w:r w:rsidR="00D37BB1" w:rsidRPr="00D37BB1">
        <w:rPr>
          <w:lang w:val="en-US"/>
        </w:rPr>
        <w:t xml:space="preserve">. </w:t>
      </w:r>
    </w:p>
    <w:p w:rsidR="00D37BB1" w:rsidRPr="00D37BB1" w:rsidRDefault="002D4048" w:rsidP="00687D8A">
      <w:pPr>
        <w:spacing w:line="360" w:lineRule="auto"/>
        <w:jc w:val="both"/>
        <w:rPr>
          <w:u w:val="single"/>
          <w:lang w:val="en-US"/>
        </w:rPr>
      </w:pPr>
      <w:r>
        <w:rPr>
          <w:u w:val="single"/>
          <w:lang w:val="en-US"/>
        </w:rPr>
        <w:t>Additional O</w:t>
      </w:r>
      <w:r w:rsidR="00D37BB1" w:rsidRPr="00D37BB1">
        <w:rPr>
          <w:u w:val="single"/>
          <w:lang w:val="en-US"/>
        </w:rPr>
        <w:t xml:space="preserve">bservations </w:t>
      </w:r>
    </w:p>
    <w:p w:rsidR="00D37BB1" w:rsidRPr="00D37BB1" w:rsidRDefault="00BE3266" w:rsidP="00687D8A">
      <w:pPr>
        <w:spacing w:line="360" w:lineRule="auto"/>
        <w:jc w:val="both"/>
        <w:rPr>
          <w:lang w:val="en-US"/>
        </w:rPr>
      </w:pPr>
      <w:r>
        <w:rPr>
          <w:i/>
          <w:lang w:val="en-US"/>
        </w:rPr>
        <w:t>84</w:t>
      </w:r>
      <w:r w:rsidR="0052587E" w:rsidRPr="0052587E">
        <w:rPr>
          <w:i/>
          <w:lang w:val="en-US"/>
        </w:rPr>
        <w:t>.</w:t>
      </w:r>
      <w:r w:rsidR="0052587E">
        <w:rPr>
          <w:lang w:val="en-US"/>
        </w:rPr>
        <w:t xml:space="preserve"> </w:t>
      </w:r>
      <w:r w:rsidR="00D37BB1" w:rsidRPr="00D37BB1">
        <w:rPr>
          <w:lang w:val="en-US"/>
        </w:rPr>
        <w:t>The above-described provisions demand some additional observations. To begin</w:t>
      </w:r>
      <w:r w:rsidR="00C656C9">
        <w:rPr>
          <w:lang w:val="en-US"/>
        </w:rPr>
        <w:t xml:space="preserve"> with</w:t>
      </w:r>
      <w:r w:rsidR="00D37BB1" w:rsidRPr="00D37BB1">
        <w:rPr>
          <w:lang w:val="en-US"/>
        </w:rPr>
        <w:t>, a terminology related observation is in order. All four of the legal instruments referred to employ the term ‘maternity’ leave. In the doctrine, the use of this term has been criticized</w:t>
      </w:r>
      <w:r w:rsidR="00D37BB1" w:rsidRPr="00D37BB1">
        <w:rPr>
          <w:vertAlign w:val="superscript"/>
          <w:lang w:val="en-US"/>
        </w:rPr>
        <w:footnoteReference w:id="562"/>
      </w:r>
      <w:r w:rsidR="00D37BB1" w:rsidRPr="00D37BB1">
        <w:rPr>
          <w:lang w:val="en-US"/>
        </w:rPr>
        <w:t>. ‘Maternity’ is a synonym for ‘motherhood’. The latter term goes far beyond indicating the actual reason for granting women a period of absence from work after</w:t>
      </w:r>
      <w:r w:rsidR="00387C62">
        <w:rPr>
          <w:lang w:val="en-US"/>
        </w:rPr>
        <w:t xml:space="preserve"> delivery. The leave under consideration</w:t>
      </w:r>
      <w:r w:rsidR="00D37BB1" w:rsidRPr="00D37BB1">
        <w:rPr>
          <w:lang w:val="en-US"/>
        </w:rPr>
        <w:t xml:space="preserve"> is granted for biological reasons. It wants to guarantee that women get the chance to physically recover from being pregnant and giving birth. The term ‘childbirth’ leave is hence preferred over ‘maternity’ leave. ‘Childbirth’ leave is clearly distinct from ‘child-care’ leave and therefore does not validate the stereotype of women as child-</w:t>
      </w:r>
      <w:proofErr w:type="spellStart"/>
      <w:r w:rsidR="00D37BB1" w:rsidRPr="00D37BB1">
        <w:rPr>
          <w:lang w:val="en-US"/>
        </w:rPr>
        <w:t>rearers</w:t>
      </w:r>
      <w:proofErr w:type="spellEnd"/>
      <w:r w:rsidR="00D37BB1" w:rsidRPr="00D37BB1">
        <w:rPr>
          <w:vertAlign w:val="superscript"/>
          <w:lang w:val="en-US"/>
        </w:rPr>
        <w:footnoteReference w:id="563"/>
      </w:r>
      <w:r w:rsidR="004300AD">
        <w:rPr>
          <w:lang w:val="en-US"/>
        </w:rPr>
        <w:t xml:space="preserve">. With this criticism </w:t>
      </w:r>
      <w:r w:rsidR="00D37BB1" w:rsidRPr="00D37BB1">
        <w:rPr>
          <w:lang w:val="en-US"/>
        </w:rPr>
        <w:t xml:space="preserve">in mind, one needs to turn to some cases pronounced by the European Court of Justice. When confronted with an indignant father claiming an allowance under the equal treatment directive, the Court legitimized a woman’s leave after giving birth for two reasons: firstly, in order to ensure the protection of her biological condition, secondly, in order to </w:t>
      </w:r>
      <w:r w:rsidR="00D37BB1" w:rsidRPr="00D37BB1">
        <w:rPr>
          <w:lang w:val="en-US"/>
        </w:rPr>
        <w:lastRenderedPageBreak/>
        <w:t>protect the special relationship between her and her child</w:t>
      </w:r>
      <w:r w:rsidR="00D37BB1" w:rsidRPr="00D37BB1">
        <w:rPr>
          <w:vertAlign w:val="superscript"/>
          <w:lang w:val="en-US"/>
        </w:rPr>
        <w:footnoteReference w:id="564"/>
      </w:r>
      <w:r w:rsidR="00D37BB1" w:rsidRPr="00D37BB1">
        <w:rPr>
          <w:lang w:val="en-US"/>
        </w:rPr>
        <w:t>. This second argument is challenged by a considerable number of female academics as a reinforcement of the stereotype of women as the self-evident child-</w:t>
      </w:r>
      <w:proofErr w:type="spellStart"/>
      <w:r w:rsidR="00D37BB1" w:rsidRPr="00D37BB1">
        <w:rPr>
          <w:lang w:val="en-US"/>
        </w:rPr>
        <w:t>rearers</w:t>
      </w:r>
      <w:proofErr w:type="spellEnd"/>
      <w:r w:rsidR="00D37BB1" w:rsidRPr="00D37BB1">
        <w:rPr>
          <w:vertAlign w:val="superscript"/>
          <w:lang w:val="en-US"/>
        </w:rPr>
        <w:footnoteReference w:id="565"/>
      </w:r>
      <w:r w:rsidR="00D37BB1" w:rsidRPr="00D37BB1">
        <w:rPr>
          <w:lang w:val="en-US"/>
        </w:rPr>
        <w:t>. The Court is also accused of mixing up the concepts ‘pregnancy’, ‘maternity’ and ‘motherhood’</w:t>
      </w:r>
      <w:r w:rsidR="00D37BB1" w:rsidRPr="00D37BB1">
        <w:rPr>
          <w:vertAlign w:val="superscript"/>
          <w:lang w:val="en-US"/>
        </w:rPr>
        <w:footnoteReference w:id="566"/>
      </w:r>
      <w:r w:rsidR="00D37BB1" w:rsidRPr="00D37BB1">
        <w:rPr>
          <w:lang w:val="en-US"/>
        </w:rPr>
        <w:t xml:space="preserve">.            </w:t>
      </w:r>
    </w:p>
    <w:p w:rsidR="00D37BB1" w:rsidRPr="00D37BB1" w:rsidRDefault="00BE3266" w:rsidP="00687D8A">
      <w:pPr>
        <w:spacing w:line="360" w:lineRule="auto"/>
        <w:jc w:val="both"/>
        <w:rPr>
          <w:lang w:val="en-US"/>
        </w:rPr>
      </w:pPr>
      <w:r>
        <w:rPr>
          <w:i/>
          <w:lang w:val="en-US"/>
        </w:rPr>
        <w:t>85</w:t>
      </w:r>
      <w:r w:rsidR="00F813EF" w:rsidRPr="00F813EF">
        <w:rPr>
          <w:i/>
          <w:lang w:val="en-US"/>
        </w:rPr>
        <w:t>.</w:t>
      </w:r>
      <w:r w:rsidR="00F813EF">
        <w:rPr>
          <w:lang w:val="en-US"/>
        </w:rPr>
        <w:t xml:space="preserve"> </w:t>
      </w:r>
      <w:r w:rsidR="00D37BB1" w:rsidRPr="00D37BB1">
        <w:rPr>
          <w:lang w:val="en-US"/>
        </w:rPr>
        <w:t>In general, childbirth leave and the accompanying financial compensation are characterized as protective measures. A careful balancing exercise must precede the adoption of such measures</w:t>
      </w:r>
      <w:r w:rsidR="00D37BB1" w:rsidRPr="00D37BB1">
        <w:rPr>
          <w:vertAlign w:val="superscript"/>
          <w:lang w:val="en-US"/>
        </w:rPr>
        <w:footnoteReference w:id="567"/>
      </w:r>
      <w:r w:rsidR="00D37BB1" w:rsidRPr="00D37BB1">
        <w:rPr>
          <w:lang w:val="en-US"/>
        </w:rPr>
        <w:t xml:space="preserve">. A total lack of protective measures arguably does not contribute to </w:t>
      </w:r>
      <w:r w:rsidR="009F72F2">
        <w:rPr>
          <w:lang w:val="en-US"/>
        </w:rPr>
        <w:t xml:space="preserve">a better </w:t>
      </w:r>
      <w:r w:rsidR="00D37BB1" w:rsidRPr="00D37BB1">
        <w:rPr>
          <w:lang w:val="en-US"/>
        </w:rPr>
        <w:t>treatment of women workers but the UN Committee on the Elimination of Discrimination against Women has notwithstanding also disapproved of overprotective legislation. The latter type of measures may limit women’s employment opportunities and demonstrate miscomprehension of concepts such as de facto inequality and indirect discrimination</w:t>
      </w:r>
      <w:r w:rsidR="00D37BB1" w:rsidRPr="00D37BB1">
        <w:rPr>
          <w:vertAlign w:val="superscript"/>
          <w:lang w:val="en-US"/>
        </w:rPr>
        <w:footnoteReference w:id="568"/>
      </w:r>
      <w:r w:rsidR="00D37BB1" w:rsidRPr="00D37BB1">
        <w:rPr>
          <w:lang w:val="en-US"/>
        </w:rPr>
        <w:t xml:space="preserve">.  </w:t>
      </w:r>
    </w:p>
    <w:p w:rsidR="00D37BB1" w:rsidRPr="00D37BB1" w:rsidRDefault="007F0115" w:rsidP="00687D8A">
      <w:pPr>
        <w:spacing w:line="360" w:lineRule="auto"/>
        <w:jc w:val="both"/>
        <w:rPr>
          <w:lang w:val="en-US"/>
        </w:rPr>
      </w:pPr>
      <w:r>
        <w:rPr>
          <w:i/>
          <w:lang w:val="en-US"/>
        </w:rPr>
        <w:t>86</w:t>
      </w:r>
      <w:r w:rsidR="00F813EF" w:rsidRPr="00F813EF">
        <w:rPr>
          <w:i/>
          <w:lang w:val="en-US"/>
        </w:rPr>
        <w:t>.</w:t>
      </w:r>
      <w:r w:rsidR="00F813EF">
        <w:rPr>
          <w:lang w:val="en-US"/>
        </w:rPr>
        <w:t xml:space="preserve"> </w:t>
      </w:r>
      <w:r w:rsidR="00D37BB1" w:rsidRPr="00D37BB1">
        <w:rPr>
          <w:lang w:val="en-US"/>
        </w:rPr>
        <w:t>The next observation concerns the compulsory nature of the childbirth leave. As stated above, the pregnancy directive imposes two weeks of compulsory leave</w:t>
      </w:r>
      <w:r w:rsidR="00D37BB1" w:rsidRPr="00D37BB1">
        <w:rPr>
          <w:vertAlign w:val="superscript"/>
          <w:lang w:val="en-US"/>
        </w:rPr>
        <w:footnoteReference w:id="569"/>
      </w:r>
      <w:r w:rsidR="00D37BB1" w:rsidRPr="00D37BB1">
        <w:rPr>
          <w:lang w:val="en-US"/>
        </w:rPr>
        <w:t xml:space="preserve"> while the other regimes require six weeks</w:t>
      </w:r>
      <w:r w:rsidR="00D37BB1" w:rsidRPr="00D37BB1">
        <w:rPr>
          <w:vertAlign w:val="superscript"/>
          <w:lang w:val="en-US"/>
        </w:rPr>
        <w:footnoteReference w:id="570"/>
      </w:r>
      <w:r w:rsidR="00D37BB1" w:rsidRPr="00D37BB1">
        <w:rPr>
          <w:lang w:val="en-US"/>
        </w:rPr>
        <w:t xml:space="preserve">. Two main reasons for compulsory leave are quoted by its proponents. According to them, part of the leave must be of a compulsory nature in order to protect the health of the mother and to shield her from undue pressure by the employer to </w:t>
      </w:r>
      <w:r w:rsidR="00D37BB1" w:rsidRPr="00D37BB1">
        <w:rPr>
          <w:lang w:val="en-US"/>
        </w:rPr>
        <w:lastRenderedPageBreak/>
        <w:t>return to work</w:t>
      </w:r>
      <w:r w:rsidR="00D37BB1" w:rsidRPr="00D37BB1">
        <w:rPr>
          <w:vertAlign w:val="superscript"/>
          <w:lang w:val="en-US"/>
        </w:rPr>
        <w:footnoteReference w:id="571"/>
      </w:r>
      <w:r w:rsidR="00D37BB1" w:rsidRPr="00D37BB1">
        <w:rPr>
          <w:lang w:val="en-US"/>
        </w:rPr>
        <w:t>. The minimum period was set at six weeks because for the average woman, the first stage of physical recovery takes about that long</w:t>
      </w:r>
      <w:r w:rsidR="00D37BB1" w:rsidRPr="00D37BB1">
        <w:rPr>
          <w:vertAlign w:val="superscript"/>
          <w:lang w:val="en-US"/>
        </w:rPr>
        <w:footnoteReference w:id="572"/>
      </w:r>
      <w:r w:rsidR="00D37BB1" w:rsidRPr="00D37BB1">
        <w:rPr>
          <w:lang w:val="en-US"/>
        </w:rPr>
        <w:t>. In this sense, the decision of the EU legislator to impose only two weeks of compulsory leave which can be taken even before giving birth is rather peculiar. It could be observed that this discrepancy in the length of compulsory leave can lead to the engagement of EU member states’ liability under the ILO Conventio</w:t>
      </w:r>
      <w:r w:rsidR="004C1E51">
        <w:rPr>
          <w:lang w:val="en-US"/>
        </w:rPr>
        <w:t>n or the Social Charter. We must however point out</w:t>
      </w:r>
      <w:r w:rsidR="00D37BB1" w:rsidRPr="00D37BB1">
        <w:rPr>
          <w:lang w:val="en-US"/>
        </w:rPr>
        <w:t xml:space="preserve"> that the majority of EU member states did not ratify the ILO maternity protection convention</w:t>
      </w:r>
      <w:r w:rsidR="00D37BB1" w:rsidRPr="00D37BB1">
        <w:rPr>
          <w:vertAlign w:val="superscript"/>
          <w:lang w:val="en-US"/>
        </w:rPr>
        <w:footnoteReference w:id="573"/>
      </w:r>
      <w:r w:rsidR="00D37BB1" w:rsidRPr="00D37BB1">
        <w:rPr>
          <w:lang w:val="en-US"/>
        </w:rPr>
        <w:t>. As regards the Social Charter, the European Committee of Social Rights decided that a period of two weeks compulsory leave may also be accepted if the surrounding legal safeguards are sufficiently strong</w:t>
      </w:r>
      <w:r w:rsidR="00D37BB1" w:rsidRPr="00D37BB1">
        <w:rPr>
          <w:vertAlign w:val="superscript"/>
          <w:lang w:val="en-US"/>
        </w:rPr>
        <w:footnoteReference w:id="574"/>
      </w:r>
      <w:r w:rsidR="00D37BB1" w:rsidRPr="00D37BB1">
        <w:rPr>
          <w:lang w:val="en-US"/>
        </w:rPr>
        <w:t>.                                                                                                                                    The compulsory nature of the leave has been rightly criticized from various angles</w:t>
      </w:r>
      <w:r w:rsidR="00D37BB1" w:rsidRPr="00D37BB1">
        <w:rPr>
          <w:vertAlign w:val="superscript"/>
          <w:lang w:val="en-US"/>
        </w:rPr>
        <w:footnoteReference w:id="575"/>
      </w:r>
      <w:r w:rsidR="00D37BB1" w:rsidRPr="00D37BB1">
        <w:rPr>
          <w:lang w:val="en-US"/>
        </w:rPr>
        <w:t>. It is based on the position of the average woman and consequently ignores a woman’s individual physical condition and willingness to go back to work. Compulsory childbirth leave imposes too much emphasis on the vulnerability of women and does not recognize that women are competent individuals who can make their own thoughtful decisions. It is indeed necessary to protect female workers from pressure exercised by their employer</w:t>
      </w:r>
      <w:r w:rsidR="00572767">
        <w:rPr>
          <w:lang w:val="en-US"/>
        </w:rPr>
        <w:t>s</w:t>
      </w:r>
      <w:r w:rsidR="00D37BB1" w:rsidRPr="00D37BB1">
        <w:rPr>
          <w:lang w:val="en-US"/>
        </w:rPr>
        <w:t xml:space="preserve"> but this can be achieved in other ways than by imposing an obligation on the worker. </w:t>
      </w:r>
    </w:p>
    <w:p w:rsidR="00D37BB1" w:rsidRPr="00D37BB1" w:rsidRDefault="003D45DB" w:rsidP="00687D8A">
      <w:pPr>
        <w:spacing w:line="360" w:lineRule="auto"/>
        <w:jc w:val="both"/>
        <w:rPr>
          <w:lang w:val="en-US"/>
        </w:rPr>
      </w:pPr>
      <w:r>
        <w:rPr>
          <w:i/>
          <w:lang w:val="en-US"/>
        </w:rPr>
        <w:lastRenderedPageBreak/>
        <w:t>87</w:t>
      </w:r>
      <w:r w:rsidR="00F813EF" w:rsidRPr="00F813EF">
        <w:rPr>
          <w:i/>
          <w:lang w:val="en-US"/>
        </w:rPr>
        <w:t>.</w:t>
      </w:r>
      <w:r w:rsidR="00F813EF">
        <w:rPr>
          <w:lang w:val="en-US"/>
        </w:rPr>
        <w:t xml:space="preserve"> </w:t>
      </w:r>
      <w:r w:rsidR="00D37BB1" w:rsidRPr="00D37BB1">
        <w:rPr>
          <w:lang w:val="en-US"/>
        </w:rPr>
        <w:t xml:space="preserve">It appears that many authors and organizations are in </w:t>
      </w:r>
      <w:proofErr w:type="spellStart"/>
      <w:r w:rsidR="00D37BB1" w:rsidRPr="00D37BB1">
        <w:rPr>
          <w:lang w:val="en-US"/>
        </w:rPr>
        <w:t>favour</w:t>
      </w:r>
      <w:proofErr w:type="spellEnd"/>
      <w:r w:rsidR="00D37BB1" w:rsidRPr="00D37BB1">
        <w:rPr>
          <w:lang w:val="en-US"/>
        </w:rPr>
        <w:t xml:space="preserve"> of extending child-birth leave</w:t>
      </w:r>
      <w:r w:rsidR="00D37BB1" w:rsidRPr="00D37BB1">
        <w:rPr>
          <w:vertAlign w:val="superscript"/>
          <w:lang w:val="en-US"/>
        </w:rPr>
        <w:footnoteReference w:id="576"/>
      </w:r>
      <w:r w:rsidR="00D37BB1" w:rsidRPr="00D37BB1">
        <w:rPr>
          <w:lang w:val="en-US"/>
        </w:rPr>
        <w:t>. It is however submitted that a leave of 18 or 20 weeks falls within the ambit of the overprotective measures rejected by the Committee on the Elimination of Discrimination against Women. The period of childbirth leave needs to be limited to the amount of time necessary for the mother’s physical recovery</w:t>
      </w:r>
      <w:r w:rsidR="00D37BB1" w:rsidRPr="00D37BB1">
        <w:rPr>
          <w:vertAlign w:val="superscript"/>
          <w:lang w:val="en-US"/>
        </w:rPr>
        <w:footnoteReference w:id="577"/>
      </w:r>
      <w:r w:rsidR="00D37BB1" w:rsidRPr="00D37BB1">
        <w:rPr>
          <w:lang w:val="en-US"/>
        </w:rPr>
        <w:t>. All other additional weeks must be granted as parental leave and must be equally accessible to both parents. Lengthy periods of leave after confinement do not strengthen the equal opportunities of young female workers. On the contrary, they reaffirm the stereotype that women must be the primary child-</w:t>
      </w:r>
      <w:proofErr w:type="spellStart"/>
      <w:r w:rsidR="00D37BB1" w:rsidRPr="00D37BB1">
        <w:rPr>
          <w:lang w:val="en-US"/>
        </w:rPr>
        <w:t>rearers</w:t>
      </w:r>
      <w:proofErr w:type="spellEnd"/>
      <w:r w:rsidR="00D37BB1" w:rsidRPr="00D37BB1">
        <w:rPr>
          <w:lang w:val="en-US"/>
        </w:rPr>
        <w:t xml:space="preserve"> and that their employment is only of secondary importance. An increase in the period of leave may well lead to more covert attempts to discriminate against women workers</w:t>
      </w:r>
      <w:r w:rsidR="00D37BB1" w:rsidRPr="00D37BB1">
        <w:rPr>
          <w:vertAlign w:val="superscript"/>
          <w:lang w:val="en-US"/>
        </w:rPr>
        <w:footnoteReference w:id="578"/>
      </w:r>
      <w:r w:rsidR="00D37BB1" w:rsidRPr="00D37BB1">
        <w:rPr>
          <w:lang w:val="en-US"/>
        </w:rPr>
        <w:t xml:space="preserve">.    </w:t>
      </w:r>
    </w:p>
    <w:p w:rsidR="00D37BB1" w:rsidRPr="00D37BB1" w:rsidRDefault="007B7C03" w:rsidP="00687D8A">
      <w:pPr>
        <w:spacing w:line="360" w:lineRule="auto"/>
        <w:jc w:val="both"/>
        <w:rPr>
          <w:lang w:val="en-US"/>
        </w:rPr>
      </w:pPr>
      <w:r>
        <w:rPr>
          <w:i/>
          <w:lang w:val="en-US"/>
        </w:rPr>
        <w:t>88</w:t>
      </w:r>
      <w:r w:rsidR="00663426" w:rsidRPr="00663426">
        <w:rPr>
          <w:i/>
          <w:lang w:val="en-US"/>
        </w:rPr>
        <w:t>.</w:t>
      </w:r>
      <w:r w:rsidR="00663426">
        <w:rPr>
          <w:lang w:val="en-US"/>
        </w:rPr>
        <w:t xml:space="preserve"> </w:t>
      </w:r>
      <w:r w:rsidR="00D37BB1" w:rsidRPr="00D37BB1">
        <w:rPr>
          <w:lang w:val="en-US"/>
        </w:rPr>
        <w:t>This paragraph’s final remark concerns the financing of the childbirth benefit</w:t>
      </w:r>
      <w:r w:rsidR="00097744">
        <w:rPr>
          <w:lang w:val="en-US"/>
        </w:rPr>
        <w:t>s</w:t>
      </w:r>
      <w:r w:rsidR="00D37BB1" w:rsidRPr="00D37BB1">
        <w:rPr>
          <w:lang w:val="en-US"/>
        </w:rPr>
        <w:t>. There is agreement on the fact that it would be unfair to significantly reduce the income of a worker during her childbirth leave</w:t>
      </w:r>
      <w:r w:rsidR="00D37BB1" w:rsidRPr="00D37BB1">
        <w:rPr>
          <w:vertAlign w:val="superscript"/>
          <w:lang w:val="en-US"/>
        </w:rPr>
        <w:footnoteReference w:id="579"/>
      </w:r>
      <w:r w:rsidR="00D37BB1" w:rsidRPr="00D37BB1">
        <w:rPr>
          <w:lang w:val="en-US"/>
        </w:rPr>
        <w:t>. Positions on who should bear the costs of the benefit</w:t>
      </w:r>
      <w:r w:rsidR="00097744">
        <w:rPr>
          <w:lang w:val="en-US"/>
        </w:rPr>
        <w:t>s</w:t>
      </w:r>
      <w:r w:rsidR="00D37BB1" w:rsidRPr="00D37BB1">
        <w:rPr>
          <w:lang w:val="en-US"/>
        </w:rPr>
        <w:t xml:space="preserve"> are clearly less homogenous. The ILO’s approach is the most appealing</w:t>
      </w:r>
      <w:r w:rsidR="00D37BB1" w:rsidRPr="00D37BB1">
        <w:rPr>
          <w:vertAlign w:val="superscript"/>
          <w:lang w:val="en-US"/>
        </w:rPr>
        <w:footnoteReference w:id="580"/>
      </w:r>
      <w:r w:rsidR="00D37BB1" w:rsidRPr="00D37BB1">
        <w:rPr>
          <w:lang w:val="en-US"/>
        </w:rPr>
        <w:t>. By imposing the financial burden o</w:t>
      </w:r>
      <w:r w:rsidR="00843323">
        <w:rPr>
          <w:lang w:val="en-US"/>
        </w:rPr>
        <w:t>n the employer, women become</w:t>
      </w:r>
      <w:r w:rsidR="00D37BB1" w:rsidRPr="00D37BB1">
        <w:rPr>
          <w:lang w:val="en-US"/>
        </w:rPr>
        <w:t xml:space="preserve"> more expensive workers and consequently less attractive to hire</w:t>
      </w:r>
      <w:r w:rsidR="00D37BB1" w:rsidRPr="00D37BB1">
        <w:rPr>
          <w:vertAlign w:val="superscript"/>
          <w:lang w:val="en-US"/>
        </w:rPr>
        <w:footnoteReference w:id="581"/>
      </w:r>
      <w:r w:rsidR="00D37BB1" w:rsidRPr="00D37BB1">
        <w:rPr>
          <w:lang w:val="en-US"/>
        </w:rPr>
        <w:t>. Ideally, society as a whole should bear the costs, not the individual employer.</w:t>
      </w:r>
    </w:p>
    <w:p w:rsidR="00D37BB1" w:rsidRPr="00D37BB1" w:rsidRDefault="00D37BB1" w:rsidP="00687D8A">
      <w:pPr>
        <w:spacing w:line="360" w:lineRule="auto"/>
        <w:jc w:val="both"/>
        <w:rPr>
          <w:u w:val="single"/>
          <w:lang w:val="en-US"/>
        </w:rPr>
      </w:pPr>
    </w:p>
    <w:p w:rsidR="007A7C9B" w:rsidRDefault="007A7C9B" w:rsidP="00687D8A">
      <w:pPr>
        <w:spacing w:line="360" w:lineRule="auto"/>
        <w:jc w:val="both"/>
        <w:rPr>
          <w:u w:val="single"/>
          <w:lang w:val="en-US"/>
        </w:rPr>
      </w:pPr>
    </w:p>
    <w:p w:rsidR="00D37BB1" w:rsidRPr="00D37BB1" w:rsidRDefault="00D37BB1" w:rsidP="00687D8A">
      <w:pPr>
        <w:spacing w:line="360" w:lineRule="auto"/>
        <w:jc w:val="both"/>
        <w:rPr>
          <w:lang w:val="en-US"/>
        </w:rPr>
      </w:pPr>
      <w:r w:rsidRPr="00D37BB1">
        <w:rPr>
          <w:u w:val="single"/>
          <w:lang w:val="en-US"/>
        </w:rPr>
        <w:lastRenderedPageBreak/>
        <w:t>Section III. Parental Leave and Child-Care Services</w:t>
      </w:r>
    </w:p>
    <w:p w:rsidR="00D37BB1" w:rsidRPr="00D37BB1" w:rsidRDefault="00920793" w:rsidP="00687D8A">
      <w:pPr>
        <w:spacing w:line="360" w:lineRule="auto"/>
        <w:jc w:val="both"/>
        <w:rPr>
          <w:lang w:val="en-US"/>
        </w:rPr>
      </w:pPr>
      <w:r>
        <w:rPr>
          <w:lang w:val="en-US"/>
        </w:rPr>
        <w:t>§</w:t>
      </w:r>
      <w:r w:rsidR="00D37BB1" w:rsidRPr="00D37BB1">
        <w:rPr>
          <w:lang w:val="en-US"/>
        </w:rPr>
        <w:t>1. Parental Leave</w:t>
      </w:r>
    </w:p>
    <w:p w:rsidR="00D37BB1" w:rsidRPr="00D37BB1" w:rsidRDefault="00D37BB1" w:rsidP="00687D8A">
      <w:pPr>
        <w:spacing w:line="360" w:lineRule="auto"/>
        <w:jc w:val="both"/>
        <w:rPr>
          <w:u w:val="single"/>
          <w:lang w:val="en-US"/>
        </w:rPr>
      </w:pPr>
      <w:r w:rsidRPr="00D37BB1">
        <w:rPr>
          <w:u w:val="single"/>
          <w:lang w:val="en-US"/>
        </w:rPr>
        <w:t xml:space="preserve">Introduction </w:t>
      </w:r>
    </w:p>
    <w:p w:rsidR="00D37BB1" w:rsidRPr="00D37BB1" w:rsidRDefault="00E764D1" w:rsidP="00687D8A">
      <w:pPr>
        <w:spacing w:line="360" w:lineRule="auto"/>
        <w:jc w:val="both"/>
        <w:rPr>
          <w:lang w:val="en-US"/>
        </w:rPr>
      </w:pPr>
      <w:r>
        <w:rPr>
          <w:i/>
          <w:lang w:val="en-US"/>
        </w:rPr>
        <w:t>89</w:t>
      </w:r>
      <w:r w:rsidR="00AE0468" w:rsidRPr="00AE0468">
        <w:rPr>
          <w:i/>
          <w:lang w:val="en-US"/>
        </w:rPr>
        <w:t>.</w:t>
      </w:r>
      <w:r w:rsidR="00AE0468">
        <w:rPr>
          <w:lang w:val="en-US"/>
        </w:rPr>
        <w:t xml:space="preserve"> </w:t>
      </w:r>
      <w:r w:rsidR="00D37BB1" w:rsidRPr="00D37BB1">
        <w:rPr>
          <w:lang w:val="en-US"/>
        </w:rPr>
        <w:t>Parental leave – also referred to as child-care leave – must be clearly distinguished from childbirth and paternity leave. It allows both parents to interrupt their career for a longer period of time to take care of a young child</w:t>
      </w:r>
      <w:r w:rsidR="00D37BB1" w:rsidRPr="00D37BB1">
        <w:rPr>
          <w:vertAlign w:val="superscript"/>
          <w:lang w:val="en-US"/>
        </w:rPr>
        <w:footnoteReference w:id="582"/>
      </w:r>
      <w:r w:rsidR="00D37BB1" w:rsidRPr="00D37BB1">
        <w:rPr>
          <w:lang w:val="en-US"/>
        </w:rPr>
        <w:t>. The gender-neutral concept parental leave has been developed in order to stimulate a more equal division of caring tasks. As already mentioned, many more women than men still bear the main responsibility for raising children. It is believed that, by opening up periods of leave to all workers, more men will engage in child-care. This may in turn alleviate the dual burden imposed on women and partly remedy their disadvantaged employment position</w:t>
      </w:r>
      <w:r w:rsidR="00D37BB1" w:rsidRPr="00D37BB1">
        <w:rPr>
          <w:vertAlign w:val="superscript"/>
          <w:lang w:val="en-US"/>
        </w:rPr>
        <w:footnoteReference w:id="583"/>
      </w:r>
      <w:r w:rsidR="00D37BB1" w:rsidRPr="00D37BB1">
        <w:rPr>
          <w:lang w:val="en-US"/>
        </w:rPr>
        <w:t xml:space="preserve">. </w:t>
      </w:r>
    </w:p>
    <w:p w:rsidR="00D37BB1" w:rsidRPr="00D37BB1" w:rsidRDefault="00D37BB1" w:rsidP="00687D8A">
      <w:pPr>
        <w:spacing w:line="360" w:lineRule="auto"/>
        <w:jc w:val="both"/>
        <w:rPr>
          <w:u w:val="single"/>
          <w:lang w:val="en-US"/>
        </w:rPr>
      </w:pPr>
      <w:r w:rsidRPr="00D37BB1">
        <w:rPr>
          <w:u w:val="single"/>
          <w:lang w:val="en-US"/>
        </w:rPr>
        <w:t xml:space="preserve">The European Union </w:t>
      </w:r>
    </w:p>
    <w:p w:rsidR="00D37BB1" w:rsidRPr="00D37BB1" w:rsidRDefault="00E764D1" w:rsidP="00687D8A">
      <w:pPr>
        <w:spacing w:line="360" w:lineRule="auto"/>
        <w:jc w:val="both"/>
        <w:rPr>
          <w:lang w:val="en-US"/>
        </w:rPr>
      </w:pPr>
      <w:r>
        <w:rPr>
          <w:i/>
          <w:lang w:val="en-US"/>
        </w:rPr>
        <w:t>90</w:t>
      </w:r>
      <w:r w:rsidR="00AE0468" w:rsidRPr="00AE0468">
        <w:rPr>
          <w:i/>
          <w:lang w:val="en-US"/>
        </w:rPr>
        <w:t>.</w:t>
      </w:r>
      <w:r w:rsidR="00AE0468">
        <w:rPr>
          <w:lang w:val="en-US"/>
        </w:rPr>
        <w:t xml:space="preserve"> </w:t>
      </w:r>
      <w:r w:rsidR="00D37BB1" w:rsidRPr="00D37BB1">
        <w:rPr>
          <w:lang w:val="en-US"/>
        </w:rPr>
        <w:t>Parental leave first appeared on the European Community’s agenda in the early 1980s. While finding support in the newly adopted Convention on the Elimination of Discrimination against Women and an ILO Convention and Recommendation</w:t>
      </w:r>
      <w:r w:rsidR="00D37BB1" w:rsidRPr="00D37BB1">
        <w:rPr>
          <w:vertAlign w:val="superscript"/>
          <w:lang w:val="en-US"/>
        </w:rPr>
        <w:footnoteReference w:id="584"/>
      </w:r>
      <w:r w:rsidR="00D37BB1" w:rsidRPr="00D37BB1">
        <w:rPr>
          <w:lang w:val="en-US"/>
        </w:rPr>
        <w:t>, the Commission pushed for the adoption of minimum standards on parental leave</w:t>
      </w:r>
      <w:r w:rsidR="00D37BB1" w:rsidRPr="00D37BB1">
        <w:rPr>
          <w:vertAlign w:val="superscript"/>
          <w:lang w:val="en-US"/>
        </w:rPr>
        <w:footnoteReference w:id="585"/>
      </w:r>
      <w:r w:rsidR="00D37BB1" w:rsidRPr="00D37BB1">
        <w:rPr>
          <w:lang w:val="en-US"/>
        </w:rPr>
        <w:t xml:space="preserve">. Its choice </w:t>
      </w:r>
      <w:proofErr w:type="spellStart"/>
      <w:r w:rsidR="00D37BB1" w:rsidRPr="00D37BB1">
        <w:rPr>
          <w:lang w:val="en-US"/>
        </w:rPr>
        <w:t>favouring</w:t>
      </w:r>
      <w:proofErr w:type="spellEnd"/>
      <w:r w:rsidR="00D37BB1" w:rsidRPr="00D37BB1">
        <w:rPr>
          <w:lang w:val="en-US"/>
        </w:rPr>
        <w:t xml:space="preserve"> the draft of an autonomous directive on parental leave proved to be the proper one as the European Court of Justice ruled that the existing equal treatment framework</w:t>
      </w:r>
      <w:r w:rsidR="00D37BB1" w:rsidRPr="00D37BB1">
        <w:rPr>
          <w:vertAlign w:val="superscript"/>
          <w:lang w:val="en-US"/>
        </w:rPr>
        <w:footnoteReference w:id="586"/>
      </w:r>
      <w:r w:rsidR="00D37BB1" w:rsidRPr="00D37BB1">
        <w:rPr>
          <w:lang w:val="en-US"/>
        </w:rPr>
        <w:t xml:space="preserve"> could not be used to influence the division of responsibilities between parents</w:t>
      </w:r>
      <w:r w:rsidR="00D37BB1" w:rsidRPr="00D37BB1">
        <w:rPr>
          <w:vertAlign w:val="superscript"/>
          <w:lang w:val="en-US"/>
        </w:rPr>
        <w:footnoteReference w:id="587"/>
      </w:r>
      <w:r w:rsidR="00D37BB1" w:rsidRPr="00D37BB1">
        <w:rPr>
          <w:lang w:val="en-US"/>
        </w:rPr>
        <w:t>. Eventually, it took another 10 years before the first parental leave directive was approved by the Council of Ministers</w:t>
      </w:r>
      <w:r w:rsidR="00D37BB1" w:rsidRPr="00D37BB1">
        <w:rPr>
          <w:vertAlign w:val="superscript"/>
          <w:lang w:val="en-US"/>
        </w:rPr>
        <w:footnoteReference w:id="588"/>
      </w:r>
      <w:r w:rsidR="00D37BB1" w:rsidRPr="00D37BB1">
        <w:rPr>
          <w:lang w:val="en-US"/>
        </w:rPr>
        <w:t xml:space="preserve">. In 2012, a revised </w:t>
      </w:r>
      <w:r w:rsidR="00D37BB1" w:rsidRPr="00D37BB1">
        <w:rPr>
          <w:lang w:val="en-US"/>
        </w:rPr>
        <w:lastRenderedPageBreak/>
        <w:t>version of the original parental leave directive entered into force</w:t>
      </w:r>
      <w:r w:rsidR="00D37BB1" w:rsidRPr="00D37BB1">
        <w:rPr>
          <w:vertAlign w:val="superscript"/>
          <w:lang w:val="en-US"/>
        </w:rPr>
        <w:footnoteReference w:id="589"/>
      </w:r>
      <w:r w:rsidR="00D37BB1" w:rsidRPr="00D37BB1">
        <w:rPr>
          <w:lang w:val="en-US"/>
        </w:rPr>
        <w:t>. It grants all full-time and part-time workers</w:t>
      </w:r>
      <w:r w:rsidR="00D37BB1" w:rsidRPr="00D37BB1">
        <w:rPr>
          <w:vertAlign w:val="superscript"/>
          <w:lang w:val="en-US"/>
        </w:rPr>
        <w:footnoteReference w:id="590"/>
      </w:r>
      <w:r w:rsidR="00D37BB1" w:rsidRPr="00D37BB1">
        <w:rPr>
          <w:lang w:val="en-US"/>
        </w:rPr>
        <w:t xml:space="preserve"> an individual right to a period of parental leave of at least 4 months</w:t>
      </w:r>
      <w:r w:rsidR="00D37BB1" w:rsidRPr="00D37BB1">
        <w:rPr>
          <w:vertAlign w:val="superscript"/>
          <w:lang w:val="en-US"/>
        </w:rPr>
        <w:footnoteReference w:id="591"/>
      </w:r>
      <w:r w:rsidR="00D37BB1" w:rsidRPr="00D37BB1">
        <w:rPr>
          <w:lang w:val="en-US"/>
        </w:rPr>
        <w:t xml:space="preserve"> until the child reaches a given age up to 8 years</w:t>
      </w:r>
      <w:r w:rsidR="00D37BB1" w:rsidRPr="00D37BB1">
        <w:rPr>
          <w:vertAlign w:val="superscript"/>
          <w:lang w:val="en-US"/>
        </w:rPr>
        <w:footnoteReference w:id="592"/>
      </w:r>
      <w:r w:rsidR="00D37BB1" w:rsidRPr="00D37BB1">
        <w:rPr>
          <w:lang w:val="en-US"/>
        </w:rPr>
        <w:t>. The leave should - in principle - be provided on a non-transferable basis</w:t>
      </w:r>
      <w:r w:rsidR="00D37BB1" w:rsidRPr="00D37BB1">
        <w:rPr>
          <w:vertAlign w:val="superscript"/>
          <w:lang w:val="en-US"/>
        </w:rPr>
        <w:footnoteReference w:id="593"/>
      </w:r>
      <w:r w:rsidR="00D37BB1" w:rsidRPr="00D37BB1">
        <w:rPr>
          <w:lang w:val="en-US"/>
        </w:rPr>
        <w:t>. One may however read in the preamble that</w:t>
      </w:r>
      <w:r w:rsidR="00C841E6">
        <w:rPr>
          <w:lang w:val="en-US"/>
        </w:rPr>
        <w:t xml:space="preserve"> ‘in principle’ means that the member s</w:t>
      </w:r>
      <w:r w:rsidR="00D37BB1" w:rsidRPr="00D37BB1">
        <w:rPr>
          <w:lang w:val="en-US"/>
        </w:rPr>
        <w:t>tates are still at liberty to make the leave transferable</w:t>
      </w:r>
      <w:r w:rsidR="00D37BB1" w:rsidRPr="00D37BB1">
        <w:rPr>
          <w:vertAlign w:val="superscript"/>
          <w:lang w:val="en-US"/>
        </w:rPr>
        <w:footnoteReference w:id="594"/>
      </w:r>
      <w:r w:rsidR="00206F33">
        <w:rPr>
          <w:lang w:val="en-US"/>
        </w:rPr>
        <w:t>. M</w:t>
      </w:r>
      <w:r w:rsidR="002977C8">
        <w:rPr>
          <w:lang w:val="en-US"/>
        </w:rPr>
        <w:t>ember s</w:t>
      </w:r>
      <w:r w:rsidR="008734EC">
        <w:rPr>
          <w:lang w:val="en-US"/>
        </w:rPr>
        <w:t>tates are also</w:t>
      </w:r>
      <w:r w:rsidR="00D37BB1" w:rsidRPr="00D37BB1">
        <w:rPr>
          <w:lang w:val="en-US"/>
        </w:rPr>
        <w:t xml:space="preserve"> free to decide on the conditions of access to the parental leave</w:t>
      </w:r>
      <w:r w:rsidR="00D37BB1" w:rsidRPr="00D37BB1">
        <w:rPr>
          <w:vertAlign w:val="superscript"/>
          <w:lang w:val="en-US"/>
        </w:rPr>
        <w:footnoteReference w:id="595"/>
      </w:r>
      <w:r w:rsidR="00D37BB1" w:rsidRPr="00D37BB1">
        <w:rPr>
          <w:lang w:val="en-US"/>
        </w:rPr>
        <w:t xml:space="preserve"> and to define circumstances in which the employer is allowed to postpone the parental leave</w:t>
      </w:r>
      <w:r w:rsidR="00D37BB1" w:rsidRPr="00D37BB1">
        <w:rPr>
          <w:vertAlign w:val="superscript"/>
          <w:lang w:val="en-US"/>
        </w:rPr>
        <w:footnoteReference w:id="596"/>
      </w:r>
      <w:r w:rsidR="00D37BB1" w:rsidRPr="00D37BB1">
        <w:rPr>
          <w:lang w:val="en-US"/>
        </w:rPr>
        <w:t>. Several important rights are set out under the heading ‘employment rights and non-discrimination’</w:t>
      </w:r>
      <w:r w:rsidR="00D37BB1" w:rsidRPr="00D37BB1">
        <w:rPr>
          <w:vertAlign w:val="superscript"/>
          <w:lang w:val="en-US"/>
        </w:rPr>
        <w:footnoteReference w:id="597"/>
      </w:r>
      <w:r w:rsidR="00D37BB1" w:rsidRPr="00D37BB1">
        <w:rPr>
          <w:lang w:val="en-US"/>
        </w:rPr>
        <w:t>. After expiry of the period of parental leave workers are entitled to return to the same or a similar job</w:t>
      </w:r>
      <w:r w:rsidR="00D37BB1" w:rsidRPr="00D37BB1">
        <w:rPr>
          <w:vertAlign w:val="superscript"/>
          <w:lang w:val="en-US"/>
        </w:rPr>
        <w:footnoteReference w:id="598"/>
      </w:r>
      <w:r w:rsidR="001B08AF">
        <w:rPr>
          <w:lang w:val="en-US"/>
        </w:rPr>
        <w:t>. The member s</w:t>
      </w:r>
      <w:r w:rsidR="00D37BB1" w:rsidRPr="00D37BB1">
        <w:rPr>
          <w:lang w:val="en-US"/>
        </w:rPr>
        <w:t>tates need to ensure that workers do not lose their acquired rights during the period of leave</w:t>
      </w:r>
      <w:r w:rsidR="00D37BB1" w:rsidRPr="00D37BB1">
        <w:rPr>
          <w:vertAlign w:val="superscript"/>
          <w:lang w:val="en-US"/>
        </w:rPr>
        <w:footnoteReference w:id="599"/>
      </w:r>
      <w:r w:rsidR="00D37BB1" w:rsidRPr="00D37BB1">
        <w:rPr>
          <w:lang w:val="en-US"/>
        </w:rPr>
        <w:t>. Workers need to be protected against dismissal or discrimination on the grounds of an application for or the taking of parental leave</w:t>
      </w:r>
      <w:r w:rsidR="00D37BB1" w:rsidRPr="00D37BB1">
        <w:rPr>
          <w:vertAlign w:val="superscript"/>
          <w:lang w:val="en-US"/>
        </w:rPr>
        <w:footnoteReference w:id="600"/>
      </w:r>
      <w:r w:rsidR="00D37BB1" w:rsidRPr="00D37BB1">
        <w:rPr>
          <w:lang w:val="en-US"/>
        </w:rPr>
        <w:t>. The direct</w:t>
      </w:r>
      <w:r w:rsidR="007535D8">
        <w:rPr>
          <w:lang w:val="en-US"/>
        </w:rPr>
        <w:t>ive does not oblige the member s</w:t>
      </w:r>
      <w:r w:rsidR="00D37BB1" w:rsidRPr="00D37BB1">
        <w:rPr>
          <w:lang w:val="en-US"/>
        </w:rPr>
        <w:t xml:space="preserve">tates to provide some kind of compensation during the leave. </w:t>
      </w:r>
    </w:p>
    <w:p w:rsidR="00D37BB1" w:rsidRPr="00D37BB1" w:rsidRDefault="008C3C47" w:rsidP="00687D8A">
      <w:pPr>
        <w:spacing w:line="360" w:lineRule="auto"/>
        <w:jc w:val="both"/>
        <w:rPr>
          <w:lang w:val="en-US"/>
        </w:rPr>
      </w:pPr>
      <w:r>
        <w:rPr>
          <w:i/>
          <w:lang w:val="en-US"/>
        </w:rPr>
        <w:t>91</w:t>
      </w:r>
      <w:r w:rsidR="00AA310B" w:rsidRPr="00AA310B">
        <w:rPr>
          <w:i/>
          <w:lang w:val="en-US"/>
        </w:rPr>
        <w:t>.</w:t>
      </w:r>
      <w:r w:rsidR="00AA310B">
        <w:rPr>
          <w:lang w:val="en-US"/>
        </w:rPr>
        <w:t xml:space="preserve"> </w:t>
      </w:r>
      <w:r w:rsidR="00D37BB1" w:rsidRPr="00D37BB1">
        <w:rPr>
          <w:lang w:val="en-US"/>
        </w:rPr>
        <w:t>Scholarly reactions to the parental leave directives have been mixed. Some saw them as steps in the right direction</w:t>
      </w:r>
      <w:r w:rsidR="00D37BB1" w:rsidRPr="00D37BB1">
        <w:rPr>
          <w:vertAlign w:val="superscript"/>
          <w:lang w:val="en-US"/>
        </w:rPr>
        <w:footnoteReference w:id="601"/>
      </w:r>
      <w:r w:rsidR="00D37BB1" w:rsidRPr="00D37BB1">
        <w:rPr>
          <w:lang w:val="en-US"/>
        </w:rPr>
        <w:t>. Others warned that the directives would have a counterproductive effect and boost existing stereotypes</w:t>
      </w:r>
      <w:r w:rsidR="00D37BB1" w:rsidRPr="00D37BB1">
        <w:rPr>
          <w:vertAlign w:val="superscript"/>
          <w:lang w:val="en-US"/>
        </w:rPr>
        <w:footnoteReference w:id="602"/>
      </w:r>
      <w:r w:rsidR="00D37BB1" w:rsidRPr="00D37BB1">
        <w:rPr>
          <w:lang w:val="en-US"/>
        </w:rPr>
        <w:t>. Their criticism can be summarized in three arguments. Firstly, they regret that t</w:t>
      </w:r>
      <w:r w:rsidR="00A171FB">
        <w:rPr>
          <w:lang w:val="en-US"/>
        </w:rPr>
        <w:t>he directive does not obligate member s</w:t>
      </w:r>
      <w:r w:rsidR="00D37BB1" w:rsidRPr="00D37BB1">
        <w:rPr>
          <w:lang w:val="en-US"/>
        </w:rPr>
        <w:t xml:space="preserve">tates to ensure that workers on parental leave receive some kind of allowance. Unpaid leave may deter many workers from taking it, fathers in particular. As demonstrated in Chapter II, women often continue to be paid less than their male counterparts. If the leave is unpaid, </w:t>
      </w:r>
      <w:r w:rsidR="00D37BB1" w:rsidRPr="00D37BB1">
        <w:rPr>
          <w:lang w:val="en-US"/>
        </w:rPr>
        <w:lastRenderedPageBreak/>
        <w:t>parents will often choose to relinquish the lowest income, mostly the mother’s</w:t>
      </w:r>
      <w:r w:rsidR="00D37BB1" w:rsidRPr="00D37BB1">
        <w:rPr>
          <w:vertAlign w:val="superscript"/>
          <w:lang w:val="en-US"/>
        </w:rPr>
        <w:footnoteReference w:id="603"/>
      </w:r>
      <w:r w:rsidR="00D37BB1" w:rsidRPr="00D37BB1">
        <w:rPr>
          <w:lang w:val="en-US"/>
        </w:rPr>
        <w:t>. Secondly, the directive still permits that fathers transfer their period of leave to the mother. In order to increase men’s participation in caring responsibilities the leave mu</w:t>
      </w:r>
      <w:r w:rsidR="00522F6E">
        <w:rPr>
          <w:lang w:val="en-US"/>
        </w:rPr>
        <w:t>st be non-transferable, granted</w:t>
      </w:r>
      <w:r w:rsidR="00D37BB1" w:rsidRPr="00D37BB1">
        <w:rPr>
          <w:lang w:val="en-US"/>
        </w:rPr>
        <w:t xml:space="preserve"> on a ‘use it or lose it’ basis</w:t>
      </w:r>
      <w:r w:rsidR="00D37BB1" w:rsidRPr="00D37BB1">
        <w:rPr>
          <w:vertAlign w:val="superscript"/>
          <w:lang w:val="en-US"/>
        </w:rPr>
        <w:footnoteReference w:id="604"/>
      </w:r>
      <w:r w:rsidR="00284DE2">
        <w:rPr>
          <w:lang w:val="en-US"/>
        </w:rPr>
        <w:t>. Thirdly, as long as the member s</w:t>
      </w:r>
      <w:r w:rsidR="00D37BB1" w:rsidRPr="00D37BB1">
        <w:rPr>
          <w:lang w:val="en-US"/>
        </w:rPr>
        <w:t>tates adhere to the maximum age of 8 years</w:t>
      </w:r>
      <w:r w:rsidR="00D37BB1" w:rsidRPr="00D37BB1">
        <w:rPr>
          <w:vertAlign w:val="superscript"/>
          <w:lang w:val="en-US"/>
        </w:rPr>
        <w:footnoteReference w:id="605"/>
      </w:r>
      <w:r w:rsidR="00D37BB1" w:rsidRPr="00D37BB1">
        <w:rPr>
          <w:lang w:val="en-US"/>
        </w:rPr>
        <w:t>, they can also establish a lower age threshold such as one or two years</w:t>
      </w:r>
      <w:r w:rsidR="00D37BB1" w:rsidRPr="00D37BB1">
        <w:rPr>
          <w:vertAlign w:val="superscript"/>
          <w:lang w:val="en-US"/>
        </w:rPr>
        <w:footnoteReference w:id="606"/>
      </w:r>
      <w:r w:rsidR="00D37BB1" w:rsidRPr="00D37BB1">
        <w:rPr>
          <w:lang w:val="en-US"/>
        </w:rPr>
        <w:t>. The lower the age threshold, the more chance that the parental leave will be taken up by the mother immediately after the end of her child-birth leave</w:t>
      </w:r>
      <w:r w:rsidR="00D37BB1" w:rsidRPr="00D37BB1">
        <w:rPr>
          <w:vertAlign w:val="superscript"/>
          <w:lang w:val="en-US"/>
        </w:rPr>
        <w:footnoteReference w:id="607"/>
      </w:r>
      <w:r w:rsidR="00D37BB1" w:rsidRPr="00D37BB1">
        <w:rPr>
          <w:lang w:val="en-US"/>
        </w:rPr>
        <w:t xml:space="preserve">. </w:t>
      </w:r>
    </w:p>
    <w:p w:rsidR="00D37BB1" w:rsidRPr="00D37BB1" w:rsidRDefault="008C3C47" w:rsidP="00687D8A">
      <w:pPr>
        <w:spacing w:line="360" w:lineRule="auto"/>
        <w:jc w:val="both"/>
        <w:rPr>
          <w:lang w:val="en-US"/>
        </w:rPr>
      </w:pPr>
      <w:r>
        <w:rPr>
          <w:i/>
          <w:lang w:val="en-US"/>
        </w:rPr>
        <w:t>92</w:t>
      </w:r>
      <w:r w:rsidR="00D615B8" w:rsidRPr="00D615B8">
        <w:rPr>
          <w:i/>
          <w:lang w:val="en-US"/>
        </w:rPr>
        <w:t>.</w:t>
      </w:r>
      <w:r w:rsidR="00D615B8">
        <w:rPr>
          <w:lang w:val="en-US"/>
        </w:rPr>
        <w:t xml:space="preserve"> </w:t>
      </w:r>
      <w:r w:rsidR="00D37BB1" w:rsidRPr="00D37BB1">
        <w:rPr>
          <w:lang w:val="en-US"/>
        </w:rPr>
        <w:t>If the directive were to</w:t>
      </w:r>
      <w:r w:rsidR="00544D6D">
        <w:rPr>
          <w:lang w:val="en-US"/>
        </w:rPr>
        <w:t xml:space="preserve"> be revised a second time, it would be</w:t>
      </w:r>
      <w:r w:rsidR="00D37BB1" w:rsidRPr="00D37BB1">
        <w:rPr>
          <w:lang w:val="en-US"/>
        </w:rPr>
        <w:t xml:space="preserve"> recommended that the stakeholders draw on the Swedish parental leave system. The latter is often praised as one of the most effective in the world</w:t>
      </w:r>
      <w:r w:rsidR="00D37BB1" w:rsidRPr="00D37BB1">
        <w:rPr>
          <w:vertAlign w:val="superscript"/>
          <w:lang w:val="en-US"/>
        </w:rPr>
        <w:footnoteReference w:id="608"/>
      </w:r>
      <w:r w:rsidR="00D37BB1" w:rsidRPr="00D37BB1">
        <w:rPr>
          <w:lang w:val="en-US"/>
        </w:rPr>
        <w:t>. Two Swedish parents are entitled to a 15-month period of parental leave. The leave can be taken until the child is 8 years old. Two so-called ‘daddy months’ are exclusively reserved for fathers on a ‘use it or lose it’ basis</w:t>
      </w:r>
      <w:r w:rsidR="00D37BB1" w:rsidRPr="00D37BB1">
        <w:rPr>
          <w:vertAlign w:val="superscript"/>
          <w:lang w:val="en-US"/>
        </w:rPr>
        <w:footnoteReference w:id="609"/>
      </w:r>
      <w:r w:rsidR="00D37BB1" w:rsidRPr="00D37BB1">
        <w:rPr>
          <w:lang w:val="en-US"/>
        </w:rPr>
        <w:t>. Workers who take up their leave are well compensated through</w:t>
      </w:r>
      <w:r w:rsidR="00B96BF9">
        <w:rPr>
          <w:lang w:val="en-US"/>
        </w:rPr>
        <w:t xml:space="preserve"> the</w:t>
      </w:r>
      <w:r w:rsidR="00D37BB1" w:rsidRPr="00D37BB1">
        <w:rPr>
          <w:lang w:val="en-US"/>
        </w:rPr>
        <w:t xml:space="preserve"> taxpayer</w:t>
      </w:r>
      <w:r w:rsidR="00B96BF9">
        <w:rPr>
          <w:lang w:val="en-US"/>
        </w:rPr>
        <w:t>’s</w:t>
      </w:r>
      <w:r w:rsidR="00D37BB1" w:rsidRPr="00D37BB1">
        <w:rPr>
          <w:lang w:val="en-US"/>
        </w:rPr>
        <w:t xml:space="preserve"> money. The compensation’s exact amount is calculated on the basis of both the parents’ previous earnings. This method of calculation is used because it supports the dual-earner family model with two economically independent parents instead of the out-of-date model of the male breadwinner</w:t>
      </w:r>
      <w:r w:rsidR="00D37BB1" w:rsidRPr="00D37BB1">
        <w:rPr>
          <w:vertAlign w:val="superscript"/>
          <w:lang w:val="en-US"/>
        </w:rPr>
        <w:footnoteReference w:id="610"/>
      </w:r>
      <w:r w:rsidR="00D37BB1" w:rsidRPr="00D37BB1">
        <w:rPr>
          <w:lang w:val="en-US"/>
        </w:rPr>
        <w:t xml:space="preserve">. Several studies have shown that the number of Swedish fathers taking parental leave is remarkably </w:t>
      </w:r>
      <w:r w:rsidR="00D37BB1" w:rsidRPr="00D37BB1">
        <w:rPr>
          <w:lang w:val="en-US"/>
        </w:rPr>
        <w:lastRenderedPageBreak/>
        <w:t>higher than in other European countries</w:t>
      </w:r>
      <w:r w:rsidR="00D37BB1" w:rsidRPr="00D37BB1">
        <w:rPr>
          <w:vertAlign w:val="superscript"/>
          <w:lang w:val="en-US"/>
        </w:rPr>
        <w:footnoteReference w:id="611"/>
      </w:r>
      <w:r w:rsidR="00D37BB1" w:rsidRPr="00D37BB1">
        <w:rPr>
          <w:lang w:val="en-US"/>
        </w:rPr>
        <w:t>. Despite the fact that of course not all academics are equally happy with the system</w:t>
      </w:r>
      <w:r w:rsidR="00D37BB1" w:rsidRPr="00D37BB1">
        <w:rPr>
          <w:vertAlign w:val="superscript"/>
          <w:lang w:val="en-US"/>
        </w:rPr>
        <w:footnoteReference w:id="612"/>
      </w:r>
      <w:r w:rsidR="00D37BB1" w:rsidRPr="00D37BB1">
        <w:rPr>
          <w:lang w:val="en-US"/>
        </w:rPr>
        <w:t xml:space="preserve">, one may argue that caring responsibilities slowly become more equally distributed in Swedish society.     </w:t>
      </w:r>
    </w:p>
    <w:p w:rsidR="00D37BB1" w:rsidRPr="00D37BB1" w:rsidRDefault="008C3C47" w:rsidP="00687D8A">
      <w:pPr>
        <w:spacing w:line="360" w:lineRule="auto"/>
        <w:jc w:val="both"/>
        <w:rPr>
          <w:lang w:val="en-US"/>
        </w:rPr>
      </w:pPr>
      <w:r>
        <w:rPr>
          <w:i/>
          <w:lang w:val="en-US"/>
        </w:rPr>
        <w:t>93</w:t>
      </w:r>
      <w:r w:rsidR="001C4740" w:rsidRPr="001C4740">
        <w:rPr>
          <w:i/>
          <w:lang w:val="en-US"/>
        </w:rPr>
        <w:t>.</w:t>
      </w:r>
      <w:r w:rsidR="001C4740">
        <w:rPr>
          <w:lang w:val="en-US"/>
        </w:rPr>
        <w:t xml:space="preserve"> </w:t>
      </w:r>
      <w:r w:rsidR="00D37BB1" w:rsidRPr="00D37BB1">
        <w:rPr>
          <w:lang w:val="en-US"/>
        </w:rPr>
        <w:t>The EU Charter expressly validates that a right to parental leave exists</w:t>
      </w:r>
      <w:r w:rsidR="00D37BB1" w:rsidRPr="00D37BB1">
        <w:rPr>
          <w:vertAlign w:val="superscript"/>
          <w:lang w:val="en-US"/>
        </w:rPr>
        <w:footnoteReference w:id="613"/>
      </w:r>
      <w:r w:rsidR="00D37BB1" w:rsidRPr="00D37BB1">
        <w:rPr>
          <w:lang w:val="en-US"/>
        </w:rPr>
        <w:t>. Several authors at the same time believe that t</w:t>
      </w:r>
      <w:r w:rsidR="00040D12">
        <w:rPr>
          <w:lang w:val="en-US"/>
        </w:rPr>
        <w:t>he Charter’s influence will once again</w:t>
      </w:r>
      <w:r w:rsidR="00D37BB1" w:rsidRPr="00D37BB1">
        <w:rPr>
          <w:lang w:val="en-US"/>
        </w:rPr>
        <w:t xml:space="preserve"> remain limited because it does not grant a right to paid parental leave</w:t>
      </w:r>
      <w:r w:rsidR="00D37BB1" w:rsidRPr="00D37BB1">
        <w:rPr>
          <w:vertAlign w:val="superscript"/>
          <w:lang w:val="en-US"/>
        </w:rPr>
        <w:footnoteReference w:id="614"/>
      </w:r>
      <w:r w:rsidR="00D37BB1" w:rsidRPr="00D37BB1">
        <w:rPr>
          <w:lang w:val="en-US"/>
        </w:rPr>
        <w:t xml:space="preserve">. </w:t>
      </w:r>
    </w:p>
    <w:p w:rsidR="00D37BB1" w:rsidRPr="00D37BB1" w:rsidRDefault="00D37BB1" w:rsidP="00687D8A">
      <w:pPr>
        <w:spacing w:line="360" w:lineRule="auto"/>
        <w:jc w:val="both"/>
        <w:rPr>
          <w:u w:val="single"/>
          <w:lang w:val="en-US"/>
        </w:rPr>
      </w:pPr>
      <w:r w:rsidRPr="00D37BB1">
        <w:rPr>
          <w:u w:val="single"/>
          <w:lang w:val="en-US"/>
        </w:rPr>
        <w:t>The</w:t>
      </w:r>
      <w:r w:rsidR="00566797">
        <w:rPr>
          <w:u w:val="single"/>
          <w:lang w:val="en-US"/>
        </w:rPr>
        <w:t xml:space="preserve"> Revised</w:t>
      </w:r>
      <w:r w:rsidRPr="00D37BB1">
        <w:rPr>
          <w:u w:val="single"/>
          <w:lang w:val="en-US"/>
        </w:rPr>
        <w:t xml:space="preserve"> European Social Charter </w:t>
      </w:r>
    </w:p>
    <w:p w:rsidR="00D37BB1" w:rsidRPr="00D37BB1" w:rsidRDefault="00E52833" w:rsidP="00687D8A">
      <w:pPr>
        <w:spacing w:line="360" w:lineRule="auto"/>
        <w:jc w:val="both"/>
        <w:rPr>
          <w:lang w:val="en-US"/>
        </w:rPr>
      </w:pPr>
      <w:r>
        <w:rPr>
          <w:i/>
          <w:lang w:val="en-US"/>
        </w:rPr>
        <w:t>94</w:t>
      </w:r>
      <w:r w:rsidR="00704D9A" w:rsidRPr="00704D9A">
        <w:rPr>
          <w:i/>
          <w:lang w:val="en-US"/>
        </w:rPr>
        <w:t>.</w:t>
      </w:r>
      <w:r w:rsidR="00704D9A">
        <w:rPr>
          <w:lang w:val="en-US"/>
        </w:rPr>
        <w:t xml:space="preserve"> </w:t>
      </w:r>
      <w:r w:rsidR="00D37BB1" w:rsidRPr="00D37BB1">
        <w:rPr>
          <w:lang w:val="en-US"/>
        </w:rPr>
        <w:t>In the 1960s, parental leave was not a common arrangement</w:t>
      </w:r>
      <w:r w:rsidR="00D37BB1" w:rsidRPr="00D37BB1">
        <w:rPr>
          <w:vertAlign w:val="superscript"/>
          <w:lang w:val="en-US"/>
        </w:rPr>
        <w:footnoteReference w:id="615"/>
      </w:r>
      <w:r w:rsidR="00FF5FDC">
        <w:rPr>
          <w:lang w:val="en-US"/>
        </w:rPr>
        <w:t xml:space="preserve">. Therefore it should not surprise us that the </w:t>
      </w:r>
      <w:r w:rsidR="00D37BB1" w:rsidRPr="00D37BB1">
        <w:rPr>
          <w:lang w:val="en-US"/>
        </w:rPr>
        <w:t>original Social Charter does not confer a right to parental leave. The European Committee of Social Rights notwithstanding began to ask questions on parental leave schemes under the Charter’s articles concerned with the protection of the family</w:t>
      </w:r>
      <w:r w:rsidR="00D37BB1" w:rsidRPr="00D37BB1">
        <w:rPr>
          <w:vertAlign w:val="superscript"/>
          <w:lang w:val="en-US"/>
        </w:rPr>
        <w:footnoteReference w:id="616"/>
      </w:r>
      <w:r w:rsidR="00D37BB1" w:rsidRPr="00D37BB1">
        <w:rPr>
          <w:lang w:val="en-US"/>
        </w:rPr>
        <w:t>. Article 27(2) of the Revised Charter introduces an express right to parental leave. This provision is not as detailed as the corresponding article in the EU parental leave directive</w:t>
      </w:r>
      <w:r w:rsidR="00D37BB1" w:rsidRPr="00D37BB1">
        <w:rPr>
          <w:vertAlign w:val="superscript"/>
          <w:lang w:val="en-US"/>
        </w:rPr>
        <w:footnoteReference w:id="617"/>
      </w:r>
      <w:r w:rsidR="00D37BB1" w:rsidRPr="00D37BB1">
        <w:rPr>
          <w:lang w:val="en-US"/>
        </w:rPr>
        <w:t>. It does not state a minimum period, any conditions of access or the child’s age upon which the right to parental leave expi</w:t>
      </w:r>
      <w:r w:rsidR="002E3D17">
        <w:rPr>
          <w:lang w:val="en-US"/>
        </w:rPr>
        <w:t xml:space="preserve">res. Quite </w:t>
      </w:r>
      <w:r w:rsidR="00D37BB1" w:rsidRPr="00D37BB1">
        <w:rPr>
          <w:lang w:val="en-US"/>
        </w:rPr>
        <w:t>like the European Court of Justice</w:t>
      </w:r>
      <w:r w:rsidR="00D37BB1" w:rsidRPr="00D37BB1">
        <w:rPr>
          <w:vertAlign w:val="superscript"/>
          <w:lang w:val="en-US"/>
        </w:rPr>
        <w:footnoteReference w:id="618"/>
      </w:r>
      <w:r w:rsidR="00D37BB1" w:rsidRPr="00D37BB1">
        <w:rPr>
          <w:lang w:val="en-US"/>
        </w:rPr>
        <w:t>, the Committee has found it necessary to emphasize that parental leave is not the same as childbirth leave</w:t>
      </w:r>
      <w:r w:rsidR="00D37BB1" w:rsidRPr="00D37BB1">
        <w:rPr>
          <w:vertAlign w:val="superscript"/>
          <w:lang w:val="en-US"/>
        </w:rPr>
        <w:footnoteReference w:id="619"/>
      </w:r>
      <w:r w:rsidR="00D37BB1" w:rsidRPr="00D37BB1">
        <w:rPr>
          <w:lang w:val="en-US"/>
        </w:rPr>
        <w:t>. The Committee has expressed concern in cases where a period of child-care leave is granted per family. The right to parental leave must be given to each parent as an individual right</w:t>
      </w:r>
      <w:r w:rsidR="00D37BB1" w:rsidRPr="00D37BB1">
        <w:rPr>
          <w:vertAlign w:val="superscript"/>
          <w:lang w:val="en-US"/>
        </w:rPr>
        <w:footnoteReference w:id="620"/>
      </w:r>
      <w:r w:rsidR="00D37BB1" w:rsidRPr="00D37BB1">
        <w:rPr>
          <w:lang w:val="en-US"/>
        </w:rPr>
        <w:t>. The Committee appears to</w:t>
      </w:r>
      <w:r w:rsidR="003D6AF9">
        <w:rPr>
          <w:lang w:val="en-US"/>
        </w:rPr>
        <w:t xml:space="preserve"> have</w:t>
      </w:r>
      <w:r w:rsidR="00D37BB1" w:rsidRPr="00D37BB1">
        <w:rPr>
          <w:lang w:val="en-US"/>
        </w:rPr>
        <w:t xml:space="preserve"> be</w:t>
      </w:r>
      <w:r w:rsidR="003D6AF9">
        <w:rPr>
          <w:lang w:val="en-US"/>
        </w:rPr>
        <w:t>en</w:t>
      </w:r>
      <w:r w:rsidR="00D37BB1" w:rsidRPr="00D37BB1">
        <w:rPr>
          <w:lang w:val="en-US"/>
        </w:rPr>
        <w:t xml:space="preserve"> inspired by the EU directive when it states that the right to parental leave should – in principle – be provided on a non-transferable basis</w:t>
      </w:r>
      <w:r w:rsidR="00D37BB1" w:rsidRPr="00D37BB1">
        <w:rPr>
          <w:vertAlign w:val="superscript"/>
          <w:lang w:val="en-US"/>
        </w:rPr>
        <w:footnoteReference w:id="621"/>
      </w:r>
      <w:r w:rsidR="00D37BB1" w:rsidRPr="00D37BB1">
        <w:rPr>
          <w:lang w:val="en-US"/>
        </w:rPr>
        <w:t>. State</w:t>
      </w:r>
      <w:r w:rsidR="007D4E7D">
        <w:rPr>
          <w:lang w:val="en-US"/>
        </w:rPr>
        <w:t>s</w:t>
      </w:r>
      <w:r w:rsidR="00D37BB1" w:rsidRPr="00D37BB1">
        <w:rPr>
          <w:lang w:val="en-US"/>
        </w:rPr>
        <w:t xml:space="preserve"> parties </w:t>
      </w:r>
      <w:r w:rsidR="00D37BB1" w:rsidRPr="00D37BB1">
        <w:rPr>
          <w:lang w:val="en-US"/>
        </w:rPr>
        <w:lastRenderedPageBreak/>
        <w:t>are asked to report on whether or not employees receive an income during their leave and if so</w:t>
      </w:r>
      <w:r w:rsidR="00BD4478">
        <w:rPr>
          <w:lang w:val="en-US"/>
        </w:rPr>
        <w:t>,</w:t>
      </w:r>
      <w:r w:rsidR="00D37BB1" w:rsidRPr="00D37BB1">
        <w:rPr>
          <w:lang w:val="en-US"/>
        </w:rPr>
        <w:t xml:space="preserve"> how much. Despite the fact that there is no obligation for the state</w:t>
      </w:r>
      <w:r w:rsidR="0085268D">
        <w:rPr>
          <w:lang w:val="en-US"/>
        </w:rPr>
        <w:t>s</w:t>
      </w:r>
      <w:r w:rsidR="00D37BB1" w:rsidRPr="00D37BB1">
        <w:rPr>
          <w:lang w:val="en-US"/>
        </w:rPr>
        <w:t xml:space="preserve"> parties to provide workers on parental leave with a compensation, the Committee recognizes i</w:t>
      </w:r>
      <w:r w:rsidR="00872B10">
        <w:rPr>
          <w:lang w:val="en-US"/>
        </w:rPr>
        <w:t>ts vital importance for the taking</w:t>
      </w:r>
      <w:r w:rsidR="00D37BB1" w:rsidRPr="00D37BB1">
        <w:rPr>
          <w:lang w:val="en-US"/>
        </w:rPr>
        <w:t xml:space="preserve"> up of the leave</w:t>
      </w:r>
      <w:r w:rsidR="00D37BB1" w:rsidRPr="00D37BB1">
        <w:rPr>
          <w:vertAlign w:val="superscript"/>
          <w:lang w:val="en-US"/>
        </w:rPr>
        <w:footnoteReference w:id="622"/>
      </w:r>
      <w:r w:rsidR="00D37BB1" w:rsidRPr="00D37BB1">
        <w:rPr>
          <w:lang w:val="en-US"/>
        </w:rPr>
        <w:t>. As is the case in the EU directive</w:t>
      </w:r>
      <w:r w:rsidR="00D37BB1" w:rsidRPr="00D37BB1">
        <w:rPr>
          <w:vertAlign w:val="superscript"/>
          <w:lang w:val="en-US"/>
        </w:rPr>
        <w:footnoteReference w:id="623"/>
      </w:r>
      <w:r w:rsidR="00D37BB1" w:rsidRPr="00D37BB1">
        <w:rPr>
          <w:lang w:val="en-US"/>
        </w:rPr>
        <w:t>, the Revised Charter also protects workers who take parental leave against dismissal and discrimination</w:t>
      </w:r>
      <w:r w:rsidR="00D37BB1" w:rsidRPr="00D37BB1">
        <w:rPr>
          <w:vertAlign w:val="superscript"/>
          <w:lang w:val="en-US"/>
        </w:rPr>
        <w:footnoteReference w:id="624"/>
      </w:r>
      <w:r w:rsidR="00D37BB1" w:rsidRPr="00D37BB1">
        <w:rPr>
          <w:lang w:val="en-US"/>
        </w:rPr>
        <w:t xml:space="preserve">.      </w:t>
      </w:r>
    </w:p>
    <w:p w:rsidR="00D37BB1" w:rsidRPr="00D37BB1" w:rsidRDefault="004636DF" w:rsidP="00687D8A">
      <w:pPr>
        <w:spacing w:line="360" w:lineRule="auto"/>
        <w:jc w:val="both"/>
        <w:rPr>
          <w:u w:val="single"/>
          <w:lang w:val="en-US"/>
        </w:rPr>
      </w:pPr>
      <w:r>
        <w:rPr>
          <w:u w:val="single"/>
          <w:lang w:val="en-US"/>
        </w:rPr>
        <w:t xml:space="preserve">The </w:t>
      </w:r>
      <w:r w:rsidR="00D37BB1" w:rsidRPr="00D37BB1">
        <w:rPr>
          <w:u w:val="single"/>
          <w:lang w:val="en-US"/>
        </w:rPr>
        <w:t xml:space="preserve">Convention for the Protection of Human Rights and Fundamental Freedoms </w:t>
      </w:r>
    </w:p>
    <w:p w:rsidR="00D37BB1" w:rsidRPr="00D37BB1" w:rsidRDefault="00E52833" w:rsidP="00687D8A">
      <w:pPr>
        <w:spacing w:line="360" w:lineRule="auto"/>
        <w:jc w:val="both"/>
        <w:rPr>
          <w:lang w:val="en-US"/>
        </w:rPr>
      </w:pPr>
      <w:r>
        <w:rPr>
          <w:i/>
          <w:lang w:val="en-US"/>
        </w:rPr>
        <w:t>95</w:t>
      </w:r>
      <w:r w:rsidR="00704D9A" w:rsidRPr="00704D9A">
        <w:rPr>
          <w:i/>
          <w:lang w:val="en-US"/>
        </w:rPr>
        <w:t>.</w:t>
      </w:r>
      <w:r w:rsidR="00704D9A">
        <w:rPr>
          <w:lang w:val="en-US"/>
        </w:rPr>
        <w:t xml:space="preserve"> </w:t>
      </w:r>
      <w:r w:rsidR="00D37BB1" w:rsidRPr="00D37BB1">
        <w:rPr>
          <w:lang w:val="en-US"/>
        </w:rPr>
        <w:t>The European Court of Human Rights has also been confronted with parental leave cases in the context of the right to a family life</w:t>
      </w:r>
      <w:r w:rsidR="00D37BB1" w:rsidRPr="00D37BB1">
        <w:rPr>
          <w:vertAlign w:val="superscript"/>
          <w:lang w:val="en-US"/>
        </w:rPr>
        <w:footnoteReference w:id="625"/>
      </w:r>
      <w:r w:rsidR="00D37BB1" w:rsidRPr="00D37BB1">
        <w:rPr>
          <w:lang w:val="en-US"/>
        </w:rPr>
        <w:t xml:space="preserve"> and the prohibition of discrimination</w:t>
      </w:r>
      <w:r w:rsidR="00D37BB1" w:rsidRPr="00D37BB1">
        <w:rPr>
          <w:vertAlign w:val="superscript"/>
          <w:lang w:val="en-US"/>
        </w:rPr>
        <w:footnoteReference w:id="626"/>
      </w:r>
      <w:r w:rsidR="00D37BB1" w:rsidRPr="00D37BB1">
        <w:rPr>
          <w:lang w:val="en-US"/>
        </w:rPr>
        <w:t>. The facts giving rise to the first case</w:t>
      </w:r>
      <w:r w:rsidR="00D37BB1" w:rsidRPr="00D37BB1">
        <w:rPr>
          <w:vertAlign w:val="superscript"/>
          <w:lang w:val="en-US"/>
        </w:rPr>
        <w:footnoteReference w:id="627"/>
      </w:r>
      <w:r w:rsidR="00D37BB1" w:rsidRPr="00D37BB1">
        <w:rPr>
          <w:lang w:val="en-US"/>
        </w:rPr>
        <w:t xml:space="preserve"> took place at the end of the 1980s, at a time when most European states did not yet pay a parental leave allowance to fathers</w:t>
      </w:r>
      <w:r w:rsidR="00D37BB1" w:rsidRPr="00D37BB1">
        <w:rPr>
          <w:vertAlign w:val="superscript"/>
          <w:lang w:val="en-US"/>
        </w:rPr>
        <w:footnoteReference w:id="628"/>
      </w:r>
      <w:r w:rsidR="00D37BB1" w:rsidRPr="00D37BB1">
        <w:rPr>
          <w:lang w:val="en-US"/>
        </w:rPr>
        <w:t xml:space="preserve">. </w:t>
      </w:r>
      <w:r w:rsidR="00037BA3">
        <w:rPr>
          <w:lang w:val="en-US"/>
        </w:rPr>
        <w:t>It is clear that, f</w:t>
      </w:r>
      <w:r w:rsidR="00D37BB1" w:rsidRPr="00D37BB1">
        <w:rPr>
          <w:lang w:val="en-US"/>
        </w:rPr>
        <w:t xml:space="preserve">rom a purely </w:t>
      </w:r>
      <w:r w:rsidR="008D136E">
        <w:rPr>
          <w:lang w:val="en-US"/>
        </w:rPr>
        <w:t>legal perspective, one can</w:t>
      </w:r>
      <w:r w:rsidR="00D37BB1" w:rsidRPr="00D37BB1">
        <w:rPr>
          <w:lang w:val="en-US"/>
        </w:rPr>
        <w:t>not criticize the judgment of the Court in which it held that no discrimination had occurred. Due to lack of a common standard, the decision on whether or not to pay a parental leave allowance to fathers fell within the state’s wide margin of appreciation. More important about this case is that it is recognized that women and men are in the same position as regards child-care</w:t>
      </w:r>
      <w:r w:rsidR="00D37BB1" w:rsidRPr="00D37BB1">
        <w:rPr>
          <w:vertAlign w:val="superscript"/>
          <w:lang w:val="en-US"/>
        </w:rPr>
        <w:footnoteReference w:id="629"/>
      </w:r>
      <w:r w:rsidR="00D37BB1" w:rsidRPr="00D37BB1">
        <w:rPr>
          <w:lang w:val="en-US"/>
        </w:rPr>
        <w:t>. It could be in</w:t>
      </w:r>
      <w:r w:rsidR="0043627A">
        <w:rPr>
          <w:lang w:val="en-US"/>
        </w:rPr>
        <w:t>ferred from this judgment that t</w:t>
      </w:r>
      <w:r w:rsidR="00D37BB1" w:rsidRPr="00D37BB1">
        <w:rPr>
          <w:lang w:val="en-US"/>
        </w:rPr>
        <w:t>he Court implicitly rejects the notion that women are primarily responsible for young children. In 2012, the Court went a step further. While relying on the Convention on the Elimination of Discrimination against Women and other relevant instruments</w:t>
      </w:r>
      <w:r w:rsidR="00D37BB1" w:rsidRPr="00D37BB1">
        <w:rPr>
          <w:vertAlign w:val="superscript"/>
          <w:lang w:val="en-US"/>
        </w:rPr>
        <w:footnoteReference w:id="630"/>
      </w:r>
      <w:r w:rsidR="00D37BB1" w:rsidRPr="00D37BB1">
        <w:rPr>
          <w:lang w:val="en-US"/>
        </w:rPr>
        <w:t>, the Court explicitly rejected the state’s argument relating to the special role of women in the raising of children</w:t>
      </w:r>
      <w:r w:rsidR="00D37BB1" w:rsidRPr="00D37BB1">
        <w:rPr>
          <w:vertAlign w:val="superscript"/>
          <w:lang w:val="en-US"/>
        </w:rPr>
        <w:footnoteReference w:id="631"/>
      </w:r>
      <w:r w:rsidR="00D37BB1" w:rsidRPr="00D37BB1">
        <w:rPr>
          <w:lang w:val="en-US"/>
        </w:rPr>
        <w:t>. Men’s caring role has gained recognition</w:t>
      </w:r>
      <w:r w:rsidR="00D37BB1" w:rsidRPr="00D37BB1">
        <w:rPr>
          <w:vertAlign w:val="superscript"/>
          <w:lang w:val="en-US"/>
        </w:rPr>
        <w:footnoteReference w:id="632"/>
      </w:r>
      <w:r w:rsidR="00D37BB1" w:rsidRPr="00D37BB1">
        <w:rPr>
          <w:lang w:val="en-US"/>
        </w:rPr>
        <w:t xml:space="preserve"> and state</w:t>
      </w:r>
      <w:r w:rsidR="001B3AD7">
        <w:rPr>
          <w:lang w:val="en-US"/>
        </w:rPr>
        <w:t>s</w:t>
      </w:r>
      <w:r w:rsidR="00D37BB1" w:rsidRPr="00D37BB1">
        <w:rPr>
          <w:lang w:val="en-US"/>
        </w:rPr>
        <w:t xml:space="preserve"> parties cannot impose traditional gender roles and gender stereotypes</w:t>
      </w:r>
      <w:r w:rsidR="00D37BB1" w:rsidRPr="00D37BB1">
        <w:rPr>
          <w:vertAlign w:val="superscript"/>
          <w:lang w:val="en-US"/>
        </w:rPr>
        <w:footnoteReference w:id="633"/>
      </w:r>
      <w:r w:rsidR="00D37BB1" w:rsidRPr="00D37BB1">
        <w:rPr>
          <w:lang w:val="en-US"/>
        </w:rPr>
        <w:t>. The refusal to grant a male service member a period of parental leave was found to violate his right to a family life and the non-discrimination principle</w:t>
      </w:r>
      <w:r w:rsidR="00D37BB1" w:rsidRPr="00D37BB1">
        <w:rPr>
          <w:vertAlign w:val="superscript"/>
          <w:lang w:val="en-US"/>
        </w:rPr>
        <w:footnoteReference w:id="634"/>
      </w:r>
      <w:r w:rsidR="00D37BB1" w:rsidRPr="00D37BB1">
        <w:rPr>
          <w:lang w:val="en-US"/>
        </w:rPr>
        <w:t>. Also interesting is the concurring opinion of the Portuguese judge</w:t>
      </w:r>
      <w:r w:rsidR="00E30B95">
        <w:rPr>
          <w:lang w:val="en-US"/>
        </w:rPr>
        <w:t xml:space="preserve"> </w:t>
      </w:r>
      <w:r w:rsidR="00E30B95" w:rsidRPr="00E30B95">
        <w:rPr>
          <w:lang w:val="en-US"/>
        </w:rPr>
        <w:t>Pinto de Albuquerque</w:t>
      </w:r>
      <w:r w:rsidR="00D37BB1" w:rsidRPr="00D37BB1">
        <w:rPr>
          <w:lang w:val="en-US"/>
        </w:rPr>
        <w:t xml:space="preserve">. He </w:t>
      </w:r>
      <w:r w:rsidR="00D37BB1" w:rsidRPr="00D37BB1">
        <w:rPr>
          <w:lang w:val="en-US"/>
        </w:rPr>
        <w:lastRenderedPageBreak/>
        <w:t>argues that the right to parental leave is not only a social right but also a core element of the right to a family life, independent from the non-discrimination principle</w:t>
      </w:r>
      <w:r w:rsidR="00D37BB1" w:rsidRPr="00D37BB1">
        <w:rPr>
          <w:vertAlign w:val="superscript"/>
          <w:lang w:val="en-US"/>
        </w:rPr>
        <w:footnoteReference w:id="635"/>
      </w:r>
      <w:r w:rsidR="00D37BB1" w:rsidRPr="00D37BB1">
        <w:rPr>
          <w:lang w:val="en-US"/>
        </w:rPr>
        <w:t xml:space="preserve">.   </w:t>
      </w:r>
    </w:p>
    <w:p w:rsidR="00D37BB1" w:rsidRPr="00D37BB1" w:rsidRDefault="00D37BB1" w:rsidP="00687D8A">
      <w:pPr>
        <w:spacing w:line="360" w:lineRule="auto"/>
        <w:jc w:val="both"/>
        <w:rPr>
          <w:u w:val="single"/>
          <w:lang w:val="en-US"/>
        </w:rPr>
      </w:pPr>
      <w:r w:rsidRPr="00D37BB1">
        <w:rPr>
          <w:u w:val="single"/>
          <w:lang w:val="en-US"/>
        </w:rPr>
        <w:t xml:space="preserve">The International </w:t>
      </w:r>
      <w:proofErr w:type="spellStart"/>
      <w:r w:rsidRPr="00D37BB1">
        <w:rPr>
          <w:u w:val="single"/>
          <w:lang w:val="en-US"/>
        </w:rPr>
        <w:t>Labour</w:t>
      </w:r>
      <w:proofErr w:type="spellEnd"/>
      <w:r w:rsidRPr="00D37BB1">
        <w:rPr>
          <w:u w:val="single"/>
          <w:lang w:val="en-US"/>
        </w:rPr>
        <w:t xml:space="preserve"> Organization </w:t>
      </w:r>
    </w:p>
    <w:p w:rsidR="00D37BB1" w:rsidRPr="00D37BB1" w:rsidRDefault="00083C6A" w:rsidP="00687D8A">
      <w:pPr>
        <w:spacing w:line="360" w:lineRule="auto"/>
        <w:jc w:val="both"/>
        <w:rPr>
          <w:lang w:val="en-US"/>
        </w:rPr>
      </w:pPr>
      <w:r>
        <w:rPr>
          <w:i/>
          <w:lang w:val="en-US"/>
        </w:rPr>
        <w:t>96</w:t>
      </w:r>
      <w:r w:rsidR="00243FC9" w:rsidRPr="00243FC9">
        <w:rPr>
          <w:i/>
          <w:lang w:val="en-US"/>
        </w:rPr>
        <w:t>.</w:t>
      </w:r>
      <w:r w:rsidR="00243FC9">
        <w:rPr>
          <w:lang w:val="en-US"/>
        </w:rPr>
        <w:t xml:space="preserve"> </w:t>
      </w:r>
      <w:r w:rsidR="00D37BB1" w:rsidRPr="00D37BB1">
        <w:rPr>
          <w:lang w:val="en-US"/>
        </w:rPr>
        <w:t>None of the ILO Conventions explicitly confers a right to parental leave. The recommendations to Conventions 156</w:t>
      </w:r>
      <w:r w:rsidR="00D37BB1" w:rsidRPr="00D37BB1">
        <w:rPr>
          <w:vertAlign w:val="superscript"/>
          <w:lang w:val="en-US"/>
        </w:rPr>
        <w:footnoteReference w:id="636"/>
      </w:r>
      <w:r w:rsidR="00D37BB1" w:rsidRPr="00D37BB1">
        <w:rPr>
          <w:lang w:val="en-US"/>
        </w:rPr>
        <w:t xml:space="preserve"> and 183</w:t>
      </w:r>
      <w:r w:rsidR="00D37BB1" w:rsidRPr="00D37BB1">
        <w:rPr>
          <w:vertAlign w:val="superscript"/>
          <w:lang w:val="en-US"/>
        </w:rPr>
        <w:footnoteReference w:id="637"/>
      </w:r>
      <w:r w:rsidR="00D37BB1" w:rsidRPr="00D37BB1">
        <w:rPr>
          <w:lang w:val="en-US"/>
        </w:rPr>
        <w:t xml:space="preserve"> do encourage states to give parents the opportunity to take parental leave</w:t>
      </w:r>
      <w:r w:rsidR="00D37BB1" w:rsidRPr="00D37BB1">
        <w:rPr>
          <w:vertAlign w:val="superscript"/>
          <w:lang w:val="en-US"/>
        </w:rPr>
        <w:footnoteReference w:id="638"/>
      </w:r>
      <w:r w:rsidR="00D37BB1" w:rsidRPr="00D37BB1">
        <w:rPr>
          <w:lang w:val="en-US"/>
        </w:rPr>
        <w:t>. The leave may be introduced gradually if necessary but it cannot be restricted to the mother only</w:t>
      </w:r>
      <w:r w:rsidR="00D37BB1" w:rsidRPr="00D37BB1">
        <w:rPr>
          <w:vertAlign w:val="superscript"/>
          <w:lang w:val="en-US"/>
        </w:rPr>
        <w:footnoteReference w:id="639"/>
      </w:r>
      <w:r w:rsidR="00D37BB1" w:rsidRPr="00D37BB1">
        <w:rPr>
          <w:lang w:val="en-US"/>
        </w:rPr>
        <w:t>. Since female and male workers with young children are equally positioned, refusal to grant parental leave to a man amounts to direct sex discrimination under Convention 111 on discrimination</w:t>
      </w:r>
      <w:r w:rsidR="00D37BB1" w:rsidRPr="00D37BB1">
        <w:rPr>
          <w:vertAlign w:val="superscript"/>
          <w:lang w:val="en-US"/>
        </w:rPr>
        <w:footnoteReference w:id="640"/>
      </w:r>
      <w:r w:rsidR="00D37BB1" w:rsidRPr="00D37BB1">
        <w:rPr>
          <w:lang w:val="en-US"/>
        </w:rPr>
        <w:t xml:space="preserve">.      </w:t>
      </w:r>
    </w:p>
    <w:p w:rsidR="00D37BB1" w:rsidRPr="00D37BB1" w:rsidRDefault="00D37BB1" w:rsidP="00687D8A">
      <w:pPr>
        <w:spacing w:line="360" w:lineRule="auto"/>
        <w:jc w:val="both"/>
        <w:rPr>
          <w:u w:val="single"/>
          <w:lang w:val="en-US"/>
        </w:rPr>
      </w:pPr>
      <w:r w:rsidRPr="00D37BB1">
        <w:rPr>
          <w:u w:val="single"/>
          <w:lang w:val="en-US"/>
        </w:rPr>
        <w:t>The UN Convention on the Elimination of All Forms of Discrimination against Women</w:t>
      </w:r>
    </w:p>
    <w:p w:rsidR="00D37BB1" w:rsidRPr="00D37BB1" w:rsidRDefault="00BD420E" w:rsidP="00687D8A">
      <w:pPr>
        <w:spacing w:line="360" w:lineRule="auto"/>
        <w:jc w:val="both"/>
        <w:rPr>
          <w:lang w:val="en-US"/>
        </w:rPr>
      </w:pPr>
      <w:r>
        <w:rPr>
          <w:i/>
          <w:lang w:val="en-US"/>
        </w:rPr>
        <w:t>97</w:t>
      </w:r>
      <w:r w:rsidR="00243FC9" w:rsidRPr="00243FC9">
        <w:rPr>
          <w:i/>
          <w:lang w:val="en-US"/>
        </w:rPr>
        <w:t>.</w:t>
      </w:r>
      <w:r w:rsidR="00243FC9">
        <w:rPr>
          <w:lang w:val="en-US"/>
        </w:rPr>
        <w:t xml:space="preserve"> </w:t>
      </w:r>
      <w:r w:rsidR="00D37BB1" w:rsidRPr="00D37BB1">
        <w:rPr>
          <w:lang w:val="en-US"/>
        </w:rPr>
        <w:t>The Convention on the Elimination of Discrimination against Women does not explicitly recognize parental leave. A combined reading of the Convention’s preamble</w:t>
      </w:r>
      <w:r w:rsidR="00D37BB1" w:rsidRPr="00D37BB1">
        <w:rPr>
          <w:vertAlign w:val="superscript"/>
          <w:lang w:val="en-US"/>
        </w:rPr>
        <w:footnoteReference w:id="641"/>
      </w:r>
      <w:r w:rsidR="00D37BB1" w:rsidRPr="00D37BB1">
        <w:rPr>
          <w:lang w:val="en-US"/>
        </w:rPr>
        <w:t xml:space="preserve"> and several of its articles</w:t>
      </w:r>
      <w:r w:rsidR="00D37BB1" w:rsidRPr="00D37BB1">
        <w:rPr>
          <w:vertAlign w:val="superscript"/>
          <w:lang w:val="en-US"/>
        </w:rPr>
        <w:footnoteReference w:id="642"/>
      </w:r>
      <w:r w:rsidR="00D37BB1" w:rsidRPr="00D37BB1">
        <w:rPr>
          <w:lang w:val="en-US"/>
        </w:rPr>
        <w:t xml:space="preserve"> however demonstrate</w:t>
      </w:r>
      <w:r w:rsidR="00247FA1">
        <w:rPr>
          <w:lang w:val="en-US"/>
        </w:rPr>
        <w:t>s that it has been</w:t>
      </w:r>
      <w:r w:rsidR="00D37BB1" w:rsidRPr="00D37BB1">
        <w:rPr>
          <w:lang w:val="en-US"/>
        </w:rPr>
        <w:t xml:space="preserve"> covered. The Convention’s drafters believed that real equality between women and men cannot be achieved as long as stereotyped roles were conserved</w:t>
      </w:r>
      <w:r w:rsidR="00D37BB1" w:rsidRPr="00D37BB1">
        <w:rPr>
          <w:vertAlign w:val="superscript"/>
          <w:lang w:val="en-US"/>
        </w:rPr>
        <w:footnoteReference w:id="643"/>
      </w:r>
      <w:r w:rsidR="00D37BB1" w:rsidRPr="00D37BB1">
        <w:rPr>
          <w:lang w:val="en-US"/>
        </w:rPr>
        <w:t>. Men’s involvement in unpaid household work and the upbringing of their children is viewed as an effective way to erode the stereotyped beliefs of women as homemakers and men as breadwinners and heads of the family. The provision of parental leave is one way to increase such involvement on the part of men. The Committee’s concluding observations display that a more equal sharing of domestic and family tasks between men and women is of the utmost importance for women’s employment position</w:t>
      </w:r>
      <w:r w:rsidR="00D37BB1" w:rsidRPr="00D37BB1">
        <w:rPr>
          <w:vertAlign w:val="superscript"/>
          <w:lang w:val="en-US"/>
        </w:rPr>
        <w:footnoteReference w:id="644"/>
      </w:r>
      <w:r w:rsidR="00692E08">
        <w:rPr>
          <w:lang w:val="en-US"/>
        </w:rPr>
        <w:t>. Countries that have</w:t>
      </w:r>
      <w:r w:rsidR="00D37BB1" w:rsidRPr="00D37BB1">
        <w:rPr>
          <w:lang w:val="en-US"/>
        </w:rPr>
        <w:t xml:space="preserve"> not</w:t>
      </w:r>
      <w:r w:rsidR="00692E08">
        <w:rPr>
          <w:lang w:val="en-US"/>
        </w:rPr>
        <w:t xml:space="preserve"> as yet mad</w:t>
      </w:r>
      <w:r w:rsidR="00D37BB1" w:rsidRPr="00D37BB1">
        <w:rPr>
          <w:lang w:val="en-US"/>
        </w:rPr>
        <w:t xml:space="preserve">e provision for a period of parental leave are instigated to </w:t>
      </w:r>
      <w:r w:rsidR="00D37BB1" w:rsidRPr="00D37BB1">
        <w:rPr>
          <w:lang w:val="en-US"/>
        </w:rPr>
        <w:lastRenderedPageBreak/>
        <w:t>pass the necessary legislation</w:t>
      </w:r>
      <w:r w:rsidR="00D37BB1" w:rsidRPr="00D37BB1">
        <w:rPr>
          <w:vertAlign w:val="superscript"/>
          <w:lang w:val="en-US"/>
        </w:rPr>
        <w:footnoteReference w:id="645"/>
      </w:r>
      <w:r w:rsidR="00D37BB1" w:rsidRPr="00D37BB1">
        <w:rPr>
          <w:lang w:val="en-US"/>
        </w:rPr>
        <w:t>. When the state party already has a parental leave system it will ascertain whether or not it entrenches stereotypical expectations and discrimination against women</w:t>
      </w:r>
      <w:r w:rsidR="00D37BB1" w:rsidRPr="00D37BB1">
        <w:rPr>
          <w:vertAlign w:val="superscript"/>
          <w:lang w:val="en-US"/>
        </w:rPr>
        <w:footnoteReference w:id="646"/>
      </w:r>
      <w:r w:rsidR="00D37BB1" w:rsidRPr="00D37BB1">
        <w:rPr>
          <w:lang w:val="en-US"/>
        </w:rPr>
        <w:t>. The Committee’s evaluation standards are stricter than the EU and European Social Charter requirements. Parental leave can only improve women’s position when it is granted, without exception, on a non-transferable basis</w:t>
      </w:r>
      <w:r w:rsidR="00D37BB1" w:rsidRPr="00D37BB1">
        <w:rPr>
          <w:vertAlign w:val="superscript"/>
          <w:lang w:val="en-US"/>
        </w:rPr>
        <w:footnoteReference w:id="647"/>
      </w:r>
      <w:r w:rsidR="00D37BB1" w:rsidRPr="00D37BB1">
        <w:rPr>
          <w:lang w:val="en-US"/>
        </w:rPr>
        <w:t>. The period of leave must be compensated</w:t>
      </w:r>
      <w:r w:rsidR="00D37BB1" w:rsidRPr="00D37BB1">
        <w:rPr>
          <w:vertAlign w:val="superscript"/>
          <w:lang w:val="en-US"/>
        </w:rPr>
        <w:footnoteReference w:id="648"/>
      </w:r>
      <w:r w:rsidR="00D37BB1" w:rsidRPr="00D37BB1">
        <w:rPr>
          <w:lang w:val="en-US"/>
        </w:rPr>
        <w:t>. If the percentage of men availing themselves of their right to parental leave remains low</w:t>
      </w:r>
      <w:r w:rsidR="00C26348">
        <w:rPr>
          <w:lang w:val="en-US"/>
        </w:rPr>
        <w:t>,</w:t>
      </w:r>
      <w:r w:rsidR="00D37BB1" w:rsidRPr="00D37BB1">
        <w:rPr>
          <w:lang w:val="en-US"/>
        </w:rPr>
        <w:t xml:space="preserve"> then the state must institute additional incentives such as an increase in the amount of compensation</w:t>
      </w:r>
      <w:r w:rsidR="00D37BB1" w:rsidRPr="00D37BB1">
        <w:rPr>
          <w:vertAlign w:val="superscript"/>
          <w:lang w:val="en-US"/>
        </w:rPr>
        <w:footnoteReference w:id="649"/>
      </w:r>
      <w:r w:rsidR="00D37BB1" w:rsidRPr="00D37BB1">
        <w:rPr>
          <w:lang w:val="en-US"/>
        </w:rPr>
        <w:t>. In one concluding observation it appears as if the Committee requests the state to compel fathers to take parental leave</w:t>
      </w:r>
      <w:r w:rsidR="00D37BB1" w:rsidRPr="00D37BB1">
        <w:rPr>
          <w:vertAlign w:val="superscript"/>
          <w:lang w:val="en-US"/>
        </w:rPr>
        <w:footnoteReference w:id="650"/>
      </w:r>
      <w:r w:rsidR="00D37BB1" w:rsidRPr="00D37BB1">
        <w:rPr>
          <w:lang w:val="en-US"/>
        </w:rPr>
        <w:t>. Parties who succeeded in increasing the number of fathers on parental leave have been applauded by the Committee</w:t>
      </w:r>
      <w:r w:rsidR="00D37BB1" w:rsidRPr="00D37BB1">
        <w:rPr>
          <w:vertAlign w:val="superscript"/>
          <w:lang w:val="en-US"/>
        </w:rPr>
        <w:footnoteReference w:id="651"/>
      </w:r>
      <w:r w:rsidR="00D37BB1" w:rsidRPr="00D37BB1">
        <w:rPr>
          <w:lang w:val="en-US"/>
        </w:rPr>
        <w:t xml:space="preserve">.   </w:t>
      </w:r>
    </w:p>
    <w:p w:rsidR="00D37BB1" w:rsidRPr="00D37BB1" w:rsidRDefault="00430154" w:rsidP="00687D8A">
      <w:pPr>
        <w:spacing w:line="360" w:lineRule="auto"/>
        <w:jc w:val="both"/>
        <w:rPr>
          <w:lang w:val="en-US"/>
        </w:rPr>
      </w:pPr>
      <w:r>
        <w:rPr>
          <w:i/>
          <w:lang w:val="en-US"/>
        </w:rPr>
        <w:t>98</w:t>
      </w:r>
      <w:r w:rsidR="00C50291" w:rsidRPr="00C50291">
        <w:rPr>
          <w:i/>
          <w:lang w:val="en-US"/>
        </w:rPr>
        <w:t>.</w:t>
      </w:r>
      <w:r w:rsidR="00C50291">
        <w:rPr>
          <w:lang w:val="en-US"/>
        </w:rPr>
        <w:t xml:space="preserve"> </w:t>
      </w:r>
      <w:r w:rsidR="00D37BB1" w:rsidRPr="00D37BB1">
        <w:rPr>
          <w:lang w:val="en-US"/>
        </w:rPr>
        <w:t>Parental leave is a d</w:t>
      </w:r>
      <w:r w:rsidR="008E3163">
        <w:rPr>
          <w:lang w:val="en-US"/>
        </w:rPr>
        <w:t>ouble edged sword. If it is granted, organized and used</w:t>
      </w:r>
      <w:r w:rsidR="00D37BB1" w:rsidRPr="00D37BB1">
        <w:rPr>
          <w:lang w:val="en-US"/>
        </w:rPr>
        <w:t xml:space="preserve"> correctly it may considerably contribute to an improvement in women’s employment and societal position. If it is used incorrectly, it will only perpetuate the stereotype of women as homemakers</w:t>
      </w:r>
      <w:r w:rsidR="00D37BB1" w:rsidRPr="00D37BB1">
        <w:rPr>
          <w:vertAlign w:val="superscript"/>
          <w:lang w:val="en-US"/>
        </w:rPr>
        <w:footnoteReference w:id="652"/>
      </w:r>
      <w:r w:rsidR="00D37BB1" w:rsidRPr="00D37BB1">
        <w:rPr>
          <w:lang w:val="en-US"/>
        </w:rPr>
        <w:t>. The UN Committee on the Elimination of Discrimination against Women is fully aware of the potential dangers of parental leave</w:t>
      </w:r>
      <w:r w:rsidR="00D37BB1" w:rsidRPr="00D37BB1">
        <w:rPr>
          <w:vertAlign w:val="superscript"/>
          <w:lang w:val="en-US"/>
        </w:rPr>
        <w:footnoteReference w:id="653"/>
      </w:r>
      <w:r w:rsidR="00D37BB1" w:rsidRPr="00D37BB1">
        <w:rPr>
          <w:lang w:val="en-US"/>
        </w:rPr>
        <w:t>. The European Committee of Social Rights appears to, at least partially, adhere to the UN Committee’s position. The EU legislator however does not. The EU directives’ adoption was well-meant but they will probably not contribute to a better position for women workers</w:t>
      </w:r>
      <w:r w:rsidR="00D37BB1" w:rsidRPr="00D37BB1">
        <w:rPr>
          <w:vertAlign w:val="superscript"/>
          <w:lang w:val="en-US"/>
        </w:rPr>
        <w:footnoteReference w:id="654"/>
      </w:r>
      <w:r w:rsidR="00D37BB1" w:rsidRPr="00D37BB1">
        <w:rPr>
          <w:lang w:val="en-US"/>
        </w:rPr>
        <w:t xml:space="preserve">.   </w:t>
      </w:r>
    </w:p>
    <w:p w:rsidR="00D37BB1" w:rsidRDefault="00D37BB1" w:rsidP="00687D8A">
      <w:pPr>
        <w:spacing w:line="360" w:lineRule="auto"/>
        <w:jc w:val="both"/>
        <w:rPr>
          <w:lang w:val="en-US"/>
        </w:rPr>
      </w:pPr>
    </w:p>
    <w:p w:rsidR="004B3B8E" w:rsidRDefault="004B3B8E" w:rsidP="00687D8A">
      <w:pPr>
        <w:spacing w:line="360" w:lineRule="auto"/>
        <w:jc w:val="both"/>
        <w:rPr>
          <w:lang w:val="en-US"/>
        </w:rPr>
      </w:pPr>
    </w:p>
    <w:p w:rsidR="00D37BB1" w:rsidRPr="00D37BB1" w:rsidRDefault="00D37BB1" w:rsidP="00687D8A">
      <w:pPr>
        <w:spacing w:line="360" w:lineRule="auto"/>
        <w:jc w:val="both"/>
        <w:rPr>
          <w:lang w:val="en-US"/>
        </w:rPr>
      </w:pPr>
      <w:r w:rsidRPr="00D37BB1">
        <w:rPr>
          <w:lang w:val="en-US"/>
        </w:rPr>
        <w:lastRenderedPageBreak/>
        <w:t>§2. Child-Care Services</w:t>
      </w:r>
    </w:p>
    <w:p w:rsidR="00D37BB1" w:rsidRPr="00D37BB1" w:rsidRDefault="00D37BB1" w:rsidP="00687D8A">
      <w:pPr>
        <w:spacing w:line="360" w:lineRule="auto"/>
        <w:jc w:val="both"/>
        <w:rPr>
          <w:u w:val="single"/>
          <w:lang w:val="en-US"/>
        </w:rPr>
      </w:pPr>
      <w:r w:rsidRPr="00D37BB1">
        <w:rPr>
          <w:u w:val="single"/>
          <w:lang w:val="en-US"/>
        </w:rPr>
        <w:t xml:space="preserve">Introduction </w:t>
      </w:r>
    </w:p>
    <w:p w:rsidR="00D37BB1" w:rsidRPr="00D37BB1" w:rsidRDefault="003B33FA" w:rsidP="00687D8A">
      <w:pPr>
        <w:spacing w:line="360" w:lineRule="auto"/>
        <w:jc w:val="both"/>
        <w:rPr>
          <w:lang w:val="en-US"/>
        </w:rPr>
      </w:pPr>
      <w:r>
        <w:rPr>
          <w:i/>
          <w:lang w:val="en-US"/>
        </w:rPr>
        <w:t>99</w:t>
      </w:r>
      <w:r w:rsidR="007B68E0" w:rsidRPr="007B68E0">
        <w:rPr>
          <w:i/>
          <w:lang w:val="en-US"/>
        </w:rPr>
        <w:t>.</w:t>
      </w:r>
      <w:r w:rsidR="007B68E0">
        <w:rPr>
          <w:lang w:val="en-US"/>
        </w:rPr>
        <w:t xml:space="preserve"> </w:t>
      </w:r>
      <w:r w:rsidR="00D37BB1" w:rsidRPr="00D37BB1">
        <w:rPr>
          <w:lang w:val="en-US"/>
        </w:rPr>
        <w:t>Parental leave, as discussed in the previous section, is a kind of informal child</w:t>
      </w:r>
      <w:r w:rsidR="00860E06">
        <w:rPr>
          <w:lang w:val="en-US"/>
        </w:rPr>
        <w:t>-</w:t>
      </w:r>
      <w:r w:rsidR="00D37BB1" w:rsidRPr="00D37BB1">
        <w:rPr>
          <w:lang w:val="en-US"/>
        </w:rPr>
        <w:t>care. Other persons who often engage in informal child</w:t>
      </w:r>
      <w:r w:rsidR="00A73916">
        <w:rPr>
          <w:lang w:val="en-US"/>
        </w:rPr>
        <w:t>-</w:t>
      </w:r>
      <w:r w:rsidR="00D37BB1" w:rsidRPr="00D37BB1">
        <w:rPr>
          <w:lang w:val="en-US"/>
        </w:rPr>
        <w:t>care are grandparents, other relatives and friends</w:t>
      </w:r>
      <w:r w:rsidR="00D37BB1" w:rsidRPr="00D37BB1">
        <w:rPr>
          <w:vertAlign w:val="superscript"/>
          <w:lang w:val="en-US"/>
        </w:rPr>
        <w:footnoteReference w:id="655"/>
      </w:r>
      <w:r w:rsidR="00D37BB1" w:rsidRPr="00D37BB1">
        <w:rPr>
          <w:lang w:val="en-US"/>
        </w:rPr>
        <w:t>. This section will be concerned with formal child</w:t>
      </w:r>
      <w:r w:rsidR="007948CF">
        <w:rPr>
          <w:lang w:val="en-US"/>
        </w:rPr>
        <w:t>-</w:t>
      </w:r>
      <w:r w:rsidR="00D37BB1" w:rsidRPr="00D37BB1">
        <w:rPr>
          <w:lang w:val="en-US"/>
        </w:rPr>
        <w:t>care, organized by registered and qualified providers</w:t>
      </w:r>
      <w:r w:rsidR="00D37BB1" w:rsidRPr="00D37BB1">
        <w:rPr>
          <w:vertAlign w:val="superscript"/>
          <w:lang w:val="en-US"/>
        </w:rPr>
        <w:footnoteReference w:id="656"/>
      </w:r>
      <w:r w:rsidR="00D37BB1" w:rsidRPr="00D37BB1">
        <w:rPr>
          <w:lang w:val="en-US"/>
        </w:rPr>
        <w:t>. A lack of adequate child-care facilities negatively affects women’s careers because they are under the most pressure to stay home to take care of the child themselves. It must however be mentioned that access to child</w:t>
      </w:r>
      <w:r w:rsidR="00F96A2C">
        <w:rPr>
          <w:lang w:val="en-US"/>
        </w:rPr>
        <w:t>-</w:t>
      </w:r>
      <w:r w:rsidR="00D37BB1" w:rsidRPr="00D37BB1">
        <w:rPr>
          <w:lang w:val="en-US"/>
        </w:rPr>
        <w:t>care services does not target more entrenched gender inequality. The existence of formal child</w:t>
      </w:r>
      <w:r w:rsidR="0043712C">
        <w:rPr>
          <w:lang w:val="en-US"/>
        </w:rPr>
        <w:t>-</w:t>
      </w:r>
      <w:r w:rsidR="00D37BB1" w:rsidRPr="00D37BB1">
        <w:rPr>
          <w:lang w:val="en-US"/>
        </w:rPr>
        <w:t>care does not increase men’s participation in caring responsibilities and hence does not modify existing stereotypes</w:t>
      </w:r>
      <w:r w:rsidR="00D37BB1" w:rsidRPr="00D37BB1">
        <w:rPr>
          <w:vertAlign w:val="superscript"/>
          <w:lang w:val="en-US"/>
        </w:rPr>
        <w:footnoteReference w:id="657"/>
      </w:r>
      <w:r w:rsidR="00D37BB1" w:rsidRPr="00D37BB1">
        <w:rPr>
          <w:lang w:val="en-US"/>
        </w:rPr>
        <w:t>.</w:t>
      </w:r>
    </w:p>
    <w:p w:rsidR="00D37BB1" w:rsidRPr="00D37BB1" w:rsidRDefault="00D37BB1" w:rsidP="00687D8A">
      <w:pPr>
        <w:spacing w:line="360" w:lineRule="auto"/>
        <w:jc w:val="both"/>
        <w:rPr>
          <w:u w:val="single"/>
          <w:lang w:val="en-US"/>
        </w:rPr>
      </w:pPr>
      <w:r w:rsidRPr="00D37BB1">
        <w:rPr>
          <w:u w:val="single"/>
          <w:lang w:val="en-US"/>
        </w:rPr>
        <w:t xml:space="preserve">The European Union </w:t>
      </w:r>
    </w:p>
    <w:p w:rsidR="00D37BB1" w:rsidRPr="00D37BB1" w:rsidRDefault="003B33FA" w:rsidP="00687D8A">
      <w:pPr>
        <w:spacing w:line="360" w:lineRule="auto"/>
        <w:jc w:val="both"/>
        <w:rPr>
          <w:b/>
          <w:lang w:val="en-US"/>
        </w:rPr>
      </w:pPr>
      <w:r>
        <w:rPr>
          <w:i/>
          <w:lang w:val="en-US"/>
        </w:rPr>
        <w:t>100</w:t>
      </w:r>
      <w:r w:rsidR="007B68E0" w:rsidRPr="007B68E0">
        <w:rPr>
          <w:i/>
          <w:lang w:val="en-US"/>
        </w:rPr>
        <w:t>.</w:t>
      </w:r>
      <w:r w:rsidR="007B68E0">
        <w:rPr>
          <w:lang w:val="en-US"/>
        </w:rPr>
        <w:t xml:space="preserve"> </w:t>
      </w:r>
      <w:r w:rsidR="00D37BB1" w:rsidRPr="00D37BB1">
        <w:rPr>
          <w:lang w:val="en-US"/>
        </w:rPr>
        <w:t xml:space="preserve">The political EU institutions </w:t>
      </w:r>
      <w:r w:rsidR="005C0E19">
        <w:rPr>
          <w:lang w:val="en-US"/>
        </w:rPr>
        <w:t xml:space="preserve">have </w:t>
      </w:r>
      <w:r w:rsidR="00D37BB1" w:rsidRPr="00D37BB1">
        <w:rPr>
          <w:lang w:val="en-US"/>
        </w:rPr>
        <w:t>already recognize</w:t>
      </w:r>
      <w:r w:rsidR="005C0E19">
        <w:rPr>
          <w:lang w:val="en-US"/>
        </w:rPr>
        <w:t>d</w:t>
      </w:r>
      <w:r w:rsidR="00D37BB1" w:rsidRPr="00D37BB1">
        <w:rPr>
          <w:lang w:val="en-US"/>
        </w:rPr>
        <w:t xml:space="preserve"> for quite some time that the provision of decent child-care services positively influences women’s employment opportunities. Soft-law instruments have been adopted</w:t>
      </w:r>
      <w:r w:rsidR="00D37BB1" w:rsidRPr="00D37BB1">
        <w:rPr>
          <w:vertAlign w:val="superscript"/>
          <w:lang w:val="en-US"/>
        </w:rPr>
        <w:footnoteReference w:id="658"/>
      </w:r>
      <w:r w:rsidR="00D37BB1" w:rsidRPr="00D37BB1">
        <w:rPr>
          <w:lang w:val="en-US"/>
        </w:rPr>
        <w:t>, targets have been set</w:t>
      </w:r>
      <w:r w:rsidR="00D37BB1" w:rsidRPr="00D37BB1">
        <w:rPr>
          <w:vertAlign w:val="superscript"/>
          <w:lang w:val="en-US"/>
        </w:rPr>
        <w:footnoteReference w:id="659"/>
      </w:r>
      <w:r w:rsidR="00D37BB1" w:rsidRPr="00D37BB1">
        <w:rPr>
          <w:lang w:val="en-US"/>
        </w:rPr>
        <w:t xml:space="preserve"> and child-care facilities are mentioned in the preambles of two directives</w:t>
      </w:r>
      <w:r w:rsidR="00D37BB1" w:rsidRPr="00D37BB1">
        <w:rPr>
          <w:vertAlign w:val="superscript"/>
          <w:lang w:val="en-US"/>
        </w:rPr>
        <w:footnoteReference w:id="660"/>
      </w:r>
      <w:r w:rsidR="00D37BB1" w:rsidRPr="00D37BB1">
        <w:rPr>
          <w:lang w:val="en-US"/>
        </w:rPr>
        <w:t>. For all that, the EU still lacks a legally binding instrument on child-care. This absence of minimum standards has led to considerable differences in available chil</w:t>
      </w:r>
      <w:r w:rsidR="000F6381">
        <w:rPr>
          <w:lang w:val="en-US"/>
        </w:rPr>
        <w:t>d-care services in the various member s</w:t>
      </w:r>
      <w:r w:rsidR="00D37BB1" w:rsidRPr="00D37BB1">
        <w:rPr>
          <w:lang w:val="en-US"/>
        </w:rPr>
        <w:t>tates</w:t>
      </w:r>
      <w:r w:rsidR="00D37BB1" w:rsidRPr="00D37BB1">
        <w:rPr>
          <w:vertAlign w:val="superscript"/>
          <w:lang w:val="en-US"/>
        </w:rPr>
        <w:footnoteReference w:id="661"/>
      </w:r>
      <w:r w:rsidR="00D37BB1" w:rsidRPr="00D37BB1">
        <w:rPr>
          <w:lang w:val="en-US"/>
        </w:rPr>
        <w:t>. When the European Court of Justice faced the topic of child-care facilities</w:t>
      </w:r>
      <w:r w:rsidR="00D37BB1" w:rsidRPr="00D37BB1">
        <w:rPr>
          <w:vertAlign w:val="superscript"/>
          <w:lang w:val="en-US"/>
        </w:rPr>
        <w:footnoteReference w:id="662"/>
      </w:r>
      <w:r w:rsidR="00D37BB1" w:rsidRPr="00D37BB1">
        <w:rPr>
          <w:lang w:val="en-US"/>
        </w:rPr>
        <w:t>, it chose a rather shallow approach</w:t>
      </w:r>
      <w:r w:rsidR="00D37BB1" w:rsidRPr="00D37BB1">
        <w:rPr>
          <w:vertAlign w:val="superscript"/>
          <w:lang w:val="en-US"/>
        </w:rPr>
        <w:footnoteReference w:id="663"/>
      </w:r>
      <w:r w:rsidR="00D37BB1" w:rsidRPr="00D37BB1">
        <w:rPr>
          <w:lang w:val="en-US"/>
        </w:rPr>
        <w:t xml:space="preserve">. Austrian law provided for a higher termination payment if a worker resigned for an ‘important reason’. A female employee needed to terminate her employment contract because she could not find a nursery place for her very young children. According to </w:t>
      </w:r>
      <w:r w:rsidR="00D37BB1" w:rsidRPr="00D37BB1">
        <w:rPr>
          <w:lang w:val="en-US"/>
        </w:rPr>
        <w:lastRenderedPageBreak/>
        <w:t xml:space="preserve">the Court, lack of child-care facilities did not constitute an important reason. The woman’s claim for the higher termination payment under article 157 TFEU was accordingly rejected.   </w:t>
      </w:r>
    </w:p>
    <w:p w:rsidR="00D37BB1" w:rsidRPr="00D37BB1" w:rsidRDefault="003B33FA" w:rsidP="00687D8A">
      <w:pPr>
        <w:spacing w:line="360" w:lineRule="auto"/>
        <w:jc w:val="both"/>
        <w:rPr>
          <w:lang w:val="en-US"/>
        </w:rPr>
      </w:pPr>
      <w:r>
        <w:rPr>
          <w:i/>
          <w:lang w:val="en-US"/>
        </w:rPr>
        <w:t>101</w:t>
      </w:r>
      <w:r w:rsidR="00B76656" w:rsidRPr="00B76656">
        <w:rPr>
          <w:i/>
          <w:lang w:val="en-US"/>
        </w:rPr>
        <w:t>.</w:t>
      </w:r>
      <w:r w:rsidR="00B76656">
        <w:rPr>
          <w:lang w:val="en-US"/>
        </w:rPr>
        <w:t xml:space="preserve"> </w:t>
      </w:r>
      <w:r w:rsidR="00D37BB1" w:rsidRPr="00D37BB1">
        <w:rPr>
          <w:lang w:val="en-US"/>
        </w:rPr>
        <w:t>Not surprisingly, the EU Charter does not make explicit reference to child-care services. Article 33(1) states that the famil</w:t>
      </w:r>
      <w:r w:rsidR="009C27AD">
        <w:rPr>
          <w:lang w:val="en-US"/>
        </w:rPr>
        <w:t xml:space="preserve">y will </w:t>
      </w:r>
      <w:r w:rsidR="00D37BB1" w:rsidRPr="00D37BB1">
        <w:rPr>
          <w:lang w:val="en-US"/>
        </w:rPr>
        <w:t>enjoy legal, economic and social protection. According to the Charter’s explanatory report, article 33(1) is based on article 16 of the Europea</w:t>
      </w:r>
      <w:r w:rsidR="008D6337">
        <w:rPr>
          <w:lang w:val="en-US"/>
        </w:rPr>
        <w:t>n Social Charter (</w:t>
      </w:r>
      <w:r w:rsidR="008D6337">
        <w:rPr>
          <w:i/>
          <w:lang w:val="en-US"/>
        </w:rPr>
        <w:t>supra no. 42</w:t>
      </w:r>
      <w:r w:rsidR="00D37BB1" w:rsidRPr="00D37BB1">
        <w:rPr>
          <w:lang w:val="en-US"/>
        </w:rPr>
        <w:t>)</w:t>
      </w:r>
      <w:r w:rsidR="008D6337">
        <w:rPr>
          <w:rStyle w:val="Voetnootmarkering"/>
          <w:lang w:val="en-US"/>
        </w:rPr>
        <w:footnoteReference w:id="664"/>
      </w:r>
      <w:r w:rsidR="00D37BB1" w:rsidRPr="00D37BB1">
        <w:rPr>
          <w:lang w:val="en-US"/>
        </w:rPr>
        <w:t xml:space="preserve">. This may indicate that once the EU legislator approves legally binding provisions on child-care facilities, article 33(1) of the Charter can be used for reinforcement and interpretation. </w:t>
      </w:r>
    </w:p>
    <w:p w:rsidR="00D37BB1" w:rsidRPr="00D37BB1" w:rsidRDefault="00D37BB1" w:rsidP="00687D8A">
      <w:pPr>
        <w:spacing w:line="360" w:lineRule="auto"/>
        <w:jc w:val="both"/>
        <w:rPr>
          <w:u w:val="single"/>
          <w:lang w:val="en-US"/>
        </w:rPr>
      </w:pPr>
      <w:r w:rsidRPr="00D37BB1">
        <w:rPr>
          <w:u w:val="single"/>
          <w:lang w:val="en-US"/>
        </w:rPr>
        <w:t xml:space="preserve">The </w:t>
      </w:r>
      <w:r w:rsidR="00F22A81">
        <w:rPr>
          <w:u w:val="single"/>
          <w:lang w:val="en-US"/>
        </w:rPr>
        <w:t xml:space="preserve">Revised </w:t>
      </w:r>
      <w:r w:rsidRPr="00D37BB1">
        <w:rPr>
          <w:u w:val="single"/>
          <w:lang w:val="en-US"/>
        </w:rPr>
        <w:t>European Social Charter</w:t>
      </w:r>
    </w:p>
    <w:p w:rsidR="00D37BB1" w:rsidRPr="00D37BB1" w:rsidRDefault="006E6972" w:rsidP="00687D8A">
      <w:pPr>
        <w:spacing w:line="360" w:lineRule="auto"/>
        <w:jc w:val="both"/>
        <w:rPr>
          <w:lang w:val="en-US"/>
        </w:rPr>
      </w:pPr>
      <w:r>
        <w:rPr>
          <w:i/>
          <w:lang w:val="en-US"/>
        </w:rPr>
        <w:t>102</w:t>
      </w:r>
      <w:r w:rsidR="00002666" w:rsidRPr="00002666">
        <w:rPr>
          <w:i/>
          <w:lang w:val="en-US"/>
        </w:rPr>
        <w:t>.</w:t>
      </w:r>
      <w:r w:rsidR="00002666">
        <w:rPr>
          <w:lang w:val="en-US"/>
        </w:rPr>
        <w:t xml:space="preserve"> </w:t>
      </w:r>
      <w:r w:rsidR="00D37BB1" w:rsidRPr="00D37BB1">
        <w:rPr>
          <w:lang w:val="en-US"/>
        </w:rPr>
        <w:t>The European Committee of Social Rights recognizes that child-care services are important for women’s employment opportunities</w:t>
      </w:r>
      <w:r w:rsidR="00D37BB1" w:rsidRPr="00D37BB1">
        <w:rPr>
          <w:vertAlign w:val="superscript"/>
          <w:lang w:val="en-US"/>
        </w:rPr>
        <w:footnoteReference w:id="665"/>
      </w:r>
      <w:r w:rsidR="00D37BB1" w:rsidRPr="00D37BB1">
        <w:rPr>
          <w:lang w:val="en-US"/>
        </w:rPr>
        <w:t>. In the absence of a more detailed provision in the original Charter, child-care facilities were classified under article 16 on the protection of the family</w:t>
      </w:r>
      <w:r w:rsidR="00D37BB1" w:rsidRPr="00D37BB1">
        <w:rPr>
          <w:vertAlign w:val="superscript"/>
          <w:lang w:val="en-US"/>
        </w:rPr>
        <w:footnoteReference w:id="666"/>
      </w:r>
      <w:r w:rsidR="00D37BB1" w:rsidRPr="00D37BB1">
        <w:rPr>
          <w:lang w:val="en-US"/>
        </w:rPr>
        <w:t>. State</w:t>
      </w:r>
      <w:r w:rsidR="00C31AF9">
        <w:rPr>
          <w:lang w:val="en-US"/>
        </w:rPr>
        <w:t>s</w:t>
      </w:r>
      <w:r w:rsidR="00D37BB1" w:rsidRPr="00D37BB1">
        <w:rPr>
          <w:lang w:val="en-US"/>
        </w:rPr>
        <w:t xml:space="preserve"> parties that accepted article 27(1) c) of the Revised Charter on child</w:t>
      </w:r>
      <w:r w:rsidR="00486A4D">
        <w:rPr>
          <w:lang w:val="en-US"/>
        </w:rPr>
        <w:t>-</w:t>
      </w:r>
      <w:r w:rsidR="00D37BB1" w:rsidRPr="00D37BB1">
        <w:rPr>
          <w:lang w:val="en-US"/>
        </w:rPr>
        <w:t xml:space="preserve">care arrangements need to supply information on their child-care system under this article. Other </w:t>
      </w:r>
      <w:r w:rsidR="009418C9">
        <w:rPr>
          <w:lang w:val="en-US"/>
        </w:rPr>
        <w:t xml:space="preserve">states </w:t>
      </w:r>
      <w:r w:rsidR="00D37BB1" w:rsidRPr="00D37BB1">
        <w:rPr>
          <w:lang w:val="en-US"/>
        </w:rPr>
        <w:t xml:space="preserve">parties’ facilities are still </w:t>
      </w:r>
      <w:r w:rsidR="005D57F9">
        <w:rPr>
          <w:lang w:val="en-US"/>
        </w:rPr>
        <w:t xml:space="preserve">being </w:t>
      </w:r>
      <w:r w:rsidR="00D37BB1" w:rsidRPr="00D37BB1">
        <w:rPr>
          <w:lang w:val="en-US"/>
        </w:rPr>
        <w:t>investigated under article 16</w:t>
      </w:r>
      <w:r w:rsidR="00D37BB1" w:rsidRPr="00D37BB1">
        <w:rPr>
          <w:vertAlign w:val="superscript"/>
          <w:lang w:val="en-US"/>
        </w:rPr>
        <w:footnoteReference w:id="667"/>
      </w:r>
      <w:r w:rsidR="00401F55">
        <w:rPr>
          <w:lang w:val="en-US"/>
        </w:rPr>
        <w:t>. The Committee analys</w:t>
      </w:r>
      <w:r w:rsidR="00D37BB1" w:rsidRPr="00D37BB1">
        <w:rPr>
          <w:lang w:val="en-US"/>
        </w:rPr>
        <w:t>es provided information with considerable precision. It examines amongst others whether or not there are sufficient child</w:t>
      </w:r>
      <w:r w:rsidR="00E03237">
        <w:rPr>
          <w:lang w:val="en-US"/>
        </w:rPr>
        <w:t>-</w:t>
      </w:r>
      <w:r w:rsidR="00D37BB1" w:rsidRPr="00D37BB1">
        <w:rPr>
          <w:lang w:val="en-US"/>
        </w:rPr>
        <w:t>care places</w:t>
      </w:r>
      <w:r w:rsidR="00D37BB1" w:rsidRPr="00D37BB1">
        <w:rPr>
          <w:vertAlign w:val="superscript"/>
          <w:lang w:val="en-US"/>
        </w:rPr>
        <w:footnoteReference w:id="668"/>
      </w:r>
      <w:r w:rsidR="00D37BB1" w:rsidRPr="00D37BB1">
        <w:rPr>
          <w:lang w:val="en-US"/>
        </w:rPr>
        <w:t>, whether the staff working in the facilities has suitable qualifications</w:t>
      </w:r>
      <w:r w:rsidR="00D37BB1" w:rsidRPr="00D37BB1">
        <w:rPr>
          <w:vertAlign w:val="superscript"/>
          <w:lang w:val="en-US"/>
        </w:rPr>
        <w:footnoteReference w:id="669"/>
      </w:r>
      <w:r w:rsidR="00D37BB1" w:rsidRPr="00D37BB1">
        <w:rPr>
          <w:lang w:val="en-US"/>
        </w:rPr>
        <w:t xml:space="preserve"> and how the facilities are inspected</w:t>
      </w:r>
      <w:r w:rsidR="00D37BB1" w:rsidRPr="00D37BB1">
        <w:rPr>
          <w:vertAlign w:val="superscript"/>
          <w:lang w:val="en-US"/>
        </w:rPr>
        <w:footnoteReference w:id="670"/>
      </w:r>
      <w:r w:rsidR="00D37BB1" w:rsidRPr="00D37BB1">
        <w:rPr>
          <w:lang w:val="en-US"/>
        </w:rPr>
        <w:t>. State</w:t>
      </w:r>
      <w:r w:rsidR="00626FD2">
        <w:rPr>
          <w:lang w:val="en-US"/>
        </w:rPr>
        <w:t>s</w:t>
      </w:r>
      <w:r w:rsidR="00D37BB1" w:rsidRPr="00D37BB1">
        <w:rPr>
          <w:lang w:val="en-US"/>
        </w:rPr>
        <w:t xml:space="preserve"> parties may arrange their system in many ways, such as crèches, kindergartens, family day care or as a form of pre-school</w:t>
      </w:r>
      <w:r w:rsidR="00D37BB1" w:rsidRPr="00D37BB1">
        <w:rPr>
          <w:vertAlign w:val="superscript"/>
          <w:lang w:val="en-US"/>
        </w:rPr>
        <w:footnoteReference w:id="671"/>
      </w:r>
      <w:r w:rsidR="00D37BB1" w:rsidRPr="00D37BB1">
        <w:rPr>
          <w:lang w:val="en-US"/>
        </w:rPr>
        <w:t>. The Committee has also paid considerable attention to the method of funding because the more expensive child-care is, the more likely it is that the parents will decide to care for the child themselves, often at the expense of the mother’s career</w:t>
      </w:r>
      <w:r w:rsidR="00D37BB1" w:rsidRPr="00D37BB1">
        <w:rPr>
          <w:vertAlign w:val="superscript"/>
          <w:lang w:val="en-US"/>
        </w:rPr>
        <w:footnoteReference w:id="672"/>
      </w:r>
      <w:r w:rsidR="00D37BB1" w:rsidRPr="00D37BB1">
        <w:rPr>
          <w:lang w:val="en-US"/>
        </w:rPr>
        <w:t xml:space="preserve">. </w:t>
      </w:r>
    </w:p>
    <w:p w:rsidR="006A3A45" w:rsidRDefault="006A3A45" w:rsidP="00687D8A">
      <w:pPr>
        <w:spacing w:line="360" w:lineRule="auto"/>
        <w:jc w:val="both"/>
        <w:rPr>
          <w:u w:val="single"/>
          <w:lang w:val="en-US"/>
        </w:rPr>
      </w:pPr>
    </w:p>
    <w:p w:rsidR="00D37BB1" w:rsidRPr="00D37BB1" w:rsidRDefault="00D37BB1" w:rsidP="00687D8A">
      <w:pPr>
        <w:spacing w:line="360" w:lineRule="auto"/>
        <w:jc w:val="both"/>
        <w:rPr>
          <w:u w:val="single"/>
          <w:lang w:val="en-US"/>
        </w:rPr>
      </w:pPr>
      <w:r w:rsidRPr="00D37BB1">
        <w:rPr>
          <w:u w:val="single"/>
          <w:lang w:val="en-US"/>
        </w:rPr>
        <w:lastRenderedPageBreak/>
        <w:t>The UN Convention on the Elimination of All Forms of Discrimination against Women</w:t>
      </w:r>
    </w:p>
    <w:p w:rsidR="00D37BB1" w:rsidRPr="00D37BB1" w:rsidRDefault="006E6972" w:rsidP="00687D8A">
      <w:pPr>
        <w:spacing w:line="360" w:lineRule="auto"/>
        <w:jc w:val="both"/>
        <w:rPr>
          <w:lang w:val="en-US"/>
        </w:rPr>
      </w:pPr>
      <w:r>
        <w:rPr>
          <w:i/>
          <w:lang w:val="en-US"/>
        </w:rPr>
        <w:t>103</w:t>
      </w:r>
      <w:r w:rsidR="00002666" w:rsidRPr="00002666">
        <w:rPr>
          <w:i/>
          <w:lang w:val="en-US"/>
        </w:rPr>
        <w:t>.</w:t>
      </w:r>
      <w:r w:rsidR="00002666">
        <w:rPr>
          <w:lang w:val="en-US"/>
        </w:rPr>
        <w:t xml:space="preserve"> </w:t>
      </w:r>
      <w:r w:rsidR="00D37BB1" w:rsidRPr="00D37BB1">
        <w:rPr>
          <w:lang w:val="en-US"/>
        </w:rPr>
        <w:t>When the Convention on the Elimination of Discrimination against Women was adopted at the end of the 1970s, it was the first piece of international legislation that pointed at the importance of a child-care network</w:t>
      </w:r>
      <w:r w:rsidR="00D37BB1" w:rsidRPr="00D37BB1">
        <w:rPr>
          <w:vertAlign w:val="superscript"/>
          <w:lang w:val="en-US"/>
        </w:rPr>
        <w:footnoteReference w:id="673"/>
      </w:r>
      <w:r w:rsidR="00D37BB1" w:rsidRPr="00D37BB1">
        <w:rPr>
          <w:lang w:val="en-US"/>
        </w:rPr>
        <w:t>. Because of the wording of the relevant provision</w:t>
      </w:r>
      <w:r w:rsidR="00D37BB1" w:rsidRPr="00D37BB1">
        <w:rPr>
          <w:vertAlign w:val="superscript"/>
          <w:lang w:val="en-US"/>
        </w:rPr>
        <w:footnoteReference w:id="674"/>
      </w:r>
      <w:r w:rsidR="00D37BB1" w:rsidRPr="00D37BB1">
        <w:rPr>
          <w:lang w:val="en-US"/>
        </w:rPr>
        <w:t>, some doubts were raised as to its exact meaning</w:t>
      </w:r>
      <w:r w:rsidR="00D37BB1" w:rsidRPr="00D37BB1">
        <w:rPr>
          <w:vertAlign w:val="superscript"/>
          <w:lang w:val="en-US"/>
        </w:rPr>
        <w:footnoteReference w:id="675"/>
      </w:r>
      <w:r w:rsidR="00D37BB1" w:rsidRPr="00D37BB1">
        <w:rPr>
          <w:lang w:val="en-US"/>
        </w:rPr>
        <w:t>. It may be assumed that state</w:t>
      </w:r>
      <w:r w:rsidR="00AB70E7">
        <w:rPr>
          <w:lang w:val="en-US"/>
        </w:rPr>
        <w:t>s</w:t>
      </w:r>
      <w:r w:rsidR="00D37BB1" w:rsidRPr="00D37BB1">
        <w:rPr>
          <w:lang w:val="en-US"/>
        </w:rPr>
        <w:t xml:space="preserve"> parties are expected to gradually establish a coordinated system of child-care facilities</w:t>
      </w:r>
      <w:r w:rsidR="00D37BB1" w:rsidRPr="00D37BB1">
        <w:rPr>
          <w:vertAlign w:val="superscript"/>
          <w:lang w:val="en-US"/>
        </w:rPr>
        <w:footnoteReference w:id="676"/>
      </w:r>
      <w:r w:rsidR="00D37BB1" w:rsidRPr="00D37BB1">
        <w:rPr>
          <w:lang w:val="en-US"/>
        </w:rPr>
        <w:t xml:space="preserve">. Article 11(2) c) on the combination of family obligations and work responsibilities is expressed in general </w:t>
      </w:r>
      <w:r w:rsidR="0088226D">
        <w:rPr>
          <w:lang w:val="en-US"/>
        </w:rPr>
        <w:t>terms. This indicates that, as with</w:t>
      </w:r>
      <w:r w:rsidR="00D37BB1" w:rsidRPr="00D37BB1">
        <w:rPr>
          <w:lang w:val="en-US"/>
        </w:rPr>
        <w:t xml:space="preserve"> the European Social Charter, the facilities can be created in a variety of ways</w:t>
      </w:r>
      <w:r w:rsidR="00D37BB1" w:rsidRPr="00D37BB1">
        <w:rPr>
          <w:vertAlign w:val="superscript"/>
          <w:lang w:val="en-US"/>
        </w:rPr>
        <w:footnoteReference w:id="677"/>
      </w:r>
      <w:r w:rsidR="00D37BB1" w:rsidRPr="00D37BB1">
        <w:rPr>
          <w:lang w:val="en-US"/>
        </w:rPr>
        <w:t xml:space="preserve">. The </w:t>
      </w:r>
      <w:r w:rsidR="00D665D0">
        <w:rPr>
          <w:lang w:val="en-US"/>
        </w:rPr>
        <w:t xml:space="preserve">UN </w:t>
      </w:r>
      <w:r w:rsidR="00D37BB1" w:rsidRPr="00D37BB1">
        <w:rPr>
          <w:lang w:val="en-US"/>
        </w:rPr>
        <w:t>Committee’s inquiries into national child-care systems are less profound than those of the European Committee of Social Rights. Several states have nevertheless been recommended to increase the number of available places</w:t>
      </w:r>
      <w:r w:rsidR="00D37BB1" w:rsidRPr="00D37BB1">
        <w:rPr>
          <w:vertAlign w:val="superscript"/>
          <w:lang w:val="en-US"/>
        </w:rPr>
        <w:footnoteReference w:id="678"/>
      </w:r>
      <w:r w:rsidR="00D37BB1" w:rsidRPr="00D37BB1">
        <w:rPr>
          <w:lang w:val="en-US"/>
        </w:rPr>
        <w:t>. Others were criticized for a lack of child-care or attempts to close existing facilities</w:t>
      </w:r>
      <w:r w:rsidR="00D37BB1" w:rsidRPr="00D37BB1">
        <w:rPr>
          <w:vertAlign w:val="superscript"/>
          <w:lang w:val="en-US"/>
        </w:rPr>
        <w:footnoteReference w:id="679"/>
      </w:r>
      <w:r w:rsidR="00D37BB1" w:rsidRPr="00D37BB1">
        <w:rPr>
          <w:lang w:val="en-US"/>
        </w:rPr>
        <w:t>. A second similarity between the Convention and the Social Charter is the weight attached to the financial aspects. Child-care must be affordable so that parents are not put off</w:t>
      </w:r>
      <w:r w:rsidR="00D37BB1" w:rsidRPr="00D37BB1">
        <w:rPr>
          <w:vertAlign w:val="superscript"/>
          <w:lang w:val="en-US"/>
        </w:rPr>
        <w:footnoteReference w:id="680"/>
      </w:r>
      <w:r w:rsidR="00D37BB1" w:rsidRPr="00D37BB1">
        <w:rPr>
          <w:lang w:val="en-US"/>
        </w:rPr>
        <w:t>. In one particular concluding observation a state was advised to finance the system out of the budget</w:t>
      </w:r>
      <w:r w:rsidR="00D37BB1" w:rsidRPr="00D37BB1">
        <w:rPr>
          <w:vertAlign w:val="superscript"/>
          <w:lang w:val="en-US"/>
        </w:rPr>
        <w:footnoteReference w:id="681"/>
      </w:r>
      <w:r w:rsidR="00D37BB1" w:rsidRPr="00D37BB1">
        <w:rPr>
          <w:lang w:val="en-US"/>
        </w:rPr>
        <w:t>. In another one, the Committee expressed disappointment about a state’s refusal to allow a tax deduction for child-care costs</w:t>
      </w:r>
      <w:r w:rsidR="00D37BB1" w:rsidRPr="00D37BB1">
        <w:rPr>
          <w:vertAlign w:val="superscript"/>
          <w:lang w:val="en-US"/>
        </w:rPr>
        <w:footnoteReference w:id="682"/>
      </w:r>
      <w:r w:rsidR="00D37BB1" w:rsidRPr="00D37BB1">
        <w:rPr>
          <w:lang w:val="en-US"/>
        </w:rPr>
        <w:t>. Significant is also that t</w:t>
      </w:r>
      <w:r w:rsidR="00294C9D">
        <w:rPr>
          <w:lang w:val="en-US"/>
        </w:rPr>
        <w:t xml:space="preserve">he Committee encourages states </w:t>
      </w:r>
      <w:r w:rsidR="00D37BB1" w:rsidRPr="00D37BB1">
        <w:rPr>
          <w:lang w:val="en-US"/>
        </w:rPr>
        <w:t>to ratify ILO Convention no. 156</w:t>
      </w:r>
      <w:r w:rsidR="00D37BB1" w:rsidRPr="00D37BB1">
        <w:rPr>
          <w:vertAlign w:val="superscript"/>
          <w:lang w:val="en-US"/>
        </w:rPr>
        <w:footnoteReference w:id="683"/>
      </w:r>
    </w:p>
    <w:p w:rsidR="008838A5" w:rsidRDefault="008838A5" w:rsidP="00687D8A">
      <w:pPr>
        <w:spacing w:line="360" w:lineRule="auto"/>
        <w:jc w:val="both"/>
        <w:rPr>
          <w:u w:val="single"/>
          <w:lang w:val="en-US"/>
        </w:rPr>
      </w:pPr>
    </w:p>
    <w:p w:rsidR="008838A5" w:rsidRDefault="008838A5" w:rsidP="00687D8A">
      <w:pPr>
        <w:spacing w:line="360" w:lineRule="auto"/>
        <w:jc w:val="both"/>
        <w:rPr>
          <w:u w:val="single"/>
          <w:lang w:val="en-US"/>
        </w:rPr>
      </w:pPr>
    </w:p>
    <w:p w:rsidR="00D37BB1" w:rsidRPr="00D37BB1" w:rsidRDefault="00D37BB1" w:rsidP="00687D8A">
      <w:pPr>
        <w:spacing w:line="360" w:lineRule="auto"/>
        <w:jc w:val="both"/>
        <w:rPr>
          <w:u w:val="single"/>
          <w:lang w:val="en-US"/>
        </w:rPr>
      </w:pPr>
      <w:r w:rsidRPr="00D37BB1">
        <w:rPr>
          <w:u w:val="single"/>
          <w:lang w:val="en-US"/>
        </w:rPr>
        <w:lastRenderedPageBreak/>
        <w:t xml:space="preserve">The International </w:t>
      </w:r>
      <w:proofErr w:type="spellStart"/>
      <w:r w:rsidRPr="00D37BB1">
        <w:rPr>
          <w:u w:val="single"/>
          <w:lang w:val="en-US"/>
        </w:rPr>
        <w:t>Labour</w:t>
      </w:r>
      <w:proofErr w:type="spellEnd"/>
      <w:r w:rsidRPr="00D37BB1">
        <w:rPr>
          <w:u w:val="single"/>
          <w:lang w:val="en-US"/>
        </w:rPr>
        <w:t xml:space="preserve"> Organization </w:t>
      </w:r>
    </w:p>
    <w:p w:rsidR="00D37BB1" w:rsidRPr="00D37BB1" w:rsidRDefault="00E861FD" w:rsidP="00687D8A">
      <w:pPr>
        <w:spacing w:line="360" w:lineRule="auto"/>
        <w:jc w:val="both"/>
        <w:rPr>
          <w:lang w:val="en-US"/>
        </w:rPr>
      </w:pPr>
      <w:r>
        <w:rPr>
          <w:i/>
          <w:lang w:val="en-US"/>
        </w:rPr>
        <w:t>104</w:t>
      </w:r>
      <w:r w:rsidR="002A6FB6" w:rsidRPr="002A6FB6">
        <w:rPr>
          <w:i/>
          <w:lang w:val="en-US"/>
        </w:rPr>
        <w:t>.</w:t>
      </w:r>
      <w:r w:rsidR="002A6FB6">
        <w:rPr>
          <w:lang w:val="en-US"/>
        </w:rPr>
        <w:t xml:space="preserve"> </w:t>
      </w:r>
      <w:r w:rsidR="00D37BB1" w:rsidRPr="00D37BB1">
        <w:rPr>
          <w:lang w:val="en-US"/>
        </w:rPr>
        <w:t>ILO Convention 156 on workers with family responsibilities</w:t>
      </w:r>
      <w:r w:rsidR="00D37BB1" w:rsidRPr="00D37BB1">
        <w:rPr>
          <w:vertAlign w:val="superscript"/>
          <w:lang w:val="en-US"/>
        </w:rPr>
        <w:footnoteReference w:id="684"/>
      </w:r>
      <w:r w:rsidR="00D37BB1" w:rsidRPr="00D37BB1">
        <w:rPr>
          <w:lang w:val="en-US"/>
        </w:rPr>
        <w:t xml:space="preserve"> demands that the state</w:t>
      </w:r>
      <w:r w:rsidR="000F1F19">
        <w:rPr>
          <w:lang w:val="en-US"/>
        </w:rPr>
        <w:t>s</w:t>
      </w:r>
      <w:r w:rsidR="00D37BB1" w:rsidRPr="00D37BB1">
        <w:rPr>
          <w:lang w:val="en-US"/>
        </w:rPr>
        <w:t xml:space="preserve"> parties develop or promote community services, such as child-care facilities</w:t>
      </w:r>
      <w:r w:rsidR="00D37BB1" w:rsidRPr="00D37BB1">
        <w:rPr>
          <w:vertAlign w:val="superscript"/>
          <w:lang w:val="en-US"/>
        </w:rPr>
        <w:footnoteReference w:id="685"/>
      </w:r>
      <w:r w:rsidR="00D37BB1" w:rsidRPr="00D37BB1">
        <w:rPr>
          <w:lang w:val="en-US"/>
        </w:rPr>
        <w:t>. The Convention’s preamble</w:t>
      </w:r>
      <w:r w:rsidR="00D37BB1" w:rsidRPr="00D37BB1">
        <w:rPr>
          <w:vertAlign w:val="superscript"/>
          <w:lang w:val="en-US"/>
        </w:rPr>
        <w:footnoteReference w:id="686"/>
      </w:r>
      <w:r w:rsidR="00D37BB1" w:rsidRPr="00D37BB1">
        <w:rPr>
          <w:lang w:val="en-US"/>
        </w:rPr>
        <w:t xml:space="preserve"> demonstrates that the latter requirement was probably included under the influence of the newly drafted Women’s Convention</w:t>
      </w:r>
      <w:r w:rsidR="00D37BB1" w:rsidRPr="00D37BB1">
        <w:rPr>
          <w:vertAlign w:val="superscript"/>
          <w:lang w:val="en-US"/>
        </w:rPr>
        <w:footnoteReference w:id="687"/>
      </w:r>
      <w:r w:rsidR="00D37BB1" w:rsidRPr="00D37BB1">
        <w:rPr>
          <w:lang w:val="en-US"/>
        </w:rPr>
        <w:t>. Hopes that the ILO provision would be stronger and more detailed than article 11(2) c) of the UN Convention on the Elimination of All Forms of Discrimination against Women</w:t>
      </w:r>
      <w:r w:rsidR="00D37BB1" w:rsidRPr="00D37BB1">
        <w:rPr>
          <w:vertAlign w:val="superscript"/>
          <w:lang w:val="en-US"/>
        </w:rPr>
        <w:footnoteReference w:id="688"/>
      </w:r>
      <w:r w:rsidR="00405FC1">
        <w:rPr>
          <w:lang w:val="en-US"/>
        </w:rPr>
        <w:t xml:space="preserve"> proved to be vain, </w:t>
      </w:r>
      <w:r w:rsidR="00D37BB1" w:rsidRPr="00D37BB1">
        <w:rPr>
          <w:lang w:val="en-US"/>
        </w:rPr>
        <w:t>but Recommendation 165 nevertheless provides us with some guidelines. Ideally, the competent authorities should investigate the needs and preferences for child-care in their territory</w:t>
      </w:r>
      <w:r w:rsidR="00D37BB1" w:rsidRPr="00D37BB1">
        <w:rPr>
          <w:vertAlign w:val="superscript"/>
          <w:lang w:val="en-US"/>
        </w:rPr>
        <w:footnoteReference w:id="689"/>
      </w:r>
      <w:r w:rsidR="00D37BB1" w:rsidRPr="00D37BB1">
        <w:rPr>
          <w:lang w:val="en-US"/>
        </w:rPr>
        <w:t>. Depending on these particular preferences many different types of child-care can be set up, such as pre-primary school, licensed day care, kindergartens, crèches, in-home child-care</w:t>
      </w:r>
      <w:r w:rsidR="00052D27">
        <w:rPr>
          <w:lang w:val="en-US"/>
        </w:rPr>
        <w:t>,</w:t>
      </w:r>
      <w:r w:rsidR="00D37BB1" w:rsidRPr="00D37BB1">
        <w:rPr>
          <w:lang w:val="en-US"/>
        </w:rPr>
        <w:t xml:space="preserve"> etc</w:t>
      </w:r>
      <w:r w:rsidR="00893D03">
        <w:rPr>
          <w:lang w:val="en-US"/>
        </w:rPr>
        <w:t>.</w:t>
      </w:r>
      <w:r w:rsidR="00D37BB1" w:rsidRPr="00D37BB1">
        <w:rPr>
          <w:vertAlign w:val="superscript"/>
          <w:lang w:val="en-US"/>
        </w:rPr>
        <w:footnoteReference w:id="690"/>
      </w:r>
      <w:r w:rsidR="00D37BB1" w:rsidRPr="00D37BB1">
        <w:rPr>
          <w:lang w:val="en-US"/>
        </w:rPr>
        <w:t>. Financial aspects are again important. Child-care needs to be free or provided at a rate in accordance with the worker’s ability to pay</w:t>
      </w:r>
      <w:r w:rsidR="00D37BB1" w:rsidRPr="00D37BB1">
        <w:rPr>
          <w:vertAlign w:val="superscript"/>
          <w:lang w:val="en-US"/>
        </w:rPr>
        <w:footnoteReference w:id="691"/>
      </w:r>
      <w:r w:rsidR="00D37BB1" w:rsidRPr="00D37BB1">
        <w:rPr>
          <w:lang w:val="en-US"/>
        </w:rPr>
        <w:t>. The drafters of the Recommendation shared concerns with the European Committee of Social Rights as regards staff qualifications. Competent authorities need to ensure that the personnel working in the facilities are well-trained</w:t>
      </w:r>
      <w:r w:rsidR="00D37BB1" w:rsidRPr="00D37BB1">
        <w:rPr>
          <w:vertAlign w:val="superscript"/>
          <w:lang w:val="en-US"/>
        </w:rPr>
        <w:footnoteReference w:id="692"/>
      </w:r>
      <w:r w:rsidR="00D37BB1" w:rsidRPr="00D37BB1">
        <w:rPr>
          <w:lang w:val="en-US"/>
        </w:rPr>
        <w:t xml:space="preserve">. </w:t>
      </w:r>
    </w:p>
    <w:p w:rsidR="00D37BB1" w:rsidRPr="00D37BB1" w:rsidRDefault="001957C0" w:rsidP="00687D8A">
      <w:pPr>
        <w:spacing w:line="360" w:lineRule="auto"/>
        <w:jc w:val="both"/>
        <w:rPr>
          <w:lang w:val="en-US"/>
        </w:rPr>
      </w:pPr>
      <w:r>
        <w:rPr>
          <w:i/>
          <w:lang w:val="en-US"/>
        </w:rPr>
        <w:t>105</w:t>
      </w:r>
      <w:r w:rsidR="0007159F" w:rsidRPr="0007159F">
        <w:rPr>
          <w:i/>
          <w:lang w:val="en-US"/>
        </w:rPr>
        <w:t>.</w:t>
      </w:r>
      <w:r w:rsidR="0007159F">
        <w:rPr>
          <w:lang w:val="en-US"/>
        </w:rPr>
        <w:t xml:space="preserve"> </w:t>
      </w:r>
      <w:r w:rsidR="00D37BB1" w:rsidRPr="00D37BB1">
        <w:rPr>
          <w:lang w:val="en-US"/>
        </w:rPr>
        <w:t xml:space="preserve">It may be concluded that the European Committee of Social Rights and the Women’s Committee are the most energetic advocates of adequate child-care services. They appear to have influenced the ILO regime. The EU clearly lags behind in this field.  </w:t>
      </w:r>
    </w:p>
    <w:p w:rsidR="00D37BB1" w:rsidRPr="00D37BB1" w:rsidRDefault="00D37BB1" w:rsidP="00687D8A">
      <w:pPr>
        <w:spacing w:line="360" w:lineRule="auto"/>
        <w:jc w:val="both"/>
        <w:rPr>
          <w:lang w:val="en-US"/>
        </w:rPr>
      </w:pPr>
    </w:p>
    <w:p w:rsidR="00D37BB1" w:rsidRPr="00D37BB1" w:rsidRDefault="00D37BB1" w:rsidP="00687D8A">
      <w:pPr>
        <w:spacing w:line="360" w:lineRule="auto"/>
        <w:jc w:val="both"/>
        <w:rPr>
          <w:lang w:val="en-US"/>
        </w:rPr>
      </w:pPr>
    </w:p>
    <w:p w:rsidR="00D37BB1" w:rsidRPr="00D37BB1" w:rsidRDefault="00D37BB1" w:rsidP="00687D8A">
      <w:pPr>
        <w:spacing w:line="360" w:lineRule="auto"/>
        <w:jc w:val="both"/>
        <w:rPr>
          <w:lang w:val="en-US"/>
        </w:rPr>
      </w:pPr>
    </w:p>
    <w:p w:rsidR="00D37BB1" w:rsidRPr="00D37BB1" w:rsidRDefault="00D37BB1" w:rsidP="00687D8A">
      <w:pPr>
        <w:spacing w:line="360" w:lineRule="auto"/>
        <w:jc w:val="both"/>
        <w:rPr>
          <w:lang w:val="en-US"/>
        </w:rPr>
      </w:pPr>
    </w:p>
    <w:p w:rsidR="007306D0" w:rsidRDefault="007306D0" w:rsidP="00687D8A">
      <w:pPr>
        <w:spacing w:line="360" w:lineRule="auto"/>
        <w:jc w:val="both"/>
        <w:rPr>
          <w:lang w:val="en-US"/>
        </w:rPr>
      </w:pPr>
    </w:p>
    <w:p w:rsidR="002679F0" w:rsidRPr="00807B7D" w:rsidRDefault="00807B7D" w:rsidP="00687D8A">
      <w:pPr>
        <w:spacing w:line="360" w:lineRule="auto"/>
        <w:jc w:val="both"/>
        <w:rPr>
          <w:b/>
          <w:u w:val="single"/>
          <w:lang w:val="en-US"/>
        </w:rPr>
      </w:pPr>
      <w:r>
        <w:rPr>
          <w:b/>
          <w:u w:val="single"/>
          <w:lang w:val="en-US"/>
        </w:rPr>
        <w:lastRenderedPageBreak/>
        <w:t>Conclusion</w:t>
      </w:r>
    </w:p>
    <w:p w:rsidR="002679F0" w:rsidRDefault="000E1412" w:rsidP="00687D8A">
      <w:pPr>
        <w:spacing w:line="360" w:lineRule="auto"/>
        <w:jc w:val="both"/>
        <w:rPr>
          <w:lang w:val="en-US"/>
        </w:rPr>
      </w:pPr>
      <w:r>
        <w:rPr>
          <w:lang w:val="en-US"/>
        </w:rPr>
        <w:t>In</w:t>
      </w:r>
      <w:r w:rsidR="00E55A16">
        <w:rPr>
          <w:lang w:val="en-US"/>
        </w:rPr>
        <w:t xml:space="preserve"> the</w:t>
      </w:r>
      <w:r>
        <w:rPr>
          <w:lang w:val="en-US"/>
        </w:rPr>
        <w:t xml:space="preserve"> research proposal</w:t>
      </w:r>
      <w:r w:rsidR="00E55A16">
        <w:rPr>
          <w:lang w:val="en-US"/>
        </w:rPr>
        <w:t>, I asked myself whether the</w:t>
      </w:r>
      <w:r w:rsidR="00547D47">
        <w:rPr>
          <w:lang w:val="en-US"/>
        </w:rPr>
        <w:t xml:space="preserve"> relevant legal regimes demonstrate</w:t>
      </w:r>
      <w:r w:rsidR="00E55A16">
        <w:rPr>
          <w:lang w:val="en-US"/>
        </w:rPr>
        <w:t xml:space="preserve"> differences in the interpretation of the equality and non-discrimination </w:t>
      </w:r>
      <w:r w:rsidR="00E55A16" w:rsidRPr="004B5D64">
        <w:rPr>
          <w:lang w:val="en-US"/>
        </w:rPr>
        <w:t>principles</w:t>
      </w:r>
      <w:r w:rsidR="00E55A16">
        <w:rPr>
          <w:lang w:val="en-US"/>
        </w:rPr>
        <w:t xml:space="preserve"> </w:t>
      </w:r>
      <w:r w:rsidR="00547D47">
        <w:rPr>
          <w:lang w:val="en-US"/>
        </w:rPr>
        <w:t xml:space="preserve">in the context </w:t>
      </w:r>
      <w:r w:rsidR="005E2D8C">
        <w:rPr>
          <w:lang w:val="en-US"/>
        </w:rPr>
        <w:t>of sex and more broadly, gender</w:t>
      </w:r>
      <w:r w:rsidR="00547D47">
        <w:rPr>
          <w:lang w:val="en-US"/>
        </w:rPr>
        <w:t>. While writing this dissertation, it became clear that suc</w:t>
      </w:r>
      <w:r w:rsidR="00706FC3">
        <w:rPr>
          <w:lang w:val="en-US"/>
        </w:rPr>
        <w:t xml:space="preserve">h a question requires a well-considered and differentiated </w:t>
      </w:r>
      <w:r w:rsidR="00547D47">
        <w:rPr>
          <w:lang w:val="en-US"/>
        </w:rPr>
        <w:t xml:space="preserve">answer. </w:t>
      </w:r>
    </w:p>
    <w:p w:rsidR="00F15749" w:rsidRDefault="009F78B5" w:rsidP="00687D8A">
      <w:pPr>
        <w:spacing w:line="360" w:lineRule="auto"/>
        <w:jc w:val="both"/>
        <w:rPr>
          <w:lang w:val="en-US"/>
        </w:rPr>
      </w:pPr>
      <w:r>
        <w:rPr>
          <w:lang w:val="en-US"/>
        </w:rPr>
        <w:t xml:space="preserve">In this conclusion, </w:t>
      </w:r>
      <w:r w:rsidR="00CF6DD4">
        <w:rPr>
          <w:lang w:val="en-US"/>
        </w:rPr>
        <w:t>something will be said</w:t>
      </w:r>
      <w:r>
        <w:rPr>
          <w:lang w:val="en-US"/>
        </w:rPr>
        <w:t xml:space="preserve"> first</w:t>
      </w:r>
      <w:r w:rsidR="00CF6DD4">
        <w:rPr>
          <w:lang w:val="en-US"/>
        </w:rPr>
        <w:t xml:space="preserve"> about the</w:t>
      </w:r>
      <w:r w:rsidR="003B6E67">
        <w:rPr>
          <w:lang w:val="en-US"/>
        </w:rPr>
        <w:t xml:space="preserve"> perceived </w:t>
      </w:r>
      <w:r w:rsidR="00CF6DD4">
        <w:rPr>
          <w:lang w:val="en-US"/>
        </w:rPr>
        <w:t>views on equality and non-discrimination.</w:t>
      </w:r>
      <w:r w:rsidR="0032754A">
        <w:rPr>
          <w:lang w:val="en-US"/>
        </w:rPr>
        <w:t xml:space="preserve"> Secondly, </w:t>
      </w:r>
      <w:r w:rsidR="007228C1">
        <w:rPr>
          <w:lang w:val="en-US"/>
        </w:rPr>
        <w:t xml:space="preserve">some brief </w:t>
      </w:r>
      <w:r w:rsidR="00C80690">
        <w:rPr>
          <w:lang w:val="en-US"/>
        </w:rPr>
        <w:t>comments</w:t>
      </w:r>
      <w:r w:rsidR="007228C1">
        <w:rPr>
          <w:lang w:val="en-US"/>
        </w:rPr>
        <w:t xml:space="preserve"> will be made on the relationship between the European Union and the UN Convention on the Elimination of Discrimination against Women.</w:t>
      </w:r>
      <w:r w:rsidR="003B6E67">
        <w:rPr>
          <w:lang w:val="en-US"/>
        </w:rPr>
        <w:t xml:space="preserve"> Next,</w:t>
      </w:r>
      <w:r w:rsidR="00C80690">
        <w:rPr>
          <w:lang w:val="en-US"/>
        </w:rPr>
        <w:t xml:space="preserve"> concluding remarks</w:t>
      </w:r>
      <w:r w:rsidR="006C103E">
        <w:rPr>
          <w:lang w:val="en-US"/>
        </w:rPr>
        <w:t xml:space="preserve"> will be formulated on the potency of the four discussed legal regimes.</w:t>
      </w:r>
      <w:r w:rsidR="00A70D29">
        <w:rPr>
          <w:lang w:val="en-US"/>
        </w:rPr>
        <w:t xml:space="preserve"> Fourthly</w:t>
      </w:r>
      <w:r w:rsidR="00022C9E">
        <w:rPr>
          <w:lang w:val="en-US"/>
        </w:rPr>
        <w:t xml:space="preserve">, an attempt is made </w:t>
      </w:r>
      <w:r w:rsidR="00F84ED3">
        <w:rPr>
          <w:lang w:val="en-US"/>
        </w:rPr>
        <w:t>to discern different outlooks</w:t>
      </w:r>
      <w:r w:rsidR="00022C9E">
        <w:rPr>
          <w:lang w:val="en-US"/>
        </w:rPr>
        <w:t xml:space="preserve"> the working woman. </w:t>
      </w:r>
      <w:r w:rsidR="006C103E">
        <w:rPr>
          <w:lang w:val="en-US"/>
        </w:rPr>
        <w:t xml:space="preserve"> </w:t>
      </w:r>
      <w:r w:rsidR="003B6E67">
        <w:rPr>
          <w:lang w:val="en-US"/>
        </w:rPr>
        <w:t xml:space="preserve"> </w:t>
      </w:r>
      <w:r w:rsidR="007228C1">
        <w:rPr>
          <w:lang w:val="en-US"/>
        </w:rPr>
        <w:t xml:space="preserve"> </w:t>
      </w:r>
      <w:r w:rsidR="00CF6DD4">
        <w:rPr>
          <w:lang w:val="en-US"/>
        </w:rPr>
        <w:t xml:space="preserve"> </w:t>
      </w:r>
    </w:p>
    <w:p w:rsidR="00C52A7C" w:rsidRDefault="00C52A7C" w:rsidP="00687D8A">
      <w:pPr>
        <w:spacing w:line="360" w:lineRule="auto"/>
        <w:jc w:val="both"/>
        <w:rPr>
          <w:lang w:val="en-US"/>
        </w:rPr>
      </w:pPr>
      <w:r>
        <w:rPr>
          <w:lang w:val="en-US"/>
        </w:rPr>
        <w:t>As regards th</w:t>
      </w:r>
      <w:r w:rsidR="00D05F6D">
        <w:rPr>
          <w:lang w:val="en-US"/>
        </w:rPr>
        <w:t>e principle of discrimination, we can be rather brief</w:t>
      </w:r>
      <w:r w:rsidR="00706A38">
        <w:rPr>
          <w:lang w:val="en-US"/>
        </w:rPr>
        <w:t>. Under all four regimes, it is admitted that direct discrimination does not get us very far. Indirect discrimination is a necessary tool in the struggle against sex discrimination.</w:t>
      </w:r>
      <w:r w:rsidR="006657AE">
        <w:rPr>
          <w:lang w:val="en-US"/>
        </w:rPr>
        <w:t xml:space="preserve"> According to the UN Committee on the Elimination of Discrimination, stereotypes are at the basis of most instances of discrimination. In the European Union and the ILO and under the Revised European Social Charter the connection between dis</w:t>
      </w:r>
      <w:r w:rsidR="003F7621">
        <w:rPr>
          <w:lang w:val="en-US"/>
        </w:rPr>
        <w:t xml:space="preserve">crimination and stereotypes does unfortunately not receive half as much attention. </w:t>
      </w:r>
    </w:p>
    <w:p w:rsidR="00B15692" w:rsidRDefault="006927DB" w:rsidP="00687D8A">
      <w:pPr>
        <w:spacing w:line="360" w:lineRule="auto"/>
        <w:jc w:val="both"/>
        <w:rPr>
          <w:lang w:val="en-US"/>
        </w:rPr>
      </w:pPr>
      <w:r>
        <w:rPr>
          <w:lang w:val="en-US"/>
        </w:rPr>
        <w:t>There is more to be said</w:t>
      </w:r>
      <w:r w:rsidR="000B2DC3">
        <w:rPr>
          <w:lang w:val="en-US"/>
        </w:rPr>
        <w:t xml:space="preserve"> about the perspectives on the adequate equality model. </w:t>
      </w:r>
      <w:r w:rsidR="001D5CDF">
        <w:rPr>
          <w:lang w:val="en-US"/>
        </w:rPr>
        <w:t xml:space="preserve">In the case of the UN Convention of the Elimination of All Forms of Discrimination against Women it is easy to figure out which equality model is preferred. </w:t>
      </w:r>
      <w:r w:rsidR="00863522">
        <w:rPr>
          <w:lang w:val="en-US"/>
        </w:rPr>
        <w:t xml:space="preserve">The UN Committee on the Elimination of Discrimination </w:t>
      </w:r>
      <w:r w:rsidR="008D50DE">
        <w:rPr>
          <w:lang w:val="en-US"/>
        </w:rPr>
        <w:t xml:space="preserve">has </w:t>
      </w:r>
      <w:r w:rsidR="00863522">
        <w:rPr>
          <w:lang w:val="en-US"/>
        </w:rPr>
        <w:t xml:space="preserve">clarified time and again that the Convention’s ultimate goal is the achievement of substantive equality. </w:t>
      </w:r>
      <w:r w:rsidR="00EB6BD1">
        <w:rPr>
          <w:lang w:val="en-US"/>
        </w:rPr>
        <w:t xml:space="preserve">States </w:t>
      </w:r>
      <w:r w:rsidR="004F51B8">
        <w:rPr>
          <w:lang w:val="en-US"/>
        </w:rPr>
        <w:t xml:space="preserve">parties </w:t>
      </w:r>
      <w:r w:rsidR="00EB6BD1">
        <w:rPr>
          <w:lang w:val="en-US"/>
        </w:rPr>
        <w:t xml:space="preserve">are not let off </w:t>
      </w:r>
      <w:r w:rsidR="004F51B8">
        <w:rPr>
          <w:lang w:val="en-US"/>
        </w:rPr>
        <w:t xml:space="preserve">the hook </w:t>
      </w:r>
      <w:r w:rsidR="00EB6BD1">
        <w:rPr>
          <w:lang w:val="en-US"/>
        </w:rPr>
        <w:t>after the creation of a ‘level playing field’.</w:t>
      </w:r>
      <w:r w:rsidR="00D94DC7">
        <w:rPr>
          <w:lang w:val="en-US"/>
        </w:rPr>
        <w:t xml:space="preserve"> For example, t</w:t>
      </w:r>
      <w:r w:rsidR="00EB6BD1">
        <w:rPr>
          <w:lang w:val="en-US"/>
        </w:rPr>
        <w:t>he Committee</w:t>
      </w:r>
      <w:r w:rsidR="00CE2B56">
        <w:rPr>
          <w:lang w:val="en-US"/>
        </w:rPr>
        <w:t>’s approach to affirmative action in the public employment se</w:t>
      </w:r>
      <w:r w:rsidR="007F7DA8">
        <w:rPr>
          <w:lang w:val="en-US"/>
        </w:rPr>
        <w:t>ctor and part-time work demonstrates</w:t>
      </w:r>
      <w:r w:rsidR="00CE2B56">
        <w:rPr>
          <w:lang w:val="en-US"/>
        </w:rPr>
        <w:t xml:space="preserve"> a pursuit for </w:t>
      </w:r>
      <w:r w:rsidR="00EB6BD1">
        <w:rPr>
          <w:lang w:val="en-US"/>
        </w:rPr>
        <w:t>equality of results and proportionate representation</w:t>
      </w:r>
      <w:r w:rsidR="00065290">
        <w:rPr>
          <w:lang w:val="en-US"/>
        </w:rPr>
        <w:t xml:space="preserve">. </w:t>
      </w:r>
      <w:r w:rsidR="000207BA">
        <w:rPr>
          <w:lang w:val="en-US"/>
        </w:rPr>
        <w:t xml:space="preserve">A less clear picture emerges when looking at the other three discussed regimes. </w:t>
      </w:r>
      <w:r w:rsidR="00DA2985">
        <w:rPr>
          <w:lang w:val="en-US"/>
        </w:rPr>
        <w:t xml:space="preserve">As regards the European Union, it is clear that a shift has taken place. In the early years when article 119 on the principle of equal pay for women and men was the only significant provision, EU law was oriented towards formal equality. </w:t>
      </w:r>
      <w:r w:rsidR="00FE4BB8">
        <w:rPr>
          <w:lang w:val="en-US"/>
        </w:rPr>
        <w:t>As consecutive treaty amendments and the adoption of above-mentioned directives such as the 2002 equal treatment directive, the part-time work directive and the parental leave directives succeeded each other, an orientation to</w:t>
      </w:r>
      <w:r w:rsidR="00F5699F">
        <w:rPr>
          <w:lang w:val="en-US"/>
        </w:rPr>
        <w:t>wards</w:t>
      </w:r>
      <w:r w:rsidR="00FE4BB8">
        <w:rPr>
          <w:lang w:val="en-US"/>
        </w:rPr>
        <w:t xml:space="preserve"> </w:t>
      </w:r>
      <w:r w:rsidR="006A010C">
        <w:rPr>
          <w:lang w:val="en-US"/>
        </w:rPr>
        <w:t xml:space="preserve">women’s </w:t>
      </w:r>
      <w:r w:rsidR="00FE4BB8">
        <w:rPr>
          <w:lang w:val="en-US"/>
        </w:rPr>
        <w:t>equal</w:t>
      </w:r>
      <w:r w:rsidR="00F5699F">
        <w:rPr>
          <w:lang w:val="en-US"/>
        </w:rPr>
        <w:t>ity of</w:t>
      </w:r>
      <w:r w:rsidR="00FE4BB8">
        <w:rPr>
          <w:lang w:val="en-US"/>
        </w:rPr>
        <w:t xml:space="preserve"> opportunit</w:t>
      </w:r>
      <w:r w:rsidR="00F5699F">
        <w:rPr>
          <w:lang w:val="en-US"/>
        </w:rPr>
        <w:t>y</w:t>
      </w:r>
      <w:r w:rsidR="00636AD1">
        <w:rPr>
          <w:lang w:val="en-US"/>
        </w:rPr>
        <w:t xml:space="preserve"> became increasingly </w:t>
      </w:r>
      <w:r w:rsidR="00636AD1">
        <w:rPr>
          <w:lang w:val="en-US"/>
        </w:rPr>
        <w:lastRenderedPageBreak/>
        <w:t>discernible</w:t>
      </w:r>
      <w:r w:rsidR="00FE4BB8">
        <w:rPr>
          <w:lang w:val="en-US"/>
        </w:rPr>
        <w:t>.</w:t>
      </w:r>
      <w:r w:rsidR="00085427">
        <w:rPr>
          <w:lang w:val="en-US"/>
        </w:rPr>
        <w:t xml:space="preserve"> The current recast directive explicitly validates the latter orientation</w:t>
      </w:r>
      <w:r w:rsidR="00085427">
        <w:rPr>
          <w:rStyle w:val="Voetnootmarkering"/>
          <w:lang w:val="en-US"/>
        </w:rPr>
        <w:footnoteReference w:id="693"/>
      </w:r>
      <w:r w:rsidR="00085427">
        <w:rPr>
          <w:lang w:val="en-US"/>
        </w:rPr>
        <w:t>.</w:t>
      </w:r>
      <w:r w:rsidR="006A010C">
        <w:rPr>
          <w:lang w:val="en-US"/>
        </w:rPr>
        <w:t xml:space="preserve"> The EU’s equality vision is however still a far cry from that adhered to under the UN Convention on the Elimination of Discrimination against Women.</w:t>
      </w:r>
      <w:r w:rsidR="007E3410">
        <w:rPr>
          <w:lang w:val="en-US"/>
        </w:rPr>
        <w:t xml:space="preserve"> It may be deduced from the Union’s approach to affirmative action</w:t>
      </w:r>
      <w:r w:rsidR="00711560">
        <w:rPr>
          <w:lang w:val="en-US"/>
        </w:rPr>
        <w:t xml:space="preserve"> and child-care facilities</w:t>
      </w:r>
      <w:r w:rsidR="007E3410">
        <w:rPr>
          <w:lang w:val="en-US"/>
        </w:rPr>
        <w:t xml:space="preserve"> and some of the above identified weaknesses in</w:t>
      </w:r>
      <w:r w:rsidR="00711560">
        <w:rPr>
          <w:lang w:val="en-US"/>
        </w:rPr>
        <w:t xml:space="preserve"> the parental leave and part-time work directives that s</w:t>
      </w:r>
      <w:r w:rsidR="007E3410">
        <w:rPr>
          <w:lang w:val="en-US"/>
        </w:rPr>
        <w:t>ubstantive equality is not yet fully embedded in the EU.</w:t>
      </w:r>
      <w:r w:rsidR="001F2850">
        <w:rPr>
          <w:lang w:val="en-US"/>
        </w:rPr>
        <w:t xml:space="preserve"> </w:t>
      </w:r>
      <w:r w:rsidR="008A6A72">
        <w:rPr>
          <w:lang w:val="en-US"/>
        </w:rPr>
        <w:t xml:space="preserve">Some of the UN Women’s Committee’s concluding observations </w:t>
      </w:r>
      <w:r w:rsidR="00182CAB">
        <w:rPr>
          <w:lang w:val="en-US"/>
        </w:rPr>
        <w:t>establish that it feels the same way. According to the latter,</w:t>
      </w:r>
      <w:r w:rsidR="00B30247">
        <w:rPr>
          <w:lang w:val="en-US"/>
        </w:rPr>
        <w:t xml:space="preserve"> mere compliance with</w:t>
      </w:r>
      <w:r w:rsidR="00182CAB">
        <w:rPr>
          <w:lang w:val="en-US"/>
        </w:rPr>
        <w:t xml:space="preserve"> secondary EU law will not lead to real gender equality</w:t>
      </w:r>
      <w:r w:rsidR="003B139E">
        <w:rPr>
          <w:rStyle w:val="Voetnootmarkering"/>
          <w:lang w:val="en-US"/>
        </w:rPr>
        <w:footnoteReference w:id="694"/>
      </w:r>
      <w:r w:rsidR="00182CAB">
        <w:rPr>
          <w:lang w:val="en-US"/>
        </w:rPr>
        <w:t>.</w:t>
      </w:r>
      <w:r w:rsidR="00065290">
        <w:rPr>
          <w:lang w:val="en-US"/>
        </w:rPr>
        <w:t xml:space="preserve"> The equality visions </w:t>
      </w:r>
      <w:r w:rsidR="00C234FA">
        <w:rPr>
          <w:lang w:val="en-US"/>
        </w:rPr>
        <w:t xml:space="preserve">perceived in the context of the International </w:t>
      </w:r>
      <w:proofErr w:type="spellStart"/>
      <w:r w:rsidR="00C234FA">
        <w:rPr>
          <w:lang w:val="en-US"/>
        </w:rPr>
        <w:t>Labour</w:t>
      </w:r>
      <w:proofErr w:type="spellEnd"/>
      <w:r w:rsidR="00C234FA">
        <w:rPr>
          <w:lang w:val="en-US"/>
        </w:rPr>
        <w:t xml:space="preserve"> Organization and the European Social Charter can also be positioned in between formal and substantive equality.</w:t>
      </w:r>
      <w:r w:rsidR="00997324">
        <w:rPr>
          <w:lang w:val="en-US"/>
        </w:rPr>
        <w:t xml:space="preserve"> The less hostile attitude towards affirmative action may indicate that they, more than the EU, move in the direction of real equality. </w:t>
      </w:r>
      <w:r w:rsidR="00C234FA">
        <w:rPr>
          <w:lang w:val="en-US"/>
        </w:rPr>
        <w:t xml:space="preserve"> </w:t>
      </w:r>
      <w:r w:rsidR="00065290">
        <w:rPr>
          <w:lang w:val="en-US"/>
        </w:rPr>
        <w:t xml:space="preserve"> </w:t>
      </w:r>
    </w:p>
    <w:p w:rsidR="00CE4C46" w:rsidRDefault="00B15692" w:rsidP="00687D8A">
      <w:pPr>
        <w:spacing w:line="360" w:lineRule="auto"/>
        <w:jc w:val="both"/>
        <w:rPr>
          <w:lang w:val="en-US"/>
        </w:rPr>
      </w:pPr>
      <w:r>
        <w:rPr>
          <w:lang w:val="en-US"/>
        </w:rPr>
        <w:t xml:space="preserve">In this conclusion’s previous paragraph, </w:t>
      </w:r>
      <w:r w:rsidR="00283620">
        <w:rPr>
          <w:lang w:val="en-US"/>
        </w:rPr>
        <w:t>it was stated that the European Union’s po</w:t>
      </w:r>
      <w:r w:rsidR="00193DB8">
        <w:rPr>
          <w:lang w:val="en-US"/>
        </w:rPr>
        <w:t xml:space="preserve">sition on equality does not </w:t>
      </w:r>
      <w:r w:rsidR="00283620">
        <w:rPr>
          <w:lang w:val="en-US"/>
        </w:rPr>
        <w:t xml:space="preserve">match that of the UN Committee on the Elimination </w:t>
      </w:r>
      <w:r w:rsidR="00786F38">
        <w:rPr>
          <w:lang w:val="en-US"/>
        </w:rPr>
        <w:t xml:space="preserve">of Discrimination against Women. </w:t>
      </w:r>
      <w:r w:rsidR="00193DB8">
        <w:rPr>
          <w:lang w:val="en-US"/>
        </w:rPr>
        <w:t xml:space="preserve">The sections discussed under Part III also indicate that the differences in approach are most often the largest between the EU and the UN Committee on the Elimination of Discrimination against Women, with the European Committee of Social Rights and the ILO somewhere in between those two. </w:t>
      </w:r>
      <w:r w:rsidR="009C4F29">
        <w:rPr>
          <w:lang w:val="en-US"/>
        </w:rPr>
        <w:t>This encourages authors into comparing the EU and UN Women’s Convention regimes. Part of the</w:t>
      </w:r>
      <w:r w:rsidR="006F1881">
        <w:rPr>
          <w:lang w:val="en-US"/>
        </w:rPr>
        <w:t>se</w:t>
      </w:r>
      <w:r w:rsidR="009C4F29">
        <w:rPr>
          <w:lang w:val="en-US"/>
        </w:rPr>
        <w:t xml:space="preserve"> authors</w:t>
      </w:r>
      <w:r w:rsidR="00A3687A">
        <w:rPr>
          <w:lang w:val="en-US"/>
        </w:rPr>
        <w:t xml:space="preserve"> subsequently</w:t>
      </w:r>
      <w:r w:rsidR="009C4F29">
        <w:rPr>
          <w:lang w:val="en-US"/>
        </w:rPr>
        <w:t xml:space="preserve"> conclude their articles with the remark that the EU can learn a lot from </w:t>
      </w:r>
      <w:r w:rsidR="00F16CAA">
        <w:rPr>
          <w:lang w:val="en-US"/>
        </w:rPr>
        <w:t xml:space="preserve">both the provisions in the UN Convention on the Elimination of Discrimination against Women and the statements of the UN Committee. I agree with them to a certain extent, but I also feel compelled to </w:t>
      </w:r>
      <w:r w:rsidR="00745F8A">
        <w:rPr>
          <w:lang w:val="en-US"/>
        </w:rPr>
        <w:t>express some caveats. It should always be kept in mind that the various legal regimes stem from</w:t>
      </w:r>
      <w:r w:rsidR="00AC576F">
        <w:rPr>
          <w:lang w:val="en-US"/>
        </w:rPr>
        <w:t xml:space="preserve"> profoundly different backgrounds. The UN Convention was adopted with one and only one purpose: the defense of women’s rights. The original reasons for the creation of the European Union were of an entirely different nature.</w:t>
      </w:r>
      <w:r w:rsidR="00C60E22">
        <w:rPr>
          <w:lang w:val="en-US"/>
        </w:rPr>
        <w:t xml:space="preserve"> By means of economic co-operation its founding fathers aimed at bringing closer together the different peoples of Europe, an objective which cannot</w:t>
      </w:r>
      <w:r w:rsidR="00F966B8">
        <w:rPr>
          <w:lang w:val="en-US"/>
        </w:rPr>
        <w:t xml:space="preserve"> so</w:t>
      </w:r>
      <w:r w:rsidR="00C60E22">
        <w:rPr>
          <w:lang w:val="en-US"/>
        </w:rPr>
        <w:t xml:space="preserve"> easily be associated with women’s rights. </w:t>
      </w:r>
      <w:r w:rsidR="00523F19">
        <w:rPr>
          <w:lang w:val="en-US"/>
        </w:rPr>
        <w:t xml:space="preserve">Over the years, we have seen the </w:t>
      </w:r>
      <w:r w:rsidR="0024340E">
        <w:rPr>
          <w:lang w:val="en-US"/>
        </w:rPr>
        <w:t xml:space="preserve">Union’s commitment to gender equality grow, but </w:t>
      </w:r>
      <w:r w:rsidR="00F966B8">
        <w:rPr>
          <w:lang w:val="en-US"/>
        </w:rPr>
        <w:t>it</w:t>
      </w:r>
      <w:r w:rsidR="000A5847">
        <w:rPr>
          <w:lang w:val="en-US"/>
        </w:rPr>
        <w:t xml:space="preserve"> still</w:t>
      </w:r>
      <w:r w:rsidR="00B466C3">
        <w:rPr>
          <w:lang w:val="en-US"/>
        </w:rPr>
        <w:t xml:space="preserve"> </w:t>
      </w:r>
      <w:r w:rsidR="00F966B8">
        <w:rPr>
          <w:lang w:val="en-US"/>
        </w:rPr>
        <w:t>covers</w:t>
      </w:r>
      <w:r w:rsidR="00B466C3">
        <w:rPr>
          <w:lang w:val="en-US"/>
        </w:rPr>
        <w:t xml:space="preserve"> only</w:t>
      </w:r>
      <w:r w:rsidR="00F966B8">
        <w:rPr>
          <w:lang w:val="en-US"/>
        </w:rPr>
        <w:t xml:space="preserve"> a small part in the entire field of EU competences.</w:t>
      </w:r>
      <w:r w:rsidR="00C46B8E">
        <w:rPr>
          <w:lang w:val="en-US"/>
        </w:rPr>
        <w:t xml:space="preserve"> </w:t>
      </w:r>
      <w:r w:rsidR="00F13CB7">
        <w:rPr>
          <w:lang w:val="en-US"/>
        </w:rPr>
        <w:t xml:space="preserve">Each time the EU legislator wants to adopt a new piece of legislation on gender equality, it needs to take into account a multitude of different interests. A considerable </w:t>
      </w:r>
      <w:r w:rsidR="00F13CB7">
        <w:rPr>
          <w:lang w:val="en-US"/>
        </w:rPr>
        <w:lastRenderedPageBreak/>
        <w:t xml:space="preserve">amount of scholars keep a </w:t>
      </w:r>
      <w:proofErr w:type="spellStart"/>
      <w:r w:rsidR="00F13CB7">
        <w:rPr>
          <w:lang w:val="en-US"/>
        </w:rPr>
        <w:t>watchfull</w:t>
      </w:r>
      <w:proofErr w:type="spellEnd"/>
      <w:r w:rsidR="00F13CB7">
        <w:rPr>
          <w:lang w:val="en-US"/>
        </w:rPr>
        <w:t xml:space="preserve"> eye on each case pronounced by the European Court of Justice. Many </w:t>
      </w:r>
      <w:r w:rsidR="00706EFD">
        <w:rPr>
          <w:lang w:val="en-US"/>
        </w:rPr>
        <w:t xml:space="preserve">of them will not shun </w:t>
      </w:r>
      <w:r w:rsidR="00F13CB7">
        <w:rPr>
          <w:lang w:val="en-US"/>
        </w:rPr>
        <w:t>criticizing what the Court says.</w:t>
      </w:r>
      <w:r w:rsidR="005436D3">
        <w:rPr>
          <w:lang w:val="en-US"/>
        </w:rPr>
        <w:t xml:space="preserve"> The two previous comments cannot be repeated with the same strength in the context of the UN Convention. Members of the UN Committee are under significantly less political pressure.</w:t>
      </w:r>
      <w:r w:rsidR="00CE4C46">
        <w:rPr>
          <w:lang w:val="en-US"/>
        </w:rPr>
        <w:t xml:space="preserve"> They do not represen</w:t>
      </w:r>
      <w:r w:rsidR="008B06BC">
        <w:rPr>
          <w:lang w:val="en-US"/>
        </w:rPr>
        <w:t xml:space="preserve">t their state but serve </w:t>
      </w:r>
      <w:r w:rsidR="00CE4C46">
        <w:rPr>
          <w:lang w:val="en-US"/>
        </w:rPr>
        <w:t xml:space="preserve">in their personal capacity. </w:t>
      </w:r>
      <w:r w:rsidR="005436D3">
        <w:rPr>
          <w:lang w:val="en-US"/>
        </w:rPr>
        <w:t xml:space="preserve">Furthermore, the UN Committee’s work is not at all </w:t>
      </w:r>
      <w:proofErr w:type="spellStart"/>
      <w:r w:rsidR="005436D3">
        <w:rPr>
          <w:lang w:val="en-US"/>
        </w:rPr>
        <w:t>unrave</w:t>
      </w:r>
      <w:r w:rsidR="00AA6914">
        <w:rPr>
          <w:lang w:val="en-US"/>
        </w:rPr>
        <w:t>l</w:t>
      </w:r>
      <w:r w:rsidR="005436D3">
        <w:rPr>
          <w:lang w:val="en-US"/>
        </w:rPr>
        <w:t>led</w:t>
      </w:r>
      <w:proofErr w:type="spellEnd"/>
      <w:r w:rsidR="005436D3">
        <w:rPr>
          <w:lang w:val="en-US"/>
        </w:rPr>
        <w:t xml:space="preserve"> to the same extent as the European Court of Justice’s case-law</w:t>
      </w:r>
      <w:r w:rsidR="002A58B4">
        <w:rPr>
          <w:lang w:val="en-US"/>
        </w:rPr>
        <w:t xml:space="preserve">. It </w:t>
      </w:r>
      <w:r w:rsidR="005436D3">
        <w:rPr>
          <w:lang w:val="en-US"/>
        </w:rPr>
        <w:t>is quite difficult to find a comprehensive wo</w:t>
      </w:r>
      <w:r w:rsidR="00CE4C46">
        <w:rPr>
          <w:lang w:val="en-US"/>
        </w:rPr>
        <w:t>rk on the UN Committee’s work.</w:t>
      </w:r>
      <w:r w:rsidR="0089607D">
        <w:rPr>
          <w:lang w:val="en-US"/>
        </w:rPr>
        <w:t xml:space="preserve"> Hence, it is clear that the UN Committee draws less attention than the European Court of Justice and the EU legislator.</w:t>
      </w:r>
      <w:r w:rsidR="005773B0">
        <w:rPr>
          <w:lang w:val="en-US"/>
        </w:rPr>
        <w:t xml:space="preserve"> So yes, the EU can learn from the UN women’s regime, and yes, EU scholars need to be informed about the UN Convention but it is always necessary to refer to the systems’ different backgrounds.  </w:t>
      </w:r>
    </w:p>
    <w:p w:rsidR="00CE4C46" w:rsidRDefault="00D124F5" w:rsidP="00687D8A">
      <w:pPr>
        <w:spacing w:line="360" w:lineRule="auto"/>
        <w:jc w:val="both"/>
        <w:rPr>
          <w:lang w:val="en-US"/>
        </w:rPr>
      </w:pPr>
      <w:r>
        <w:rPr>
          <w:lang w:val="en-US"/>
        </w:rPr>
        <w:t xml:space="preserve">The strength of the four examined legal regimes also deserves some attention. The Revised European Social Charter and the UN Convention on the Elimination of Discrimination against Women are sheer human rights instruments. The same can be said of the discussed ILO Conventions. </w:t>
      </w:r>
      <w:r w:rsidR="00BC5205">
        <w:rPr>
          <w:lang w:val="en-US"/>
        </w:rPr>
        <w:t>As already mentioned in Part II, human rights schemes are often criticized for their weak enforcement mechanisms. Contrarily, the European Union’s enforcement methods are not exactly frail. The European Committee of Social Rights, the ILO Committee of Expert</w:t>
      </w:r>
      <w:r w:rsidR="00455145">
        <w:rPr>
          <w:lang w:val="en-US"/>
        </w:rPr>
        <w:t>s</w:t>
      </w:r>
      <w:r w:rsidR="00BC5205">
        <w:rPr>
          <w:lang w:val="en-US"/>
        </w:rPr>
        <w:t xml:space="preserve"> and the UN Women’s Committee </w:t>
      </w:r>
      <w:r w:rsidR="000A5597">
        <w:rPr>
          <w:lang w:val="en-US"/>
        </w:rPr>
        <w:t xml:space="preserve">enjoy high moral respect, but swift compliance with their decisions or recommendation remains rather limited. </w:t>
      </w:r>
      <w:r w:rsidR="002B5023">
        <w:rPr>
          <w:lang w:val="en-US"/>
        </w:rPr>
        <w:t xml:space="preserve">The UN Committee’s observations in particular are sometimes not taken seriously or just linger in thin air. </w:t>
      </w:r>
      <w:r w:rsidR="00E30C2C">
        <w:rPr>
          <w:lang w:val="en-US"/>
        </w:rPr>
        <w:t xml:space="preserve">In general, compliance with EU law is high and </w:t>
      </w:r>
      <w:r w:rsidR="00AF6B0B">
        <w:rPr>
          <w:lang w:val="en-US"/>
        </w:rPr>
        <w:t>defecto</w:t>
      </w:r>
      <w:r w:rsidR="00E4673A">
        <w:rPr>
          <w:lang w:val="en-US"/>
        </w:rPr>
        <w:t xml:space="preserve">rs are brought back in line, either </w:t>
      </w:r>
      <w:r w:rsidR="00AF6B0B">
        <w:rPr>
          <w:lang w:val="en-US"/>
        </w:rPr>
        <w:t xml:space="preserve">by the European Commission as guardian of the Treaties, or by individuals in national courts. </w:t>
      </w:r>
      <w:r w:rsidR="005F76D8">
        <w:rPr>
          <w:lang w:val="en-US"/>
        </w:rPr>
        <w:t>Where the EU succeeded in adopting legally binding measures, these appear to be the most efficient. The description under Section II on equal pay can be used as an example to support this proposition.</w:t>
      </w:r>
      <w:r>
        <w:rPr>
          <w:lang w:val="en-US"/>
        </w:rPr>
        <w:t xml:space="preserve"> </w:t>
      </w:r>
    </w:p>
    <w:p w:rsidR="00A70D29" w:rsidRDefault="007A53E2" w:rsidP="00687D8A">
      <w:pPr>
        <w:spacing w:line="360" w:lineRule="auto"/>
        <w:jc w:val="both"/>
        <w:rPr>
          <w:lang w:val="en-US"/>
        </w:rPr>
      </w:pPr>
      <w:r>
        <w:rPr>
          <w:lang w:val="en-US"/>
        </w:rPr>
        <w:t xml:space="preserve">Through writing this thesis, it has become </w:t>
      </w:r>
      <w:r w:rsidR="00D70701">
        <w:rPr>
          <w:lang w:val="en-US"/>
        </w:rPr>
        <w:t>my personal opinion that within the four legal frameworks, two different conceptions of the working wom</w:t>
      </w:r>
      <w:r w:rsidR="002051E8">
        <w:rPr>
          <w:lang w:val="en-US"/>
        </w:rPr>
        <w:t>a</w:t>
      </w:r>
      <w:r w:rsidR="00D70701">
        <w:rPr>
          <w:lang w:val="en-US"/>
        </w:rPr>
        <w:t>n are supported.</w:t>
      </w:r>
      <w:r w:rsidR="00F4014C">
        <w:rPr>
          <w:lang w:val="en-US"/>
        </w:rPr>
        <w:t xml:space="preserve"> I am aware</w:t>
      </w:r>
      <w:r w:rsidR="00BD5858">
        <w:rPr>
          <w:lang w:val="en-US"/>
        </w:rPr>
        <w:t xml:space="preserve"> that others may not agree with me or </w:t>
      </w:r>
      <w:r w:rsidR="00C414AC">
        <w:rPr>
          <w:lang w:val="en-US"/>
        </w:rPr>
        <w:t xml:space="preserve">read something entirely different in the examined case-law, </w:t>
      </w:r>
      <w:r w:rsidR="005C359C">
        <w:rPr>
          <w:lang w:val="en-US"/>
        </w:rPr>
        <w:t xml:space="preserve">observations, conclusions, recommendations and literature. </w:t>
      </w:r>
      <w:r w:rsidR="00D70701">
        <w:rPr>
          <w:lang w:val="en-US"/>
        </w:rPr>
        <w:t>One conception is, maybe not surprisingly, supported by the UN Committee on the Elimination of Discrimination against Women. The other conception appears to be endorsed by the EU institutions, the ILO and the European Committee of Social Rights.</w:t>
      </w:r>
      <w:r w:rsidR="00641039">
        <w:rPr>
          <w:lang w:val="en-US"/>
        </w:rPr>
        <w:t xml:space="preserve"> The UN Committee goes to</w:t>
      </w:r>
      <w:r w:rsidR="00A35219">
        <w:rPr>
          <w:lang w:val="en-US"/>
        </w:rPr>
        <w:t xml:space="preserve"> great lengths to depict the working woman as strong and ambitious. </w:t>
      </w:r>
      <w:r w:rsidR="00303AEB">
        <w:rPr>
          <w:lang w:val="en-US"/>
        </w:rPr>
        <w:t xml:space="preserve">It appears to assume as self-evident the fact that as </w:t>
      </w:r>
      <w:r w:rsidR="00303AEB">
        <w:rPr>
          <w:lang w:val="en-US"/>
        </w:rPr>
        <w:lastRenderedPageBreak/>
        <w:t>many women as men aim at becoming</w:t>
      </w:r>
      <w:r w:rsidR="00ED77EA" w:rsidRPr="00ED77EA">
        <w:rPr>
          <w:lang w:val="en-US"/>
        </w:rPr>
        <w:t xml:space="preserve"> government officials</w:t>
      </w:r>
      <w:r w:rsidR="00ED77EA">
        <w:rPr>
          <w:lang w:val="en-US"/>
        </w:rPr>
        <w:t>, judges,</w:t>
      </w:r>
      <w:r w:rsidR="00303AEB">
        <w:rPr>
          <w:lang w:val="en-US"/>
        </w:rPr>
        <w:t xml:space="preserve"> university professors, diplomats, and all kinds of other professionals with great responsibilities or a lot of prestige.</w:t>
      </w:r>
      <w:r w:rsidR="00BD5858">
        <w:rPr>
          <w:lang w:val="en-US"/>
        </w:rPr>
        <w:t xml:space="preserve"> A woman in employment is first a worker with her own qualities and</w:t>
      </w:r>
      <w:r w:rsidR="009500F8">
        <w:rPr>
          <w:lang w:val="en-US"/>
        </w:rPr>
        <w:t xml:space="preserve"> skills, only thereafter is she </w:t>
      </w:r>
      <w:r w:rsidR="00BD5858">
        <w:rPr>
          <w:lang w:val="en-US"/>
        </w:rPr>
        <w:t xml:space="preserve">a mother and </w:t>
      </w:r>
      <w:proofErr w:type="spellStart"/>
      <w:r w:rsidR="00BD5858">
        <w:rPr>
          <w:lang w:val="en-US"/>
        </w:rPr>
        <w:t>carer</w:t>
      </w:r>
      <w:proofErr w:type="spellEnd"/>
      <w:r w:rsidR="00BD5858">
        <w:rPr>
          <w:lang w:val="en-US"/>
        </w:rPr>
        <w:t>.</w:t>
      </w:r>
      <w:r w:rsidR="0071494F">
        <w:rPr>
          <w:lang w:val="en-US"/>
        </w:rPr>
        <w:t xml:space="preserve"> The EU, ILO and European Committee o</w:t>
      </w:r>
      <w:r w:rsidR="00C40E1B">
        <w:rPr>
          <w:lang w:val="en-US"/>
        </w:rPr>
        <w:t xml:space="preserve">f Social Rights appear to put </w:t>
      </w:r>
      <w:r w:rsidR="0071494F">
        <w:rPr>
          <w:lang w:val="en-US"/>
        </w:rPr>
        <w:t>a less strong emphasis on the woman as a ‘career hunter’. A woman in employment is a worker, mother an</w:t>
      </w:r>
      <w:r w:rsidR="00BB6DFD">
        <w:rPr>
          <w:lang w:val="en-US"/>
        </w:rPr>
        <w:t xml:space="preserve">d </w:t>
      </w:r>
      <w:proofErr w:type="spellStart"/>
      <w:r w:rsidR="00BB6DFD">
        <w:rPr>
          <w:lang w:val="en-US"/>
        </w:rPr>
        <w:t>carer</w:t>
      </w:r>
      <w:proofErr w:type="spellEnd"/>
      <w:r w:rsidR="00BB6DFD">
        <w:rPr>
          <w:lang w:val="en-US"/>
        </w:rPr>
        <w:t xml:space="preserve"> at the same time. A woma</w:t>
      </w:r>
      <w:r w:rsidR="0071494F">
        <w:rPr>
          <w:lang w:val="en-US"/>
        </w:rPr>
        <w:t xml:space="preserve">n is free to decide that </w:t>
      </w:r>
      <w:r w:rsidR="005F0A9E">
        <w:rPr>
          <w:lang w:val="en-US"/>
        </w:rPr>
        <w:t xml:space="preserve">employment is only of secondary importance. A spot on the starting line is reserved for ambitious women but it is in no way guaranteed that they make it to the end. </w:t>
      </w:r>
      <w:r w:rsidR="0071494F">
        <w:rPr>
          <w:lang w:val="en-US"/>
        </w:rPr>
        <w:t xml:space="preserve">  </w:t>
      </w:r>
      <w:r w:rsidR="007C661B">
        <w:rPr>
          <w:lang w:val="en-US"/>
        </w:rPr>
        <w:t xml:space="preserve"> </w:t>
      </w:r>
      <w:r w:rsidR="00BD5858">
        <w:rPr>
          <w:lang w:val="en-US"/>
        </w:rPr>
        <w:t xml:space="preserve"> </w:t>
      </w:r>
      <w:r w:rsidR="00303AEB">
        <w:rPr>
          <w:lang w:val="en-US"/>
        </w:rPr>
        <w:t xml:space="preserve"> </w:t>
      </w:r>
      <w:r w:rsidR="00D70701">
        <w:rPr>
          <w:lang w:val="en-US"/>
        </w:rPr>
        <w:t xml:space="preserve"> </w:t>
      </w:r>
      <w:r w:rsidR="007E3410">
        <w:rPr>
          <w:lang w:val="en-US"/>
        </w:rPr>
        <w:t xml:space="preserve"> </w:t>
      </w:r>
      <w:r w:rsidR="006A010C">
        <w:rPr>
          <w:lang w:val="en-US"/>
        </w:rPr>
        <w:t xml:space="preserve">  </w:t>
      </w:r>
      <w:r w:rsidR="00085427">
        <w:rPr>
          <w:lang w:val="en-US"/>
        </w:rPr>
        <w:t xml:space="preserve"> </w:t>
      </w:r>
      <w:r w:rsidR="00F5699F">
        <w:rPr>
          <w:lang w:val="en-US"/>
        </w:rPr>
        <w:t xml:space="preserve"> </w:t>
      </w:r>
      <w:r w:rsidR="00FE4BB8">
        <w:rPr>
          <w:lang w:val="en-US"/>
        </w:rPr>
        <w:t xml:space="preserve">  </w:t>
      </w:r>
      <w:r w:rsidR="00E67B0A">
        <w:rPr>
          <w:lang w:val="en-US"/>
        </w:rPr>
        <w:t xml:space="preserve"> </w:t>
      </w:r>
    </w:p>
    <w:p w:rsidR="000B2DC3" w:rsidRDefault="00AF5B99" w:rsidP="00687D8A">
      <w:pPr>
        <w:spacing w:line="360" w:lineRule="auto"/>
        <w:jc w:val="both"/>
        <w:rPr>
          <w:lang w:val="en-US"/>
        </w:rPr>
      </w:pPr>
      <w:r>
        <w:rPr>
          <w:lang w:val="en-US"/>
        </w:rPr>
        <w:t>Finally, we may conclude that over</w:t>
      </w:r>
      <w:r w:rsidR="00366200">
        <w:rPr>
          <w:lang w:val="en-US"/>
        </w:rPr>
        <w:t xml:space="preserve"> a period of approximately sixt</w:t>
      </w:r>
      <w:r>
        <w:rPr>
          <w:lang w:val="en-US"/>
        </w:rPr>
        <w:t>y years, great progress has been made in the field of gender equality.</w:t>
      </w:r>
      <w:r w:rsidR="00EA000F">
        <w:rPr>
          <w:lang w:val="en-US"/>
        </w:rPr>
        <w:t xml:space="preserve"> However, even in Europe, we have not yet reached the finish line. I believe that it is very important to maintain a constant dialogue on gender related issues</w:t>
      </w:r>
      <w:r w:rsidR="00983DE9">
        <w:rPr>
          <w:lang w:val="en-US"/>
        </w:rPr>
        <w:t xml:space="preserve">. </w:t>
      </w:r>
      <w:r w:rsidR="00EC0A46">
        <w:rPr>
          <w:lang w:val="en-US"/>
        </w:rPr>
        <w:t xml:space="preserve">Each of the </w:t>
      </w:r>
      <w:r w:rsidR="00983DE9">
        <w:rPr>
          <w:lang w:val="en-US"/>
        </w:rPr>
        <w:t>four</w:t>
      </w:r>
      <w:r w:rsidR="00F277A3">
        <w:rPr>
          <w:lang w:val="en-US"/>
        </w:rPr>
        <w:t xml:space="preserve"> existing</w:t>
      </w:r>
      <w:r w:rsidR="00983DE9">
        <w:rPr>
          <w:lang w:val="en-US"/>
        </w:rPr>
        <w:t xml:space="preserve"> legal regimes offer</w:t>
      </w:r>
      <w:r w:rsidR="00EC0A46">
        <w:rPr>
          <w:lang w:val="en-US"/>
        </w:rPr>
        <w:t>s</w:t>
      </w:r>
      <w:r w:rsidR="008B25BB">
        <w:rPr>
          <w:lang w:val="en-US"/>
        </w:rPr>
        <w:t>, i</w:t>
      </w:r>
      <w:r w:rsidR="00EC0A46">
        <w:rPr>
          <w:lang w:val="en-US"/>
        </w:rPr>
        <w:t>n</w:t>
      </w:r>
      <w:r w:rsidR="008B25BB">
        <w:rPr>
          <w:lang w:val="en-US"/>
        </w:rPr>
        <w:t xml:space="preserve"> </w:t>
      </w:r>
      <w:r w:rsidR="00EC0A46">
        <w:rPr>
          <w:lang w:val="en-US"/>
        </w:rPr>
        <w:t>its</w:t>
      </w:r>
      <w:r w:rsidR="008B25BB">
        <w:rPr>
          <w:lang w:val="en-US"/>
        </w:rPr>
        <w:t xml:space="preserve"> own way, </w:t>
      </w:r>
      <w:r w:rsidR="00983DE9">
        <w:rPr>
          <w:lang w:val="en-US"/>
        </w:rPr>
        <w:t>a valuable contribution to this dialogue</w:t>
      </w:r>
      <w:r w:rsidR="008B25BB">
        <w:rPr>
          <w:lang w:val="en-US"/>
        </w:rPr>
        <w:t xml:space="preserve">. </w:t>
      </w:r>
      <w:r w:rsidR="00EB6BD1">
        <w:rPr>
          <w:lang w:val="en-US"/>
        </w:rPr>
        <w:t xml:space="preserve"> </w:t>
      </w:r>
    </w:p>
    <w:p w:rsidR="002679F0" w:rsidRDefault="002679F0" w:rsidP="00D37BB1">
      <w:pPr>
        <w:jc w:val="both"/>
        <w:rPr>
          <w:lang w:val="en-US"/>
        </w:rPr>
      </w:pPr>
    </w:p>
    <w:p w:rsidR="002679F0" w:rsidRDefault="002679F0" w:rsidP="00D37BB1">
      <w:pPr>
        <w:jc w:val="both"/>
        <w:rPr>
          <w:lang w:val="en-US"/>
        </w:rPr>
      </w:pPr>
    </w:p>
    <w:p w:rsidR="002679F0" w:rsidRDefault="002679F0" w:rsidP="00D37BB1">
      <w:pPr>
        <w:jc w:val="both"/>
        <w:rPr>
          <w:lang w:val="en-US"/>
        </w:rPr>
      </w:pPr>
    </w:p>
    <w:p w:rsidR="002679F0" w:rsidRDefault="002679F0" w:rsidP="00D37BB1">
      <w:pPr>
        <w:jc w:val="both"/>
        <w:rPr>
          <w:lang w:val="en-US"/>
        </w:rPr>
      </w:pPr>
    </w:p>
    <w:p w:rsidR="002679F0" w:rsidRDefault="002679F0" w:rsidP="00D37BB1">
      <w:pPr>
        <w:jc w:val="both"/>
        <w:rPr>
          <w:lang w:val="en-US"/>
        </w:rPr>
      </w:pPr>
    </w:p>
    <w:p w:rsidR="00C2577E" w:rsidRDefault="00C2577E" w:rsidP="00777DC6">
      <w:pPr>
        <w:jc w:val="both"/>
        <w:rPr>
          <w:lang w:val="en-US"/>
        </w:rPr>
      </w:pPr>
    </w:p>
    <w:p w:rsidR="00186813" w:rsidRDefault="00186813" w:rsidP="00777DC6">
      <w:pPr>
        <w:jc w:val="both"/>
        <w:rPr>
          <w:lang w:val="en-US"/>
        </w:rPr>
      </w:pPr>
    </w:p>
    <w:p w:rsidR="0043662D" w:rsidRDefault="0043662D" w:rsidP="00777DC6">
      <w:pPr>
        <w:jc w:val="both"/>
        <w:rPr>
          <w:lang w:val="en-US"/>
        </w:rPr>
      </w:pPr>
    </w:p>
    <w:p w:rsidR="0043662D" w:rsidRDefault="0043662D" w:rsidP="00777DC6">
      <w:pPr>
        <w:jc w:val="both"/>
        <w:rPr>
          <w:lang w:val="en-US"/>
        </w:rPr>
      </w:pPr>
    </w:p>
    <w:p w:rsidR="0043662D" w:rsidRDefault="0043662D" w:rsidP="00777DC6">
      <w:pPr>
        <w:jc w:val="both"/>
        <w:rPr>
          <w:lang w:val="en-US"/>
        </w:rPr>
      </w:pPr>
    </w:p>
    <w:p w:rsidR="0043662D" w:rsidRDefault="0043662D" w:rsidP="00777DC6">
      <w:pPr>
        <w:jc w:val="both"/>
        <w:rPr>
          <w:lang w:val="en-US"/>
        </w:rPr>
      </w:pPr>
    </w:p>
    <w:p w:rsidR="0043662D" w:rsidRDefault="0043662D" w:rsidP="00777DC6">
      <w:pPr>
        <w:jc w:val="both"/>
        <w:rPr>
          <w:lang w:val="en-US"/>
        </w:rPr>
      </w:pPr>
    </w:p>
    <w:p w:rsidR="0043662D" w:rsidRDefault="0043662D" w:rsidP="00777DC6">
      <w:pPr>
        <w:jc w:val="both"/>
        <w:rPr>
          <w:lang w:val="en-US"/>
        </w:rPr>
      </w:pPr>
    </w:p>
    <w:p w:rsidR="0043662D" w:rsidRDefault="0043662D" w:rsidP="00777DC6">
      <w:pPr>
        <w:jc w:val="both"/>
        <w:rPr>
          <w:lang w:val="en-US"/>
        </w:rPr>
      </w:pPr>
    </w:p>
    <w:p w:rsidR="0043662D" w:rsidRDefault="0043662D" w:rsidP="00777DC6">
      <w:pPr>
        <w:jc w:val="both"/>
        <w:rPr>
          <w:lang w:val="en-US"/>
        </w:rPr>
      </w:pPr>
    </w:p>
    <w:p w:rsidR="00664A5E" w:rsidRDefault="00664A5E" w:rsidP="00777DC6">
      <w:pPr>
        <w:jc w:val="both"/>
        <w:rPr>
          <w:lang w:val="en-US"/>
        </w:rPr>
      </w:pPr>
    </w:p>
    <w:p w:rsidR="00777DC6" w:rsidRPr="00700876" w:rsidRDefault="00777DC6" w:rsidP="00777DC6">
      <w:pPr>
        <w:jc w:val="both"/>
        <w:rPr>
          <w:b/>
          <w:sz w:val="32"/>
          <w:szCs w:val="32"/>
          <w:u w:val="single"/>
          <w:lang w:val="en-GB"/>
        </w:rPr>
      </w:pPr>
      <w:r w:rsidRPr="00777DC6">
        <w:rPr>
          <w:b/>
          <w:lang w:val="en-GB"/>
        </w:rPr>
        <w:lastRenderedPageBreak/>
        <w:t xml:space="preserve">                                                </w:t>
      </w:r>
      <w:r w:rsidR="00D0739A">
        <w:rPr>
          <w:b/>
          <w:lang w:val="en-GB"/>
        </w:rPr>
        <w:t xml:space="preserve">   </w:t>
      </w:r>
      <w:r w:rsidR="00186813">
        <w:rPr>
          <w:b/>
          <w:lang w:val="en-GB"/>
        </w:rPr>
        <w:t xml:space="preserve">  </w:t>
      </w:r>
      <w:bookmarkStart w:id="1" w:name="_GoBack"/>
      <w:bookmarkEnd w:id="1"/>
      <w:r w:rsidRPr="00700876">
        <w:rPr>
          <w:b/>
          <w:sz w:val="32"/>
          <w:szCs w:val="32"/>
          <w:u w:val="single"/>
          <w:lang w:val="en-GB"/>
        </w:rPr>
        <w:t xml:space="preserve">Bibliography </w:t>
      </w: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r w:rsidRPr="00777DC6">
        <w:rPr>
          <w:b/>
          <w:u w:val="single"/>
          <w:lang w:val="en-GB"/>
        </w:rPr>
        <w:t>International and Regional Treaties</w:t>
      </w:r>
    </w:p>
    <w:p w:rsidR="00777DC6" w:rsidRPr="00777DC6" w:rsidRDefault="00777DC6" w:rsidP="00777DC6">
      <w:pPr>
        <w:jc w:val="both"/>
        <w:rPr>
          <w:u w:val="single"/>
          <w:lang w:val="en-GB"/>
        </w:rPr>
      </w:pPr>
      <w:r w:rsidRPr="00777DC6">
        <w:rPr>
          <w:u w:val="single"/>
          <w:lang w:val="en-GB"/>
        </w:rPr>
        <w:t xml:space="preserve">Pre-World War II Conventions </w:t>
      </w:r>
    </w:p>
    <w:p w:rsidR="00777DC6" w:rsidRPr="00777DC6" w:rsidRDefault="00777DC6" w:rsidP="00777DC6">
      <w:pPr>
        <w:numPr>
          <w:ilvl w:val="0"/>
          <w:numId w:val="36"/>
        </w:numPr>
        <w:jc w:val="both"/>
        <w:rPr>
          <w:lang w:val="en-GB"/>
        </w:rPr>
      </w:pPr>
      <w:r w:rsidRPr="00777DC6">
        <w:rPr>
          <w:lang w:val="en-US"/>
        </w:rPr>
        <w:t xml:space="preserve">Treaty of Peace between the Allied and Associated Powers and Austria, St. </w:t>
      </w:r>
      <w:proofErr w:type="spellStart"/>
      <w:r w:rsidRPr="00777DC6">
        <w:rPr>
          <w:lang w:val="en-US"/>
        </w:rPr>
        <w:t>Germain</w:t>
      </w:r>
      <w:proofErr w:type="spellEnd"/>
      <w:r w:rsidRPr="00777DC6">
        <w:rPr>
          <w:lang w:val="en-US"/>
        </w:rPr>
        <w:t>-en-</w:t>
      </w:r>
      <w:proofErr w:type="spellStart"/>
      <w:r w:rsidRPr="00777DC6">
        <w:rPr>
          <w:lang w:val="en-US"/>
        </w:rPr>
        <w:t>Laye</w:t>
      </w:r>
      <w:proofErr w:type="spellEnd"/>
      <w:r w:rsidRPr="00777DC6">
        <w:rPr>
          <w:lang w:val="en-US"/>
        </w:rPr>
        <w:t xml:space="preserve">, 10 September 1919. </w:t>
      </w:r>
    </w:p>
    <w:p w:rsidR="00777DC6" w:rsidRPr="00777DC6" w:rsidRDefault="00777DC6" w:rsidP="00777DC6">
      <w:pPr>
        <w:jc w:val="both"/>
        <w:rPr>
          <w:lang w:val="en-GB"/>
        </w:rPr>
      </w:pPr>
    </w:p>
    <w:p w:rsidR="00777DC6" w:rsidRPr="00777DC6" w:rsidRDefault="00777DC6" w:rsidP="00777DC6">
      <w:pPr>
        <w:jc w:val="both"/>
        <w:rPr>
          <w:u w:val="single"/>
          <w:lang w:val="en-GB"/>
        </w:rPr>
      </w:pPr>
      <w:r w:rsidRPr="00777DC6">
        <w:rPr>
          <w:u w:val="single"/>
          <w:lang w:val="en-GB"/>
        </w:rPr>
        <w:t>United Nations Conventions</w:t>
      </w:r>
    </w:p>
    <w:p w:rsidR="00777DC6" w:rsidRPr="00777DC6" w:rsidRDefault="00777DC6" w:rsidP="00777DC6">
      <w:pPr>
        <w:numPr>
          <w:ilvl w:val="0"/>
          <w:numId w:val="4"/>
        </w:numPr>
        <w:jc w:val="both"/>
        <w:rPr>
          <w:lang w:val="en-GB"/>
        </w:rPr>
      </w:pPr>
      <w:r w:rsidRPr="00777DC6">
        <w:rPr>
          <w:lang w:val="en-GB"/>
        </w:rPr>
        <w:t xml:space="preserve">Charter of the United Nations, 26 June 1945. </w:t>
      </w:r>
    </w:p>
    <w:p w:rsidR="00777DC6" w:rsidRPr="00777DC6" w:rsidRDefault="00777DC6" w:rsidP="00777DC6">
      <w:pPr>
        <w:numPr>
          <w:ilvl w:val="0"/>
          <w:numId w:val="4"/>
        </w:numPr>
        <w:jc w:val="both"/>
        <w:rPr>
          <w:lang w:val="en-GB"/>
        </w:rPr>
      </w:pPr>
      <w:r w:rsidRPr="00777DC6">
        <w:rPr>
          <w:lang w:val="en-GB"/>
        </w:rPr>
        <w:t xml:space="preserve">Universal Declaration of Human Rights, 10 December 1948. </w:t>
      </w:r>
    </w:p>
    <w:p w:rsidR="00777DC6" w:rsidRPr="00777DC6" w:rsidRDefault="00777DC6" w:rsidP="00777DC6">
      <w:pPr>
        <w:numPr>
          <w:ilvl w:val="0"/>
          <w:numId w:val="4"/>
        </w:numPr>
        <w:jc w:val="both"/>
        <w:rPr>
          <w:lang w:val="en-GB"/>
        </w:rPr>
      </w:pPr>
      <w:r w:rsidRPr="00777DC6">
        <w:rPr>
          <w:lang w:val="en-GB"/>
        </w:rPr>
        <w:t xml:space="preserve">International Convention on the Elimination of All Forms of Racial Discrimination, 21 December 1965. </w:t>
      </w:r>
    </w:p>
    <w:p w:rsidR="00777DC6" w:rsidRPr="00777DC6" w:rsidRDefault="00777DC6" w:rsidP="00777DC6">
      <w:pPr>
        <w:numPr>
          <w:ilvl w:val="0"/>
          <w:numId w:val="4"/>
        </w:numPr>
        <w:jc w:val="both"/>
        <w:rPr>
          <w:lang w:val="en-GB"/>
        </w:rPr>
      </w:pPr>
      <w:r w:rsidRPr="00777DC6">
        <w:rPr>
          <w:lang w:val="en-GB"/>
        </w:rPr>
        <w:t>International Covenant on Civil and Political Rights, 16 December 1966.</w:t>
      </w:r>
    </w:p>
    <w:p w:rsidR="00777DC6" w:rsidRPr="00777DC6" w:rsidRDefault="00777DC6" w:rsidP="00777DC6">
      <w:pPr>
        <w:numPr>
          <w:ilvl w:val="0"/>
          <w:numId w:val="4"/>
        </w:numPr>
        <w:jc w:val="both"/>
        <w:rPr>
          <w:lang w:val="en-GB"/>
        </w:rPr>
      </w:pPr>
      <w:r w:rsidRPr="00777DC6">
        <w:rPr>
          <w:lang w:val="en-GB"/>
        </w:rPr>
        <w:t>International Covenant on Economic, Social and Cultural Rights, 16 December 1966.</w:t>
      </w:r>
    </w:p>
    <w:p w:rsidR="00777DC6" w:rsidRPr="00777DC6" w:rsidRDefault="00777DC6" w:rsidP="00777DC6">
      <w:pPr>
        <w:numPr>
          <w:ilvl w:val="0"/>
          <w:numId w:val="4"/>
        </w:numPr>
        <w:jc w:val="both"/>
        <w:rPr>
          <w:lang w:val="en-GB"/>
        </w:rPr>
      </w:pPr>
      <w:r w:rsidRPr="00777DC6">
        <w:rPr>
          <w:lang w:val="en-GB"/>
        </w:rPr>
        <w:t xml:space="preserve">Convention on the Elimination of All Forms of Discrimination against Women, 18 December 1979. </w:t>
      </w:r>
    </w:p>
    <w:p w:rsidR="00777DC6" w:rsidRPr="00777DC6" w:rsidRDefault="00777DC6" w:rsidP="00777DC6">
      <w:pPr>
        <w:numPr>
          <w:ilvl w:val="0"/>
          <w:numId w:val="4"/>
        </w:numPr>
        <w:jc w:val="both"/>
        <w:rPr>
          <w:lang w:val="en-GB"/>
        </w:rPr>
      </w:pPr>
      <w:r w:rsidRPr="00777DC6">
        <w:rPr>
          <w:lang w:val="en-GB"/>
        </w:rPr>
        <w:t xml:space="preserve">Optional Protocol to the Convention on the Elimination of All Forms of Discrimination against Women, 6 October 1999. </w:t>
      </w:r>
    </w:p>
    <w:p w:rsidR="00777DC6" w:rsidRPr="00777DC6" w:rsidRDefault="00777DC6" w:rsidP="00777DC6">
      <w:pPr>
        <w:jc w:val="both"/>
        <w:rPr>
          <w:lang w:val="en-GB"/>
        </w:rPr>
      </w:pPr>
    </w:p>
    <w:p w:rsidR="00777DC6" w:rsidRPr="00777DC6" w:rsidRDefault="00777DC6" w:rsidP="00777DC6">
      <w:pPr>
        <w:jc w:val="both"/>
        <w:rPr>
          <w:u w:val="single"/>
          <w:lang w:val="en-GB"/>
        </w:rPr>
      </w:pPr>
      <w:r w:rsidRPr="00777DC6">
        <w:rPr>
          <w:u w:val="single"/>
          <w:lang w:val="en-GB"/>
        </w:rPr>
        <w:t>Conventions adopted by the International Labour Organization</w:t>
      </w:r>
    </w:p>
    <w:p w:rsidR="00777DC6" w:rsidRPr="00F5688A" w:rsidRDefault="00777DC6" w:rsidP="00777DC6">
      <w:pPr>
        <w:numPr>
          <w:ilvl w:val="0"/>
          <w:numId w:val="4"/>
        </w:numPr>
        <w:jc w:val="both"/>
        <w:rPr>
          <w:lang w:val="en-GB"/>
        </w:rPr>
      </w:pPr>
      <w:r w:rsidRPr="00777DC6">
        <w:rPr>
          <w:lang w:val="en-US"/>
        </w:rPr>
        <w:t xml:space="preserve">Convention no. 1 on the Hours of Work (Industry), 1919. </w:t>
      </w:r>
    </w:p>
    <w:p w:rsidR="00777DC6" w:rsidRPr="0056487C" w:rsidRDefault="00777DC6" w:rsidP="00777DC6">
      <w:pPr>
        <w:numPr>
          <w:ilvl w:val="0"/>
          <w:numId w:val="4"/>
        </w:numPr>
        <w:jc w:val="both"/>
        <w:rPr>
          <w:lang w:val="en-GB"/>
        </w:rPr>
      </w:pPr>
      <w:r w:rsidRPr="00777DC6">
        <w:rPr>
          <w:lang w:val="en-GB"/>
        </w:rPr>
        <w:t xml:space="preserve">Convention no. 3 on Maternity Protection, 1919. </w:t>
      </w:r>
    </w:p>
    <w:p w:rsidR="00777DC6" w:rsidRPr="00777DC6" w:rsidRDefault="00777DC6" w:rsidP="00777DC6">
      <w:pPr>
        <w:numPr>
          <w:ilvl w:val="0"/>
          <w:numId w:val="4"/>
        </w:numPr>
        <w:jc w:val="both"/>
        <w:rPr>
          <w:lang w:val="en-GB"/>
        </w:rPr>
      </w:pPr>
      <w:r w:rsidRPr="00777DC6">
        <w:rPr>
          <w:lang w:val="en-GB"/>
        </w:rPr>
        <w:t xml:space="preserve">Convention no. 4 on Night Work (Women), 1919. </w:t>
      </w:r>
    </w:p>
    <w:p w:rsidR="00777DC6" w:rsidRPr="0056487C" w:rsidRDefault="00777DC6" w:rsidP="00777DC6">
      <w:pPr>
        <w:numPr>
          <w:ilvl w:val="0"/>
          <w:numId w:val="4"/>
        </w:numPr>
        <w:jc w:val="both"/>
        <w:rPr>
          <w:lang w:val="en-US"/>
        </w:rPr>
      </w:pPr>
      <w:r w:rsidRPr="00777DC6">
        <w:rPr>
          <w:lang w:val="en-US"/>
        </w:rPr>
        <w:t>Convention no. 14 on Weekly Rest (Industry), 1921.</w:t>
      </w:r>
    </w:p>
    <w:p w:rsidR="00777DC6" w:rsidRPr="0056487C" w:rsidRDefault="00777DC6" w:rsidP="00777DC6">
      <w:pPr>
        <w:numPr>
          <w:ilvl w:val="0"/>
          <w:numId w:val="4"/>
        </w:numPr>
        <w:jc w:val="both"/>
        <w:rPr>
          <w:lang w:val="en-US"/>
        </w:rPr>
      </w:pPr>
      <w:r w:rsidRPr="00777DC6">
        <w:rPr>
          <w:lang w:val="en-US"/>
        </w:rPr>
        <w:t xml:space="preserve">Convention no. 45 on Underground Work (Women), 1935. </w:t>
      </w:r>
    </w:p>
    <w:p w:rsidR="00777DC6" w:rsidRPr="0056487C" w:rsidRDefault="00777DC6" w:rsidP="00777DC6">
      <w:pPr>
        <w:numPr>
          <w:ilvl w:val="0"/>
          <w:numId w:val="4"/>
        </w:numPr>
        <w:jc w:val="both"/>
        <w:rPr>
          <w:lang w:val="en-GB"/>
        </w:rPr>
      </w:pPr>
      <w:r w:rsidRPr="00777DC6">
        <w:rPr>
          <w:lang w:val="en-GB"/>
        </w:rPr>
        <w:t xml:space="preserve">Declaration concerning the aims and purposes of the International Labour Organization (Declaration of Philadelphia), 1944. </w:t>
      </w:r>
    </w:p>
    <w:p w:rsidR="00777DC6" w:rsidRPr="0056487C" w:rsidRDefault="00777DC6" w:rsidP="00777DC6">
      <w:pPr>
        <w:numPr>
          <w:ilvl w:val="0"/>
          <w:numId w:val="4"/>
        </w:numPr>
        <w:jc w:val="both"/>
        <w:rPr>
          <w:lang w:val="en-GB"/>
        </w:rPr>
      </w:pPr>
      <w:r w:rsidRPr="00777DC6">
        <w:rPr>
          <w:lang w:val="en-US"/>
        </w:rPr>
        <w:t xml:space="preserve">Convention no. 95 on the Protection of Wages, 1949. </w:t>
      </w:r>
    </w:p>
    <w:p w:rsidR="00777DC6" w:rsidRPr="0056487C" w:rsidRDefault="00777DC6" w:rsidP="00777DC6">
      <w:pPr>
        <w:numPr>
          <w:ilvl w:val="0"/>
          <w:numId w:val="4"/>
        </w:numPr>
        <w:jc w:val="both"/>
        <w:rPr>
          <w:lang w:val="en-GB"/>
        </w:rPr>
      </w:pPr>
      <w:r w:rsidRPr="00777DC6">
        <w:rPr>
          <w:lang w:val="en-GB"/>
        </w:rPr>
        <w:t>Convention no. 100 on Equal Remuneration, 1951.</w:t>
      </w:r>
    </w:p>
    <w:p w:rsidR="00777DC6" w:rsidRPr="0056487C" w:rsidRDefault="00777DC6" w:rsidP="00777DC6">
      <w:pPr>
        <w:numPr>
          <w:ilvl w:val="0"/>
          <w:numId w:val="4"/>
        </w:numPr>
        <w:jc w:val="both"/>
        <w:rPr>
          <w:lang w:val="en-GB"/>
        </w:rPr>
      </w:pPr>
      <w:r w:rsidRPr="00777DC6">
        <w:rPr>
          <w:lang w:val="en-US"/>
        </w:rPr>
        <w:lastRenderedPageBreak/>
        <w:t>Convention no. 102 on Social Security (Minimum Standards), 1952.</w:t>
      </w:r>
    </w:p>
    <w:p w:rsidR="00777DC6" w:rsidRPr="0056487C" w:rsidRDefault="00777DC6" w:rsidP="00777DC6">
      <w:pPr>
        <w:numPr>
          <w:ilvl w:val="0"/>
          <w:numId w:val="4"/>
        </w:numPr>
        <w:jc w:val="both"/>
        <w:rPr>
          <w:lang w:val="en-GB"/>
        </w:rPr>
      </w:pPr>
      <w:r w:rsidRPr="00777DC6">
        <w:rPr>
          <w:lang w:val="en-GB"/>
        </w:rPr>
        <w:t xml:space="preserve">Convention no. 103 on Maternity Protection, 1952. </w:t>
      </w:r>
    </w:p>
    <w:p w:rsidR="00777DC6" w:rsidRPr="0056487C" w:rsidRDefault="00777DC6" w:rsidP="00777DC6">
      <w:pPr>
        <w:numPr>
          <w:ilvl w:val="0"/>
          <w:numId w:val="4"/>
        </w:numPr>
        <w:jc w:val="both"/>
        <w:rPr>
          <w:lang w:val="en-GB"/>
        </w:rPr>
      </w:pPr>
      <w:r w:rsidRPr="00777DC6">
        <w:rPr>
          <w:lang w:val="en-GB"/>
        </w:rPr>
        <w:t>Convention no. 111 on Discrimination in Employment and Occupation, 1958.</w:t>
      </w:r>
    </w:p>
    <w:p w:rsidR="00777DC6" w:rsidRPr="0056487C" w:rsidRDefault="00777DC6" w:rsidP="00777DC6">
      <w:pPr>
        <w:numPr>
          <w:ilvl w:val="0"/>
          <w:numId w:val="4"/>
        </w:numPr>
        <w:jc w:val="both"/>
        <w:rPr>
          <w:lang w:val="en-GB"/>
        </w:rPr>
      </w:pPr>
      <w:r w:rsidRPr="00777DC6">
        <w:rPr>
          <w:lang w:val="en-US"/>
        </w:rPr>
        <w:t xml:space="preserve">Convention no. 118 on Equal Treatment in Social Security, 1962. </w:t>
      </w:r>
    </w:p>
    <w:p w:rsidR="00777DC6" w:rsidRPr="0056487C" w:rsidRDefault="00777DC6" w:rsidP="00777DC6">
      <w:pPr>
        <w:numPr>
          <w:ilvl w:val="0"/>
          <w:numId w:val="4"/>
        </w:numPr>
        <w:jc w:val="both"/>
        <w:rPr>
          <w:lang w:val="en-US"/>
        </w:rPr>
      </w:pPr>
      <w:r w:rsidRPr="00777DC6">
        <w:rPr>
          <w:lang w:val="en-US"/>
        </w:rPr>
        <w:t>Convention no. 120 on Hygiene, 1964.</w:t>
      </w:r>
    </w:p>
    <w:p w:rsidR="00777DC6" w:rsidRPr="0056487C" w:rsidRDefault="00777DC6" w:rsidP="00777DC6">
      <w:pPr>
        <w:numPr>
          <w:ilvl w:val="0"/>
          <w:numId w:val="4"/>
        </w:numPr>
        <w:jc w:val="both"/>
        <w:rPr>
          <w:lang w:val="en-US"/>
        </w:rPr>
      </w:pPr>
      <w:r w:rsidRPr="00777DC6">
        <w:rPr>
          <w:lang w:val="en-US"/>
        </w:rPr>
        <w:t xml:space="preserve">Convention no. 131 on Minimum Wage Fixing, 1970. </w:t>
      </w:r>
    </w:p>
    <w:p w:rsidR="00777DC6" w:rsidRPr="0056487C" w:rsidRDefault="00777DC6" w:rsidP="00777DC6">
      <w:pPr>
        <w:numPr>
          <w:ilvl w:val="0"/>
          <w:numId w:val="4"/>
        </w:numPr>
        <w:jc w:val="both"/>
        <w:rPr>
          <w:lang w:val="en-US"/>
        </w:rPr>
      </w:pPr>
      <w:r w:rsidRPr="00777DC6">
        <w:rPr>
          <w:lang w:val="en-US"/>
        </w:rPr>
        <w:t>Convention no. 132 on Holidays with Pay (Revised), 1970.</w:t>
      </w:r>
    </w:p>
    <w:p w:rsidR="00777DC6" w:rsidRPr="0056487C" w:rsidRDefault="00777DC6" w:rsidP="00777DC6">
      <w:pPr>
        <w:numPr>
          <w:ilvl w:val="0"/>
          <w:numId w:val="4"/>
        </w:numPr>
        <w:jc w:val="both"/>
        <w:rPr>
          <w:lang w:val="en-US"/>
        </w:rPr>
      </w:pPr>
      <w:r w:rsidRPr="00777DC6">
        <w:rPr>
          <w:lang w:val="en-GB"/>
        </w:rPr>
        <w:t xml:space="preserve">Convention no. 155 on Occupational Safety and Health, 1981. </w:t>
      </w:r>
    </w:p>
    <w:p w:rsidR="00777DC6" w:rsidRPr="0056487C" w:rsidRDefault="00777DC6" w:rsidP="00777DC6">
      <w:pPr>
        <w:numPr>
          <w:ilvl w:val="0"/>
          <w:numId w:val="4"/>
        </w:numPr>
        <w:jc w:val="both"/>
        <w:rPr>
          <w:lang w:val="en-US"/>
        </w:rPr>
      </w:pPr>
      <w:r w:rsidRPr="00777DC6">
        <w:rPr>
          <w:lang w:val="en-GB"/>
        </w:rPr>
        <w:t>Convention no. 156 on Workers with Family Responsibilities, 1981.</w:t>
      </w:r>
      <w:r w:rsidRPr="00777DC6">
        <w:rPr>
          <w:lang w:val="en-US"/>
        </w:rPr>
        <w:t>Convention no. 158 on the Termination of Employment, 1982.</w:t>
      </w:r>
    </w:p>
    <w:p w:rsidR="00777DC6" w:rsidRPr="0056487C" w:rsidRDefault="00777DC6" w:rsidP="00777DC6">
      <w:pPr>
        <w:numPr>
          <w:ilvl w:val="0"/>
          <w:numId w:val="4"/>
        </w:numPr>
        <w:jc w:val="both"/>
        <w:rPr>
          <w:lang w:val="en-US"/>
        </w:rPr>
      </w:pPr>
      <w:r w:rsidRPr="00777DC6">
        <w:rPr>
          <w:lang w:val="en-GB"/>
        </w:rPr>
        <w:t xml:space="preserve">Convention no. 161 on Occupational Health Services, 1985. </w:t>
      </w:r>
    </w:p>
    <w:p w:rsidR="00777DC6" w:rsidRPr="0056487C" w:rsidRDefault="00777DC6" w:rsidP="00777DC6">
      <w:pPr>
        <w:numPr>
          <w:ilvl w:val="0"/>
          <w:numId w:val="4"/>
        </w:numPr>
        <w:jc w:val="both"/>
        <w:rPr>
          <w:lang w:val="en-US"/>
        </w:rPr>
      </w:pPr>
      <w:r w:rsidRPr="00777DC6">
        <w:rPr>
          <w:lang w:val="en-US"/>
        </w:rPr>
        <w:t xml:space="preserve">Convention no. 167 on Safety and Health in Construction, 1988.  </w:t>
      </w:r>
    </w:p>
    <w:p w:rsidR="00777DC6" w:rsidRPr="0056487C" w:rsidRDefault="00777DC6" w:rsidP="00777DC6">
      <w:pPr>
        <w:numPr>
          <w:ilvl w:val="0"/>
          <w:numId w:val="4"/>
        </w:numPr>
        <w:jc w:val="both"/>
        <w:rPr>
          <w:lang w:val="en-GB"/>
        </w:rPr>
      </w:pPr>
      <w:r w:rsidRPr="00777DC6">
        <w:rPr>
          <w:lang w:val="en-GB"/>
        </w:rPr>
        <w:t xml:space="preserve">Convention no. 171 on Night Work, 1990. </w:t>
      </w:r>
    </w:p>
    <w:p w:rsidR="00777DC6" w:rsidRPr="0056487C" w:rsidRDefault="00777DC6" w:rsidP="00777DC6">
      <w:pPr>
        <w:numPr>
          <w:ilvl w:val="0"/>
          <w:numId w:val="4"/>
        </w:numPr>
        <w:jc w:val="both"/>
        <w:rPr>
          <w:lang w:val="en-GB"/>
        </w:rPr>
      </w:pPr>
      <w:r w:rsidRPr="00777DC6">
        <w:rPr>
          <w:lang w:val="en-GB"/>
        </w:rPr>
        <w:t xml:space="preserve">Convention no. 169 on Indigenous and Tribal Peoples, 1989. </w:t>
      </w:r>
    </w:p>
    <w:p w:rsidR="00777DC6" w:rsidRPr="0056487C" w:rsidRDefault="00777DC6" w:rsidP="00777DC6">
      <w:pPr>
        <w:numPr>
          <w:ilvl w:val="0"/>
          <w:numId w:val="4"/>
        </w:numPr>
        <w:jc w:val="both"/>
        <w:rPr>
          <w:lang w:val="en-GB"/>
        </w:rPr>
      </w:pPr>
      <w:r w:rsidRPr="00777DC6">
        <w:rPr>
          <w:lang w:val="en-GB"/>
        </w:rPr>
        <w:t xml:space="preserve">Convention no. 175 on Part-time Work, 1994. </w:t>
      </w:r>
    </w:p>
    <w:p w:rsidR="00777DC6" w:rsidRPr="0056487C" w:rsidRDefault="00777DC6" w:rsidP="00777DC6">
      <w:pPr>
        <w:numPr>
          <w:ilvl w:val="0"/>
          <w:numId w:val="4"/>
        </w:numPr>
        <w:jc w:val="both"/>
        <w:rPr>
          <w:lang w:val="en-GB"/>
        </w:rPr>
      </w:pPr>
      <w:r w:rsidRPr="00777DC6">
        <w:rPr>
          <w:lang w:val="en-GB"/>
        </w:rPr>
        <w:t>Convention no. 183 on Maternity Protection, 2000.</w:t>
      </w:r>
    </w:p>
    <w:p w:rsidR="00777DC6" w:rsidRPr="00777DC6" w:rsidRDefault="00777DC6" w:rsidP="00777DC6">
      <w:pPr>
        <w:jc w:val="both"/>
        <w:rPr>
          <w:u w:val="single"/>
          <w:lang w:val="en-GB"/>
        </w:rPr>
      </w:pPr>
    </w:p>
    <w:p w:rsidR="00777DC6" w:rsidRPr="00777DC6" w:rsidRDefault="00777DC6" w:rsidP="00777DC6">
      <w:pPr>
        <w:jc w:val="both"/>
        <w:rPr>
          <w:u w:val="single"/>
          <w:lang w:val="en-GB"/>
        </w:rPr>
      </w:pPr>
      <w:r w:rsidRPr="00777DC6">
        <w:rPr>
          <w:u w:val="single"/>
          <w:lang w:val="en-GB"/>
        </w:rPr>
        <w:t>Recommendations adopted by the International Labour Organization</w:t>
      </w:r>
    </w:p>
    <w:p w:rsidR="00777DC6" w:rsidRPr="0056487C" w:rsidRDefault="00777DC6" w:rsidP="00777DC6">
      <w:pPr>
        <w:numPr>
          <w:ilvl w:val="0"/>
          <w:numId w:val="4"/>
        </w:numPr>
        <w:jc w:val="both"/>
        <w:rPr>
          <w:lang w:val="en-GB"/>
        </w:rPr>
      </w:pPr>
      <w:r w:rsidRPr="00777DC6">
        <w:rPr>
          <w:lang w:val="en-US"/>
        </w:rPr>
        <w:t xml:space="preserve">Recommendation no. 165 on Workers with Family Responsibilities, 1981. </w:t>
      </w:r>
    </w:p>
    <w:p w:rsidR="00777DC6" w:rsidRPr="0056487C" w:rsidRDefault="00777DC6" w:rsidP="00777DC6">
      <w:pPr>
        <w:numPr>
          <w:ilvl w:val="0"/>
          <w:numId w:val="4"/>
        </w:numPr>
        <w:jc w:val="both"/>
        <w:rPr>
          <w:lang w:val="en-GB"/>
        </w:rPr>
      </w:pPr>
      <w:r w:rsidRPr="00777DC6">
        <w:rPr>
          <w:lang w:val="en-GB"/>
        </w:rPr>
        <w:t xml:space="preserve">Recommendation no. 182 on Part-Time Work, 1994. </w:t>
      </w:r>
    </w:p>
    <w:p w:rsidR="00777DC6" w:rsidRPr="00777DC6" w:rsidRDefault="00777DC6" w:rsidP="00777DC6">
      <w:pPr>
        <w:numPr>
          <w:ilvl w:val="0"/>
          <w:numId w:val="4"/>
        </w:numPr>
        <w:jc w:val="both"/>
        <w:rPr>
          <w:u w:val="single"/>
          <w:lang w:val="en-GB"/>
        </w:rPr>
      </w:pPr>
      <w:r w:rsidRPr="00777DC6">
        <w:rPr>
          <w:lang w:val="en-GB"/>
        </w:rPr>
        <w:t xml:space="preserve">Recommendation no. 191 on Maternity Protection, 2000. </w:t>
      </w:r>
    </w:p>
    <w:p w:rsidR="00777DC6" w:rsidRPr="00777DC6" w:rsidRDefault="00777DC6" w:rsidP="00777DC6">
      <w:pPr>
        <w:jc w:val="both"/>
        <w:rPr>
          <w:u w:val="single"/>
          <w:lang w:val="en-GB"/>
        </w:rPr>
      </w:pPr>
    </w:p>
    <w:p w:rsidR="00777DC6" w:rsidRPr="00777DC6" w:rsidRDefault="00777DC6" w:rsidP="00777DC6">
      <w:pPr>
        <w:jc w:val="both"/>
        <w:rPr>
          <w:u w:val="single"/>
          <w:lang w:val="en-GB"/>
        </w:rPr>
      </w:pPr>
      <w:r w:rsidRPr="00777DC6">
        <w:rPr>
          <w:u w:val="single"/>
          <w:lang w:val="en-GB"/>
        </w:rPr>
        <w:t>Treaties adopted by the Council of Europe</w:t>
      </w:r>
    </w:p>
    <w:p w:rsidR="00777DC6" w:rsidRPr="00777DC6" w:rsidRDefault="00777DC6" w:rsidP="00777DC6">
      <w:pPr>
        <w:numPr>
          <w:ilvl w:val="0"/>
          <w:numId w:val="4"/>
        </w:numPr>
        <w:jc w:val="both"/>
        <w:rPr>
          <w:lang w:val="en-GB"/>
        </w:rPr>
      </w:pPr>
      <w:r w:rsidRPr="00777DC6">
        <w:rPr>
          <w:lang w:val="en-GB"/>
        </w:rPr>
        <w:t xml:space="preserve">Convention for the Protection of Human Rights and Fundamental Freedoms, Rome 4 November 1950. </w:t>
      </w:r>
    </w:p>
    <w:p w:rsidR="00777DC6" w:rsidRPr="00777DC6" w:rsidRDefault="00777DC6" w:rsidP="00777DC6">
      <w:pPr>
        <w:numPr>
          <w:ilvl w:val="0"/>
          <w:numId w:val="4"/>
        </w:numPr>
        <w:jc w:val="both"/>
        <w:rPr>
          <w:lang w:val="en-GB"/>
        </w:rPr>
      </w:pPr>
      <w:r w:rsidRPr="00777DC6">
        <w:rPr>
          <w:lang w:val="en-GB"/>
        </w:rPr>
        <w:t>European Social Charter, Turin 18 October 1961.</w:t>
      </w:r>
    </w:p>
    <w:p w:rsidR="00777DC6" w:rsidRPr="00777DC6" w:rsidRDefault="00777DC6" w:rsidP="00777DC6">
      <w:pPr>
        <w:numPr>
          <w:ilvl w:val="0"/>
          <w:numId w:val="4"/>
        </w:numPr>
        <w:jc w:val="both"/>
        <w:rPr>
          <w:lang w:val="en-GB"/>
        </w:rPr>
      </w:pPr>
      <w:r w:rsidRPr="00777DC6">
        <w:rPr>
          <w:lang w:val="en-GB"/>
        </w:rPr>
        <w:t xml:space="preserve">Additional Protocol to the European Social Charter, Strasbourg 5 May 1988. </w:t>
      </w:r>
    </w:p>
    <w:p w:rsidR="00777DC6" w:rsidRPr="00777DC6" w:rsidRDefault="00777DC6" w:rsidP="00777DC6">
      <w:pPr>
        <w:numPr>
          <w:ilvl w:val="0"/>
          <w:numId w:val="4"/>
        </w:numPr>
        <w:jc w:val="both"/>
        <w:rPr>
          <w:lang w:val="en-GB"/>
        </w:rPr>
      </w:pPr>
      <w:r w:rsidRPr="00777DC6">
        <w:rPr>
          <w:lang w:val="en-GB"/>
        </w:rPr>
        <w:lastRenderedPageBreak/>
        <w:t>Additional Protocol to the European Social Charter Providing for a System of Collective Complaints, Strasbourg 9 November 1995.</w:t>
      </w:r>
    </w:p>
    <w:p w:rsidR="00777DC6" w:rsidRPr="00777DC6" w:rsidRDefault="00777DC6" w:rsidP="00777DC6">
      <w:pPr>
        <w:numPr>
          <w:ilvl w:val="0"/>
          <w:numId w:val="4"/>
        </w:numPr>
        <w:jc w:val="both"/>
        <w:rPr>
          <w:lang w:val="en-GB"/>
        </w:rPr>
      </w:pPr>
      <w:r w:rsidRPr="00777DC6">
        <w:rPr>
          <w:lang w:val="en-GB"/>
        </w:rPr>
        <w:t xml:space="preserve">Revised European Social Charter, Strasbourg 3 May 1996. </w:t>
      </w:r>
    </w:p>
    <w:p w:rsidR="00777DC6" w:rsidRPr="00777DC6" w:rsidRDefault="00777DC6" w:rsidP="00777DC6">
      <w:pPr>
        <w:jc w:val="both"/>
        <w:rPr>
          <w:lang w:val="en-GB"/>
        </w:rPr>
      </w:pPr>
    </w:p>
    <w:p w:rsidR="00777DC6" w:rsidRPr="00777DC6" w:rsidRDefault="00777DC6" w:rsidP="00777DC6">
      <w:pPr>
        <w:jc w:val="both"/>
        <w:rPr>
          <w:u w:val="single"/>
          <w:lang w:val="en-GB"/>
        </w:rPr>
      </w:pPr>
      <w:r w:rsidRPr="00777DC6">
        <w:rPr>
          <w:u w:val="single"/>
          <w:lang w:val="en-GB"/>
        </w:rPr>
        <w:t>Other Regional Treaties</w:t>
      </w:r>
    </w:p>
    <w:p w:rsidR="00777DC6" w:rsidRPr="00777DC6" w:rsidRDefault="00777DC6" w:rsidP="00777DC6">
      <w:pPr>
        <w:numPr>
          <w:ilvl w:val="0"/>
          <w:numId w:val="4"/>
        </w:numPr>
        <w:jc w:val="both"/>
        <w:rPr>
          <w:u w:val="single"/>
          <w:lang w:val="en-GB"/>
        </w:rPr>
      </w:pPr>
      <w:r w:rsidRPr="00777DC6">
        <w:rPr>
          <w:lang w:val="en-GB"/>
        </w:rPr>
        <w:t>American Convention on Human Rights, 22 November 1969.</w:t>
      </w: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A87707" w:rsidRDefault="00A87707" w:rsidP="00777DC6">
      <w:pPr>
        <w:jc w:val="both"/>
        <w:rPr>
          <w:b/>
          <w:u w:val="single"/>
          <w:lang w:val="en-GB"/>
        </w:rPr>
      </w:pPr>
    </w:p>
    <w:p w:rsidR="00A87707" w:rsidRDefault="00A87707" w:rsidP="00777DC6">
      <w:pPr>
        <w:jc w:val="both"/>
        <w:rPr>
          <w:b/>
          <w:u w:val="single"/>
          <w:lang w:val="en-GB"/>
        </w:rPr>
      </w:pPr>
    </w:p>
    <w:p w:rsidR="00A87707" w:rsidRDefault="00A87707" w:rsidP="00777DC6">
      <w:pPr>
        <w:jc w:val="both"/>
        <w:rPr>
          <w:b/>
          <w:u w:val="single"/>
          <w:lang w:val="en-GB"/>
        </w:rPr>
      </w:pPr>
    </w:p>
    <w:p w:rsidR="00A87707" w:rsidRDefault="00A87707" w:rsidP="00777DC6">
      <w:pPr>
        <w:jc w:val="both"/>
        <w:rPr>
          <w:b/>
          <w:u w:val="single"/>
          <w:lang w:val="en-GB"/>
        </w:rPr>
      </w:pPr>
    </w:p>
    <w:p w:rsidR="00A87707" w:rsidRDefault="00A87707" w:rsidP="00777DC6">
      <w:pPr>
        <w:jc w:val="both"/>
        <w:rPr>
          <w:b/>
          <w:u w:val="single"/>
          <w:lang w:val="en-GB"/>
        </w:rPr>
      </w:pPr>
    </w:p>
    <w:p w:rsidR="00A87707" w:rsidRDefault="00A87707" w:rsidP="00777DC6">
      <w:pPr>
        <w:jc w:val="both"/>
        <w:rPr>
          <w:b/>
          <w:u w:val="single"/>
          <w:lang w:val="en-GB"/>
        </w:rPr>
      </w:pPr>
    </w:p>
    <w:p w:rsidR="00A87707" w:rsidRDefault="00A87707" w:rsidP="00777DC6">
      <w:pPr>
        <w:jc w:val="both"/>
        <w:rPr>
          <w:b/>
          <w:u w:val="single"/>
          <w:lang w:val="en-GB"/>
        </w:rPr>
      </w:pPr>
    </w:p>
    <w:p w:rsidR="00A87707" w:rsidRDefault="00A87707" w:rsidP="00777DC6">
      <w:pPr>
        <w:jc w:val="both"/>
        <w:rPr>
          <w:b/>
          <w:u w:val="single"/>
          <w:lang w:val="en-GB"/>
        </w:rPr>
      </w:pPr>
    </w:p>
    <w:p w:rsidR="00A87707" w:rsidRDefault="00A87707" w:rsidP="00777DC6">
      <w:pPr>
        <w:jc w:val="both"/>
        <w:rPr>
          <w:b/>
          <w:u w:val="single"/>
          <w:lang w:val="en-GB"/>
        </w:rPr>
      </w:pPr>
    </w:p>
    <w:p w:rsidR="00A87707" w:rsidRDefault="00A87707" w:rsidP="00777DC6">
      <w:pPr>
        <w:jc w:val="both"/>
        <w:rPr>
          <w:b/>
          <w:u w:val="single"/>
          <w:lang w:val="en-GB"/>
        </w:rPr>
      </w:pPr>
    </w:p>
    <w:p w:rsidR="00A87707" w:rsidRDefault="00A87707" w:rsidP="00777DC6">
      <w:pPr>
        <w:jc w:val="both"/>
        <w:rPr>
          <w:b/>
          <w:u w:val="single"/>
          <w:lang w:val="en-GB"/>
        </w:rPr>
      </w:pPr>
    </w:p>
    <w:p w:rsidR="009B4805" w:rsidRDefault="009B4805" w:rsidP="00777DC6">
      <w:pPr>
        <w:jc w:val="both"/>
        <w:rPr>
          <w:b/>
          <w:u w:val="single"/>
          <w:lang w:val="en-GB"/>
        </w:rPr>
      </w:pPr>
    </w:p>
    <w:p w:rsidR="00777DC6" w:rsidRPr="00777DC6" w:rsidRDefault="00777DC6" w:rsidP="00777DC6">
      <w:pPr>
        <w:jc w:val="both"/>
        <w:rPr>
          <w:b/>
          <w:u w:val="single"/>
          <w:lang w:val="en-GB"/>
        </w:rPr>
      </w:pPr>
      <w:r w:rsidRPr="00777DC6">
        <w:rPr>
          <w:b/>
          <w:u w:val="single"/>
          <w:lang w:val="en-GB"/>
        </w:rPr>
        <w:lastRenderedPageBreak/>
        <w:t>European Union Legislation</w:t>
      </w:r>
    </w:p>
    <w:p w:rsidR="00777DC6" w:rsidRPr="00777DC6" w:rsidRDefault="00777DC6" w:rsidP="00777DC6">
      <w:pPr>
        <w:jc w:val="both"/>
        <w:rPr>
          <w:u w:val="single"/>
          <w:lang w:val="en-GB"/>
        </w:rPr>
      </w:pPr>
      <w:r w:rsidRPr="00777DC6">
        <w:rPr>
          <w:u w:val="single"/>
          <w:lang w:val="en-GB"/>
        </w:rPr>
        <w:t>Primary EU Law</w:t>
      </w:r>
    </w:p>
    <w:p w:rsidR="00777DC6" w:rsidRPr="00777DC6" w:rsidRDefault="00777DC6" w:rsidP="00777DC6">
      <w:pPr>
        <w:numPr>
          <w:ilvl w:val="0"/>
          <w:numId w:val="8"/>
        </w:numPr>
        <w:jc w:val="both"/>
        <w:rPr>
          <w:lang w:val="en-GB"/>
        </w:rPr>
      </w:pPr>
      <w:r w:rsidRPr="00777DC6">
        <w:rPr>
          <w:lang w:val="en-GB"/>
        </w:rPr>
        <w:t xml:space="preserve">Treaty establishing the European Economic Community, Rome 25 March 1957. </w:t>
      </w:r>
    </w:p>
    <w:p w:rsidR="00777DC6" w:rsidRPr="00777DC6" w:rsidRDefault="00777DC6" w:rsidP="00777DC6">
      <w:pPr>
        <w:numPr>
          <w:ilvl w:val="0"/>
          <w:numId w:val="8"/>
        </w:numPr>
        <w:jc w:val="both"/>
        <w:rPr>
          <w:lang w:val="en-GB"/>
        </w:rPr>
      </w:pPr>
      <w:r w:rsidRPr="00777DC6">
        <w:rPr>
          <w:lang w:val="en-GB"/>
        </w:rPr>
        <w:t>Consolidated Version of the Treaty on the Functioning of the European Union, Rome 25 March 1957.</w:t>
      </w:r>
    </w:p>
    <w:p w:rsidR="00777DC6" w:rsidRPr="00777DC6" w:rsidRDefault="00777DC6" w:rsidP="00777DC6">
      <w:pPr>
        <w:numPr>
          <w:ilvl w:val="0"/>
          <w:numId w:val="8"/>
        </w:numPr>
        <w:jc w:val="both"/>
        <w:rPr>
          <w:lang w:val="en-GB"/>
        </w:rPr>
      </w:pPr>
      <w:r w:rsidRPr="00777DC6">
        <w:rPr>
          <w:lang w:val="en-GB"/>
        </w:rPr>
        <w:t xml:space="preserve">The Single European Act, Luxembourg 17 February 1986. </w:t>
      </w:r>
    </w:p>
    <w:p w:rsidR="00777DC6" w:rsidRPr="00777DC6" w:rsidRDefault="00777DC6" w:rsidP="00777DC6">
      <w:pPr>
        <w:numPr>
          <w:ilvl w:val="0"/>
          <w:numId w:val="8"/>
        </w:numPr>
        <w:jc w:val="both"/>
        <w:rPr>
          <w:lang w:val="en-GB"/>
        </w:rPr>
      </w:pPr>
      <w:r w:rsidRPr="00777DC6">
        <w:rPr>
          <w:lang w:val="en-GB"/>
        </w:rPr>
        <w:t xml:space="preserve">Treaty on the European Union, Maastricht 7 February 1992. </w:t>
      </w:r>
    </w:p>
    <w:p w:rsidR="00777DC6" w:rsidRPr="00777DC6" w:rsidRDefault="00777DC6" w:rsidP="00777DC6">
      <w:pPr>
        <w:numPr>
          <w:ilvl w:val="0"/>
          <w:numId w:val="8"/>
        </w:numPr>
        <w:jc w:val="both"/>
        <w:rPr>
          <w:lang w:val="en-GB"/>
        </w:rPr>
      </w:pPr>
      <w:r w:rsidRPr="00777DC6">
        <w:rPr>
          <w:lang w:val="en-GB"/>
        </w:rPr>
        <w:t xml:space="preserve">Consolidated Version of the Treaty on European Union, Maastricht 7 February 1992. </w:t>
      </w:r>
    </w:p>
    <w:p w:rsidR="00777DC6" w:rsidRPr="00777DC6" w:rsidRDefault="00777DC6" w:rsidP="00777DC6">
      <w:pPr>
        <w:numPr>
          <w:ilvl w:val="0"/>
          <w:numId w:val="8"/>
        </w:numPr>
        <w:jc w:val="both"/>
        <w:rPr>
          <w:lang w:val="en-GB"/>
        </w:rPr>
      </w:pPr>
      <w:r w:rsidRPr="00777DC6">
        <w:rPr>
          <w:lang w:val="en-GB"/>
        </w:rPr>
        <w:t xml:space="preserve">Treaty of Amsterdam, 2 October 1997. </w:t>
      </w:r>
    </w:p>
    <w:p w:rsidR="00777DC6" w:rsidRPr="00777DC6" w:rsidRDefault="00777DC6" w:rsidP="00777DC6">
      <w:pPr>
        <w:numPr>
          <w:ilvl w:val="0"/>
          <w:numId w:val="8"/>
        </w:numPr>
        <w:jc w:val="both"/>
        <w:rPr>
          <w:lang w:val="en-GB"/>
        </w:rPr>
      </w:pPr>
      <w:r w:rsidRPr="00777DC6">
        <w:rPr>
          <w:lang w:val="en-GB"/>
        </w:rPr>
        <w:t xml:space="preserve">Charter of Fundamental Rights of the European Union, Nice 7 December 2000. </w:t>
      </w:r>
    </w:p>
    <w:p w:rsidR="00777DC6" w:rsidRPr="00777DC6" w:rsidRDefault="00777DC6" w:rsidP="00777DC6">
      <w:pPr>
        <w:jc w:val="both"/>
        <w:rPr>
          <w:lang w:val="en-GB"/>
        </w:rPr>
      </w:pPr>
    </w:p>
    <w:p w:rsidR="00777DC6" w:rsidRPr="00777DC6" w:rsidRDefault="00777DC6" w:rsidP="00777DC6">
      <w:pPr>
        <w:jc w:val="both"/>
        <w:rPr>
          <w:u w:val="single"/>
          <w:lang w:val="en-GB"/>
        </w:rPr>
      </w:pPr>
      <w:r w:rsidRPr="00777DC6">
        <w:rPr>
          <w:u w:val="single"/>
          <w:lang w:val="en-GB"/>
        </w:rPr>
        <w:t xml:space="preserve">Secondary EU Law </w:t>
      </w:r>
    </w:p>
    <w:p w:rsidR="00777DC6" w:rsidRPr="00777DC6" w:rsidRDefault="00777DC6" w:rsidP="00777DC6">
      <w:pPr>
        <w:numPr>
          <w:ilvl w:val="0"/>
          <w:numId w:val="8"/>
        </w:numPr>
        <w:jc w:val="both"/>
        <w:rPr>
          <w:lang w:val="en-GB"/>
        </w:rPr>
      </w:pPr>
      <w:r w:rsidRPr="00777DC6">
        <w:rPr>
          <w:bCs/>
          <w:lang w:val="en-US"/>
        </w:rPr>
        <w:t>Council Directive 1975/117/EEC of 10 February 1975 on the approximation of the laws of the Member States relating to the application of the principle of equal pay for men and women.</w:t>
      </w:r>
    </w:p>
    <w:p w:rsidR="00777DC6" w:rsidRPr="00777DC6" w:rsidRDefault="00777DC6" w:rsidP="00777DC6">
      <w:pPr>
        <w:numPr>
          <w:ilvl w:val="0"/>
          <w:numId w:val="8"/>
        </w:numPr>
        <w:jc w:val="both"/>
        <w:rPr>
          <w:lang w:val="en-GB"/>
        </w:rPr>
      </w:pPr>
      <w:r w:rsidRPr="00777DC6">
        <w:rPr>
          <w:lang w:val="en-GB"/>
        </w:rPr>
        <w:t xml:space="preserve">Council Directive 1976/207/EEC of 9 February 1976 on the implementation of the principle of equal treatment for men and women as regards access to employment, vocational training, promotion and working conditions. </w:t>
      </w:r>
    </w:p>
    <w:p w:rsidR="00777DC6" w:rsidRPr="00777DC6" w:rsidRDefault="00777DC6" w:rsidP="00777DC6">
      <w:pPr>
        <w:numPr>
          <w:ilvl w:val="0"/>
          <w:numId w:val="8"/>
        </w:numPr>
        <w:jc w:val="both"/>
        <w:rPr>
          <w:lang w:val="en-GB"/>
        </w:rPr>
      </w:pPr>
      <w:r w:rsidRPr="00777DC6">
        <w:rPr>
          <w:lang w:val="en-US"/>
        </w:rPr>
        <w:t xml:space="preserve">Council Directive 1979/7/EEC of 19 December 1978 on the progressive implementation of the principle of equal treatment for men and women in matters of social security. </w:t>
      </w:r>
    </w:p>
    <w:p w:rsidR="00640BEC" w:rsidRPr="0056487C" w:rsidRDefault="00777DC6" w:rsidP="00777DC6">
      <w:pPr>
        <w:numPr>
          <w:ilvl w:val="0"/>
          <w:numId w:val="8"/>
        </w:numPr>
        <w:jc w:val="both"/>
        <w:rPr>
          <w:lang w:val="en-US"/>
        </w:rPr>
      </w:pPr>
      <w:r w:rsidRPr="00777DC6">
        <w:rPr>
          <w:lang w:val="en-US"/>
        </w:rPr>
        <w:t xml:space="preserve">Council Directive of 12 June 1989 on the introduction of measures to encourage improvements in the safety and health of workers at work. </w:t>
      </w:r>
    </w:p>
    <w:p w:rsidR="00777DC6" w:rsidRPr="00777DC6" w:rsidRDefault="00777DC6" w:rsidP="00777DC6">
      <w:pPr>
        <w:numPr>
          <w:ilvl w:val="0"/>
          <w:numId w:val="8"/>
        </w:numPr>
        <w:jc w:val="both"/>
        <w:rPr>
          <w:lang w:val="en-GB"/>
        </w:rPr>
      </w:pPr>
      <w:r w:rsidRPr="00777DC6">
        <w:rPr>
          <w:lang w:val="en-GB"/>
        </w:rPr>
        <w:t>Council Directive 1992/85/EEC of 19 October 1992 on the introduction of measures to encourage improvements in the safety and health at work of pregnant workers and workers who have recently given birth or are breastfeeding.</w:t>
      </w:r>
    </w:p>
    <w:p w:rsidR="00777DC6" w:rsidRPr="00777DC6" w:rsidRDefault="00777DC6" w:rsidP="00777DC6">
      <w:pPr>
        <w:numPr>
          <w:ilvl w:val="0"/>
          <w:numId w:val="8"/>
        </w:numPr>
        <w:jc w:val="both"/>
        <w:rPr>
          <w:lang w:val="en-GB"/>
        </w:rPr>
      </w:pPr>
      <w:r w:rsidRPr="00777DC6">
        <w:rPr>
          <w:lang w:val="en-GB"/>
        </w:rPr>
        <w:t xml:space="preserve">Council Directive 1996/34/EC of 3 June 1996 on the framework agreement on parental leave concluded by UNICE, CEEP and the ETUC. </w:t>
      </w:r>
    </w:p>
    <w:p w:rsidR="00777DC6" w:rsidRPr="00777DC6" w:rsidRDefault="00777DC6" w:rsidP="00777DC6">
      <w:pPr>
        <w:numPr>
          <w:ilvl w:val="0"/>
          <w:numId w:val="8"/>
        </w:numPr>
        <w:jc w:val="both"/>
        <w:rPr>
          <w:lang w:val="en-GB"/>
        </w:rPr>
      </w:pPr>
      <w:r w:rsidRPr="00777DC6">
        <w:rPr>
          <w:lang w:val="en-GB"/>
        </w:rPr>
        <w:t xml:space="preserve">Council Directive 1997/80/EC of 15 December 1997 on the burden of proof in cases of discrimination based on sex. </w:t>
      </w:r>
    </w:p>
    <w:p w:rsidR="00777DC6" w:rsidRPr="00777DC6" w:rsidRDefault="00777DC6" w:rsidP="00777DC6">
      <w:pPr>
        <w:numPr>
          <w:ilvl w:val="0"/>
          <w:numId w:val="8"/>
        </w:numPr>
        <w:jc w:val="both"/>
        <w:rPr>
          <w:lang w:val="en-GB"/>
        </w:rPr>
      </w:pPr>
      <w:r w:rsidRPr="00777DC6">
        <w:rPr>
          <w:lang w:val="en-GB"/>
        </w:rPr>
        <w:t>Council Directive 1997/81/EC of 15 December 1997 concerning the Framework Agreement on part-time work concluded by UNICE, CEEP and the ETUC.</w:t>
      </w:r>
    </w:p>
    <w:p w:rsidR="00777DC6" w:rsidRPr="006E5B2F" w:rsidRDefault="00777DC6" w:rsidP="00777DC6">
      <w:pPr>
        <w:numPr>
          <w:ilvl w:val="0"/>
          <w:numId w:val="8"/>
        </w:numPr>
        <w:jc w:val="both"/>
        <w:rPr>
          <w:lang w:val="en-US"/>
        </w:rPr>
      </w:pPr>
      <w:r w:rsidRPr="00777DC6">
        <w:rPr>
          <w:lang w:val="en-US"/>
        </w:rPr>
        <w:lastRenderedPageBreak/>
        <w:t xml:space="preserve">Council Directive 1998/59/EC of 20 July 1998 on the approximation of the laws of the Member States relating to collective redundancies.  </w:t>
      </w:r>
    </w:p>
    <w:p w:rsidR="00640BEC" w:rsidRPr="00777DC6" w:rsidRDefault="00F50969" w:rsidP="00777DC6">
      <w:pPr>
        <w:numPr>
          <w:ilvl w:val="0"/>
          <w:numId w:val="8"/>
        </w:numPr>
        <w:jc w:val="both"/>
        <w:rPr>
          <w:lang w:val="en-US"/>
        </w:rPr>
      </w:pPr>
      <w:r w:rsidRPr="00777DC6">
        <w:rPr>
          <w:lang w:val="en-GB"/>
        </w:rPr>
        <w:t xml:space="preserve">Council Directive 2000/43/EC of 29 June 2000 implementing the principle of equal treatment between persons irrespective of racial or ethnic origin. </w:t>
      </w:r>
    </w:p>
    <w:p w:rsidR="00777DC6" w:rsidRPr="00777DC6" w:rsidRDefault="00777DC6" w:rsidP="00777DC6">
      <w:pPr>
        <w:numPr>
          <w:ilvl w:val="0"/>
          <w:numId w:val="8"/>
        </w:numPr>
        <w:jc w:val="both"/>
        <w:rPr>
          <w:lang w:val="en-GB"/>
        </w:rPr>
      </w:pPr>
      <w:r w:rsidRPr="00777DC6">
        <w:rPr>
          <w:lang w:val="en-GB"/>
        </w:rPr>
        <w:t>Council Directive 2000/78/EC of 27 November 2000 establishing a general framework for equal treatment in employment and occupation.</w:t>
      </w:r>
      <w:bookmarkStart w:id="2" w:name="content"/>
    </w:p>
    <w:p w:rsidR="00777DC6" w:rsidRPr="00777DC6" w:rsidRDefault="00777DC6" w:rsidP="00777DC6">
      <w:pPr>
        <w:numPr>
          <w:ilvl w:val="0"/>
          <w:numId w:val="8"/>
        </w:numPr>
        <w:jc w:val="both"/>
        <w:rPr>
          <w:lang w:val="en-GB"/>
        </w:rPr>
      </w:pPr>
      <w:r w:rsidRPr="00777DC6">
        <w:rPr>
          <w:lang w:val="en-GB"/>
        </w:rPr>
        <w:t xml:space="preserve">Directive 2002/73/EC of the European Parliament and of the Council of 23 September 2002 amending Council Directive 76/207/EEC on the implementation of the principle of equal treatment for men and women as regards access to employment, vocational training and promotion, and working conditions. </w:t>
      </w:r>
    </w:p>
    <w:p w:rsidR="00777DC6" w:rsidRPr="00777DC6" w:rsidRDefault="00777DC6" w:rsidP="00777DC6">
      <w:pPr>
        <w:numPr>
          <w:ilvl w:val="0"/>
          <w:numId w:val="8"/>
        </w:numPr>
        <w:jc w:val="both"/>
        <w:rPr>
          <w:lang w:val="en-GB"/>
        </w:rPr>
      </w:pPr>
      <w:r w:rsidRPr="00777DC6">
        <w:rPr>
          <w:lang w:val="en-US"/>
        </w:rPr>
        <w:t xml:space="preserve">Directive 2003/88/EC of the European Parliament and of the Council of 4 November 2003 concerning certain aspects of the organization of working time.  </w:t>
      </w:r>
    </w:p>
    <w:p w:rsidR="00777DC6" w:rsidRPr="0056487C" w:rsidRDefault="00777DC6" w:rsidP="00777DC6">
      <w:pPr>
        <w:numPr>
          <w:ilvl w:val="0"/>
          <w:numId w:val="8"/>
        </w:numPr>
        <w:jc w:val="both"/>
        <w:rPr>
          <w:lang w:val="en-GB"/>
        </w:rPr>
      </w:pPr>
      <w:r w:rsidRPr="00777DC6">
        <w:rPr>
          <w:lang w:val="en-GB"/>
        </w:rPr>
        <w:t xml:space="preserve">Regulation 883/2004 of the European Parliament and of the Council of 29 April 2004 on the coordination of social security systems. </w:t>
      </w:r>
    </w:p>
    <w:p w:rsidR="00777DC6" w:rsidRPr="0056487C" w:rsidRDefault="00777DC6" w:rsidP="00777DC6">
      <w:pPr>
        <w:numPr>
          <w:ilvl w:val="0"/>
          <w:numId w:val="8"/>
        </w:numPr>
        <w:jc w:val="both"/>
        <w:rPr>
          <w:lang w:val="en-GB"/>
        </w:rPr>
      </w:pPr>
      <w:r w:rsidRPr="00777DC6">
        <w:rPr>
          <w:lang w:val="en-US"/>
        </w:rPr>
        <w:t>Council Directive 2004/113/EC of 13 December 2004 implementing the principle of equal treatment between men and women in the access to and supply of goods and services</w:t>
      </w:r>
      <w:r w:rsidR="007676E1">
        <w:rPr>
          <w:lang w:val="en-US"/>
        </w:rPr>
        <w:t>.</w:t>
      </w:r>
    </w:p>
    <w:p w:rsidR="00640BEC" w:rsidRPr="00777DC6" w:rsidRDefault="00777DC6" w:rsidP="00777DC6">
      <w:pPr>
        <w:numPr>
          <w:ilvl w:val="0"/>
          <w:numId w:val="8"/>
        </w:numPr>
        <w:jc w:val="both"/>
        <w:rPr>
          <w:lang w:val="en-GB"/>
        </w:rPr>
      </w:pPr>
      <w:r w:rsidRPr="00777DC6">
        <w:rPr>
          <w:lang w:val="en-US"/>
        </w:rPr>
        <w:t xml:space="preserve">Directive 2006/54/EC of the European Parliament and of the Council of 5 July 2006 on the implementation of the principle of equal opportunities and equal treatment of men and women in matters of employment and occupation (recast). </w:t>
      </w:r>
      <w:bookmarkEnd w:id="2"/>
    </w:p>
    <w:p w:rsidR="00777DC6" w:rsidRPr="0056487C" w:rsidRDefault="00777DC6" w:rsidP="00777DC6">
      <w:pPr>
        <w:numPr>
          <w:ilvl w:val="0"/>
          <w:numId w:val="8"/>
        </w:numPr>
        <w:jc w:val="both"/>
        <w:rPr>
          <w:lang w:val="en-US"/>
        </w:rPr>
      </w:pPr>
      <w:r w:rsidRPr="00777DC6">
        <w:rPr>
          <w:lang w:val="en-US"/>
        </w:rPr>
        <w:t xml:space="preserve">Directive 2008/94/EC of the European Parliament and of the Council of 22 October 2008 on the protection of employees in the event of the insolvency of their employer. </w:t>
      </w:r>
    </w:p>
    <w:p w:rsidR="00777DC6" w:rsidRPr="00777DC6" w:rsidRDefault="00777DC6" w:rsidP="00777DC6">
      <w:pPr>
        <w:numPr>
          <w:ilvl w:val="0"/>
          <w:numId w:val="8"/>
        </w:numPr>
        <w:jc w:val="both"/>
        <w:rPr>
          <w:lang w:val="en-GB"/>
        </w:rPr>
      </w:pPr>
      <w:r w:rsidRPr="00777DC6">
        <w:rPr>
          <w:lang w:val="en-GB"/>
        </w:rPr>
        <w:t xml:space="preserve">Regulation 987/2009 of the European Parliament and of the Council of 16 September 2009 laying down the procedure for implementing Regulation 883/2004 on the coordination of social security systems.  </w:t>
      </w:r>
    </w:p>
    <w:p w:rsidR="00777DC6" w:rsidRPr="00777DC6" w:rsidRDefault="00777DC6" w:rsidP="00777DC6">
      <w:pPr>
        <w:numPr>
          <w:ilvl w:val="0"/>
          <w:numId w:val="8"/>
        </w:numPr>
        <w:jc w:val="both"/>
        <w:rPr>
          <w:lang w:val="en-GB"/>
        </w:rPr>
      </w:pPr>
      <w:r w:rsidRPr="00777DC6">
        <w:rPr>
          <w:bCs/>
          <w:lang w:val="en-US"/>
        </w:rPr>
        <w:t xml:space="preserve">Council Directive 2010/18/EU of 8 March 2010 implementing the revised Framework Agreement on parental leave concluded by BUSINESSEUROPE, UEAPME, CEEP and ETUC and repealing Directive 96/34/EC. </w:t>
      </w:r>
    </w:p>
    <w:p w:rsidR="00777DC6" w:rsidRPr="00777DC6" w:rsidRDefault="00777DC6" w:rsidP="00777DC6">
      <w:pPr>
        <w:jc w:val="both"/>
        <w:rPr>
          <w:u w:val="single"/>
          <w:lang w:val="en-GB"/>
        </w:rPr>
      </w:pPr>
    </w:p>
    <w:p w:rsidR="00777DC6" w:rsidRPr="00777DC6" w:rsidRDefault="00777DC6" w:rsidP="00777DC6">
      <w:pPr>
        <w:jc w:val="both"/>
        <w:rPr>
          <w:u w:val="single"/>
          <w:lang w:val="en-GB"/>
        </w:rPr>
      </w:pPr>
    </w:p>
    <w:p w:rsidR="00777DC6" w:rsidRPr="00777DC6" w:rsidRDefault="00777DC6" w:rsidP="00777DC6">
      <w:pPr>
        <w:jc w:val="both"/>
        <w:rPr>
          <w:u w:val="single"/>
          <w:lang w:val="en-GB"/>
        </w:rPr>
      </w:pPr>
    </w:p>
    <w:p w:rsidR="00777DC6" w:rsidRPr="00777DC6" w:rsidRDefault="00777DC6" w:rsidP="00777DC6">
      <w:pPr>
        <w:jc w:val="both"/>
        <w:rPr>
          <w:u w:val="single"/>
          <w:lang w:val="en-GB"/>
        </w:rPr>
      </w:pPr>
    </w:p>
    <w:p w:rsidR="00A62F9F" w:rsidRDefault="00A62F9F" w:rsidP="00777DC6">
      <w:pPr>
        <w:jc w:val="both"/>
        <w:rPr>
          <w:b/>
          <w:u w:val="single"/>
          <w:lang w:val="en-GB"/>
        </w:rPr>
      </w:pPr>
    </w:p>
    <w:p w:rsidR="00777DC6" w:rsidRPr="00777DC6" w:rsidRDefault="00777DC6" w:rsidP="00777DC6">
      <w:pPr>
        <w:jc w:val="both"/>
        <w:rPr>
          <w:b/>
          <w:u w:val="single"/>
          <w:lang w:val="en-GB"/>
        </w:rPr>
      </w:pPr>
      <w:r w:rsidRPr="00777DC6">
        <w:rPr>
          <w:b/>
          <w:u w:val="single"/>
          <w:lang w:val="en-GB"/>
        </w:rPr>
        <w:lastRenderedPageBreak/>
        <w:t>National Legislation</w:t>
      </w:r>
    </w:p>
    <w:p w:rsidR="00777DC6" w:rsidRPr="00777DC6" w:rsidRDefault="00777DC6" w:rsidP="00777DC6">
      <w:pPr>
        <w:jc w:val="both"/>
        <w:rPr>
          <w:u w:val="single"/>
          <w:lang w:val="en-GB"/>
        </w:rPr>
      </w:pPr>
      <w:r w:rsidRPr="00777DC6">
        <w:rPr>
          <w:u w:val="single"/>
          <w:lang w:val="en-GB"/>
        </w:rPr>
        <w:t>Federal United States Legislation</w:t>
      </w:r>
    </w:p>
    <w:p w:rsidR="00777DC6" w:rsidRPr="00777DC6" w:rsidRDefault="00777DC6" w:rsidP="00777DC6">
      <w:pPr>
        <w:numPr>
          <w:ilvl w:val="0"/>
          <w:numId w:val="8"/>
        </w:numPr>
        <w:jc w:val="both"/>
        <w:rPr>
          <w:lang w:val="en-GB"/>
        </w:rPr>
      </w:pPr>
      <w:r w:rsidRPr="00777DC6">
        <w:rPr>
          <w:lang w:val="en-US"/>
        </w:rPr>
        <w:t xml:space="preserve">Civil Rights Act of 1964, Public Law 88-352 (78 Stat. 241). </w:t>
      </w:r>
    </w:p>
    <w:p w:rsidR="00777DC6" w:rsidRPr="00777DC6" w:rsidRDefault="00777DC6" w:rsidP="00777DC6">
      <w:pPr>
        <w:jc w:val="both"/>
        <w:rPr>
          <w:lang w:val="en-GB"/>
        </w:rPr>
      </w:pPr>
    </w:p>
    <w:p w:rsidR="00777DC6" w:rsidRPr="00777DC6" w:rsidRDefault="00777DC6" w:rsidP="00777DC6">
      <w:pPr>
        <w:jc w:val="both"/>
        <w:rPr>
          <w:u w:val="single"/>
          <w:lang w:val="en-GB"/>
        </w:rPr>
      </w:pPr>
      <w:r w:rsidRPr="00777DC6">
        <w:rPr>
          <w:u w:val="single"/>
          <w:lang w:val="en-GB"/>
        </w:rPr>
        <w:t>Legislati</w:t>
      </w:r>
      <w:r w:rsidR="004444A2">
        <w:rPr>
          <w:u w:val="single"/>
          <w:lang w:val="en-GB"/>
        </w:rPr>
        <w:t>o</w:t>
      </w:r>
      <w:r w:rsidR="00F65E80">
        <w:rPr>
          <w:u w:val="single"/>
          <w:lang w:val="en-GB"/>
        </w:rPr>
        <w:t xml:space="preserve">n adopted </w:t>
      </w:r>
      <w:r w:rsidR="004444A2">
        <w:rPr>
          <w:u w:val="single"/>
          <w:lang w:val="en-GB"/>
        </w:rPr>
        <w:t xml:space="preserve">by Westminster Parliament (United Kingdom) </w:t>
      </w:r>
    </w:p>
    <w:p w:rsidR="00777DC6" w:rsidRPr="00777DC6" w:rsidRDefault="00777DC6" w:rsidP="00777DC6">
      <w:pPr>
        <w:jc w:val="both"/>
        <w:rPr>
          <w:lang w:val="en-GB"/>
        </w:rPr>
      </w:pPr>
      <w:r w:rsidRPr="00777DC6">
        <w:rPr>
          <w:lang w:val="en-GB"/>
        </w:rPr>
        <w:t>Sex Discrimination Act 1975, c. 65.</w:t>
      </w: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C5120B" w:rsidRDefault="00C5120B" w:rsidP="00777DC6">
      <w:pPr>
        <w:jc w:val="both"/>
        <w:rPr>
          <w:b/>
          <w:u w:val="single"/>
          <w:lang w:val="en-GB"/>
        </w:rPr>
      </w:pPr>
    </w:p>
    <w:p w:rsidR="00777DC6" w:rsidRDefault="00777DC6" w:rsidP="00777DC6">
      <w:pPr>
        <w:jc w:val="both"/>
        <w:rPr>
          <w:lang w:val="en-GB"/>
        </w:rPr>
      </w:pPr>
      <w:r w:rsidRPr="00777DC6">
        <w:rPr>
          <w:b/>
          <w:u w:val="single"/>
          <w:lang w:val="en-GB"/>
        </w:rPr>
        <w:lastRenderedPageBreak/>
        <w:t>Case-Law</w:t>
      </w:r>
    </w:p>
    <w:p w:rsidR="000A361D" w:rsidRPr="000A361D" w:rsidRDefault="000A361D" w:rsidP="000A361D">
      <w:pPr>
        <w:jc w:val="both"/>
        <w:rPr>
          <w:u w:val="single"/>
          <w:lang w:val="en-GB"/>
        </w:rPr>
      </w:pPr>
      <w:r w:rsidRPr="000A361D">
        <w:rPr>
          <w:u w:val="single"/>
          <w:lang w:val="en-GB"/>
        </w:rPr>
        <w:t xml:space="preserve">The Permanent Court of International Justice </w:t>
      </w:r>
    </w:p>
    <w:p w:rsidR="000A361D" w:rsidRPr="000A361D" w:rsidRDefault="000A361D" w:rsidP="000A361D">
      <w:pPr>
        <w:numPr>
          <w:ilvl w:val="0"/>
          <w:numId w:val="8"/>
        </w:numPr>
        <w:jc w:val="both"/>
        <w:rPr>
          <w:lang w:val="en-GB"/>
        </w:rPr>
      </w:pPr>
      <w:r w:rsidRPr="000A361D">
        <w:rPr>
          <w:lang w:val="en-US"/>
        </w:rPr>
        <w:t xml:space="preserve">Permanent Court of International Justice, Advisory Opinion on German settlers in Poland, 1923, </w:t>
      </w:r>
      <w:proofErr w:type="spellStart"/>
      <w:r w:rsidRPr="000A361D">
        <w:rPr>
          <w:lang w:val="en-US"/>
        </w:rPr>
        <w:t>serie</w:t>
      </w:r>
      <w:proofErr w:type="spellEnd"/>
      <w:r w:rsidRPr="000A361D">
        <w:rPr>
          <w:lang w:val="en-US"/>
        </w:rPr>
        <w:t xml:space="preserve"> B no. 6.</w:t>
      </w:r>
    </w:p>
    <w:p w:rsidR="000A361D" w:rsidRPr="000A361D" w:rsidRDefault="000A361D" w:rsidP="000A361D">
      <w:pPr>
        <w:numPr>
          <w:ilvl w:val="0"/>
          <w:numId w:val="8"/>
        </w:numPr>
        <w:jc w:val="both"/>
        <w:rPr>
          <w:lang w:val="en-GB"/>
        </w:rPr>
      </w:pPr>
      <w:r w:rsidRPr="000A361D">
        <w:rPr>
          <w:lang w:val="en-US"/>
        </w:rPr>
        <w:t xml:space="preserve">Permanent Court of International Justice, Advisory Opinion on the treatment of Polish nationals and other persons of Polish origin or speech in the Danzig territory, 1932, </w:t>
      </w:r>
      <w:proofErr w:type="spellStart"/>
      <w:r w:rsidRPr="000A361D">
        <w:rPr>
          <w:lang w:val="en-US"/>
        </w:rPr>
        <w:t>serie</w:t>
      </w:r>
      <w:proofErr w:type="spellEnd"/>
      <w:r w:rsidRPr="000A361D">
        <w:rPr>
          <w:lang w:val="en-US"/>
        </w:rPr>
        <w:t xml:space="preserve"> A/B no. 44. </w:t>
      </w:r>
    </w:p>
    <w:p w:rsidR="000A361D" w:rsidRDefault="000A361D" w:rsidP="00777DC6">
      <w:pPr>
        <w:numPr>
          <w:ilvl w:val="0"/>
          <w:numId w:val="8"/>
        </w:numPr>
        <w:jc w:val="both"/>
        <w:rPr>
          <w:lang w:val="en-GB"/>
        </w:rPr>
      </w:pPr>
      <w:r w:rsidRPr="000A361D">
        <w:rPr>
          <w:lang w:val="en-US"/>
        </w:rPr>
        <w:t xml:space="preserve">Permanent Court of International Justice, Advisory Opinion on minority schools in Albania, 1935, </w:t>
      </w:r>
      <w:proofErr w:type="spellStart"/>
      <w:r w:rsidRPr="000A361D">
        <w:rPr>
          <w:lang w:val="en-US"/>
        </w:rPr>
        <w:t>serie</w:t>
      </w:r>
      <w:proofErr w:type="spellEnd"/>
      <w:r w:rsidRPr="000A361D">
        <w:rPr>
          <w:lang w:val="en-US"/>
        </w:rPr>
        <w:t xml:space="preserve"> A/B no. 64. </w:t>
      </w:r>
    </w:p>
    <w:p w:rsidR="000A361D" w:rsidRPr="000A361D" w:rsidRDefault="000A361D" w:rsidP="000A361D">
      <w:pPr>
        <w:ind w:left="720"/>
        <w:jc w:val="both"/>
        <w:rPr>
          <w:lang w:val="en-GB"/>
        </w:rPr>
      </w:pPr>
    </w:p>
    <w:p w:rsidR="00777DC6" w:rsidRPr="00777DC6" w:rsidRDefault="00777DC6" w:rsidP="00777DC6">
      <w:pPr>
        <w:jc w:val="both"/>
        <w:rPr>
          <w:u w:val="single"/>
          <w:lang w:val="en-GB"/>
        </w:rPr>
      </w:pPr>
      <w:r w:rsidRPr="00777DC6">
        <w:rPr>
          <w:u w:val="single"/>
          <w:lang w:val="en-GB"/>
        </w:rPr>
        <w:t>The</w:t>
      </w:r>
      <w:r w:rsidR="00B864DA">
        <w:rPr>
          <w:u w:val="single"/>
          <w:lang w:val="en-GB"/>
        </w:rPr>
        <w:t xml:space="preserve"> UN</w:t>
      </w:r>
      <w:r w:rsidRPr="00777DC6">
        <w:rPr>
          <w:u w:val="single"/>
          <w:lang w:val="en-GB"/>
        </w:rPr>
        <w:t xml:space="preserve"> Human Rights Committee (International Covenant on Civil and Political Rights)</w:t>
      </w:r>
    </w:p>
    <w:p w:rsidR="00777DC6" w:rsidRPr="00777DC6" w:rsidRDefault="00777DC6" w:rsidP="00777DC6">
      <w:pPr>
        <w:numPr>
          <w:ilvl w:val="0"/>
          <w:numId w:val="4"/>
        </w:numPr>
        <w:jc w:val="both"/>
        <w:rPr>
          <w:b/>
          <w:lang w:val="en-GB"/>
        </w:rPr>
      </w:pPr>
      <w:r w:rsidRPr="00777DC6">
        <w:rPr>
          <w:lang w:val="en-GB"/>
        </w:rPr>
        <w:t xml:space="preserve">ICCPR, </w:t>
      </w:r>
      <w:proofErr w:type="spellStart"/>
      <w:r w:rsidRPr="00777DC6">
        <w:rPr>
          <w:i/>
          <w:lang w:val="en-GB"/>
        </w:rPr>
        <w:t>Broeks</w:t>
      </w:r>
      <w:proofErr w:type="spellEnd"/>
      <w:r w:rsidRPr="00777DC6">
        <w:rPr>
          <w:i/>
          <w:lang w:val="en-GB"/>
        </w:rPr>
        <w:t xml:space="preserve"> v. The Netherlands</w:t>
      </w:r>
      <w:r w:rsidRPr="00777DC6">
        <w:rPr>
          <w:lang w:val="en-GB"/>
        </w:rPr>
        <w:t xml:space="preserve">, Communication no. 172/1984, U.N. Doc. CCPR/C/OP/2 at 196 (1987). </w:t>
      </w:r>
    </w:p>
    <w:p w:rsidR="00777DC6" w:rsidRPr="00777DC6" w:rsidRDefault="00777DC6" w:rsidP="00777DC6">
      <w:pPr>
        <w:numPr>
          <w:ilvl w:val="0"/>
          <w:numId w:val="4"/>
        </w:numPr>
        <w:jc w:val="both"/>
        <w:rPr>
          <w:b/>
          <w:lang w:val="en-GB"/>
        </w:rPr>
      </w:pPr>
      <w:r w:rsidRPr="00777DC6">
        <w:rPr>
          <w:lang w:val="en-GB"/>
        </w:rPr>
        <w:t xml:space="preserve">ICCPR, </w:t>
      </w:r>
      <w:proofErr w:type="spellStart"/>
      <w:r w:rsidRPr="00777DC6">
        <w:rPr>
          <w:i/>
          <w:lang w:val="en-GB"/>
        </w:rPr>
        <w:t>Althammer</w:t>
      </w:r>
      <w:proofErr w:type="spellEnd"/>
      <w:r w:rsidRPr="00777DC6">
        <w:rPr>
          <w:i/>
          <w:lang w:val="en-GB"/>
        </w:rPr>
        <w:t xml:space="preserve"> v. Austria</w:t>
      </w:r>
      <w:r w:rsidRPr="00777DC6">
        <w:rPr>
          <w:lang w:val="en-GB"/>
        </w:rPr>
        <w:t xml:space="preserve">, Communication no. 998/2001, U.N. Doc. CCPR/C/78/D/998/2001 (2003). </w:t>
      </w:r>
    </w:p>
    <w:p w:rsidR="00777DC6" w:rsidRPr="00777DC6" w:rsidRDefault="00777DC6" w:rsidP="00777DC6">
      <w:pPr>
        <w:numPr>
          <w:ilvl w:val="0"/>
          <w:numId w:val="4"/>
        </w:numPr>
        <w:jc w:val="both"/>
        <w:rPr>
          <w:b/>
          <w:lang w:val="en-GB"/>
        </w:rPr>
      </w:pPr>
      <w:r w:rsidRPr="00777DC6">
        <w:rPr>
          <w:lang w:val="en-GB"/>
        </w:rPr>
        <w:t xml:space="preserve">ICCPR, </w:t>
      </w:r>
      <w:proofErr w:type="spellStart"/>
      <w:r w:rsidRPr="00777DC6">
        <w:rPr>
          <w:i/>
          <w:lang w:val="en-GB"/>
        </w:rPr>
        <w:t>Derksen</w:t>
      </w:r>
      <w:proofErr w:type="spellEnd"/>
      <w:r w:rsidRPr="00777DC6">
        <w:rPr>
          <w:i/>
          <w:lang w:val="en-GB"/>
        </w:rPr>
        <w:t xml:space="preserve"> v. The Netherlands</w:t>
      </w:r>
      <w:r w:rsidRPr="00777DC6">
        <w:rPr>
          <w:lang w:val="en-GB"/>
        </w:rPr>
        <w:t xml:space="preserve">, Communication no. 976/2001, U.N. Doc. CCPR/C/80/D/976/2001 (2004). </w:t>
      </w:r>
    </w:p>
    <w:p w:rsidR="00777DC6" w:rsidRPr="00777DC6" w:rsidRDefault="00777DC6" w:rsidP="00777DC6">
      <w:pPr>
        <w:jc w:val="both"/>
        <w:rPr>
          <w:b/>
          <w:lang w:val="en-GB"/>
        </w:rPr>
      </w:pPr>
    </w:p>
    <w:p w:rsidR="00777DC6" w:rsidRPr="00777DC6" w:rsidRDefault="00A44273" w:rsidP="00777DC6">
      <w:pPr>
        <w:jc w:val="both"/>
        <w:rPr>
          <w:u w:val="single"/>
          <w:lang w:val="en-GB"/>
        </w:rPr>
      </w:pPr>
      <w:r>
        <w:rPr>
          <w:u w:val="single"/>
          <w:lang w:val="en-GB"/>
        </w:rPr>
        <w:t xml:space="preserve">The </w:t>
      </w:r>
      <w:r w:rsidR="00777DC6" w:rsidRPr="00777DC6">
        <w:rPr>
          <w:u w:val="single"/>
          <w:lang w:val="en-GB"/>
        </w:rPr>
        <w:t>UN Committee on the Elimination of Discrimination against Women</w:t>
      </w:r>
    </w:p>
    <w:p w:rsidR="00777DC6" w:rsidRPr="00777DC6" w:rsidRDefault="00777DC6" w:rsidP="00777DC6">
      <w:pPr>
        <w:numPr>
          <w:ilvl w:val="0"/>
          <w:numId w:val="4"/>
        </w:numPr>
        <w:jc w:val="both"/>
        <w:rPr>
          <w:lang w:val="en-GB"/>
        </w:rPr>
      </w:pPr>
      <w:r w:rsidRPr="00777DC6">
        <w:rPr>
          <w:lang w:val="en-GB"/>
        </w:rPr>
        <w:t xml:space="preserve">CEDAW, </w:t>
      </w:r>
      <w:r w:rsidRPr="00777DC6">
        <w:rPr>
          <w:i/>
          <w:lang w:val="en-GB"/>
        </w:rPr>
        <w:t>R.K.B. v. Turkey</w:t>
      </w:r>
      <w:r w:rsidRPr="00777DC6">
        <w:rPr>
          <w:lang w:val="en-GB"/>
        </w:rPr>
        <w:t xml:space="preserve">, Communication no. 28/2010, CEDAW/C/51/D/28/2010 (2012). </w:t>
      </w:r>
    </w:p>
    <w:p w:rsidR="00777DC6" w:rsidRPr="00777DC6" w:rsidRDefault="00777DC6" w:rsidP="00777DC6">
      <w:pPr>
        <w:numPr>
          <w:ilvl w:val="0"/>
          <w:numId w:val="4"/>
        </w:numPr>
        <w:jc w:val="both"/>
        <w:rPr>
          <w:lang w:val="it-IT"/>
        </w:rPr>
      </w:pPr>
      <w:r w:rsidRPr="00777DC6">
        <w:rPr>
          <w:lang w:val="it-IT"/>
        </w:rPr>
        <w:t xml:space="preserve">CEDAW, </w:t>
      </w:r>
      <w:r w:rsidRPr="00777DC6">
        <w:rPr>
          <w:i/>
          <w:lang w:val="it-IT"/>
        </w:rPr>
        <w:t>Isatou Jallow v. Bulgaria</w:t>
      </w:r>
      <w:r w:rsidRPr="00777DC6">
        <w:rPr>
          <w:lang w:val="it-IT"/>
        </w:rPr>
        <w:t xml:space="preserve">, Communication no. 32/2011, CEDAW/C/52/D/32/2011 (2012). </w:t>
      </w:r>
    </w:p>
    <w:p w:rsidR="00777DC6" w:rsidRPr="00777DC6" w:rsidRDefault="00777DC6" w:rsidP="00777DC6">
      <w:pPr>
        <w:jc w:val="both"/>
        <w:rPr>
          <w:lang w:val="it-IT"/>
        </w:rPr>
      </w:pPr>
    </w:p>
    <w:p w:rsidR="00777DC6" w:rsidRPr="00777DC6" w:rsidRDefault="00777DC6" w:rsidP="00777DC6">
      <w:pPr>
        <w:jc w:val="both"/>
        <w:rPr>
          <w:u w:val="single"/>
          <w:lang w:val="en-GB"/>
        </w:rPr>
      </w:pPr>
      <w:r w:rsidRPr="00777DC6">
        <w:rPr>
          <w:u w:val="single"/>
          <w:lang w:val="en-GB"/>
        </w:rPr>
        <w:t xml:space="preserve">The European Court of Human Rights </w:t>
      </w:r>
    </w:p>
    <w:p w:rsidR="00777DC6" w:rsidRPr="00777DC6" w:rsidRDefault="00777DC6" w:rsidP="00777DC6">
      <w:pPr>
        <w:numPr>
          <w:ilvl w:val="0"/>
          <w:numId w:val="4"/>
        </w:numPr>
        <w:jc w:val="both"/>
        <w:rPr>
          <w:u w:val="single"/>
          <w:lang w:val="en-US"/>
        </w:rPr>
      </w:pPr>
      <w:proofErr w:type="spellStart"/>
      <w:r w:rsidRPr="00777DC6">
        <w:rPr>
          <w:lang w:val="en-US"/>
        </w:rPr>
        <w:t>ECtHR</w:t>
      </w:r>
      <w:proofErr w:type="spellEnd"/>
      <w:r w:rsidRPr="00777DC6">
        <w:rPr>
          <w:lang w:val="en-US"/>
        </w:rPr>
        <w:t xml:space="preserve">, </w:t>
      </w:r>
      <w:r w:rsidRPr="00777DC6">
        <w:rPr>
          <w:i/>
          <w:lang w:val="en-US"/>
        </w:rPr>
        <w:t>Case relating to certain aspects of the laws on the use of languages in education in Belgium v. Belgium</w:t>
      </w:r>
      <w:r w:rsidRPr="00777DC6">
        <w:rPr>
          <w:lang w:val="en-US"/>
        </w:rPr>
        <w:t>, 1968.</w:t>
      </w:r>
    </w:p>
    <w:p w:rsidR="00777DC6" w:rsidRPr="00777DC6" w:rsidRDefault="00777DC6" w:rsidP="00777DC6">
      <w:pPr>
        <w:numPr>
          <w:ilvl w:val="0"/>
          <w:numId w:val="4"/>
        </w:numPr>
        <w:jc w:val="both"/>
        <w:rPr>
          <w:lang w:val="en-GB"/>
        </w:rPr>
      </w:pPr>
      <w:proofErr w:type="spellStart"/>
      <w:r w:rsidRPr="00777DC6">
        <w:rPr>
          <w:lang w:val="en-US"/>
        </w:rPr>
        <w:t>ECtHR</w:t>
      </w:r>
      <w:proofErr w:type="spellEnd"/>
      <w:r w:rsidRPr="00777DC6">
        <w:rPr>
          <w:lang w:val="en-US"/>
        </w:rPr>
        <w:t xml:space="preserve">, </w:t>
      </w:r>
      <w:r w:rsidRPr="00220ABB">
        <w:rPr>
          <w:bCs/>
          <w:i/>
          <w:lang w:val="en-GB"/>
        </w:rPr>
        <w:t>X and Y v. The Netherlands</w:t>
      </w:r>
      <w:r w:rsidRPr="00777DC6">
        <w:rPr>
          <w:bCs/>
          <w:lang w:val="en-GB"/>
        </w:rPr>
        <w:t xml:space="preserve">, 1985. </w:t>
      </w:r>
    </w:p>
    <w:p w:rsidR="00777DC6" w:rsidRPr="00777DC6" w:rsidRDefault="00777DC6" w:rsidP="00777DC6">
      <w:pPr>
        <w:numPr>
          <w:ilvl w:val="0"/>
          <w:numId w:val="4"/>
        </w:numPr>
        <w:jc w:val="both"/>
        <w:rPr>
          <w:b/>
          <w:lang w:val="en-GB"/>
        </w:rPr>
      </w:pPr>
      <w:proofErr w:type="spellStart"/>
      <w:r w:rsidRPr="00777DC6">
        <w:rPr>
          <w:lang w:val="en-US"/>
        </w:rPr>
        <w:t>ECtHR</w:t>
      </w:r>
      <w:proofErr w:type="spellEnd"/>
      <w:r w:rsidRPr="00777DC6">
        <w:rPr>
          <w:lang w:val="en-US"/>
        </w:rPr>
        <w:t xml:space="preserve">, </w:t>
      </w:r>
      <w:proofErr w:type="spellStart"/>
      <w:r w:rsidRPr="00777DC6">
        <w:rPr>
          <w:i/>
          <w:lang w:val="en-US"/>
        </w:rPr>
        <w:t>Laskey</w:t>
      </w:r>
      <w:proofErr w:type="spellEnd"/>
      <w:r w:rsidRPr="00777DC6">
        <w:rPr>
          <w:i/>
          <w:lang w:val="en-US"/>
        </w:rPr>
        <w:t xml:space="preserve"> and others v. the United Kingdom</w:t>
      </w:r>
      <w:r w:rsidRPr="00777DC6">
        <w:rPr>
          <w:lang w:val="en-US"/>
        </w:rPr>
        <w:t>, 1997.</w:t>
      </w:r>
    </w:p>
    <w:p w:rsidR="00777DC6" w:rsidRPr="00777DC6" w:rsidRDefault="00777DC6" w:rsidP="00777DC6">
      <w:pPr>
        <w:numPr>
          <w:ilvl w:val="0"/>
          <w:numId w:val="4"/>
        </w:numPr>
        <w:jc w:val="both"/>
        <w:rPr>
          <w:u w:val="single"/>
          <w:lang w:val="en-US"/>
        </w:rPr>
      </w:pPr>
      <w:proofErr w:type="spellStart"/>
      <w:r w:rsidRPr="00777DC6">
        <w:rPr>
          <w:lang w:val="en-US"/>
        </w:rPr>
        <w:t>ECtHR</w:t>
      </w:r>
      <w:proofErr w:type="spellEnd"/>
      <w:r w:rsidRPr="00777DC6">
        <w:rPr>
          <w:lang w:val="en-US"/>
        </w:rPr>
        <w:t xml:space="preserve">, </w:t>
      </w:r>
      <w:proofErr w:type="spellStart"/>
      <w:r w:rsidRPr="00777DC6">
        <w:rPr>
          <w:i/>
          <w:lang w:val="en-US"/>
        </w:rPr>
        <w:t>Petrovic</w:t>
      </w:r>
      <w:proofErr w:type="spellEnd"/>
      <w:r w:rsidRPr="00777DC6">
        <w:rPr>
          <w:i/>
          <w:lang w:val="en-US"/>
        </w:rPr>
        <w:t xml:space="preserve"> v. Austria</w:t>
      </w:r>
      <w:r w:rsidRPr="00777DC6">
        <w:rPr>
          <w:lang w:val="en-US"/>
        </w:rPr>
        <w:t xml:space="preserve">, 1998. </w:t>
      </w:r>
    </w:p>
    <w:p w:rsidR="00777DC6" w:rsidRPr="00777DC6" w:rsidRDefault="00777DC6" w:rsidP="00777DC6">
      <w:pPr>
        <w:numPr>
          <w:ilvl w:val="0"/>
          <w:numId w:val="4"/>
        </w:numPr>
        <w:jc w:val="both"/>
        <w:rPr>
          <w:u w:val="single"/>
          <w:lang w:val="en-US"/>
        </w:rPr>
      </w:pPr>
      <w:proofErr w:type="spellStart"/>
      <w:r w:rsidRPr="00777DC6">
        <w:rPr>
          <w:lang w:val="en-US"/>
        </w:rPr>
        <w:t>ECtHR</w:t>
      </w:r>
      <w:proofErr w:type="spellEnd"/>
      <w:r w:rsidRPr="00777DC6">
        <w:rPr>
          <w:lang w:val="en-US"/>
        </w:rPr>
        <w:t xml:space="preserve">, </w:t>
      </w:r>
      <w:r w:rsidRPr="00777DC6">
        <w:rPr>
          <w:i/>
          <w:lang w:val="en-US"/>
        </w:rPr>
        <w:t>Burden v. UK</w:t>
      </w:r>
      <w:r w:rsidRPr="00777DC6">
        <w:rPr>
          <w:lang w:val="en-US"/>
        </w:rPr>
        <w:t>, 2008.</w:t>
      </w:r>
    </w:p>
    <w:p w:rsidR="00777DC6" w:rsidRPr="00777DC6" w:rsidRDefault="00777DC6" w:rsidP="00777DC6">
      <w:pPr>
        <w:numPr>
          <w:ilvl w:val="0"/>
          <w:numId w:val="4"/>
        </w:numPr>
        <w:jc w:val="both"/>
        <w:rPr>
          <w:u w:val="single"/>
          <w:lang w:val="de-DE"/>
        </w:rPr>
      </w:pPr>
      <w:proofErr w:type="spellStart"/>
      <w:r w:rsidRPr="00777DC6">
        <w:rPr>
          <w:lang w:val="de-DE"/>
        </w:rPr>
        <w:lastRenderedPageBreak/>
        <w:t>ECtHR</w:t>
      </w:r>
      <w:proofErr w:type="spellEnd"/>
      <w:r w:rsidRPr="00777DC6">
        <w:rPr>
          <w:lang w:val="de-DE"/>
        </w:rPr>
        <w:t xml:space="preserve">, </w:t>
      </w:r>
      <w:r w:rsidRPr="00777DC6">
        <w:rPr>
          <w:i/>
          <w:lang w:val="de-DE"/>
        </w:rPr>
        <w:t>Religionsgemeinschaft der Zeugen Jehovas v. Austria</w:t>
      </w:r>
      <w:r w:rsidRPr="00777DC6">
        <w:rPr>
          <w:lang w:val="de-DE"/>
        </w:rPr>
        <w:t xml:space="preserve">, 2008. </w:t>
      </w:r>
    </w:p>
    <w:p w:rsidR="00777DC6" w:rsidRPr="00777DC6" w:rsidRDefault="00777DC6" w:rsidP="00777DC6">
      <w:pPr>
        <w:numPr>
          <w:ilvl w:val="0"/>
          <w:numId w:val="4"/>
        </w:numPr>
        <w:jc w:val="both"/>
        <w:rPr>
          <w:lang w:val="de-DE"/>
        </w:rPr>
      </w:pPr>
      <w:proofErr w:type="spellStart"/>
      <w:r w:rsidRPr="00777DC6">
        <w:rPr>
          <w:lang w:val="de-DE"/>
        </w:rPr>
        <w:t>ECtHR</w:t>
      </w:r>
      <w:proofErr w:type="spellEnd"/>
      <w:r w:rsidRPr="00777DC6">
        <w:rPr>
          <w:lang w:val="de-DE"/>
        </w:rPr>
        <w:t xml:space="preserve">, </w:t>
      </w:r>
      <w:proofErr w:type="spellStart"/>
      <w:r w:rsidRPr="00777DC6">
        <w:rPr>
          <w:i/>
          <w:lang w:val="de-DE"/>
        </w:rPr>
        <w:t>Hulea</w:t>
      </w:r>
      <w:proofErr w:type="spellEnd"/>
      <w:r w:rsidRPr="00777DC6">
        <w:rPr>
          <w:i/>
          <w:lang w:val="de-DE"/>
        </w:rPr>
        <w:t xml:space="preserve"> v. Romania</w:t>
      </w:r>
      <w:r w:rsidRPr="00777DC6">
        <w:rPr>
          <w:lang w:val="de-DE"/>
        </w:rPr>
        <w:t xml:space="preserve">, 2012. </w:t>
      </w:r>
    </w:p>
    <w:p w:rsidR="00777DC6" w:rsidRPr="00777DC6" w:rsidRDefault="00777DC6" w:rsidP="00777DC6">
      <w:pPr>
        <w:numPr>
          <w:ilvl w:val="0"/>
          <w:numId w:val="4"/>
        </w:numPr>
        <w:jc w:val="both"/>
        <w:rPr>
          <w:u w:val="single"/>
          <w:lang w:val="de-DE"/>
        </w:rPr>
      </w:pPr>
      <w:proofErr w:type="spellStart"/>
      <w:r w:rsidRPr="00777DC6">
        <w:rPr>
          <w:lang w:val="de-DE"/>
        </w:rPr>
        <w:t>ECtHR</w:t>
      </w:r>
      <w:proofErr w:type="spellEnd"/>
      <w:r w:rsidRPr="00777DC6">
        <w:rPr>
          <w:lang w:val="de-DE"/>
        </w:rPr>
        <w:t xml:space="preserve">, </w:t>
      </w:r>
      <w:r w:rsidRPr="00777DC6">
        <w:rPr>
          <w:i/>
          <w:lang w:val="de-DE"/>
        </w:rPr>
        <w:t xml:space="preserve">Konstantin </w:t>
      </w:r>
      <w:proofErr w:type="spellStart"/>
      <w:r w:rsidRPr="00777DC6">
        <w:rPr>
          <w:i/>
          <w:lang w:val="de-DE"/>
        </w:rPr>
        <w:t>Markin</w:t>
      </w:r>
      <w:proofErr w:type="spellEnd"/>
      <w:r w:rsidRPr="00777DC6">
        <w:rPr>
          <w:i/>
          <w:lang w:val="de-DE"/>
        </w:rPr>
        <w:t xml:space="preserve"> v. </w:t>
      </w:r>
      <w:proofErr w:type="spellStart"/>
      <w:r w:rsidRPr="00777DC6">
        <w:rPr>
          <w:i/>
          <w:lang w:val="de-DE"/>
        </w:rPr>
        <w:t>Russia</w:t>
      </w:r>
      <w:proofErr w:type="spellEnd"/>
      <w:r w:rsidRPr="00777DC6">
        <w:rPr>
          <w:lang w:val="de-DE"/>
        </w:rPr>
        <w:t xml:space="preserve">, 2012. </w:t>
      </w:r>
    </w:p>
    <w:p w:rsidR="00777DC6" w:rsidRPr="00777DC6" w:rsidRDefault="00777DC6" w:rsidP="00777DC6">
      <w:pPr>
        <w:jc w:val="both"/>
        <w:rPr>
          <w:u w:val="single"/>
          <w:lang w:val="de-DE"/>
        </w:rPr>
      </w:pPr>
    </w:p>
    <w:p w:rsidR="00777DC6" w:rsidRPr="00777DC6" w:rsidRDefault="00777DC6" w:rsidP="00777DC6">
      <w:pPr>
        <w:jc w:val="both"/>
        <w:rPr>
          <w:u w:val="single"/>
          <w:lang w:val="en-GB"/>
        </w:rPr>
      </w:pPr>
      <w:r w:rsidRPr="00777DC6">
        <w:rPr>
          <w:u w:val="single"/>
          <w:lang w:val="en-GB"/>
        </w:rPr>
        <w:t>The European Committee of Social Rights</w:t>
      </w:r>
    </w:p>
    <w:p w:rsidR="00777DC6" w:rsidRPr="00777DC6" w:rsidRDefault="00777DC6" w:rsidP="00777DC6">
      <w:pPr>
        <w:numPr>
          <w:ilvl w:val="0"/>
          <w:numId w:val="4"/>
        </w:numPr>
        <w:jc w:val="both"/>
        <w:rPr>
          <w:lang w:val="en-US"/>
        </w:rPr>
      </w:pPr>
      <w:r w:rsidRPr="00777DC6">
        <w:rPr>
          <w:lang w:val="en-US"/>
        </w:rPr>
        <w:t xml:space="preserve">European Committee of Social Rights, Collective Complaint 13/2002, </w:t>
      </w:r>
      <w:r w:rsidRPr="00777DC6">
        <w:rPr>
          <w:i/>
          <w:lang w:val="en-US"/>
        </w:rPr>
        <w:t>Autism-Europe v. France</w:t>
      </w:r>
      <w:r w:rsidRPr="00777DC6">
        <w:rPr>
          <w:lang w:val="en-US"/>
        </w:rPr>
        <w:t xml:space="preserve"> (2003).</w:t>
      </w:r>
    </w:p>
    <w:p w:rsidR="00777DC6" w:rsidRPr="00777DC6" w:rsidRDefault="00777DC6" w:rsidP="00777DC6">
      <w:pPr>
        <w:numPr>
          <w:ilvl w:val="0"/>
          <w:numId w:val="4"/>
        </w:numPr>
        <w:jc w:val="both"/>
        <w:rPr>
          <w:lang w:val="en-US"/>
        </w:rPr>
      </w:pPr>
      <w:r w:rsidRPr="00777DC6">
        <w:rPr>
          <w:lang w:val="en-US"/>
        </w:rPr>
        <w:t xml:space="preserve">European Committee of Social Rights, Collective Complaint 27/2004, </w:t>
      </w:r>
      <w:r w:rsidRPr="00777DC6">
        <w:rPr>
          <w:i/>
          <w:lang w:val="en-US"/>
        </w:rPr>
        <w:t>European Roma Rights Centre v. Italy</w:t>
      </w:r>
      <w:r w:rsidRPr="00777DC6">
        <w:rPr>
          <w:lang w:val="en-US"/>
        </w:rPr>
        <w:t xml:space="preserve"> (2005). </w:t>
      </w:r>
    </w:p>
    <w:p w:rsidR="00777DC6" w:rsidRPr="00777DC6" w:rsidRDefault="00777DC6" w:rsidP="00777DC6">
      <w:pPr>
        <w:numPr>
          <w:ilvl w:val="0"/>
          <w:numId w:val="4"/>
        </w:numPr>
        <w:jc w:val="both"/>
        <w:rPr>
          <w:lang w:val="en-US"/>
        </w:rPr>
      </w:pPr>
      <w:r w:rsidRPr="00777DC6">
        <w:rPr>
          <w:lang w:val="en-US"/>
        </w:rPr>
        <w:t xml:space="preserve">European Committee of Social Rights, Collective Complaint 31/2005, </w:t>
      </w:r>
      <w:r w:rsidRPr="00777DC6">
        <w:rPr>
          <w:i/>
          <w:lang w:val="en-US"/>
        </w:rPr>
        <w:t>European Roma Rights Centre v. Bulgaria</w:t>
      </w:r>
      <w:r w:rsidRPr="00777DC6">
        <w:rPr>
          <w:lang w:val="en-US"/>
        </w:rPr>
        <w:t xml:space="preserve"> (2006). </w:t>
      </w:r>
    </w:p>
    <w:p w:rsidR="00777DC6" w:rsidRPr="00777DC6" w:rsidRDefault="00777DC6" w:rsidP="00777DC6">
      <w:pPr>
        <w:numPr>
          <w:ilvl w:val="0"/>
          <w:numId w:val="4"/>
        </w:numPr>
        <w:jc w:val="both"/>
        <w:rPr>
          <w:lang w:val="en-US"/>
        </w:rPr>
      </w:pPr>
      <w:r w:rsidRPr="00777DC6">
        <w:rPr>
          <w:lang w:val="en-US"/>
        </w:rPr>
        <w:t xml:space="preserve">European Committee of Social Rights, Collective Complaint 41/2007, </w:t>
      </w:r>
      <w:r w:rsidRPr="00777DC6">
        <w:rPr>
          <w:i/>
          <w:lang w:val="en-US"/>
        </w:rPr>
        <w:t>Disability Advocacy Center v. Bulgaria</w:t>
      </w:r>
      <w:r w:rsidRPr="00777DC6">
        <w:rPr>
          <w:lang w:val="en-US"/>
        </w:rPr>
        <w:t xml:space="preserve"> (2008).</w:t>
      </w:r>
    </w:p>
    <w:p w:rsidR="00777DC6" w:rsidRPr="00777DC6" w:rsidRDefault="00777DC6" w:rsidP="00777DC6">
      <w:pPr>
        <w:numPr>
          <w:ilvl w:val="0"/>
          <w:numId w:val="4"/>
        </w:numPr>
        <w:jc w:val="both"/>
        <w:rPr>
          <w:lang w:val="fr-FR"/>
        </w:rPr>
      </w:pPr>
      <w:proofErr w:type="spellStart"/>
      <w:r w:rsidRPr="00777DC6">
        <w:rPr>
          <w:lang w:val="fr-FR"/>
        </w:rPr>
        <w:t>European</w:t>
      </w:r>
      <w:proofErr w:type="spellEnd"/>
      <w:r w:rsidRPr="00777DC6">
        <w:rPr>
          <w:lang w:val="fr-FR"/>
        </w:rPr>
        <w:t xml:space="preserve"> </w:t>
      </w:r>
      <w:proofErr w:type="spellStart"/>
      <w:r w:rsidRPr="00777DC6">
        <w:rPr>
          <w:lang w:val="fr-FR"/>
        </w:rPr>
        <w:t>Committee</w:t>
      </w:r>
      <w:proofErr w:type="spellEnd"/>
      <w:r w:rsidRPr="00777DC6">
        <w:rPr>
          <w:lang w:val="fr-FR"/>
        </w:rPr>
        <w:t xml:space="preserve"> of Social </w:t>
      </w:r>
      <w:proofErr w:type="spellStart"/>
      <w:r w:rsidRPr="00777DC6">
        <w:rPr>
          <w:lang w:val="fr-FR"/>
        </w:rPr>
        <w:t>Rights</w:t>
      </w:r>
      <w:proofErr w:type="spellEnd"/>
      <w:r w:rsidRPr="00777DC6">
        <w:rPr>
          <w:lang w:val="fr-FR"/>
        </w:rPr>
        <w:t xml:space="preserve">, Collective Complaint 50/2008, </w:t>
      </w:r>
      <w:proofErr w:type="spellStart"/>
      <w:r w:rsidRPr="00777DC6">
        <w:rPr>
          <w:i/>
          <w:lang w:val="fr-FR"/>
        </w:rPr>
        <w:t>Conféderation</w:t>
      </w:r>
      <w:proofErr w:type="spellEnd"/>
      <w:r w:rsidRPr="00777DC6">
        <w:rPr>
          <w:i/>
          <w:lang w:val="fr-FR"/>
        </w:rPr>
        <w:t xml:space="preserve"> </w:t>
      </w:r>
      <w:proofErr w:type="spellStart"/>
      <w:r w:rsidRPr="00777DC6">
        <w:rPr>
          <w:i/>
          <w:lang w:val="fr-FR"/>
        </w:rPr>
        <w:t>Francaise</w:t>
      </w:r>
      <w:proofErr w:type="spellEnd"/>
      <w:r w:rsidRPr="00777DC6">
        <w:rPr>
          <w:i/>
          <w:lang w:val="fr-FR"/>
        </w:rPr>
        <w:t xml:space="preserve"> Démocratique du Travail v. France</w:t>
      </w:r>
      <w:r w:rsidRPr="00777DC6">
        <w:rPr>
          <w:lang w:val="fr-FR"/>
        </w:rPr>
        <w:t xml:space="preserve"> (2009).</w:t>
      </w:r>
    </w:p>
    <w:p w:rsidR="00777DC6" w:rsidRPr="00777DC6" w:rsidRDefault="00777DC6" w:rsidP="00777DC6">
      <w:pPr>
        <w:numPr>
          <w:ilvl w:val="0"/>
          <w:numId w:val="4"/>
        </w:numPr>
        <w:jc w:val="both"/>
        <w:rPr>
          <w:lang w:val="en-US"/>
        </w:rPr>
      </w:pPr>
      <w:r w:rsidRPr="00777DC6">
        <w:rPr>
          <w:lang w:val="en-US"/>
        </w:rPr>
        <w:t xml:space="preserve">European Committee of Social Rights, Collective Complaint 58/2009, </w:t>
      </w:r>
      <w:r w:rsidRPr="00777DC6">
        <w:rPr>
          <w:i/>
          <w:lang w:val="en-US"/>
        </w:rPr>
        <w:t>Centre on housing Rights and Evictions v. Italy</w:t>
      </w:r>
      <w:r w:rsidRPr="00777DC6">
        <w:rPr>
          <w:lang w:val="en-US"/>
        </w:rPr>
        <w:t xml:space="preserve"> (2010). </w:t>
      </w:r>
    </w:p>
    <w:p w:rsidR="00777DC6" w:rsidRPr="00777DC6" w:rsidRDefault="00777DC6" w:rsidP="00777DC6">
      <w:pPr>
        <w:numPr>
          <w:ilvl w:val="0"/>
          <w:numId w:val="4"/>
        </w:numPr>
        <w:jc w:val="both"/>
        <w:rPr>
          <w:lang w:val="en-US"/>
        </w:rPr>
      </w:pPr>
      <w:r w:rsidRPr="00777DC6">
        <w:rPr>
          <w:lang w:val="en-US"/>
        </w:rPr>
        <w:t xml:space="preserve">European Committee of Social Rights, Collective Complaint 64/2011, </w:t>
      </w:r>
      <w:r w:rsidRPr="00777DC6">
        <w:rPr>
          <w:i/>
          <w:lang w:val="en-US"/>
        </w:rPr>
        <w:t xml:space="preserve">European Roma and </w:t>
      </w:r>
      <w:proofErr w:type="spellStart"/>
      <w:r w:rsidRPr="00777DC6">
        <w:rPr>
          <w:i/>
          <w:lang w:val="en-US"/>
        </w:rPr>
        <w:t>Travellers</w:t>
      </w:r>
      <w:proofErr w:type="spellEnd"/>
      <w:r w:rsidRPr="00777DC6">
        <w:rPr>
          <w:i/>
          <w:lang w:val="en-US"/>
        </w:rPr>
        <w:t xml:space="preserve"> Forum v. France</w:t>
      </w:r>
      <w:r w:rsidRPr="00777DC6">
        <w:rPr>
          <w:lang w:val="en-US"/>
        </w:rPr>
        <w:t xml:space="preserve"> (2012). </w:t>
      </w:r>
    </w:p>
    <w:p w:rsidR="00B55DB9" w:rsidRDefault="00B55DB9" w:rsidP="00777DC6">
      <w:pPr>
        <w:jc w:val="both"/>
        <w:rPr>
          <w:lang w:val="en-US"/>
        </w:rPr>
      </w:pPr>
    </w:p>
    <w:p w:rsidR="00777DC6" w:rsidRPr="00777DC6" w:rsidRDefault="00777DC6" w:rsidP="00777DC6">
      <w:pPr>
        <w:jc w:val="both"/>
        <w:rPr>
          <w:u w:val="single"/>
          <w:lang w:val="en-US"/>
        </w:rPr>
      </w:pPr>
      <w:r w:rsidRPr="00777DC6">
        <w:rPr>
          <w:u w:val="single"/>
          <w:lang w:val="en-US"/>
        </w:rPr>
        <w:t>The European Court of Justice</w:t>
      </w:r>
    </w:p>
    <w:p w:rsidR="00777DC6" w:rsidRPr="00777DC6" w:rsidRDefault="00777DC6" w:rsidP="00777DC6">
      <w:pPr>
        <w:numPr>
          <w:ilvl w:val="0"/>
          <w:numId w:val="4"/>
        </w:numPr>
        <w:jc w:val="both"/>
        <w:rPr>
          <w:lang w:val="en-US"/>
        </w:rPr>
      </w:pPr>
      <w:r w:rsidRPr="00777DC6">
        <w:rPr>
          <w:lang w:val="en-US"/>
        </w:rPr>
        <w:t xml:space="preserve">ECJ C-2/56, </w:t>
      </w:r>
      <w:proofErr w:type="spellStart"/>
      <w:r w:rsidRPr="00777DC6">
        <w:rPr>
          <w:i/>
          <w:lang w:val="en-US"/>
        </w:rPr>
        <w:t>Geitling</w:t>
      </w:r>
      <w:proofErr w:type="spellEnd"/>
      <w:r w:rsidRPr="00777DC6">
        <w:rPr>
          <w:i/>
          <w:lang w:val="en-US"/>
        </w:rPr>
        <w:t xml:space="preserve"> selling agency for Ruhr coal v. High Authority of the European Coal and Steel Community</w:t>
      </w:r>
      <w:r w:rsidRPr="00777DC6">
        <w:rPr>
          <w:lang w:val="en-US"/>
        </w:rPr>
        <w:t xml:space="preserve">, 1957. </w:t>
      </w:r>
    </w:p>
    <w:p w:rsidR="00777DC6" w:rsidRPr="00777DC6" w:rsidRDefault="00777DC6" w:rsidP="00777DC6">
      <w:pPr>
        <w:numPr>
          <w:ilvl w:val="0"/>
          <w:numId w:val="4"/>
        </w:numPr>
        <w:jc w:val="both"/>
        <w:rPr>
          <w:lang w:val="en-US"/>
        </w:rPr>
      </w:pPr>
      <w:r w:rsidRPr="00777DC6">
        <w:rPr>
          <w:lang w:val="en-US"/>
        </w:rPr>
        <w:t xml:space="preserve">ECJ C-29/69, </w:t>
      </w:r>
      <w:proofErr w:type="spellStart"/>
      <w:r w:rsidRPr="00777DC6">
        <w:rPr>
          <w:i/>
          <w:lang w:val="en-US"/>
        </w:rPr>
        <w:t>Stauder</w:t>
      </w:r>
      <w:proofErr w:type="spellEnd"/>
      <w:r w:rsidRPr="00777DC6">
        <w:rPr>
          <w:i/>
          <w:lang w:val="en-US"/>
        </w:rPr>
        <w:t xml:space="preserve"> v. City of Ulm</w:t>
      </w:r>
      <w:r w:rsidRPr="00777DC6">
        <w:rPr>
          <w:lang w:val="en-US"/>
        </w:rPr>
        <w:t>, 1969.</w:t>
      </w:r>
    </w:p>
    <w:p w:rsidR="00777DC6" w:rsidRPr="00777DC6" w:rsidRDefault="00777DC6" w:rsidP="00777DC6">
      <w:pPr>
        <w:numPr>
          <w:ilvl w:val="0"/>
          <w:numId w:val="4"/>
        </w:numPr>
        <w:jc w:val="both"/>
        <w:rPr>
          <w:lang w:val="de-DE"/>
        </w:rPr>
      </w:pPr>
      <w:r w:rsidRPr="00777DC6">
        <w:rPr>
          <w:lang w:val="de-DE"/>
        </w:rPr>
        <w:t xml:space="preserve">ECJ C-15/69, </w:t>
      </w:r>
      <w:proofErr w:type="spellStart"/>
      <w:r w:rsidRPr="00777DC6">
        <w:rPr>
          <w:i/>
          <w:lang w:val="de-DE"/>
        </w:rPr>
        <w:t>Wurttembergische</w:t>
      </w:r>
      <w:proofErr w:type="spellEnd"/>
      <w:r w:rsidRPr="00777DC6">
        <w:rPr>
          <w:i/>
          <w:lang w:val="de-DE"/>
        </w:rPr>
        <w:t xml:space="preserve"> Milchverwertung-</w:t>
      </w:r>
      <w:proofErr w:type="spellStart"/>
      <w:r w:rsidRPr="00777DC6">
        <w:rPr>
          <w:i/>
          <w:lang w:val="de-DE"/>
        </w:rPr>
        <w:t>Sudmilch</w:t>
      </w:r>
      <w:proofErr w:type="spellEnd"/>
      <w:r w:rsidRPr="00777DC6">
        <w:rPr>
          <w:i/>
          <w:lang w:val="de-DE"/>
        </w:rPr>
        <w:t xml:space="preserve"> AG v. Salvatore </w:t>
      </w:r>
      <w:proofErr w:type="spellStart"/>
      <w:r w:rsidRPr="00777DC6">
        <w:rPr>
          <w:i/>
          <w:lang w:val="de-DE"/>
        </w:rPr>
        <w:t>Ugliola</w:t>
      </w:r>
      <w:proofErr w:type="spellEnd"/>
      <w:r w:rsidRPr="00777DC6">
        <w:rPr>
          <w:lang w:val="de-DE"/>
        </w:rPr>
        <w:t xml:space="preserve">, 1969. </w:t>
      </w:r>
    </w:p>
    <w:p w:rsidR="00777DC6" w:rsidRPr="00777DC6" w:rsidRDefault="00777DC6" w:rsidP="00777DC6">
      <w:pPr>
        <w:numPr>
          <w:ilvl w:val="0"/>
          <w:numId w:val="4"/>
        </w:numPr>
        <w:jc w:val="both"/>
        <w:rPr>
          <w:lang w:val="de-DE"/>
        </w:rPr>
      </w:pPr>
      <w:r w:rsidRPr="00777DC6">
        <w:rPr>
          <w:lang w:val="de-DE"/>
        </w:rPr>
        <w:t xml:space="preserve">ECJ C-11/70, </w:t>
      </w:r>
      <w:r w:rsidRPr="00777DC6">
        <w:rPr>
          <w:i/>
          <w:lang w:val="de-DE"/>
        </w:rPr>
        <w:t>Internationale Handelsgesellschaft mbH</w:t>
      </w:r>
      <w:r w:rsidRPr="00777DC6">
        <w:rPr>
          <w:bCs/>
          <w:i/>
          <w:lang w:val="de-DE"/>
        </w:rPr>
        <w:t xml:space="preserve"> v. Einfuhr- und Vorratsstelle für Getreide und Futtermittel</w:t>
      </w:r>
      <w:r w:rsidRPr="00777DC6">
        <w:rPr>
          <w:lang w:val="de-DE"/>
        </w:rPr>
        <w:t xml:space="preserve">, 1970. </w:t>
      </w:r>
    </w:p>
    <w:p w:rsidR="00777DC6" w:rsidRPr="00777DC6" w:rsidRDefault="00777DC6" w:rsidP="00777DC6">
      <w:pPr>
        <w:numPr>
          <w:ilvl w:val="0"/>
          <w:numId w:val="4"/>
        </w:numPr>
        <w:jc w:val="both"/>
        <w:rPr>
          <w:lang w:val="it-IT"/>
        </w:rPr>
      </w:pPr>
      <w:r w:rsidRPr="00777DC6">
        <w:rPr>
          <w:lang w:val="it-IT"/>
        </w:rPr>
        <w:t xml:space="preserve">ECJ C-20/71, </w:t>
      </w:r>
      <w:r w:rsidRPr="00777DC6">
        <w:rPr>
          <w:i/>
          <w:lang w:val="it-IT"/>
        </w:rPr>
        <w:t>Luisa Sabbatini v. European Parliament</w:t>
      </w:r>
      <w:r w:rsidRPr="00777DC6">
        <w:rPr>
          <w:lang w:val="it-IT"/>
        </w:rPr>
        <w:t xml:space="preserve">, 1972. </w:t>
      </w:r>
    </w:p>
    <w:p w:rsidR="00777DC6" w:rsidRPr="00777DC6" w:rsidRDefault="00777DC6" w:rsidP="00777DC6">
      <w:pPr>
        <w:numPr>
          <w:ilvl w:val="0"/>
          <w:numId w:val="4"/>
        </w:numPr>
        <w:jc w:val="both"/>
        <w:rPr>
          <w:lang w:val="de-DE"/>
        </w:rPr>
      </w:pPr>
      <w:r w:rsidRPr="00777DC6">
        <w:rPr>
          <w:lang w:val="de-DE"/>
        </w:rPr>
        <w:t xml:space="preserve">ECJ C-152/73, </w:t>
      </w:r>
      <w:r w:rsidRPr="00777DC6">
        <w:rPr>
          <w:i/>
          <w:lang w:val="de-DE"/>
        </w:rPr>
        <w:t xml:space="preserve">Maria </w:t>
      </w:r>
      <w:proofErr w:type="spellStart"/>
      <w:r w:rsidRPr="00777DC6">
        <w:rPr>
          <w:i/>
          <w:lang w:val="de-DE"/>
        </w:rPr>
        <w:t>Sotgui</w:t>
      </w:r>
      <w:proofErr w:type="spellEnd"/>
      <w:r w:rsidRPr="00777DC6">
        <w:rPr>
          <w:i/>
          <w:lang w:val="de-DE"/>
        </w:rPr>
        <w:t xml:space="preserve"> v. Deutsche Bundespost</w:t>
      </w:r>
      <w:r w:rsidRPr="00777DC6">
        <w:rPr>
          <w:lang w:val="de-DE"/>
        </w:rPr>
        <w:t xml:space="preserve">, 1974. </w:t>
      </w:r>
    </w:p>
    <w:p w:rsidR="00777DC6" w:rsidRPr="00777DC6" w:rsidRDefault="00777DC6" w:rsidP="00777DC6">
      <w:pPr>
        <w:numPr>
          <w:ilvl w:val="0"/>
          <w:numId w:val="4"/>
        </w:numPr>
        <w:jc w:val="both"/>
        <w:rPr>
          <w:lang w:val="fr-FR"/>
        </w:rPr>
      </w:pPr>
      <w:r w:rsidRPr="00777DC6">
        <w:rPr>
          <w:lang w:val="fr-FR"/>
        </w:rPr>
        <w:t xml:space="preserve">ECJ C-36/75, </w:t>
      </w:r>
      <w:proofErr w:type="spellStart"/>
      <w:r w:rsidRPr="00777DC6">
        <w:rPr>
          <w:i/>
          <w:lang w:val="fr-FR"/>
        </w:rPr>
        <w:t>Rutili</w:t>
      </w:r>
      <w:proofErr w:type="spellEnd"/>
      <w:r w:rsidRPr="00777DC6">
        <w:rPr>
          <w:i/>
          <w:lang w:val="fr-FR"/>
        </w:rPr>
        <w:t xml:space="preserve"> v. Ministre de l’intérieur</w:t>
      </w:r>
      <w:r w:rsidRPr="00777DC6">
        <w:rPr>
          <w:lang w:val="fr-FR"/>
        </w:rPr>
        <w:t>, 1975.</w:t>
      </w:r>
    </w:p>
    <w:p w:rsidR="00777DC6" w:rsidRPr="00777DC6" w:rsidRDefault="00777DC6" w:rsidP="00777DC6">
      <w:pPr>
        <w:numPr>
          <w:ilvl w:val="0"/>
          <w:numId w:val="4"/>
        </w:numPr>
        <w:jc w:val="both"/>
        <w:rPr>
          <w:lang w:val="en-US"/>
        </w:rPr>
      </w:pPr>
      <w:r w:rsidRPr="00777DC6">
        <w:rPr>
          <w:lang w:val="en-US"/>
        </w:rPr>
        <w:lastRenderedPageBreak/>
        <w:t xml:space="preserve">ECJ C-4/73, </w:t>
      </w:r>
      <w:r w:rsidRPr="00777DC6">
        <w:rPr>
          <w:i/>
          <w:lang w:val="en-US"/>
        </w:rPr>
        <w:t xml:space="preserve">J. </w:t>
      </w:r>
      <w:proofErr w:type="spellStart"/>
      <w:r w:rsidRPr="00777DC6">
        <w:rPr>
          <w:i/>
          <w:lang w:val="en-US"/>
        </w:rPr>
        <w:t>Nold</w:t>
      </w:r>
      <w:proofErr w:type="spellEnd"/>
      <w:r w:rsidRPr="00777DC6">
        <w:rPr>
          <w:i/>
          <w:lang w:val="en-US"/>
        </w:rPr>
        <w:t xml:space="preserve"> v. Commission of the European Communities</w:t>
      </w:r>
      <w:r w:rsidRPr="00777DC6">
        <w:rPr>
          <w:lang w:val="en-US"/>
        </w:rPr>
        <w:t xml:space="preserve">, 1974. </w:t>
      </w:r>
    </w:p>
    <w:p w:rsidR="00777DC6" w:rsidRPr="00777DC6" w:rsidRDefault="00777DC6" w:rsidP="00777DC6">
      <w:pPr>
        <w:numPr>
          <w:ilvl w:val="0"/>
          <w:numId w:val="4"/>
        </w:numPr>
        <w:jc w:val="both"/>
        <w:rPr>
          <w:lang w:val="it-IT"/>
        </w:rPr>
      </w:pPr>
      <w:r w:rsidRPr="00777DC6">
        <w:rPr>
          <w:lang w:val="en-US"/>
        </w:rPr>
        <w:t>ECJ</w:t>
      </w:r>
      <w:r w:rsidRPr="00777DC6">
        <w:rPr>
          <w:lang w:val="it-IT"/>
        </w:rPr>
        <w:t xml:space="preserve"> C-43/75, </w:t>
      </w:r>
      <w:r w:rsidRPr="00777DC6">
        <w:rPr>
          <w:i/>
          <w:lang w:val="it-IT"/>
        </w:rPr>
        <w:t>Defrenne II</w:t>
      </w:r>
      <w:r w:rsidRPr="00777DC6">
        <w:rPr>
          <w:lang w:val="it-IT"/>
        </w:rPr>
        <w:t xml:space="preserve">, 1976. </w:t>
      </w:r>
    </w:p>
    <w:p w:rsidR="00777DC6" w:rsidRPr="00777DC6" w:rsidRDefault="00777DC6" w:rsidP="00777DC6">
      <w:pPr>
        <w:numPr>
          <w:ilvl w:val="0"/>
          <w:numId w:val="4"/>
        </w:numPr>
        <w:jc w:val="both"/>
        <w:rPr>
          <w:lang w:val="it-IT"/>
        </w:rPr>
      </w:pPr>
      <w:r w:rsidRPr="00777DC6">
        <w:rPr>
          <w:lang w:val="it-IT"/>
        </w:rPr>
        <w:t xml:space="preserve">ECJ C-149/77, </w:t>
      </w:r>
      <w:r w:rsidRPr="00777DC6">
        <w:rPr>
          <w:i/>
          <w:lang w:val="it-IT"/>
        </w:rPr>
        <w:t>Defrenne III</w:t>
      </w:r>
      <w:r w:rsidRPr="00777DC6">
        <w:rPr>
          <w:lang w:val="it-IT"/>
        </w:rPr>
        <w:t>, 1978.</w:t>
      </w:r>
    </w:p>
    <w:p w:rsidR="00777DC6" w:rsidRPr="00777DC6" w:rsidRDefault="00777DC6" w:rsidP="00777DC6">
      <w:pPr>
        <w:numPr>
          <w:ilvl w:val="0"/>
          <w:numId w:val="4"/>
        </w:numPr>
        <w:jc w:val="both"/>
        <w:rPr>
          <w:lang w:val="de-DE"/>
        </w:rPr>
      </w:pPr>
      <w:r w:rsidRPr="00777DC6">
        <w:rPr>
          <w:lang w:val="de-DE"/>
        </w:rPr>
        <w:t xml:space="preserve">ECJ C-44/79, </w:t>
      </w:r>
      <w:r w:rsidRPr="00777DC6">
        <w:rPr>
          <w:i/>
          <w:lang w:val="de-DE"/>
        </w:rPr>
        <w:t>Hauer v. Land Rheinland-Pfalz</w:t>
      </w:r>
      <w:r w:rsidRPr="00777DC6">
        <w:rPr>
          <w:lang w:val="de-DE"/>
        </w:rPr>
        <w:t>, 1979.</w:t>
      </w:r>
    </w:p>
    <w:p w:rsidR="00777DC6" w:rsidRPr="00777DC6" w:rsidRDefault="00777DC6" w:rsidP="00777DC6">
      <w:pPr>
        <w:numPr>
          <w:ilvl w:val="0"/>
          <w:numId w:val="4"/>
        </w:numPr>
        <w:jc w:val="both"/>
        <w:rPr>
          <w:lang w:val="en-US"/>
        </w:rPr>
      </w:pPr>
      <w:r w:rsidRPr="00777DC6">
        <w:rPr>
          <w:lang w:val="en-US"/>
        </w:rPr>
        <w:t xml:space="preserve">ECJ C- 129/79, </w:t>
      </w:r>
      <w:proofErr w:type="spellStart"/>
      <w:r w:rsidRPr="00777DC6">
        <w:rPr>
          <w:i/>
          <w:lang w:val="en-US"/>
        </w:rPr>
        <w:t>Macarthys</w:t>
      </w:r>
      <w:proofErr w:type="spellEnd"/>
      <w:r w:rsidRPr="00777DC6">
        <w:rPr>
          <w:i/>
          <w:lang w:val="en-US"/>
        </w:rPr>
        <w:t xml:space="preserve"> Ltd v. Wendy Smith</w:t>
      </w:r>
      <w:r w:rsidRPr="00777DC6">
        <w:rPr>
          <w:lang w:val="en-US"/>
        </w:rPr>
        <w:t xml:space="preserve">, 1980. </w:t>
      </w:r>
    </w:p>
    <w:p w:rsidR="00777DC6" w:rsidRPr="00777DC6" w:rsidRDefault="00777DC6" w:rsidP="00777DC6">
      <w:pPr>
        <w:numPr>
          <w:ilvl w:val="0"/>
          <w:numId w:val="4"/>
        </w:numPr>
        <w:jc w:val="both"/>
        <w:rPr>
          <w:lang w:val="en-US"/>
        </w:rPr>
      </w:pPr>
      <w:r w:rsidRPr="00777DC6">
        <w:rPr>
          <w:lang w:val="en-US"/>
        </w:rPr>
        <w:t xml:space="preserve">ECJ C-136/79, </w:t>
      </w:r>
      <w:r w:rsidRPr="00777DC6">
        <w:rPr>
          <w:i/>
          <w:lang w:val="en-US"/>
        </w:rPr>
        <w:t>National Panasonic Ltd v. Commission of the European Communities</w:t>
      </w:r>
      <w:r w:rsidRPr="00777DC6">
        <w:rPr>
          <w:lang w:val="en-US"/>
        </w:rPr>
        <w:t>, 1980.</w:t>
      </w:r>
    </w:p>
    <w:p w:rsidR="00777DC6" w:rsidRPr="00777DC6" w:rsidRDefault="00777DC6" w:rsidP="00777DC6">
      <w:pPr>
        <w:numPr>
          <w:ilvl w:val="0"/>
          <w:numId w:val="4"/>
        </w:numPr>
        <w:jc w:val="both"/>
        <w:rPr>
          <w:lang w:val="en-US"/>
        </w:rPr>
      </w:pPr>
      <w:r w:rsidRPr="00777DC6">
        <w:rPr>
          <w:lang w:val="en-US"/>
        </w:rPr>
        <w:t xml:space="preserve">ECJ C-96/80, </w:t>
      </w:r>
      <w:r w:rsidRPr="00777DC6">
        <w:rPr>
          <w:i/>
          <w:lang w:val="en-US"/>
        </w:rPr>
        <w:t>J.P. Jenkins v. Kingsgate (Clothing Productions) Ltd</w:t>
      </w:r>
      <w:r w:rsidRPr="00777DC6">
        <w:rPr>
          <w:lang w:val="en-US"/>
        </w:rPr>
        <w:t xml:space="preserve">, 1981. </w:t>
      </w:r>
    </w:p>
    <w:p w:rsidR="00777DC6" w:rsidRPr="00777DC6" w:rsidRDefault="00777DC6" w:rsidP="00777DC6">
      <w:pPr>
        <w:numPr>
          <w:ilvl w:val="0"/>
          <w:numId w:val="4"/>
        </w:numPr>
        <w:jc w:val="both"/>
        <w:rPr>
          <w:bCs/>
          <w:lang w:val="en-US"/>
        </w:rPr>
      </w:pPr>
      <w:r w:rsidRPr="00777DC6">
        <w:rPr>
          <w:lang w:val="en-US"/>
        </w:rPr>
        <w:t>ECJ C-58/81,</w:t>
      </w:r>
      <w:r w:rsidRPr="00777DC6">
        <w:rPr>
          <w:b/>
          <w:bCs/>
          <w:lang w:val="en-US"/>
        </w:rPr>
        <w:t xml:space="preserve"> </w:t>
      </w:r>
      <w:r w:rsidRPr="00777DC6">
        <w:rPr>
          <w:bCs/>
          <w:i/>
          <w:lang w:val="en-US"/>
        </w:rPr>
        <w:t>Commission of the European Communities v. Luxembourg</w:t>
      </w:r>
      <w:r w:rsidRPr="00777DC6">
        <w:rPr>
          <w:bCs/>
          <w:lang w:val="en-US"/>
        </w:rPr>
        <w:t>, 1982.</w:t>
      </w:r>
    </w:p>
    <w:p w:rsidR="00777DC6" w:rsidRPr="00777DC6" w:rsidRDefault="00777DC6" w:rsidP="00777DC6">
      <w:pPr>
        <w:numPr>
          <w:ilvl w:val="0"/>
          <w:numId w:val="4"/>
        </w:numPr>
        <w:jc w:val="both"/>
        <w:rPr>
          <w:bCs/>
          <w:lang w:val="en-US"/>
        </w:rPr>
      </w:pPr>
      <w:r w:rsidRPr="00777DC6">
        <w:rPr>
          <w:bCs/>
          <w:lang w:val="en-US"/>
        </w:rPr>
        <w:t xml:space="preserve">ECJ C-61/81, </w:t>
      </w:r>
      <w:r w:rsidRPr="00777DC6">
        <w:rPr>
          <w:bCs/>
          <w:i/>
          <w:lang w:val="en-US"/>
        </w:rPr>
        <w:t>Commission of the European Communities v. United Kingdom</w:t>
      </w:r>
      <w:r w:rsidRPr="00777DC6">
        <w:rPr>
          <w:bCs/>
          <w:lang w:val="en-US"/>
        </w:rPr>
        <w:t xml:space="preserve">, 1982. </w:t>
      </w:r>
    </w:p>
    <w:p w:rsidR="00777DC6" w:rsidRPr="00777DC6" w:rsidRDefault="00777DC6" w:rsidP="00777DC6">
      <w:pPr>
        <w:numPr>
          <w:ilvl w:val="0"/>
          <w:numId w:val="4"/>
        </w:numPr>
        <w:jc w:val="both"/>
        <w:rPr>
          <w:lang w:val="de-DE"/>
        </w:rPr>
      </w:pPr>
      <w:r w:rsidRPr="00777DC6">
        <w:rPr>
          <w:lang w:val="de-DE"/>
        </w:rPr>
        <w:t xml:space="preserve">ECJ C-79/83, </w:t>
      </w:r>
      <w:r w:rsidRPr="00777DC6">
        <w:rPr>
          <w:i/>
          <w:lang w:val="de-DE"/>
        </w:rPr>
        <w:t xml:space="preserve">Dorit Harz v. Deutsche </w:t>
      </w:r>
      <w:proofErr w:type="spellStart"/>
      <w:r w:rsidRPr="00777DC6">
        <w:rPr>
          <w:i/>
          <w:lang w:val="de-DE"/>
        </w:rPr>
        <w:t>Tradax</w:t>
      </w:r>
      <w:proofErr w:type="spellEnd"/>
      <w:r w:rsidRPr="00777DC6">
        <w:rPr>
          <w:i/>
          <w:lang w:val="de-DE"/>
        </w:rPr>
        <w:t xml:space="preserve"> GmbH</w:t>
      </w:r>
      <w:r w:rsidRPr="00777DC6">
        <w:rPr>
          <w:lang w:val="de-DE"/>
        </w:rPr>
        <w:t>, 1984.</w:t>
      </w:r>
    </w:p>
    <w:p w:rsidR="00777DC6" w:rsidRPr="00777DC6" w:rsidRDefault="00777DC6" w:rsidP="00777DC6">
      <w:pPr>
        <w:numPr>
          <w:ilvl w:val="0"/>
          <w:numId w:val="4"/>
        </w:numPr>
        <w:jc w:val="both"/>
        <w:rPr>
          <w:u w:val="single"/>
          <w:lang w:val="de-DE"/>
        </w:rPr>
      </w:pPr>
      <w:r w:rsidRPr="00777DC6">
        <w:rPr>
          <w:lang w:val="de-DE"/>
        </w:rPr>
        <w:t xml:space="preserve">ECJ C-184/83, </w:t>
      </w:r>
      <w:r w:rsidRPr="00777DC6">
        <w:rPr>
          <w:i/>
          <w:lang w:val="de-DE"/>
        </w:rPr>
        <w:t>Ulrich Hofmann v. Barmer Ersatzkasse</w:t>
      </w:r>
      <w:r w:rsidRPr="00777DC6">
        <w:rPr>
          <w:lang w:val="de-DE"/>
        </w:rPr>
        <w:t xml:space="preserve">, 1984. </w:t>
      </w:r>
    </w:p>
    <w:p w:rsidR="00777DC6" w:rsidRPr="00777DC6" w:rsidRDefault="00777DC6" w:rsidP="00777DC6">
      <w:pPr>
        <w:numPr>
          <w:ilvl w:val="0"/>
          <w:numId w:val="4"/>
        </w:numPr>
        <w:jc w:val="both"/>
        <w:rPr>
          <w:u w:val="single"/>
          <w:lang w:val="en-US"/>
        </w:rPr>
      </w:pPr>
      <w:r w:rsidRPr="00777DC6">
        <w:rPr>
          <w:lang w:val="en-US"/>
        </w:rPr>
        <w:t xml:space="preserve">ECJ C-75/82 and 117/82, </w:t>
      </w:r>
      <w:r w:rsidRPr="00777DC6">
        <w:rPr>
          <w:i/>
          <w:lang w:val="en-US"/>
        </w:rPr>
        <w:t xml:space="preserve">C. </w:t>
      </w:r>
      <w:proofErr w:type="spellStart"/>
      <w:r w:rsidRPr="00777DC6">
        <w:rPr>
          <w:i/>
          <w:lang w:val="en-US"/>
        </w:rPr>
        <w:t>Razzouk</w:t>
      </w:r>
      <w:proofErr w:type="spellEnd"/>
      <w:r w:rsidRPr="00777DC6">
        <w:rPr>
          <w:i/>
          <w:lang w:val="en-US"/>
        </w:rPr>
        <w:t xml:space="preserve"> and A. </w:t>
      </w:r>
      <w:proofErr w:type="spellStart"/>
      <w:r w:rsidRPr="00777DC6">
        <w:rPr>
          <w:i/>
          <w:lang w:val="en-US"/>
        </w:rPr>
        <w:t>Beydoun</w:t>
      </w:r>
      <w:proofErr w:type="spellEnd"/>
      <w:r w:rsidRPr="00777DC6">
        <w:rPr>
          <w:i/>
          <w:lang w:val="en-US"/>
        </w:rPr>
        <w:t xml:space="preserve"> v. Commission of the European Communities</w:t>
      </w:r>
      <w:r w:rsidRPr="00777DC6">
        <w:rPr>
          <w:lang w:val="en-US"/>
        </w:rPr>
        <w:t>, 1984.</w:t>
      </w:r>
    </w:p>
    <w:p w:rsidR="00777DC6" w:rsidRPr="00777DC6" w:rsidRDefault="00777DC6" w:rsidP="00777DC6">
      <w:pPr>
        <w:numPr>
          <w:ilvl w:val="0"/>
          <w:numId w:val="4"/>
        </w:numPr>
        <w:jc w:val="both"/>
        <w:rPr>
          <w:u w:val="single"/>
          <w:lang w:val="de-DE"/>
        </w:rPr>
      </w:pPr>
      <w:r w:rsidRPr="00777DC6">
        <w:rPr>
          <w:lang w:val="de-DE"/>
        </w:rPr>
        <w:t xml:space="preserve">ECJ C-170/84, </w:t>
      </w:r>
      <w:proofErr w:type="spellStart"/>
      <w:r w:rsidRPr="00777DC6">
        <w:rPr>
          <w:i/>
          <w:lang w:val="de-DE"/>
        </w:rPr>
        <w:t>Bilka</w:t>
      </w:r>
      <w:proofErr w:type="spellEnd"/>
      <w:r w:rsidRPr="00777DC6">
        <w:rPr>
          <w:i/>
          <w:lang w:val="de-DE"/>
        </w:rPr>
        <w:t xml:space="preserve"> Kaufhaus GmbH v. Karin Weber Von Hartz</w:t>
      </w:r>
      <w:r w:rsidRPr="00777DC6">
        <w:rPr>
          <w:lang w:val="de-DE"/>
        </w:rPr>
        <w:t>, 1986.</w:t>
      </w:r>
    </w:p>
    <w:p w:rsidR="00777DC6" w:rsidRPr="00777DC6" w:rsidRDefault="00777DC6" w:rsidP="00777DC6">
      <w:pPr>
        <w:numPr>
          <w:ilvl w:val="0"/>
          <w:numId w:val="4"/>
        </w:numPr>
        <w:jc w:val="both"/>
        <w:rPr>
          <w:lang w:val="en-US"/>
        </w:rPr>
      </w:pPr>
      <w:r w:rsidRPr="00777DC6">
        <w:rPr>
          <w:lang w:val="en-US"/>
        </w:rPr>
        <w:t xml:space="preserve">ECJ C-222/84, </w:t>
      </w:r>
      <w:r w:rsidRPr="00777DC6">
        <w:rPr>
          <w:i/>
          <w:lang w:val="en-US"/>
        </w:rPr>
        <w:t>Johnston v. Chief Constable of the Royal Ulster Constabulary</w:t>
      </w:r>
      <w:r w:rsidRPr="00777DC6">
        <w:rPr>
          <w:lang w:val="en-US"/>
        </w:rPr>
        <w:t xml:space="preserve">, 1986. </w:t>
      </w:r>
    </w:p>
    <w:p w:rsidR="00777DC6" w:rsidRPr="00777DC6" w:rsidRDefault="00777DC6" w:rsidP="00777DC6">
      <w:pPr>
        <w:numPr>
          <w:ilvl w:val="0"/>
          <w:numId w:val="4"/>
        </w:numPr>
        <w:jc w:val="both"/>
        <w:rPr>
          <w:lang w:val="en-US"/>
        </w:rPr>
      </w:pPr>
      <w:r w:rsidRPr="00777DC6">
        <w:rPr>
          <w:lang w:val="en-US"/>
        </w:rPr>
        <w:t xml:space="preserve">ECJ C-111/86, </w:t>
      </w:r>
      <w:proofErr w:type="spellStart"/>
      <w:r w:rsidRPr="00777DC6">
        <w:rPr>
          <w:i/>
          <w:lang w:val="en-US"/>
        </w:rPr>
        <w:t>Evelyne</w:t>
      </w:r>
      <w:proofErr w:type="spellEnd"/>
      <w:r w:rsidRPr="00777DC6">
        <w:rPr>
          <w:i/>
          <w:lang w:val="en-US"/>
        </w:rPr>
        <w:t xml:space="preserve"> </w:t>
      </w:r>
      <w:proofErr w:type="spellStart"/>
      <w:r w:rsidRPr="00777DC6">
        <w:rPr>
          <w:i/>
          <w:lang w:val="en-US"/>
        </w:rPr>
        <w:t>Delauche</w:t>
      </w:r>
      <w:proofErr w:type="spellEnd"/>
      <w:r w:rsidRPr="00777DC6">
        <w:rPr>
          <w:i/>
          <w:lang w:val="en-US"/>
        </w:rPr>
        <w:t xml:space="preserve"> v. Commission of the European Communities</w:t>
      </w:r>
      <w:r w:rsidRPr="00777DC6">
        <w:rPr>
          <w:lang w:val="en-US"/>
        </w:rPr>
        <w:t xml:space="preserve">, 1987. </w:t>
      </w:r>
    </w:p>
    <w:p w:rsidR="00777DC6" w:rsidRPr="00777DC6" w:rsidRDefault="00777DC6" w:rsidP="00777DC6">
      <w:pPr>
        <w:numPr>
          <w:ilvl w:val="0"/>
          <w:numId w:val="4"/>
        </w:numPr>
        <w:jc w:val="both"/>
        <w:rPr>
          <w:lang w:val="en-US"/>
        </w:rPr>
      </w:pPr>
      <w:r w:rsidRPr="00777DC6">
        <w:rPr>
          <w:lang w:val="en-US"/>
        </w:rPr>
        <w:t xml:space="preserve">ECJ C-318/86, </w:t>
      </w:r>
      <w:r w:rsidRPr="00777DC6">
        <w:rPr>
          <w:i/>
          <w:lang w:val="en-US"/>
        </w:rPr>
        <w:t>Commission of the European Communities v. France</w:t>
      </w:r>
      <w:r w:rsidRPr="00777DC6">
        <w:rPr>
          <w:lang w:val="en-US"/>
        </w:rPr>
        <w:t xml:space="preserve">, 1988. </w:t>
      </w:r>
    </w:p>
    <w:p w:rsidR="00777DC6" w:rsidRPr="00777DC6" w:rsidRDefault="00777DC6" w:rsidP="00777DC6">
      <w:pPr>
        <w:numPr>
          <w:ilvl w:val="0"/>
          <w:numId w:val="4"/>
        </w:numPr>
        <w:jc w:val="both"/>
        <w:rPr>
          <w:lang w:val="en-US"/>
        </w:rPr>
      </w:pPr>
      <w:r w:rsidRPr="00777DC6">
        <w:rPr>
          <w:lang w:val="en-US"/>
        </w:rPr>
        <w:t xml:space="preserve">ECJ C-227/88, </w:t>
      </w:r>
      <w:r w:rsidRPr="00777DC6">
        <w:rPr>
          <w:i/>
          <w:lang w:val="en-US"/>
        </w:rPr>
        <w:t>Hoechst AG v. Commission of the European Communities</w:t>
      </w:r>
      <w:r w:rsidRPr="00777DC6">
        <w:rPr>
          <w:lang w:val="en-US"/>
        </w:rPr>
        <w:t>, 1989.</w:t>
      </w:r>
    </w:p>
    <w:p w:rsidR="00777DC6" w:rsidRPr="00777DC6" w:rsidRDefault="00777DC6" w:rsidP="00777DC6">
      <w:pPr>
        <w:numPr>
          <w:ilvl w:val="0"/>
          <w:numId w:val="4"/>
        </w:numPr>
        <w:jc w:val="both"/>
      </w:pPr>
      <w:r w:rsidRPr="00777DC6">
        <w:t xml:space="preserve">ECJ C-102/88, </w:t>
      </w:r>
      <w:r w:rsidRPr="00777DC6">
        <w:rPr>
          <w:i/>
        </w:rPr>
        <w:t xml:space="preserve">M.L. </w:t>
      </w:r>
      <w:proofErr w:type="spellStart"/>
      <w:r w:rsidRPr="00777DC6">
        <w:rPr>
          <w:i/>
        </w:rPr>
        <w:t>Ruzius-Wilbrink</w:t>
      </w:r>
      <w:proofErr w:type="spellEnd"/>
      <w:r w:rsidRPr="00777DC6">
        <w:rPr>
          <w:i/>
        </w:rPr>
        <w:t xml:space="preserve"> v. Bestuur van de Bedrijfsverenigingen voor Overheidsdiensten</w:t>
      </w:r>
      <w:r w:rsidRPr="00777DC6">
        <w:t xml:space="preserve">, 1989. </w:t>
      </w:r>
    </w:p>
    <w:p w:rsidR="00777DC6" w:rsidRPr="00777DC6" w:rsidRDefault="00777DC6" w:rsidP="00777DC6">
      <w:pPr>
        <w:numPr>
          <w:ilvl w:val="0"/>
          <w:numId w:val="4"/>
        </w:numPr>
        <w:jc w:val="both"/>
        <w:rPr>
          <w:lang w:val="de-DE"/>
        </w:rPr>
      </w:pPr>
      <w:r w:rsidRPr="00777DC6">
        <w:rPr>
          <w:lang w:val="de-DE"/>
        </w:rPr>
        <w:t xml:space="preserve">ECJ C-171/88, </w:t>
      </w:r>
      <w:r w:rsidRPr="00777DC6">
        <w:rPr>
          <w:i/>
          <w:lang w:val="de-DE"/>
        </w:rPr>
        <w:t xml:space="preserve">Ingrid </w:t>
      </w:r>
      <w:proofErr w:type="spellStart"/>
      <w:r w:rsidRPr="00777DC6">
        <w:rPr>
          <w:i/>
          <w:lang w:val="de-DE"/>
        </w:rPr>
        <w:t>Rinner</w:t>
      </w:r>
      <w:proofErr w:type="spellEnd"/>
      <w:r w:rsidRPr="00777DC6">
        <w:rPr>
          <w:i/>
          <w:lang w:val="de-DE"/>
        </w:rPr>
        <w:t>-Kuhn v. FWW spezial-</w:t>
      </w:r>
      <w:proofErr w:type="spellStart"/>
      <w:r w:rsidRPr="00777DC6">
        <w:rPr>
          <w:i/>
          <w:lang w:val="de-DE"/>
        </w:rPr>
        <w:t>gebaudereinigung</w:t>
      </w:r>
      <w:proofErr w:type="spellEnd"/>
      <w:r w:rsidRPr="00777DC6">
        <w:rPr>
          <w:i/>
          <w:lang w:val="de-DE"/>
        </w:rPr>
        <w:t xml:space="preserve"> GmbH &amp; Co. KG</w:t>
      </w:r>
      <w:r w:rsidRPr="00777DC6">
        <w:rPr>
          <w:lang w:val="de-DE"/>
        </w:rPr>
        <w:t xml:space="preserve">, 1989.  </w:t>
      </w:r>
    </w:p>
    <w:p w:rsidR="00777DC6" w:rsidRPr="00777DC6" w:rsidRDefault="00777DC6" w:rsidP="00777DC6">
      <w:pPr>
        <w:numPr>
          <w:ilvl w:val="0"/>
          <w:numId w:val="4"/>
        </w:numPr>
        <w:jc w:val="both"/>
        <w:rPr>
          <w:lang w:val="de-DE"/>
        </w:rPr>
      </w:pPr>
      <w:r w:rsidRPr="00777DC6">
        <w:rPr>
          <w:lang w:val="de-DE"/>
        </w:rPr>
        <w:t xml:space="preserve">ECJ C-5/88, </w:t>
      </w:r>
      <w:r w:rsidRPr="00777DC6">
        <w:rPr>
          <w:i/>
          <w:lang w:val="de-DE"/>
        </w:rPr>
        <w:t xml:space="preserve">Hubert </w:t>
      </w:r>
      <w:proofErr w:type="spellStart"/>
      <w:r w:rsidRPr="00777DC6">
        <w:rPr>
          <w:i/>
          <w:lang w:val="de-DE"/>
        </w:rPr>
        <w:t>Wachauf</w:t>
      </w:r>
      <w:proofErr w:type="spellEnd"/>
      <w:r w:rsidRPr="00777DC6">
        <w:rPr>
          <w:i/>
          <w:lang w:val="de-DE"/>
        </w:rPr>
        <w:t xml:space="preserve"> v. Bundesamt </w:t>
      </w:r>
      <w:proofErr w:type="spellStart"/>
      <w:r w:rsidRPr="00777DC6">
        <w:rPr>
          <w:i/>
          <w:lang w:val="de-DE"/>
        </w:rPr>
        <w:t>fur</w:t>
      </w:r>
      <w:proofErr w:type="spellEnd"/>
      <w:r w:rsidRPr="00777DC6">
        <w:rPr>
          <w:i/>
          <w:lang w:val="de-DE"/>
        </w:rPr>
        <w:t xml:space="preserve"> </w:t>
      </w:r>
      <w:proofErr w:type="spellStart"/>
      <w:r w:rsidRPr="00777DC6">
        <w:rPr>
          <w:i/>
          <w:lang w:val="de-DE"/>
        </w:rPr>
        <w:t>Ernahrung</w:t>
      </w:r>
      <w:proofErr w:type="spellEnd"/>
      <w:r w:rsidRPr="00777DC6">
        <w:rPr>
          <w:i/>
          <w:lang w:val="de-DE"/>
        </w:rPr>
        <w:t xml:space="preserve"> und Forstwirtschaft</w:t>
      </w:r>
      <w:r w:rsidRPr="00777DC6">
        <w:rPr>
          <w:lang w:val="de-DE"/>
        </w:rPr>
        <w:t xml:space="preserve">, 1989. </w:t>
      </w:r>
    </w:p>
    <w:p w:rsidR="00777DC6" w:rsidRPr="00777DC6" w:rsidRDefault="00777DC6" w:rsidP="00777DC6">
      <w:pPr>
        <w:numPr>
          <w:ilvl w:val="0"/>
          <w:numId w:val="4"/>
        </w:numPr>
        <w:jc w:val="both"/>
      </w:pPr>
      <w:r w:rsidRPr="00777DC6">
        <w:t xml:space="preserve">ECJ C-177/88, </w:t>
      </w:r>
      <w:r w:rsidRPr="00777DC6">
        <w:rPr>
          <w:i/>
        </w:rPr>
        <w:t>Elisabeth Dekker v. Stichting Vormingscentrum voor jonge volwassenen (VJV-centrum) plus</w:t>
      </w:r>
      <w:r w:rsidRPr="00777DC6">
        <w:t xml:space="preserve">, 1990. </w:t>
      </w:r>
    </w:p>
    <w:p w:rsidR="00777DC6" w:rsidRPr="00777DC6" w:rsidRDefault="00777DC6" w:rsidP="00777DC6">
      <w:pPr>
        <w:numPr>
          <w:ilvl w:val="0"/>
          <w:numId w:val="4"/>
        </w:numPr>
        <w:jc w:val="both"/>
        <w:rPr>
          <w:lang w:val="en-US"/>
        </w:rPr>
      </w:pPr>
      <w:r w:rsidRPr="00777DC6">
        <w:rPr>
          <w:lang w:val="en-US"/>
        </w:rPr>
        <w:t xml:space="preserve">Case C-179/88, </w:t>
      </w:r>
      <w:proofErr w:type="spellStart"/>
      <w:r w:rsidRPr="00777DC6">
        <w:rPr>
          <w:i/>
          <w:lang w:val="en-US"/>
        </w:rPr>
        <w:t>Birthe</w:t>
      </w:r>
      <w:proofErr w:type="spellEnd"/>
      <w:r w:rsidRPr="00777DC6">
        <w:rPr>
          <w:i/>
          <w:lang w:val="en-US"/>
        </w:rPr>
        <w:t xml:space="preserve"> Hertz v. Dansk </w:t>
      </w:r>
      <w:proofErr w:type="spellStart"/>
      <w:r w:rsidRPr="00777DC6">
        <w:rPr>
          <w:i/>
          <w:lang w:val="en-US"/>
        </w:rPr>
        <w:t>Arbejdsgiverforening</w:t>
      </w:r>
      <w:proofErr w:type="spellEnd"/>
      <w:r w:rsidRPr="00777DC6">
        <w:rPr>
          <w:lang w:val="en-US"/>
        </w:rPr>
        <w:t xml:space="preserve">, 1990. </w:t>
      </w:r>
    </w:p>
    <w:p w:rsidR="00777DC6" w:rsidRPr="00777DC6" w:rsidRDefault="00777DC6" w:rsidP="00777DC6">
      <w:pPr>
        <w:numPr>
          <w:ilvl w:val="0"/>
          <w:numId w:val="4"/>
        </w:numPr>
        <w:jc w:val="both"/>
        <w:rPr>
          <w:lang w:val="de-DE"/>
        </w:rPr>
      </w:pPr>
      <w:r w:rsidRPr="00777DC6">
        <w:rPr>
          <w:lang w:val="de-DE"/>
        </w:rPr>
        <w:t xml:space="preserve">ECJ C-33/89, </w:t>
      </w:r>
      <w:r w:rsidRPr="00777DC6">
        <w:rPr>
          <w:i/>
          <w:lang w:val="de-DE"/>
        </w:rPr>
        <w:t xml:space="preserve">Maria </w:t>
      </w:r>
      <w:proofErr w:type="spellStart"/>
      <w:r w:rsidRPr="00777DC6">
        <w:rPr>
          <w:i/>
          <w:lang w:val="de-DE"/>
        </w:rPr>
        <w:t>Kowalska</w:t>
      </w:r>
      <w:proofErr w:type="spellEnd"/>
      <w:r w:rsidRPr="00777DC6">
        <w:rPr>
          <w:i/>
          <w:lang w:val="de-DE"/>
        </w:rPr>
        <w:t xml:space="preserve"> v. Freie und Hansestadt Hamburg</w:t>
      </w:r>
      <w:r w:rsidRPr="00777DC6">
        <w:rPr>
          <w:lang w:val="de-DE"/>
        </w:rPr>
        <w:t xml:space="preserve">, 1990. </w:t>
      </w:r>
    </w:p>
    <w:p w:rsidR="00777DC6" w:rsidRPr="00777DC6" w:rsidRDefault="00777DC6" w:rsidP="00777DC6">
      <w:pPr>
        <w:numPr>
          <w:ilvl w:val="0"/>
          <w:numId w:val="4"/>
        </w:numPr>
        <w:jc w:val="both"/>
        <w:rPr>
          <w:lang w:val="de-DE"/>
        </w:rPr>
      </w:pPr>
      <w:r w:rsidRPr="00777DC6">
        <w:rPr>
          <w:lang w:val="de-DE"/>
        </w:rPr>
        <w:t xml:space="preserve">ECJ C-184/89, </w:t>
      </w:r>
      <w:r w:rsidRPr="00777DC6">
        <w:rPr>
          <w:i/>
          <w:lang w:val="de-DE"/>
        </w:rPr>
        <w:t xml:space="preserve">Helga Nimz v. freie und </w:t>
      </w:r>
      <w:proofErr w:type="spellStart"/>
      <w:r w:rsidRPr="00777DC6">
        <w:rPr>
          <w:i/>
          <w:lang w:val="de-DE"/>
        </w:rPr>
        <w:t>hansestadt</w:t>
      </w:r>
      <w:proofErr w:type="spellEnd"/>
      <w:r w:rsidRPr="00777DC6">
        <w:rPr>
          <w:i/>
          <w:lang w:val="de-DE"/>
        </w:rPr>
        <w:t xml:space="preserve"> Hamburg</w:t>
      </w:r>
      <w:r w:rsidRPr="00777DC6">
        <w:rPr>
          <w:lang w:val="de-DE"/>
        </w:rPr>
        <w:t xml:space="preserve">, 1991. </w:t>
      </w:r>
    </w:p>
    <w:p w:rsidR="00777DC6" w:rsidRPr="00777DC6" w:rsidRDefault="00777DC6" w:rsidP="00777DC6">
      <w:pPr>
        <w:numPr>
          <w:ilvl w:val="0"/>
          <w:numId w:val="4"/>
        </w:numPr>
        <w:jc w:val="both"/>
        <w:rPr>
          <w:lang w:val="de-DE"/>
        </w:rPr>
      </w:pPr>
      <w:r w:rsidRPr="00777DC6">
        <w:rPr>
          <w:lang w:val="de-DE"/>
        </w:rPr>
        <w:lastRenderedPageBreak/>
        <w:t xml:space="preserve">ECJ C-360/90, </w:t>
      </w:r>
      <w:r w:rsidRPr="00777DC6">
        <w:rPr>
          <w:i/>
          <w:lang w:val="de-DE"/>
        </w:rPr>
        <w:t>Arbeiterwohlfahrt der Stadt Berlin v. Monika Botel</w:t>
      </w:r>
      <w:r w:rsidRPr="00777DC6">
        <w:rPr>
          <w:lang w:val="de-DE"/>
        </w:rPr>
        <w:t xml:space="preserve">, 1992. </w:t>
      </w:r>
    </w:p>
    <w:p w:rsidR="00777DC6" w:rsidRPr="00777DC6" w:rsidRDefault="00777DC6" w:rsidP="00777DC6">
      <w:pPr>
        <w:numPr>
          <w:ilvl w:val="0"/>
          <w:numId w:val="4"/>
        </w:numPr>
        <w:jc w:val="both"/>
        <w:rPr>
          <w:lang w:val="en-US"/>
        </w:rPr>
      </w:pPr>
      <w:r w:rsidRPr="00777DC6">
        <w:rPr>
          <w:lang w:val="en-US"/>
        </w:rPr>
        <w:t xml:space="preserve">ECJ C-173/91, </w:t>
      </w:r>
      <w:r w:rsidRPr="00777DC6">
        <w:rPr>
          <w:i/>
          <w:lang w:val="en-US"/>
        </w:rPr>
        <w:t>Commission of the European Communities v. Belgium</w:t>
      </w:r>
      <w:r w:rsidRPr="00777DC6">
        <w:rPr>
          <w:lang w:val="en-US"/>
        </w:rPr>
        <w:t>, 1993.</w:t>
      </w:r>
    </w:p>
    <w:p w:rsidR="00777DC6" w:rsidRPr="00777DC6" w:rsidRDefault="00777DC6" w:rsidP="00777DC6">
      <w:pPr>
        <w:numPr>
          <w:ilvl w:val="0"/>
          <w:numId w:val="4"/>
        </w:numPr>
        <w:jc w:val="both"/>
      </w:pPr>
      <w:r w:rsidRPr="00777DC6">
        <w:t xml:space="preserve">ECJ C-7/93, </w:t>
      </w:r>
      <w:r w:rsidRPr="00777DC6">
        <w:rPr>
          <w:i/>
        </w:rPr>
        <w:t xml:space="preserve">Bestuur van het Algemeen Burgerlijk Pensioenfonds v. G.A. </w:t>
      </w:r>
      <w:proofErr w:type="spellStart"/>
      <w:r w:rsidRPr="00777DC6">
        <w:rPr>
          <w:i/>
        </w:rPr>
        <w:t>Beune</w:t>
      </w:r>
      <w:proofErr w:type="spellEnd"/>
      <w:r w:rsidRPr="00777DC6">
        <w:t xml:space="preserve">, 1994. </w:t>
      </w:r>
    </w:p>
    <w:p w:rsidR="00777DC6" w:rsidRPr="00777DC6" w:rsidRDefault="00777DC6" w:rsidP="00777DC6">
      <w:pPr>
        <w:numPr>
          <w:ilvl w:val="0"/>
          <w:numId w:val="4"/>
        </w:numPr>
        <w:jc w:val="both"/>
        <w:rPr>
          <w:lang w:val="en-US"/>
        </w:rPr>
      </w:pPr>
      <w:r w:rsidRPr="00777DC6">
        <w:rPr>
          <w:lang w:val="en-US"/>
        </w:rPr>
        <w:t xml:space="preserve">ECJ C-342/93, </w:t>
      </w:r>
      <w:r w:rsidRPr="00777DC6">
        <w:rPr>
          <w:i/>
          <w:lang w:val="en-US"/>
        </w:rPr>
        <w:t>Gillespie and others v. Northern Health and Social Services Board</w:t>
      </w:r>
      <w:r w:rsidRPr="00777DC6">
        <w:rPr>
          <w:lang w:val="en-US"/>
        </w:rPr>
        <w:t xml:space="preserve">, 1996. </w:t>
      </w:r>
    </w:p>
    <w:p w:rsidR="00777DC6" w:rsidRPr="00777DC6" w:rsidRDefault="00777DC6" w:rsidP="00777DC6">
      <w:pPr>
        <w:numPr>
          <w:ilvl w:val="0"/>
          <w:numId w:val="4"/>
        </w:numPr>
        <w:jc w:val="both"/>
        <w:rPr>
          <w:u w:val="single"/>
          <w:lang w:val="de-DE"/>
        </w:rPr>
      </w:pPr>
      <w:r w:rsidRPr="00777DC6">
        <w:rPr>
          <w:lang w:val="de-DE"/>
        </w:rPr>
        <w:t xml:space="preserve">ECJ C-421/92, </w:t>
      </w:r>
      <w:r w:rsidRPr="00777DC6">
        <w:rPr>
          <w:i/>
          <w:lang w:val="de-DE"/>
        </w:rPr>
        <w:t>Gabriele Habermann-Beltermann v. Arbeiterwohlfahrt</w:t>
      </w:r>
      <w:r w:rsidRPr="00777DC6">
        <w:rPr>
          <w:lang w:val="de-DE"/>
        </w:rPr>
        <w:t>, 1994.</w:t>
      </w:r>
    </w:p>
    <w:p w:rsidR="00777DC6" w:rsidRPr="00777DC6" w:rsidRDefault="00777DC6" w:rsidP="00777DC6">
      <w:pPr>
        <w:numPr>
          <w:ilvl w:val="0"/>
          <w:numId w:val="4"/>
        </w:numPr>
        <w:jc w:val="both"/>
      </w:pPr>
      <w:r w:rsidRPr="00777DC6">
        <w:t xml:space="preserve">ECJ C-28/93, </w:t>
      </w:r>
      <w:r w:rsidRPr="00777DC6">
        <w:rPr>
          <w:i/>
        </w:rPr>
        <w:t xml:space="preserve">Maria van den Akker </w:t>
      </w:r>
      <w:proofErr w:type="spellStart"/>
      <w:r w:rsidRPr="00777DC6">
        <w:rPr>
          <w:i/>
        </w:rPr>
        <w:t>and</w:t>
      </w:r>
      <w:proofErr w:type="spellEnd"/>
      <w:r w:rsidRPr="00777DC6">
        <w:rPr>
          <w:i/>
        </w:rPr>
        <w:t xml:space="preserve"> </w:t>
      </w:r>
      <w:proofErr w:type="spellStart"/>
      <w:r w:rsidRPr="00777DC6">
        <w:rPr>
          <w:i/>
        </w:rPr>
        <w:t>Others</w:t>
      </w:r>
      <w:proofErr w:type="spellEnd"/>
      <w:r w:rsidRPr="00777DC6">
        <w:rPr>
          <w:i/>
        </w:rPr>
        <w:t xml:space="preserve"> v. Stichting Shell Pensioenfonds</w:t>
      </w:r>
      <w:r w:rsidRPr="00777DC6">
        <w:t xml:space="preserve">, 1994. </w:t>
      </w:r>
    </w:p>
    <w:p w:rsidR="00777DC6" w:rsidRPr="00777DC6" w:rsidRDefault="00777DC6" w:rsidP="00777DC6">
      <w:pPr>
        <w:numPr>
          <w:ilvl w:val="0"/>
          <w:numId w:val="4"/>
        </w:numPr>
        <w:jc w:val="both"/>
        <w:rPr>
          <w:bCs/>
          <w:lang w:val="it-IT"/>
        </w:rPr>
      </w:pPr>
      <w:r w:rsidRPr="00777DC6">
        <w:rPr>
          <w:lang w:val="it-IT"/>
        </w:rPr>
        <w:t xml:space="preserve">ECJ C-32/93, </w:t>
      </w:r>
      <w:r w:rsidRPr="00777DC6">
        <w:rPr>
          <w:bCs/>
          <w:i/>
          <w:lang w:val="it-IT"/>
        </w:rPr>
        <w:t>Carole Louise Webb v. EMO Air Cargo</w:t>
      </w:r>
      <w:r w:rsidRPr="00777DC6">
        <w:rPr>
          <w:bCs/>
          <w:lang w:val="it-IT"/>
        </w:rPr>
        <w:t xml:space="preserve">, 1994. </w:t>
      </w:r>
    </w:p>
    <w:p w:rsidR="00777DC6" w:rsidRPr="00777DC6" w:rsidRDefault="00777DC6" w:rsidP="00777DC6">
      <w:pPr>
        <w:numPr>
          <w:ilvl w:val="0"/>
          <w:numId w:val="4"/>
        </w:numPr>
        <w:jc w:val="both"/>
        <w:rPr>
          <w:lang w:val="de-DE"/>
        </w:rPr>
      </w:pPr>
      <w:r w:rsidRPr="00777DC6">
        <w:rPr>
          <w:lang w:val="de-DE"/>
        </w:rPr>
        <w:t xml:space="preserve">ECJ C-317/93, </w:t>
      </w:r>
      <w:r w:rsidRPr="00777DC6">
        <w:rPr>
          <w:i/>
          <w:lang w:val="de-DE"/>
        </w:rPr>
        <w:t>Inge Nolte v. Landesversicherungsanstalt Hannover</w:t>
      </w:r>
      <w:r w:rsidRPr="00777DC6">
        <w:rPr>
          <w:lang w:val="de-DE"/>
        </w:rPr>
        <w:t xml:space="preserve">, 1995. </w:t>
      </w:r>
    </w:p>
    <w:p w:rsidR="00777DC6" w:rsidRPr="00C44789" w:rsidRDefault="00777DC6" w:rsidP="00777DC6">
      <w:pPr>
        <w:numPr>
          <w:ilvl w:val="0"/>
          <w:numId w:val="4"/>
        </w:numPr>
        <w:jc w:val="both"/>
      </w:pPr>
      <w:r w:rsidRPr="00C44789">
        <w:t xml:space="preserve">ECJ C-450/93, </w:t>
      </w:r>
      <w:proofErr w:type="spellStart"/>
      <w:r w:rsidRPr="00C44789">
        <w:rPr>
          <w:i/>
        </w:rPr>
        <w:t>Eckhard</w:t>
      </w:r>
      <w:proofErr w:type="spellEnd"/>
      <w:r w:rsidRPr="00C44789">
        <w:rPr>
          <w:i/>
        </w:rPr>
        <w:t xml:space="preserve"> </w:t>
      </w:r>
      <w:proofErr w:type="spellStart"/>
      <w:r w:rsidRPr="00C44789">
        <w:rPr>
          <w:i/>
        </w:rPr>
        <w:t>Kalanke</w:t>
      </w:r>
      <w:proofErr w:type="spellEnd"/>
      <w:r w:rsidRPr="00C44789">
        <w:rPr>
          <w:i/>
        </w:rPr>
        <w:t xml:space="preserve"> v. </w:t>
      </w:r>
      <w:proofErr w:type="spellStart"/>
      <w:r w:rsidRPr="00C44789">
        <w:rPr>
          <w:i/>
        </w:rPr>
        <w:t>freie</w:t>
      </w:r>
      <w:proofErr w:type="spellEnd"/>
      <w:r w:rsidRPr="00C44789">
        <w:rPr>
          <w:i/>
        </w:rPr>
        <w:t xml:space="preserve"> </w:t>
      </w:r>
      <w:proofErr w:type="spellStart"/>
      <w:r w:rsidRPr="00C44789">
        <w:rPr>
          <w:i/>
        </w:rPr>
        <w:t>hansestadt</w:t>
      </w:r>
      <w:proofErr w:type="spellEnd"/>
      <w:r w:rsidRPr="00C44789">
        <w:rPr>
          <w:i/>
        </w:rPr>
        <w:t xml:space="preserve"> Bremen</w:t>
      </w:r>
      <w:r w:rsidRPr="00C44789">
        <w:t xml:space="preserve">, 1995. </w:t>
      </w:r>
    </w:p>
    <w:p w:rsidR="00777DC6" w:rsidRPr="00777DC6" w:rsidRDefault="00777DC6" w:rsidP="00777DC6">
      <w:pPr>
        <w:numPr>
          <w:ilvl w:val="0"/>
          <w:numId w:val="4"/>
        </w:numPr>
        <w:jc w:val="both"/>
        <w:rPr>
          <w:lang w:val="de-DE"/>
        </w:rPr>
      </w:pPr>
      <w:r w:rsidRPr="00777DC6">
        <w:rPr>
          <w:lang w:val="de-DE"/>
        </w:rPr>
        <w:t xml:space="preserve">ECJ C-444/93, </w:t>
      </w:r>
      <w:r w:rsidRPr="00777DC6">
        <w:rPr>
          <w:bCs/>
          <w:i/>
          <w:lang w:val="de-DE"/>
        </w:rPr>
        <w:t xml:space="preserve">Ursula </w:t>
      </w:r>
      <w:proofErr w:type="spellStart"/>
      <w:r w:rsidRPr="00777DC6">
        <w:rPr>
          <w:bCs/>
          <w:i/>
          <w:lang w:val="de-DE"/>
        </w:rPr>
        <w:t>Megner</w:t>
      </w:r>
      <w:proofErr w:type="spellEnd"/>
      <w:r w:rsidRPr="00777DC6">
        <w:rPr>
          <w:bCs/>
          <w:i/>
          <w:lang w:val="de-DE"/>
        </w:rPr>
        <w:t xml:space="preserve"> </w:t>
      </w:r>
      <w:proofErr w:type="spellStart"/>
      <w:r w:rsidRPr="00777DC6">
        <w:rPr>
          <w:bCs/>
          <w:i/>
          <w:lang w:val="de-DE"/>
        </w:rPr>
        <w:t>and</w:t>
      </w:r>
      <w:proofErr w:type="spellEnd"/>
      <w:r w:rsidRPr="00777DC6">
        <w:rPr>
          <w:bCs/>
          <w:i/>
          <w:lang w:val="de-DE"/>
        </w:rPr>
        <w:t xml:space="preserve"> Hildegard Scheffel v. Innungskrankenkasse Vorderpfalz</w:t>
      </w:r>
      <w:r w:rsidRPr="00777DC6">
        <w:rPr>
          <w:bCs/>
          <w:lang w:val="de-DE"/>
        </w:rPr>
        <w:t xml:space="preserve">, 1995. </w:t>
      </w:r>
    </w:p>
    <w:p w:rsidR="00777DC6" w:rsidRPr="00777DC6" w:rsidRDefault="00777DC6" w:rsidP="00777DC6">
      <w:pPr>
        <w:numPr>
          <w:ilvl w:val="0"/>
          <w:numId w:val="4"/>
        </w:numPr>
        <w:jc w:val="both"/>
        <w:rPr>
          <w:lang w:val="en-US"/>
        </w:rPr>
      </w:pPr>
      <w:r w:rsidRPr="00777DC6">
        <w:rPr>
          <w:lang w:val="en-US"/>
        </w:rPr>
        <w:t xml:space="preserve">ECJ C-400/93, </w:t>
      </w:r>
      <w:proofErr w:type="spellStart"/>
      <w:r w:rsidRPr="00777DC6">
        <w:rPr>
          <w:i/>
          <w:lang w:val="en-US"/>
        </w:rPr>
        <w:t>Specialarbejderforbundet</w:t>
      </w:r>
      <w:proofErr w:type="spellEnd"/>
      <w:r w:rsidRPr="00777DC6">
        <w:rPr>
          <w:i/>
          <w:lang w:val="en-US"/>
        </w:rPr>
        <w:t xml:space="preserve"> I </w:t>
      </w:r>
      <w:proofErr w:type="spellStart"/>
      <w:r w:rsidRPr="00777DC6">
        <w:rPr>
          <w:i/>
          <w:lang w:val="en-US"/>
        </w:rPr>
        <w:t>Danmark</w:t>
      </w:r>
      <w:proofErr w:type="spellEnd"/>
      <w:r w:rsidRPr="00777DC6">
        <w:rPr>
          <w:i/>
          <w:lang w:val="en-US"/>
        </w:rPr>
        <w:t xml:space="preserve"> v. Dansk </w:t>
      </w:r>
      <w:proofErr w:type="spellStart"/>
      <w:r w:rsidRPr="00777DC6">
        <w:rPr>
          <w:i/>
          <w:lang w:val="en-US"/>
        </w:rPr>
        <w:t>Industri</w:t>
      </w:r>
      <w:proofErr w:type="spellEnd"/>
      <w:r w:rsidRPr="00777DC6">
        <w:rPr>
          <w:i/>
          <w:lang w:val="en-US"/>
        </w:rPr>
        <w:t xml:space="preserve"> acting for Royal Copenhagen A/S</w:t>
      </w:r>
      <w:r w:rsidRPr="00777DC6">
        <w:rPr>
          <w:lang w:val="en-US"/>
        </w:rPr>
        <w:t xml:space="preserve">, 1995. </w:t>
      </w:r>
    </w:p>
    <w:p w:rsidR="00777DC6" w:rsidRPr="00777DC6" w:rsidRDefault="00777DC6" w:rsidP="00777DC6">
      <w:pPr>
        <w:numPr>
          <w:ilvl w:val="0"/>
          <w:numId w:val="4"/>
        </w:numPr>
        <w:jc w:val="both"/>
        <w:rPr>
          <w:lang w:val="en-US"/>
        </w:rPr>
      </w:pPr>
      <w:r w:rsidRPr="00777DC6">
        <w:rPr>
          <w:lang w:val="en-US"/>
        </w:rPr>
        <w:t xml:space="preserve">ECJ C-278/93, </w:t>
      </w:r>
      <w:r w:rsidRPr="00777DC6">
        <w:rPr>
          <w:i/>
          <w:lang w:val="en-US"/>
        </w:rPr>
        <w:t xml:space="preserve">Edith </w:t>
      </w:r>
      <w:proofErr w:type="spellStart"/>
      <w:r w:rsidRPr="00777DC6">
        <w:rPr>
          <w:i/>
          <w:lang w:val="en-US"/>
        </w:rPr>
        <w:t>Freers</w:t>
      </w:r>
      <w:proofErr w:type="spellEnd"/>
      <w:r w:rsidRPr="00777DC6">
        <w:rPr>
          <w:i/>
          <w:lang w:val="en-US"/>
        </w:rPr>
        <w:t xml:space="preserve"> and </w:t>
      </w:r>
      <w:proofErr w:type="spellStart"/>
      <w:r w:rsidRPr="00777DC6">
        <w:rPr>
          <w:i/>
          <w:lang w:val="en-US"/>
        </w:rPr>
        <w:t>Hannelore</w:t>
      </w:r>
      <w:proofErr w:type="spellEnd"/>
      <w:r w:rsidRPr="00777DC6">
        <w:rPr>
          <w:i/>
          <w:lang w:val="en-US"/>
        </w:rPr>
        <w:t xml:space="preserve"> </w:t>
      </w:r>
      <w:proofErr w:type="spellStart"/>
      <w:r w:rsidRPr="00777DC6">
        <w:rPr>
          <w:i/>
          <w:lang w:val="en-US"/>
        </w:rPr>
        <w:t>Speckmann</w:t>
      </w:r>
      <w:proofErr w:type="spellEnd"/>
      <w:r w:rsidRPr="00777DC6">
        <w:rPr>
          <w:i/>
          <w:lang w:val="en-US"/>
        </w:rPr>
        <w:t xml:space="preserve"> v. Deutsche </w:t>
      </w:r>
      <w:proofErr w:type="spellStart"/>
      <w:r w:rsidRPr="00777DC6">
        <w:rPr>
          <w:i/>
          <w:lang w:val="en-US"/>
        </w:rPr>
        <w:t>Bundespost</w:t>
      </w:r>
      <w:proofErr w:type="spellEnd"/>
      <w:r w:rsidRPr="00777DC6">
        <w:rPr>
          <w:lang w:val="en-US"/>
        </w:rPr>
        <w:t>, 1996.</w:t>
      </w:r>
    </w:p>
    <w:p w:rsidR="00777DC6" w:rsidRPr="00777DC6" w:rsidRDefault="00777DC6" w:rsidP="00777DC6">
      <w:pPr>
        <w:numPr>
          <w:ilvl w:val="0"/>
          <w:numId w:val="4"/>
        </w:numPr>
        <w:jc w:val="both"/>
        <w:rPr>
          <w:lang w:val="de-DE"/>
        </w:rPr>
      </w:pPr>
      <w:r w:rsidRPr="00777DC6">
        <w:rPr>
          <w:lang w:val="de-DE"/>
        </w:rPr>
        <w:t xml:space="preserve">ECJ C-457/93, </w:t>
      </w:r>
      <w:r w:rsidRPr="00777DC6">
        <w:rPr>
          <w:i/>
          <w:lang w:val="de-DE"/>
        </w:rPr>
        <w:t xml:space="preserve">Kuratorium für Dialyse und Nierentransplantation v. Johanna </w:t>
      </w:r>
      <w:proofErr w:type="spellStart"/>
      <w:r w:rsidRPr="00777DC6">
        <w:rPr>
          <w:i/>
          <w:lang w:val="de-DE"/>
        </w:rPr>
        <w:t>Lewark</w:t>
      </w:r>
      <w:proofErr w:type="spellEnd"/>
      <w:r w:rsidRPr="00777DC6">
        <w:rPr>
          <w:lang w:val="de-DE"/>
        </w:rPr>
        <w:t xml:space="preserve">, 1996. </w:t>
      </w:r>
    </w:p>
    <w:p w:rsidR="00777DC6" w:rsidRPr="00777DC6" w:rsidRDefault="00777DC6" w:rsidP="00777DC6">
      <w:pPr>
        <w:numPr>
          <w:ilvl w:val="0"/>
          <w:numId w:val="4"/>
        </w:numPr>
        <w:jc w:val="both"/>
        <w:rPr>
          <w:lang w:val="fr-FR"/>
        </w:rPr>
      </w:pPr>
      <w:r w:rsidRPr="00777DC6">
        <w:rPr>
          <w:lang w:val="fr-FR"/>
        </w:rPr>
        <w:t xml:space="preserve">ECJ C-180/95, </w:t>
      </w:r>
      <w:r w:rsidRPr="00777DC6">
        <w:rPr>
          <w:i/>
          <w:lang w:val="fr-FR"/>
        </w:rPr>
        <w:t xml:space="preserve">Nils </w:t>
      </w:r>
      <w:proofErr w:type="spellStart"/>
      <w:r w:rsidRPr="00777DC6">
        <w:rPr>
          <w:i/>
          <w:lang w:val="fr-FR"/>
        </w:rPr>
        <w:t>Draehmpaehl</w:t>
      </w:r>
      <w:proofErr w:type="spellEnd"/>
      <w:r w:rsidRPr="00777DC6">
        <w:rPr>
          <w:i/>
          <w:lang w:val="fr-FR"/>
        </w:rPr>
        <w:t xml:space="preserve"> v. </w:t>
      </w:r>
      <w:proofErr w:type="spellStart"/>
      <w:r w:rsidRPr="00777DC6">
        <w:rPr>
          <w:i/>
          <w:lang w:val="fr-FR"/>
        </w:rPr>
        <w:t>Urania</w:t>
      </w:r>
      <w:proofErr w:type="spellEnd"/>
      <w:r w:rsidRPr="00777DC6">
        <w:rPr>
          <w:i/>
          <w:lang w:val="fr-FR"/>
        </w:rPr>
        <w:t xml:space="preserve"> </w:t>
      </w:r>
      <w:proofErr w:type="spellStart"/>
      <w:r w:rsidRPr="00777DC6">
        <w:rPr>
          <w:i/>
          <w:lang w:val="fr-FR"/>
        </w:rPr>
        <w:t>Immobilienservice</w:t>
      </w:r>
      <w:proofErr w:type="spellEnd"/>
      <w:r w:rsidRPr="00777DC6">
        <w:rPr>
          <w:i/>
          <w:lang w:val="fr-FR"/>
        </w:rPr>
        <w:t xml:space="preserve"> OHG</w:t>
      </w:r>
      <w:r w:rsidRPr="00777DC6">
        <w:rPr>
          <w:lang w:val="fr-FR"/>
        </w:rPr>
        <w:t xml:space="preserve">, 1997. </w:t>
      </w:r>
    </w:p>
    <w:p w:rsidR="00777DC6" w:rsidRPr="00777DC6" w:rsidRDefault="00777DC6" w:rsidP="00777DC6">
      <w:pPr>
        <w:numPr>
          <w:ilvl w:val="0"/>
          <w:numId w:val="4"/>
        </w:numPr>
        <w:jc w:val="both"/>
        <w:rPr>
          <w:lang w:val="de-DE"/>
        </w:rPr>
      </w:pPr>
      <w:r w:rsidRPr="00777DC6">
        <w:rPr>
          <w:lang w:val="de-DE"/>
        </w:rPr>
        <w:t xml:space="preserve">ECJ C-1/95, </w:t>
      </w:r>
      <w:r w:rsidRPr="00777DC6">
        <w:rPr>
          <w:i/>
          <w:lang w:val="de-DE"/>
        </w:rPr>
        <w:t>Hellen Gerster v. Freistaat Bayern</w:t>
      </w:r>
      <w:r w:rsidRPr="00777DC6">
        <w:rPr>
          <w:lang w:val="de-DE"/>
        </w:rPr>
        <w:t xml:space="preserve">, 1997. </w:t>
      </w:r>
    </w:p>
    <w:p w:rsidR="00777DC6" w:rsidRPr="00777DC6" w:rsidRDefault="00777DC6" w:rsidP="00777DC6">
      <w:pPr>
        <w:numPr>
          <w:ilvl w:val="0"/>
          <w:numId w:val="4"/>
        </w:numPr>
        <w:jc w:val="both"/>
        <w:rPr>
          <w:lang w:val="de-DE"/>
        </w:rPr>
      </w:pPr>
      <w:r w:rsidRPr="00777DC6">
        <w:rPr>
          <w:lang w:val="de-DE"/>
        </w:rPr>
        <w:t xml:space="preserve">ECJ C-100/95, </w:t>
      </w:r>
      <w:r w:rsidRPr="00777DC6">
        <w:rPr>
          <w:i/>
          <w:lang w:val="de-DE"/>
        </w:rPr>
        <w:t xml:space="preserve">Brigitte </w:t>
      </w:r>
      <w:proofErr w:type="spellStart"/>
      <w:r w:rsidRPr="00777DC6">
        <w:rPr>
          <w:i/>
          <w:lang w:val="de-DE"/>
        </w:rPr>
        <w:t>Kording</w:t>
      </w:r>
      <w:proofErr w:type="spellEnd"/>
      <w:r w:rsidRPr="00777DC6">
        <w:rPr>
          <w:i/>
          <w:lang w:val="de-DE"/>
        </w:rPr>
        <w:t xml:space="preserve"> v. Senator </w:t>
      </w:r>
      <w:proofErr w:type="spellStart"/>
      <w:r w:rsidRPr="00777DC6">
        <w:rPr>
          <w:i/>
          <w:lang w:val="de-DE"/>
        </w:rPr>
        <w:t>fur</w:t>
      </w:r>
      <w:proofErr w:type="spellEnd"/>
      <w:r w:rsidRPr="00777DC6">
        <w:rPr>
          <w:i/>
          <w:lang w:val="de-DE"/>
        </w:rPr>
        <w:t xml:space="preserve"> Finanzen Bremen</w:t>
      </w:r>
      <w:r w:rsidRPr="00777DC6">
        <w:rPr>
          <w:lang w:val="de-DE"/>
        </w:rPr>
        <w:t xml:space="preserve">, 1997. </w:t>
      </w:r>
    </w:p>
    <w:p w:rsidR="00777DC6" w:rsidRPr="00777DC6" w:rsidRDefault="00777DC6" w:rsidP="00777DC6">
      <w:pPr>
        <w:numPr>
          <w:ilvl w:val="0"/>
          <w:numId w:val="4"/>
        </w:numPr>
        <w:jc w:val="both"/>
        <w:rPr>
          <w:lang w:val="de-DE"/>
        </w:rPr>
      </w:pPr>
      <w:r w:rsidRPr="00777DC6">
        <w:rPr>
          <w:lang w:val="de-DE"/>
        </w:rPr>
        <w:t xml:space="preserve">ECJ C-409/95, </w:t>
      </w:r>
      <w:r w:rsidRPr="00777DC6">
        <w:rPr>
          <w:i/>
          <w:lang w:val="de-DE"/>
        </w:rPr>
        <w:t>Hellmut Marschall v. Land Nordrhein Westfalen</w:t>
      </w:r>
      <w:r w:rsidRPr="00777DC6">
        <w:rPr>
          <w:lang w:val="de-DE"/>
        </w:rPr>
        <w:t xml:space="preserve">, 1997. </w:t>
      </w:r>
    </w:p>
    <w:p w:rsidR="00777DC6" w:rsidRPr="00777DC6" w:rsidRDefault="00777DC6" w:rsidP="00777DC6">
      <w:pPr>
        <w:numPr>
          <w:ilvl w:val="0"/>
          <w:numId w:val="4"/>
        </w:numPr>
        <w:jc w:val="both"/>
        <w:rPr>
          <w:u w:val="single"/>
          <w:lang w:val="en-US"/>
        </w:rPr>
      </w:pPr>
      <w:r w:rsidRPr="00777DC6">
        <w:rPr>
          <w:lang w:val="en-US"/>
        </w:rPr>
        <w:t xml:space="preserve">ECJ C-411/96, </w:t>
      </w:r>
      <w:r w:rsidRPr="00777DC6">
        <w:rPr>
          <w:i/>
          <w:lang w:val="en-US"/>
        </w:rPr>
        <w:t>Margaret Boyle and other v. Equal Opportunities Commission</w:t>
      </w:r>
      <w:r w:rsidRPr="00777DC6">
        <w:rPr>
          <w:lang w:val="en-US"/>
        </w:rPr>
        <w:t xml:space="preserve">, 1998. </w:t>
      </w:r>
    </w:p>
    <w:p w:rsidR="00777DC6" w:rsidRPr="00777DC6" w:rsidRDefault="00777DC6" w:rsidP="00777DC6">
      <w:pPr>
        <w:numPr>
          <w:ilvl w:val="0"/>
          <w:numId w:val="4"/>
        </w:numPr>
        <w:jc w:val="both"/>
        <w:rPr>
          <w:lang w:val="en-US"/>
        </w:rPr>
      </w:pPr>
      <w:r w:rsidRPr="00777DC6">
        <w:rPr>
          <w:lang w:val="en-US"/>
        </w:rPr>
        <w:t xml:space="preserve">ECJ C-394/96, </w:t>
      </w:r>
      <w:r w:rsidRPr="00777DC6">
        <w:rPr>
          <w:i/>
          <w:lang w:val="en-US"/>
        </w:rPr>
        <w:t>Mary Brown v. Rentokil Ltd</w:t>
      </w:r>
      <w:r w:rsidRPr="00777DC6">
        <w:rPr>
          <w:lang w:val="en-US"/>
        </w:rPr>
        <w:t xml:space="preserve">, 1998. </w:t>
      </w:r>
    </w:p>
    <w:p w:rsidR="00777DC6" w:rsidRPr="00777DC6" w:rsidRDefault="00777DC6" w:rsidP="00777DC6">
      <w:pPr>
        <w:numPr>
          <w:ilvl w:val="0"/>
          <w:numId w:val="4"/>
        </w:numPr>
        <w:jc w:val="both"/>
        <w:rPr>
          <w:lang w:val="en-US"/>
        </w:rPr>
      </w:pPr>
      <w:r w:rsidRPr="00777DC6">
        <w:rPr>
          <w:lang w:val="en-US"/>
        </w:rPr>
        <w:t xml:space="preserve">ECJ C-136/95, </w:t>
      </w:r>
      <w:r w:rsidRPr="00777DC6">
        <w:rPr>
          <w:i/>
          <w:lang w:val="en-US"/>
        </w:rPr>
        <w:t xml:space="preserve">CNAVTS v. </w:t>
      </w:r>
      <w:proofErr w:type="spellStart"/>
      <w:r w:rsidRPr="00777DC6">
        <w:rPr>
          <w:i/>
          <w:lang w:val="en-US"/>
        </w:rPr>
        <w:t>Evelyne</w:t>
      </w:r>
      <w:proofErr w:type="spellEnd"/>
      <w:r w:rsidRPr="00777DC6">
        <w:rPr>
          <w:i/>
          <w:lang w:val="en-US"/>
        </w:rPr>
        <w:t xml:space="preserve"> </w:t>
      </w:r>
      <w:proofErr w:type="spellStart"/>
      <w:r w:rsidRPr="00777DC6">
        <w:rPr>
          <w:i/>
          <w:lang w:val="en-US"/>
        </w:rPr>
        <w:t>Thibault</w:t>
      </w:r>
      <w:proofErr w:type="spellEnd"/>
      <w:r w:rsidRPr="00777DC6">
        <w:rPr>
          <w:lang w:val="en-US"/>
        </w:rPr>
        <w:t xml:space="preserve">, 1998. </w:t>
      </w:r>
    </w:p>
    <w:p w:rsidR="00777DC6" w:rsidRPr="00777DC6" w:rsidRDefault="00777DC6" w:rsidP="00777DC6">
      <w:pPr>
        <w:numPr>
          <w:ilvl w:val="0"/>
          <w:numId w:val="4"/>
        </w:numPr>
        <w:jc w:val="both"/>
        <w:rPr>
          <w:lang w:val="en-US"/>
        </w:rPr>
      </w:pPr>
      <w:r w:rsidRPr="00777DC6">
        <w:rPr>
          <w:lang w:val="en-US"/>
        </w:rPr>
        <w:t xml:space="preserve">ECJ C-185/97, </w:t>
      </w:r>
      <w:r w:rsidRPr="00777DC6">
        <w:rPr>
          <w:i/>
          <w:lang w:val="en-US"/>
        </w:rPr>
        <w:t xml:space="preserve">Belinda Jane </w:t>
      </w:r>
      <w:proofErr w:type="spellStart"/>
      <w:r w:rsidRPr="00777DC6">
        <w:rPr>
          <w:i/>
          <w:lang w:val="en-US"/>
        </w:rPr>
        <w:t>Coote</w:t>
      </w:r>
      <w:proofErr w:type="spellEnd"/>
      <w:r w:rsidRPr="00777DC6">
        <w:rPr>
          <w:i/>
          <w:lang w:val="en-US"/>
        </w:rPr>
        <w:t xml:space="preserve"> v. Granada Hospitality Ltd</w:t>
      </w:r>
      <w:r w:rsidRPr="00777DC6">
        <w:rPr>
          <w:lang w:val="en-US"/>
        </w:rPr>
        <w:t>, 1998.</w:t>
      </w:r>
    </w:p>
    <w:p w:rsidR="00777DC6" w:rsidRPr="00777DC6" w:rsidRDefault="00777DC6" w:rsidP="00777DC6">
      <w:pPr>
        <w:numPr>
          <w:ilvl w:val="0"/>
          <w:numId w:val="4"/>
        </w:numPr>
        <w:jc w:val="both"/>
        <w:rPr>
          <w:lang w:val="fr-FR"/>
        </w:rPr>
      </w:pPr>
      <w:r w:rsidRPr="00777DC6">
        <w:rPr>
          <w:lang w:val="fr-FR"/>
        </w:rPr>
        <w:t xml:space="preserve">ECJ C-120/95, </w:t>
      </w:r>
      <w:r w:rsidRPr="00777DC6">
        <w:rPr>
          <w:i/>
          <w:lang w:val="fr-FR"/>
        </w:rPr>
        <w:t xml:space="preserve">Nicolas </w:t>
      </w:r>
      <w:proofErr w:type="spellStart"/>
      <w:r w:rsidRPr="00777DC6">
        <w:rPr>
          <w:i/>
          <w:lang w:val="fr-FR"/>
        </w:rPr>
        <w:t>Decker</w:t>
      </w:r>
      <w:proofErr w:type="spellEnd"/>
      <w:r w:rsidRPr="00777DC6">
        <w:rPr>
          <w:i/>
          <w:lang w:val="fr-FR"/>
        </w:rPr>
        <w:t xml:space="preserve"> v. Caisse de maladie des employés privés</w:t>
      </w:r>
      <w:r w:rsidRPr="00777DC6">
        <w:rPr>
          <w:lang w:val="fr-FR"/>
        </w:rPr>
        <w:t xml:space="preserve">, 1998. </w:t>
      </w:r>
    </w:p>
    <w:p w:rsidR="00777DC6" w:rsidRPr="00777DC6" w:rsidRDefault="00777DC6" w:rsidP="00777DC6">
      <w:pPr>
        <w:numPr>
          <w:ilvl w:val="0"/>
          <w:numId w:val="4"/>
        </w:numPr>
        <w:jc w:val="both"/>
        <w:rPr>
          <w:lang w:val="en-US"/>
        </w:rPr>
      </w:pPr>
      <w:r w:rsidRPr="00777DC6">
        <w:rPr>
          <w:lang w:val="en-US"/>
        </w:rPr>
        <w:t xml:space="preserve">ECJ C-243/95, </w:t>
      </w:r>
      <w:r w:rsidRPr="00777DC6">
        <w:rPr>
          <w:i/>
          <w:lang w:val="en-US"/>
        </w:rPr>
        <w:t>Kathleen Hill and Anne Stapleton v. Revenue Commissioners and Department of Finance</w:t>
      </w:r>
      <w:r w:rsidRPr="00777DC6">
        <w:rPr>
          <w:lang w:val="en-US"/>
        </w:rPr>
        <w:t>, 1998.</w:t>
      </w:r>
    </w:p>
    <w:p w:rsidR="00777DC6" w:rsidRPr="00777DC6" w:rsidRDefault="00777DC6" w:rsidP="00777DC6">
      <w:pPr>
        <w:numPr>
          <w:ilvl w:val="0"/>
          <w:numId w:val="4"/>
        </w:numPr>
        <w:jc w:val="both"/>
        <w:rPr>
          <w:lang w:val="fr-FR"/>
        </w:rPr>
      </w:pPr>
      <w:r w:rsidRPr="00777DC6">
        <w:rPr>
          <w:lang w:val="fr-FR"/>
        </w:rPr>
        <w:lastRenderedPageBreak/>
        <w:t xml:space="preserve">ECJ C-158/96, </w:t>
      </w:r>
      <w:r w:rsidRPr="00777DC6">
        <w:rPr>
          <w:i/>
          <w:lang w:val="fr-FR"/>
        </w:rPr>
        <w:t xml:space="preserve">Raymond </w:t>
      </w:r>
      <w:proofErr w:type="spellStart"/>
      <w:r w:rsidRPr="00777DC6">
        <w:rPr>
          <w:i/>
          <w:lang w:val="fr-FR"/>
        </w:rPr>
        <w:t>Kohll</w:t>
      </w:r>
      <w:proofErr w:type="spellEnd"/>
      <w:r w:rsidRPr="00777DC6">
        <w:rPr>
          <w:i/>
          <w:lang w:val="fr-FR"/>
        </w:rPr>
        <w:t xml:space="preserve"> v. Union des caisses de maladie</w:t>
      </w:r>
      <w:r w:rsidRPr="00777DC6">
        <w:rPr>
          <w:lang w:val="fr-FR"/>
        </w:rPr>
        <w:t>, 1998.</w:t>
      </w:r>
    </w:p>
    <w:p w:rsidR="00777DC6" w:rsidRPr="00777DC6" w:rsidRDefault="00777DC6" w:rsidP="00777DC6">
      <w:pPr>
        <w:numPr>
          <w:ilvl w:val="0"/>
          <w:numId w:val="4"/>
        </w:numPr>
        <w:jc w:val="both"/>
        <w:rPr>
          <w:u w:val="single"/>
          <w:lang w:val="en-US"/>
        </w:rPr>
      </w:pPr>
      <w:r w:rsidRPr="00777DC6">
        <w:rPr>
          <w:lang w:val="en-US"/>
        </w:rPr>
        <w:t xml:space="preserve">ECJ C-218/98, </w:t>
      </w:r>
      <w:proofErr w:type="spellStart"/>
      <w:r w:rsidRPr="00777DC6">
        <w:rPr>
          <w:i/>
          <w:lang w:val="en-US"/>
        </w:rPr>
        <w:t>Dabo</w:t>
      </w:r>
      <w:proofErr w:type="spellEnd"/>
      <w:r w:rsidRPr="00777DC6">
        <w:rPr>
          <w:i/>
          <w:lang w:val="en-US"/>
        </w:rPr>
        <w:t xml:space="preserve"> </w:t>
      </w:r>
      <w:proofErr w:type="spellStart"/>
      <w:r w:rsidRPr="00777DC6">
        <w:rPr>
          <w:i/>
          <w:lang w:val="en-US"/>
        </w:rPr>
        <w:t>Abdoulay</w:t>
      </w:r>
      <w:proofErr w:type="spellEnd"/>
      <w:r w:rsidRPr="00777DC6">
        <w:rPr>
          <w:i/>
          <w:lang w:val="en-US"/>
        </w:rPr>
        <w:t xml:space="preserve"> and Others v. Renault SA</w:t>
      </w:r>
      <w:r w:rsidRPr="00777DC6">
        <w:rPr>
          <w:lang w:val="en-US"/>
        </w:rPr>
        <w:t xml:space="preserve">, 1999. </w:t>
      </w:r>
    </w:p>
    <w:p w:rsidR="00777DC6" w:rsidRPr="00777DC6" w:rsidRDefault="00777DC6" w:rsidP="00777DC6">
      <w:pPr>
        <w:numPr>
          <w:ilvl w:val="0"/>
          <w:numId w:val="4"/>
        </w:numPr>
        <w:jc w:val="both"/>
        <w:rPr>
          <w:lang w:val="en-US"/>
        </w:rPr>
      </w:pPr>
      <w:r w:rsidRPr="00777DC6">
        <w:rPr>
          <w:lang w:val="en-US"/>
        </w:rPr>
        <w:t xml:space="preserve">ECJ C-187/98, </w:t>
      </w:r>
      <w:r w:rsidRPr="00777DC6">
        <w:rPr>
          <w:i/>
          <w:lang w:val="en-US"/>
        </w:rPr>
        <w:t>Commission of the European Communities v. Greece</w:t>
      </w:r>
      <w:r w:rsidRPr="00777DC6">
        <w:rPr>
          <w:lang w:val="en-US"/>
        </w:rPr>
        <w:t xml:space="preserve">, 1999. </w:t>
      </w:r>
    </w:p>
    <w:p w:rsidR="00777DC6" w:rsidRPr="00777DC6" w:rsidRDefault="00777DC6" w:rsidP="00777DC6">
      <w:pPr>
        <w:numPr>
          <w:ilvl w:val="0"/>
          <w:numId w:val="4"/>
        </w:numPr>
        <w:jc w:val="both"/>
        <w:rPr>
          <w:lang w:val="de-DE"/>
        </w:rPr>
      </w:pPr>
      <w:r w:rsidRPr="00777DC6">
        <w:rPr>
          <w:lang w:val="de-DE"/>
        </w:rPr>
        <w:t xml:space="preserve">ECJ C-249/97, </w:t>
      </w:r>
      <w:r w:rsidRPr="00777DC6">
        <w:rPr>
          <w:i/>
          <w:lang w:val="de-DE"/>
        </w:rPr>
        <w:t>Gabriele Gruber v. Silhouette International</w:t>
      </w:r>
      <w:r w:rsidRPr="00777DC6">
        <w:rPr>
          <w:lang w:val="de-DE"/>
        </w:rPr>
        <w:t xml:space="preserve">, 1999. </w:t>
      </w:r>
    </w:p>
    <w:p w:rsidR="00777DC6" w:rsidRPr="00777DC6" w:rsidRDefault="00777DC6" w:rsidP="00777DC6">
      <w:pPr>
        <w:numPr>
          <w:ilvl w:val="0"/>
          <w:numId w:val="4"/>
        </w:numPr>
        <w:jc w:val="both"/>
      </w:pPr>
      <w:r w:rsidRPr="00777DC6">
        <w:t xml:space="preserve">ECJ C-333/97, </w:t>
      </w:r>
      <w:r w:rsidRPr="00777DC6">
        <w:rPr>
          <w:i/>
        </w:rPr>
        <w:t xml:space="preserve">Susanne </w:t>
      </w:r>
      <w:proofErr w:type="spellStart"/>
      <w:r w:rsidRPr="00777DC6">
        <w:rPr>
          <w:i/>
        </w:rPr>
        <w:t>Lewen</w:t>
      </w:r>
      <w:proofErr w:type="spellEnd"/>
      <w:r w:rsidRPr="00777DC6">
        <w:rPr>
          <w:i/>
        </w:rPr>
        <w:t xml:space="preserve"> v. </w:t>
      </w:r>
      <w:proofErr w:type="spellStart"/>
      <w:r w:rsidRPr="00777DC6">
        <w:rPr>
          <w:i/>
        </w:rPr>
        <w:t>Lothar</w:t>
      </w:r>
      <w:proofErr w:type="spellEnd"/>
      <w:r w:rsidRPr="00777DC6">
        <w:rPr>
          <w:i/>
        </w:rPr>
        <w:t xml:space="preserve"> </w:t>
      </w:r>
      <w:proofErr w:type="spellStart"/>
      <w:r w:rsidRPr="00777DC6">
        <w:rPr>
          <w:i/>
        </w:rPr>
        <w:t>Denda</w:t>
      </w:r>
      <w:proofErr w:type="spellEnd"/>
      <w:r w:rsidRPr="00777DC6">
        <w:t xml:space="preserve">, 1999. </w:t>
      </w:r>
    </w:p>
    <w:p w:rsidR="00777DC6" w:rsidRPr="00777DC6" w:rsidRDefault="00777DC6" w:rsidP="00777DC6">
      <w:pPr>
        <w:numPr>
          <w:ilvl w:val="0"/>
          <w:numId w:val="4"/>
        </w:numPr>
        <w:jc w:val="both"/>
        <w:rPr>
          <w:lang w:val="en-US"/>
        </w:rPr>
      </w:pPr>
      <w:r w:rsidRPr="00777DC6">
        <w:rPr>
          <w:lang w:val="en-US"/>
        </w:rPr>
        <w:t xml:space="preserve">ECJ C-167/97, </w:t>
      </w:r>
      <w:r w:rsidRPr="00777DC6">
        <w:rPr>
          <w:i/>
          <w:lang w:val="en-US"/>
        </w:rPr>
        <w:t>Regina v. Secretary of State for employment, ex parte Seymour-Smith</w:t>
      </w:r>
      <w:r w:rsidRPr="00777DC6">
        <w:rPr>
          <w:lang w:val="en-US"/>
        </w:rPr>
        <w:t xml:space="preserve">, 1999. </w:t>
      </w:r>
    </w:p>
    <w:p w:rsidR="00777DC6" w:rsidRPr="00777DC6" w:rsidRDefault="00777DC6" w:rsidP="00777DC6">
      <w:pPr>
        <w:numPr>
          <w:ilvl w:val="0"/>
          <w:numId w:val="4"/>
        </w:numPr>
        <w:jc w:val="both"/>
        <w:rPr>
          <w:lang w:val="en-US"/>
        </w:rPr>
      </w:pPr>
      <w:r w:rsidRPr="00777DC6">
        <w:rPr>
          <w:lang w:val="en-US"/>
        </w:rPr>
        <w:t xml:space="preserve">ECJ C-407/98, </w:t>
      </w:r>
      <w:r w:rsidRPr="00777DC6">
        <w:rPr>
          <w:i/>
          <w:lang w:val="en-US"/>
        </w:rPr>
        <w:t xml:space="preserve">Katarina </w:t>
      </w:r>
      <w:proofErr w:type="spellStart"/>
      <w:r w:rsidRPr="00777DC6">
        <w:rPr>
          <w:i/>
          <w:lang w:val="en-US"/>
        </w:rPr>
        <w:t>Abrahamsson</w:t>
      </w:r>
      <w:proofErr w:type="spellEnd"/>
      <w:r w:rsidRPr="00777DC6">
        <w:rPr>
          <w:i/>
          <w:lang w:val="en-US"/>
        </w:rPr>
        <w:t xml:space="preserve"> and Leif Anderson v. </w:t>
      </w:r>
      <w:proofErr w:type="spellStart"/>
      <w:r w:rsidRPr="00777DC6">
        <w:rPr>
          <w:i/>
          <w:lang w:val="en-US"/>
        </w:rPr>
        <w:t>Elisabet</w:t>
      </w:r>
      <w:proofErr w:type="spellEnd"/>
      <w:r w:rsidRPr="00777DC6">
        <w:rPr>
          <w:i/>
          <w:lang w:val="en-US"/>
        </w:rPr>
        <w:t xml:space="preserve"> </w:t>
      </w:r>
      <w:proofErr w:type="spellStart"/>
      <w:r w:rsidRPr="00777DC6">
        <w:rPr>
          <w:i/>
          <w:lang w:val="en-US"/>
        </w:rPr>
        <w:t>Fogelqvist</w:t>
      </w:r>
      <w:proofErr w:type="spellEnd"/>
      <w:r w:rsidRPr="00777DC6">
        <w:rPr>
          <w:lang w:val="en-US"/>
        </w:rPr>
        <w:t xml:space="preserve">, 2000. </w:t>
      </w:r>
    </w:p>
    <w:p w:rsidR="00777DC6" w:rsidRPr="00777DC6" w:rsidRDefault="00777DC6" w:rsidP="00777DC6">
      <w:pPr>
        <w:numPr>
          <w:ilvl w:val="0"/>
          <w:numId w:val="4"/>
        </w:numPr>
        <w:jc w:val="both"/>
        <w:rPr>
          <w:lang w:val="en-US"/>
        </w:rPr>
      </w:pPr>
      <w:r w:rsidRPr="00777DC6">
        <w:rPr>
          <w:lang w:val="en-US"/>
        </w:rPr>
        <w:t xml:space="preserve">ECJ C-158/97, Georg </w:t>
      </w:r>
      <w:proofErr w:type="spellStart"/>
      <w:r w:rsidRPr="00777DC6">
        <w:rPr>
          <w:i/>
          <w:lang w:val="en-US"/>
        </w:rPr>
        <w:t>Badeck</w:t>
      </w:r>
      <w:proofErr w:type="spellEnd"/>
      <w:r w:rsidRPr="00777DC6">
        <w:rPr>
          <w:i/>
          <w:lang w:val="en-US"/>
        </w:rPr>
        <w:t xml:space="preserve"> and Others v. </w:t>
      </w:r>
      <w:proofErr w:type="spellStart"/>
      <w:r w:rsidRPr="00777DC6">
        <w:rPr>
          <w:i/>
          <w:lang w:val="en-US"/>
        </w:rPr>
        <w:t>Hessicher</w:t>
      </w:r>
      <w:proofErr w:type="spellEnd"/>
      <w:r w:rsidRPr="00777DC6">
        <w:rPr>
          <w:i/>
          <w:lang w:val="en-US"/>
        </w:rPr>
        <w:t xml:space="preserve"> </w:t>
      </w:r>
      <w:proofErr w:type="spellStart"/>
      <w:r w:rsidRPr="00777DC6">
        <w:rPr>
          <w:i/>
          <w:lang w:val="en-US"/>
        </w:rPr>
        <w:t>Ministerprasident</w:t>
      </w:r>
      <w:proofErr w:type="spellEnd"/>
      <w:r w:rsidRPr="00777DC6">
        <w:rPr>
          <w:lang w:val="en-US"/>
        </w:rPr>
        <w:t xml:space="preserve">, 2000. </w:t>
      </w:r>
    </w:p>
    <w:p w:rsidR="00777DC6" w:rsidRPr="00777DC6" w:rsidRDefault="00777DC6" w:rsidP="00777DC6">
      <w:pPr>
        <w:numPr>
          <w:ilvl w:val="0"/>
          <w:numId w:val="4"/>
        </w:numPr>
        <w:jc w:val="both"/>
        <w:rPr>
          <w:lang w:val="it-IT"/>
        </w:rPr>
      </w:pPr>
      <w:r w:rsidRPr="00777DC6">
        <w:rPr>
          <w:lang w:val="it-IT"/>
        </w:rPr>
        <w:t xml:space="preserve">ECJ C-17/98, </w:t>
      </w:r>
      <w:r w:rsidRPr="00777DC6">
        <w:rPr>
          <w:i/>
          <w:lang w:val="it-IT"/>
        </w:rPr>
        <w:t>Emesa Sugar NV v. Aruba</w:t>
      </w:r>
      <w:r w:rsidRPr="00777DC6">
        <w:rPr>
          <w:lang w:val="it-IT"/>
        </w:rPr>
        <w:t xml:space="preserve">, 2000. </w:t>
      </w:r>
    </w:p>
    <w:p w:rsidR="00777DC6" w:rsidRPr="00777DC6" w:rsidRDefault="00777DC6" w:rsidP="00777DC6">
      <w:pPr>
        <w:numPr>
          <w:ilvl w:val="0"/>
          <w:numId w:val="4"/>
        </w:numPr>
        <w:jc w:val="both"/>
        <w:rPr>
          <w:lang w:val="de-DE"/>
        </w:rPr>
      </w:pPr>
      <w:r w:rsidRPr="00777DC6">
        <w:rPr>
          <w:lang w:val="de-DE"/>
        </w:rPr>
        <w:t xml:space="preserve">ECJ C-270/97, </w:t>
      </w:r>
      <w:r w:rsidRPr="00777DC6">
        <w:rPr>
          <w:i/>
          <w:lang w:val="de-DE"/>
        </w:rPr>
        <w:t>Deutsche Post AG v. Elisabeth Sievers</w:t>
      </w:r>
      <w:r w:rsidRPr="00777DC6">
        <w:rPr>
          <w:lang w:val="de-DE"/>
        </w:rPr>
        <w:t>, 2000.</w:t>
      </w:r>
    </w:p>
    <w:p w:rsidR="00777DC6" w:rsidRPr="00777DC6" w:rsidRDefault="00777DC6" w:rsidP="00777DC6">
      <w:pPr>
        <w:numPr>
          <w:ilvl w:val="0"/>
          <w:numId w:val="4"/>
        </w:numPr>
        <w:jc w:val="both"/>
        <w:rPr>
          <w:lang w:val="de-DE"/>
        </w:rPr>
      </w:pPr>
      <w:r w:rsidRPr="00777DC6">
        <w:rPr>
          <w:lang w:val="de-DE"/>
        </w:rPr>
        <w:t xml:space="preserve">ECJ C-50/96, </w:t>
      </w:r>
      <w:r w:rsidRPr="00777DC6">
        <w:rPr>
          <w:i/>
          <w:lang w:val="de-DE"/>
        </w:rPr>
        <w:t>Deutsche Telekom AG v. Lilli Schroder</w:t>
      </w:r>
      <w:r w:rsidRPr="00777DC6">
        <w:rPr>
          <w:lang w:val="de-DE"/>
        </w:rPr>
        <w:t>, 2000.</w:t>
      </w:r>
    </w:p>
    <w:p w:rsidR="00777DC6" w:rsidRPr="00777DC6" w:rsidRDefault="00777DC6" w:rsidP="00777DC6">
      <w:pPr>
        <w:numPr>
          <w:ilvl w:val="0"/>
          <w:numId w:val="4"/>
        </w:numPr>
        <w:jc w:val="both"/>
        <w:rPr>
          <w:lang w:val="de-DE"/>
        </w:rPr>
      </w:pPr>
      <w:r w:rsidRPr="00777DC6">
        <w:rPr>
          <w:lang w:val="de-DE"/>
        </w:rPr>
        <w:t xml:space="preserve">ECJ C-322/98, </w:t>
      </w:r>
      <w:proofErr w:type="spellStart"/>
      <w:r w:rsidRPr="00777DC6">
        <w:rPr>
          <w:i/>
          <w:lang w:val="de-DE"/>
        </w:rPr>
        <w:t>Barbel</w:t>
      </w:r>
      <w:proofErr w:type="spellEnd"/>
      <w:r w:rsidRPr="00777DC6">
        <w:rPr>
          <w:i/>
          <w:lang w:val="de-DE"/>
        </w:rPr>
        <w:t xml:space="preserve"> Kachelmann v. Bankhaus Hermann Lampe</w:t>
      </w:r>
      <w:r w:rsidRPr="00777DC6">
        <w:rPr>
          <w:lang w:val="de-DE"/>
        </w:rPr>
        <w:t xml:space="preserve">, 2000. </w:t>
      </w:r>
    </w:p>
    <w:p w:rsidR="00777DC6" w:rsidRPr="00777DC6" w:rsidRDefault="00777DC6" w:rsidP="00777DC6">
      <w:pPr>
        <w:numPr>
          <w:ilvl w:val="0"/>
          <w:numId w:val="4"/>
        </w:numPr>
        <w:jc w:val="both"/>
        <w:rPr>
          <w:lang w:val="de-DE"/>
        </w:rPr>
      </w:pPr>
      <w:r w:rsidRPr="00777DC6">
        <w:rPr>
          <w:lang w:val="de-DE"/>
        </w:rPr>
        <w:t xml:space="preserve">ECJ C-7/98, </w:t>
      </w:r>
      <w:r w:rsidRPr="00777DC6">
        <w:rPr>
          <w:i/>
          <w:lang w:val="de-DE"/>
        </w:rPr>
        <w:t xml:space="preserve">Dieter </w:t>
      </w:r>
      <w:proofErr w:type="spellStart"/>
      <w:r w:rsidRPr="00777DC6">
        <w:rPr>
          <w:i/>
          <w:lang w:val="de-DE"/>
        </w:rPr>
        <w:t>Krombach</w:t>
      </w:r>
      <w:proofErr w:type="spellEnd"/>
      <w:r w:rsidRPr="00777DC6">
        <w:rPr>
          <w:i/>
          <w:lang w:val="de-DE"/>
        </w:rPr>
        <w:t xml:space="preserve"> v. Andre </w:t>
      </w:r>
      <w:proofErr w:type="spellStart"/>
      <w:r w:rsidRPr="00777DC6">
        <w:rPr>
          <w:i/>
          <w:lang w:val="de-DE"/>
        </w:rPr>
        <w:t>Bamberski</w:t>
      </w:r>
      <w:proofErr w:type="spellEnd"/>
      <w:r w:rsidRPr="00777DC6">
        <w:rPr>
          <w:lang w:val="de-DE"/>
        </w:rPr>
        <w:t>, 2000.</w:t>
      </w:r>
      <w:r w:rsidRPr="00777DC6">
        <w:rPr>
          <w:i/>
          <w:lang w:val="de-DE"/>
        </w:rPr>
        <w:t xml:space="preserve"> </w:t>
      </w:r>
    </w:p>
    <w:p w:rsidR="00777DC6" w:rsidRPr="00777DC6" w:rsidRDefault="00777DC6" w:rsidP="00777DC6">
      <w:pPr>
        <w:numPr>
          <w:ilvl w:val="0"/>
          <w:numId w:val="4"/>
        </w:numPr>
        <w:jc w:val="both"/>
        <w:rPr>
          <w:lang w:val="de-DE"/>
        </w:rPr>
      </w:pPr>
      <w:r w:rsidRPr="00777DC6">
        <w:rPr>
          <w:bCs/>
          <w:lang w:val="de-DE"/>
        </w:rPr>
        <w:t>ECJ C-381/99,</w:t>
      </w:r>
      <w:r w:rsidRPr="00777DC6">
        <w:rPr>
          <w:b/>
          <w:bCs/>
          <w:lang w:val="de-DE"/>
        </w:rPr>
        <w:t xml:space="preserve"> </w:t>
      </w:r>
      <w:r w:rsidRPr="00777DC6">
        <w:rPr>
          <w:bCs/>
          <w:i/>
          <w:lang w:val="de-DE"/>
        </w:rPr>
        <w:t xml:space="preserve">Susanna </w:t>
      </w:r>
      <w:proofErr w:type="spellStart"/>
      <w:r w:rsidRPr="00777DC6">
        <w:rPr>
          <w:bCs/>
          <w:i/>
          <w:lang w:val="de-DE"/>
        </w:rPr>
        <w:t>Brunnhofer</w:t>
      </w:r>
      <w:proofErr w:type="spellEnd"/>
      <w:r w:rsidRPr="00777DC6">
        <w:rPr>
          <w:bCs/>
          <w:i/>
          <w:lang w:val="de-DE"/>
        </w:rPr>
        <w:t xml:space="preserve"> v. Bank der österreichischen Postsparkasse AG</w:t>
      </w:r>
      <w:r w:rsidRPr="00777DC6">
        <w:rPr>
          <w:bCs/>
          <w:lang w:val="de-DE"/>
        </w:rPr>
        <w:t xml:space="preserve">, 2001. </w:t>
      </w:r>
    </w:p>
    <w:p w:rsidR="00777DC6" w:rsidRPr="00777DC6" w:rsidRDefault="00777DC6" w:rsidP="00777DC6">
      <w:pPr>
        <w:numPr>
          <w:ilvl w:val="0"/>
          <w:numId w:val="4"/>
        </w:numPr>
        <w:jc w:val="both"/>
      </w:pPr>
      <w:r w:rsidRPr="00777DC6">
        <w:t xml:space="preserve">ECJ C-476/99, </w:t>
      </w:r>
      <w:r w:rsidRPr="00777DC6">
        <w:rPr>
          <w:i/>
        </w:rPr>
        <w:t>H. Lommers v. Minister van Landbouw, natuurbeheer en Visserij</w:t>
      </w:r>
      <w:r w:rsidRPr="00777DC6">
        <w:t xml:space="preserve">, 2002. </w:t>
      </w:r>
    </w:p>
    <w:p w:rsidR="00777DC6" w:rsidRPr="00777DC6" w:rsidRDefault="00777DC6" w:rsidP="00777DC6">
      <w:pPr>
        <w:numPr>
          <w:ilvl w:val="0"/>
          <w:numId w:val="4"/>
        </w:numPr>
        <w:jc w:val="both"/>
        <w:rPr>
          <w:lang w:val="de-DE"/>
        </w:rPr>
      </w:pPr>
      <w:r w:rsidRPr="00777DC6">
        <w:rPr>
          <w:lang w:val="de-DE"/>
        </w:rPr>
        <w:t xml:space="preserve">ECJ C-320/01, </w:t>
      </w:r>
      <w:r w:rsidRPr="00777DC6">
        <w:rPr>
          <w:i/>
          <w:lang w:val="de-DE"/>
        </w:rPr>
        <w:t>Wiebke Busch v. Klinikum Neustadt GmbH &amp; Co. Betriebs-KG,</w:t>
      </w:r>
      <w:r w:rsidRPr="00777DC6">
        <w:rPr>
          <w:lang w:val="de-DE"/>
        </w:rPr>
        <w:t xml:space="preserve"> 2003. </w:t>
      </w:r>
    </w:p>
    <w:p w:rsidR="00777DC6" w:rsidRPr="00777DC6" w:rsidRDefault="00777DC6" w:rsidP="00777DC6">
      <w:pPr>
        <w:numPr>
          <w:ilvl w:val="0"/>
          <w:numId w:val="4"/>
        </w:numPr>
        <w:jc w:val="both"/>
        <w:rPr>
          <w:i/>
          <w:lang w:val="de-DE"/>
        </w:rPr>
      </w:pPr>
      <w:r w:rsidRPr="00777DC6">
        <w:rPr>
          <w:lang w:val="de-DE"/>
        </w:rPr>
        <w:t xml:space="preserve">ECJ C-187/00, </w:t>
      </w:r>
      <w:r w:rsidRPr="00777DC6">
        <w:rPr>
          <w:i/>
          <w:lang w:val="de-DE"/>
        </w:rPr>
        <w:t xml:space="preserve">Helga </w:t>
      </w:r>
      <w:proofErr w:type="spellStart"/>
      <w:r w:rsidRPr="00777DC6">
        <w:rPr>
          <w:i/>
          <w:lang w:val="de-DE"/>
        </w:rPr>
        <w:t>Kutz</w:t>
      </w:r>
      <w:proofErr w:type="spellEnd"/>
      <w:r w:rsidRPr="00777DC6">
        <w:rPr>
          <w:i/>
          <w:lang w:val="de-DE"/>
        </w:rPr>
        <w:t xml:space="preserve">-Bauer v. </w:t>
      </w:r>
      <w:r w:rsidRPr="00777DC6">
        <w:rPr>
          <w:bCs/>
          <w:i/>
          <w:lang w:val="de-DE"/>
        </w:rPr>
        <w:t>Freie und Hansestadt Hamburg</w:t>
      </w:r>
      <w:r w:rsidRPr="00777DC6">
        <w:rPr>
          <w:bCs/>
          <w:lang w:val="de-DE"/>
        </w:rPr>
        <w:t xml:space="preserve">, 2003. </w:t>
      </w:r>
    </w:p>
    <w:p w:rsidR="00777DC6" w:rsidRPr="00777DC6" w:rsidRDefault="00777DC6" w:rsidP="00777DC6">
      <w:pPr>
        <w:numPr>
          <w:ilvl w:val="0"/>
          <w:numId w:val="4"/>
        </w:numPr>
        <w:jc w:val="both"/>
        <w:rPr>
          <w:lang w:val="de-DE"/>
        </w:rPr>
      </w:pPr>
      <w:r w:rsidRPr="00777DC6">
        <w:rPr>
          <w:lang w:val="de-DE"/>
        </w:rPr>
        <w:t xml:space="preserve">ECJ C-25/02, </w:t>
      </w:r>
      <w:r w:rsidRPr="00777DC6">
        <w:rPr>
          <w:i/>
          <w:lang w:val="de-DE"/>
        </w:rPr>
        <w:t xml:space="preserve">Katharina Rinke v. </w:t>
      </w:r>
      <w:proofErr w:type="spellStart"/>
      <w:r w:rsidRPr="00777DC6">
        <w:rPr>
          <w:i/>
          <w:lang w:val="de-DE"/>
        </w:rPr>
        <w:t>Arztekammer</w:t>
      </w:r>
      <w:proofErr w:type="spellEnd"/>
      <w:r w:rsidRPr="00777DC6">
        <w:rPr>
          <w:i/>
          <w:lang w:val="de-DE"/>
        </w:rPr>
        <w:t xml:space="preserve"> Hamburg</w:t>
      </w:r>
      <w:r w:rsidRPr="00777DC6">
        <w:rPr>
          <w:lang w:val="de-DE"/>
        </w:rPr>
        <w:t xml:space="preserve">, 2003. </w:t>
      </w:r>
      <w:r w:rsidRPr="00777DC6">
        <w:rPr>
          <w:lang w:val="de-DE"/>
        </w:rPr>
        <w:tab/>
        <w:t xml:space="preserve"> </w:t>
      </w:r>
    </w:p>
    <w:p w:rsidR="00777DC6" w:rsidRPr="00777DC6" w:rsidRDefault="00777DC6" w:rsidP="00777DC6">
      <w:pPr>
        <w:numPr>
          <w:ilvl w:val="0"/>
          <w:numId w:val="4"/>
        </w:numPr>
        <w:jc w:val="both"/>
        <w:rPr>
          <w:lang w:val="de-DE"/>
        </w:rPr>
      </w:pPr>
      <w:r w:rsidRPr="00777DC6">
        <w:rPr>
          <w:lang w:val="de-DE"/>
        </w:rPr>
        <w:t xml:space="preserve">ECJ C-77/02, </w:t>
      </w:r>
      <w:r w:rsidRPr="00777DC6">
        <w:rPr>
          <w:i/>
          <w:lang w:val="de-DE"/>
        </w:rPr>
        <w:t xml:space="preserve">Erika </w:t>
      </w:r>
      <w:proofErr w:type="spellStart"/>
      <w:r w:rsidRPr="00777DC6">
        <w:rPr>
          <w:i/>
          <w:lang w:val="de-DE"/>
        </w:rPr>
        <w:t>Steinicke</w:t>
      </w:r>
      <w:proofErr w:type="spellEnd"/>
      <w:r w:rsidRPr="00777DC6">
        <w:rPr>
          <w:i/>
          <w:lang w:val="de-DE"/>
        </w:rPr>
        <w:t xml:space="preserve"> v. Bundesanstalt </w:t>
      </w:r>
      <w:proofErr w:type="spellStart"/>
      <w:r w:rsidRPr="00777DC6">
        <w:rPr>
          <w:i/>
          <w:lang w:val="de-DE"/>
        </w:rPr>
        <w:t>fur</w:t>
      </w:r>
      <w:proofErr w:type="spellEnd"/>
      <w:r w:rsidRPr="00777DC6">
        <w:rPr>
          <w:i/>
          <w:lang w:val="de-DE"/>
        </w:rPr>
        <w:t xml:space="preserve"> Arbeit</w:t>
      </w:r>
      <w:r w:rsidRPr="00777DC6">
        <w:rPr>
          <w:lang w:val="de-DE"/>
        </w:rPr>
        <w:t xml:space="preserve">, 2003. </w:t>
      </w:r>
    </w:p>
    <w:p w:rsidR="00777DC6" w:rsidRPr="00777DC6" w:rsidRDefault="00777DC6" w:rsidP="00777DC6">
      <w:pPr>
        <w:numPr>
          <w:ilvl w:val="0"/>
          <w:numId w:val="4"/>
        </w:numPr>
        <w:jc w:val="both"/>
        <w:rPr>
          <w:lang w:val="it-IT"/>
        </w:rPr>
      </w:pPr>
      <w:r w:rsidRPr="00777DC6">
        <w:rPr>
          <w:lang w:val="it-IT"/>
        </w:rPr>
        <w:t xml:space="preserve">ECJ C-256/01, </w:t>
      </w:r>
      <w:r w:rsidRPr="00777DC6">
        <w:rPr>
          <w:i/>
          <w:lang w:val="it-IT"/>
        </w:rPr>
        <w:t>Debra Allonby v. Accrington &amp; Rossendale College</w:t>
      </w:r>
      <w:r w:rsidRPr="00777DC6">
        <w:rPr>
          <w:lang w:val="it-IT"/>
        </w:rPr>
        <w:t xml:space="preserve">, 2004.  </w:t>
      </w:r>
    </w:p>
    <w:p w:rsidR="00777DC6" w:rsidRPr="00777DC6" w:rsidRDefault="00777DC6" w:rsidP="00777DC6">
      <w:pPr>
        <w:numPr>
          <w:ilvl w:val="0"/>
          <w:numId w:val="4"/>
        </w:numPr>
        <w:jc w:val="both"/>
        <w:rPr>
          <w:lang w:val="fr-FR"/>
        </w:rPr>
      </w:pPr>
      <w:r w:rsidRPr="00777DC6">
        <w:rPr>
          <w:lang w:val="fr-FR"/>
        </w:rPr>
        <w:t xml:space="preserve">ECJ C-319/03, </w:t>
      </w:r>
      <w:r w:rsidRPr="00777DC6">
        <w:rPr>
          <w:i/>
          <w:lang w:val="fr-FR"/>
        </w:rPr>
        <w:t xml:space="preserve">Serge </w:t>
      </w:r>
      <w:proofErr w:type="spellStart"/>
      <w:r w:rsidRPr="00777DC6">
        <w:rPr>
          <w:i/>
          <w:lang w:val="fr-FR"/>
        </w:rPr>
        <w:t>Briheche</w:t>
      </w:r>
      <w:proofErr w:type="spellEnd"/>
      <w:r w:rsidRPr="00777DC6">
        <w:rPr>
          <w:i/>
          <w:lang w:val="fr-FR"/>
        </w:rPr>
        <w:t xml:space="preserve"> v. Ministre de l’Intérieur, Ministre de l’éducation and Ministre de la Justice</w:t>
      </w:r>
      <w:r w:rsidRPr="00777DC6">
        <w:rPr>
          <w:lang w:val="fr-FR"/>
        </w:rPr>
        <w:t>, 2004.</w:t>
      </w:r>
    </w:p>
    <w:p w:rsidR="00777DC6" w:rsidRPr="00777DC6" w:rsidRDefault="00777DC6" w:rsidP="00777DC6">
      <w:pPr>
        <w:numPr>
          <w:ilvl w:val="0"/>
          <w:numId w:val="4"/>
        </w:numPr>
        <w:jc w:val="both"/>
        <w:rPr>
          <w:lang w:val="de-DE"/>
        </w:rPr>
      </w:pPr>
      <w:r w:rsidRPr="00777DC6">
        <w:rPr>
          <w:lang w:val="de-DE"/>
        </w:rPr>
        <w:t xml:space="preserve">ECJ C-285/02, </w:t>
      </w:r>
      <w:r w:rsidRPr="00777DC6">
        <w:rPr>
          <w:i/>
          <w:lang w:val="de-DE"/>
        </w:rPr>
        <w:t>Elsner-</w:t>
      </w:r>
      <w:proofErr w:type="spellStart"/>
      <w:r w:rsidRPr="00777DC6">
        <w:rPr>
          <w:i/>
          <w:lang w:val="de-DE"/>
        </w:rPr>
        <w:t>Lakeberg</w:t>
      </w:r>
      <w:proofErr w:type="spellEnd"/>
      <w:r w:rsidRPr="00777DC6">
        <w:rPr>
          <w:i/>
          <w:lang w:val="de-DE"/>
        </w:rPr>
        <w:t xml:space="preserve"> v. Land Nordrhein-Westfalen</w:t>
      </w:r>
      <w:r w:rsidRPr="00777DC6">
        <w:rPr>
          <w:lang w:val="de-DE"/>
        </w:rPr>
        <w:t>, 2004.</w:t>
      </w:r>
    </w:p>
    <w:p w:rsidR="00777DC6" w:rsidRPr="00777DC6" w:rsidRDefault="00777DC6" w:rsidP="00777DC6">
      <w:pPr>
        <w:numPr>
          <w:ilvl w:val="0"/>
          <w:numId w:val="4"/>
        </w:numPr>
        <w:jc w:val="both"/>
        <w:rPr>
          <w:lang w:val="en-US"/>
        </w:rPr>
      </w:pPr>
      <w:r w:rsidRPr="00777DC6">
        <w:rPr>
          <w:lang w:val="en-US"/>
        </w:rPr>
        <w:t xml:space="preserve">ECJ C-519/03, </w:t>
      </w:r>
      <w:r w:rsidRPr="00777DC6">
        <w:rPr>
          <w:i/>
          <w:lang w:val="en-US"/>
        </w:rPr>
        <w:t>Commission of the European Communities v. Luxembourg</w:t>
      </w:r>
      <w:r w:rsidRPr="00777DC6">
        <w:rPr>
          <w:lang w:val="en-US"/>
        </w:rPr>
        <w:t xml:space="preserve">, 2005. </w:t>
      </w:r>
    </w:p>
    <w:p w:rsidR="00777DC6" w:rsidRPr="00C44789" w:rsidRDefault="00777DC6" w:rsidP="00777DC6">
      <w:pPr>
        <w:numPr>
          <w:ilvl w:val="0"/>
          <w:numId w:val="4"/>
        </w:numPr>
        <w:jc w:val="both"/>
      </w:pPr>
      <w:r w:rsidRPr="00C44789">
        <w:t xml:space="preserve">ECJ C-116/06, </w:t>
      </w:r>
      <w:r w:rsidRPr="00C44789">
        <w:rPr>
          <w:i/>
        </w:rPr>
        <w:t xml:space="preserve">Sari </w:t>
      </w:r>
      <w:proofErr w:type="spellStart"/>
      <w:r w:rsidRPr="00C44789">
        <w:rPr>
          <w:i/>
        </w:rPr>
        <w:t>Kiiski</w:t>
      </w:r>
      <w:proofErr w:type="spellEnd"/>
      <w:r w:rsidRPr="00C44789">
        <w:rPr>
          <w:i/>
        </w:rPr>
        <w:t xml:space="preserve"> v. </w:t>
      </w:r>
      <w:proofErr w:type="spellStart"/>
      <w:r w:rsidRPr="00C44789">
        <w:rPr>
          <w:i/>
        </w:rPr>
        <w:t>Tampereen</w:t>
      </w:r>
      <w:proofErr w:type="spellEnd"/>
      <w:r w:rsidRPr="00C44789">
        <w:rPr>
          <w:i/>
        </w:rPr>
        <w:t xml:space="preserve"> </w:t>
      </w:r>
      <w:proofErr w:type="spellStart"/>
      <w:r w:rsidRPr="00C44789">
        <w:rPr>
          <w:i/>
        </w:rPr>
        <w:t>Kaupunki</w:t>
      </w:r>
      <w:proofErr w:type="spellEnd"/>
      <w:r w:rsidRPr="00C44789">
        <w:t xml:space="preserve">, 2007. </w:t>
      </w:r>
    </w:p>
    <w:p w:rsidR="00777DC6" w:rsidRPr="00777DC6" w:rsidRDefault="00777DC6" w:rsidP="00777DC6">
      <w:pPr>
        <w:numPr>
          <w:ilvl w:val="0"/>
          <w:numId w:val="4"/>
        </w:numPr>
        <w:jc w:val="both"/>
        <w:rPr>
          <w:u w:val="single"/>
          <w:lang w:val="de-DE"/>
        </w:rPr>
      </w:pPr>
      <w:r w:rsidRPr="00777DC6">
        <w:rPr>
          <w:lang w:val="de-DE"/>
        </w:rPr>
        <w:lastRenderedPageBreak/>
        <w:t xml:space="preserve">ECJ C-194/08, </w:t>
      </w:r>
      <w:r w:rsidRPr="00777DC6">
        <w:rPr>
          <w:i/>
          <w:lang w:val="de-DE"/>
        </w:rPr>
        <w:t xml:space="preserve">Susanne </w:t>
      </w:r>
      <w:proofErr w:type="spellStart"/>
      <w:r w:rsidRPr="00777DC6">
        <w:rPr>
          <w:i/>
          <w:lang w:val="de-DE"/>
        </w:rPr>
        <w:t>Gassmayr</w:t>
      </w:r>
      <w:proofErr w:type="spellEnd"/>
      <w:r w:rsidRPr="00777DC6">
        <w:rPr>
          <w:i/>
          <w:lang w:val="de-DE"/>
        </w:rPr>
        <w:t xml:space="preserve"> v. Bundesminister </w:t>
      </w:r>
      <w:proofErr w:type="spellStart"/>
      <w:r w:rsidRPr="00777DC6">
        <w:rPr>
          <w:i/>
          <w:lang w:val="de-DE"/>
        </w:rPr>
        <w:t>fur</w:t>
      </w:r>
      <w:proofErr w:type="spellEnd"/>
      <w:r w:rsidRPr="00777DC6">
        <w:rPr>
          <w:i/>
          <w:lang w:val="de-DE"/>
        </w:rPr>
        <w:t xml:space="preserve"> Wissenschaft und Forschung</w:t>
      </w:r>
      <w:r w:rsidRPr="00777DC6">
        <w:rPr>
          <w:lang w:val="de-DE"/>
        </w:rPr>
        <w:t>, 2010.</w:t>
      </w:r>
    </w:p>
    <w:p w:rsidR="00777DC6" w:rsidRPr="00777DC6" w:rsidRDefault="00777DC6" w:rsidP="00777DC6">
      <w:pPr>
        <w:numPr>
          <w:ilvl w:val="0"/>
          <w:numId w:val="4"/>
        </w:numPr>
        <w:jc w:val="both"/>
        <w:rPr>
          <w:bCs/>
          <w:lang w:val="it-IT"/>
        </w:rPr>
      </w:pPr>
      <w:r w:rsidRPr="00777DC6">
        <w:rPr>
          <w:bCs/>
          <w:lang w:val="it-IT"/>
        </w:rPr>
        <w:t xml:space="preserve">ECJ C-395/08, </w:t>
      </w:r>
      <w:r w:rsidRPr="00777DC6">
        <w:rPr>
          <w:bCs/>
          <w:i/>
          <w:lang w:val="it-IT"/>
        </w:rPr>
        <w:t>INPS v. Tiziana Bruno</w:t>
      </w:r>
      <w:r w:rsidRPr="00777DC6">
        <w:rPr>
          <w:bCs/>
          <w:lang w:val="it-IT"/>
        </w:rPr>
        <w:t xml:space="preserve">, 2010. </w:t>
      </w:r>
    </w:p>
    <w:p w:rsidR="00777DC6" w:rsidRPr="00777DC6" w:rsidRDefault="00777DC6" w:rsidP="00777DC6">
      <w:pPr>
        <w:jc w:val="both"/>
        <w:rPr>
          <w:lang w:val="it-IT"/>
        </w:rPr>
      </w:pPr>
    </w:p>
    <w:p w:rsidR="00777DC6" w:rsidRPr="00777DC6" w:rsidRDefault="00777DC6" w:rsidP="00777DC6">
      <w:pPr>
        <w:jc w:val="both"/>
        <w:rPr>
          <w:u w:val="single"/>
          <w:lang w:val="en-US"/>
        </w:rPr>
      </w:pPr>
      <w:r w:rsidRPr="00777DC6">
        <w:rPr>
          <w:u w:val="single"/>
          <w:lang w:val="en-US"/>
        </w:rPr>
        <w:t>The General Court</w:t>
      </w:r>
      <w:r w:rsidR="00986190">
        <w:rPr>
          <w:u w:val="single"/>
          <w:lang w:val="en-US"/>
        </w:rPr>
        <w:t xml:space="preserve"> (European Union)</w:t>
      </w:r>
    </w:p>
    <w:p w:rsidR="00777DC6" w:rsidRPr="00777DC6" w:rsidRDefault="00777DC6" w:rsidP="00777DC6">
      <w:pPr>
        <w:numPr>
          <w:ilvl w:val="0"/>
          <w:numId w:val="4"/>
        </w:numPr>
        <w:jc w:val="both"/>
        <w:rPr>
          <w:lang w:val="it-IT"/>
        </w:rPr>
      </w:pPr>
      <w:r w:rsidRPr="00777DC6">
        <w:rPr>
          <w:lang w:val="it-IT"/>
        </w:rPr>
        <w:t xml:space="preserve">GC T-45/90, </w:t>
      </w:r>
      <w:r w:rsidRPr="00777DC6">
        <w:rPr>
          <w:i/>
          <w:lang w:val="it-IT"/>
        </w:rPr>
        <w:t>Alicia Speybrouck v. European Parliament</w:t>
      </w:r>
      <w:r w:rsidRPr="00777DC6">
        <w:rPr>
          <w:lang w:val="it-IT"/>
        </w:rPr>
        <w:t xml:space="preserve">, 1992. </w:t>
      </w:r>
    </w:p>
    <w:p w:rsidR="00777DC6" w:rsidRPr="00777DC6" w:rsidRDefault="00777DC6" w:rsidP="00777DC6">
      <w:pPr>
        <w:jc w:val="both"/>
        <w:rPr>
          <w:lang w:val="it-IT"/>
        </w:rPr>
      </w:pPr>
    </w:p>
    <w:p w:rsidR="00777DC6" w:rsidRPr="00777DC6" w:rsidRDefault="00C810F3" w:rsidP="00777DC6">
      <w:pPr>
        <w:jc w:val="both"/>
        <w:rPr>
          <w:u w:val="single"/>
          <w:lang w:val="en-US"/>
        </w:rPr>
      </w:pPr>
      <w:r>
        <w:rPr>
          <w:u w:val="single"/>
          <w:lang w:val="en-US"/>
        </w:rPr>
        <w:t>Advocate General</w:t>
      </w:r>
      <w:r w:rsidR="00777DC6" w:rsidRPr="00777DC6">
        <w:rPr>
          <w:u w:val="single"/>
          <w:lang w:val="en-US"/>
        </w:rPr>
        <w:t>s</w:t>
      </w:r>
      <w:r>
        <w:rPr>
          <w:u w:val="single"/>
          <w:lang w:val="en-US"/>
        </w:rPr>
        <w:t>’ O</w:t>
      </w:r>
      <w:r w:rsidR="00777DC6" w:rsidRPr="00777DC6">
        <w:rPr>
          <w:u w:val="single"/>
          <w:lang w:val="en-US"/>
        </w:rPr>
        <w:t>pinions to the European Court of Justice</w:t>
      </w:r>
    </w:p>
    <w:p w:rsidR="00777DC6" w:rsidRPr="00777DC6" w:rsidRDefault="00777DC6" w:rsidP="00777DC6">
      <w:pPr>
        <w:numPr>
          <w:ilvl w:val="0"/>
          <w:numId w:val="4"/>
        </w:numPr>
        <w:jc w:val="both"/>
        <w:rPr>
          <w:u w:val="single"/>
          <w:lang w:val="en-US"/>
        </w:rPr>
      </w:pPr>
      <w:r w:rsidRPr="00777DC6">
        <w:rPr>
          <w:lang w:val="en-US"/>
        </w:rPr>
        <w:t xml:space="preserve">Opinion of Advocate General </w:t>
      </w:r>
      <w:proofErr w:type="spellStart"/>
      <w:r w:rsidRPr="00777DC6">
        <w:rPr>
          <w:lang w:val="en-US"/>
        </w:rPr>
        <w:t>Tesauro</w:t>
      </w:r>
      <w:proofErr w:type="spellEnd"/>
      <w:r w:rsidRPr="00777DC6">
        <w:rPr>
          <w:lang w:val="en-US"/>
        </w:rPr>
        <w:t xml:space="preserve">, </w:t>
      </w:r>
      <w:proofErr w:type="spellStart"/>
      <w:r w:rsidRPr="00777DC6">
        <w:rPr>
          <w:i/>
          <w:lang w:val="en-US"/>
        </w:rPr>
        <w:t>Eckhard</w:t>
      </w:r>
      <w:proofErr w:type="spellEnd"/>
      <w:r w:rsidRPr="00777DC6">
        <w:rPr>
          <w:i/>
          <w:lang w:val="en-US"/>
        </w:rPr>
        <w:t xml:space="preserve"> </w:t>
      </w:r>
      <w:proofErr w:type="spellStart"/>
      <w:r w:rsidRPr="00777DC6">
        <w:rPr>
          <w:i/>
          <w:lang w:val="en-US"/>
        </w:rPr>
        <w:t>Kalanke</w:t>
      </w:r>
      <w:proofErr w:type="spellEnd"/>
      <w:r w:rsidRPr="00777DC6">
        <w:rPr>
          <w:i/>
          <w:lang w:val="en-US"/>
        </w:rPr>
        <w:t xml:space="preserve"> v. </w:t>
      </w:r>
      <w:proofErr w:type="spellStart"/>
      <w:r w:rsidRPr="00777DC6">
        <w:rPr>
          <w:i/>
          <w:lang w:val="en-US"/>
        </w:rPr>
        <w:t>freie</w:t>
      </w:r>
      <w:proofErr w:type="spellEnd"/>
      <w:r w:rsidRPr="00777DC6">
        <w:rPr>
          <w:i/>
          <w:lang w:val="en-US"/>
        </w:rPr>
        <w:t xml:space="preserve"> </w:t>
      </w:r>
      <w:proofErr w:type="spellStart"/>
      <w:r w:rsidRPr="00777DC6">
        <w:rPr>
          <w:i/>
          <w:lang w:val="en-US"/>
        </w:rPr>
        <w:t>hansestadt</w:t>
      </w:r>
      <w:proofErr w:type="spellEnd"/>
      <w:r w:rsidRPr="00777DC6">
        <w:rPr>
          <w:i/>
          <w:lang w:val="en-US"/>
        </w:rPr>
        <w:t xml:space="preserve"> Bremen</w:t>
      </w:r>
      <w:r w:rsidRPr="00777DC6">
        <w:rPr>
          <w:lang w:val="en-US"/>
        </w:rPr>
        <w:t>, 6 April 1995.</w:t>
      </w:r>
    </w:p>
    <w:p w:rsidR="00777DC6" w:rsidRPr="00777DC6" w:rsidRDefault="00777DC6" w:rsidP="00777DC6">
      <w:pPr>
        <w:numPr>
          <w:ilvl w:val="0"/>
          <w:numId w:val="4"/>
        </w:numPr>
        <w:jc w:val="both"/>
        <w:rPr>
          <w:u w:val="single"/>
          <w:lang w:val="en-US"/>
        </w:rPr>
      </w:pPr>
      <w:r w:rsidRPr="00777DC6">
        <w:rPr>
          <w:lang w:val="en-US"/>
        </w:rPr>
        <w:t>Opinion of Advocate General Ruiz-</w:t>
      </w:r>
      <w:proofErr w:type="spellStart"/>
      <w:r w:rsidRPr="00777DC6">
        <w:rPr>
          <w:lang w:val="en-US"/>
        </w:rPr>
        <w:t>Jarabo</w:t>
      </w:r>
      <w:proofErr w:type="spellEnd"/>
      <w:r w:rsidRPr="00777DC6">
        <w:rPr>
          <w:lang w:val="en-US"/>
        </w:rPr>
        <w:t xml:space="preserve"> </w:t>
      </w:r>
      <w:proofErr w:type="spellStart"/>
      <w:r w:rsidRPr="00777DC6">
        <w:rPr>
          <w:lang w:val="en-US"/>
        </w:rPr>
        <w:t>Colomer</w:t>
      </w:r>
      <w:proofErr w:type="spellEnd"/>
      <w:r w:rsidRPr="00777DC6">
        <w:rPr>
          <w:lang w:val="en-US"/>
        </w:rPr>
        <w:t xml:space="preserve">, </w:t>
      </w:r>
      <w:r w:rsidRPr="00777DC6">
        <w:rPr>
          <w:bCs/>
          <w:i/>
          <w:lang w:val="en-US"/>
        </w:rPr>
        <w:t xml:space="preserve">Tele </w:t>
      </w:r>
      <w:proofErr w:type="spellStart"/>
      <w:r w:rsidRPr="00777DC6">
        <w:rPr>
          <w:bCs/>
          <w:i/>
          <w:lang w:val="en-US"/>
        </w:rPr>
        <w:t>Danmark</w:t>
      </w:r>
      <w:proofErr w:type="spellEnd"/>
      <w:r w:rsidRPr="00777DC6">
        <w:rPr>
          <w:bCs/>
          <w:i/>
          <w:lang w:val="en-US"/>
        </w:rPr>
        <w:t xml:space="preserve"> A/S</w:t>
      </w:r>
      <w:r w:rsidRPr="00777DC6">
        <w:rPr>
          <w:i/>
          <w:lang w:val="en-US"/>
        </w:rPr>
        <w:t xml:space="preserve"> v. </w:t>
      </w:r>
      <w:proofErr w:type="spellStart"/>
      <w:r w:rsidRPr="00777DC6">
        <w:rPr>
          <w:bCs/>
          <w:i/>
          <w:lang w:val="en-US"/>
        </w:rPr>
        <w:t>Handels</w:t>
      </w:r>
      <w:proofErr w:type="spellEnd"/>
      <w:r w:rsidRPr="00777DC6">
        <w:rPr>
          <w:bCs/>
          <w:i/>
          <w:lang w:val="en-US"/>
        </w:rPr>
        <w:t xml:space="preserve">- </w:t>
      </w:r>
      <w:proofErr w:type="spellStart"/>
      <w:r w:rsidRPr="00777DC6">
        <w:rPr>
          <w:bCs/>
          <w:i/>
          <w:lang w:val="en-US"/>
        </w:rPr>
        <w:t>og</w:t>
      </w:r>
      <w:proofErr w:type="spellEnd"/>
      <w:r w:rsidRPr="00777DC6">
        <w:rPr>
          <w:bCs/>
          <w:i/>
          <w:lang w:val="en-US"/>
        </w:rPr>
        <w:t xml:space="preserve"> </w:t>
      </w:r>
      <w:proofErr w:type="spellStart"/>
      <w:r w:rsidRPr="00777DC6">
        <w:rPr>
          <w:bCs/>
          <w:i/>
          <w:lang w:val="en-US"/>
        </w:rPr>
        <w:t>Kontorfunktionærernes</w:t>
      </w:r>
      <w:proofErr w:type="spellEnd"/>
      <w:r w:rsidRPr="00777DC6">
        <w:rPr>
          <w:bCs/>
          <w:i/>
          <w:lang w:val="en-US"/>
        </w:rPr>
        <w:t xml:space="preserve"> </w:t>
      </w:r>
      <w:proofErr w:type="spellStart"/>
      <w:r w:rsidRPr="00777DC6">
        <w:rPr>
          <w:bCs/>
          <w:i/>
          <w:lang w:val="en-US"/>
        </w:rPr>
        <w:t>Forbund</w:t>
      </w:r>
      <w:proofErr w:type="spellEnd"/>
      <w:r w:rsidRPr="00777DC6">
        <w:rPr>
          <w:bCs/>
          <w:i/>
          <w:lang w:val="en-US"/>
        </w:rPr>
        <w:t xml:space="preserve"> </w:t>
      </w:r>
      <w:proofErr w:type="spellStart"/>
      <w:r w:rsidRPr="00777DC6">
        <w:rPr>
          <w:bCs/>
          <w:i/>
          <w:lang w:val="en-US"/>
        </w:rPr>
        <w:t>i</w:t>
      </w:r>
      <w:proofErr w:type="spellEnd"/>
      <w:r w:rsidRPr="00777DC6">
        <w:rPr>
          <w:bCs/>
          <w:i/>
          <w:lang w:val="en-US"/>
        </w:rPr>
        <w:t xml:space="preserve"> </w:t>
      </w:r>
      <w:proofErr w:type="spellStart"/>
      <w:r w:rsidRPr="00777DC6">
        <w:rPr>
          <w:bCs/>
          <w:i/>
          <w:lang w:val="en-US"/>
        </w:rPr>
        <w:t>Danmark</w:t>
      </w:r>
      <w:proofErr w:type="spellEnd"/>
      <w:r w:rsidRPr="00777DC6">
        <w:rPr>
          <w:bCs/>
          <w:lang w:val="en-US"/>
        </w:rPr>
        <w:t xml:space="preserve">, 10 May 2001. </w:t>
      </w:r>
    </w:p>
    <w:p w:rsidR="00777DC6" w:rsidRPr="00777DC6" w:rsidRDefault="00777DC6" w:rsidP="00777DC6">
      <w:pPr>
        <w:numPr>
          <w:ilvl w:val="0"/>
          <w:numId w:val="4"/>
        </w:numPr>
        <w:jc w:val="both"/>
        <w:rPr>
          <w:bCs/>
          <w:i/>
          <w:lang w:val="en-US"/>
        </w:rPr>
      </w:pPr>
      <w:r w:rsidRPr="00777DC6">
        <w:rPr>
          <w:bCs/>
          <w:lang w:val="en-US"/>
        </w:rPr>
        <w:t xml:space="preserve">Opinion of Advocate General </w:t>
      </w:r>
      <w:proofErr w:type="spellStart"/>
      <w:r w:rsidRPr="00777DC6">
        <w:rPr>
          <w:bCs/>
          <w:lang w:val="en-US"/>
        </w:rPr>
        <w:t>Poiares</w:t>
      </w:r>
      <w:proofErr w:type="spellEnd"/>
      <w:r w:rsidRPr="00777DC6">
        <w:rPr>
          <w:bCs/>
          <w:lang w:val="en-US"/>
        </w:rPr>
        <w:t xml:space="preserve"> </w:t>
      </w:r>
      <w:proofErr w:type="spellStart"/>
      <w:r w:rsidRPr="00777DC6">
        <w:rPr>
          <w:bCs/>
          <w:lang w:val="en-US"/>
        </w:rPr>
        <w:t>Maduro</w:t>
      </w:r>
      <w:proofErr w:type="spellEnd"/>
      <w:r w:rsidRPr="00777DC6">
        <w:rPr>
          <w:b/>
          <w:bCs/>
          <w:lang w:val="en-US"/>
        </w:rPr>
        <w:t xml:space="preserve">, </w:t>
      </w:r>
      <w:r w:rsidRPr="00777DC6">
        <w:rPr>
          <w:bCs/>
          <w:i/>
          <w:lang w:val="en-US"/>
        </w:rPr>
        <w:t xml:space="preserve">S. Coleman v. </w:t>
      </w:r>
      <w:proofErr w:type="spellStart"/>
      <w:r w:rsidRPr="00777DC6">
        <w:rPr>
          <w:bCs/>
          <w:i/>
          <w:lang w:val="en-US"/>
        </w:rPr>
        <w:t>Attridge</w:t>
      </w:r>
      <w:proofErr w:type="spellEnd"/>
      <w:r w:rsidRPr="00777DC6">
        <w:rPr>
          <w:bCs/>
          <w:i/>
          <w:lang w:val="en-US"/>
        </w:rPr>
        <w:t xml:space="preserve"> Law and Steve </w:t>
      </w:r>
      <w:r w:rsidRPr="00777DC6">
        <w:rPr>
          <w:bCs/>
          <w:lang w:val="en-US"/>
        </w:rPr>
        <w:t xml:space="preserve">Law, 31 January 2008. </w:t>
      </w:r>
    </w:p>
    <w:p w:rsidR="00777DC6" w:rsidRPr="00777DC6" w:rsidRDefault="00777DC6" w:rsidP="00777DC6">
      <w:pPr>
        <w:jc w:val="both"/>
        <w:rPr>
          <w:bCs/>
          <w:i/>
          <w:lang w:val="en-US"/>
        </w:rPr>
      </w:pPr>
    </w:p>
    <w:p w:rsidR="00777DC6" w:rsidRPr="00777DC6" w:rsidRDefault="00777DC6" w:rsidP="00777DC6">
      <w:pPr>
        <w:jc w:val="both"/>
        <w:rPr>
          <w:u w:val="single"/>
          <w:lang w:val="en-US"/>
        </w:rPr>
      </w:pPr>
      <w:r w:rsidRPr="00777DC6">
        <w:rPr>
          <w:u w:val="single"/>
          <w:lang w:val="en-US"/>
        </w:rPr>
        <w:t xml:space="preserve">The EFTA Court </w:t>
      </w:r>
      <w:r w:rsidR="00A80A0F">
        <w:rPr>
          <w:u w:val="single"/>
          <w:lang w:val="en-US"/>
        </w:rPr>
        <w:t>(European Economic Area)</w:t>
      </w:r>
    </w:p>
    <w:p w:rsidR="00777DC6" w:rsidRPr="00777DC6" w:rsidRDefault="00777DC6" w:rsidP="00777DC6">
      <w:pPr>
        <w:numPr>
          <w:ilvl w:val="0"/>
          <w:numId w:val="4"/>
        </w:numPr>
        <w:jc w:val="both"/>
        <w:rPr>
          <w:u w:val="single"/>
          <w:lang w:val="en-US"/>
        </w:rPr>
      </w:pPr>
      <w:r w:rsidRPr="00777DC6">
        <w:rPr>
          <w:lang w:val="en-US"/>
        </w:rPr>
        <w:t xml:space="preserve">EFTA Court, E-1/02, </w:t>
      </w:r>
      <w:r w:rsidRPr="00777DC6">
        <w:rPr>
          <w:i/>
          <w:lang w:val="en-US"/>
        </w:rPr>
        <w:t>EFTA Surveillance Authority v. Norway</w:t>
      </w:r>
      <w:r w:rsidRPr="00777DC6">
        <w:rPr>
          <w:lang w:val="en-US"/>
        </w:rPr>
        <w:t>, 2003.</w:t>
      </w:r>
    </w:p>
    <w:p w:rsidR="00777DC6" w:rsidRPr="00777DC6" w:rsidRDefault="00777DC6" w:rsidP="00777DC6">
      <w:pPr>
        <w:jc w:val="both"/>
        <w:rPr>
          <w:u w:val="single"/>
          <w:lang w:val="en-US"/>
        </w:rPr>
      </w:pPr>
    </w:p>
    <w:p w:rsidR="00777DC6" w:rsidRPr="00777DC6" w:rsidRDefault="006A2115" w:rsidP="00777DC6">
      <w:pPr>
        <w:jc w:val="both"/>
        <w:rPr>
          <w:u w:val="single"/>
          <w:lang w:val="en-US"/>
        </w:rPr>
      </w:pPr>
      <w:r>
        <w:rPr>
          <w:u w:val="single"/>
          <w:lang w:val="en-US"/>
        </w:rPr>
        <w:t xml:space="preserve">The </w:t>
      </w:r>
      <w:r w:rsidR="00D82AB6">
        <w:rPr>
          <w:u w:val="single"/>
          <w:lang w:val="en-US"/>
        </w:rPr>
        <w:t xml:space="preserve">United States </w:t>
      </w:r>
      <w:r w:rsidR="00777DC6" w:rsidRPr="00777DC6">
        <w:rPr>
          <w:u w:val="single"/>
          <w:lang w:val="en-US"/>
        </w:rPr>
        <w:t>Supreme Court</w:t>
      </w:r>
    </w:p>
    <w:p w:rsidR="00777DC6" w:rsidRPr="00777DC6" w:rsidRDefault="00777DC6" w:rsidP="00777DC6">
      <w:pPr>
        <w:numPr>
          <w:ilvl w:val="0"/>
          <w:numId w:val="29"/>
        </w:numPr>
        <w:jc w:val="both"/>
        <w:rPr>
          <w:bCs/>
          <w:lang w:val="en-US"/>
        </w:rPr>
      </w:pPr>
      <w:r w:rsidRPr="00777DC6">
        <w:rPr>
          <w:bCs/>
          <w:lang w:val="en-US"/>
        </w:rPr>
        <w:t xml:space="preserve">Griggs et al v. Duke Power, 401 U.S. 424 (1971). </w:t>
      </w:r>
    </w:p>
    <w:p w:rsidR="00777DC6" w:rsidRPr="00777DC6" w:rsidRDefault="00777DC6" w:rsidP="00777DC6">
      <w:pPr>
        <w:numPr>
          <w:ilvl w:val="0"/>
          <w:numId w:val="29"/>
        </w:numPr>
        <w:jc w:val="both"/>
        <w:rPr>
          <w:bCs/>
          <w:lang w:val="en-US"/>
        </w:rPr>
      </w:pPr>
      <w:r w:rsidRPr="00777DC6">
        <w:rPr>
          <w:lang w:val="en-US"/>
        </w:rPr>
        <w:t xml:space="preserve">Meritor Savings Bank v. Vinson, 477 U.S. 57 (1986). </w:t>
      </w:r>
    </w:p>
    <w:p w:rsidR="00777DC6" w:rsidRPr="00777DC6" w:rsidRDefault="00777DC6" w:rsidP="00777DC6">
      <w:pPr>
        <w:numPr>
          <w:ilvl w:val="0"/>
          <w:numId w:val="29"/>
        </w:numPr>
        <w:jc w:val="both"/>
        <w:rPr>
          <w:lang w:val="en-US"/>
        </w:rPr>
      </w:pPr>
      <w:r w:rsidRPr="00777DC6">
        <w:rPr>
          <w:lang w:val="en-US"/>
        </w:rPr>
        <w:t xml:space="preserve">Beth Ann </w:t>
      </w:r>
      <w:proofErr w:type="spellStart"/>
      <w:r w:rsidRPr="00777DC6">
        <w:rPr>
          <w:lang w:val="en-US"/>
        </w:rPr>
        <w:t>Faragher</w:t>
      </w:r>
      <w:proofErr w:type="spellEnd"/>
      <w:r w:rsidRPr="00777DC6">
        <w:rPr>
          <w:lang w:val="en-US"/>
        </w:rPr>
        <w:t xml:space="preserve"> v. City of Boca Raton 524 U.S. 775 (1998). </w:t>
      </w:r>
    </w:p>
    <w:p w:rsidR="00777DC6" w:rsidRPr="00777DC6" w:rsidRDefault="00777DC6" w:rsidP="00777DC6">
      <w:pPr>
        <w:numPr>
          <w:ilvl w:val="0"/>
          <w:numId w:val="29"/>
        </w:numPr>
        <w:jc w:val="both"/>
        <w:rPr>
          <w:lang w:val="en-US"/>
        </w:rPr>
      </w:pPr>
      <w:r w:rsidRPr="00777DC6">
        <w:rPr>
          <w:lang w:val="en-US"/>
        </w:rPr>
        <w:t xml:space="preserve">Burlington Industries Inc. v. </w:t>
      </w:r>
      <w:proofErr w:type="spellStart"/>
      <w:r w:rsidRPr="00777DC6">
        <w:rPr>
          <w:lang w:val="en-US"/>
        </w:rPr>
        <w:t>Ellerth</w:t>
      </w:r>
      <w:proofErr w:type="spellEnd"/>
      <w:r w:rsidRPr="00777DC6">
        <w:rPr>
          <w:lang w:val="en-US"/>
        </w:rPr>
        <w:t xml:space="preserve"> 524 U.S. 742 (1998). </w:t>
      </w:r>
    </w:p>
    <w:p w:rsidR="00777DC6" w:rsidRPr="00777DC6" w:rsidRDefault="00777DC6" w:rsidP="00777DC6">
      <w:pPr>
        <w:jc w:val="both"/>
        <w:rPr>
          <w:lang w:val="en-US"/>
        </w:rPr>
      </w:pPr>
    </w:p>
    <w:p w:rsidR="00777DC6" w:rsidRPr="00777DC6" w:rsidRDefault="00311DF4" w:rsidP="00777DC6">
      <w:pPr>
        <w:jc w:val="both"/>
        <w:rPr>
          <w:u w:val="single"/>
          <w:lang w:val="en-US"/>
        </w:rPr>
      </w:pPr>
      <w:r>
        <w:rPr>
          <w:u w:val="single"/>
          <w:lang w:val="en-US"/>
        </w:rPr>
        <w:t xml:space="preserve">The </w:t>
      </w:r>
      <w:r w:rsidR="00777DC6" w:rsidRPr="00777DC6">
        <w:rPr>
          <w:u w:val="single"/>
          <w:lang w:val="en-US"/>
        </w:rPr>
        <w:t>California Court of Appeal</w:t>
      </w:r>
    </w:p>
    <w:p w:rsidR="00777DC6" w:rsidRPr="00777DC6" w:rsidRDefault="00777DC6" w:rsidP="00777DC6">
      <w:pPr>
        <w:numPr>
          <w:ilvl w:val="0"/>
          <w:numId w:val="29"/>
        </w:numPr>
        <w:jc w:val="both"/>
        <w:rPr>
          <w:lang w:val="en-US"/>
        </w:rPr>
      </w:pPr>
      <w:r w:rsidRPr="00777DC6">
        <w:rPr>
          <w:lang w:val="en-US"/>
        </w:rPr>
        <w:t>Weeks v. Baker &amp; McKenzie, 63 Cal. App. 4</w:t>
      </w:r>
      <w:r w:rsidRPr="00777DC6">
        <w:rPr>
          <w:vertAlign w:val="superscript"/>
          <w:lang w:val="en-US"/>
        </w:rPr>
        <w:t>th</w:t>
      </w:r>
      <w:r w:rsidRPr="00777DC6">
        <w:rPr>
          <w:lang w:val="en-US"/>
        </w:rPr>
        <w:t xml:space="preserve"> 1128 (1998).</w:t>
      </w: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A47A2F" w:rsidRDefault="00A47A2F" w:rsidP="00777DC6">
      <w:pPr>
        <w:jc w:val="both"/>
        <w:rPr>
          <w:b/>
          <w:u w:val="single"/>
          <w:lang w:val="en-GB"/>
        </w:rPr>
      </w:pPr>
    </w:p>
    <w:p w:rsidR="00777DC6" w:rsidRPr="00777DC6" w:rsidRDefault="00E82AFF" w:rsidP="00777DC6">
      <w:pPr>
        <w:jc w:val="both"/>
        <w:rPr>
          <w:b/>
          <w:u w:val="single"/>
          <w:lang w:val="en-GB"/>
        </w:rPr>
      </w:pPr>
      <w:r>
        <w:rPr>
          <w:b/>
          <w:u w:val="single"/>
          <w:lang w:val="en-GB"/>
        </w:rPr>
        <w:lastRenderedPageBreak/>
        <w:t>Other Materials P</w:t>
      </w:r>
      <w:r w:rsidR="0033194E">
        <w:rPr>
          <w:b/>
          <w:u w:val="single"/>
          <w:lang w:val="en-GB"/>
        </w:rPr>
        <w:t xml:space="preserve">ublished by </w:t>
      </w:r>
      <w:r w:rsidR="00777DC6" w:rsidRPr="00777DC6">
        <w:rPr>
          <w:b/>
          <w:u w:val="single"/>
          <w:lang w:val="en-GB"/>
        </w:rPr>
        <w:t>Treaty Bodies</w:t>
      </w:r>
    </w:p>
    <w:p w:rsidR="00777DC6" w:rsidRPr="00777DC6" w:rsidRDefault="00777DC6" w:rsidP="00777DC6">
      <w:pPr>
        <w:jc w:val="both"/>
        <w:rPr>
          <w:u w:val="single"/>
          <w:lang w:val="en-GB"/>
        </w:rPr>
      </w:pPr>
      <w:r w:rsidRPr="00777DC6">
        <w:rPr>
          <w:u w:val="single"/>
          <w:lang w:val="en-GB"/>
        </w:rPr>
        <w:t xml:space="preserve">The </w:t>
      </w:r>
      <w:r w:rsidR="00901FEE">
        <w:rPr>
          <w:u w:val="single"/>
          <w:lang w:val="en-GB"/>
        </w:rPr>
        <w:t xml:space="preserve">UN </w:t>
      </w:r>
      <w:r w:rsidRPr="00777DC6">
        <w:rPr>
          <w:u w:val="single"/>
          <w:lang w:val="en-GB"/>
        </w:rPr>
        <w:t xml:space="preserve">Human Rights Committee (International Covenant on Civil and Political Rights) </w:t>
      </w:r>
    </w:p>
    <w:p w:rsidR="00777DC6" w:rsidRPr="00777DC6" w:rsidRDefault="00777DC6" w:rsidP="00777DC6">
      <w:pPr>
        <w:numPr>
          <w:ilvl w:val="0"/>
          <w:numId w:val="4"/>
        </w:numPr>
        <w:jc w:val="both"/>
        <w:rPr>
          <w:b/>
          <w:lang w:val="en-GB"/>
        </w:rPr>
      </w:pPr>
      <w:r w:rsidRPr="00777DC6">
        <w:rPr>
          <w:lang w:val="en-GB"/>
        </w:rPr>
        <w:t xml:space="preserve">ICCPR General Comment no. 18 on Non-Discrimination (1989). </w:t>
      </w:r>
    </w:p>
    <w:p w:rsidR="00777DC6" w:rsidRPr="00777DC6" w:rsidRDefault="00777DC6" w:rsidP="00777DC6">
      <w:pPr>
        <w:jc w:val="both"/>
        <w:rPr>
          <w:lang w:val="en-GB"/>
        </w:rPr>
      </w:pPr>
    </w:p>
    <w:p w:rsidR="00777DC6" w:rsidRPr="00777DC6" w:rsidRDefault="00901FEE" w:rsidP="00777DC6">
      <w:pPr>
        <w:jc w:val="both"/>
        <w:rPr>
          <w:u w:val="single"/>
          <w:lang w:val="en-GB"/>
        </w:rPr>
      </w:pPr>
      <w:r>
        <w:rPr>
          <w:u w:val="single"/>
          <w:lang w:val="en-GB"/>
        </w:rPr>
        <w:t xml:space="preserve">The UN </w:t>
      </w:r>
      <w:r w:rsidR="00777DC6" w:rsidRPr="00777DC6">
        <w:rPr>
          <w:u w:val="single"/>
          <w:lang w:val="en-GB"/>
        </w:rPr>
        <w:t>Committee on Econom</w:t>
      </w:r>
      <w:r w:rsidR="000F19CE">
        <w:rPr>
          <w:u w:val="single"/>
          <w:lang w:val="en-GB"/>
        </w:rPr>
        <w:t>ic, Social and Cultural Rights</w:t>
      </w:r>
    </w:p>
    <w:p w:rsidR="00777DC6" w:rsidRPr="00777DC6" w:rsidRDefault="00777DC6" w:rsidP="00777DC6">
      <w:pPr>
        <w:numPr>
          <w:ilvl w:val="0"/>
          <w:numId w:val="4"/>
        </w:numPr>
        <w:jc w:val="both"/>
        <w:rPr>
          <w:lang w:val="en-GB"/>
        </w:rPr>
      </w:pPr>
      <w:r w:rsidRPr="00777DC6">
        <w:rPr>
          <w:lang w:val="en-GB"/>
        </w:rPr>
        <w:t xml:space="preserve">CESCR General Comment no. 20 on </w:t>
      </w:r>
      <w:proofErr w:type="spellStart"/>
      <w:r w:rsidRPr="00777DC6">
        <w:rPr>
          <w:lang w:val="en-GB"/>
        </w:rPr>
        <w:t>non discrimination</w:t>
      </w:r>
      <w:proofErr w:type="spellEnd"/>
      <w:r w:rsidRPr="00777DC6">
        <w:rPr>
          <w:lang w:val="en-GB"/>
        </w:rPr>
        <w:t xml:space="preserve"> in economic, social and cultural rights (2009). </w:t>
      </w:r>
    </w:p>
    <w:p w:rsidR="00777DC6" w:rsidRPr="00777DC6" w:rsidRDefault="00777DC6" w:rsidP="00777DC6">
      <w:pPr>
        <w:jc w:val="both"/>
        <w:rPr>
          <w:b/>
          <w:lang w:val="en-GB"/>
        </w:rPr>
      </w:pPr>
    </w:p>
    <w:p w:rsidR="00777DC6" w:rsidRPr="00777DC6" w:rsidRDefault="00777DC6" w:rsidP="00777DC6">
      <w:pPr>
        <w:jc w:val="both"/>
        <w:rPr>
          <w:u w:val="single"/>
          <w:lang w:val="en-GB"/>
        </w:rPr>
      </w:pPr>
      <w:r w:rsidRPr="00777DC6">
        <w:rPr>
          <w:u w:val="single"/>
          <w:lang w:val="en-GB"/>
        </w:rPr>
        <w:t>The</w:t>
      </w:r>
      <w:r w:rsidR="00901FEE">
        <w:rPr>
          <w:u w:val="single"/>
          <w:lang w:val="en-GB"/>
        </w:rPr>
        <w:t xml:space="preserve"> UN</w:t>
      </w:r>
      <w:r w:rsidRPr="00777DC6">
        <w:rPr>
          <w:u w:val="single"/>
          <w:lang w:val="en-GB"/>
        </w:rPr>
        <w:t xml:space="preserve"> Committee on the Elimination of Discrimination against Women</w:t>
      </w:r>
    </w:p>
    <w:p w:rsidR="00777DC6" w:rsidRPr="00777DC6" w:rsidRDefault="00777DC6" w:rsidP="00777DC6">
      <w:pPr>
        <w:numPr>
          <w:ilvl w:val="0"/>
          <w:numId w:val="4"/>
        </w:numPr>
        <w:jc w:val="both"/>
        <w:rPr>
          <w:b/>
          <w:lang w:val="en-GB"/>
        </w:rPr>
      </w:pPr>
      <w:r w:rsidRPr="00777DC6">
        <w:rPr>
          <w:lang w:val="en-GB"/>
        </w:rPr>
        <w:t xml:space="preserve">CEDAW General Recommendation no. 12 on violence against women (1989). </w:t>
      </w:r>
    </w:p>
    <w:p w:rsidR="00777DC6" w:rsidRPr="00777DC6" w:rsidRDefault="00777DC6" w:rsidP="00777DC6">
      <w:pPr>
        <w:numPr>
          <w:ilvl w:val="0"/>
          <w:numId w:val="4"/>
        </w:numPr>
        <w:jc w:val="both"/>
        <w:rPr>
          <w:b/>
          <w:lang w:val="en-GB"/>
        </w:rPr>
      </w:pPr>
      <w:r w:rsidRPr="00777DC6">
        <w:rPr>
          <w:lang w:val="en-GB"/>
        </w:rPr>
        <w:t xml:space="preserve">CEDAW General Recommendation no. 13 on equal remuneration for work of equal value (1989). </w:t>
      </w:r>
    </w:p>
    <w:p w:rsidR="00777DC6" w:rsidRPr="00777DC6" w:rsidRDefault="00777DC6" w:rsidP="00777DC6">
      <w:pPr>
        <w:numPr>
          <w:ilvl w:val="0"/>
          <w:numId w:val="4"/>
        </w:numPr>
        <w:jc w:val="both"/>
        <w:rPr>
          <w:lang w:val="en-GB"/>
        </w:rPr>
      </w:pPr>
      <w:r w:rsidRPr="00777DC6">
        <w:rPr>
          <w:lang w:val="en-GB"/>
        </w:rPr>
        <w:t xml:space="preserve">CEDAW General Recommendation no. 19 on violence against women (1992). </w:t>
      </w:r>
    </w:p>
    <w:p w:rsidR="00777DC6" w:rsidRPr="00777DC6" w:rsidRDefault="00777DC6" w:rsidP="00777DC6">
      <w:pPr>
        <w:numPr>
          <w:ilvl w:val="0"/>
          <w:numId w:val="4"/>
        </w:numPr>
        <w:jc w:val="both"/>
        <w:rPr>
          <w:lang w:val="en-GB"/>
        </w:rPr>
      </w:pPr>
      <w:r w:rsidRPr="00777DC6">
        <w:rPr>
          <w:lang w:val="en-GB"/>
        </w:rPr>
        <w:t xml:space="preserve">CEDAW General Recommendation no. 23 on </w:t>
      </w:r>
      <w:r w:rsidRPr="00777DC6">
        <w:rPr>
          <w:lang w:val="en-US"/>
        </w:rPr>
        <w:t xml:space="preserve">women in political and public life (1997). </w:t>
      </w:r>
    </w:p>
    <w:p w:rsidR="00777DC6" w:rsidRPr="00777DC6" w:rsidRDefault="00777DC6" w:rsidP="00777DC6">
      <w:pPr>
        <w:numPr>
          <w:ilvl w:val="0"/>
          <w:numId w:val="4"/>
        </w:numPr>
        <w:jc w:val="both"/>
        <w:rPr>
          <w:lang w:val="en-GB"/>
        </w:rPr>
      </w:pPr>
      <w:r w:rsidRPr="00777DC6">
        <w:rPr>
          <w:lang w:val="en-GB"/>
        </w:rPr>
        <w:t xml:space="preserve">CEDAW General Recommendation no. 25 on temporary special measures (2004). </w:t>
      </w:r>
    </w:p>
    <w:p w:rsidR="00777DC6" w:rsidRPr="00777DC6" w:rsidRDefault="00777DC6" w:rsidP="00777DC6">
      <w:pPr>
        <w:numPr>
          <w:ilvl w:val="0"/>
          <w:numId w:val="4"/>
        </w:numPr>
        <w:jc w:val="both"/>
        <w:rPr>
          <w:b/>
          <w:lang w:val="en-GB"/>
        </w:rPr>
      </w:pPr>
      <w:r w:rsidRPr="00777DC6">
        <w:rPr>
          <w:lang w:val="en-GB"/>
        </w:rPr>
        <w:t xml:space="preserve">CEDAW General Recommendation no. 28 on the core obligations of state parties under the Convention on the Elimination of All Forms of Discrimination against Women (2010). </w:t>
      </w:r>
    </w:p>
    <w:p w:rsidR="00777DC6" w:rsidRPr="00777DC6" w:rsidRDefault="00777DC6" w:rsidP="00777DC6">
      <w:pPr>
        <w:numPr>
          <w:ilvl w:val="0"/>
          <w:numId w:val="4"/>
        </w:numPr>
        <w:jc w:val="both"/>
        <w:rPr>
          <w:lang w:val="en-GB"/>
        </w:rPr>
      </w:pPr>
      <w:r w:rsidRPr="00777DC6">
        <w:rPr>
          <w:lang w:val="en-GB"/>
        </w:rPr>
        <w:t xml:space="preserve">CEDAW, Report by the Secretariat on the Committee’s approach to article 4, paragraph 1 of the Convention, CEDAW/C/2001/II/5 (2001). </w:t>
      </w:r>
    </w:p>
    <w:p w:rsidR="00777DC6" w:rsidRPr="00777DC6" w:rsidRDefault="00777DC6" w:rsidP="00777DC6">
      <w:pPr>
        <w:numPr>
          <w:ilvl w:val="0"/>
          <w:numId w:val="4"/>
        </w:numPr>
        <w:jc w:val="both"/>
        <w:rPr>
          <w:lang w:val="it-IT"/>
        </w:rPr>
      </w:pPr>
      <w:r w:rsidRPr="00777DC6">
        <w:rPr>
          <w:lang w:val="it-IT"/>
        </w:rPr>
        <w:t xml:space="preserve">CEDAW CO Albania, CEDAW/C/ALB/CO/3 (2010). </w:t>
      </w:r>
    </w:p>
    <w:p w:rsidR="00777DC6" w:rsidRPr="00777DC6" w:rsidRDefault="00777DC6" w:rsidP="00777DC6">
      <w:pPr>
        <w:numPr>
          <w:ilvl w:val="0"/>
          <w:numId w:val="4"/>
        </w:numPr>
        <w:jc w:val="both"/>
        <w:rPr>
          <w:lang w:val="it-IT"/>
        </w:rPr>
      </w:pPr>
      <w:r w:rsidRPr="00777DC6">
        <w:rPr>
          <w:lang w:val="it-IT"/>
        </w:rPr>
        <w:t xml:space="preserve">CEDAW CO Algeria, CEDAW/C/DZA/CO/3-4 (2012). </w:t>
      </w:r>
    </w:p>
    <w:p w:rsidR="00777DC6" w:rsidRPr="00777DC6" w:rsidRDefault="00777DC6" w:rsidP="00777DC6">
      <w:pPr>
        <w:numPr>
          <w:ilvl w:val="0"/>
          <w:numId w:val="4"/>
        </w:numPr>
        <w:jc w:val="both"/>
        <w:rPr>
          <w:lang w:val="en-US"/>
        </w:rPr>
      </w:pPr>
      <w:r w:rsidRPr="00777DC6">
        <w:rPr>
          <w:lang w:val="en-US"/>
        </w:rPr>
        <w:t xml:space="preserve">CEDAW CO Antigua and Barbuda, A/52/38/Rev. 1 (1997). </w:t>
      </w:r>
    </w:p>
    <w:p w:rsidR="00777DC6" w:rsidRPr="00777DC6" w:rsidRDefault="00777DC6" w:rsidP="00777DC6">
      <w:pPr>
        <w:numPr>
          <w:ilvl w:val="0"/>
          <w:numId w:val="4"/>
        </w:numPr>
        <w:jc w:val="both"/>
        <w:rPr>
          <w:lang w:val="en-US"/>
        </w:rPr>
      </w:pPr>
      <w:r w:rsidRPr="00777DC6">
        <w:rPr>
          <w:lang w:val="en-US"/>
        </w:rPr>
        <w:t xml:space="preserve">CEDAW CO Armenia, CEDAW/C/ARM/CO/4/Rev.1 (2009). </w:t>
      </w:r>
    </w:p>
    <w:p w:rsidR="00777DC6" w:rsidRPr="00777DC6" w:rsidRDefault="00777DC6" w:rsidP="00777DC6">
      <w:pPr>
        <w:numPr>
          <w:ilvl w:val="0"/>
          <w:numId w:val="4"/>
        </w:numPr>
        <w:jc w:val="both"/>
        <w:rPr>
          <w:lang w:val="en-US"/>
        </w:rPr>
      </w:pPr>
      <w:r w:rsidRPr="00777DC6">
        <w:rPr>
          <w:lang w:val="en-US"/>
        </w:rPr>
        <w:t xml:space="preserve">CEDAW CO Australia, A/52/38/Rev. 1 (1997). </w:t>
      </w:r>
    </w:p>
    <w:p w:rsidR="00777DC6" w:rsidRPr="00777DC6" w:rsidRDefault="00777DC6" w:rsidP="00777DC6">
      <w:pPr>
        <w:numPr>
          <w:ilvl w:val="0"/>
          <w:numId w:val="4"/>
        </w:numPr>
        <w:jc w:val="both"/>
        <w:rPr>
          <w:lang w:val="en-US"/>
        </w:rPr>
      </w:pPr>
      <w:r w:rsidRPr="00777DC6">
        <w:rPr>
          <w:lang w:val="en-US"/>
        </w:rPr>
        <w:t xml:space="preserve">CEDAW CO Austria, A/55/38 (2000). </w:t>
      </w:r>
    </w:p>
    <w:p w:rsidR="00777DC6" w:rsidRPr="00777DC6" w:rsidRDefault="00777DC6" w:rsidP="00777DC6">
      <w:pPr>
        <w:numPr>
          <w:ilvl w:val="0"/>
          <w:numId w:val="4"/>
        </w:numPr>
        <w:jc w:val="both"/>
        <w:rPr>
          <w:lang w:val="en-US"/>
        </w:rPr>
      </w:pPr>
      <w:r w:rsidRPr="00777DC6">
        <w:rPr>
          <w:lang w:val="en-US"/>
        </w:rPr>
        <w:t xml:space="preserve">CEDAW CO Austria, </w:t>
      </w:r>
      <w:r w:rsidRPr="00777DC6">
        <w:rPr>
          <w:lang w:val="en-GB"/>
        </w:rPr>
        <w:t xml:space="preserve">CEDAW/C/AUT/CO7-8 (2013). </w:t>
      </w:r>
    </w:p>
    <w:p w:rsidR="00777DC6" w:rsidRPr="00777DC6" w:rsidRDefault="00777DC6" w:rsidP="00777DC6">
      <w:pPr>
        <w:numPr>
          <w:ilvl w:val="0"/>
          <w:numId w:val="4"/>
        </w:numPr>
        <w:jc w:val="both"/>
        <w:rPr>
          <w:lang w:val="it-IT"/>
        </w:rPr>
      </w:pPr>
      <w:r w:rsidRPr="00777DC6">
        <w:rPr>
          <w:lang w:val="it-IT"/>
        </w:rPr>
        <w:t xml:space="preserve">CEDAW CO Armenia, A/52/38/Rev.1 (1997). </w:t>
      </w:r>
    </w:p>
    <w:p w:rsidR="00777DC6" w:rsidRPr="00777DC6" w:rsidRDefault="00777DC6" w:rsidP="00777DC6">
      <w:pPr>
        <w:numPr>
          <w:ilvl w:val="0"/>
          <w:numId w:val="4"/>
        </w:numPr>
        <w:jc w:val="both"/>
        <w:rPr>
          <w:lang w:val="en-US"/>
        </w:rPr>
      </w:pPr>
      <w:r w:rsidRPr="00777DC6">
        <w:rPr>
          <w:lang w:val="en-US"/>
        </w:rPr>
        <w:lastRenderedPageBreak/>
        <w:t>CEDAW CO Bangladesh,</w:t>
      </w:r>
      <w:r w:rsidRPr="00777DC6">
        <w:t xml:space="preserve"> </w:t>
      </w:r>
      <w:r w:rsidRPr="00777DC6">
        <w:rPr>
          <w:lang w:val="en-US"/>
        </w:rPr>
        <w:t xml:space="preserve">A/59/38 (2004). </w:t>
      </w:r>
    </w:p>
    <w:p w:rsidR="00777DC6" w:rsidRPr="00777DC6" w:rsidRDefault="00777DC6" w:rsidP="00777DC6">
      <w:pPr>
        <w:numPr>
          <w:ilvl w:val="0"/>
          <w:numId w:val="4"/>
        </w:numPr>
        <w:jc w:val="both"/>
        <w:rPr>
          <w:lang w:val="en-US"/>
        </w:rPr>
      </w:pPr>
      <w:r w:rsidRPr="00777DC6">
        <w:rPr>
          <w:lang w:val="en-US"/>
        </w:rPr>
        <w:t xml:space="preserve">CEDAW CO Belarus, CEDAW/C/BLR/CO/7 (2011). </w:t>
      </w:r>
    </w:p>
    <w:p w:rsidR="00777DC6" w:rsidRPr="00777DC6" w:rsidRDefault="00777DC6" w:rsidP="00777DC6">
      <w:pPr>
        <w:numPr>
          <w:ilvl w:val="0"/>
          <w:numId w:val="4"/>
        </w:numPr>
        <w:jc w:val="both"/>
        <w:rPr>
          <w:lang w:val="en-US"/>
        </w:rPr>
      </w:pPr>
      <w:r w:rsidRPr="00777DC6">
        <w:rPr>
          <w:lang w:val="en-US"/>
        </w:rPr>
        <w:t xml:space="preserve">CEDAW CO Belize, A/54/38/Rev. 1 (1999). </w:t>
      </w:r>
    </w:p>
    <w:p w:rsidR="00777DC6" w:rsidRPr="00777DC6" w:rsidRDefault="00777DC6" w:rsidP="00777DC6">
      <w:pPr>
        <w:numPr>
          <w:ilvl w:val="0"/>
          <w:numId w:val="4"/>
        </w:numPr>
        <w:jc w:val="both"/>
        <w:rPr>
          <w:lang w:val="en-US"/>
        </w:rPr>
      </w:pPr>
      <w:r w:rsidRPr="00777DC6">
        <w:rPr>
          <w:lang w:val="en-US"/>
        </w:rPr>
        <w:t>CEDAW CO Canada, A/58/38 (2003).</w:t>
      </w:r>
    </w:p>
    <w:p w:rsidR="00777DC6" w:rsidRPr="00777DC6" w:rsidRDefault="00777DC6" w:rsidP="00777DC6">
      <w:pPr>
        <w:numPr>
          <w:ilvl w:val="0"/>
          <w:numId w:val="4"/>
        </w:numPr>
        <w:jc w:val="both"/>
        <w:rPr>
          <w:lang w:val="en-US"/>
        </w:rPr>
      </w:pPr>
      <w:r w:rsidRPr="00777DC6">
        <w:rPr>
          <w:lang w:val="en-US"/>
        </w:rPr>
        <w:t>CEDAW CO Canada, CEDAW/C/CAN/CO/7 (2008).</w:t>
      </w:r>
    </w:p>
    <w:p w:rsidR="00777DC6" w:rsidRPr="00777DC6" w:rsidRDefault="00777DC6" w:rsidP="00777DC6">
      <w:pPr>
        <w:numPr>
          <w:ilvl w:val="0"/>
          <w:numId w:val="4"/>
        </w:numPr>
        <w:jc w:val="both"/>
        <w:rPr>
          <w:lang w:val="en-US"/>
        </w:rPr>
      </w:pPr>
      <w:r w:rsidRPr="00777DC6">
        <w:rPr>
          <w:lang w:val="en-US"/>
        </w:rPr>
        <w:t xml:space="preserve">CEDAW CO Croatia, A/53/38 (1998). </w:t>
      </w:r>
    </w:p>
    <w:p w:rsidR="00777DC6" w:rsidRPr="00777DC6" w:rsidRDefault="00777DC6" w:rsidP="00777DC6">
      <w:pPr>
        <w:numPr>
          <w:ilvl w:val="0"/>
          <w:numId w:val="4"/>
        </w:numPr>
        <w:jc w:val="both"/>
        <w:rPr>
          <w:lang w:val="en-US"/>
        </w:rPr>
      </w:pPr>
      <w:r w:rsidRPr="00777DC6">
        <w:rPr>
          <w:lang w:val="en-US"/>
        </w:rPr>
        <w:t xml:space="preserve">CEDAW CO Columbia, A/54/38/Rev. 1 (1999). </w:t>
      </w:r>
    </w:p>
    <w:p w:rsidR="00777DC6" w:rsidRPr="00777DC6" w:rsidRDefault="00777DC6" w:rsidP="00777DC6">
      <w:pPr>
        <w:numPr>
          <w:ilvl w:val="0"/>
          <w:numId w:val="4"/>
        </w:numPr>
        <w:jc w:val="both"/>
        <w:rPr>
          <w:lang w:val="en-US"/>
        </w:rPr>
      </w:pPr>
      <w:r w:rsidRPr="00777DC6">
        <w:rPr>
          <w:lang w:val="en-US"/>
        </w:rPr>
        <w:t xml:space="preserve">CEDAW CO Cuba, A/55/38 (2000). </w:t>
      </w:r>
    </w:p>
    <w:p w:rsidR="00777DC6" w:rsidRPr="00777DC6" w:rsidRDefault="00777DC6" w:rsidP="00777DC6">
      <w:pPr>
        <w:numPr>
          <w:ilvl w:val="0"/>
          <w:numId w:val="4"/>
        </w:numPr>
        <w:jc w:val="both"/>
        <w:rPr>
          <w:lang w:val="en-US"/>
        </w:rPr>
      </w:pPr>
      <w:r w:rsidRPr="00777DC6">
        <w:rPr>
          <w:lang w:val="en-US"/>
        </w:rPr>
        <w:t xml:space="preserve">CEDAW CO Cyprus, A/61/38 (2006). </w:t>
      </w:r>
    </w:p>
    <w:p w:rsidR="00777DC6" w:rsidRPr="00777DC6" w:rsidRDefault="00777DC6" w:rsidP="00777DC6">
      <w:pPr>
        <w:numPr>
          <w:ilvl w:val="0"/>
          <w:numId w:val="4"/>
        </w:numPr>
        <w:jc w:val="both"/>
        <w:rPr>
          <w:lang w:val="en-US"/>
        </w:rPr>
      </w:pPr>
      <w:r w:rsidRPr="00777DC6">
        <w:rPr>
          <w:lang w:val="en-US"/>
        </w:rPr>
        <w:t xml:space="preserve">CEDAW CO Czech Republic, A/53/38/Rev.1 (1998). </w:t>
      </w:r>
    </w:p>
    <w:p w:rsidR="00777DC6" w:rsidRDefault="00777DC6" w:rsidP="00777DC6">
      <w:pPr>
        <w:numPr>
          <w:ilvl w:val="0"/>
          <w:numId w:val="4"/>
        </w:numPr>
        <w:jc w:val="both"/>
        <w:rPr>
          <w:lang w:val="en-US"/>
        </w:rPr>
      </w:pPr>
      <w:r w:rsidRPr="00777DC6">
        <w:rPr>
          <w:lang w:val="en-US"/>
        </w:rPr>
        <w:t xml:space="preserve">CEDAW CO Czech Republic, A/57/38 (2002). </w:t>
      </w:r>
    </w:p>
    <w:p w:rsidR="00485E69" w:rsidRPr="00777DC6" w:rsidRDefault="00485E69" w:rsidP="00777DC6">
      <w:pPr>
        <w:numPr>
          <w:ilvl w:val="0"/>
          <w:numId w:val="4"/>
        </w:numPr>
        <w:jc w:val="both"/>
        <w:rPr>
          <w:lang w:val="en-US"/>
        </w:rPr>
      </w:pPr>
      <w:r>
        <w:rPr>
          <w:lang w:val="en-US"/>
        </w:rPr>
        <w:t>CEDAW CO Czech Republic,</w:t>
      </w:r>
      <w:r w:rsidRPr="007D658A">
        <w:rPr>
          <w:lang w:val="en-US"/>
        </w:rPr>
        <w:t xml:space="preserve"> </w:t>
      </w:r>
      <w:r w:rsidRPr="00485E69">
        <w:rPr>
          <w:lang w:val="en-US"/>
        </w:rPr>
        <w:t>CEDAW/C/CZE/CO/3</w:t>
      </w:r>
      <w:r>
        <w:rPr>
          <w:lang w:val="en-US"/>
        </w:rPr>
        <w:t xml:space="preserve"> (2006).</w:t>
      </w:r>
    </w:p>
    <w:p w:rsidR="00777DC6" w:rsidRPr="00777DC6" w:rsidRDefault="00777DC6" w:rsidP="00777DC6">
      <w:pPr>
        <w:numPr>
          <w:ilvl w:val="0"/>
          <w:numId w:val="4"/>
        </w:numPr>
        <w:jc w:val="both"/>
        <w:rPr>
          <w:lang w:val="en-US"/>
        </w:rPr>
      </w:pPr>
      <w:r w:rsidRPr="00777DC6">
        <w:rPr>
          <w:lang w:val="en-US"/>
        </w:rPr>
        <w:t xml:space="preserve">CEDAW CO Denmark, A/57/38 (2002). </w:t>
      </w:r>
    </w:p>
    <w:p w:rsidR="00777DC6" w:rsidRPr="00777DC6" w:rsidRDefault="00777DC6" w:rsidP="00777DC6">
      <w:pPr>
        <w:numPr>
          <w:ilvl w:val="0"/>
          <w:numId w:val="4"/>
        </w:numPr>
        <w:jc w:val="both"/>
        <w:rPr>
          <w:lang w:val="en-US"/>
        </w:rPr>
      </w:pPr>
      <w:r w:rsidRPr="00777DC6">
        <w:rPr>
          <w:lang w:val="en-US"/>
        </w:rPr>
        <w:t xml:space="preserve">CEDAW CO Dominican Republic, A/59/38 (2004). </w:t>
      </w:r>
    </w:p>
    <w:p w:rsidR="00777DC6" w:rsidRPr="00777DC6" w:rsidRDefault="00777DC6" w:rsidP="00777DC6">
      <w:pPr>
        <w:numPr>
          <w:ilvl w:val="0"/>
          <w:numId w:val="4"/>
        </w:numPr>
        <w:jc w:val="both"/>
        <w:rPr>
          <w:lang w:val="en-US"/>
        </w:rPr>
      </w:pPr>
      <w:r w:rsidRPr="00777DC6">
        <w:rPr>
          <w:lang w:val="en-US"/>
        </w:rPr>
        <w:t xml:space="preserve">CEDAW CO Democratic People’s Republic of Korea, CEDAW/C/PRK/CO/1 (2005). </w:t>
      </w:r>
    </w:p>
    <w:p w:rsidR="00777DC6" w:rsidRPr="00777DC6" w:rsidRDefault="00777DC6" w:rsidP="00777DC6">
      <w:pPr>
        <w:numPr>
          <w:ilvl w:val="0"/>
          <w:numId w:val="4"/>
        </w:numPr>
        <w:jc w:val="both"/>
        <w:rPr>
          <w:lang w:val="en-US"/>
        </w:rPr>
      </w:pPr>
      <w:r w:rsidRPr="00777DC6">
        <w:rPr>
          <w:lang w:val="en-US"/>
        </w:rPr>
        <w:t xml:space="preserve">CEDAW CO Democratic Republic of the Congo, A/55/38 (2000).  </w:t>
      </w:r>
    </w:p>
    <w:p w:rsidR="00777DC6" w:rsidRPr="00777DC6" w:rsidRDefault="00777DC6" w:rsidP="00777DC6">
      <w:pPr>
        <w:numPr>
          <w:ilvl w:val="0"/>
          <w:numId w:val="4"/>
        </w:numPr>
        <w:jc w:val="both"/>
        <w:rPr>
          <w:lang w:val="en-US"/>
        </w:rPr>
      </w:pPr>
      <w:r w:rsidRPr="00777DC6">
        <w:rPr>
          <w:lang w:val="en-US"/>
        </w:rPr>
        <w:t xml:space="preserve">CEDAW CO Estonia, A/57/38 (2002). </w:t>
      </w:r>
    </w:p>
    <w:p w:rsidR="00777DC6" w:rsidRPr="00777DC6" w:rsidRDefault="00777DC6" w:rsidP="00777DC6">
      <w:pPr>
        <w:numPr>
          <w:ilvl w:val="0"/>
          <w:numId w:val="4"/>
        </w:numPr>
        <w:jc w:val="both"/>
        <w:rPr>
          <w:lang w:val="en-US"/>
        </w:rPr>
      </w:pPr>
      <w:r w:rsidRPr="00777DC6">
        <w:rPr>
          <w:lang w:val="en-US"/>
        </w:rPr>
        <w:t xml:space="preserve">CEDAW CO Fiji, A/57/38 (2002). </w:t>
      </w:r>
    </w:p>
    <w:p w:rsidR="00777DC6" w:rsidRPr="00777DC6" w:rsidRDefault="00777DC6" w:rsidP="00777DC6">
      <w:pPr>
        <w:numPr>
          <w:ilvl w:val="0"/>
          <w:numId w:val="4"/>
        </w:numPr>
        <w:jc w:val="both"/>
        <w:rPr>
          <w:lang w:val="en-US"/>
        </w:rPr>
      </w:pPr>
      <w:r w:rsidRPr="00777DC6">
        <w:rPr>
          <w:lang w:val="en-US"/>
        </w:rPr>
        <w:t>CEDAW CO Finland, A/56/38 (2001).</w:t>
      </w:r>
    </w:p>
    <w:p w:rsidR="00777DC6" w:rsidRPr="00777DC6" w:rsidRDefault="00777DC6" w:rsidP="00777DC6">
      <w:pPr>
        <w:numPr>
          <w:ilvl w:val="0"/>
          <w:numId w:val="4"/>
        </w:numPr>
        <w:jc w:val="both"/>
        <w:rPr>
          <w:lang w:val="en-US"/>
        </w:rPr>
      </w:pPr>
      <w:r w:rsidRPr="00777DC6">
        <w:rPr>
          <w:lang w:val="en-US"/>
        </w:rPr>
        <w:t xml:space="preserve">CEDAW CO Finland, CEDAW/C/FIN/CO/6 (2008). </w:t>
      </w:r>
    </w:p>
    <w:p w:rsidR="00777DC6" w:rsidRPr="00777DC6" w:rsidRDefault="00777DC6" w:rsidP="00777DC6">
      <w:pPr>
        <w:numPr>
          <w:ilvl w:val="0"/>
          <w:numId w:val="4"/>
        </w:numPr>
        <w:jc w:val="both"/>
        <w:rPr>
          <w:lang w:val="en-US"/>
        </w:rPr>
      </w:pPr>
      <w:r w:rsidRPr="00777DC6">
        <w:rPr>
          <w:lang w:val="en-US"/>
        </w:rPr>
        <w:t xml:space="preserve">CEDAW CO France, A/58/38 (2003). </w:t>
      </w:r>
    </w:p>
    <w:p w:rsidR="00777DC6" w:rsidRPr="00777DC6" w:rsidRDefault="00777DC6" w:rsidP="00777DC6">
      <w:pPr>
        <w:numPr>
          <w:ilvl w:val="0"/>
          <w:numId w:val="4"/>
        </w:numPr>
        <w:jc w:val="both"/>
        <w:rPr>
          <w:lang w:val="en-US"/>
        </w:rPr>
      </w:pPr>
      <w:r w:rsidRPr="00777DC6">
        <w:rPr>
          <w:lang w:val="en-US"/>
        </w:rPr>
        <w:t xml:space="preserve">CEDAW CO Germany, A/55/38 (2000). </w:t>
      </w:r>
    </w:p>
    <w:p w:rsidR="00777DC6" w:rsidRPr="00777DC6" w:rsidRDefault="00777DC6" w:rsidP="00777DC6">
      <w:pPr>
        <w:numPr>
          <w:ilvl w:val="0"/>
          <w:numId w:val="4"/>
        </w:numPr>
        <w:jc w:val="both"/>
        <w:rPr>
          <w:lang w:val="en-US"/>
        </w:rPr>
      </w:pPr>
      <w:r w:rsidRPr="00777DC6">
        <w:rPr>
          <w:lang w:val="en-US"/>
        </w:rPr>
        <w:t xml:space="preserve">CEDAW CO Germany, A/59/38 (2004). </w:t>
      </w:r>
    </w:p>
    <w:p w:rsidR="00777DC6" w:rsidRPr="00777DC6" w:rsidRDefault="00777DC6" w:rsidP="00777DC6">
      <w:pPr>
        <w:numPr>
          <w:ilvl w:val="0"/>
          <w:numId w:val="4"/>
        </w:numPr>
        <w:jc w:val="both"/>
        <w:rPr>
          <w:lang w:val="en-US"/>
        </w:rPr>
      </w:pPr>
      <w:r w:rsidRPr="00777DC6">
        <w:rPr>
          <w:lang w:val="en-US"/>
        </w:rPr>
        <w:t xml:space="preserve">CEDAW CO Grenada, CEDAW/C/GRD/CO/1-5 (2012). </w:t>
      </w:r>
    </w:p>
    <w:p w:rsidR="00777DC6" w:rsidRPr="00777DC6" w:rsidRDefault="00777DC6" w:rsidP="00777DC6">
      <w:pPr>
        <w:numPr>
          <w:ilvl w:val="0"/>
          <w:numId w:val="4"/>
        </w:numPr>
        <w:jc w:val="both"/>
        <w:rPr>
          <w:lang w:val="en-US"/>
        </w:rPr>
      </w:pPr>
      <w:r w:rsidRPr="00777DC6">
        <w:rPr>
          <w:lang w:val="en-US"/>
        </w:rPr>
        <w:t>CEDAW CO Greece, A/57/38 (2002).</w:t>
      </w:r>
    </w:p>
    <w:p w:rsidR="00777DC6" w:rsidRPr="00777DC6" w:rsidRDefault="00777DC6" w:rsidP="00777DC6">
      <w:pPr>
        <w:numPr>
          <w:ilvl w:val="0"/>
          <w:numId w:val="4"/>
        </w:numPr>
        <w:jc w:val="both"/>
        <w:rPr>
          <w:lang w:val="en-US"/>
        </w:rPr>
      </w:pPr>
      <w:r w:rsidRPr="00777DC6">
        <w:rPr>
          <w:lang w:val="en-US"/>
        </w:rPr>
        <w:t xml:space="preserve">CEDAW CO Greece, </w:t>
      </w:r>
      <w:r w:rsidRPr="00777DC6">
        <w:rPr>
          <w:lang w:val="en-GB"/>
        </w:rPr>
        <w:t xml:space="preserve">CEDAW/C/GRC/CO/7 (2013). </w:t>
      </w:r>
    </w:p>
    <w:p w:rsidR="00777DC6" w:rsidRPr="00777DC6" w:rsidRDefault="00777DC6" w:rsidP="00777DC6">
      <w:pPr>
        <w:numPr>
          <w:ilvl w:val="0"/>
          <w:numId w:val="4"/>
        </w:numPr>
        <w:jc w:val="both"/>
        <w:rPr>
          <w:lang w:val="en-US"/>
        </w:rPr>
      </w:pPr>
      <w:r w:rsidRPr="00777DC6">
        <w:rPr>
          <w:lang w:val="en-US"/>
        </w:rPr>
        <w:t xml:space="preserve">CEDAW CO Guyana, A/56/38 (2001). </w:t>
      </w:r>
    </w:p>
    <w:p w:rsidR="00777DC6" w:rsidRPr="00777DC6" w:rsidRDefault="00777DC6" w:rsidP="00777DC6">
      <w:pPr>
        <w:numPr>
          <w:ilvl w:val="0"/>
          <w:numId w:val="4"/>
        </w:numPr>
        <w:jc w:val="both"/>
        <w:rPr>
          <w:lang w:val="en-US"/>
        </w:rPr>
      </w:pPr>
      <w:r w:rsidRPr="00777DC6">
        <w:rPr>
          <w:lang w:val="en-US"/>
        </w:rPr>
        <w:lastRenderedPageBreak/>
        <w:t xml:space="preserve">CEDAW CO Hungary, A/57/38 (2002). </w:t>
      </w:r>
    </w:p>
    <w:p w:rsidR="00777DC6" w:rsidRPr="00777DC6" w:rsidRDefault="00777DC6" w:rsidP="00777DC6">
      <w:pPr>
        <w:numPr>
          <w:ilvl w:val="0"/>
          <w:numId w:val="4"/>
        </w:numPr>
        <w:jc w:val="both"/>
        <w:rPr>
          <w:lang w:val="en-US"/>
        </w:rPr>
      </w:pPr>
      <w:r w:rsidRPr="00777DC6">
        <w:rPr>
          <w:lang w:val="en-US"/>
        </w:rPr>
        <w:t xml:space="preserve">CEDAW CO Iceland, A/51/38 (1996). </w:t>
      </w:r>
    </w:p>
    <w:p w:rsidR="00777DC6" w:rsidRPr="00777DC6" w:rsidRDefault="00777DC6" w:rsidP="00777DC6">
      <w:pPr>
        <w:numPr>
          <w:ilvl w:val="0"/>
          <w:numId w:val="4"/>
        </w:numPr>
        <w:jc w:val="both"/>
        <w:rPr>
          <w:lang w:val="en-US"/>
        </w:rPr>
      </w:pPr>
      <w:r w:rsidRPr="00777DC6">
        <w:rPr>
          <w:lang w:val="en-US"/>
        </w:rPr>
        <w:t xml:space="preserve">CEDAW CO Iraq, A/55/38 (2000). </w:t>
      </w:r>
    </w:p>
    <w:p w:rsidR="00777DC6" w:rsidRPr="00777DC6" w:rsidRDefault="00777DC6" w:rsidP="00777DC6">
      <w:pPr>
        <w:numPr>
          <w:ilvl w:val="0"/>
          <w:numId w:val="4"/>
        </w:numPr>
        <w:jc w:val="both"/>
        <w:rPr>
          <w:lang w:val="en-US"/>
        </w:rPr>
      </w:pPr>
      <w:r w:rsidRPr="00777DC6">
        <w:rPr>
          <w:lang w:val="en-US"/>
        </w:rPr>
        <w:t xml:space="preserve">CEDAW CO Italy, CEDAW/C/ITA/CC/4-5 (2005). </w:t>
      </w:r>
    </w:p>
    <w:p w:rsidR="00777DC6" w:rsidRPr="00777DC6" w:rsidRDefault="00777DC6" w:rsidP="00777DC6">
      <w:pPr>
        <w:numPr>
          <w:ilvl w:val="0"/>
          <w:numId w:val="4"/>
        </w:numPr>
        <w:jc w:val="both"/>
        <w:rPr>
          <w:lang w:val="en-US"/>
        </w:rPr>
      </w:pPr>
      <w:r w:rsidRPr="00777DC6">
        <w:rPr>
          <w:lang w:val="en-US"/>
        </w:rPr>
        <w:t>CEDAW CO Italy, CEDAW/C/ITA/CO/6 (2011).</w:t>
      </w:r>
    </w:p>
    <w:p w:rsidR="00777DC6" w:rsidRPr="00777DC6" w:rsidRDefault="00777DC6" w:rsidP="00777DC6">
      <w:pPr>
        <w:numPr>
          <w:ilvl w:val="0"/>
          <w:numId w:val="4"/>
        </w:numPr>
        <w:jc w:val="both"/>
        <w:rPr>
          <w:lang w:val="en-US"/>
        </w:rPr>
      </w:pPr>
      <w:r w:rsidRPr="00777DC6">
        <w:rPr>
          <w:lang w:val="en-US"/>
        </w:rPr>
        <w:t xml:space="preserve">CEDAW CO Jamaica, CEDAW/C/JAM/CO/6-7 (2012). </w:t>
      </w:r>
    </w:p>
    <w:p w:rsidR="00777DC6" w:rsidRPr="00777DC6" w:rsidRDefault="00777DC6" w:rsidP="00777DC6">
      <w:pPr>
        <w:numPr>
          <w:ilvl w:val="0"/>
          <w:numId w:val="4"/>
        </w:numPr>
        <w:jc w:val="both"/>
        <w:rPr>
          <w:lang w:val="en-US"/>
        </w:rPr>
      </w:pPr>
      <w:r w:rsidRPr="00777DC6">
        <w:rPr>
          <w:lang w:val="en-US"/>
        </w:rPr>
        <w:t xml:space="preserve">CEDAW CO Japan, CEDAW/C/JNP/CO/6 (2009). </w:t>
      </w:r>
    </w:p>
    <w:p w:rsidR="00777DC6" w:rsidRPr="00777DC6" w:rsidRDefault="00777DC6" w:rsidP="00777DC6">
      <w:pPr>
        <w:numPr>
          <w:ilvl w:val="0"/>
          <w:numId w:val="4"/>
        </w:numPr>
        <w:jc w:val="both"/>
        <w:rPr>
          <w:lang w:val="en-US"/>
        </w:rPr>
      </w:pPr>
      <w:r w:rsidRPr="00777DC6">
        <w:rPr>
          <w:lang w:val="en-US"/>
        </w:rPr>
        <w:t xml:space="preserve">CEDAW CO Jordan, A/55/38 (2000).  </w:t>
      </w:r>
    </w:p>
    <w:p w:rsidR="00777DC6" w:rsidRPr="00777DC6" w:rsidRDefault="00777DC6" w:rsidP="00777DC6">
      <w:pPr>
        <w:numPr>
          <w:ilvl w:val="0"/>
          <w:numId w:val="4"/>
        </w:numPr>
        <w:jc w:val="both"/>
        <w:rPr>
          <w:lang w:val="en-US"/>
        </w:rPr>
      </w:pPr>
      <w:r w:rsidRPr="00777DC6">
        <w:rPr>
          <w:lang w:val="en-US"/>
        </w:rPr>
        <w:t xml:space="preserve">CEDAW CO Jordan, CEDAW/C/JOR/CO/5 (2012). </w:t>
      </w:r>
    </w:p>
    <w:p w:rsidR="00777DC6" w:rsidRPr="00777DC6" w:rsidRDefault="00777DC6" w:rsidP="00777DC6">
      <w:pPr>
        <w:numPr>
          <w:ilvl w:val="0"/>
          <w:numId w:val="4"/>
        </w:numPr>
        <w:jc w:val="both"/>
        <w:rPr>
          <w:lang w:val="en-US"/>
        </w:rPr>
      </w:pPr>
      <w:r w:rsidRPr="00777DC6">
        <w:rPr>
          <w:lang w:val="en-US"/>
        </w:rPr>
        <w:t xml:space="preserve">CEDAW CO Kazakhstan, A/56/38 (2001). </w:t>
      </w:r>
    </w:p>
    <w:p w:rsidR="00777DC6" w:rsidRPr="00777DC6" w:rsidRDefault="00777DC6" w:rsidP="00777DC6">
      <w:pPr>
        <w:numPr>
          <w:ilvl w:val="0"/>
          <w:numId w:val="4"/>
        </w:numPr>
        <w:jc w:val="both"/>
        <w:rPr>
          <w:lang w:val="en-US"/>
        </w:rPr>
      </w:pPr>
      <w:r w:rsidRPr="00777DC6">
        <w:rPr>
          <w:lang w:val="en-US"/>
        </w:rPr>
        <w:t xml:space="preserve">CEDAW CO Kuwait, A/59/38 (2004). </w:t>
      </w:r>
    </w:p>
    <w:p w:rsidR="00777DC6" w:rsidRPr="00777DC6" w:rsidRDefault="00777DC6" w:rsidP="00777DC6">
      <w:pPr>
        <w:numPr>
          <w:ilvl w:val="0"/>
          <w:numId w:val="4"/>
        </w:numPr>
        <w:jc w:val="both"/>
        <w:rPr>
          <w:lang w:val="en-US"/>
        </w:rPr>
      </w:pPr>
      <w:r w:rsidRPr="00777DC6">
        <w:rPr>
          <w:lang w:val="en-US"/>
        </w:rPr>
        <w:t>CEDAW CO Kuwait, CEDAW/C/KWT/CO/3-4 (2011).</w:t>
      </w:r>
    </w:p>
    <w:p w:rsidR="00777DC6" w:rsidRPr="00777DC6" w:rsidRDefault="00777DC6" w:rsidP="00777DC6">
      <w:pPr>
        <w:numPr>
          <w:ilvl w:val="0"/>
          <w:numId w:val="4"/>
        </w:numPr>
        <w:jc w:val="both"/>
      </w:pPr>
      <w:r w:rsidRPr="00777DC6">
        <w:rPr>
          <w:lang w:val="en-US"/>
        </w:rPr>
        <w:t xml:space="preserve">CEDAW CO Kyrgyzstan, A/54/38 (1999).  </w:t>
      </w:r>
    </w:p>
    <w:p w:rsidR="00777DC6" w:rsidRPr="00777DC6" w:rsidRDefault="00777DC6" w:rsidP="00777DC6">
      <w:pPr>
        <w:numPr>
          <w:ilvl w:val="0"/>
          <w:numId w:val="4"/>
        </w:numPr>
        <w:jc w:val="both"/>
        <w:rPr>
          <w:lang w:val="en-US"/>
        </w:rPr>
      </w:pPr>
      <w:r w:rsidRPr="00777DC6">
        <w:rPr>
          <w:lang w:val="en-US"/>
        </w:rPr>
        <w:t xml:space="preserve">CEDAW CO Liechtenstein, A/54/38/Rev.1 (1999). </w:t>
      </w:r>
    </w:p>
    <w:p w:rsidR="00777DC6" w:rsidRPr="00777DC6" w:rsidRDefault="00777DC6" w:rsidP="00777DC6">
      <w:pPr>
        <w:numPr>
          <w:ilvl w:val="0"/>
          <w:numId w:val="4"/>
        </w:numPr>
        <w:jc w:val="both"/>
        <w:rPr>
          <w:lang w:val="en-US"/>
        </w:rPr>
      </w:pPr>
      <w:r w:rsidRPr="00777DC6">
        <w:rPr>
          <w:lang w:val="en-US"/>
        </w:rPr>
        <w:t xml:space="preserve">CEDAW CO Luxembourg, A/55/38 (2000). </w:t>
      </w:r>
    </w:p>
    <w:p w:rsidR="00777DC6" w:rsidRPr="00777DC6" w:rsidRDefault="00777DC6" w:rsidP="00777DC6">
      <w:pPr>
        <w:numPr>
          <w:ilvl w:val="0"/>
          <w:numId w:val="4"/>
        </w:numPr>
        <w:jc w:val="both"/>
        <w:rPr>
          <w:lang w:val="en-US"/>
        </w:rPr>
      </w:pPr>
      <w:r w:rsidRPr="00777DC6">
        <w:rPr>
          <w:lang w:val="en-US"/>
        </w:rPr>
        <w:t xml:space="preserve">CEDAW CO Luxembourg, A/58/38 (2003). </w:t>
      </w:r>
    </w:p>
    <w:p w:rsidR="00777DC6" w:rsidRPr="00777DC6" w:rsidRDefault="00777DC6" w:rsidP="00777DC6">
      <w:pPr>
        <w:numPr>
          <w:ilvl w:val="0"/>
          <w:numId w:val="4"/>
        </w:numPr>
        <w:jc w:val="both"/>
        <w:rPr>
          <w:lang w:val="en-US"/>
        </w:rPr>
      </w:pPr>
      <w:r w:rsidRPr="00777DC6">
        <w:rPr>
          <w:lang w:val="en-US"/>
        </w:rPr>
        <w:t xml:space="preserve">CEDAW CO Luxembourg, CEDAW/C/LUX/CO/5 (2008). </w:t>
      </w:r>
    </w:p>
    <w:p w:rsidR="00777DC6" w:rsidRPr="00777DC6" w:rsidRDefault="00777DC6" w:rsidP="00777DC6">
      <w:pPr>
        <w:numPr>
          <w:ilvl w:val="0"/>
          <w:numId w:val="4"/>
        </w:numPr>
        <w:jc w:val="both"/>
        <w:rPr>
          <w:lang w:val="en-US"/>
        </w:rPr>
      </w:pPr>
      <w:r w:rsidRPr="00777DC6">
        <w:rPr>
          <w:lang w:val="en-US"/>
        </w:rPr>
        <w:t xml:space="preserve">CEDAW CO Malta, A/59/38 (2004). </w:t>
      </w:r>
    </w:p>
    <w:p w:rsidR="00777DC6" w:rsidRPr="00777DC6" w:rsidRDefault="00777DC6" w:rsidP="00777DC6">
      <w:pPr>
        <w:numPr>
          <w:ilvl w:val="0"/>
          <w:numId w:val="4"/>
        </w:numPr>
        <w:jc w:val="both"/>
        <w:rPr>
          <w:lang w:val="en-US"/>
        </w:rPr>
      </w:pPr>
      <w:r w:rsidRPr="00777DC6">
        <w:rPr>
          <w:lang w:val="en-US"/>
        </w:rPr>
        <w:t>CEDAW CO Mexico, A/53/38 (1998).</w:t>
      </w:r>
    </w:p>
    <w:p w:rsidR="00777DC6" w:rsidRPr="00777DC6" w:rsidRDefault="00777DC6" w:rsidP="00777DC6">
      <w:pPr>
        <w:numPr>
          <w:ilvl w:val="0"/>
          <w:numId w:val="4"/>
        </w:numPr>
        <w:jc w:val="both"/>
        <w:rPr>
          <w:lang w:val="en-US"/>
        </w:rPr>
      </w:pPr>
      <w:r w:rsidRPr="00777DC6">
        <w:rPr>
          <w:lang w:val="en-US"/>
        </w:rPr>
        <w:t xml:space="preserve">CEDAW CO Mexico, A/57/38 (2002). </w:t>
      </w:r>
    </w:p>
    <w:p w:rsidR="00777DC6" w:rsidRPr="00777DC6" w:rsidRDefault="00777DC6" w:rsidP="00777DC6">
      <w:pPr>
        <w:numPr>
          <w:ilvl w:val="0"/>
          <w:numId w:val="4"/>
        </w:numPr>
        <w:jc w:val="both"/>
        <w:rPr>
          <w:lang w:val="en-US"/>
        </w:rPr>
      </w:pPr>
      <w:r w:rsidRPr="00777DC6">
        <w:rPr>
          <w:lang w:val="en-US"/>
        </w:rPr>
        <w:t xml:space="preserve">CEDAW CO Mexico, CEDAW/C/MEX/CO/7-8 (2012). </w:t>
      </w:r>
    </w:p>
    <w:p w:rsidR="00777DC6" w:rsidRPr="00777DC6" w:rsidRDefault="00777DC6" w:rsidP="00777DC6">
      <w:pPr>
        <w:numPr>
          <w:ilvl w:val="0"/>
          <w:numId w:val="4"/>
        </w:numPr>
        <w:jc w:val="both"/>
        <w:rPr>
          <w:lang w:val="en-US"/>
        </w:rPr>
      </w:pPr>
      <w:r w:rsidRPr="00777DC6">
        <w:rPr>
          <w:lang w:val="en-US"/>
        </w:rPr>
        <w:t xml:space="preserve">CEDAW CO Mongolia, CEDAW/C/MNG/CO/7 (2008). </w:t>
      </w:r>
    </w:p>
    <w:p w:rsidR="00777DC6" w:rsidRPr="00777DC6" w:rsidRDefault="00777DC6" w:rsidP="00777DC6">
      <w:pPr>
        <w:numPr>
          <w:ilvl w:val="0"/>
          <w:numId w:val="4"/>
        </w:numPr>
        <w:jc w:val="both"/>
        <w:rPr>
          <w:lang w:val="en-US"/>
        </w:rPr>
      </w:pPr>
      <w:r w:rsidRPr="00777DC6">
        <w:rPr>
          <w:lang w:val="en-US"/>
        </w:rPr>
        <w:t xml:space="preserve">CEDAW CO Montenegro, CEDAW/C/MNE/CO/1 (2011). </w:t>
      </w:r>
    </w:p>
    <w:p w:rsidR="00777DC6" w:rsidRPr="00777DC6" w:rsidRDefault="00777DC6" w:rsidP="00777DC6">
      <w:pPr>
        <w:numPr>
          <w:ilvl w:val="0"/>
          <w:numId w:val="4"/>
        </w:numPr>
        <w:jc w:val="both"/>
        <w:rPr>
          <w:lang w:val="en-US"/>
        </w:rPr>
      </w:pPr>
      <w:r w:rsidRPr="00777DC6">
        <w:rPr>
          <w:lang w:val="en-US"/>
        </w:rPr>
        <w:t xml:space="preserve">CEDAW CO Myanmar, CEDAW/C/MMR/CO/3 (2008). </w:t>
      </w:r>
    </w:p>
    <w:p w:rsidR="00777DC6" w:rsidRPr="00777DC6" w:rsidRDefault="00777DC6" w:rsidP="00777DC6">
      <w:pPr>
        <w:numPr>
          <w:ilvl w:val="0"/>
          <w:numId w:val="4"/>
        </w:numPr>
        <w:jc w:val="both"/>
        <w:rPr>
          <w:lang w:val="en-US"/>
        </w:rPr>
      </w:pPr>
      <w:r w:rsidRPr="00777DC6">
        <w:rPr>
          <w:lang w:val="en-US"/>
        </w:rPr>
        <w:t xml:space="preserve">CEDAW CO Netherlands, A/56/38 (2001). </w:t>
      </w:r>
    </w:p>
    <w:p w:rsidR="00777DC6" w:rsidRPr="00777DC6" w:rsidRDefault="00777DC6" w:rsidP="00777DC6">
      <w:pPr>
        <w:numPr>
          <w:ilvl w:val="0"/>
          <w:numId w:val="4"/>
        </w:numPr>
        <w:jc w:val="both"/>
        <w:rPr>
          <w:lang w:val="en-US"/>
        </w:rPr>
      </w:pPr>
      <w:r w:rsidRPr="00777DC6">
        <w:rPr>
          <w:lang w:val="en-US"/>
        </w:rPr>
        <w:t>CEDAW CO Netherlands, CEDAW/C/NLD/CO/5 (2010).</w:t>
      </w:r>
    </w:p>
    <w:p w:rsidR="00777DC6" w:rsidRPr="00777DC6" w:rsidRDefault="00777DC6" w:rsidP="00777DC6">
      <w:pPr>
        <w:numPr>
          <w:ilvl w:val="0"/>
          <w:numId w:val="4"/>
        </w:numPr>
        <w:jc w:val="both"/>
        <w:rPr>
          <w:lang w:val="en-US"/>
        </w:rPr>
      </w:pPr>
      <w:r w:rsidRPr="00777DC6">
        <w:rPr>
          <w:lang w:val="en-US"/>
        </w:rPr>
        <w:t xml:space="preserve">CEDAW CO New Zealand, A/53/38 (1998).  </w:t>
      </w:r>
    </w:p>
    <w:p w:rsidR="00777DC6" w:rsidRPr="00777DC6" w:rsidRDefault="00777DC6" w:rsidP="00777DC6">
      <w:pPr>
        <w:numPr>
          <w:ilvl w:val="0"/>
          <w:numId w:val="4"/>
        </w:numPr>
        <w:jc w:val="both"/>
        <w:rPr>
          <w:lang w:val="en-US"/>
        </w:rPr>
      </w:pPr>
      <w:r w:rsidRPr="00777DC6">
        <w:rPr>
          <w:lang w:val="en-US"/>
        </w:rPr>
        <w:lastRenderedPageBreak/>
        <w:t xml:space="preserve">CEDAW CO New Zealand, A/58/38 (2003). </w:t>
      </w:r>
    </w:p>
    <w:p w:rsidR="00777DC6" w:rsidRPr="00777DC6" w:rsidRDefault="00777DC6" w:rsidP="00777DC6">
      <w:pPr>
        <w:numPr>
          <w:ilvl w:val="0"/>
          <w:numId w:val="4"/>
        </w:numPr>
        <w:jc w:val="both"/>
        <w:rPr>
          <w:lang w:val="en-US"/>
        </w:rPr>
      </w:pPr>
      <w:r w:rsidRPr="00777DC6">
        <w:rPr>
          <w:lang w:val="en-US"/>
        </w:rPr>
        <w:t xml:space="preserve">CEDAW CO New Zealand, CEDAW/C/NZL/CO/7 (2012). </w:t>
      </w:r>
    </w:p>
    <w:p w:rsidR="00777DC6" w:rsidRPr="00777DC6" w:rsidRDefault="00777DC6" w:rsidP="00777DC6">
      <w:pPr>
        <w:numPr>
          <w:ilvl w:val="0"/>
          <w:numId w:val="4"/>
        </w:numPr>
        <w:jc w:val="both"/>
        <w:rPr>
          <w:lang w:val="en-US"/>
        </w:rPr>
      </w:pPr>
      <w:r w:rsidRPr="00777DC6">
        <w:rPr>
          <w:lang w:val="en-US"/>
        </w:rPr>
        <w:t xml:space="preserve">CEDAW CO Nicaragua, A/56/38 (2001). </w:t>
      </w:r>
    </w:p>
    <w:p w:rsidR="00777DC6" w:rsidRPr="00777DC6" w:rsidRDefault="00777DC6" w:rsidP="00777DC6">
      <w:pPr>
        <w:numPr>
          <w:ilvl w:val="0"/>
          <w:numId w:val="4"/>
        </w:numPr>
        <w:jc w:val="both"/>
        <w:rPr>
          <w:lang w:val="en-US"/>
        </w:rPr>
      </w:pPr>
      <w:r w:rsidRPr="00777DC6">
        <w:rPr>
          <w:lang w:val="en-US"/>
        </w:rPr>
        <w:t xml:space="preserve">CEDAW CO Norway, A/58/38 (2003). </w:t>
      </w:r>
    </w:p>
    <w:p w:rsidR="00777DC6" w:rsidRPr="00777DC6" w:rsidRDefault="00777DC6" w:rsidP="00777DC6">
      <w:pPr>
        <w:numPr>
          <w:ilvl w:val="0"/>
          <w:numId w:val="4"/>
        </w:numPr>
        <w:jc w:val="both"/>
        <w:rPr>
          <w:lang w:val="en-US"/>
        </w:rPr>
      </w:pPr>
      <w:r w:rsidRPr="00777DC6">
        <w:rPr>
          <w:lang w:val="en-US"/>
        </w:rPr>
        <w:t xml:space="preserve">CEDAW CO Norway, CEDAW/C/NOR/CO/8 (2012). </w:t>
      </w:r>
    </w:p>
    <w:p w:rsidR="00777DC6" w:rsidRPr="00777DC6" w:rsidRDefault="00777DC6" w:rsidP="00777DC6">
      <w:pPr>
        <w:numPr>
          <w:ilvl w:val="0"/>
          <w:numId w:val="4"/>
        </w:numPr>
        <w:jc w:val="both"/>
        <w:rPr>
          <w:lang w:val="en-US"/>
        </w:rPr>
      </w:pPr>
      <w:r w:rsidRPr="00777DC6">
        <w:rPr>
          <w:lang w:val="en-US"/>
        </w:rPr>
        <w:t xml:space="preserve">CEDAW CO Portugal, A/57/38 (2002). </w:t>
      </w:r>
    </w:p>
    <w:p w:rsidR="00777DC6" w:rsidRPr="00777DC6" w:rsidRDefault="00777DC6" w:rsidP="00777DC6">
      <w:pPr>
        <w:numPr>
          <w:ilvl w:val="0"/>
          <w:numId w:val="4"/>
        </w:numPr>
        <w:jc w:val="both"/>
        <w:rPr>
          <w:lang w:val="en-US"/>
        </w:rPr>
      </w:pPr>
      <w:r w:rsidRPr="00777DC6">
        <w:rPr>
          <w:lang w:val="en-US"/>
        </w:rPr>
        <w:t xml:space="preserve">CEDAW CO Republic of Korea, A/42/38 (1987). </w:t>
      </w:r>
    </w:p>
    <w:p w:rsidR="00777DC6" w:rsidRPr="00777DC6" w:rsidRDefault="00777DC6" w:rsidP="00777DC6">
      <w:pPr>
        <w:numPr>
          <w:ilvl w:val="0"/>
          <w:numId w:val="4"/>
        </w:numPr>
        <w:jc w:val="both"/>
        <w:rPr>
          <w:lang w:val="en-US"/>
        </w:rPr>
      </w:pPr>
      <w:r w:rsidRPr="00777DC6">
        <w:rPr>
          <w:lang w:val="en-US"/>
        </w:rPr>
        <w:t xml:space="preserve">CEDAW CO Republic of Korea, A/53/38/Rev. 1 (1998). </w:t>
      </w:r>
    </w:p>
    <w:p w:rsidR="00777DC6" w:rsidRPr="00777DC6" w:rsidRDefault="00777DC6" w:rsidP="00777DC6">
      <w:pPr>
        <w:numPr>
          <w:ilvl w:val="0"/>
          <w:numId w:val="4"/>
        </w:numPr>
        <w:jc w:val="both"/>
        <w:rPr>
          <w:lang w:val="en-US"/>
        </w:rPr>
      </w:pPr>
      <w:r w:rsidRPr="00777DC6">
        <w:rPr>
          <w:lang w:val="en-US"/>
        </w:rPr>
        <w:t xml:space="preserve">CEDAW CO Republic of Moldova, A/55/38 (2000). </w:t>
      </w:r>
    </w:p>
    <w:p w:rsidR="00777DC6" w:rsidRPr="00777DC6" w:rsidRDefault="00777DC6" w:rsidP="00777DC6">
      <w:pPr>
        <w:numPr>
          <w:ilvl w:val="0"/>
          <w:numId w:val="4"/>
        </w:numPr>
        <w:jc w:val="both"/>
        <w:rPr>
          <w:lang w:val="en-US"/>
        </w:rPr>
      </w:pPr>
      <w:r w:rsidRPr="00777DC6">
        <w:rPr>
          <w:lang w:val="en-US"/>
        </w:rPr>
        <w:t xml:space="preserve">CEDAW CO Russian Federation, CEDAW/C/USR/CO/7 (2010). </w:t>
      </w:r>
    </w:p>
    <w:p w:rsidR="00777DC6" w:rsidRPr="00777DC6" w:rsidRDefault="00777DC6" w:rsidP="00777DC6">
      <w:pPr>
        <w:numPr>
          <w:ilvl w:val="0"/>
          <w:numId w:val="4"/>
        </w:numPr>
        <w:jc w:val="both"/>
        <w:rPr>
          <w:lang w:val="en-US"/>
        </w:rPr>
      </w:pPr>
      <w:r w:rsidRPr="00777DC6">
        <w:rPr>
          <w:lang w:val="en-US"/>
        </w:rPr>
        <w:t xml:space="preserve">CEDAW CO Singapore, CEDAW/C/SGP/CO/4 (2011). </w:t>
      </w:r>
    </w:p>
    <w:p w:rsidR="00777DC6" w:rsidRPr="00777DC6" w:rsidRDefault="00777DC6" w:rsidP="00777DC6">
      <w:pPr>
        <w:numPr>
          <w:ilvl w:val="0"/>
          <w:numId w:val="4"/>
        </w:numPr>
        <w:jc w:val="both"/>
        <w:rPr>
          <w:lang w:val="en-US"/>
        </w:rPr>
      </w:pPr>
      <w:r w:rsidRPr="00777DC6">
        <w:rPr>
          <w:lang w:val="en-US"/>
        </w:rPr>
        <w:t xml:space="preserve">CEDAW CO Slovakia, A/53/38 (1998). </w:t>
      </w:r>
    </w:p>
    <w:p w:rsidR="00777DC6" w:rsidRDefault="00777DC6" w:rsidP="00777DC6">
      <w:pPr>
        <w:numPr>
          <w:ilvl w:val="0"/>
          <w:numId w:val="4"/>
        </w:numPr>
        <w:jc w:val="both"/>
        <w:rPr>
          <w:lang w:val="it-IT"/>
        </w:rPr>
      </w:pPr>
      <w:r w:rsidRPr="00777DC6">
        <w:rPr>
          <w:lang w:val="en-US"/>
        </w:rPr>
        <w:t>CEDAW CO S</w:t>
      </w:r>
      <w:r w:rsidRPr="00777DC6">
        <w:rPr>
          <w:lang w:val="it-IT"/>
        </w:rPr>
        <w:t xml:space="preserve">lovenia, A/52/38/Rev. 1 (1997). </w:t>
      </w:r>
    </w:p>
    <w:p w:rsidR="00B254F2" w:rsidRPr="00777DC6" w:rsidRDefault="00B254F2" w:rsidP="00777DC6">
      <w:pPr>
        <w:numPr>
          <w:ilvl w:val="0"/>
          <w:numId w:val="4"/>
        </w:numPr>
        <w:jc w:val="both"/>
        <w:rPr>
          <w:lang w:val="it-IT"/>
        </w:rPr>
      </w:pPr>
      <w:r>
        <w:rPr>
          <w:lang w:val="it-IT"/>
        </w:rPr>
        <w:t xml:space="preserve">CEDAW CO Slovenia, A/58/38 (2003). </w:t>
      </w:r>
    </w:p>
    <w:p w:rsidR="00777DC6" w:rsidRPr="00777DC6" w:rsidRDefault="00777DC6" w:rsidP="00777DC6">
      <w:pPr>
        <w:numPr>
          <w:ilvl w:val="0"/>
          <w:numId w:val="4"/>
        </w:numPr>
        <w:jc w:val="both"/>
        <w:rPr>
          <w:lang w:val="en-US"/>
        </w:rPr>
      </w:pPr>
      <w:r w:rsidRPr="00777DC6">
        <w:rPr>
          <w:lang w:val="en-US"/>
        </w:rPr>
        <w:t xml:space="preserve">CEDAW CO Spain, CEDAW/C/ESP/CO/6 (2009). </w:t>
      </w:r>
    </w:p>
    <w:p w:rsidR="00777DC6" w:rsidRPr="00777DC6" w:rsidRDefault="00777DC6" w:rsidP="00777DC6">
      <w:pPr>
        <w:numPr>
          <w:ilvl w:val="0"/>
          <w:numId w:val="4"/>
        </w:numPr>
        <w:jc w:val="both"/>
        <w:rPr>
          <w:lang w:val="en-US"/>
        </w:rPr>
      </w:pPr>
      <w:r w:rsidRPr="00777DC6">
        <w:rPr>
          <w:lang w:val="en-US"/>
        </w:rPr>
        <w:t xml:space="preserve">CEDAW CO Suriname, A/57/38 (2002). </w:t>
      </w:r>
    </w:p>
    <w:p w:rsidR="00777DC6" w:rsidRPr="00777DC6" w:rsidRDefault="00777DC6" w:rsidP="00777DC6">
      <w:pPr>
        <w:numPr>
          <w:ilvl w:val="0"/>
          <w:numId w:val="4"/>
        </w:numPr>
        <w:jc w:val="both"/>
        <w:rPr>
          <w:lang w:val="en-GB"/>
        </w:rPr>
      </w:pPr>
      <w:r w:rsidRPr="00777DC6">
        <w:rPr>
          <w:lang w:val="en-US"/>
        </w:rPr>
        <w:t>CEDAW CO Switzerland, A/58/38 (2003).</w:t>
      </w:r>
    </w:p>
    <w:p w:rsidR="00777DC6" w:rsidRPr="00777DC6" w:rsidRDefault="00777DC6" w:rsidP="00777DC6">
      <w:pPr>
        <w:numPr>
          <w:ilvl w:val="0"/>
          <w:numId w:val="4"/>
        </w:numPr>
        <w:jc w:val="both"/>
        <w:rPr>
          <w:lang w:val="en-US"/>
        </w:rPr>
      </w:pPr>
      <w:r w:rsidRPr="00777DC6">
        <w:rPr>
          <w:lang w:val="en-US"/>
        </w:rPr>
        <w:t xml:space="preserve">CEDAW CO Switzerland, CEDAW/C/CHE/CO/3 (2009). </w:t>
      </w:r>
    </w:p>
    <w:p w:rsidR="00777DC6" w:rsidRPr="00777DC6" w:rsidRDefault="00777DC6" w:rsidP="00777DC6">
      <w:pPr>
        <w:numPr>
          <w:ilvl w:val="0"/>
          <w:numId w:val="4"/>
        </w:numPr>
        <w:jc w:val="both"/>
        <w:rPr>
          <w:lang w:val="en-US"/>
        </w:rPr>
      </w:pPr>
      <w:r w:rsidRPr="00777DC6">
        <w:rPr>
          <w:lang w:val="en-US"/>
        </w:rPr>
        <w:t xml:space="preserve">CEDAW CO Togo, CEDAW/C/TGO/CO/6-7 (2012). </w:t>
      </w:r>
    </w:p>
    <w:p w:rsidR="00777DC6" w:rsidRPr="00777DC6" w:rsidRDefault="00777DC6" w:rsidP="00777DC6">
      <w:pPr>
        <w:numPr>
          <w:ilvl w:val="0"/>
          <w:numId w:val="4"/>
        </w:numPr>
        <w:jc w:val="both"/>
        <w:rPr>
          <w:lang w:val="en-US"/>
        </w:rPr>
      </w:pPr>
      <w:r w:rsidRPr="00777DC6">
        <w:rPr>
          <w:lang w:val="en-US"/>
        </w:rPr>
        <w:t xml:space="preserve">CEDAW CO Trinidad and Tobago, A/57/38 (2002). </w:t>
      </w:r>
    </w:p>
    <w:p w:rsidR="00777DC6" w:rsidRPr="00777DC6" w:rsidRDefault="00777DC6" w:rsidP="00777DC6">
      <w:pPr>
        <w:numPr>
          <w:ilvl w:val="0"/>
          <w:numId w:val="4"/>
        </w:numPr>
        <w:jc w:val="both"/>
        <w:rPr>
          <w:lang w:val="en-US"/>
        </w:rPr>
      </w:pPr>
      <w:r w:rsidRPr="00777DC6">
        <w:rPr>
          <w:lang w:val="en-US"/>
        </w:rPr>
        <w:t xml:space="preserve">CEDAW CO Tunisia, A/57/38 (2002). </w:t>
      </w:r>
    </w:p>
    <w:p w:rsidR="00777DC6" w:rsidRPr="00777DC6" w:rsidRDefault="00777DC6" w:rsidP="00777DC6">
      <w:pPr>
        <w:numPr>
          <w:ilvl w:val="0"/>
          <w:numId w:val="4"/>
        </w:numPr>
        <w:jc w:val="both"/>
        <w:rPr>
          <w:lang w:val="en-US"/>
        </w:rPr>
      </w:pPr>
      <w:r w:rsidRPr="00777DC6">
        <w:rPr>
          <w:lang w:val="en-US"/>
        </w:rPr>
        <w:t xml:space="preserve">CEDAW CO Turkey, A/60/38 (2005). </w:t>
      </w:r>
    </w:p>
    <w:p w:rsidR="00777DC6" w:rsidRPr="00777DC6" w:rsidRDefault="00777DC6" w:rsidP="00777DC6">
      <w:pPr>
        <w:numPr>
          <w:ilvl w:val="0"/>
          <w:numId w:val="4"/>
        </w:numPr>
        <w:jc w:val="both"/>
        <w:rPr>
          <w:lang w:val="en-US"/>
        </w:rPr>
      </w:pPr>
      <w:r w:rsidRPr="00777DC6">
        <w:rPr>
          <w:lang w:val="en-US"/>
        </w:rPr>
        <w:t xml:space="preserve">CEDAW CO Turkmenistan, CEDAW/C/TKM/CO/3-4 (2012). </w:t>
      </w:r>
    </w:p>
    <w:p w:rsidR="00777DC6" w:rsidRPr="00777DC6" w:rsidRDefault="00777DC6" w:rsidP="00777DC6">
      <w:pPr>
        <w:numPr>
          <w:ilvl w:val="0"/>
          <w:numId w:val="4"/>
        </w:numPr>
        <w:jc w:val="both"/>
        <w:rPr>
          <w:lang w:val="en-US"/>
        </w:rPr>
      </w:pPr>
      <w:r w:rsidRPr="00777DC6">
        <w:rPr>
          <w:lang w:val="en-US"/>
        </w:rPr>
        <w:t xml:space="preserve">CEDAW CO Ukraine, A/51/38 (1996). </w:t>
      </w:r>
    </w:p>
    <w:p w:rsidR="00777DC6" w:rsidRPr="00777DC6" w:rsidRDefault="00777DC6" w:rsidP="00777DC6">
      <w:pPr>
        <w:numPr>
          <w:ilvl w:val="0"/>
          <w:numId w:val="4"/>
        </w:numPr>
        <w:jc w:val="both"/>
        <w:rPr>
          <w:lang w:val="en-US"/>
        </w:rPr>
      </w:pPr>
      <w:r w:rsidRPr="00777DC6">
        <w:rPr>
          <w:lang w:val="en-US"/>
        </w:rPr>
        <w:t xml:space="preserve">CEDAW CO Ukraine, A/57/38 (2002). </w:t>
      </w:r>
    </w:p>
    <w:p w:rsidR="00777DC6" w:rsidRPr="00777DC6" w:rsidRDefault="00777DC6" w:rsidP="00777DC6">
      <w:pPr>
        <w:numPr>
          <w:ilvl w:val="0"/>
          <w:numId w:val="4"/>
        </w:numPr>
        <w:jc w:val="both"/>
        <w:rPr>
          <w:lang w:val="en-US"/>
        </w:rPr>
      </w:pPr>
      <w:r w:rsidRPr="00777DC6">
        <w:rPr>
          <w:lang w:val="en-US"/>
        </w:rPr>
        <w:t xml:space="preserve">CEDAW CO Uganda, A/57/38 (2002). </w:t>
      </w:r>
    </w:p>
    <w:p w:rsidR="00C9592B" w:rsidRDefault="00C9592B" w:rsidP="00777DC6">
      <w:pPr>
        <w:jc w:val="both"/>
        <w:rPr>
          <w:b/>
          <w:lang w:val="en-GB"/>
        </w:rPr>
      </w:pPr>
    </w:p>
    <w:p w:rsidR="00777DC6" w:rsidRPr="00777DC6" w:rsidRDefault="00777DC6" w:rsidP="00777DC6">
      <w:pPr>
        <w:jc w:val="both"/>
        <w:rPr>
          <w:u w:val="single"/>
          <w:lang w:val="en-GB"/>
        </w:rPr>
      </w:pPr>
      <w:r w:rsidRPr="00777DC6">
        <w:rPr>
          <w:u w:val="single"/>
          <w:lang w:val="en-GB"/>
        </w:rPr>
        <w:lastRenderedPageBreak/>
        <w:t xml:space="preserve">The European Committee of Social Rights </w:t>
      </w:r>
    </w:p>
    <w:p w:rsidR="00777DC6" w:rsidRPr="00777DC6" w:rsidRDefault="00777DC6" w:rsidP="00777DC6">
      <w:pPr>
        <w:numPr>
          <w:ilvl w:val="0"/>
          <w:numId w:val="4"/>
        </w:numPr>
        <w:jc w:val="both"/>
        <w:rPr>
          <w:lang w:val="en-US"/>
        </w:rPr>
      </w:pPr>
      <w:r w:rsidRPr="00777DC6">
        <w:rPr>
          <w:lang w:val="en-US"/>
        </w:rPr>
        <w:t xml:space="preserve">ESC Conclusions VIII, Dissenting Opinion of Mr. F. </w:t>
      </w:r>
      <w:proofErr w:type="spellStart"/>
      <w:r w:rsidRPr="00777DC6">
        <w:rPr>
          <w:lang w:val="en-US"/>
        </w:rPr>
        <w:t>Fabricius</w:t>
      </w:r>
      <w:proofErr w:type="spellEnd"/>
      <w:r w:rsidRPr="00777DC6">
        <w:rPr>
          <w:lang w:val="en-US"/>
        </w:rPr>
        <w:t xml:space="preserve"> (1984).</w:t>
      </w:r>
    </w:p>
    <w:p w:rsidR="00777DC6" w:rsidRPr="00777DC6" w:rsidRDefault="00777DC6" w:rsidP="00777DC6">
      <w:pPr>
        <w:numPr>
          <w:ilvl w:val="0"/>
          <w:numId w:val="4"/>
        </w:numPr>
        <w:jc w:val="both"/>
        <w:rPr>
          <w:lang w:val="en-US"/>
        </w:rPr>
      </w:pPr>
      <w:r w:rsidRPr="00777DC6">
        <w:rPr>
          <w:lang w:val="en-US"/>
        </w:rPr>
        <w:t xml:space="preserve">ESC Conclusions XII-1, Dissenting Opinion of Ms. S. </w:t>
      </w:r>
      <w:proofErr w:type="spellStart"/>
      <w:r w:rsidRPr="00777DC6">
        <w:rPr>
          <w:lang w:val="en-US"/>
        </w:rPr>
        <w:t>Billum</w:t>
      </w:r>
      <w:proofErr w:type="spellEnd"/>
      <w:r w:rsidRPr="00777DC6">
        <w:rPr>
          <w:lang w:val="en-US"/>
        </w:rPr>
        <w:t xml:space="preserve"> </w:t>
      </w:r>
      <w:proofErr w:type="spellStart"/>
      <w:r w:rsidRPr="00777DC6">
        <w:rPr>
          <w:lang w:val="en-US"/>
        </w:rPr>
        <w:t>Stegard</w:t>
      </w:r>
      <w:proofErr w:type="spellEnd"/>
      <w:r w:rsidRPr="00777DC6">
        <w:rPr>
          <w:lang w:val="en-US"/>
        </w:rPr>
        <w:t xml:space="preserve"> (1991-1992). </w:t>
      </w:r>
    </w:p>
    <w:p w:rsidR="00777DC6" w:rsidRPr="00777DC6" w:rsidRDefault="00777DC6" w:rsidP="00777DC6">
      <w:pPr>
        <w:numPr>
          <w:ilvl w:val="0"/>
          <w:numId w:val="4"/>
        </w:numPr>
        <w:jc w:val="both"/>
        <w:rPr>
          <w:lang w:val="en-US"/>
        </w:rPr>
      </w:pPr>
      <w:r w:rsidRPr="00777DC6">
        <w:rPr>
          <w:lang w:val="en-US"/>
        </w:rPr>
        <w:t>ESC Conclusions XIII-2, General Introduction (1995).</w:t>
      </w:r>
    </w:p>
    <w:p w:rsidR="00777DC6" w:rsidRPr="00777DC6" w:rsidRDefault="00777DC6" w:rsidP="00777DC6">
      <w:pPr>
        <w:numPr>
          <w:ilvl w:val="0"/>
          <w:numId w:val="4"/>
        </w:numPr>
        <w:jc w:val="both"/>
        <w:rPr>
          <w:lang w:val="en-US"/>
        </w:rPr>
      </w:pPr>
      <w:r w:rsidRPr="00777DC6">
        <w:rPr>
          <w:lang w:val="en-US"/>
        </w:rPr>
        <w:t xml:space="preserve">ESC Conclusions I, Statement of Interpretation </w:t>
      </w:r>
      <w:proofErr w:type="spellStart"/>
      <w:r w:rsidRPr="00777DC6">
        <w:rPr>
          <w:lang w:val="en-US"/>
        </w:rPr>
        <w:t>on</w:t>
      </w:r>
      <w:proofErr w:type="spellEnd"/>
      <w:r w:rsidRPr="00777DC6">
        <w:rPr>
          <w:lang w:val="en-US"/>
        </w:rPr>
        <w:t xml:space="preserve"> Article 4(3) (1969).</w:t>
      </w:r>
    </w:p>
    <w:p w:rsidR="00777DC6" w:rsidRPr="00777DC6" w:rsidRDefault="00777DC6" w:rsidP="00777DC6">
      <w:pPr>
        <w:numPr>
          <w:ilvl w:val="0"/>
          <w:numId w:val="4"/>
        </w:numPr>
        <w:jc w:val="both"/>
        <w:rPr>
          <w:lang w:val="en-US"/>
        </w:rPr>
      </w:pPr>
      <w:r w:rsidRPr="00777DC6">
        <w:rPr>
          <w:lang w:val="en-US"/>
        </w:rPr>
        <w:t xml:space="preserve">ESC Conclusions II, Statement of Interpretation </w:t>
      </w:r>
      <w:proofErr w:type="spellStart"/>
      <w:r w:rsidRPr="00777DC6">
        <w:rPr>
          <w:lang w:val="en-US"/>
        </w:rPr>
        <w:t>on</w:t>
      </w:r>
      <w:proofErr w:type="spellEnd"/>
      <w:r w:rsidRPr="00777DC6">
        <w:rPr>
          <w:lang w:val="en-US"/>
        </w:rPr>
        <w:t xml:space="preserve"> Article 4(3) (1971). </w:t>
      </w:r>
    </w:p>
    <w:p w:rsidR="00777DC6" w:rsidRPr="00777DC6" w:rsidRDefault="00777DC6" w:rsidP="00777DC6">
      <w:pPr>
        <w:numPr>
          <w:ilvl w:val="0"/>
          <w:numId w:val="4"/>
        </w:numPr>
        <w:jc w:val="both"/>
        <w:rPr>
          <w:lang w:val="en-US"/>
        </w:rPr>
      </w:pPr>
      <w:r w:rsidRPr="00777DC6">
        <w:rPr>
          <w:lang w:val="en-US"/>
        </w:rPr>
        <w:t xml:space="preserve">ESC Conclusions XIX-4, Austria (2011). </w:t>
      </w:r>
    </w:p>
    <w:p w:rsidR="00777DC6" w:rsidRPr="00777DC6" w:rsidRDefault="00777DC6" w:rsidP="00777DC6">
      <w:pPr>
        <w:numPr>
          <w:ilvl w:val="0"/>
          <w:numId w:val="4"/>
        </w:numPr>
        <w:jc w:val="both"/>
        <w:rPr>
          <w:lang w:val="en-US"/>
        </w:rPr>
      </w:pPr>
      <w:r w:rsidRPr="00777DC6">
        <w:rPr>
          <w:lang w:val="en-US"/>
        </w:rPr>
        <w:t xml:space="preserve">ESC Conclusions XIII-1, Cyprus (1991). </w:t>
      </w:r>
    </w:p>
    <w:p w:rsidR="00777DC6" w:rsidRPr="00777DC6" w:rsidRDefault="00777DC6" w:rsidP="00777DC6">
      <w:pPr>
        <w:numPr>
          <w:ilvl w:val="0"/>
          <w:numId w:val="4"/>
        </w:numPr>
        <w:jc w:val="both"/>
        <w:rPr>
          <w:lang w:val="en-US"/>
        </w:rPr>
      </w:pPr>
      <w:r w:rsidRPr="00777DC6">
        <w:rPr>
          <w:lang w:val="en-US"/>
        </w:rPr>
        <w:t xml:space="preserve">ESC Conclusions XVII-2, Czech Republic (2005). </w:t>
      </w:r>
    </w:p>
    <w:p w:rsidR="00777DC6" w:rsidRPr="00777DC6" w:rsidRDefault="00777DC6" w:rsidP="00777DC6">
      <w:pPr>
        <w:numPr>
          <w:ilvl w:val="0"/>
          <w:numId w:val="4"/>
        </w:numPr>
        <w:jc w:val="both"/>
        <w:rPr>
          <w:lang w:val="en-US"/>
        </w:rPr>
      </w:pPr>
      <w:r w:rsidRPr="00777DC6">
        <w:rPr>
          <w:lang w:val="en-US"/>
        </w:rPr>
        <w:t xml:space="preserve">ESC Conclusions XIX-4, Czech Republic (2011). </w:t>
      </w:r>
    </w:p>
    <w:p w:rsidR="00777DC6" w:rsidRPr="00777DC6" w:rsidRDefault="00777DC6" w:rsidP="00777DC6">
      <w:pPr>
        <w:numPr>
          <w:ilvl w:val="0"/>
          <w:numId w:val="4"/>
        </w:numPr>
        <w:jc w:val="both"/>
        <w:rPr>
          <w:lang w:val="en-US"/>
        </w:rPr>
      </w:pPr>
      <w:r w:rsidRPr="00777DC6">
        <w:rPr>
          <w:lang w:val="en-US"/>
        </w:rPr>
        <w:t>ESC Conclusions XIX-4, Denmark (2011).</w:t>
      </w:r>
    </w:p>
    <w:p w:rsidR="00777DC6" w:rsidRPr="00777DC6" w:rsidRDefault="00777DC6" w:rsidP="00777DC6">
      <w:pPr>
        <w:numPr>
          <w:ilvl w:val="0"/>
          <w:numId w:val="4"/>
        </w:numPr>
        <w:jc w:val="both"/>
        <w:rPr>
          <w:lang w:val="en-US"/>
        </w:rPr>
      </w:pPr>
      <w:r w:rsidRPr="00777DC6">
        <w:rPr>
          <w:lang w:val="en-US"/>
        </w:rPr>
        <w:t xml:space="preserve">ESC Conclusions XIII-5, Finland (1997). </w:t>
      </w:r>
    </w:p>
    <w:p w:rsidR="00777DC6" w:rsidRPr="00777DC6" w:rsidRDefault="00777DC6" w:rsidP="00777DC6">
      <w:pPr>
        <w:numPr>
          <w:ilvl w:val="0"/>
          <w:numId w:val="4"/>
        </w:numPr>
        <w:jc w:val="both"/>
        <w:rPr>
          <w:lang w:val="en-US"/>
        </w:rPr>
      </w:pPr>
      <w:r w:rsidRPr="00777DC6">
        <w:rPr>
          <w:lang w:val="en-US"/>
        </w:rPr>
        <w:t xml:space="preserve">ESC Conclusions XIX-4, Germany (2011). </w:t>
      </w:r>
    </w:p>
    <w:p w:rsidR="00777DC6" w:rsidRPr="00777DC6" w:rsidRDefault="00777DC6" w:rsidP="00777DC6">
      <w:pPr>
        <w:numPr>
          <w:ilvl w:val="0"/>
          <w:numId w:val="4"/>
        </w:numPr>
        <w:jc w:val="both"/>
        <w:rPr>
          <w:lang w:val="en-US"/>
        </w:rPr>
      </w:pPr>
      <w:r w:rsidRPr="00777DC6">
        <w:rPr>
          <w:lang w:val="en-US"/>
        </w:rPr>
        <w:t xml:space="preserve">ESC Conclusions XIII-1, Greece (1991). </w:t>
      </w:r>
    </w:p>
    <w:p w:rsidR="00777DC6" w:rsidRPr="00777DC6" w:rsidRDefault="00777DC6" w:rsidP="00777DC6">
      <w:pPr>
        <w:numPr>
          <w:ilvl w:val="0"/>
          <w:numId w:val="4"/>
        </w:numPr>
        <w:jc w:val="both"/>
        <w:rPr>
          <w:lang w:val="en-US"/>
        </w:rPr>
      </w:pPr>
      <w:r w:rsidRPr="00777DC6">
        <w:rPr>
          <w:lang w:val="en-US"/>
        </w:rPr>
        <w:t xml:space="preserve">ESC Conclusions XIX-4, Greece (2011). </w:t>
      </w:r>
    </w:p>
    <w:p w:rsidR="00777DC6" w:rsidRPr="00777DC6" w:rsidRDefault="00777DC6" w:rsidP="00777DC6">
      <w:pPr>
        <w:numPr>
          <w:ilvl w:val="0"/>
          <w:numId w:val="4"/>
        </w:numPr>
        <w:jc w:val="both"/>
        <w:rPr>
          <w:lang w:val="en-US"/>
        </w:rPr>
      </w:pPr>
      <w:r w:rsidRPr="00777DC6">
        <w:rPr>
          <w:lang w:val="en-US"/>
        </w:rPr>
        <w:t xml:space="preserve">ESC Conclusions XVI-2, Hungary (2003). </w:t>
      </w:r>
    </w:p>
    <w:p w:rsidR="00777DC6" w:rsidRPr="00777DC6" w:rsidRDefault="00777DC6" w:rsidP="00777DC6">
      <w:pPr>
        <w:numPr>
          <w:ilvl w:val="0"/>
          <w:numId w:val="4"/>
        </w:numPr>
        <w:jc w:val="both"/>
        <w:rPr>
          <w:lang w:val="en-US"/>
        </w:rPr>
      </w:pPr>
      <w:r w:rsidRPr="00777DC6">
        <w:rPr>
          <w:lang w:val="en-US"/>
        </w:rPr>
        <w:t xml:space="preserve">ESC Conclusions XIII-2, Italy (1995). </w:t>
      </w:r>
    </w:p>
    <w:p w:rsidR="00777DC6" w:rsidRPr="00777DC6" w:rsidRDefault="00777DC6" w:rsidP="00777DC6">
      <w:pPr>
        <w:numPr>
          <w:ilvl w:val="0"/>
          <w:numId w:val="4"/>
        </w:numPr>
        <w:jc w:val="both"/>
        <w:rPr>
          <w:lang w:val="en-US"/>
        </w:rPr>
      </w:pPr>
      <w:r w:rsidRPr="00777DC6">
        <w:rPr>
          <w:lang w:val="en-US"/>
        </w:rPr>
        <w:t xml:space="preserve">ESC Conclusions XVII-2, Latvia (2005). </w:t>
      </w:r>
    </w:p>
    <w:p w:rsidR="00777DC6" w:rsidRPr="00777DC6" w:rsidRDefault="00777DC6" w:rsidP="00777DC6">
      <w:pPr>
        <w:numPr>
          <w:ilvl w:val="0"/>
          <w:numId w:val="4"/>
        </w:numPr>
        <w:jc w:val="both"/>
        <w:rPr>
          <w:lang w:val="en-US"/>
        </w:rPr>
      </w:pPr>
      <w:r w:rsidRPr="00777DC6">
        <w:rPr>
          <w:lang w:val="en-US"/>
        </w:rPr>
        <w:t>ESC Conclusions XIX-4, Latvia (2011).</w:t>
      </w:r>
    </w:p>
    <w:p w:rsidR="00777DC6" w:rsidRPr="00777DC6" w:rsidRDefault="00777DC6" w:rsidP="00777DC6">
      <w:pPr>
        <w:numPr>
          <w:ilvl w:val="0"/>
          <w:numId w:val="4"/>
        </w:numPr>
        <w:jc w:val="both"/>
        <w:rPr>
          <w:lang w:val="en-US"/>
        </w:rPr>
      </w:pPr>
      <w:r w:rsidRPr="00777DC6">
        <w:rPr>
          <w:lang w:val="en-US"/>
        </w:rPr>
        <w:t xml:space="preserve">ESC Conclusions XIII-1, Netherlands (1991).  </w:t>
      </w:r>
    </w:p>
    <w:p w:rsidR="00777DC6" w:rsidRPr="00777DC6" w:rsidRDefault="00777DC6" w:rsidP="00777DC6">
      <w:pPr>
        <w:numPr>
          <w:ilvl w:val="0"/>
          <w:numId w:val="4"/>
        </w:numPr>
        <w:jc w:val="both"/>
        <w:rPr>
          <w:lang w:val="en-US"/>
        </w:rPr>
      </w:pPr>
      <w:r w:rsidRPr="00777DC6">
        <w:rPr>
          <w:lang w:val="en-US"/>
        </w:rPr>
        <w:t xml:space="preserve">ESC Conclusions XIII-5, Netherlands (1997). </w:t>
      </w:r>
    </w:p>
    <w:p w:rsidR="00777DC6" w:rsidRPr="00777DC6" w:rsidRDefault="00777DC6" w:rsidP="00777DC6">
      <w:pPr>
        <w:numPr>
          <w:ilvl w:val="0"/>
          <w:numId w:val="4"/>
        </w:numPr>
        <w:jc w:val="both"/>
        <w:rPr>
          <w:lang w:val="en-US"/>
        </w:rPr>
      </w:pPr>
      <w:r w:rsidRPr="00777DC6">
        <w:rPr>
          <w:lang w:val="en-US"/>
        </w:rPr>
        <w:t xml:space="preserve">ESC Conclusions XIII-1, Norway (1991). </w:t>
      </w:r>
    </w:p>
    <w:p w:rsidR="00777DC6" w:rsidRPr="00777DC6" w:rsidRDefault="00777DC6" w:rsidP="00777DC6">
      <w:pPr>
        <w:numPr>
          <w:ilvl w:val="0"/>
          <w:numId w:val="4"/>
        </w:numPr>
        <w:jc w:val="both"/>
        <w:rPr>
          <w:lang w:val="en-US"/>
        </w:rPr>
      </w:pPr>
      <w:r w:rsidRPr="00777DC6">
        <w:rPr>
          <w:lang w:val="en-US"/>
        </w:rPr>
        <w:t xml:space="preserve">ESC Conclusions XIII-2, Norway (1995). </w:t>
      </w:r>
    </w:p>
    <w:p w:rsidR="00777DC6" w:rsidRPr="00777DC6" w:rsidRDefault="00777DC6" w:rsidP="00777DC6">
      <w:pPr>
        <w:numPr>
          <w:ilvl w:val="0"/>
          <w:numId w:val="4"/>
        </w:numPr>
        <w:jc w:val="both"/>
        <w:rPr>
          <w:lang w:val="en-US"/>
        </w:rPr>
      </w:pPr>
      <w:r w:rsidRPr="00777DC6">
        <w:rPr>
          <w:lang w:val="en-US"/>
        </w:rPr>
        <w:t xml:space="preserve">ESC Conclusions XIII-5, Norway (1997). </w:t>
      </w:r>
    </w:p>
    <w:p w:rsidR="00777DC6" w:rsidRPr="00777DC6" w:rsidRDefault="00777DC6" w:rsidP="00777DC6">
      <w:pPr>
        <w:numPr>
          <w:ilvl w:val="0"/>
          <w:numId w:val="4"/>
        </w:numPr>
        <w:jc w:val="both"/>
        <w:rPr>
          <w:lang w:val="en-US"/>
        </w:rPr>
      </w:pPr>
      <w:r w:rsidRPr="00777DC6">
        <w:rPr>
          <w:lang w:val="en-US"/>
        </w:rPr>
        <w:t xml:space="preserve">ESC Conclusions XV-2, Poland (2001). </w:t>
      </w:r>
    </w:p>
    <w:p w:rsidR="00777DC6" w:rsidRPr="00777DC6" w:rsidRDefault="00777DC6" w:rsidP="00777DC6">
      <w:pPr>
        <w:numPr>
          <w:ilvl w:val="0"/>
          <w:numId w:val="4"/>
        </w:numPr>
        <w:jc w:val="both"/>
        <w:rPr>
          <w:lang w:val="en-US"/>
        </w:rPr>
      </w:pPr>
      <w:r w:rsidRPr="00777DC6">
        <w:rPr>
          <w:lang w:val="en-US"/>
        </w:rPr>
        <w:t xml:space="preserve">ESC Conclusions XVII-2, Poland (2005). </w:t>
      </w:r>
    </w:p>
    <w:p w:rsidR="00777DC6" w:rsidRPr="00777DC6" w:rsidRDefault="00777DC6" w:rsidP="00777DC6">
      <w:pPr>
        <w:numPr>
          <w:ilvl w:val="0"/>
          <w:numId w:val="4"/>
        </w:numPr>
        <w:jc w:val="both"/>
        <w:rPr>
          <w:lang w:val="en-US"/>
        </w:rPr>
      </w:pPr>
      <w:r w:rsidRPr="00777DC6">
        <w:rPr>
          <w:lang w:val="en-US"/>
        </w:rPr>
        <w:t xml:space="preserve">ESC Conclusions XIII-3, Portugal (1995). </w:t>
      </w:r>
    </w:p>
    <w:p w:rsidR="00777DC6" w:rsidRPr="00777DC6" w:rsidRDefault="00777DC6" w:rsidP="00777DC6">
      <w:pPr>
        <w:numPr>
          <w:ilvl w:val="0"/>
          <w:numId w:val="4"/>
        </w:numPr>
        <w:jc w:val="both"/>
        <w:rPr>
          <w:lang w:val="en-US"/>
        </w:rPr>
      </w:pPr>
      <w:r w:rsidRPr="00777DC6">
        <w:rPr>
          <w:lang w:val="en-US"/>
        </w:rPr>
        <w:lastRenderedPageBreak/>
        <w:t xml:space="preserve">ESC Conclusions XVI-2, Portugal (2003). </w:t>
      </w:r>
    </w:p>
    <w:p w:rsidR="00777DC6" w:rsidRPr="00777DC6" w:rsidRDefault="00777DC6" w:rsidP="00777DC6">
      <w:pPr>
        <w:numPr>
          <w:ilvl w:val="0"/>
          <w:numId w:val="4"/>
        </w:numPr>
        <w:jc w:val="both"/>
        <w:rPr>
          <w:lang w:val="en-US"/>
        </w:rPr>
      </w:pPr>
      <w:r w:rsidRPr="00777DC6">
        <w:rPr>
          <w:lang w:val="en-US"/>
        </w:rPr>
        <w:t xml:space="preserve">ESC Addendum to Conclusions XV-2, Slovakia (2001). </w:t>
      </w:r>
    </w:p>
    <w:p w:rsidR="00777DC6" w:rsidRPr="00777DC6" w:rsidRDefault="00777DC6" w:rsidP="00777DC6">
      <w:pPr>
        <w:numPr>
          <w:ilvl w:val="0"/>
          <w:numId w:val="4"/>
        </w:numPr>
        <w:jc w:val="both"/>
        <w:rPr>
          <w:lang w:val="en-US"/>
        </w:rPr>
      </w:pPr>
      <w:r w:rsidRPr="00777DC6">
        <w:rPr>
          <w:lang w:val="en-US"/>
        </w:rPr>
        <w:t xml:space="preserve">ESC Conclusions X-2, Spain (1990). </w:t>
      </w:r>
    </w:p>
    <w:p w:rsidR="00777DC6" w:rsidRPr="00777DC6" w:rsidRDefault="00777DC6" w:rsidP="00777DC6">
      <w:pPr>
        <w:numPr>
          <w:ilvl w:val="0"/>
          <w:numId w:val="4"/>
        </w:numPr>
        <w:jc w:val="both"/>
        <w:rPr>
          <w:lang w:val="en-US"/>
        </w:rPr>
      </w:pPr>
      <w:r w:rsidRPr="00777DC6">
        <w:rPr>
          <w:lang w:val="en-US"/>
        </w:rPr>
        <w:t>ESC Conclusions XVI-2, Spain (2004).</w:t>
      </w:r>
    </w:p>
    <w:p w:rsidR="00777DC6" w:rsidRPr="00777DC6" w:rsidRDefault="00777DC6" w:rsidP="00777DC6">
      <w:pPr>
        <w:numPr>
          <w:ilvl w:val="0"/>
          <w:numId w:val="4"/>
        </w:numPr>
        <w:jc w:val="both"/>
        <w:rPr>
          <w:lang w:val="en-US"/>
        </w:rPr>
      </w:pPr>
      <w:r w:rsidRPr="00777DC6">
        <w:rPr>
          <w:lang w:val="en-US"/>
        </w:rPr>
        <w:t xml:space="preserve">ESC Conclusions XIX-4, Spain (2011). </w:t>
      </w:r>
    </w:p>
    <w:p w:rsidR="00777DC6" w:rsidRPr="00777DC6" w:rsidRDefault="00777DC6" w:rsidP="00777DC6">
      <w:pPr>
        <w:numPr>
          <w:ilvl w:val="0"/>
          <w:numId w:val="4"/>
        </w:numPr>
        <w:jc w:val="both"/>
        <w:rPr>
          <w:lang w:val="en-US"/>
        </w:rPr>
      </w:pPr>
      <w:r w:rsidRPr="00777DC6">
        <w:rPr>
          <w:lang w:val="en-US"/>
        </w:rPr>
        <w:t xml:space="preserve">ESC Conclusions XIII-5, Sweden (1997). </w:t>
      </w:r>
    </w:p>
    <w:p w:rsidR="00777DC6" w:rsidRPr="00777DC6" w:rsidRDefault="00777DC6" w:rsidP="00777DC6">
      <w:pPr>
        <w:numPr>
          <w:ilvl w:val="0"/>
          <w:numId w:val="4"/>
        </w:numPr>
        <w:jc w:val="both"/>
        <w:rPr>
          <w:lang w:val="en-US"/>
        </w:rPr>
      </w:pPr>
      <w:r w:rsidRPr="00777DC6">
        <w:rPr>
          <w:lang w:val="en-US"/>
        </w:rPr>
        <w:t xml:space="preserve">ESC Conclusions XVII-1, Turkey (2004). </w:t>
      </w:r>
    </w:p>
    <w:p w:rsidR="00777DC6" w:rsidRPr="00777DC6" w:rsidRDefault="00777DC6" w:rsidP="00777DC6">
      <w:pPr>
        <w:numPr>
          <w:ilvl w:val="0"/>
          <w:numId w:val="4"/>
        </w:numPr>
        <w:jc w:val="both"/>
        <w:rPr>
          <w:lang w:val="en-US"/>
        </w:rPr>
      </w:pPr>
      <w:r w:rsidRPr="00777DC6">
        <w:rPr>
          <w:lang w:val="en-US"/>
        </w:rPr>
        <w:t xml:space="preserve">ESC Conclusions XIII-3, United Kingdom (1995). </w:t>
      </w:r>
    </w:p>
    <w:p w:rsidR="00777DC6" w:rsidRPr="00777DC6" w:rsidRDefault="00777DC6" w:rsidP="00777DC6">
      <w:pPr>
        <w:numPr>
          <w:ilvl w:val="0"/>
          <w:numId w:val="4"/>
        </w:numPr>
        <w:jc w:val="both"/>
        <w:rPr>
          <w:lang w:val="en-US"/>
        </w:rPr>
      </w:pPr>
      <w:r w:rsidRPr="00777DC6">
        <w:rPr>
          <w:lang w:val="en-US"/>
        </w:rPr>
        <w:t xml:space="preserve">ESC Conclusions XV-2, United Kingdom (2001). </w:t>
      </w:r>
    </w:p>
    <w:p w:rsidR="00777DC6" w:rsidRPr="00777DC6" w:rsidRDefault="00777DC6" w:rsidP="00777DC6">
      <w:pPr>
        <w:numPr>
          <w:ilvl w:val="0"/>
          <w:numId w:val="4"/>
        </w:numPr>
        <w:jc w:val="both"/>
        <w:rPr>
          <w:lang w:val="en-US"/>
        </w:rPr>
      </w:pPr>
      <w:r w:rsidRPr="00777DC6">
        <w:rPr>
          <w:lang w:val="en-US"/>
        </w:rPr>
        <w:t xml:space="preserve">ESC Conclusions XIX-4, United Kingdom (2011). </w:t>
      </w:r>
    </w:p>
    <w:p w:rsidR="00777DC6" w:rsidRPr="00777DC6" w:rsidRDefault="00777DC6" w:rsidP="00777DC6">
      <w:pPr>
        <w:numPr>
          <w:ilvl w:val="0"/>
          <w:numId w:val="4"/>
        </w:numPr>
        <w:jc w:val="both"/>
        <w:rPr>
          <w:lang w:val="en-US"/>
        </w:rPr>
      </w:pPr>
      <w:r w:rsidRPr="00777DC6">
        <w:rPr>
          <w:lang w:val="en-US"/>
        </w:rPr>
        <w:t xml:space="preserve">RESC Conclusions, Statement of Interpretation </w:t>
      </w:r>
      <w:proofErr w:type="spellStart"/>
      <w:r w:rsidRPr="00777DC6">
        <w:rPr>
          <w:lang w:val="en-US"/>
        </w:rPr>
        <w:t>on</w:t>
      </w:r>
      <w:proofErr w:type="spellEnd"/>
      <w:r w:rsidRPr="00777DC6">
        <w:rPr>
          <w:lang w:val="en-US"/>
        </w:rPr>
        <w:t xml:space="preserve"> Article 1(2) (2006). </w:t>
      </w:r>
    </w:p>
    <w:p w:rsidR="00777DC6" w:rsidRPr="00777DC6" w:rsidRDefault="00777DC6" w:rsidP="00777DC6">
      <w:pPr>
        <w:numPr>
          <w:ilvl w:val="0"/>
          <w:numId w:val="4"/>
        </w:numPr>
        <w:jc w:val="both"/>
        <w:rPr>
          <w:lang w:val="en-US"/>
        </w:rPr>
      </w:pPr>
      <w:r w:rsidRPr="00777DC6">
        <w:rPr>
          <w:lang w:val="en-US"/>
        </w:rPr>
        <w:t xml:space="preserve">RESC Conclusions, Statement of Interpretation </w:t>
      </w:r>
      <w:proofErr w:type="spellStart"/>
      <w:r w:rsidRPr="00777DC6">
        <w:rPr>
          <w:lang w:val="en-US"/>
        </w:rPr>
        <w:t>on</w:t>
      </w:r>
      <w:proofErr w:type="spellEnd"/>
      <w:r w:rsidRPr="00777DC6">
        <w:rPr>
          <w:lang w:val="en-US"/>
        </w:rPr>
        <w:t xml:space="preserve"> Article 8(1) (2011). </w:t>
      </w:r>
    </w:p>
    <w:p w:rsidR="00777DC6" w:rsidRPr="00777DC6" w:rsidRDefault="00777DC6" w:rsidP="00777DC6">
      <w:pPr>
        <w:numPr>
          <w:ilvl w:val="0"/>
          <w:numId w:val="4"/>
        </w:numPr>
        <w:jc w:val="both"/>
        <w:rPr>
          <w:lang w:val="en-US"/>
        </w:rPr>
      </w:pPr>
      <w:r w:rsidRPr="00777DC6">
        <w:rPr>
          <w:lang w:val="en-US"/>
        </w:rPr>
        <w:t xml:space="preserve">RESC Conclusions, Andorra (2011). </w:t>
      </w:r>
    </w:p>
    <w:p w:rsidR="00777DC6" w:rsidRPr="00777DC6" w:rsidRDefault="00777DC6" w:rsidP="00777DC6">
      <w:pPr>
        <w:numPr>
          <w:ilvl w:val="0"/>
          <w:numId w:val="4"/>
        </w:numPr>
        <w:jc w:val="both"/>
        <w:rPr>
          <w:lang w:val="en-US"/>
        </w:rPr>
      </w:pPr>
      <w:r w:rsidRPr="00777DC6">
        <w:rPr>
          <w:lang w:val="en-US"/>
        </w:rPr>
        <w:t xml:space="preserve">RESC Conclusions, Armenia (2007). </w:t>
      </w:r>
    </w:p>
    <w:p w:rsidR="00777DC6" w:rsidRPr="00777DC6" w:rsidRDefault="00777DC6" w:rsidP="00777DC6">
      <w:pPr>
        <w:numPr>
          <w:ilvl w:val="0"/>
          <w:numId w:val="4"/>
        </w:numPr>
        <w:jc w:val="both"/>
        <w:rPr>
          <w:lang w:val="en-US"/>
        </w:rPr>
      </w:pPr>
      <w:r w:rsidRPr="00777DC6">
        <w:rPr>
          <w:lang w:val="en-US"/>
        </w:rPr>
        <w:t xml:space="preserve">RESC Conclusions, Armenia (2011). </w:t>
      </w:r>
    </w:p>
    <w:p w:rsidR="00777DC6" w:rsidRPr="00777DC6" w:rsidRDefault="00777DC6" w:rsidP="00777DC6">
      <w:pPr>
        <w:numPr>
          <w:ilvl w:val="0"/>
          <w:numId w:val="4"/>
        </w:numPr>
        <w:jc w:val="both"/>
        <w:rPr>
          <w:lang w:val="en-US"/>
        </w:rPr>
      </w:pPr>
      <w:r w:rsidRPr="00777DC6">
        <w:rPr>
          <w:lang w:val="en-US"/>
        </w:rPr>
        <w:t xml:space="preserve">RESC Conclusions, Azerbaijan (2011). </w:t>
      </w:r>
    </w:p>
    <w:p w:rsidR="00777DC6" w:rsidRPr="00777DC6" w:rsidRDefault="00777DC6" w:rsidP="00777DC6">
      <w:pPr>
        <w:numPr>
          <w:ilvl w:val="0"/>
          <w:numId w:val="4"/>
        </w:numPr>
        <w:jc w:val="both"/>
        <w:rPr>
          <w:lang w:val="en-US"/>
        </w:rPr>
      </w:pPr>
      <w:r w:rsidRPr="00777DC6">
        <w:rPr>
          <w:lang w:val="en-US"/>
        </w:rPr>
        <w:t xml:space="preserve">RESC Conclusions, Belgium (2000). </w:t>
      </w:r>
    </w:p>
    <w:p w:rsidR="00777DC6" w:rsidRPr="00777DC6" w:rsidRDefault="00777DC6" w:rsidP="00777DC6">
      <w:pPr>
        <w:numPr>
          <w:ilvl w:val="0"/>
          <w:numId w:val="4"/>
        </w:numPr>
        <w:jc w:val="both"/>
        <w:rPr>
          <w:lang w:val="en-US"/>
        </w:rPr>
      </w:pPr>
      <w:r w:rsidRPr="00777DC6">
        <w:rPr>
          <w:lang w:val="en-US"/>
        </w:rPr>
        <w:t xml:space="preserve">RESC Conclusions, Bosnia Herzegovina (2011). </w:t>
      </w:r>
    </w:p>
    <w:p w:rsidR="00777DC6" w:rsidRPr="00777DC6" w:rsidRDefault="00777DC6" w:rsidP="00777DC6">
      <w:pPr>
        <w:numPr>
          <w:ilvl w:val="0"/>
          <w:numId w:val="4"/>
        </w:numPr>
        <w:jc w:val="both"/>
        <w:rPr>
          <w:lang w:val="en-US"/>
        </w:rPr>
      </w:pPr>
      <w:r w:rsidRPr="00777DC6">
        <w:rPr>
          <w:lang w:val="en-US"/>
        </w:rPr>
        <w:t xml:space="preserve">RESC Conclusions, Bulgaria (2003). </w:t>
      </w:r>
    </w:p>
    <w:p w:rsidR="00777DC6" w:rsidRPr="00777DC6" w:rsidRDefault="00777DC6" w:rsidP="00777DC6">
      <w:pPr>
        <w:numPr>
          <w:ilvl w:val="0"/>
          <w:numId w:val="4"/>
        </w:numPr>
        <w:jc w:val="both"/>
        <w:rPr>
          <w:lang w:val="en-US"/>
        </w:rPr>
      </w:pPr>
      <w:r w:rsidRPr="00777DC6">
        <w:rPr>
          <w:lang w:val="en-US"/>
        </w:rPr>
        <w:t xml:space="preserve">RESC Conclusions, Bulgaria (2006). </w:t>
      </w:r>
    </w:p>
    <w:p w:rsidR="00777DC6" w:rsidRPr="00777DC6" w:rsidRDefault="00777DC6" w:rsidP="00777DC6">
      <w:pPr>
        <w:numPr>
          <w:ilvl w:val="0"/>
          <w:numId w:val="4"/>
        </w:numPr>
        <w:jc w:val="both"/>
        <w:rPr>
          <w:lang w:val="en-US"/>
        </w:rPr>
      </w:pPr>
      <w:r w:rsidRPr="00777DC6">
        <w:rPr>
          <w:lang w:val="en-US"/>
        </w:rPr>
        <w:t xml:space="preserve">RESC Conclusions, Bulgaria (2011). </w:t>
      </w:r>
    </w:p>
    <w:p w:rsidR="00777DC6" w:rsidRPr="00777DC6" w:rsidRDefault="00777DC6" w:rsidP="00777DC6">
      <w:pPr>
        <w:numPr>
          <w:ilvl w:val="0"/>
          <w:numId w:val="4"/>
        </w:numPr>
        <w:jc w:val="both"/>
        <w:rPr>
          <w:lang w:val="en-US"/>
        </w:rPr>
      </w:pPr>
      <w:r w:rsidRPr="00777DC6">
        <w:rPr>
          <w:lang w:val="en-US"/>
        </w:rPr>
        <w:t>RESC Conclusions, Cyprus (2012).</w:t>
      </w:r>
    </w:p>
    <w:p w:rsidR="00777DC6" w:rsidRPr="00777DC6" w:rsidRDefault="00777DC6" w:rsidP="00777DC6">
      <w:pPr>
        <w:numPr>
          <w:ilvl w:val="0"/>
          <w:numId w:val="4"/>
        </w:numPr>
        <w:jc w:val="both"/>
        <w:rPr>
          <w:lang w:val="en-US"/>
        </w:rPr>
      </w:pPr>
      <w:r w:rsidRPr="00777DC6">
        <w:rPr>
          <w:lang w:val="en-US"/>
        </w:rPr>
        <w:t>RESC Conclusions, Estonia (2005).</w:t>
      </w:r>
    </w:p>
    <w:p w:rsidR="00777DC6" w:rsidRPr="00777DC6" w:rsidRDefault="00777DC6" w:rsidP="00777DC6">
      <w:pPr>
        <w:numPr>
          <w:ilvl w:val="0"/>
          <w:numId w:val="4"/>
        </w:numPr>
        <w:jc w:val="both"/>
        <w:rPr>
          <w:lang w:val="en-US"/>
        </w:rPr>
      </w:pPr>
      <w:r w:rsidRPr="00777DC6">
        <w:rPr>
          <w:lang w:val="en-US"/>
        </w:rPr>
        <w:t xml:space="preserve">RESC Conclusions, Estonia (2011).  </w:t>
      </w:r>
    </w:p>
    <w:p w:rsidR="00777DC6" w:rsidRPr="00777DC6" w:rsidRDefault="00777DC6" w:rsidP="00777DC6">
      <w:pPr>
        <w:numPr>
          <w:ilvl w:val="0"/>
          <w:numId w:val="4"/>
        </w:numPr>
        <w:jc w:val="both"/>
        <w:rPr>
          <w:lang w:val="en-US"/>
        </w:rPr>
      </w:pPr>
      <w:r w:rsidRPr="00777DC6">
        <w:rPr>
          <w:lang w:val="en-US"/>
        </w:rPr>
        <w:t xml:space="preserve">RESC Conclusions, Finland (2011). </w:t>
      </w:r>
    </w:p>
    <w:p w:rsidR="00777DC6" w:rsidRPr="00777DC6" w:rsidRDefault="00777DC6" w:rsidP="00777DC6">
      <w:pPr>
        <w:numPr>
          <w:ilvl w:val="0"/>
          <w:numId w:val="4"/>
        </w:numPr>
        <w:jc w:val="both"/>
        <w:rPr>
          <w:lang w:val="en-US"/>
        </w:rPr>
      </w:pPr>
      <w:r w:rsidRPr="00777DC6">
        <w:rPr>
          <w:lang w:val="en-US"/>
        </w:rPr>
        <w:t xml:space="preserve">RESC Conclusions, France (2003). </w:t>
      </w:r>
    </w:p>
    <w:p w:rsidR="00777DC6" w:rsidRPr="00777DC6" w:rsidRDefault="00777DC6" w:rsidP="00777DC6">
      <w:pPr>
        <w:numPr>
          <w:ilvl w:val="0"/>
          <w:numId w:val="4"/>
        </w:numPr>
        <w:jc w:val="both"/>
        <w:rPr>
          <w:lang w:val="en-US"/>
        </w:rPr>
      </w:pPr>
      <w:r w:rsidRPr="00777DC6">
        <w:rPr>
          <w:lang w:val="en-US"/>
        </w:rPr>
        <w:t xml:space="preserve">RESC Conclusions, Georgia (2011). </w:t>
      </w:r>
    </w:p>
    <w:p w:rsidR="00777DC6" w:rsidRPr="00777DC6" w:rsidRDefault="00777DC6" w:rsidP="00777DC6">
      <w:pPr>
        <w:numPr>
          <w:ilvl w:val="0"/>
          <w:numId w:val="4"/>
        </w:numPr>
        <w:jc w:val="both"/>
        <w:rPr>
          <w:lang w:val="en-US"/>
        </w:rPr>
      </w:pPr>
      <w:r w:rsidRPr="00777DC6">
        <w:rPr>
          <w:lang w:val="en-US"/>
        </w:rPr>
        <w:lastRenderedPageBreak/>
        <w:t xml:space="preserve">RESC Conclusions, Hungary (2011). </w:t>
      </w:r>
    </w:p>
    <w:p w:rsidR="00777DC6" w:rsidRPr="00777DC6" w:rsidRDefault="00777DC6" w:rsidP="00777DC6">
      <w:pPr>
        <w:numPr>
          <w:ilvl w:val="0"/>
          <w:numId w:val="4"/>
        </w:numPr>
        <w:jc w:val="both"/>
        <w:rPr>
          <w:lang w:val="en-US"/>
        </w:rPr>
      </w:pPr>
      <w:r w:rsidRPr="00777DC6">
        <w:rPr>
          <w:lang w:val="en-US"/>
        </w:rPr>
        <w:t xml:space="preserve">RESC Conclusions, Ireland (2011). </w:t>
      </w:r>
    </w:p>
    <w:p w:rsidR="00777DC6" w:rsidRPr="00777DC6" w:rsidRDefault="00777DC6" w:rsidP="00777DC6">
      <w:pPr>
        <w:numPr>
          <w:ilvl w:val="0"/>
          <w:numId w:val="4"/>
        </w:numPr>
        <w:jc w:val="both"/>
        <w:rPr>
          <w:lang w:val="en-US"/>
        </w:rPr>
      </w:pPr>
      <w:r w:rsidRPr="00777DC6">
        <w:rPr>
          <w:lang w:val="en-US"/>
        </w:rPr>
        <w:t xml:space="preserve">RESC Conclusions, Italy (2012). </w:t>
      </w:r>
    </w:p>
    <w:p w:rsidR="00777DC6" w:rsidRPr="00777DC6" w:rsidRDefault="00777DC6" w:rsidP="00777DC6">
      <w:pPr>
        <w:numPr>
          <w:ilvl w:val="0"/>
          <w:numId w:val="4"/>
        </w:numPr>
        <w:jc w:val="both"/>
        <w:rPr>
          <w:lang w:val="en-US"/>
        </w:rPr>
      </w:pPr>
      <w:r w:rsidRPr="00777DC6">
        <w:rPr>
          <w:lang w:val="en-US"/>
        </w:rPr>
        <w:t xml:space="preserve">RESC Conclusions, Lithuania (2005). </w:t>
      </w:r>
    </w:p>
    <w:p w:rsidR="00777DC6" w:rsidRPr="00777DC6" w:rsidRDefault="00777DC6" w:rsidP="00777DC6">
      <w:pPr>
        <w:numPr>
          <w:ilvl w:val="0"/>
          <w:numId w:val="4"/>
        </w:numPr>
        <w:jc w:val="both"/>
        <w:rPr>
          <w:lang w:val="en-US"/>
        </w:rPr>
      </w:pPr>
      <w:r w:rsidRPr="00777DC6">
        <w:rPr>
          <w:lang w:val="en-US"/>
        </w:rPr>
        <w:t>RESC Conclusions, Lithuania (2006).</w:t>
      </w:r>
    </w:p>
    <w:p w:rsidR="00777DC6" w:rsidRPr="00777DC6" w:rsidRDefault="00777DC6" w:rsidP="00777DC6">
      <w:pPr>
        <w:numPr>
          <w:ilvl w:val="0"/>
          <w:numId w:val="4"/>
        </w:numPr>
        <w:jc w:val="both"/>
        <w:rPr>
          <w:lang w:val="en-US"/>
        </w:rPr>
      </w:pPr>
      <w:r w:rsidRPr="00777DC6">
        <w:rPr>
          <w:lang w:val="en-US"/>
        </w:rPr>
        <w:t xml:space="preserve">RESC Conclusions, Lithuania (2012). </w:t>
      </w:r>
    </w:p>
    <w:p w:rsidR="00777DC6" w:rsidRPr="00777DC6" w:rsidRDefault="00777DC6" w:rsidP="00777DC6">
      <w:pPr>
        <w:numPr>
          <w:ilvl w:val="0"/>
          <w:numId w:val="4"/>
        </w:numPr>
        <w:jc w:val="both"/>
        <w:rPr>
          <w:lang w:val="en-US"/>
        </w:rPr>
      </w:pPr>
      <w:r w:rsidRPr="00777DC6">
        <w:rPr>
          <w:lang w:val="en-US"/>
        </w:rPr>
        <w:t xml:space="preserve">RESC Conclusions, Moldova (2008). </w:t>
      </w:r>
    </w:p>
    <w:p w:rsidR="00777DC6" w:rsidRPr="00777DC6" w:rsidRDefault="00777DC6" w:rsidP="00777DC6">
      <w:pPr>
        <w:numPr>
          <w:ilvl w:val="0"/>
          <w:numId w:val="4"/>
        </w:numPr>
        <w:jc w:val="both"/>
        <w:rPr>
          <w:lang w:val="en-US"/>
        </w:rPr>
      </w:pPr>
      <w:r w:rsidRPr="00777DC6">
        <w:rPr>
          <w:lang w:val="en-US"/>
        </w:rPr>
        <w:t xml:space="preserve">RESC Conclusions, Netherlands (2008). </w:t>
      </w:r>
    </w:p>
    <w:p w:rsidR="00777DC6" w:rsidRPr="00777DC6" w:rsidRDefault="00777DC6" w:rsidP="00777DC6">
      <w:pPr>
        <w:numPr>
          <w:ilvl w:val="0"/>
          <w:numId w:val="4"/>
        </w:numPr>
        <w:jc w:val="both"/>
        <w:rPr>
          <w:lang w:val="en-US"/>
        </w:rPr>
      </w:pPr>
      <w:r w:rsidRPr="00777DC6">
        <w:rPr>
          <w:lang w:val="en-US"/>
        </w:rPr>
        <w:t xml:space="preserve">RESC Conclusions, Norway (2005). </w:t>
      </w:r>
    </w:p>
    <w:p w:rsidR="00777DC6" w:rsidRPr="00777DC6" w:rsidRDefault="00777DC6" w:rsidP="00777DC6">
      <w:pPr>
        <w:numPr>
          <w:ilvl w:val="0"/>
          <w:numId w:val="4"/>
        </w:numPr>
        <w:jc w:val="both"/>
        <w:rPr>
          <w:lang w:val="en-US"/>
        </w:rPr>
      </w:pPr>
      <w:r w:rsidRPr="00777DC6">
        <w:rPr>
          <w:lang w:val="en-US"/>
        </w:rPr>
        <w:t>RESC Conclusions Portugal (2011).</w:t>
      </w:r>
    </w:p>
    <w:p w:rsidR="00777DC6" w:rsidRPr="00777DC6" w:rsidRDefault="00777DC6" w:rsidP="00777DC6">
      <w:pPr>
        <w:numPr>
          <w:ilvl w:val="0"/>
          <w:numId w:val="4"/>
        </w:numPr>
        <w:jc w:val="both"/>
        <w:rPr>
          <w:lang w:val="en-US"/>
        </w:rPr>
      </w:pPr>
      <w:r w:rsidRPr="00777DC6">
        <w:rPr>
          <w:lang w:val="en-US"/>
        </w:rPr>
        <w:t xml:space="preserve">RESC Conclusions, Romania (2002).  </w:t>
      </w:r>
    </w:p>
    <w:p w:rsidR="00777DC6" w:rsidRPr="00777DC6" w:rsidRDefault="00777DC6" w:rsidP="00777DC6">
      <w:pPr>
        <w:numPr>
          <w:ilvl w:val="0"/>
          <w:numId w:val="4"/>
        </w:numPr>
        <w:jc w:val="both"/>
        <w:rPr>
          <w:lang w:val="en-US"/>
        </w:rPr>
      </w:pPr>
      <w:r w:rsidRPr="00777DC6">
        <w:rPr>
          <w:lang w:val="en-US"/>
        </w:rPr>
        <w:t xml:space="preserve">RESC Conclusions, Romania (2003). </w:t>
      </w:r>
    </w:p>
    <w:p w:rsidR="00777DC6" w:rsidRPr="00777DC6" w:rsidRDefault="00777DC6" w:rsidP="00777DC6">
      <w:pPr>
        <w:numPr>
          <w:ilvl w:val="0"/>
          <w:numId w:val="4"/>
        </w:numPr>
        <w:jc w:val="both"/>
        <w:rPr>
          <w:lang w:val="en-US"/>
        </w:rPr>
      </w:pPr>
      <w:r w:rsidRPr="00777DC6">
        <w:rPr>
          <w:lang w:val="en-US"/>
        </w:rPr>
        <w:t xml:space="preserve">RESC Conclusions, Slovak Republic (2011). </w:t>
      </w:r>
    </w:p>
    <w:p w:rsidR="00777DC6" w:rsidRPr="00777DC6" w:rsidRDefault="00777DC6" w:rsidP="00777DC6">
      <w:pPr>
        <w:numPr>
          <w:ilvl w:val="0"/>
          <w:numId w:val="4"/>
        </w:numPr>
        <w:jc w:val="both"/>
        <w:rPr>
          <w:lang w:val="en-US"/>
        </w:rPr>
      </w:pPr>
      <w:r w:rsidRPr="00777DC6">
        <w:rPr>
          <w:lang w:val="en-US"/>
        </w:rPr>
        <w:t>RESC Conclusions, Slovenia (2003).</w:t>
      </w:r>
    </w:p>
    <w:p w:rsidR="00777DC6" w:rsidRPr="00777DC6" w:rsidRDefault="00777DC6" w:rsidP="00777DC6">
      <w:pPr>
        <w:numPr>
          <w:ilvl w:val="0"/>
          <w:numId w:val="4"/>
        </w:numPr>
        <w:jc w:val="both"/>
        <w:rPr>
          <w:lang w:val="en-US"/>
        </w:rPr>
      </w:pPr>
      <w:r w:rsidRPr="00777DC6">
        <w:rPr>
          <w:lang w:val="en-US"/>
        </w:rPr>
        <w:t xml:space="preserve">RESC Conclusions, Sweden (2003). </w:t>
      </w:r>
    </w:p>
    <w:p w:rsidR="00777DC6" w:rsidRPr="00777DC6" w:rsidRDefault="00777DC6" w:rsidP="00777DC6">
      <w:pPr>
        <w:numPr>
          <w:ilvl w:val="0"/>
          <w:numId w:val="4"/>
        </w:numPr>
        <w:jc w:val="both"/>
        <w:rPr>
          <w:lang w:val="en-US"/>
        </w:rPr>
      </w:pPr>
      <w:r w:rsidRPr="00777DC6">
        <w:rPr>
          <w:lang w:val="en-US"/>
        </w:rPr>
        <w:t xml:space="preserve">RESC Conclusions, Sweden (2005). </w:t>
      </w:r>
    </w:p>
    <w:p w:rsidR="00777DC6" w:rsidRPr="00777DC6" w:rsidRDefault="00777DC6" w:rsidP="00777DC6">
      <w:pPr>
        <w:numPr>
          <w:ilvl w:val="0"/>
          <w:numId w:val="4"/>
        </w:numPr>
        <w:jc w:val="both"/>
        <w:rPr>
          <w:lang w:val="en-US"/>
        </w:rPr>
      </w:pPr>
      <w:r w:rsidRPr="00777DC6">
        <w:rPr>
          <w:lang w:val="en-US"/>
        </w:rPr>
        <w:t xml:space="preserve">RESC Conclusions, Sweden (2011). </w:t>
      </w:r>
    </w:p>
    <w:p w:rsidR="00777DC6" w:rsidRPr="00777DC6" w:rsidRDefault="00777DC6" w:rsidP="00777DC6">
      <w:pPr>
        <w:numPr>
          <w:ilvl w:val="0"/>
          <w:numId w:val="4"/>
        </w:numPr>
        <w:jc w:val="both"/>
        <w:rPr>
          <w:lang w:val="en-US"/>
        </w:rPr>
      </w:pPr>
      <w:r w:rsidRPr="00777DC6">
        <w:rPr>
          <w:lang w:val="en-US"/>
        </w:rPr>
        <w:t xml:space="preserve">RESC Conclusions, Statement of Interpretation </w:t>
      </w:r>
      <w:proofErr w:type="spellStart"/>
      <w:r w:rsidRPr="00777DC6">
        <w:rPr>
          <w:lang w:val="en-US"/>
        </w:rPr>
        <w:t>on</w:t>
      </w:r>
      <w:proofErr w:type="spellEnd"/>
      <w:r w:rsidRPr="00777DC6">
        <w:rPr>
          <w:lang w:val="en-US"/>
        </w:rPr>
        <w:t xml:space="preserve"> Article 1(2) (2006). </w:t>
      </w:r>
    </w:p>
    <w:p w:rsidR="00777DC6" w:rsidRPr="00777DC6" w:rsidRDefault="00777DC6" w:rsidP="00777DC6">
      <w:pPr>
        <w:numPr>
          <w:ilvl w:val="0"/>
          <w:numId w:val="4"/>
        </w:numPr>
        <w:jc w:val="both"/>
        <w:rPr>
          <w:lang w:val="en-US"/>
        </w:rPr>
      </w:pPr>
      <w:r w:rsidRPr="00777DC6">
        <w:rPr>
          <w:lang w:val="en-US"/>
        </w:rPr>
        <w:t xml:space="preserve">RESC Conclusions, Turkey (2011). </w:t>
      </w:r>
    </w:p>
    <w:p w:rsidR="00777DC6" w:rsidRPr="00777DC6" w:rsidRDefault="00777DC6" w:rsidP="00777DC6">
      <w:pPr>
        <w:numPr>
          <w:ilvl w:val="0"/>
          <w:numId w:val="4"/>
        </w:numPr>
        <w:jc w:val="both"/>
        <w:rPr>
          <w:lang w:val="en-US"/>
        </w:rPr>
      </w:pPr>
      <w:r w:rsidRPr="00777DC6">
        <w:rPr>
          <w:lang w:val="en-US"/>
        </w:rPr>
        <w:t xml:space="preserve">RESC Conclusions, Ukraine (2011). </w:t>
      </w: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406844" w:rsidRDefault="00406844" w:rsidP="00777DC6">
      <w:pPr>
        <w:jc w:val="both"/>
        <w:rPr>
          <w:b/>
          <w:u w:val="single"/>
          <w:lang w:val="en-GB"/>
        </w:rPr>
      </w:pPr>
    </w:p>
    <w:p w:rsidR="00777DC6" w:rsidRPr="00777DC6" w:rsidRDefault="00777DC6" w:rsidP="00777DC6">
      <w:pPr>
        <w:jc w:val="both"/>
        <w:rPr>
          <w:b/>
          <w:u w:val="single"/>
          <w:lang w:val="en-GB"/>
        </w:rPr>
      </w:pPr>
      <w:r w:rsidRPr="00777DC6">
        <w:rPr>
          <w:b/>
          <w:u w:val="single"/>
          <w:lang w:val="en-GB"/>
        </w:rPr>
        <w:lastRenderedPageBreak/>
        <w:t>United Nations Documents</w:t>
      </w:r>
    </w:p>
    <w:p w:rsidR="0086131C" w:rsidRPr="0086131C" w:rsidRDefault="0086131C" w:rsidP="0086131C">
      <w:pPr>
        <w:numPr>
          <w:ilvl w:val="0"/>
          <w:numId w:val="4"/>
        </w:numPr>
        <w:jc w:val="both"/>
        <w:rPr>
          <w:lang w:val="en-GB"/>
        </w:rPr>
      </w:pPr>
      <w:r w:rsidRPr="0086131C">
        <w:rPr>
          <w:lang w:val="en-GB"/>
        </w:rPr>
        <w:t xml:space="preserve">Prevention of Discrimination; the concept and practice of affirmative action, Final report submitted by </w:t>
      </w:r>
      <w:proofErr w:type="spellStart"/>
      <w:r w:rsidRPr="0086131C">
        <w:rPr>
          <w:lang w:val="en-GB"/>
        </w:rPr>
        <w:t>Mr.</w:t>
      </w:r>
      <w:proofErr w:type="spellEnd"/>
      <w:r w:rsidRPr="0086131C">
        <w:rPr>
          <w:lang w:val="en-GB"/>
        </w:rPr>
        <w:t xml:space="preserve"> Marc </w:t>
      </w:r>
      <w:proofErr w:type="spellStart"/>
      <w:r w:rsidRPr="0086131C">
        <w:rPr>
          <w:lang w:val="en-GB"/>
        </w:rPr>
        <w:t>Bossuyt</w:t>
      </w:r>
      <w:proofErr w:type="spellEnd"/>
      <w:r w:rsidRPr="0086131C">
        <w:rPr>
          <w:lang w:val="en-GB"/>
        </w:rPr>
        <w:t xml:space="preserve">, Special Rapporteur, in accordance with Sub-Commissions resolution 1998/5, E/CN.4/Sub.2/2002/21, 17 June 2002. </w:t>
      </w:r>
    </w:p>
    <w:p w:rsidR="00777DC6" w:rsidRPr="002B32E7" w:rsidRDefault="00777DC6" w:rsidP="00777DC6">
      <w:pPr>
        <w:numPr>
          <w:ilvl w:val="0"/>
          <w:numId w:val="4"/>
        </w:numPr>
        <w:jc w:val="both"/>
        <w:rPr>
          <w:lang w:val="en-US"/>
        </w:rPr>
      </w:pPr>
      <w:r w:rsidRPr="00777DC6">
        <w:rPr>
          <w:lang w:val="en-US"/>
        </w:rPr>
        <w:t xml:space="preserve">Yakin </w:t>
      </w:r>
      <w:proofErr w:type="spellStart"/>
      <w:r w:rsidRPr="00777DC6">
        <w:rPr>
          <w:lang w:val="en-US"/>
        </w:rPr>
        <w:t>Erturk</w:t>
      </w:r>
      <w:proofErr w:type="spellEnd"/>
      <w:r w:rsidRPr="00777DC6">
        <w:rPr>
          <w:lang w:val="en-US"/>
        </w:rPr>
        <w:t xml:space="preserve">, </w:t>
      </w:r>
      <w:r w:rsidRPr="00777DC6">
        <w:rPr>
          <w:i/>
          <w:lang w:val="en-US"/>
        </w:rPr>
        <w:t>Report of the Special Rapporteur on violence against women, its causes and consequences</w:t>
      </w:r>
      <w:r w:rsidRPr="00777DC6">
        <w:rPr>
          <w:lang w:val="en-US"/>
        </w:rPr>
        <w:t>, A/HRC/11/6/Add. 5, 27 May 2009, 63 p.</w:t>
      </w: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92537" w:rsidRDefault="00792537" w:rsidP="00777DC6">
      <w:pPr>
        <w:jc w:val="both"/>
        <w:rPr>
          <w:b/>
          <w:u w:val="single"/>
          <w:lang w:val="en-GB"/>
        </w:rPr>
      </w:pPr>
    </w:p>
    <w:p w:rsidR="00792537" w:rsidRDefault="00792537" w:rsidP="00777DC6">
      <w:pPr>
        <w:jc w:val="both"/>
        <w:rPr>
          <w:b/>
          <w:u w:val="single"/>
          <w:lang w:val="en-GB"/>
        </w:rPr>
      </w:pPr>
    </w:p>
    <w:p w:rsidR="00792537" w:rsidRDefault="00792537" w:rsidP="00777DC6">
      <w:pPr>
        <w:jc w:val="both"/>
        <w:rPr>
          <w:b/>
          <w:u w:val="single"/>
          <w:lang w:val="en-GB"/>
        </w:rPr>
      </w:pPr>
    </w:p>
    <w:p w:rsidR="00792537" w:rsidRDefault="00792537" w:rsidP="00777DC6">
      <w:pPr>
        <w:jc w:val="both"/>
        <w:rPr>
          <w:b/>
          <w:u w:val="single"/>
          <w:lang w:val="en-GB"/>
        </w:rPr>
      </w:pPr>
    </w:p>
    <w:p w:rsidR="00777DC6" w:rsidRPr="00777DC6" w:rsidRDefault="00777DC6" w:rsidP="00777DC6">
      <w:pPr>
        <w:jc w:val="both"/>
        <w:rPr>
          <w:b/>
          <w:u w:val="single"/>
          <w:lang w:val="en-GB"/>
        </w:rPr>
      </w:pPr>
      <w:r w:rsidRPr="00777DC6">
        <w:rPr>
          <w:b/>
          <w:u w:val="single"/>
          <w:lang w:val="en-GB"/>
        </w:rPr>
        <w:lastRenderedPageBreak/>
        <w:t>Other Instruments adopted by the International Labour Organization</w:t>
      </w:r>
    </w:p>
    <w:p w:rsidR="00777DC6" w:rsidRPr="00777DC6" w:rsidRDefault="00777DC6" w:rsidP="00777DC6">
      <w:pPr>
        <w:numPr>
          <w:ilvl w:val="0"/>
          <w:numId w:val="4"/>
        </w:numPr>
        <w:jc w:val="both"/>
        <w:rPr>
          <w:lang w:val="en-US"/>
        </w:rPr>
      </w:pPr>
      <w:r w:rsidRPr="00777DC6">
        <w:rPr>
          <w:lang w:val="en-GB"/>
        </w:rPr>
        <w:t>Committee of Experts on the Application of Conventions and Recommendations, Direct Request on Convention no. 100 on Equal Remuneration, 1951, Lebanon, a</w:t>
      </w:r>
      <w:proofErr w:type="spellStart"/>
      <w:r w:rsidRPr="00777DC6">
        <w:rPr>
          <w:lang w:val="en-US"/>
        </w:rPr>
        <w:t>dopted</w:t>
      </w:r>
      <w:proofErr w:type="spellEnd"/>
      <w:r w:rsidRPr="00777DC6">
        <w:rPr>
          <w:lang w:val="en-US"/>
        </w:rPr>
        <w:t xml:space="preserve"> 2009, published 99</w:t>
      </w:r>
      <w:r w:rsidRPr="00777DC6">
        <w:rPr>
          <w:vertAlign w:val="superscript"/>
          <w:lang w:val="en-US"/>
        </w:rPr>
        <w:t>th</w:t>
      </w:r>
      <w:r w:rsidRPr="00777DC6">
        <w:rPr>
          <w:lang w:val="en-US"/>
        </w:rPr>
        <w:t xml:space="preserve"> ILC Session (2010). </w:t>
      </w:r>
    </w:p>
    <w:p w:rsidR="00777DC6" w:rsidRPr="00777DC6" w:rsidRDefault="00777DC6" w:rsidP="00777DC6">
      <w:pPr>
        <w:numPr>
          <w:ilvl w:val="0"/>
          <w:numId w:val="4"/>
        </w:numPr>
        <w:jc w:val="both"/>
        <w:rPr>
          <w:lang w:val="en-US"/>
        </w:rPr>
      </w:pPr>
      <w:r w:rsidRPr="00777DC6">
        <w:rPr>
          <w:lang w:val="en-GB"/>
        </w:rPr>
        <w:t>Committee of Experts on the Application of Conventions and Recommendations, Direct Request on Convention no. 100 on Equal Remuneration, 1951, Syrian Arab Republic, adopted 2008, published 98</w:t>
      </w:r>
      <w:r w:rsidRPr="00777DC6">
        <w:rPr>
          <w:vertAlign w:val="superscript"/>
          <w:lang w:val="en-GB"/>
        </w:rPr>
        <w:t>th</w:t>
      </w:r>
      <w:r w:rsidRPr="00777DC6">
        <w:rPr>
          <w:lang w:val="en-GB"/>
        </w:rPr>
        <w:t xml:space="preserve"> ILC Session (2009).  </w:t>
      </w:r>
    </w:p>
    <w:p w:rsidR="00777DC6" w:rsidRPr="00777DC6" w:rsidRDefault="00777DC6" w:rsidP="00777DC6">
      <w:pPr>
        <w:numPr>
          <w:ilvl w:val="0"/>
          <w:numId w:val="4"/>
        </w:numPr>
        <w:jc w:val="both"/>
        <w:rPr>
          <w:lang w:val="en-US"/>
        </w:rPr>
      </w:pPr>
      <w:r w:rsidRPr="00777DC6">
        <w:rPr>
          <w:lang w:val="en-GB"/>
        </w:rPr>
        <w:t>Committee of Experts on the Application of Conventions and Recommendations, Direct Request on Convention no. 111 on Discrimination in Employment and Occupation, Comoros, adopted 2012, published 102</w:t>
      </w:r>
      <w:r w:rsidRPr="00777DC6">
        <w:rPr>
          <w:vertAlign w:val="superscript"/>
          <w:lang w:val="en-GB"/>
        </w:rPr>
        <w:t>nd</w:t>
      </w:r>
      <w:r w:rsidRPr="00777DC6">
        <w:rPr>
          <w:lang w:val="en-GB"/>
        </w:rPr>
        <w:t xml:space="preserve"> ILC Session (2013).  </w:t>
      </w:r>
    </w:p>
    <w:p w:rsidR="00777DC6" w:rsidRPr="00777DC6" w:rsidRDefault="00777DC6" w:rsidP="00777DC6">
      <w:pPr>
        <w:numPr>
          <w:ilvl w:val="0"/>
          <w:numId w:val="4"/>
        </w:numPr>
        <w:jc w:val="both"/>
        <w:rPr>
          <w:lang w:val="en-US"/>
        </w:rPr>
      </w:pPr>
      <w:r w:rsidRPr="00777DC6">
        <w:rPr>
          <w:lang w:val="en-GB"/>
        </w:rPr>
        <w:t>Committee of Experts on the Application of Conventions and Recommendations, Direct Request on Convention no. 111 on Discrimination in Employment and Occupation, France, adopted 2011, published 101</w:t>
      </w:r>
      <w:r w:rsidRPr="00777DC6">
        <w:rPr>
          <w:vertAlign w:val="superscript"/>
          <w:lang w:val="en-GB"/>
        </w:rPr>
        <w:t>st</w:t>
      </w:r>
      <w:r w:rsidRPr="00777DC6">
        <w:rPr>
          <w:lang w:val="en-GB"/>
        </w:rPr>
        <w:t xml:space="preserve"> ILC Session (2012).  </w:t>
      </w:r>
    </w:p>
    <w:p w:rsidR="00777DC6" w:rsidRPr="00777DC6" w:rsidRDefault="00777DC6" w:rsidP="00777DC6">
      <w:pPr>
        <w:numPr>
          <w:ilvl w:val="0"/>
          <w:numId w:val="4"/>
        </w:numPr>
        <w:jc w:val="both"/>
        <w:rPr>
          <w:lang w:val="en-US"/>
        </w:rPr>
      </w:pPr>
      <w:r w:rsidRPr="00777DC6">
        <w:rPr>
          <w:lang w:val="en-GB"/>
        </w:rPr>
        <w:t>Committee of Experts on the Application of Conventions and Recommendations, Direct Request on Convention no. 111 on Discrimination in Employment and Occupation, Luxembourg, adopted 2012, published 102</w:t>
      </w:r>
      <w:r w:rsidRPr="00777DC6">
        <w:rPr>
          <w:vertAlign w:val="superscript"/>
          <w:lang w:val="en-GB"/>
        </w:rPr>
        <w:t>nd</w:t>
      </w:r>
      <w:r w:rsidRPr="00777DC6">
        <w:rPr>
          <w:lang w:val="en-GB"/>
        </w:rPr>
        <w:t xml:space="preserve"> ILC Session (2013).  </w:t>
      </w:r>
    </w:p>
    <w:p w:rsidR="00777DC6" w:rsidRPr="00777DC6" w:rsidRDefault="00777DC6" w:rsidP="00777DC6">
      <w:pPr>
        <w:numPr>
          <w:ilvl w:val="0"/>
          <w:numId w:val="4"/>
        </w:numPr>
        <w:jc w:val="both"/>
        <w:rPr>
          <w:lang w:val="en-US"/>
        </w:rPr>
      </w:pPr>
      <w:r w:rsidRPr="00777DC6">
        <w:rPr>
          <w:lang w:val="en-GB"/>
        </w:rPr>
        <w:t>Committee of Experts on the Application of Conventions and Recommendations, Observation on Convention no. 111 on Discrimination in Employment and Occupation, Bolivia, adopted 2012, published 102</w:t>
      </w:r>
      <w:r w:rsidRPr="00777DC6">
        <w:rPr>
          <w:vertAlign w:val="superscript"/>
          <w:lang w:val="en-GB"/>
        </w:rPr>
        <w:t>nd</w:t>
      </w:r>
      <w:r w:rsidRPr="00777DC6">
        <w:rPr>
          <w:lang w:val="en-GB"/>
        </w:rPr>
        <w:t xml:space="preserve"> ILC Session (2013).  </w:t>
      </w:r>
    </w:p>
    <w:p w:rsidR="00777DC6" w:rsidRPr="00777DC6" w:rsidRDefault="00777DC6" w:rsidP="00777DC6">
      <w:pPr>
        <w:numPr>
          <w:ilvl w:val="0"/>
          <w:numId w:val="4"/>
        </w:numPr>
        <w:jc w:val="both"/>
        <w:rPr>
          <w:lang w:val="en-GB"/>
        </w:rPr>
      </w:pPr>
      <w:r w:rsidRPr="00777DC6">
        <w:rPr>
          <w:lang w:val="en-GB"/>
        </w:rPr>
        <w:t>Committee of Experts on the Application of Recommendations and Conventions, General Observation concerning Convention No. 111: Sexual Harassment, adopted 2002, published 91</w:t>
      </w:r>
      <w:r w:rsidRPr="00777DC6">
        <w:rPr>
          <w:vertAlign w:val="superscript"/>
          <w:lang w:val="en-GB"/>
        </w:rPr>
        <w:t>st</w:t>
      </w:r>
      <w:r w:rsidRPr="00777DC6">
        <w:rPr>
          <w:lang w:val="en-GB"/>
        </w:rPr>
        <w:t xml:space="preserve"> ILC Session (2003). </w:t>
      </w:r>
    </w:p>
    <w:p w:rsidR="00777DC6" w:rsidRPr="00777DC6" w:rsidRDefault="00777DC6" w:rsidP="00777DC6">
      <w:pPr>
        <w:numPr>
          <w:ilvl w:val="0"/>
          <w:numId w:val="4"/>
        </w:numPr>
        <w:jc w:val="both"/>
        <w:rPr>
          <w:lang w:val="en-GB"/>
        </w:rPr>
      </w:pPr>
      <w:r w:rsidRPr="00777DC6">
        <w:rPr>
          <w:lang w:val="en-GB"/>
        </w:rPr>
        <w:t>International Labour Conference, General Survey of the Reports on the Equal Remuneration Convention (no. 100) and Recommendation (no. 90), Geneva, International Labour Office, 72</w:t>
      </w:r>
      <w:r w:rsidRPr="00777DC6">
        <w:rPr>
          <w:vertAlign w:val="superscript"/>
          <w:lang w:val="en-GB"/>
        </w:rPr>
        <w:t>nd</w:t>
      </w:r>
      <w:r w:rsidRPr="00777DC6">
        <w:rPr>
          <w:lang w:val="en-GB"/>
        </w:rPr>
        <w:t xml:space="preserve"> Session, 1986, 203 p.  </w:t>
      </w:r>
    </w:p>
    <w:p w:rsidR="00777DC6" w:rsidRPr="00777DC6" w:rsidRDefault="00777DC6" w:rsidP="00777DC6">
      <w:pPr>
        <w:numPr>
          <w:ilvl w:val="0"/>
          <w:numId w:val="4"/>
        </w:numPr>
        <w:jc w:val="both"/>
        <w:rPr>
          <w:lang w:val="en-GB"/>
        </w:rPr>
      </w:pPr>
      <w:r w:rsidRPr="00777DC6">
        <w:rPr>
          <w:lang w:val="en-GB"/>
        </w:rPr>
        <w:t>International Labour Conference, Equality in Employment and Occupation: General Survey by the Committee of Experts on the Application of Conventions and Recommendations, Geneva, International Labour Office, 75</w:t>
      </w:r>
      <w:r w:rsidRPr="00777DC6">
        <w:rPr>
          <w:vertAlign w:val="superscript"/>
          <w:lang w:val="en-GB"/>
        </w:rPr>
        <w:t>th</w:t>
      </w:r>
      <w:r w:rsidRPr="00777DC6">
        <w:rPr>
          <w:lang w:val="en-GB"/>
        </w:rPr>
        <w:t xml:space="preserve"> Session, 1988, 259 p.  </w:t>
      </w:r>
    </w:p>
    <w:p w:rsidR="00777DC6" w:rsidRPr="00777DC6" w:rsidRDefault="00777DC6" w:rsidP="00777DC6">
      <w:pPr>
        <w:numPr>
          <w:ilvl w:val="0"/>
          <w:numId w:val="4"/>
        </w:numPr>
        <w:jc w:val="both"/>
        <w:rPr>
          <w:lang w:val="en-GB"/>
        </w:rPr>
      </w:pPr>
      <w:r w:rsidRPr="00777DC6">
        <w:rPr>
          <w:lang w:val="en-GB"/>
        </w:rPr>
        <w:t>International Labour Conference, General Survey on the Reports on the Workers with Family Responsibilities Convention no. 156 and Recommendation no. 165, 80</w:t>
      </w:r>
      <w:r w:rsidRPr="00777DC6">
        <w:rPr>
          <w:vertAlign w:val="superscript"/>
          <w:lang w:val="en-GB"/>
        </w:rPr>
        <w:t>th</w:t>
      </w:r>
      <w:r w:rsidRPr="00777DC6">
        <w:rPr>
          <w:lang w:val="en-GB"/>
        </w:rPr>
        <w:t xml:space="preserve"> Session, 1993, 113 p. </w:t>
      </w:r>
    </w:p>
    <w:p w:rsidR="00777DC6" w:rsidRPr="00777DC6" w:rsidRDefault="00777DC6" w:rsidP="00777DC6">
      <w:pPr>
        <w:numPr>
          <w:ilvl w:val="0"/>
          <w:numId w:val="4"/>
        </w:numPr>
        <w:jc w:val="both"/>
        <w:rPr>
          <w:lang w:val="en-GB"/>
        </w:rPr>
      </w:pPr>
      <w:r w:rsidRPr="00777DC6">
        <w:rPr>
          <w:lang w:val="en-GB"/>
        </w:rPr>
        <w:t>International Labour Conference, General Survey on the fundamental Conventions concerning rights at work in the light of the ILO Declaration on Social Justice for a Fair Globalization, Report III (Part 1B), 101</w:t>
      </w:r>
      <w:r w:rsidRPr="00777DC6">
        <w:rPr>
          <w:vertAlign w:val="superscript"/>
          <w:lang w:val="en-GB"/>
        </w:rPr>
        <w:t>st</w:t>
      </w:r>
      <w:r w:rsidRPr="00777DC6">
        <w:rPr>
          <w:lang w:val="en-GB"/>
        </w:rPr>
        <w:t xml:space="preserve"> Session, 2012, 395 p. </w:t>
      </w:r>
    </w:p>
    <w:p w:rsidR="00777DC6" w:rsidRPr="00777DC6" w:rsidRDefault="00777DC6" w:rsidP="00777DC6">
      <w:pPr>
        <w:numPr>
          <w:ilvl w:val="0"/>
          <w:numId w:val="4"/>
        </w:numPr>
        <w:jc w:val="both"/>
        <w:rPr>
          <w:lang w:val="en-GB"/>
        </w:rPr>
      </w:pPr>
      <w:r w:rsidRPr="00777DC6">
        <w:rPr>
          <w:lang w:val="en-GB"/>
        </w:rPr>
        <w:lastRenderedPageBreak/>
        <w:t>International Labour Conference, Equality in Employment and Occupation: Special Survey in respect of Convention no. 111, Geneva, International Labour Office, 83</w:t>
      </w:r>
      <w:r w:rsidRPr="00777DC6">
        <w:rPr>
          <w:vertAlign w:val="superscript"/>
          <w:lang w:val="en-GB"/>
        </w:rPr>
        <w:t>rd</w:t>
      </w:r>
      <w:r w:rsidRPr="00777DC6">
        <w:rPr>
          <w:lang w:val="en-GB"/>
        </w:rPr>
        <w:t xml:space="preserve"> Session, 1996, 133 p. </w:t>
      </w:r>
    </w:p>
    <w:p w:rsidR="00777DC6" w:rsidRPr="00777DC6" w:rsidRDefault="00777DC6" w:rsidP="00777DC6">
      <w:pPr>
        <w:numPr>
          <w:ilvl w:val="0"/>
          <w:numId w:val="4"/>
        </w:numPr>
        <w:jc w:val="both"/>
        <w:rPr>
          <w:lang w:val="en-GB"/>
        </w:rPr>
      </w:pPr>
      <w:r w:rsidRPr="00777DC6">
        <w:rPr>
          <w:lang w:val="en-GB"/>
        </w:rPr>
        <w:t>International Labour Conference, Report of the Committee of Experts on the Application of Conventions and Recommendations, Report III (Part 1A), Geneva, International Labour Office, 86</w:t>
      </w:r>
      <w:r w:rsidRPr="00777DC6">
        <w:rPr>
          <w:vertAlign w:val="superscript"/>
          <w:lang w:val="en-GB"/>
        </w:rPr>
        <w:t>th</w:t>
      </w:r>
      <w:r w:rsidRPr="00777DC6">
        <w:rPr>
          <w:lang w:val="en-GB"/>
        </w:rPr>
        <w:t xml:space="preserve"> Session, 1998, 511 p. </w:t>
      </w:r>
    </w:p>
    <w:p w:rsidR="00777DC6" w:rsidRPr="00777DC6" w:rsidRDefault="00777DC6" w:rsidP="00777DC6">
      <w:pPr>
        <w:numPr>
          <w:ilvl w:val="0"/>
          <w:numId w:val="4"/>
        </w:numPr>
        <w:jc w:val="both"/>
        <w:rPr>
          <w:lang w:val="en-GB"/>
        </w:rPr>
      </w:pPr>
      <w:r w:rsidRPr="00777DC6">
        <w:rPr>
          <w:lang w:val="en-GB"/>
        </w:rPr>
        <w:t>International Labour Conference, Report of the Committee of Experts on the Application of Conventions and Recommendations, Report III (Part 1A), Geneva, International Labour Office, 96</w:t>
      </w:r>
      <w:r w:rsidRPr="00777DC6">
        <w:rPr>
          <w:vertAlign w:val="superscript"/>
          <w:lang w:val="en-GB"/>
        </w:rPr>
        <w:t>th</w:t>
      </w:r>
      <w:r w:rsidRPr="00777DC6">
        <w:rPr>
          <w:lang w:val="en-GB"/>
        </w:rPr>
        <w:t xml:space="preserve"> Session, 2007, 627 p. </w:t>
      </w: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2E094A" w:rsidRDefault="002E094A" w:rsidP="00777DC6">
      <w:pPr>
        <w:jc w:val="both"/>
        <w:rPr>
          <w:b/>
          <w:u w:val="single"/>
          <w:lang w:val="en-GB"/>
        </w:rPr>
      </w:pPr>
    </w:p>
    <w:p w:rsidR="002E094A" w:rsidRDefault="002E094A" w:rsidP="00777DC6">
      <w:pPr>
        <w:jc w:val="both"/>
        <w:rPr>
          <w:b/>
          <w:u w:val="single"/>
          <w:lang w:val="en-GB"/>
        </w:rPr>
      </w:pPr>
    </w:p>
    <w:p w:rsidR="002E094A" w:rsidRDefault="002E094A" w:rsidP="00777DC6">
      <w:pPr>
        <w:jc w:val="both"/>
        <w:rPr>
          <w:b/>
          <w:u w:val="single"/>
          <w:lang w:val="en-GB"/>
        </w:rPr>
      </w:pPr>
    </w:p>
    <w:p w:rsidR="002E094A" w:rsidRDefault="002E094A" w:rsidP="00777DC6">
      <w:pPr>
        <w:jc w:val="both"/>
        <w:rPr>
          <w:b/>
          <w:u w:val="single"/>
          <w:lang w:val="en-GB"/>
        </w:rPr>
      </w:pPr>
    </w:p>
    <w:p w:rsidR="002E094A" w:rsidRDefault="002E094A" w:rsidP="00777DC6">
      <w:pPr>
        <w:jc w:val="both"/>
        <w:rPr>
          <w:b/>
          <w:u w:val="single"/>
          <w:lang w:val="en-GB"/>
        </w:rPr>
      </w:pPr>
    </w:p>
    <w:p w:rsidR="002E094A" w:rsidRDefault="002E094A" w:rsidP="00777DC6">
      <w:pPr>
        <w:jc w:val="both"/>
        <w:rPr>
          <w:b/>
          <w:u w:val="single"/>
          <w:lang w:val="en-GB"/>
        </w:rPr>
      </w:pPr>
    </w:p>
    <w:p w:rsidR="002E094A" w:rsidRDefault="002E094A" w:rsidP="00777DC6">
      <w:pPr>
        <w:jc w:val="both"/>
        <w:rPr>
          <w:b/>
          <w:u w:val="single"/>
          <w:lang w:val="en-GB"/>
        </w:rPr>
      </w:pPr>
    </w:p>
    <w:p w:rsidR="002E094A" w:rsidRDefault="002E094A" w:rsidP="00777DC6">
      <w:pPr>
        <w:jc w:val="both"/>
        <w:rPr>
          <w:b/>
          <w:u w:val="single"/>
          <w:lang w:val="en-GB"/>
        </w:rPr>
      </w:pPr>
    </w:p>
    <w:p w:rsidR="002E094A" w:rsidRDefault="002E094A" w:rsidP="00777DC6">
      <w:pPr>
        <w:jc w:val="both"/>
        <w:rPr>
          <w:b/>
          <w:u w:val="single"/>
          <w:lang w:val="en-GB"/>
        </w:rPr>
      </w:pPr>
    </w:p>
    <w:p w:rsidR="002E094A" w:rsidRDefault="002E094A" w:rsidP="00777DC6">
      <w:pPr>
        <w:jc w:val="both"/>
        <w:rPr>
          <w:b/>
          <w:u w:val="single"/>
          <w:lang w:val="en-GB"/>
        </w:rPr>
      </w:pPr>
    </w:p>
    <w:p w:rsidR="002E094A" w:rsidRDefault="002E094A" w:rsidP="00777DC6">
      <w:pPr>
        <w:jc w:val="both"/>
        <w:rPr>
          <w:b/>
          <w:u w:val="single"/>
          <w:lang w:val="en-GB"/>
        </w:rPr>
      </w:pPr>
    </w:p>
    <w:p w:rsidR="002E094A" w:rsidRDefault="002E094A" w:rsidP="00777DC6">
      <w:pPr>
        <w:jc w:val="both"/>
        <w:rPr>
          <w:b/>
          <w:u w:val="single"/>
          <w:lang w:val="en-GB"/>
        </w:rPr>
      </w:pPr>
    </w:p>
    <w:p w:rsidR="002E094A" w:rsidRDefault="002E094A" w:rsidP="00777DC6">
      <w:pPr>
        <w:jc w:val="both"/>
        <w:rPr>
          <w:b/>
          <w:u w:val="single"/>
          <w:lang w:val="en-GB"/>
        </w:rPr>
      </w:pPr>
    </w:p>
    <w:p w:rsidR="002E094A" w:rsidRDefault="002E094A" w:rsidP="00777DC6">
      <w:pPr>
        <w:jc w:val="both"/>
        <w:rPr>
          <w:b/>
          <w:u w:val="single"/>
          <w:lang w:val="en-GB"/>
        </w:rPr>
      </w:pPr>
    </w:p>
    <w:p w:rsidR="002E094A" w:rsidRDefault="002E094A" w:rsidP="00777DC6">
      <w:pPr>
        <w:jc w:val="both"/>
        <w:rPr>
          <w:b/>
          <w:u w:val="single"/>
          <w:lang w:val="en-GB"/>
        </w:rPr>
      </w:pPr>
    </w:p>
    <w:p w:rsidR="00735BAD" w:rsidRDefault="00735BAD" w:rsidP="00777DC6">
      <w:pPr>
        <w:jc w:val="both"/>
        <w:rPr>
          <w:b/>
          <w:u w:val="single"/>
          <w:lang w:val="en-GB"/>
        </w:rPr>
      </w:pPr>
    </w:p>
    <w:p w:rsidR="00777DC6" w:rsidRPr="00777DC6" w:rsidRDefault="00777DC6" w:rsidP="00777DC6">
      <w:pPr>
        <w:jc w:val="both"/>
        <w:rPr>
          <w:b/>
          <w:u w:val="single"/>
          <w:lang w:val="en-GB"/>
        </w:rPr>
      </w:pPr>
      <w:r w:rsidRPr="00777DC6">
        <w:rPr>
          <w:b/>
          <w:u w:val="single"/>
          <w:lang w:val="en-GB"/>
        </w:rPr>
        <w:lastRenderedPageBreak/>
        <w:t xml:space="preserve">Other Instruments adopted by </w:t>
      </w:r>
      <w:r w:rsidR="002E094A">
        <w:rPr>
          <w:b/>
          <w:u w:val="single"/>
          <w:lang w:val="en-GB"/>
        </w:rPr>
        <w:t>the Council of Europe and the EU</w:t>
      </w:r>
      <w:r w:rsidRPr="00777DC6">
        <w:rPr>
          <w:b/>
          <w:u w:val="single"/>
          <w:lang w:val="en-GB"/>
        </w:rPr>
        <w:t xml:space="preserve"> Institutions </w:t>
      </w:r>
    </w:p>
    <w:p w:rsidR="00777DC6" w:rsidRPr="00777DC6" w:rsidRDefault="00777DC6" w:rsidP="00777DC6">
      <w:pPr>
        <w:jc w:val="both"/>
        <w:rPr>
          <w:u w:val="single"/>
          <w:lang w:val="en-GB"/>
        </w:rPr>
      </w:pPr>
      <w:r w:rsidRPr="00777DC6">
        <w:rPr>
          <w:u w:val="single"/>
          <w:lang w:val="en-GB"/>
        </w:rPr>
        <w:t>The Council of Europe</w:t>
      </w:r>
    </w:p>
    <w:p w:rsidR="00777DC6" w:rsidRPr="00777DC6" w:rsidRDefault="00777DC6" w:rsidP="00777DC6">
      <w:pPr>
        <w:numPr>
          <w:ilvl w:val="0"/>
          <w:numId w:val="4"/>
        </w:numPr>
        <w:jc w:val="both"/>
        <w:rPr>
          <w:lang w:val="en-GB"/>
        </w:rPr>
      </w:pPr>
      <w:r w:rsidRPr="00777DC6">
        <w:rPr>
          <w:lang w:val="en-GB"/>
        </w:rPr>
        <w:t xml:space="preserve">Explanatory Report to the Revised European Social Charter, 1996.  </w:t>
      </w:r>
    </w:p>
    <w:p w:rsidR="00777DC6" w:rsidRPr="00777DC6" w:rsidRDefault="00777DC6" w:rsidP="00777DC6">
      <w:pPr>
        <w:jc w:val="both"/>
        <w:rPr>
          <w:lang w:val="en-GB"/>
        </w:rPr>
      </w:pPr>
    </w:p>
    <w:p w:rsidR="00777DC6" w:rsidRPr="00777DC6" w:rsidRDefault="00777DC6" w:rsidP="00777DC6">
      <w:pPr>
        <w:jc w:val="both"/>
        <w:rPr>
          <w:u w:val="single"/>
          <w:lang w:val="en-GB"/>
        </w:rPr>
      </w:pPr>
      <w:r w:rsidRPr="00777DC6">
        <w:rPr>
          <w:u w:val="single"/>
          <w:lang w:val="en-GB"/>
        </w:rPr>
        <w:t>The European Union</w:t>
      </w:r>
    </w:p>
    <w:p w:rsidR="00777DC6" w:rsidRPr="00777DC6" w:rsidRDefault="00777DC6" w:rsidP="00777DC6">
      <w:pPr>
        <w:numPr>
          <w:ilvl w:val="0"/>
          <w:numId w:val="8"/>
        </w:numPr>
        <w:jc w:val="both"/>
        <w:rPr>
          <w:lang w:val="en-US"/>
        </w:rPr>
      </w:pPr>
      <w:r w:rsidRPr="00777DC6">
        <w:rPr>
          <w:lang w:val="en-US"/>
        </w:rPr>
        <w:t xml:space="preserve">Joint Declaration by the European Parliament, the Council and the Commission concerning the protection of Fundamental Rights &amp; the European Convention for the Protection of Human Rights and Fundamental Freedoms, 5 April 1977, </w:t>
      </w:r>
      <w:r w:rsidRPr="00777DC6">
        <w:rPr>
          <w:iCs/>
          <w:lang w:val="en-US"/>
        </w:rPr>
        <w:t>Official Journal C 103 , 27/04/1977 P. </w:t>
      </w:r>
    </w:p>
    <w:p w:rsidR="00777DC6" w:rsidRPr="00777DC6" w:rsidRDefault="00777DC6" w:rsidP="00777DC6">
      <w:pPr>
        <w:numPr>
          <w:ilvl w:val="0"/>
          <w:numId w:val="8"/>
        </w:numPr>
        <w:jc w:val="both"/>
        <w:rPr>
          <w:lang w:val="en-GB"/>
        </w:rPr>
      </w:pPr>
      <w:r w:rsidRPr="00777DC6">
        <w:rPr>
          <w:lang w:val="en-US"/>
        </w:rPr>
        <w:t xml:space="preserve">New Community Action </w:t>
      </w:r>
      <w:proofErr w:type="spellStart"/>
      <w:r w:rsidRPr="00777DC6">
        <w:rPr>
          <w:lang w:val="en-US"/>
        </w:rPr>
        <w:t>Programme</w:t>
      </w:r>
      <w:proofErr w:type="spellEnd"/>
      <w:r w:rsidRPr="00777DC6">
        <w:rPr>
          <w:lang w:val="en-US"/>
        </w:rPr>
        <w:t xml:space="preserve"> on the Promotion of Equal Opportunities for Women 1982-1985 COM (81) 758 final. </w:t>
      </w:r>
    </w:p>
    <w:p w:rsidR="00777DC6" w:rsidRPr="00777DC6" w:rsidRDefault="00777DC6" w:rsidP="00777DC6">
      <w:pPr>
        <w:numPr>
          <w:ilvl w:val="0"/>
          <w:numId w:val="8"/>
        </w:numPr>
        <w:jc w:val="both"/>
        <w:rPr>
          <w:lang w:val="en-GB"/>
        </w:rPr>
      </w:pPr>
      <w:r w:rsidRPr="00777DC6">
        <w:rPr>
          <w:lang w:val="en-US"/>
        </w:rPr>
        <w:t xml:space="preserve">Council Recommendation 84/635/EEC of 13 December 1984 on the promotion of positive action for women. </w:t>
      </w:r>
    </w:p>
    <w:p w:rsidR="00777DC6" w:rsidRPr="00777DC6" w:rsidRDefault="00777DC6" w:rsidP="00777DC6">
      <w:pPr>
        <w:numPr>
          <w:ilvl w:val="0"/>
          <w:numId w:val="8"/>
        </w:numPr>
        <w:jc w:val="both"/>
        <w:rPr>
          <w:lang w:val="en-US"/>
        </w:rPr>
      </w:pPr>
      <w:r w:rsidRPr="00777DC6">
        <w:rPr>
          <w:bCs/>
          <w:lang w:val="en-US"/>
        </w:rPr>
        <w:t xml:space="preserve">Second Council Resolution of 24 July 1986 on the promotion of equal opportunities for women, 86/C 203/02. </w:t>
      </w:r>
    </w:p>
    <w:p w:rsidR="00777DC6" w:rsidRPr="00777DC6" w:rsidRDefault="00777DC6" w:rsidP="00777DC6">
      <w:pPr>
        <w:numPr>
          <w:ilvl w:val="0"/>
          <w:numId w:val="8"/>
        </w:numPr>
        <w:jc w:val="both"/>
        <w:rPr>
          <w:lang w:val="en-US"/>
        </w:rPr>
      </w:pPr>
      <w:r w:rsidRPr="00777DC6">
        <w:rPr>
          <w:bCs/>
          <w:lang w:val="en-US"/>
        </w:rPr>
        <w:t xml:space="preserve">The Community Charter of Fundamental Social Rights of Workers, 9 December 1989. </w:t>
      </w:r>
    </w:p>
    <w:p w:rsidR="00777DC6" w:rsidRPr="00777DC6" w:rsidRDefault="00777DC6" w:rsidP="00777DC6">
      <w:pPr>
        <w:numPr>
          <w:ilvl w:val="0"/>
          <w:numId w:val="8"/>
        </w:numPr>
        <w:jc w:val="both"/>
        <w:rPr>
          <w:lang w:val="en-US"/>
        </w:rPr>
      </w:pPr>
      <w:r w:rsidRPr="00777DC6">
        <w:rPr>
          <w:bCs/>
          <w:lang w:val="en-US"/>
        </w:rPr>
        <w:t>Council Resolution of 29 May 1990 on the protection of the dignity of women and men at work, 90/C 157/02.</w:t>
      </w:r>
      <w:r w:rsidRPr="00777DC6">
        <w:rPr>
          <w:bCs/>
          <w:lang w:val="en-US"/>
        </w:rPr>
        <w:tab/>
        <w:t xml:space="preserve"> </w:t>
      </w:r>
    </w:p>
    <w:p w:rsidR="00777DC6" w:rsidRPr="00777DC6" w:rsidRDefault="00777DC6" w:rsidP="00777DC6">
      <w:pPr>
        <w:numPr>
          <w:ilvl w:val="0"/>
          <w:numId w:val="8"/>
        </w:numPr>
        <w:jc w:val="both"/>
        <w:rPr>
          <w:bCs/>
          <w:lang w:val="en-US"/>
        </w:rPr>
      </w:pPr>
      <w:r w:rsidRPr="00777DC6">
        <w:rPr>
          <w:lang w:val="en-US"/>
        </w:rPr>
        <w:t xml:space="preserve">Commission Recommendation </w:t>
      </w:r>
      <w:r w:rsidRPr="00777DC6">
        <w:rPr>
          <w:bCs/>
          <w:lang w:val="en-US"/>
        </w:rPr>
        <w:t>of 27 November 1991 on the protection of the dignity of women and men at work, 92/131/</w:t>
      </w:r>
      <w:r w:rsidRPr="00777DC6">
        <w:rPr>
          <w:bCs/>
          <w:lang w:val="en-US"/>
        </w:rPr>
        <w:tab/>
        <w:t xml:space="preserve">EEC. </w:t>
      </w:r>
    </w:p>
    <w:p w:rsidR="00777DC6" w:rsidRPr="00777DC6" w:rsidRDefault="00777DC6" w:rsidP="00777DC6">
      <w:pPr>
        <w:numPr>
          <w:ilvl w:val="0"/>
          <w:numId w:val="8"/>
        </w:numPr>
        <w:jc w:val="both"/>
        <w:rPr>
          <w:u w:val="single"/>
          <w:lang w:val="en-US"/>
        </w:rPr>
      </w:pPr>
      <w:r w:rsidRPr="00777DC6">
        <w:rPr>
          <w:lang w:val="en-US"/>
        </w:rPr>
        <w:t>Council Recommendation of 31 March 1992 on child-care, 92/241/EEC.</w:t>
      </w:r>
    </w:p>
    <w:p w:rsidR="00777DC6" w:rsidRPr="00777DC6" w:rsidRDefault="00777DC6" w:rsidP="00777DC6">
      <w:pPr>
        <w:numPr>
          <w:ilvl w:val="0"/>
          <w:numId w:val="8"/>
        </w:numPr>
        <w:jc w:val="both"/>
        <w:rPr>
          <w:u w:val="single"/>
          <w:lang w:val="en-US"/>
        </w:rPr>
      </w:pPr>
      <w:r w:rsidRPr="00777DC6">
        <w:rPr>
          <w:lang w:val="en-US"/>
        </w:rPr>
        <w:t>Communication of the Commission, ‘Incorporating equal opportunities for women and men into all Community policies and activities’, 21 February 1996, COM(96) 67 final.</w:t>
      </w:r>
    </w:p>
    <w:p w:rsidR="00777DC6" w:rsidRPr="00777DC6" w:rsidRDefault="00777DC6" w:rsidP="00777DC6">
      <w:pPr>
        <w:numPr>
          <w:ilvl w:val="0"/>
          <w:numId w:val="8"/>
        </w:numPr>
        <w:jc w:val="both"/>
        <w:rPr>
          <w:u w:val="single"/>
          <w:lang w:val="en-US"/>
        </w:rPr>
      </w:pPr>
      <w:r w:rsidRPr="00777DC6">
        <w:rPr>
          <w:lang w:val="en-US"/>
        </w:rPr>
        <w:t>Report from the Commission on the implementation of council directive 92/85/</w:t>
      </w:r>
      <w:proofErr w:type="spellStart"/>
      <w:r w:rsidRPr="00777DC6">
        <w:rPr>
          <w:lang w:val="en-US"/>
        </w:rPr>
        <w:t>eec</w:t>
      </w:r>
      <w:proofErr w:type="spellEnd"/>
      <w:r w:rsidRPr="00777DC6">
        <w:rPr>
          <w:lang w:val="en-US"/>
        </w:rPr>
        <w:t xml:space="preserve">, 1999, COM/99/0100 final. </w:t>
      </w:r>
    </w:p>
    <w:p w:rsidR="00777DC6" w:rsidRPr="00777DC6" w:rsidRDefault="00777DC6" w:rsidP="00777DC6">
      <w:pPr>
        <w:numPr>
          <w:ilvl w:val="0"/>
          <w:numId w:val="8"/>
        </w:numPr>
        <w:jc w:val="both"/>
        <w:rPr>
          <w:u w:val="single"/>
          <w:lang w:val="en-US"/>
        </w:rPr>
      </w:pPr>
      <w:r w:rsidRPr="00777DC6">
        <w:rPr>
          <w:lang w:val="en-US"/>
        </w:rPr>
        <w:t xml:space="preserve">Text of the explanations relating to the complete text of the Charter of Fundamental Rights of the European Union, </w:t>
      </w:r>
      <w:proofErr w:type="spellStart"/>
      <w:r w:rsidRPr="00777DC6">
        <w:rPr>
          <w:lang w:val="en-US"/>
        </w:rPr>
        <w:t>Charte</w:t>
      </w:r>
      <w:proofErr w:type="spellEnd"/>
      <w:r w:rsidRPr="00777DC6">
        <w:rPr>
          <w:lang w:val="en-US"/>
        </w:rPr>
        <w:t xml:space="preserve"> 4473/00 Convent 49, 11 October 2000.</w:t>
      </w:r>
    </w:p>
    <w:p w:rsidR="00777DC6" w:rsidRPr="00B074C5" w:rsidRDefault="00777DC6" w:rsidP="00777DC6">
      <w:pPr>
        <w:numPr>
          <w:ilvl w:val="0"/>
          <w:numId w:val="4"/>
        </w:numPr>
        <w:jc w:val="both"/>
        <w:rPr>
          <w:u w:val="single"/>
          <w:lang w:val="en-US"/>
        </w:rPr>
      </w:pPr>
      <w:r w:rsidRPr="00777DC6">
        <w:rPr>
          <w:lang w:val="en-US"/>
        </w:rPr>
        <w:t xml:space="preserve">Commission of the European Communities, Proposal for a Directive of the European Parliament and of the Council amending Council Directive 92/85/EEC, Brussels 3.10.2008, COM(2008) 637 final. </w:t>
      </w:r>
    </w:p>
    <w:p w:rsidR="00777DC6" w:rsidRPr="00B074C5" w:rsidRDefault="00777DC6" w:rsidP="00777DC6">
      <w:pPr>
        <w:numPr>
          <w:ilvl w:val="0"/>
          <w:numId w:val="4"/>
        </w:numPr>
        <w:jc w:val="both"/>
        <w:rPr>
          <w:lang w:val="en-US"/>
        </w:rPr>
      </w:pPr>
      <w:r w:rsidRPr="00777DC6">
        <w:rPr>
          <w:lang w:val="en-US"/>
        </w:rPr>
        <w:lastRenderedPageBreak/>
        <w:t xml:space="preserve">Position of the European Parliament adopted at first reading on 20 October 2010 with a view to the adoption of Directive 2011/.../EU of the European Parliament and of the Council amending Council Directive 92/85/EEC, P7_TA(2010)0373. </w:t>
      </w:r>
    </w:p>
    <w:p w:rsidR="00777DC6" w:rsidRPr="00777DC6" w:rsidRDefault="00777DC6" w:rsidP="00777DC6">
      <w:pPr>
        <w:numPr>
          <w:ilvl w:val="0"/>
          <w:numId w:val="4"/>
        </w:numPr>
        <w:jc w:val="both"/>
        <w:rPr>
          <w:lang w:val="en-US"/>
        </w:rPr>
      </w:pPr>
      <w:r w:rsidRPr="00777DC6">
        <w:rPr>
          <w:lang w:val="en-US"/>
        </w:rPr>
        <w:t xml:space="preserve">Council of the European Union, Progress Report on the Proposal for a Directive of the European Parliament and of the Council amending Council Directive 92/85/EEC, Brussels, 31 May 2011, 10541/11.  </w:t>
      </w: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1E12C3" w:rsidRDefault="001E12C3" w:rsidP="00777DC6">
      <w:pPr>
        <w:jc w:val="both"/>
        <w:rPr>
          <w:b/>
          <w:u w:val="single"/>
          <w:lang w:val="en-GB"/>
        </w:rPr>
      </w:pPr>
    </w:p>
    <w:p w:rsidR="001E12C3" w:rsidRDefault="001E12C3" w:rsidP="00777DC6">
      <w:pPr>
        <w:jc w:val="both"/>
        <w:rPr>
          <w:b/>
          <w:u w:val="single"/>
          <w:lang w:val="en-GB"/>
        </w:rPr>
      </w:pPr>
    </w:p>
    <w:p w:rsidR="001E12C3" w:rsidRDefault="001E12C3" w:rsidP="00777DC6">
      <w:pPr>
        <w:jc w:val="both"/>
        <w:rPr>
          <w:b/>
          <w:u w:val="single"/>
          <w:lang w:val="en-GB"/>
        </w:rPr>
      </w:pPr>
    </w:p>
    <w:p w:rsidR="001E12C3" w:rsidRDefault="001E12C3" w:rsidP="00777DC6">
      <w:pPr>
        <w:jc w:val="both"/>
        <w:rPr>
          <w:b/>
          <w:u w:val="single"/>
          <w:lang w:val="en-GB"/>
        </w:rPr>
      </w:pPr>
    </w:p>
    <w:p w:rsidR="001E12C3" w:rsidRDefault="001E12C3" w:rsidP="00777DC6">
      <w:pPr>
        <w:jc w:val="both"/>
        <w:rPr>
          <w:b/>
          <w:u w:val="single"/>
          <w:lang w:val="en-GB"/>
        </w:rPr>
      </w:pPr>
    </w:p>
    <w:p w:rsidR="001E12C3" w:rsidRDefault="001E12C3" w:rsidP="00777DC6">
      <w:pPr>
        <w:jc w:val="both"/>
        <w:rPr>
          <w:b/>
          <w:u w:val="single"/>
          <w:lang w:val="en-GB"/>
        </w:rPr>
      </w:pPr>
    </w:p>
    <w:p w:rsidR="001E12C3" w:rsidRDefault="001E12C3" w:rsidP="00777DC6">
      <w:pPr>
        <w:jc w:val="both"/>
        <w:rPr>
          <w:b/>
          <w:u w:val="single"/>
          <w:lang w:val="en-GB"/>
        </w:rPr>
      </w:pPr>
    </w:p>
    <w:p w:rsidR="001E12C3" w:rsidRDefault="001E12C3" w:rsidP="00777DC6">
      <w:pPr>
        <w:jc w:val="both"/>
        <w:rPr>
          <w:b/>
          <w:u w:val="single"/>
          <w:lang w:val="en-GB"/>
        </w:rPr>
      </w:pPr>
    </w:p>
    <w:p w:rsidR="001E12C3" w:rsidRDefault="001E12C3" w:rsidP="00777DC6">
      <w:pPr>
        <w:jc w:val="both"/>
        <w:rPr>
          <w:b/>
          <w:u w:val="single"/>
          <w:lang w:val="en-GB"/>
        </w:rPr>
      </w:pPr>
    </w:p>
    <w:p w:rsidR="001E12C3" w:rsidRDefault="001E12C3" w:rsidP="00777DC6">
      <w:pPr>
        <w:jc w:val="both"/>
        <w:rPr>
          <w:b/>
          <w:u w:val="single"/>
          <w:lang w:val="en-GB"/>
        </w:rPr>
      </w:pPr>
    </w:p>
    <w:p w:rsidR="001E12C3" w:rsidRDefault="001E12C3" w:rsidP="00777DC6">
      <w:pPr>
        <w:jc w:val="both"/>
        <w:rPr>
          <w:b/>
          <w:u w:val="single"/>
          <w:lang w:val="en-GB"/>
        </w:rPr>
      </w:pPr>
    </w:p>
    <w:p w:rsidR="001E12C3" w:rsidRDefault="001E12C3" w:rsidP="00777DC6">
      <w:pPr>
        <w:jc w:val="both"/>
        <w:rPr>
          <w:b/>
          <w:u w:val="single"/>
          <w:lang w:val="en-GB"/>
        </w:rPr>
      </w:pPr>
    </w:p>
    <w:p w:rsidR="001E12C3" w:rsidRDefault="001E12C3" w:rsidP="00777DC6">
      <w:pPr>
        <w:jc w:val="both"/>
        <w:rPr>
          <w:b/>
          <w:u w:val="single"/>
          <w:lang w:val="en-GB"/>
        </w:rPr>
      </w:pPr>
    </w:p>
    <w:p w:rsidR="001E12C3" w:rsidRDefault="001E12C3" w:rsidP="00777DC6">
      <w:pPr>
        <w:jc w:val="both"/>
        <w:rPr>
          <w:b/>
          <w:u w:val="single"/>
          <w:lang w:val="en-GB"/>
        </w:rPr>
      </w:pPr>
    </w:p>
    <w:p w:rsidR="001E12C3" w:rsidRDefault="001E12C3" w:rsidP="00777DC6">
      <w:pPr>
        <w:jc w:val="both"/>
        <w:rPr>
          <w:b/>
          <w:u w:val="single"/>
          <w:lang w:val="en-GB"/>
        </w:rPr>
      </w:pPr>
    </w:p>
    <w:p w:rsidR="001E12C3" w:rsidRDefault="001E12C3" w:rsidP="00777DC6">
      <w:pPr>
        <w:jc w:val="both"/>
        <w:rPr>
          <w:b/>
          <w:u w:val="single"/>
          <w:lang w:val="en-GB"/>
        </w:rPr>
      </w:pPr>
    </w:p>
    <w:p w:rsidR="001E12C3" w:rsidRDefault="001E12C3" w:rsidP="00777DC6">
      <w:pPr>
        <w:jc w:val="both"/>
        <w:rPr>
          <w:b/>
          <w:u w:val="single"/>
          <w:lang w:val="en-GB"/>
        </w:rPr>
      </w:pPr>
    </w:p>
    <w:p w:rsidR="001E12C3" w:rsidRDefault="001E12C3" w:rsidP="00777DC6">
      <w:pPr>
        <w:jc w:val="both"/>
        <w:rPr>
          <w:b/>
          <w:u w:val="single"/>
          <w:lang w:val="en-GB"/>
        </w:rPr>
      </w:pPr>
    </w:p>
    <w:p w:rsidR="001E12C3" w:rsidRDefault="001E12C3" w:rsidP="00777DC6">
      <w:pPr>
        <w:jc w:val="both"/>
        <w:rPr>
          <w:b/>
          <w:u w:val="single"/>
          <w:lang w:val="en-GB"/>
        </w:rPr>
      </w:pPr>
    </w:p>
    <w:p w:rsidR="001E12C3" w:rsidRDefault="001E12C3" w:rsidP="00777DC6">
      <w:pPr>
        <w:jc w:val="both"/>
        <w:rPr>
          <w:b/>
          <w:u w:val="single"/>
          <w:lang w:val="en-GB"/>
        </w:rPr>
      </w:pPr>
    </w:p>
    <w:p w:rsidR="00777DC6" w:rsidRDefault="00777DC6" w:rsidP="00777DC6">
      <w:pPr>
        <w:jc w:val="both"/>
        <w:rPr>
          <w:b/>
          <w:u w:val="single"/>
          <w:lang w:val="en-GB"/>
        </w:rPr>
      </w:pPr>
      <w:r w:rsidRPr="00777DC6">
        <w:rPr>
          <w:b/>
          <w:u w:val="single"/>
          <w:lang w:val="en-GB"/>
        </w:rPr>
        <w:lastRenderedPageBreak/>
        <w:t>Official Publicati</w:t>
      </w:r>
      <w:r w:rsidR="001E12C3">
        <w:rPr>
          <w:b/>
          <w:u w:val="single"/>
          <w:lang w:val="en-GB"/>
        </w:rPr>
        <w:t>ons</w:t>
      </w:r>
    </w:p>
    <w:p w:rsidR="0041228D" w:rsidRPr="0041228D" w:rsidRDefault="0041228D" w:rsidP="00777DC6">
      <w:pPr>
        <w:jc w:val="both"/>
        <w:rPr>
          <w:u w:val="single"/>
          <w:lang w:val="en-GB"/>
        </w:rPr>
      </w:pPr>
      <w:r>
        <w:rPr>
          <w:u w:val="single"/>
          <w:lang w:val="en-GB"/>
        </w:rPr>
        <w:t>The United Nations</w:t>
      </w:r>
    </w:p>
    <w:p w:rsidR="00777DC6" w:rsidRPr="00777DC6" w:rsidRDefault="00777DC6" w:rsidP="00777DC6">
      <w:pPr>
        <w:numPr>
          <w:ilvl w:val="0"/>
          <w:numId w:val="4"/>
        </w:numPr>
        <w:jc w:val="both"/>
        <w:rPr>
          <w:lang w:val="en-GB"/>
        </w:rPr>
      </w:pPr>
      <w:r w:rsidRPr="00777DC6">
        <w:rPr>
          <w:lang w:val="en-GB"/>
        </w:rPr>
        <w:t xml:space="preserve">United Nations, </w:t>
      </w:r>
      <w:r w:rsidRPr="00777DC6">
        <w:rPr>
          <w:i/>
          <w:lang w:val="en-GB"/>
        </w:rPr>
        <w:t>Manual on Human Rights Reporting</w:t>
      </w:r>
      <w:r w:rsidRPr="00777DC6">
        <w:rPr>
          <w:lang w:val="en-GB"/>
        </w:rPr>
        <w:t xml:space="preserve">, Geneva, United Nations Publications, 1997, 520 p. </w:t>
      </w:r>
    </w:p>
    <w:p w:rsidR="00C96E72" w:rsidRDefault="00C96E72" w:rsidP="00777DC6">
      <w:pPr>
        <w:jc w:val="both"/>
        <w:rPr>
          <w:b/>
          <w:u w:val="single"/>
          <w:lang w:val="en-GB"/>
        </w:rPr>
      </w:pPr>
    </w:p>
    <w:p w:rsidR="00777DC6" w:rsidRPr="00C96E72" w:rsidRDefault="00C96E72" w:rsidP="00777DC6">
      <w:pPr>
        <w:jc w:val="both"/>
        <w:rPr>
          <w:u w:val="single"/>
          <w:lang w:val="en-GB"/>
        </w:rPr>
      </w:pPr>
      <w:r w:rsidRPr="00C96E72">
        <w:rPr>
          <w:u w:val="single"/>
          <w:lang w:val="en-GB"/>
        </w:rPr>
        <w:t xml:space="preserve">The </w:t>
      </w:r>
      <w:r w:rsidR="00777DC6" w:rsidRPr="00C96E72">
        <w:rPr>
          <w:u w:val="single"/>
          <w:lang w:val="en-GB"/>
        </w:rPr>
        <w:t>International Labour Organization</w:t>
      </w:r>
    </w:p>
    <w:p w:rsidR="00777DC6" w:rsidRPr="00B074C5" w:rsidRDefault="00777DC6" w:rsidP="00777DC6">
      <w:pPr>
        <w:numPr>
          <w:ilvl w:val="0"/>
          <w:numId w:val="4"/>
        </w:numPr>
        <w:jc w:val="both"/>
        <w:rPr>
          <w:u w:val="single"/>
          <w:lang w:val="en-US"/>
        </w:rPr>
      </w:pPr>
      <w:r w:rsidRPr="00777DC6">
        <w:rPr>
          <w:lang w:val="en-US"/>
        </w:rPr>
        <w:t xml:space="preserve">Hein C., </w:t>
      </w:r>
      <w:r w:rsidRPr="00777DC6">
        <w:rPr>
          <w:i/>
          <w:lang w:val="en-US"/>
        </w:rPr>
        <w:t>Reconciling work and family responsibilities</w:t>
      </w:r>
      <w:r w:rsidRPr="00777DC6">
        <w:rPr>
          <w:lang w:val="en-US"/>
        </w:rPr>
        <w:t xml:space="preserve">, Geneva, International </w:t>
      </w:r>
      <w:proofErr w:type="spellStart"/>
      <w:r w:rsidRPr="00777DC6">
        <w:rPr>
          <w:lang w:val="en-US"/>
        </w:rPr>
        <w:t>Labour</w:t>
      </w:r>
      <w:proofErr w:type="spellEnd"/>
      <w:r w:rsidRPr="00777DC6">
        <w:rPr>
          <w:lang w:val="en-US"/>
        </w:rPr>
        <w:t xml:space="preserve"> Office, 2005, 207 p. </w:t>
      </w:r>
    </w:p>
    <w:p w:rsidR="00777DC6" w:rsidRPr="00B074C5" w:rsidRDefault="00777DC6" w:rsidP="00777DC6">
      <w:pPr>
        <w:numPr>
          <w:ilvl w:val="0"/>
          <w:numId w:val="4"/>
        </w:numPr>
        <w:jc w:val="both"/>
        <w:rPr>
          <w:u w:val="single"/>
          <w:lang w:val="en-US"/>
        </w:rPr>
      </w:pPr>
      <w:r w:rsidRPr="00777DC6">
        <w:rPr>
          <w:lang w:val="en-US"/>
        </w:rPr>
        <w:t xml:space="preserve">Hein C. and Cassirer N., </w:t>
      </w:r>
      <w:r w:rsidRPr="00777DC6">
        <w:rPr>
          <w:i/>
          <w:lang w:val="en-US"/>
        </w:rPr>
        <w:t>Workplace solutions for childcare</w:t>
      </w:r>
      <w:r w:rsidRPr="00777DC6">
        <w:rPr>
          <w:lang w:val="en-US"/>
        </w:rPr>
        <w:t xml:space="preserve">, Geneva, International </w:t>
      </w:r>
      <w:proofErr w:type="spellStart"/>
      <w:r w:rsidRPr="00777DC6">
        <w:rPr>
          <w:lang w:val="en-US"/>
        </w:rPr>
        <w:t>Labour</w:t>
      </w:r>
      <w:proofErr w:type="spellEnd"/>
      <w:r w:rsidRPr="00777DC6">
        <w:rPr>
          <w:lang w:val="en-US"/>
        </w:rPr>
        <w:t xml:space="preserve"> Office, 2010, 480 p. </w:t>
      </w:r>
    </w:p>
    <w:p w:rsidR="00777DC6" w:rsidRPr="00B074C5" w:rsidRDefault="00777DC6" w:rsidP="00777DC6">
      <w:pPr>
        <w:numPr>
          <w:ilvl w:val="0"/>
          <w:numId w:val="4"/>
        </w:numPr>
        <w:jc w:val="both"/>
        <w:rPr>
          <w:lang w:val="en-GB"/>
        </w:rPr>
      </w:pPr>
      <w:r w:rsidRPr="00777DC6">
        <w:rPr>
          <w:lang w:val="en-GB"/>
        </w:rPr>
        <w:t xml:space="preserve">International Labour Office, </w:t>
      </w:r>
      <w:r w:rsidRPr="00777DC6">
        <w:rPr>
          <w:i/>
          <w:lang w:val="en-GB"/>
        </w:rPr>
        <w:t>Achieving Equal Employment Opportunities for People with Disabilities through Legislation: Guidelines</w:t>
      </w:r>
      <w:r w:rsidRPr="00777DC6">
        <w:rPr>
          <w:lang w:val="en-GB"/>
        </w:rPr>
        <w:t xml:space="preserve">, Geneva, International Labour Organization, 2004, 90 p. </w:t>
      </w:r>
    </w:p>
    <w:p w:rsidR="00777DC6" w:rsidRPr="000E05FB" w:rsidRDefault="00777DC6" w:rsidP="00777DC6">
      <w:pPr>
        <w:numPr>
          <w:ilvl w:val="0"/>
          <w:numId w:val="4"/>
        </w:numPr>
        <w:jc w:val="both"/>
        <w:rPr>
          <w:lang w:val="en-GB"/>
        </w:rPr>
      </w:pPr>
      <w:r w:rsidRPr="00777DC6">
        <w:rPr>
          <w:lang w:val="en-GB"/>
        </w:rPr>
        <w:t xml:space="preserve">International Labour Office, </w:t>
      </w:r>
      <w:r w:rsidRPr="00777DC6">
        <w:rPr>
          <w:i/>
          <w:lang w:val="en-GB"/>
        </w:rPr>
        <w:t>ABC of women workers’ rights and gender equality</w:t>
      </w:r>
      <w:r w:rsidRPr="00777DC6">
        <w:rPr>
          <w:lang w:val="en-GB"/>
        </w:rPr>
        <w:t xml:space="preserve">, Geneva, International Labour Organization, 2007, 221 p. </w:t>
      </w:r>
    </w:p>
    <w:p w:rsidR="00777DC6" w:rsidRPr="00B074C5" w:rsidRDefault="00777DC6" w:rsidP="00777DC6">
      <w:pPr>
        <w:numPr>
          <w:ilvl w:val="0"/>
          <w:numId w:val="4"/>
        </w:numPr>
        <w:jc w:val="both"/>
        <w:rPr>
          <w:lang w:val="en-US"/>
        </w:rPr>
      </w:pPr>
      <w:r w:rsidRPr="00777DC6">
        <w:rPr>
          <w:lang w:val="en-US"/>
        </w:rPr>
        <w:t xml:space="preserve">International </w:t>
      </w:r>
      <w:proofErr w:type="spellStart"/>
      <w:r w:rsidRPr="00777DC6">
        <w:rPr>
          <w:lang w:val="en-US"/>
        </w:rPr>
        <w:t>Labour</w:t>
      </w:r>
      <w:proofErr w:type="spellEnd"/>
      <w:r w:rsidRPr="00777DC6">
        <w:rPr>
          <w:lang w:val="en-US"/>
        </w:rPr>
        <w:t xml:space="preserve"> Office, </w:t>
      </w:r>
      <w:r w:rsidRPr="00777DC6">
        <w:rPr>
          <w:i/>
          <w:lang w:val="en-US"/>
        </w:rPr>
        <w:t>Equality at work: Tackling the challenges</w:t>
      </w:r>
      <w:r w:rsidRPr="00777DC6">
        <w:rPr>
          <w:lang w:val="en-US"/>
        </w:rPr>
        <w:t xml:space="preserve">, International </w:t>
      </w:r>
      <w:proofErr w:type="spellStart"/>
      <w:r w:rsidRPr="00777DC6">
        <w:rPr>
          <w:lang w:val="en-US"/>
        </w:rPr>
        <w:t>Labour</w:t>
      </w:r>
      <w:proofErr w:type="spellEnd"/>
      <w:r w:rsidRPr="00777DC6">
        <w:rPr>
          <w:lang w:val="en-US"/>
        </w:rPr>
        <w:t xml:space="preserve"> Organization, Geneva, 2007, 50</w:t>
      </w:r>
      <w:r w:rsidR="004468DA">
        <w:rPr>
          <w:lang w:val="en-US"/>
        </w:rPr>
        <w:t xml:space="preserve"> p</w:t>
      </w:r>
      <w:r w:rsidRPr="00777DC6">
        <w:rPr>
          <w:lang w:val="en-US"/>
        </w:rPr>
        <w:t xml:space="preserve">. </w:t>
      </w:r>
    </w:p>
    <w:p w:rsidR="00777DC6" w:rsidRPr="00B074C5" w:rsidRDefault="00777DC6" w:rsidP="00777DC6">
      <w:pPr>
        <w:numPr>
          <w:ilvl w:val="0"/>
          <w:numId w:val="4"/>
        </w:numPr>
        <w:jc w:val="both"/>
        <w:rPr>
          <w:u w:val="single"/>
          <w:lang w:val="en-US"/>
        </w:rPr>
      </w:pPr>
      <w:r w:rsidRPr="00777DC6">
        <w:rPr>
          <w:lang w:val="en-US"/>
        </w:rPr>
        <w:t xml:space="preserve">International </w:t>
      </w:r>
      <w:proofErr w:type="spellStart"/>
      <w:r w:rsidRPr="00777DC6">
        <w:rPr>
          <w:lang w:val="en-US"/>
        </w:rPr>
        <w:t>Labour</w:t>
      </w:r>
      <w:proofErr w:type="spellEnd"/>
      <w:r w:rsidRPr="00777DC6">
        <w:rPr>
          <w:lang w:val="en-US"/>
        </w:rPr>
        <w:t xml:space="preserve"> Office, </w:t>
      </w:r>
      <w:r w:rsidRPr="00777DC6">
        <w:rPr>
          <w:i/>
          <w:lang w:val="en-US"/>
        </w:rPr>
        <w:t>Maternity at Work: a review of national legislation</w:t>
      </w:r>
      <w:r w:rsidRPr="00777DC6">
        <w:rPr>
          <w:lang w:val="en-US"/>
        </w:rPr>
        <w:t xml:space="preserve">, Geneva, International </w:t>
      </w:r>
      <w:proofErr w:type="spellStart"/>
      <w:r w:rsidRPr="00777DC6">
        <w:rPr>
          <w:lang w:val="en-US"/>
        </w:rPr>
        <w:t>Labour</w:t>
      </w:r>
      <w:proofErr w:type="spellEnd"/>
      <w:r w:rsidRPr="00777DC6">
        <w:rPr>
          <w:lang w:val="en-US"/>
        </w:rPr>
        <w:t xml:space="preserve"> Organization, 2010, 105 p. </w:t>
      </w:r>
    </w:p>
    <w:p w:rsidR="00777DC6" w:rsidRPr="00640BEC" w:rsidRDefault="00777DC6" w:rsidP="00777DC6">
      <w:pPr>
        <w:numPr>
          <w:ilvl w:val="0"/>
          <w:numId w:val="4"/>
        </w:numPr>
        <w:jc w:val="both"/>
        <w:rPr>
          <w:lang w:val="en-US"/>
        </w:rPr>
      </w:pPr>
      <w:r w:rsidRPr="00777DC6">
        <w:rPr>
          <w:lang w:val="en-US"/>
        </w:rPr>
        <w:t xml:space="preserve">International </w:t>
      </w:r>
      <w:proofErr w:type="spellStart"/>
      <w:r w:rsidRPr="00777DC6">
        <w:rPr>
          <w:lang w:val="en-US"/>
        </w:rPr>
        <w:t>Labour</w:t>
      </w:r>
      <w:proofErr w:type="spellEnd"/>
      <w:r w:rsidRPr="00777DC6">
        <w:rPr>
          <w:lang w:val="en-US"/>
        </w:rPr>
        <w:t xml:space="preserve"> Standards Department,</w:t>
      </w:r>
      <w:r w:rsidRPr="00777DC6">
        <w:rPr>
          <w:i/>
          <w:lang w:val="en-US"/>
        </w:rPr>
        <w:t xml:space="preserve"> Eliminating discrimination against indigenous and tribal peoples in employment and occupation: A Guide to ILO Convention No. 111</w:t>
      </w:r>
      <w:r w:rsidRPr="00777DC6">
        <w:rPr>
          <w:lang w:val="en-US"/>
        </w:rPr>
        <w:t xml:space="preserve">, Geneva, International </w:t>
      </w:r>
      <w:proofErr w:type="spellStart"/>
      <w:r w:rsidRPr="00777DC6">
        <w:rPr>
          <w:lang w:val="en-US"/>
        </w:rPr>
        <w:t>Labour</w:t>
      </w:r>
      <w:proofErr w:type="spellEnd"/>
      <w:r w:rsidRPr="00777DC6">
        <w:rPr>
          <w:lang w:val="en-US"/>
        </w:rPr>
        <w:t xml:space="preserve"> Organization, 2007, 38 p.</w:t>
      </w:r>
    </w:p>
    <w:p w:rsidR="00640BEC" w:rsidRPr="00640BEC" w:rsidRDefault="00777DC6" w:rsidP="00777DC6">
      <w:pPr>
        <w:numPr>
          <w:ilvl w:val="0"/>
          <w:numId w:val="4"/>
        </w:numPr>
        <w:jc w:val="both"/>
        <w:rPr>
          <w:lang w:val="en-US"/>
        </w:rPr>
      </w:pPr>
      <w:proofErr w:type="spellStart"/>
      <w:r w:rsidRPr="00777DC6">
        <w:rPr>
          <w:lang w:val="en-US"/>
        </w:rPr>
        <w:t>Jha</w:t>
      </w:r>
      <w:proofErr w:type="spellEnd"/>
      <w:r w:rsidRPr="00777DC6">
        <w:rPr>
          <w:lang w:val="en-US"/>
        </w:rPr>
        <w:t xml:space="preserve"> P. and </w:t>
      </w:r>
      <w:proofErr w:type="spellStart"/>
      <w:r w:rsidRPr="00777DC6">
        <w:rPr>
          <w:lang w:val="en-US"/>
        </w:rPr>
        <w:t>Golder</w:t>
      </w:r>
      <w:proofErr w:type="spellEnd"/>
      <w:r w:rsidRPr="00777DC6">
        <w:rPr>
          <w:lang w:val="en-US"/>
        </w:rPr>
        <w:t xml:space="preserve"> S., </w:t>
      </w:r>
      <w:proofErr w:type="spellStart"/>
      <w:r w:rsidRPr="00777DC6">
        <w:rPr>
          <w:i/>
          <w:lang w:val="en-US"/>
        </w:rPr>
        <w:t>Labour</w:t>
      </w:r>
      <w:proofErr w:type="spellEnd"/>
      <w:r w:rsidRPr="00777DC6">
        <w:rPr>
          <w:i/>
          <w:lang w:val="en-US"/>
        </w:rPr>
        <w:t xml:space="preserve"> Market Regulation and Economic Performance</w:t>
      </w:r>
      <w:r w:rsidRPr="00777DC6">
        <w:rPr>
          <w:lang w:val="en-US"/>
        </w:rPr>
        <w:t xml:space="preserve">, Geneva, International </w:t>
      </w:r>
      <w:proofErr w:type="spellStart"/>
      <w:r w:rsidRPr="00777DC6">
        <w:rPr>
          <w:lang w:val="en-US"/>
        </w:rPr>
        <w:t>Labour</w:t>
      </w:r>
      <w:proofErr w:type="spellEnd"/>
      <w:r w:rsidRPr="00777DC6">
        <w:rPr>
          <w:lang w:val="en-US"/>
        </w:rPr>
        <w:t xml:space="preserve"> Organization, 2008, 71 p. </w:t>
      </w:r>
    </w:p>
    <w:p w:rsidR="00777DC6" w:rsidRPr="00640BEC" w:rsidRDefault="00777DC6" w:rsidP="00777DC6">
      <w:pPr>
        <w:numPr>
          <w:ilvl w:val="0"/>
          <w:numId w:val="4"/>
        </w:numPr>
        <w:jc w:val="both"/>
        <w:rPr>
          <w:lang w:val="en-US"/>
        </w:rPr>
      </w:pPr>
      <w:r w:rsidRPr="00777DC6">
        <w:rPr>
          <w:lang w:val="en-US"/>
        </w:rPr>
        <w:t xml:space="preserve">McCann D., </w:t>
      </w:r>
      <w:r w:rsidRPr="00777DC6">
        <w:rPr>
          <w:i/>
          <w:lang w:val="en-US"/>
        </w:rPr>
        <w:t>Sexual Harassment at work: National and international responses</w:t>
      </w:r>
      <w:r w:rsidRPr="00777DC6">
        <w:rPr>
          <w:lang w:val="en-US"/>
        </w:rPr>
        <w:t xml:space="preserve">, Geneva, International </w:t>
      </w:r>
      <w:proofErr w:type="spellStart"/>
      <w:r w:rsidRPr="00777DC6">
        <w:rPr>
          <w:lang w:val="en-US"/>
        </w:rPr>
        <w:t>Labour</w:t>
      </w:r>
      <w:proofErr w:type="spellEnd"/>
      <w:r w:rsidRPr="00777DC6">
        <w:rPr>
          <w:lang w:val="en-US"/>
        </w:rPr>
        <w:t xml:space="preserve"> Organization, 2005, 66 p. </w:t>
      </w:r>
    </w:p>
    <w:p w:rsidR="00777DC6" w:rsidRPr="00777DC6" w:rsidRDefault="00777DC6" w:rsidP="00777DC6">
      <w:pPr>
        <w:numPr>
          <w:ilvl w:val="0"/>
          <w:numId w:val="4"/>
        </w:numPr>
        <w:jc w:val="both"/>
        <w:rPr>
          <w:lang w:val="en-US"/>
        </w:rPr>
      </w:pPr>
      <w:proofErr w:type="spellStart"/>
      <w:r w:rsidRPr="00777DC6">
        <w:rPr>
          <w:lang w:val="en-US"/>
        </w:rPr>
        <w:t>Oelz</w:t>
      </w:r>
      <w:proofErr w:type="spellEnd"/>
      <w:r w:rsidRPr="00777DC6">
        <w:rPr>
          <w:lang w:val="en-US"/>
        </w:rPr>
        <w:t xml:space="preserve"> M., Olney S. and </w:t>
      </w:r>
      <w:proofErr w:type="spellStart"/>
      <w:r w:rsidRPr="00777DC6">
        <w:rPr>
          <w:lang w:val="en-US"/>
        </w:rPr>
        <w:t>Tomei</w:t>
      </w:r>
      <w:proofErr w:type="spellEnd"/>
      <w:r w:rsidRPr="00777DC6">
        <w:rPr>
          <w:lang w:val="en-US"/>
        </w:rPr>
        <w:t xml:space="preserve"> M., </w:t>
      </w:r>
      <w:r w:rsidRPr="00777DC6">
        <w:rPr>
          <w:i/>
          <w:lang w:val="en-US"/>
        </w:rPr>
        <w:t>Equal Pay: An Introductory Guide</w:t>
      </w:r>
      <w:r w:rsidRPr="00777DC6">
        <w:rPr>
          <w:lang w:val="en-US"/>
        </w:rPr>
        <w:t xml:space="preserve">, Geneva, International </w:t>
      </w:r>
      <w:proofErr w:type="spellStart"/>
      <w:r w:rsidRPr="00777DC6">
        <w:rPr>
          <w:lang w:val="en-US"/>
        </w:rPr>
        <w:t>Labour</w:t>
      </w:r>
      <w:proofErr w:type="spellEnd"/>
      <w:r w:rsidRPr="00777DC6">
        <w:rPr>
          <w:lang w:val="en-US"/>
        </w:rPr>
        <w:t xml:space="preserve"> Organization, 2013, 114 p. </w:t>
      </w:r>
    </w:p>
    <w:p w:rsidR="0004074E" w:rsidRDefault="0004074E" w:rsidP="00777DC6">
      <w:pPr>
        <w:jc w:val="both"/>
        <w:rPr>
          <w:b/>
          <w:u w:val="single"/>
          <w:lang w:val="en-GB"/>
        </w:rPr>
      </w:pPr>
    </w:p>
    <w:p w:rsidR="0004074E" w:rsidRDefault="0004074E" w:rsidP="00777DC6">
      <w:pPr>
        <w:jc w:val="both"/>
        <w:rPr>
          <w:u w:val="single"/>
          <w:lang w:val="en-GB"/>
        </w:rPr>
      </w:pPr>
    </w:p>
    <w:p w:rsidR="0004074E" w:rsidRDefault="0004074E" w:rsidP="00777DC6">
      <w:pPr>
        <w:jc w:val="both"/>
        <w:rPr>
          <w:u w:val="single"/>
          <w:lang w:val="en-GB"/>
        </w:rPr>
      </w:pPr>
    </w:p>
    <w:p w:rsidR="0004074E" w:rsidRDefault="0004074E" w:rsidP="00777DC6">
      <w:pPr>
        <w:jc w:val="both"/>
        <w:rPr>
          <w:u w:val="single"/>
          <w:lang w:val="en-GB"/>
        </w:rPr>
      </w:pPr>
    </w:p>
    <w:p w:rsidR="00777DC6" w:rsidRPr="0004074E" w:rsidRDefault="0004074E" w:rsidP="00777DC6">
      <w:pPr>
        <w:jc w:val="both"/>
        <w:rPr>
          <w:u w:val="single"/>
          <w:lang w:val="en-GB"/>
        </w:rPr>
      </w:pPr>
      <w:r w:rsidRPr="0004074E">
        <w:rPr>
          <w:u w:val="single"/>
          <w:lang w:val="en-GB"/>
        </w:rPr>
        <w:lastRenderedPageBreak/>
        <w:t>T</w:t>
      </w:r>
      <w:r w:rsidR="00777DC6" w:rsidRPr="0004074E">
        <w:rPr>
          <w:u w:val="single"/>
          <w:lang w:val="en-GB"/>
        </w:rPr>
        <w:t>he Council of Europe and the European Union</w:t>
      </w:r>
    </w:p>
    <w:p w:rsidR="00777DC6" w:rsidRPr="00777DC6" w:rsidRDefault="00777DC6" w:rsidP="00777DC6">
      <w:pPr>
        <w:numPr>
          <w:ilvl w:val="0"/>
          <w:numId w:val="4"/>
        </w:numPr>
        <w:jc w:val="both"/>
        <w:rPr>
          <w:lang w:val="en-GB"/>
        </w:rPr>
      </w:pPr>
      <w:proofErr w:type="spellStart"/>
      <w:r w:rsidRPr="00777DC6">
        <w:rPr>
          <w:lang w:val="en-GB"/>
        </w:rPr>
        <w:t>Archibong</w:t>
      </w:r>
      <w:proofErr w:type="spellEnd"/>
      <w:r w:rsidRPr="00777DC6">
        <w:rPr>
          <w:lang w:val="en-GB"/>
        </w:rPr>
        <w:t xml:space="preserve"> U. and </w:t>
      </w:r>
      <w:proofErr w:type="spellStart"/>
      <w:r w:rsidRPr="00777DC6">
        <w:rPr>
          <w:lang w:val="en-GB"/>
        </w:rPr>
        <w:t>Eferakorho</w:t>
      </w:r>
      <w:proofErr w:type="spellEnd"/>
      <w:r w:rsidRPr="00777DC6">
        <w:rPr>
          <w:lang w:val="en-GB"/>
        </w:rPr>
        <w:t xml:space="preserve"> J., </w:t>
      </w:r>
      <w:r w:rsidRPr="00777DC6">
        <w:rPr>
          <w:i/>
          <w:lang w:val="en-GB"/>
        </w:rPr>
        <w:t>International perspectives on positive action measures</w:t>
      </w:r>
      <w:r w:rsidRPr="00777DC6">
        <w:rPr>
          <w:lang w:val="en-GB"/>
        </w:rPr>
        <w:t xml:space="preserve">, Luxembourg, Office for Official Publications of the European Communities, 2009, 72 p.  </w:t>
      </w:r>
    </w:p>
    <w:p w:rsidR="00777DC6" w:rsidRPr="00777DC6" w:rsidRDefault="00777DC6" w:rsidP="00777DC6">
      <w:pPr>
        <w:numPr>
          <w:ilvl w:val="0"/>
          <w:numId w:val="4"/>
        </w:numPr>
        <w:jc w:val="both"/>
        <w:rPr>
          <w:lang w:val="en-GB"/>
        </w:rPr>
      </w:pPr>
      <w:proofErr w:type="spellStart"/>
      <w:r w:rsidRPr="00777DC6">
        <w:rPr>
          <w:lang w:val="en-GB"/>
        </w:rPr>
        <w:t>Burri</w:t>
      </w:r>
      <w:proofErr w:type="spellEnd"/>
      <w:r w:rsidRPr="00777DC6">
        <w:rPr>
          <w:lang w:val="en-GB"/>
        </w:rPr>
        <w:t xml:space="preserve"> S., </w:t>
      </w:r>
      <w:r w:rsidRPr="00777DC6">
        <w:rPr>
          <w:i/>
          <w:lang w:val="en-GB"/>
        </w:rPr>
        <w:t>EU Gender Equality Law Update 2010</w:t>
      </w:r>
      <w:r w:rsidRPr="00777DC6">
        <w:rPr>
          <w:lang w:val="en-GB"/>
        </w:rPr>
        <w:t xml:space="preserve">, Luxembourg, Office for Official Publications of the European Union, 2010, 29 p. </w:t>
      </w:r>
    </w:p>
    <w:p w:rsidR="00777DC6" w:rsidRPr="00777DC6" w:rsidRDefault="00777DC6" w:rsidP="00777DC6">
      <w:pPr>
        <w:numPr>
          <w:ilvl w:val="0"/>
          <w:numId w:val="4"/>
        </w:numPr>
        <w:jc w:val="both"/>
        <w:rPr>
          <w:lang w:val="en-US"/>
        </w:rPr>
      </w:pPr>
      <w:proofErr w:type="spellStart"/>
      <w:r w:rsidRPr="00777DC6">
        <w:rPr>
          <w:lang w:val="en-US"/>
        </w:rPr>
        <w:t>Burri</w:t>
      </w:r>
      <w:proofErr w:type="spellEnd"/>
      <w:r w:rsidRPr="00777DC6">
        <w:rPr>
          <w:lang w:val="en-US"/>
        </w:rPr>
        <w:t xml:space="preserve"> S. and </w:t>
      </w:r>
      <w:proofErr w:type="spellStart"/>
      <w:r w:rsidRPr="00777DC6">
        <w:rPr>
          <w:lang w:val="en-US"/>
        </w:rPr>
        <w:t>Prechal</w:t>
      </w:r>
      <w:proofErr w:type="spellEnd"/>
      <w:r w:rsidRPr="00777DC6">
        <w:rPr>
          <w:lang w:val="en-US"/>
        </w:rPr>
        <w:t xml:space="preserve"> S., </w:t>
      </w:r>
      <w:r w:rsidRPr="00777DC6">
        <w:rPr>
          <w:i/>
          <w:lang w:val="en-US"/>
        </w:rPr>
        <w:t>EU Gender Equality Law</w:t>
      </w:r>
      <w:r w:rsidRPr="00777DC6">
        <w:rPr>
          <w:lang w:val="en-US"/>
        </w:rPr>
        <w:t xml:space="preserve">, Luxembourg, Office for Official Publications of the European Communities, 2008, 27 p. </w:t>
      </w:r>
    </w:p>
    <w:p w:rsidR="00777DC6" w:rsidRPr="00777DC6" w:rsidRDefault="00777DC6" w:rsidP="00777DC6">
      <w:pPr>
        <w:numPr>
          <w:ilvl w:val="0"/>
          <w:numId w:val="4"/>
        </w:numPr>
        <w:jc w:val="both"/>
        <w:rPr>
          <w:lang w:val="en-GB"/>
        </w:rPr>
      </w:pPr>
      <w:r w:rsidRPr="00777DC6">
        <w:rPr>
          <w:lang w:val="en-GB"/>
        </w:rPr>
        <w:t xml:space="preserve">De </w:t>
      </w:r>
      <w:proofErr w:type="spellStart"/>
      <w:r w:rsidRPr="00777DC6">
        <w:rPr>
          <w:lang w:val="en-GB"/>
        </w:rPr>
        <w:t>Vos</w:t>
      </w:r>
      <w:proofErr w:type="spellEnd"/>
      <w:r w:rsidRPr="00777DC6">
        <w:rPr>
          <w:lang w:val="en-GB"/>
        </w:rPr>
        <w:t xml:space="preserve"> M., </w:t>
      </w:r>
      <w:r w:rsidRPr="00777DC6">
        <w:rPr>
          <w:i/>
          <w:lang w:val="en-GB"/>
        </w:rPr>
        <w:t>Beyond Formal Equality</w:t>
      </w:r>
      <w:r w:rsidRPr="00777DC6">
        <w:rPr>
          <w:lang w:val="en-GB"/>
        </w:rPr>
        <w:t xml:space="preserve">, Luxembourg, Office for Official Publications of the European Communities, 2007, 74 p. </w:t>
      </w:r>
    </w:p>
    <w:p w:rsidR="00777DC6" w:rsidRPr="00AE717E" w:rsidRDefault="00777DC6" w:rsidP="00777DC6">
      <w:pPr>
        <w:numPr>
          <w:ilvl w:val="0"/>
          <w:numId w:val="4"/>
        </w:numPr>
        <w:jc w:val="both"/>
        <w:rPr>
          <w:i/>
          <w:lang w:val="en-US"/>
        </w:rPr>
      </w:pPr>
      <w:r w:rsidRPr="00777DC6">
        <w:rPr>
          <w:lang w:val="en-US"/>
        </w:rPr>
        <w:t xml:space="preserve">Di Martino V., </w:t>
      </w:r>
      <w:proofErr w:type="spellStart"/>
      <w:r w:rsidRPr="00777DC6">
        <w:rPr>
          <w:lang w:val="en-US"/>
        </w:rPr>
        <w:t>Hoel</w:t>
      </w:r>
      <w:proofErr w:type="spellEnd"/>
      <w:r w:rsidRPr="00777DC6">
        <w:rPr>
          <w:lang w:val="en-US"/>
        </w:rPr>
        <w:t xml:space="preserve"> H. and Cooper C., </w:t>
      </w:r>
      <w:r w:rsidRPr="00777DC6">
        <w:rPr>
          <w:i/>
          <w:lang w:val="en-US"/>
        </w:rPr>
        <w:t>Preventing violence and harassment in the workplace</w:t>
      </w:r>
      <w:r w:rsidRPr="00777DC6">
        <w:rPr>
          <w:lang w:val="en-US"/>
        </w:rPr>
        <w:t xml:space="preserve">, Luxembourg, Office for the Official Publications of the European Communities, 2003, 100 p. </w:t>
      </w:r>
    </w:p>
    <w:p w:rsidR="00777DC6" w:rsidRPr="00777DC6" w:rsidRDefault="00777DC6" w:rsidP="00777DC6">
      <w:pPr>
        <w:numPr>
          <w:ilvl w:val="0"/>
          <w:numId w:val="4"/>
        </w:numPr>
        <w:jc w:val="both"/>
        <w:rPr>
          <w:u w:val="single"/>
          <w:lang w:val="en-US"/>
        </w:rPr>
      </w:pPr>
      <w:r w:rsidRPr="00777DC6">
        <w:rPr>
          <w:lang w:val="en-US"/>
        </w:rPr>
        <w:t xml:space="preserve">Directorate General for Internal Policies, </w:t>
      </w:r>
      <w:r w:rsidRPr="00777DC6">
        <w:rPr>
          <w:i/>
          <w:lang w:val="en-US"/>
        </w:rPr>
        <w:t>Costs and benefits of maternity and paternity leave</w:t>
      </w:r>
      <w:r w:rsidRPr="00777DC6">
        <w:rPr>
          <w:lang w:val="en-US"/>
        </w:rPr>
        <w:t>, Brussels, European Parliament, 2010, 134 p.</w:t>
      </w:r>
    </w:p>
    <w:p w:rsidR="00777DC6" w:rsidRPr="00777DC6" w:rsidRDefault="00777DC6" w:rsidP="00777DC6">
      <w:pPr>
        <w:numPr>
          <w:ilvl w:val="0"/>
          <w:numId w:val="4"/>
        </w:numPr>
        <w:jc w:val="both"/>
        <w:rPr>
          <w:u w:val="single"/>
          <w:lang w:val="en-US"/>
        </w:rPr>
      </w:pPr>
      <w:r w:rsidRPr="00777DC6">
        <w:rPr>
          <w:lang w:val="en-US"/>
        </w:rPr>
        <w:t xml:space="preserve">Drew E., </w:t>
      </w:r>
      <w:r w:rsidRPr="00777DC6">
        <w:rPr>
          <w:i/>
          <w:lang w:val="en-US"/>
        </w:rPr>
        <w:t>Parental Leave in Council of Europe Member States</w:t>
      </w:r>
      <w:r w:rsidRPr="00777DC6">
        <w:rPr>
          <w:lang w:val="en-US"/>
        </w:rPr>
        <w:t>, Strasbourg, Directorate General of Human Rights, 2005, 48 p.</w:t>
      </w:r>
    </w:p>
    <w:p w:rsidR="00777DC6" w:rsidRPr="00777DC6" w:rsidRDefault="00777DC6" w:rsidP="00777DC6">
      <w:pPr>
        <w:numPr>
          <w:ilvl w:val="0"/>
          <w:numId w:val="4"/>
        </w:numPr>
        <w:jc w:val="both"/>
        <w:rPr>
          <w:lang w:val="en-GB"/>
        </w:rPr>
      </w:pPr>
      <w:r w:rsidRPr="00777DC6">
        <w:rPr>
          <w:lang w:val="en-GB"/>
        </w:rPr>
        <w:t xml:space="preserve">Emmanuelle B. and </w:t>
      </w:r>
      <w:proofErr w:type="spellStart"/>
      <w:r w:rsidRPr="00777DC6">
        <w:rPr>
          <w:lang w:val="en-GB"/>
        </w:rPr>
        <w:t>Rorive</w:t>
      </w:r>
      <w:proofErr w:type="spellEnd"/>
      <w:r w:rsidRPr="00777DC6">
        <w:rPr>
          <w:lang w:val="en-GB"/>
        </w:rPr>
        <w:t xml:space="preserve"> I., </w:t>
      </w:r>
      <w:r w:rsidRPr="00777DC6">
        <w:rPr>
          <w:i/>
          <w:lang w:val="en-GB"/>
        </w:rPr>
        <w:t>In search of a balance between the right to equality and other fundamental rights</w:t>
      </w:r>
      <w:r w:rsidRPr="00777DC6">
        <w:rPr>
          <w:lang w:val="en-GB"/>
        </w:rPr>
        <w:t xml:space="preserve">, Luxembourg, Publications Office of the European Union, 2010, 88 p. </w:t>
      </w:r>
    </w:p>
    <w:p w:rsidR="00777DC6" w:rsidRPr="00777DC6" w:rsidRDefault="00777DC6" w:rsidP="00777DC6">
      <w:pPr>
        <w:numPr>
          <w:ilvl w:val="0"/>
          <w:numId w:val="4"/>
        </w:numPr>
        <w:jc w:val="both"/>
        <w:rPr>
          <w:lang w:val="en-GB"/>
        </w:rPr>
      </w:pPr>
      <w:r w:rsidRPr="00777DC6">
        <w:rPr>
          <w:lang w:val="en-GB"/>
        </w:rPr>
        <w:t xml:space="preserve">European Commission, </w:t>
      </w:r>
      <w:r w:rsidRPr="00777DC6">
        <w:rPr>
          <w:i/>
          <w:lang w:val="en-GB"/>
        </w:rPr>
        <w:t>Progress on equality between women and men in 2011</w:t>
      </w:r>
      <w:r w:rsidRPr="00777DC6">
        <w:rPr>
          <w:lang w:val="en-GB"/>
        </w:rPr>
        <w:t xml:space="preserve">, Luxembourg, Publications Office of the European Union, 2012, 43 p. </w:t>
      </w:r>
    </w:p>
    <w:p w:rsidR="00777DC6" w:rsidRPr="00777DC6" w:rsidRDefault="00777DC6" w:rsidP="00777DC6">
      <w:pPr>
        <w:numPr>
          <w:ilvl w:val="0"/>
          <w:numId w:val="4"/>
        </w:numPr>
        <w:jc w:val="both"/>
        <w:rPr>
          <w:lang w:val="en-GB"/>
        </w:rPr>
      </w:pPr>
      <w:r w:rsidRPr="00777DC6">
        <w:rPr>
          <w:lang w:val="en-GB"/>
        </w:rPr>
        <w:t xml:space="preserve">European Commission, </w:t>
      </w:r>
      <w:r w:rsidRPr="00777DC6">
        <w:rPr>
          <w:i/>
          <w:lang w:val="en-GB"/>
        </w:rPr>
        <w:t>Report on equality between women and men</w:t>
      </w:r>
      <w:r w:rsidRPr="00777DC6">
        <w:rPr>
          <w:lang w:val="en-GB"/>
        </w:rPr>
        <w:t xml:space="preserve">, Luxembourg, Office for Official Publications of the European Communities, 2008, 44 p. </w:t>
      </w:r>
    </w:p>
    <w:p w:rsidR="00777DC6" w:rsidRPr="00777DC6" w:rsidRDefault="00777DC6" w:rsidP="00777DC6">
      <w:pPr>
        <w:numPr>
          <w:ilvl w:val="0"/>
          <w:numId w:val="4"/>
        </w:numPr>
        <w:jc w:val="both"/>
        <w:rPr>
          <w:lang w:val="en-GB"/>
        </w:rPr>
      </w:pPr>
      <w:r w:rsidRPr="00777DC6">
        <w:rPr>
          <w:lang w:val="en-GB"/>
        </w:rPr>
        <w:t xml:space="preserve">European Commission, </w:t>
      </w:r>
      <w:r w:rsidRPr="00777DC6">
        <w:rPr>
          <w:i/>
          <w:lang w:val="en-GB"/>
        </w:rPr>
        <w:t>Report on equality between women and men</w:t>
      </w:r>
      <w:r w:rsidRPr="00777DC6">
        <w:rPr>
          <w:lang w:val="en-GB"/>
        </w:rPr>
        <w:t xml:space="preserve">, Luxembourg, Office for Official Publications of the European Communities, 2009, 48 p. </w:t>
      </w:r>
    </w:p>
    <w:p w:rsidR="00777DC6" w:rsidRPr="00777DC6" w:rsidRDefault="00777DC6" w:rsidP="00777DC6">
      <w:pPr>
        <w:numPr>
          <w:ilvl w:val="0"/>
          <w:numId w:val="4"/>
        </w:numPr>
        <w:jc w:val="both"/>
        <w:rPr>
          <w:lang w:val="en-GB"/>
        </w:rPr>
      </w:pPr>
      <w:r w:rsidRPr="00777DC6">
        <w:rPr>
          <w:lang w:val="en-GB"/>
        </w:rPr>
        <w:t xml:space="preserve">European Commission, </w:t>
      </w:r>
      <w:r w:rsidRPr="00777DC6">
        <w:rPr>
          <w:i/>
          <w:lang w:val="en-GB"/>
        </w:rPr>
        <w:t>Report on equality between women and men</w:t>
      </w:r>
      <w:r w:rsidRPr="00777DC6">
        <w:rPr>
          <w:lang w:val="en-GB"/>
        </w:rPr>
        <w:t xml:space="preserve">, Luxembourg, Publications Office of the European Union, 2010, 50 p. </w:t>
      </w:r>
    </w:p>
    <w:p w:rsidR="00777DC6" w:rsidRPr="00AE717E" w:rsidRDefault="00777DC6" w:rsidP="00777DC6">
      <w:pPr>
        <w:numPr>
          <w:ilvl w:val="0"/>
          <w:numId w:val="4"/>
        </w:numPr>
        <w:jc w:val="both"/>
        <w:rPr>
          <w:lang w:val="en-US"/>
        </w:rPr>
      </w:pPr>
      <w:r w:rsidRPr="00777DC6">
        <w:rPr>
          <w:lang w:val="en-US"/>
        </w:rPr>
        <w:t xml:space="preserve">European Commission, </w:t>
      </w:r>
      <w:r w:rsidRPr="00777DC6">
        <w:rPr>
          <w:i/>
          <w:lang w:val="en-US"/>
        </w:rPr>
        <w:t>Sexual Harassment at the Workplace in the European Union</w:t>
      </w:r>
      <w:r w:rsidRPr="00777DC6">
        <w:rPr>
          <w:lang w:val="en-US"/>
        </w:rPr>
        <w:t xml:space="preserve">, Luxembourg, Office of Official Publications of the European Communities, 1999, 233 p. </w:t>
      </w:r>
    </w:p>
    <w:p w:rsidR="00777DC6" w:rsidRPr="00AE717E" w:rsidRDefault="00777DC6" w:rsidP="00777DC6">
      <w:pPr>
        <w:numPr>
          <w:ilvl w:val="0"/>
          <w:numId w:val="4"/>
        </w:numPr>
        <w:jc w:val="both"/>
        <w:rPr>
          <w:lang w:val="en-US"/>
        </w:rPr>
      </w:pPr>
      <w:r w:rsidRPr="00777DC6">
        <w:rPr>
          <w:lang w:val="en-GB"/>
        </w:rPr>
        <w:t xml:space="preserve">European Committee of Social Rights, </w:t>
      </w:r>
      <w:r w:rsidRPr="00777DC6">
        <w:rPr>
          <w:i/>
          <w:lang w:val="en-GB"/>
        </w:rPr>
        <w:t>Digest of the Case Law of the European Committee of Social Rights,</w:t>
      </w:r>
      <w:r w:rsidRPr="00777DC6">
        <w:rPr>
          <w:lang w:val="en-GB"/>
        </w:rPr>
        <w:t xml:space="preserve"> Strasbourg, Council of Europe</w:t>
      </w:r>
      <w:r w:rsidRPr="00777DC6">
        <w:rPr>
          <w:i/>
          <w:lang w:val="en-GB"/>
        </w:rPr>
        <w:t xml:space="preserve"> ,</w:t>
      </w:r>
      <w:r w:rsidRPr="00777DC6">
        <w:rPr>
          <w:lang w:val="en-GB"/>
        </w:rPr>
        <w:t>2008, 368 p.</w:t>
      </w:r>
    </w:p>
    <w:p w:rsidR="00777DC6" w:rsidRPr="00AE717E" w:rsidRDefault="00777DC6" w:rsidP="00777DC6">
      <w:pPr>
        <w:numPr>
          <w:ilvl w:val="0"/>
          <w:numId w:val="4"/>
        </w:numPr>
        <w:jc w:val="both"/>
        <w:rPr>
          <w:lang w:val="en-US"/>
        </w:rPr>
      </w:pPr>
      <w:r w:rsidRPr="00777DC6">
        <w:rPr>
          <w:lang w:val="en-US"/>
        </w:rPr>
        <w:lastRenderedPageBreak/>
        <w:t xml:space="preserve">European Foundation for the Improvement of Living and Working Conditions, Parental Leave in European companies, Luxembourg, Office of Official Publications of the European Communities, 2007, 51 p. </w:t>
      </w:r>
    </w:p>
    <w:p w:rsidR="00777DC6" w:rsidRPr="00AE717E" w:rsidRDefault="00777DC6" w:rsidP="00777DC6">
      <w:pPr>
        <w:numPr>
          <w:ilvl w:val="0"/>
          <w:numId w:val="4"/>
        </w:numPr>
        <w:jc w:val="both"/>
        <w:rPr>
          <w:u w:val="single"/>
          <w:lang w:val="en-US"/>
        </w:rPr>
      </w:pPr>
      <w:r w:rsidRPr="00777DC6">
        <w:rPr>
          <w:lang w:val="en-US"/>
        </w:rPr>
        <w:t xml:space="preserve">European Foundation for the Improvement of Living and Working Conditions, Foundations Findings: Childcare services in Europe, Luxembourg, Publications Office of the European Union, 2009, 20 p. </w:t>
      </w:r>
    </w:p>
    <w:p w:rsidR="00777DC6" w:rsidRPr="00AE717E" w:rsidRDefault="00777DC6" w:rsidP="00777DC6">
      <w:pPr>
        <w:numPr>
          <w:ilvl w:val="0"/>
          <w:numId w:val="4"/>
        </w:numPr>
        <w:jc w:val="both"/>
        <w:rPr>
          <w:b/>
          <w:bCs/>
          <w:lang w:val="en-US"/>
        </w:rPr>
      </w:pPr>
      <w:r w:rsidRPr="00777DC6">
        <w:rPr>
          <w:lang w:val="en-US"/>
        </w:rPr>
        <w:t xml:space="preserve">European Foundation for the Improvement of Living and Working Conditions, </w:t>
      </w:r>
      <w:r w:rsidRPr="00777DC6">
        <w:rPr>
          <w:bCs/>
          <w:lang w:val="en-US"/>
        </w:rPr>
        <w:t>Part-time work in Europe - Executive summary, Luxembourg, Publications Office of the European Union 2011, 2 p.</w:t>
      </w:r>
    </w:p>
    <w:p w:rsidR="00777DC6" w:rsidRPr="00AE717E" w:rsidRDefault="00777DC6" w:rsidP="00777DC6">
      <w:pPr>
        <w:numPr>
          <w:ilvl w:val="0"/>
          <w:numId w:val="4"/>
        </w:numPr>
        <w:jc w:val="both"/>
        <w:rPr>
          <w:u w:val="single"/>
          <w:lang w:val="en-US"/>
        </w:rPr>
      </w:pPr>
      <w:r w:rsidRPr="00777DC6">
        <w:rPr>
          <w:lang w:val="en-US"/>
        </w:rPr>
        <w:t xml:space="preserve">European Institute for Gender Equality, </w:t>
      </w:r>
      <w:r w:rsidRPr="00777DC6">
        <w:rPr>
          <w:i/>
          <w:lang w:val="en-US"/>
        </w:rPr>
        <w:t>Review of the Implementation of the Beijing Platform for Action: Women and the Economy</w:t>
      </w:r>
      <w:r w:rsidRPr="00777DC6">
        <w:rPr>
          <w:lang w:val="en-US"/>
        </w:rPr>
        <w:t xml:space="preserve">, Luxembourg, Publications Office of the European Union, 2011, 26 p. </w:t>
      </w:r>
    </w:p>
    <w:p w:rsidR="00777DC6" w:rsidRPr="00777DC6" w:rsidRDefault="00777DC6" w:rsidP="00777DC6">
      <w:pPr>
        <w:numPr>
          <w:ilvl w:val="0"/>
          <w:numId w:val="4"/>
        </w:numPr>
        <w:jc w:val="both"/>
        <w:rPr>
          <w:u w:val="single"/>
          <w:lang w:val="en-US"/>
        </w:rPr>
      </w:pPr>
      <w:r w:rsidRPr="00777DC6">
        <w:rPr>
          <w:lang w:val="en-US"/>
        </w:rPr>
        <w:t xml:space="preserve">European Network of Legal Experts in the non-discrimination field, </w:t>
      </w:r>
      <w:r w:rsidRPr="00777DC6">
        <w:rPr>
          <w:i/>
          <w:lang w:val="en-US"/>
        </w:rPr>
        <w:t>The Prohibition of Discrimination under European Human Rights Law</w:t>
      </w:r>
      <w:r w:rsidRPr="00777DC6">
        <w:rPr>
          <w:lang w:val="en-US"/>
        </w:rPr>
        <w:t xml:space="preserve">, Luxembourg, Publications Office of the European Union, 2011, 75 p. </w:t>
      </w:r>
    </w:p>
    <w:p w:rsidR="00777DC6" w:rsidRPr="00777DC6" w:rsidRDefault="00777DC6" w:rsidP="00777DC6">
      <w:pPr>
        <w:numPr>
          <w:ilvl w:val="0"/>
          <w:numId w:val="4"/>
        </w:numPr>
        <w:jc w:val="both"/>
        <w:rPr>
          <w:lang w:val="en-US"/>
        </w:rPr>
      </w:pPr>
      <w:r w:rsidRPr="00777DC6">
        <w:rPr>
          <w:lang w:val="en-US"/>
        </w:rPr>
        <w:t xml:space="preserve">European Parliament, </w:t>
      </w:r>
      <w:r w:rsidRPr="00777DC6">
        <w:rPr>
          <w:i/>
          <w:lang w:val="en-US"/>
        </w:rPr>
        <w:t>Atypical Work in the EU</w:t>
      </w:r>
      <w:r w:rsidRPr="00777DC6">
        <w:rPr>
          <w:lang w:val="en-US"/>
        </w:rPr>
        <w:t>, Luxembourg,</w:t>
      </w:r>
      <w:r w:rsidRPr="00777DC6">
        <w:rPr>
          <w:lang w:val="en-GB"/>
        </w:rPr>
        <w:t xml:space="preserve"> Office for Official Publications of the European Communities,</w:t>
      </w:r>
      <w:r w:rsidRPr="00777DC6">
        <w:rPr>
          <w:lang w:val="en-US"/>
        </w:rPr>
        <w:t xml:space="preserve"> 2000, 163 p. </w:t>
      </w:r>
    </w:p>
    <w:p w:rsidR="00777DC6" w:rsidRPr="00777DC6" w:rsidRDefault="00777DC6" w:rsidP="00777DC6">
      <w:pPr>
        <w:numPr>
          <w:ilvl w:val="0"/>
          <w:numId w:val="4"/>
        </w:numPr>
        <w:jc w:val="both"/>
        <w:rPr>
          <w:lang w:val="en-US"/>
        </w:rPr>
      </w:pPr>
      <w:r w:rsidRPr="00777DC6">
        <w:rPr>
          <w:lang w:val="en-US"/>
        </w:rPr>
        <w:t xml:space="preserve">European Union Agency for Fundamental Rights, </w:t>
      </w:r>
      <w:r w:rsidRPr="00777DC6">
        <w:rPr>
          <w:i/>
          <w:lang w:val="en-US"/>
        </w:rPr>
        <w:t>Handbook on European non-discrimination law</w:t>
      </w:r>
      <w:r w:rsidRPr="00777DC6">
        <w:rPr>
          <w:lang w:val="en-US"/>
        </w:rPr>
        <w:t>, Luxembourg, Publications Office of the European Union, 2010, 151 p.</w:t>
      </w:r>
    </w:p>
    <w:p w:rsidR="00777DC6" w:rsidRPr="00777DC6" w:rsidRDefault="00777DC6" w:rsidP="00777DC6">
      <w:pPr>
        <w:numPr>
          <w:ilvl w:val="0"/>
          <w:numId w:val="4"/>
        </w:numPr>
        <w:jc w:val="both"/>
        <w:rPr>
          <w:lang w:val="en-GB"/>
        </w:rPr>
      </w:pPr>
      <w:proofErr w:type="spellStart"/>
      <w:r w:rsidRPr="00777DC6">
        <w:rPr>
          <w:lang w:val="en-GB"/>
        </w:rPr>
        <w:t>Farkas</w:t>
      </w:r>
      <w:proofErr w:type="spellEnd"/>
      <w:r w:rsidRPr="00777DC6">
        <w:rPr>
          <w:lang w:val="en-GB"/>
        </w:rPr>
        <w:t xml:space="preserve"> L., </w:t>
      </w:r>
      <w:r w:rsidRPr="00777DC6">
        <w:rPr>
          <w:i/>
          <w:lang w:val="en-GB"/>
        </w:rPr>
        <w:t>How to Present a Discrimination Claim</w:t>
      </w:r>
      <w:r w:rsidRPr="00777DC6">
        <w:rPr>
          <w:lang w:val="en-GB"/>
        </w:rPr>
        <w:t xml:space="preserve">, Luxembourg, </w:t>
      </w:r>
      <w:r w:rsidRPr="00777DC6">
        <w:rPr>
          <w:lang w:val="en-US"/>
        </w:rPr>
        <w:t>Publications Office of the European Union</w:t>
      </w:r>
      <w:r w:rsidRPr="00777DC6">
        <w:rPr>
          <w:lang w:val="en-GB"/>
        </w:rPr>
        <w:t>, 2011, 116 p.</w:t>
      </w:r>
    </w:p>
    <w:p w:rsidR="00777DC6" w:rsidRPr="00777DC6" w:rsidRDefault="00777DC6" w:rsidP="00777DC6">
      <w:pPr>
        <w:numPr>
          <w:ilvl w:val="0"/>
          <w:numId w:val="4"/>
        </w:numPr>
        <w:jc w:val="both"/>
        <w:rPr>
          <w:lang w:val="en-US"/>
        </w:rPr>
      </w:pPr>
      <w:proofErr w:type="spellStart"/>
      <w:r w:rsidRPr="00777DC6">
        <w:rPr>
          <w:lang w:val="en-US"/>
        </w:rPr>
        <w:t>Lenia</w:t>
      </w:r>
      <w:proofErr w:type="spellEnd"/>
      <w:r w:rsidRPr="00777DC6">
        <w:rPr>
          <w:lang w:val="en-US"/>
        </w:rPr>
        <w:t xml:space="preserve"> S., </w:t>
      </w:r>
      <w:r w:rsidRPr="00777DC6">
        <w:rPr>
          <w:i/>
          <w:lang w:val="en-US"/>
        </w:rPr>
        <w:t>Fundamental Social Rights</w:t>
      </w:r>
      <w:r w:rsidRPr="00777DC6">
        <w:rPr>
          <w:lang w:val="en-US"/>
        </w:rPr>
        <w:t xml:space="preserve">, Strasbourg, Council of Europe Publishing, 2002, 495 p. </w:t>
      </w:r>
    </w:p>
    <w:p w:rsidR="00777DC6" w:rsidRPr="00777DC6" w:rsidRDefault="00777DC6" w:rsidP="00777DC6">
      <w:pPr>
        <w:numPr>
          <w:ilvl w:val="0"/>
          <w:numId w:val="4"/>
        </w:numPr>
        <w:jc w:val="both"/>
        <w:rPr>
          <w:lang w:val="en-GB"/>
        </w:rPr>
      </w:pPr>
      <w:proofErr w:type="spellStart"/>
      <w:r w:rsidRPr="00777DC6">
        <w:rPr>
          <w:lang w:val="en-GB"/>
        </w:rPr>
        <w:t>Sandor</w:t>
      </w:r>
      <w:proofErr w:type="spellEnd"/>
      <w:r w:rsidRPr="00777DC6">
        <w:rPr>
          <w:lang w:val="en-GB"/>
        </w:rPr>
        <w:t xml:space="preserve"> E., </w:t>
      </w:r>
      <w:r w:rsidRPr="00777DC6">
        <w:rPr>
          <w:i/>
          <w:lang w:val="en-GB"/>
        </w:rPr>
        <w:t>Part-time work in Europe</w:t>
      </w:r>
      <w:r w:rsidRPr="00777DC6">
        <w:rPr>
          <w:lang w:val="en-GB"/>
        </w:rPr>
        <w:t xml:space="preserve">, Luxembourg, Publications Office of the European Union, 2009, 46 p. </w:t>
      </w:r>
    </w:p>
    <w:p w:rsidR="00777DC6" w:rsidRPr="00AE717E" w:rsidRDefault="00777DC6" w:rsidP="00777DC6">
      <w:pPr>
        <w:numPr>
          <w:ilvl w:val="0"/>
          <w:numId w:val="4"/>
        </w:numPr>
        <w:jc w:val="both"/>
        <w:rPr>
          <w:lang w:val="en-GB"/>
        </w:rPr>
      </w:pPr>
      <w:r w:rsidRPr="00777DC6">
        <w:rPr>
          <w:lang w:val="en-GB"/>
        </w:rPr>
        <w:t xml:space="preserve">Secretariat of the European Social Charter, </w:t>
      </w:r>
      <w:r w:rsidRPr="00777DC6">
        <w:rPr>
          <w:i/>
          <w:lang w:val="en-GB"/>
        </w:rPr>
        <w:t>Equality between Women and Men in the European Social Charter</w:t>
      </w:r>
      <w:r w:rsidRPr="00777DC6">
        <w:rPr>
          <w:lang w:val="en-GB"/>
        </w:rPr>
        <w:t xml:space="preserve">, Strasbourg, Council of Europe Publishing, 2005, 17 p.  </w:t>
      </w:r>
    </w:p>
    <w:p w:rsidR="00777DC6" w:rsidRPr="00777DC6" w:rsidRDefault="00777DC6" w:rsidP="00777DC6">
      <w:pPr>
        <w:numPr>
          <w:ilvl w:val="0"/>
          <w:numId w:val="4"/>
        </w:numPr>
        <w:jc w:val="both"/>
        <w:rPr>
          <w:lang w:val="en-GB"/>
        </w:rPr>
      </w:pPr>
      <w:proofErr w:type="spellStart"/>
      <w:r w:rsidRPr="00777DC6">
        <w:rPr>
          <w:lang w:val="en-GB"/>
        </w:rPr>
        <w:t>Selanec</w:t>
      </w:r>
      <w:proofErr w:type="spellEnd"/>
      <w:r w:rsidRPr="00777DC6">
        <w:rPr>
          <w:lang w:val="en-GB"/>
        </w:rPr>
        <w:t xml:space="preserve"> G. and </w:t>
      </w:r>
      <w:proofErr w:type="spellStart"/>
      <w:r w:rsidRPr="00777DC6">
        <w:rPr>
          <w:lang w:val="en-GB"/>
        </w:rPr>
        <w:t>Senden</w:t>
      </w:r>
      <w:proofErr w:type="spellEnd"/>
      <w:r w:rsidRPr="00777DC6">
        <w:rPr>
          <w:lang w:val="en-GB"/>
        </w:rPr>
        <w:t xml:space="preserve"> L., Gender Quotas and Other Positive Action Measures to Ensure Full Equality in Practice between Men and Women, Luxembourg, Publications Office of the European Union, 2011, 38 p. </w:t>
      </w:r>
    </w:p>
    <w:p w:rsidR="00777DC6" w:rsidRPr="00777DC6" w:rsidRDefault="00777DC6" w:rsidP="00777DC6">
      <w:pPr>
        <w:numPr>
          <w:ilvl w:val="0"/>
          <w:numId w:val="4"/>
        </w:numPr>
        <w:jc w:val="both"/>
        <w:rPr>
          <w:lang w:val="en-GB"/>
        </w:rPr>
      </w:pPr>
      <w:r w:rsidRPr="00777DC6">
        <w:rPr>
          <w:lang w:val="en-GB"/>
        </w:rPr>
        <w:t xml:space="preserve">Social Charter monographs, </w:t>
      </w:r>
      <w:r w:rsidRPr="00777DC6">
        <w:rPr>
          <w:i/>
          <w:lang w:val="en-GB"/>
        </w:rPr>
        <w:t>Equality between women and men in the European Social Charter</w:t>
      </w:r>
      <w:r w:rsidRPr="00777DC6">
        <w:rPr>
          <w:lang w:val="en-GB"/>
        </w:rPr>
        <w:t xml:space="preserve">, Strasbourg, Council of Europe Publishing, 2000, 142 p. </w:t>
      </w:r>
    </w:p>
    <w:p w:rsidR="00777DC6" w:rsidRPr="00777DC6" w:rsidRDefault="00777DC6" w:rsidP="00777DC6">
      <w:pPr>
        <w:numPr>
          <w:ilvl w:val="0"/>
          <w:numId w:val="4"/>
        </w:numPr>
        <w:jc w:val="both"/>
        <w:rPr>
          <w:lang w:val="en-US"/>
        </w:rPr>
      </w:pPr>
      <w:r w:rsidRPr="00777DC6">
        <w:rPr>
          <w:lang w:val="en-US"/>
        </w:rPr>
        <w:lastRenderedPageBreak/>
        <w:t xml:space="preserve">Rubenstein M., </w:t>
      </w:r>
      <w:r w:rsidRPr="00777DC6">
        <w:rPr>
          <w:i/>
          <w:lang w:val="en-US"/>
        </w:rPr>
        <w:t xml:space="preserve">The Dignity of Woman at Work: A Report on the Problem of Sexual Harassment in the Member States of the European Communities, </w:t>
      </w:r>
      <w:r w:rsidRPr="00777DC6">
        <w:rPr>
          <w:lang w:val="en-US"/>
        </w:rPr>
        <w:t xml:space="preserve">Luxembourg, Office for Official Publications of the European Communities, 1988, 164 p. </w:t>
      </w:r>
    </w:p>
    <w:p w:rsidR="00777DC6" w:rsidRPr="00777DC6" w:rsidRDefault="00777DC6" w:rsidP="00777DC6">
      <w:pPr>
        <w:numPr>
          <w:ilvl w:val="0"/>
          <w:numId w:val="4"/>
        </w:numPr>
        <w:jc w:val="both"/>
        <w:rPr>
          <w:lang w:val="en-GB"/>
        </w:rPr>
      </w:pPr>
      <w:proofErr w:type="spellStart"/>
      <w:r w:rsidRPr="00777DC6">
        <w:rPr>
          <w:lang w:val="en-GB"/>
        </w:rPr>
        <w:t>Tobler</w:t>
      </w:r>
      <w:proofErr w:type="spellEnd"/>
      <w:r w:rsidRPr="00777DC6">
        <w:rPr>
          <w:lang w:val="en-GB"/>
        </w:rPr>
        <w:t xml:space="preserve"> C., </w:t>
      </w:r>
      <w:r w:rsidRPr="00777DC6">
        <w:rPr>
          <w:i/>
          <w:lang w:val="en-GB"/>
        </w:rPr>
        <w:t>Limits and potential of the concept of indirect discrimination</w:t>
      </w:r>
      <w:r w:rsidRPr="00777DC6">
        <w:rPr>
          <w:lang w:val="en-GB"/>
        </w:rPr>
        <w:t xml:space="preserve">, Luxembourg, Office for Official Publications of the European Communities, 2008, 87 p. </w:t>
      </w:r>
    </w:p>
    <w:p w:rsidR="00777DC6" w:rsidRPr="00777DC6" w:rsidRDefault="00777DC6" w:rsidP="00777DC6">
      <w:pPr>
        <w:jc w:val="both"/>
        <w:rPr>
          <w:b/>
          <w:u w:val="single"/>
          <w:lang w:val="en-US"/>
        </w:rPr>
      </w:pPr>
    </w:p>
    <w:p w:rsidR="00777DC6" w:rsidRPr="00777DC6" w:rsidRDefault="00777DC6" w:rsidP="00777DC6">
      <w:pPr>
        <w:jc w:val="both"/>
        <w:rPr>
          <w:b/>
          <w:u w:val="single"/>
          <w:lang w:val="en-US"/>
        </w:rPr>
      </w:pPr>
    </w:p>
    <w:p w:rsidR="00777DC6" w:rsidRPr="00777DC6" w:rsidRDefault="00777DC6" w:rsidP="00777DC6">
      <w:pPr>
        <w:jc w:val="both"/>
        <w:rPr>
          <w:b/>
          <w:u w:val="single"/>
          <w:lang w:val="en-US"/>
        </w:rPr>
      </w:pPr>
    </w:p>
    <w:p w:rsidR="00777DC6" w:rsidRPr="00777DC6" w:rsidRDefault="00777DC6" w:rsidP="00777DC6">
      <w:pPr>
        <w:jc w:val="both"/>
        <w:rPr>
          <w:b/>
          <w:u w:val="single"/>
          <w:lang w:val="en-US"/>
        </w:rPr>
      </w:pPr>
    </w:p>
    <w:p w:rsidR="00777DC6" w:rsidRPr="00777DC6" w:rsidRDefault="00777DC6" w:rsidP="00777DC6">
      <w:pPr>
        <w:jc w:val="both"/>
        <w:rPr>
          <w:b/>
          <w:u w:val="single"/>
          <w:lang w:val="en-US"/>
        </w:rPr>
      </w:pPr>
    </w:p>
    <w:p w:rsidR="00777DC6" w:rsidRPr="00777DC6" w:rsidRDefault="00777DC6" w:rsidP="00777DC6">
      <w:pPr>
        <w:jc w:val="both"/>
        <w:rPr>
          <w:b/>
          <w:u w:val="single"/>
          <w:lang w:val="en-US"/>
        </w:rPr>
      </w:pPr>
    </w:p>
    <w:p w:rsidR="00777DC6" w:rsidRPr="00777DC6" w:rsidRDefault="00777DC6" w:rsidP="00777DC6">
      <w:pPr>
        <w:jc w:val="both"/>
        <w:rPr>
          <w:b/>
          <w:u w:val="single"/>
          <w:lang w:val="en-US"/>
        </w:rPr>
      </w:pPr>
    </w:p>
    <w:p w:rsidR="00777DC6" w:rsidRPr="00777DC6" w:rsidRDefault="00777DC6" w:rsidP="00777DC6">
      <w:pPr>
        <w:jc w:val="both"/>
        <w:rPr>
          <w:b/>
          <w:u w:val="single"/>
          <w:lang w:val="en-US"/>
        </w:rPr>
      </w:pPr>
    </w:p>
    <w:p w:rsidR="00777DC6" w:rsidRPr="00777DC6" w:rsidRDefault="00777DC6" w:rsidP="00777DC6">
      <w:pPr>
        <w:jc w:val="both"/>
        <w:rPr>
          <w:b/>
          <w:u w:val="single"/>
          <w:lang w:val="en-US"/>
        </w:rPr>
      </w:pPr>
    </w:p>
    <w:p w:rsidR="00777DC6" w:rsidRPr="00777DC6" w:rsidRDefault="00777DC6" w:rsidP="00777DC6">
      <w:pPr>
        <w:jc w:val="both"/>
        <w:rPr>
          <w:b/>
          <w:u w:val="single"/>
          <w:lang w:val="en-US"/>
        </w:rPr>
      </w:pPr>
    </w:p>
    <w:p w:rsidR="00777DC6" w:rsidRPr="00777DC6" w:rsidRDefault="00777DC6" w:rsidP="00777DC6">
      <w:pPr>
        <w:jc w:val="both"/>
        <w:rPr>
          <w:b/>
          <w:u w:val="single"/>
          <w:lang w:val="en-US"/>
        </w:rPr>
      </w:pPr>
    </w:p>
    <w:p w:rsidR="00777DC6" w:rsidRPr="00777DC6" w:rsidRDefault="00777DC6" w:rsidP="00777DC6">
      <w:pPr>
        <w:jc w:val="both"/>
        <w:rPr>
          <w:b/>
          <w:u w:val="single"/>
          <w:lang w:val="en-US"/>
        </w:rPr>
      </w:pPr>
    </w:p>
    <w:p w:rsidR="00777DC6" w:rsidRPr="00777DC6" w:rsidRDefault="00777DC6" w:rsidP="00777DC6">
      <w:pPr>
        <w:jc w:val="both"/>
        <w:rPr>
          <w:b/>
          <w:u w:val="single"/>
          <w:lang w:val="en-US"/>
        </w:rPr>
      </w:pPr>
    </w:p>
    <w:p w:rsidR="00777DC6" w:rsidRPr="00777DC6" w:rsidRDefault="00777DC6" w:rsidP="00777DC6">
      <w:pPr>
        <w:jc w:val="both"/>
        <w:rPr>
          <w:b/>
          <w:u w:val="single"/>
          <w:lang w:val="en-US"/>
        </w:rPr>
      </w:pPr>
    </w:p>
    <w:p w:rsidR="00777DC6" w:rsidRPr="00777DC6" w:rsidRDefault="00777DC6" w:rsidP="00777DC6">
      <w:pPr>
        <w:jc w:val="both"/>
        <w:rPr>
          <w:b/>
          <w:u w:val="single"/>
          <w:lang w:val="en-US"/>
        </w:rPr>
      </w:pPr>
    </w:p>
    <w:p w:rsidR="00777DC6" w:rsidRPr="00777DC6" w:rsidRDefault="00777DC6" w:rsidP="00777DC6">
      <w:pPr>
        <w:jc w:val="both"/>
        <w:rPr>
          <w:b/>
          <w:u w:val="single"/>
          <w:lang w:val="en-US"/>
        </w:rPr>
      </w:pPr>
    </w:p>
    <w:p w:rsidR="00777DC6" w:rsidRPr="00777DC6" w:rsidRDefault="00777DC6" w:rsidP="00777DC6">
      <w:pPr>
        <w:jc w:val="both"/>
        <w:rPr>
          <w:b/>
          <w:u w:val="single"/>
          <w:lang w:val="en-US"/>
        </w:rPr>
      </w:pPr>
    </w:p>
    <w:p w:rsidR="00777DC6" w:rsidRPr="00777DC6" w:rsidRDefault="00777DC6" w:rsidP="00777DC6">
      <w:pPr>
        <w:jc w:val="both"/>
        <w:rPr>
          <w:b/>
          <w:u w:val="single"/>
          <w:lang w:val="en-US"/>
        </w:rPr>
      </w:pPr>
    </w:p>
    <w:p w:rsidR="00777DC6" w:rsidRPr="00777DC6" w:rsidRDefault="00777DC6" w:rsidP="00777DC6">
      <w:pPr>
        <w:jc w:val="both"/>
        <w:rPr>
          <w:b/>
          <w:u w:val="single"/>
          <w:lang w:val="en-US"/>
        </w:rPr>
      </w:pPr>
    </w:p>
    <w:p w:rsidR="00523947" w:rsidRDefault="00523947" w:rsidP="00777DC6">
      <w:pPr>
        <w:jc w:val="both"/>
        <w:rPr>
          <w:b/>
          <w:u w:val="single"/>
          <w:lang w:val="en-US"/>
        </w:rPr>
      </w:pPr>
    </w:p>
    <w:p w:rsidR="00523947" w:rsidRDefault="00523947" w:rsidP="00777DC6">
      <w:pPr>
        <w:jc w:val="both"/>
        <w:rPr>
          <w:b/>
          <w:u w:val="single"/>
          <w:lang w:val="en-US"/>
        </w:rPr>
      </w:pPr>
    </w:p>
    <w:p w:rsidR="00523947" w:rsidRDefault="00523947" w:rsidP="00777DC6">
      <w:pPr>
        <w:jc w:val="both"/>
        <w:rPr>
          <w:b/>
          <w:u w:val="single"/>
          <w:lang w:val="en-US"/>
        </w:rPr>
      </w:pPr>
    </w:p>
    <w:p w:rsidR="00523947" w:rsidRDefault="00523947" w:rsidP="00777DC6">
      <w:pPr>
        <w:jc w:val="both"/>
        <w:rPr>
          <w:b/>
          <w:u w:val="single"/>
          <w:lang w:val="en-US"/>
        </w:rPr>
      </w:pPr>
    </w:p>
    <w:p w:rsidR="00777DC6" w:rsidRPr="00777DC6" w:rsidRDefault="00777DC6" w:rsidP="00777DC6">
      <w:pPr>
        <w:jc w:val="both"/>
        <w:rPr>
          <w:lang w:val="en-US"/>
        </w:rPr>
      </w:pPr>
      <w:r w:rsidRPr="00777DC6">
        <w:rPr>
          <w:b/>
          <w:u w:val="single"/>
          <w:lang w:val="en-US"/>
        </w:rPr>
        <w:lastRenderedPageBreak/>
        <w:t>Legal Doctrine: Books</w:t>
      </w:r>
    </w:p>
    <w:p w:rsidR="00777DC6" w:rsidRPr="00777DC6" w:rsidRDefault="00777DC6" w:rsidP="00777DC6">
      <w:pPr>
        <w:numPr>
          <w:ilvl w:val="0"/>
          <w:numId w:val="4"/>
        </w:numPr>
        <w:jc w:val="both"/>
        <w:rPr>
          <w:b/>
          <w:i/>
          <w:lang w:val="en-US"/>
        </w:rPr>
      </w:pPr>
      <w:proofErr w:type="spellStart"/>
      <w:r w:rsidRPr="00777DC6">
        <w:rPr>
          <w:lang w:val="en-US"/>
        </w:rPr>
        <w:t>Alcock</w:t>
      </w:r>
      <w:proofErr w:type="spellEnd"/>
      <w:r w:rsidRPr="00777DC6">
        <w:rPr>
          <w:lang w:val="en-US"/>
        </w:rPr>
        <w:t xml:space="preserve"> C., Payne S. and Sullivan M., </w:t>
      </w:r>
      <w:r w:rsidRPr="00777DC6">
        <w:rPr>
          <w:i/>
          <w:lang w:val="en-US"/>
        </w:rPr>
        <w:t>Introducing Social Policy</w:t>
      </w:r>
      <w:r w:rsidRPr="00777DC6">
        <w:rPr>
          <w:lang w:val="en-US"/>
        </w:rPr>
        <w:t xml:space="preserve">, Prentice Hall, New Jersey, 2000, 343 p. </w:t>
      </w:r>
    </w:p>
    <w:p w:rsidR="00777DC6" w:rsidRPr="00777DC6" w:rsidRDefault="00777DC6" w:rsidP="00777DC6">
      <w:pPr>
        <w:numPr>
          <w:ilvl w:val="0"/>
          <w:numId w:val="4"/>
        </w:numPr>
        <w:jc w:val="both"/>
        <w:rPr>
          <w:b/>
          <w:i/>
        </w:rPr>
      </w:pPr>
      <w:r w:rsidRPr="00777DC6">
        <w:t>Alen A. en Lemmens P. (</w:t>
      </w:r>
      <w:proofErr w:type="spellStart"/>
      <w:r w:rsidRPr="00777DC6">
        <w:t>eds</w:t>
      </w:r>
      <w:proofErr w:type="spellEnd"/>
      <w:r w:rsidRPr="00777DC6">
        <w:t xml:space="preserve">.), </w:t>
      </w:r>
      <w:r w:rsidRPr="00777DC6">
        <w:rPr>
          <w:i/>
        </w:rPr>
        <w:t>Gelijkheid en Non-Discriminatie</w:t>
      </w:r>
      <w:r w:rsidRPr="00777DC6">
        <w:t xml:space="preserve">, Antwerpen, Kluwer Rechtswetenschappen, 1991, 228 p. </w:t>
      </w:r>
    </w:p>
    <w:p w:rsidR="00777DC6" w:rsidRPr="00777DC6" w:rsidRDefault="00777DC6" w:rsidP="00777DC6">
      <w:pPr>
        <w:numPr>
          <w:ilvl w:val="0"/>
          <w:numId w:val="4"/>
        </w:numPr>
        <w:jc w:val="both"/>
        <w:rPr>
          <w:b/>
          <w:i/>
          <w:lang w:val="en-US"/>
        </w:rPr>
      </w:pPr>
      <w:proofErr w:type="spellStart"/>
      <w:r w:rsidRPr="00777DC6">
        <w:rPr>
          <w:lang w:val="en-US"/>
        </w:rPr>
        <w:t>Aliprantis</w:t>
      </w:r>
      <w:proofErr w:type="spellEnd"/>
      <w:r w:rsidRPr="00777DC6">
        <w:rPr>
          <w:lang w:val="en-US"/>
        </w:rPr>
        <w:t xml:space="preserve"> N. and </w:t>
      </w:r>
      <w:proofErr w:type="spellStart"/>
      <w:r w:rsidRPr="00777DC6">
        <w:rPr>
          <w:lang w:val="en-US"/>
        </w:rPr>
        <w:t>Papageorgiou</w:t>
      </w:r>
      <w:proofErr w:type="spellEnd"/>
      <w:r w:rsidRPr="00777DC6">
        <w:rPr>
          <w:lang w:val="en-US"/>
        </w:rPr>
        <w:t xml:space="preserve"> I. (eds.), </w:t>
      </w:r>
      <w:r w:rsidRPr="00777DC6">
        <w:rPr>
          <w:i/>
          <w:lang w:val="en-US"/>
        </w:rPr>
        <w:t>Social Rights – Challenges at European, Regional and International Level</w:t>
      </w:r>
      <w:r w:rsidRPr="00777DC6">
        <w:rPr>
          <w:lang w:val="en-US"/>
        </w:rPr>
        <w:t xml:space="preserve">, Brussels, </w:t>
      </w:r>
      <w:proofErr w:type="spellStart"/>
      <w:r w:rsidRPr="00777DC6">
        <w:rPr>
          <w:lang w:val="en-US"/>
        </w:rPr>
        <w:t>Bruylant</w:t>
      </w:r>
      <w:proofErr w:type="spellEnd"/>
      <w:r w:rsidRPr="00777DC6">
        <w:rPr>
          <w:lang w:val="en-US"/>
        </w:rPr>
        <w:t xml:space="preserve">, 2010, 408 p. </w:t>
      </w:r>
    </w:p>
    <w:p w:rsidR="00777DC6" w:rsidRPr="00777DC6" w:rsidRDefault="00777DC6" w:rsidP="00777DC6">
      <w:pPr>
        <w:numPr>
          <w:ilvl w:val="0"/>
          <w:numId w:val="4"/>
        </w:numPr>
        <w:jc w:val="both"/>
        <w:rPr>
          <w:b/>
          <w:i/>
          <w:lang w:val="en-US"/>
        </w:rPr>
      </w:pPr>
      <w:proofErr w:type="spellStart"/>
      <w:r w:rsidRPr="00777DC6">
        <w:rPr>
          <w:lang w:val="en-US"/>
        </w:rPr>
        <w:t>Als</w:t>
      </w:r>
      <w:proofErr w:type="spellEnd"/>
      <w:r w:rsidRPr="00777DC6">
        <w:rPr>
          <w:lang w:val="en-GB"/>
        </w:rPr>
        <w:t>ton P. (ed.),</w:t>
      </w:r>
      <w:r w:rsidRPr="00777DC6">
        <w:rPr>
          <w:i/>
          <w:lang w:val="en-GB"/>
        </w:rPr>
        <w:t xml:space="preserve"> The EU and Human Rights</w:t>
      </w:r>
      <w:r w:rsidRPr="00777DC6">
        <w:rPr>
          <w:lang w:val="en-GB"/>
        </w:rPr>
        <w:t xml:space="preserve">, Oxford, Oxford University Press, 1999, 946 p. </w:t>
      </w:r>
    </w:p>
    <w:p w:rsidR="00777DC6" w:rsidRPr="00777DC6" w:rsidRDefault="00777DC6" w:rsidP="00777DC6">
      <w:pPr>
        <w:numPr>
          <w:ilvl w:val="0"/>
          <w:numId w:val="4"/>
        </w:numPr>
        <w:jc w:val="both"/>
        <w:rPr>
          <w:b/>
          <w:i/>
          <w:lang w:val="en-US"/>
        </w:rPr>
      </w:pPr>
      <w:r w:rsidRPr="00777DC6">
        <w:rPr>
          <w:lang w:val="en-US"/>
        </w:rPr>
        <w:t xml:space="preserve">Alston P. and Goodman R., </w:t>
      </w:r>
      <w:r w:rsidRPr="00777DC6">
        <w:rPr>
          <w:i/>
          <w:lang w:val="en-US"/>
        </w:rPr>
        <w:t>International Human Rights</w:t>
      </w:r>
      <w:r w:rsidRPr="00777DC6">
        <w:rPr>
          <w:lang w:val="en-US"/>
        </w:rPr>
        <w:t xml:space="preserve">, Oxford, Oxford University Press, 2013, 1580 p. </w:t>
      </w:r>
    </w:p>
    <w:p w:rsidR="00777DC6" w:rsidRPr="00777DC6" w:rsidRDefault="00777DC6" w:rsidP="00777DC6">
      <w:pPr>
        <w:numPr>
          <w:ilvl w:val="0"/>
          <w:numId w:val="4"/>
        </w:numPr>
        <w:jc w:val="both"/>
        <w:rPr>
          <w:lang w:val="en-GB"/>
        </w:rPr>
      </w:pPr>
      <w:proofErr w:type="spellStart"/>
      <w:r w:rsidRPr="00777DC6">
        <w:rPr>
          <w:lang w:val="en-GB"/>
        </w:rPr>
        <w:t>Arnardottir</w:t>
      </w:r>
      <w:proofErr w:type="spellEnd"/>
      <w:r w:rsidRPr="00777DC6">
        <w:rPr>
          <w:lang w:val="en-GB"/>
        </w:rPr>
        <w:t xml:space="preserve"> O., </w:t>
      </w:r>
      <w:r w:rsidRPr="00777DC6">
        <w:rPr>
          <w:i/>
          <w:lang w:val="en-GB"/>
        </w:rPr>
        <w:t>Equality and Non-Discrimination under the European Convention on Human Rights</w:t>
      </w:r>
      <w:r w:rsidRPr="00777DC6">
        <w:rPr>
          <w:lang w:val="en-GB"/>
        </w:rPr>
        <w:t xml:space="preserve">, The Hague, </w:t>
      </w:r>
      <w:proofErr w:type="spellStart"/>
      <w:r w:rsidRPr="00777DC6">
        <w:rPr>
          <w:lang w:val="en-GB"/>
        </w:rPr>
        <w:t>Martinus</w:t>
      </w:r>
      <w:proofErr w:type="spellEnd"/>
      <w:r w:rsidRPr="00777DC6">
        <w:rPr>
          <w:lang w:val="en-GB"/>
        </w:rPr>
        <w:t xml:space="preserve"> </w:t>
      </w:r>
      <w:proofErr w:type="spellStart"/>
      <w:r w:rsidRPr="00777DC6">
        <w:rPr>
          <w:lang w:val="en-GB"/>
        </w:rPr>
        <w:t>Nijhoff</w:t>
      </w:r>
      <w:proofErr w:type="spellEnd"/>
      <w:r w:rsidRPr="00777DC6">
        <w:rPr>
          <w:lang w:val="en-GB"/>
        </w:rPr>
        <w:t xml:space="preserve"> Publishers, 2003, 265 p.</w:t>
      </w:r>
    </w:p>
    <w:p w:rsidR="00777DC6" w:rsidRPr="0005699C" w:rsidRDefault="00777DC6" w:rsidP="00777DC6">
      <w:pPr>
        <w:numPr>
          <w:ilvl w:val="0"/>
          <w:numId w:val="4"/>
        </w:numPr>
        <w:jc w:val="both"/>
        <w:rPr>
          <w:lang w:val="en-US"/>
        </w:rPr>
      </w:pPr>
      <w:proofErr w:type="spellStart"/>
      <w:r w:rsidRPr="00777DC6">
        <w:rPr>
          <w:lang w:val="en-US"/>
        </w:rPr>
        <w:t>Askin</w:t>
      </w:r>
      <w:proofErr w:type="spellEnd"/>
      <w:r w:rsidRPr="00777DC6">
        <w:rPr>
          <w:lang w:val="en-US"/>
        </w:rPr>
        <w:t xml:space="preserve"> K. and Koenig D. (eds.), </w:t>
      </w:r>
      <w:r w:rsidRPr="00777DC6">
        <w:rPr>
          <w:i/>
          <w:lang w:val="en-US"/>
        </w:rPr>
        <w:t>Women and International Human Rights Law</w:t>
      </w:r>
      <w:r w:rsidRPr="00777DC6">
        <w:rPr>
          <w:lang w:val="en-US"/>
        </w:rPr>
        <w:t xml:space="preserve">, I, New York, Transnational Publishers, 2000, 736 p. </w:t>
      </w:r>
    </w:p>
    <w:p w:rsidR="00777DC6" w:rsidRPr="00777DC6" w:rsidRDefault="00777DC6" w:rsidP="00777DC6">
      <w:pPr>
        <w:numPr>
          <w:ilvl w:val="0"/>
          <w:numId w:val="4"/>
        </w:numPr>
        <w:jc w:val="both"/>
        <w:rPr>
          <w:u w:val="single"/>
          <w:lang w:val="en-US"/>
        </w:rPr>
      </w:pPr>
      <w:proofErr w:type="spellStart"/>
      <w:r w:rsidRPr="00777DC6">
        <w:rPr>
          <w:lang w:val="en-US"/>
        </w:rPr>
        <w:t>Askin</w:t>
      </w:r>
      <w:proofErr w:type="spellEnd"/>
      <w:r w:rsidRPr="00777DC6">
        <w:rPr>
          <w:lang w:val="en-US"/>
        </w:rPr>
        <w:t xml:space="preserve"> K. and Koenig D. (eds.), </w:t>
      </w:r>
      <w:r w:rsidRPr="00777DC6">
        <w:rPr>
          <w:i/>
          <w:lang w:val="en-US"/>
        </w:rPr>
        <w:t>Women and International Human Rights Law</w:t>
      </w:r>
      <w:r w:rsidRPr="00777DC6">
        <w:rPr>
          <w:lang w:val="en-US"/>
        </w:rPr>
        <w:t xml:space="preserve">, II, New York, Transnational Publishers, 2000, 731 p. </w:t>
      </w:r>
    </w:p>
    <w:p w:rsidR="00777DC6" w:rsidRPr="00777DC6" w:rsidRDefault="00777DC6" w:rsidP="00777DC6">
      <w:pPr>
        <w:numPr>
          <w:ilvl w:val="0"/>
          <w:numId w:val="4"/>
        </w:numPr>
        <w:jc w:val="both"/>
        <w:rPr>
          <w:lang w:val="en-GB"/>
        </w:rPr>
      </w:pPr>
      <w:r w:rsidRPr="00777DC6">
        <w:rPr>
          <w:lang w:val="en-GB"/>
        </w:rPr>
        <w:t xml:space="preserve">Barnard C., </w:t>
      </w:r>
      <w:r w:rsidRPr="00777DC6">
        <w:rPr>
          <w:i/>
          <w:lang w:val="en-GB"/>
        </w:rPr>
        <w:t>EC Employment Law</w:t>
      </w:r>
      <w:r w:rsidRPr="00777DC6">
        <w:rPr>
          <w:lang w:val="en-GB"/>
        </w:rPr>
        <w:t xml:space="preserve">, Oxford, Oxford University Press, 2006, 798 p. </w:t>
      </w:r>
    </w:p>
    <w:p w:rsidR="00777DC6" w:rsidRPr="00777DC6" w:rsidRDefault="00777DC6" w:rsidP="00777DC6">
      <w:pPr>
        <w:numPr>
          <w:ilvl w:val="0"/>
          <w:numId w:val="4"/>
        </w:numPr>
        <w:jc w:val="both"/>
        <w:rPr>
          <w:lang w:val="en-US"/>
        </w:rPr>
      </w:pPr>
      <w:r w:rsidRPr="00777DC6">
        <w:rPr>
          <w:lang w:val="en-US"/>
        </w:rPr>
        <w:t xml:space="preserve">Barnard C., </w:t>
      </w:r>
      <w:r w:rsidRPr="00777DC6">
        <w:rPr>
          <w:i/>
          <w:lang w:val="en-US"/>
        </w:rPr>
        <w:t xml:space="preserve">EU Employment Law, </w:t>
      </w:r>
      <w:r w:rsidRPr="00777DC6">
        <w:rPr>
          <w:lang w:val="en-US"/>
        </w:rPr>
        <w:t xml:space="preserve">Oxford, Oxford University Press, 2012, 800 p. </w:t>
      </w:r>
    </w:p>
    <w:p w:rsidR="00777DC6" w:rsidRPr="00777DC6" w:rsidRDefault="00777DC6" w:rsidP="00777DC6">
      <w:pPr>
        <w:numPr>
          <w:ilvl w:val="0"/>
          <w:numId w:val="4"/>
        </w:numPr>
        <w:jc w:val="both"/>
        <w:rPr>
          <w:b/>
          <w:u w:val="single"/>
          <w:lang w:val="en-US"/>
        </w:rPr>
      </w:pPr>
      <w:proofErr w:type="spellStart"/>
      <w:r w:rsidRPr="00777DC6">
        <w:rPr>
          <w:lang w:val="en-US"/>
        </w:rPr>
        <w:t>Bartolomei</w:t>
      </w:r>
      <w:proofErr w:type="spellEnd"/>
      <w:r w:rsidRPr="00777DC6">
        <w:rPr>
          <w:lang w:val="en-US"/>
        </w:rPr>
        <w:t xml:space="preserve"> H., von </w:t>
      </w:r>
      <w:proofErr w:type="spellStart"/>
      <w:r w:rsidRPr="00777DC6">
        <w:rPr>
          <w:lang w:val="en-US"/>
        </w:rPr>
        <w:t>Potobsky</w:t>
      </w:r>
      <w:proofErr w:type="spellEnd"/>
      <w:r w:rsidRPr="00777DC6">
        <w:rPr>
          <w:lang w:val="en-US"/>
        </w:rPr>
        <w:t xml:space="preserve"> G. and </w:t>
      </w:r>
      <w:proofErr w:type="spellStart"/>
      <w:r w:rsidRPr="00777DC6">
        <w:rPr>
          <w:lang w:val="en-US"/>
        </w:rPr>
        <w:t>Swepston</w:t>
      </w:r>
      <w:proofErr w:type="spellEnd"/>
      <w:r w:rsidRPr="00777DC6">
        <w:rPr>
          <w:lang w:val="en-US"/>
        </w:rPr>
        <w:t xml:space="preserve"> L., </w:t>
      </w:r>
      <w:r w:rsidRPr="00777DC6">
        <w:rPr>
          <w:i/>
          <w:lang w:val="en-US"/>
        </w:rPr>
        <w:t>The International Labor Organization</w:t>
      </w:r>
      <w:r w:rsidRPr="00777DC6">
        <w:rPr>
          <w:lang w:val="en-US"/>
        </w:rPr>
        <w:t xml:space="preserve">, Colorado, Westview Press, 1996, 296 p.  </w:t>
      </w:r>
    </w:p>
    <w:p w:rsidR="00777DC6" w:rsidRPr="00777DC6" w:rsidRDefault="00777DC6" w:rsidP="00777DC6">
      <w:pPr>
        <w:numPr>
          <w:ilvl w:val="0"/>
          <w:numId w:val="4"/>
        </w:numPr>
        <w:jc w:val="both"/>
      </w:pPr>
      <w:proofErr w:type="spellStart"/>
      <w:r w:rsidRPr="00777DC6">
        <w:t>Bayart</w:t>
      </w:r>
      <w:proofErr w:type="spellEnd"/>
      <w:r w:rsidRPr="00777DC6">
        <w:t xml:space="preserve"> C., </w:t>
      </w:r>
      <w:proofErr w:type="spellStart"/>
      <w:r w:rsidRPr="00777DC6">
        <w:t>Sottiaux</w:t>
      </w:r>
      <w:proofErr w:type="spellEnd"/>
      <w:r w:rsidRPr="00777DC6">
        <w:t xml:space="preserve"> S. en Van </w:t>
      </w:r>
      <w:proofErr w:type="spellStart"/>
      <w:r w:rsidRPr="00777DC6">
        <w:t>Drooghenbroeck</w:t>
      </w:r>
      <w:proofErr w:type="spellEnd"/>
      <w:r w:rsidRPr="00777DC6">
        <w:t xml:space="preserve"> S. (</w:t>
      </w:r>
      <w:proofErr w:type="spellStart"/>
      <w:r w:rsidRPr="00777DC6">
        <w:t>eds</w:t>
      </w:r>
      <w:proofErr w:type="spellEnd"/>
      <w:r w:rsidRPr="00777DC6">
        <w:t xml:space="preserve">.), </w:t>
      </w:r>
      <w:r w:rsidRPr="00777DC6">
        <w:rPr>
          <w:i/>
        </w:rPr>
        <w:t>Actuele Topics Discriminatierecht</w:t>
      </w:r>
      <w:r w:rsidRPr="00777DC6">
        <w:t xml:space="preserve">, Brugge, die </w:t>
      </w:r>
      <w:proofErr w:type="spellStart"/>
      <w:r w:rsidRPr="00777DC6">
        <w:t>Keure</w:t>
      </w:r>
      <w:proofErr w:type="spellEnd"/>
      <w:r w:rsidRPr="00777DC6">
        <w:t xml:space="preserve">, 2010, 407 p.  </w:t>
      </w:r>
    </w:p>
    <w:p w:rsidR="00777DC6" w:rsidRPr="00777DC6" w:rsidRDefault="00777DC6" w:rsidP="00777DC6">
      <w:pPr>
        <w:numPr>
          <w:ilvl w:val="0"/>
          <w:numId w:val="4"/>
        </w:numPr>
        <w:jc w:val="both"/>
        <w:rPr>
          <w:b/>
          <w:u w:val="single"/>
          <w:lang w:val="en-US"/>
        </w:rPr>
      </w:pPr>
      <w:r w:rsidRPr="00777DC6">
        <w:rPr>
          <w:lang w:val="en-US"/>
        </w:rPr>
        <w:t xml:space="preserve">Bell M., </w:t>
      </w:r>
      <w:r w:rsidRPr="00777DC6">
        <w:rPr>
          <w:i/>
          <w:lang w:val="en-US"/>
        </w:rPr>
        <w:t>Anti-Discrimination Law and the European Union</w:t>
      </w:r>
      <w:r w:rsidRPr="00777DC6">
        <w:rPr>
          <w:lang w:val="en-US"/>
        </w:rPr>
        <w:t xml:space="preserve">, Oxford, Oxford University Press, 2002, 269 p. </w:t>
      </w:r>
    </w:p>
    <w:p w:rsidR="00777DC6" w:rsidRPr="00777DC6" w:rsidRDefault="00777DC6" w:rsidP="00777DC6">
      <w:pPr>
        <w:numPr>
          <w:ilvl w:val="0"/>
          <w:numId w:val="4"/>
        </w:numPr>
        <w:jc w:val="both"/>
        <w:rPr>
          <w:b/>
          <w:u w:val="single"/>
          <w:lang w:val="en-US"/>
        </w:rPr>
      </w:pPr>
      <w:proofErr w:type="spellStart"/>
      <w:r w:rsidRPr="00777DC6">
        <w:rPr>
          <w:lang w:val="en-US"/>
        </w:rPr>
        <w:t>Betten</w:t>
      </w:r>
      <w:proofErr w:type="spellEnd"/>
      <w:r w:rsidRPr="00777DC6">
        <w:rPr>
          <w:lang w:val="en-US"/>
        </w:rPr>
        <w:t xml:space="preserve"> L. and Grief N., </w:t>
      </w:r>
      <w:r w:rsidRPr="00777DC6">
        <w:rPr>
          <w:i/>
          <w:lang w:val="en-US"/>
        </w:rPr>
        <w:t>EU Law and Human Rights</w:t>
      </w:r>
      <w:r w:rsidRPr="00777DC6">
        <w:rPr>
          <w:lang w:val="en-US"/>
        </w:rPr>
        <w:t xml:space="preserve">, London and New York, Longman, 1998, 158 p. </w:t>
      </w:r>
    </w:p>
    <w:p w:rsidR="00777DC6" w:rsidRPr="00C44789" w:rsidRDefault="00777DC6" w:rsidP="00777DC6">
      <w:pPr>
        <w:numPr>
          <w:ilvl w:val="0"/>
          <w:numId w:val="4"/>
        </w:numPr>
        <w:jc w:val="both"/>
        <w:rPr>
          <w:b/>
          <w:u w:val="single"/>
        </w:rPr>
      </w:pPr>
      <w:proofErr w:type="spellStart"/>
      <w:r w:rsidRPr="00C44789">
        <w:t>Blanpain</w:t>
      </w:r>
      <w:proofErr w:type="spellEnd"/>
      <w:r w:rsidRPr="00C44789">
        <w:t xml:space="preserve"> R., </w:t>
      </w:r>
      <w:r w:rsidRPr="00C44789">
        <w:rPr>
          <w:i/>
        </w:rPr>
        <w:t>Europees Arbeidsrecht</w:t>
      </w:r>
      <w:r w:rsidRPr="00C44789">
        <w:t xml:space="preserve">, Brugge, die </w:t>
      </w:r>
      <w:proofErr w:type="spellStart"/>
      <w:r w:rsidRPr="00C44789">
        <w:t>Keure</w:t>
      </w:r>
      <w:proofErr w:type="spellEnd"/>
      <w:r w:rsidRPr="00C44789">
        <w:t>, 2012, 592 p.</w:t>
      </w:r>
    </w:p>
    <w:p w:rsidR="00777DC6" w:rsidRPr="00777DC6" w:rsidRDefault="00777DC6" w:rsidP="00777DC6">
      <w:pPr>
        <w:numPr>
          <w:ilvl w:val="0"/>
          <w:numId w:val="4"/>
        </w:numPr>
        <w:jc w:val="both"/>
        <w:rPr>
          <w:b/>
          <w:lang w:val="en-US"/>
        </w:rPr>
      </w:pPr>
      <w:proofErr w:type="spellStart"/>
      <w:r w:rsidRPr="00777DC6">
        <w:rPr>
          <w:lang w:val="en-US"/>
        </w:rPr>
        <w:t>Boerefijn</w:t>
      </w:r>
      <w:proofErr w:type="spellEnd"/>
      <w:r w:rsidRPr="00777DC6">
        <w:rPr>
          <w:lang w:val="en-US"/>
        </w:rPr>
        <w:t xml:space="preserve"> I. and </w:t>
      </w:r>
      <w:proofErr w:type="spellStart"/>
      <w:r w:rsidRPr="00777DC6">
        <w:rPr>
          <w:lang w:val="en-US"/>
        </w:rPr>
        <w:t>Coomans</w:t>
      </w:r>
      <w:proofErr w:type="spellEnd"/>
      <w:r w:rsidRPr="00777DC6">
        <w:rPr>
          <w:lang w:val="en-US"/>
        </w:rPr>
        <w:t xml:space="preserve"> F. (eds.), </w:t>
      </w:r>
      <w:r w:rsidRPr="00777DC6">
        <w:rPr>
          <w:i/>
          <w:lang w:val="en-US"/>
        </w:rPr>
        <w:t>Temporary Special Measures: Accelerating de facto equality of Women under article 4(1) UN Convention on the Elimination of All Forms of Discrimination Against Women</w:t>
      </w:r>
      <w:r w:rsidRPr="00777DC6">
        <w:rPr>
          <w:lang w:val="en-US"/>
        </w:rPr>
        <w:t xml:space="preserve">, Antwerp, </w:t>
      </w:r>
      <w:proofErr w:type="spellStart"/>
      <w:r w:rsidRPr="00777DC6">
        <w:rPr>
          <w:lang w:val="en-US"/>
        </w:rPr>
        <w:t>Intersentia</w:t>
      </w:r>
      <w:proofErr w:type="spellEnd"/>
      <w:r w:rsidRPr="00777DC6">
        <w:rPr>
          <w:lang w:val="en-US"/>
        </w:rPr>
        <w:t>, 2003, 258 p.</w:t>
      </w:r>
    </w:p>
    <w:p w:rsidR="00777DC6" w:rsidRPr="00777DC6" w:rsidRDefault="00777DC6" w:rsidP="00777DC6">
      <w:pPr>
        <w:numPr>
          <w:ilvl w:val="0"/>
          <w:numId w:val="4"/>
        </w:numPr>
        <w:jc w:val="both"/>
        <w:rPr>
          <w:b/>
        </w:rPr>
      </w:pPr>
      <w:proofErr w:type="spellStart"/>
      <w:r w:rsidRPr="00777DC6">
        <w:t>Borghs</w:t>
      </w:r>
      <w:proofErr w:type="spellEnd"/>
      <w:r w:rsidRPr="00777DC6">
        <w:t xml:space="preserve"> P., </w:t>
      </w:r>
      <w:r w:rsidRPr="00777DC6">
        <w:rPr>
          <w:i/>
        </w:rPr>
        <w:t>De Antidiscriminatiewet</w:t>
      </w:r>
      <w:r w:rsidRPr="00777DC6">
        <w:t xml:space="preserve">, Antwerpen-Apeldoorn, Garant, 2003, 90 p. </w:t>
      </w:r>
    </w:p>
    <w:p w:rsidR="00777DC6" w:rsidRPr="00777DC6" w:rsidRDefault="00777DC6" w:rsidP="00777DC6">
      <w:pPr>
        <w:numPr>
          <w:ilvl w:val="0"/>
          <w:numId w:val="4"/>
        </w:numPr>
        <w:jc w:val="both"/>
        <w:rPr>
          <w:i/>
          <w:u w:val="single"/>
          <w:lang w:val="en-US"/>
        </w:rPr>
      </w:pPr>
      <w:r w:rsidRPr="00777DC6">
        <w:rPr>
          <w:lang w:val="en-US"/>
        </w:rPr>
        <w:lastRenderedPageBreak/>
        <w:t>Bradley H.,</w:t>
      </w:r>
      <w:r w:rsidRPr="00777DC6">
        <w:rPr>
          <w:i/>
          <w:lang w:val="en-US"/>
        </w:rPr>
        <w:t xml:space="preserve"> Gender and Power in the Workplace</w:t>
      </w:r>
      <w:r w:rsidRPr="00777DC6">
        <w:rPr>
          <w:lang w:val="en-US"/>
        </w:rPr>
        <w:t>, Hampshire, MacMillan Press Ltd, 1999, 250 p.</w:t>
      </w:r>
      <w:r w:rsidRPr="00777DC6">
        <w:rPr>
          <w:i/>
          <w:u w:val="single"/>
          <w:lang w:val="en-US"/>
        </w:rPr>
        <w:t xml:space="preserve"> </w:t>
      </w:r>
    </w:p>
    <w:p w:rsidR="00777DC6" w:rsidRPr="00777DC6" w:rsidRDefault="00777DC6" w:rsidP="00777DC6">
      <w:pPr>
        <w:numPr>
          <w:ilvl w:val="0"/>
          <w:numId w:val="4"/>
        </w:numPr>
        <w:jc w:val="both"/>
        <w:rPr>
          <w:b/>
        </w:rPr>
      </w:pPr>
      <w:r w:rsidRPr="00777DC6">
        <w:t>Brems E. en Stevens L. (</w:t>
      </w:r>
      <w:proofErr w:type="spellStart"/>
      <w:r w:rsidRPr="00777DC6">
        <w:t>eds</w:t>
      </w:r>
      <w:proofErr w:type="spellEnd"/>
      <w:r w:rsidRPr="00777DC6">
        <w:t xml:space="preserve">.), </w:t>
      </w:r>
      <w:r w:rsidRPr="00777DC6">
        <w:rPr>
          <w:i/>
        </w:rPr>
        <w:t>Recht en Gender in België</w:t>
      </w:r>
      <w:r w:rsidRPr="00777DC6">
        <w:t xml:space="preserve">, Brugge, die </w:t>
      </w:r>
      <w:proofErr w:type="spellStart"/>
      <w:r w:rsidRPr="00777DC6">
        <w:t>Keure</w:t>
      </w:r>
      <w:proofErr w:type="spellEnd"/>
      <w:r w:rsidRPr="00777DC6">
        <w:t xml:space="preserve">, 2011, 266 p. </w:t>
      </w:r>
    </w:p>
    <w:p w:rsidR="00777DC6" w:rsidRPr="00777DC6" w:rsidRDefault="00777DC6" w:rsidP="00777DC6">
      <w:pPr>
        <w:numPr>
          <w:ilvl w:val="0"/>
          <w:numId w:val="4"/>
        </w:numPr>
        <w:jc w:val="both"/>
        <w:rPr>
          <w:b/>
          <w:lang w:val="en-US"/>
        </w:rPr>
      </w:pPr>
      <w:r w:rsidRPr="00777DC6">
        <w:rPr>
          <w:lang w:val="en-US"/>
        </w:rPr>
        <w:t xml:space="preserve">Browne K., </w:t>
      </w:r>
      <w:r w:rsidRPr="00777DC6">
        <w:rPr>
          <w:i/>
          <w:lang w:val="en-US"/>
        </w:rPr>
        <w:t>Biology at Work</w:t>
      </w:r>
      <w:r w:rsidRPr="00777DC6">
        <w:rPr>
          <w:lang w:val="en-US"/>
        </w:rPr>
        <w:t xml:space="preserve">, New Jersey, Rutgers University Press, 2002, 282 p. </w:t>
      </w:r>
    </w:p>
    <w:p w:rsidR="00777DC6" w:rsidRPr="00777DC6" w:rsidRDefault="00777DC6" w:rsidP="00777DC6">
      <w:pPr>
        <w:numPr>
          <w:ilvl w:val="0"/>
          <w:numId w:val="4"/>
        </w:numPr>
        <w:jc w:val="both"/>
        <w:rPr>
          <w:b/>
          <w:lang w:val="en-US"/>
        </w:rPr>
      </w:pPr>
      <w:proofErr w:type="spellStart"/>
      <w:r w:rsidRPr="00777DC6">
        <w:rPr>
          <w:lang w:val="en-US"/>
        </w:rPr>
        <w:t>Brownlie</w:t>
      </w:r>
      <w:proofErr w:type="spellEnd"/>
      <w:r w:rsidRPr="00777DC6">
        <w:rPr>
          <w:lang w:val="en-US"/>
        </w:rPr>
        <w:t xml:space="preserve"> I., </w:t>
      </w:r>
      <w:r w:rsidRPr="00777DC6">
        <w:rPr>
          <w:i/>
          <w:lang w:val="en-US"/>
        </w:rPr>
        <w:t>Public International Law</w:t>
      </w:r>
      <w:r w:rsidRPr="00777DC6">
        <w:rPr>
          <w:lang w:val="en-US"/>
        </w:rPr>
        <w:t xml:space="preserve">, Oxford, Oxford University Press, 2008, 784 p. </w:t>
      </w:r>
    </w:p>
    <w:p w:rsidR="00777DC6" w:rsidRPr="00777DC6" w:rsidRDefault="00777DC6" w:rsidP="00777DC6">
      <w:pPr>
        <w:numPr>
          <w:ilvl w:val="0"/>
          <w:numId w:val="4"/>
        </w:numPr>
        <w:jc w:val="both"/>
        <w:rPr>
          <w:b/>
          <w:lang w:val="en-US"/>
        </w:rPr>
      </w:pPr>
      <w:proofErr w:type="spellStart"/>
      <w:r w:rsidRPr="00777DC6">
        <w:rPr>
          <w:lang w:val="en-US"/>
        </w:rPr>
        <w:t>Buergenthal</w:t>
      </w:r>
      <w:proofErr w:type="spellEnd"/>
      <w:r w:rsidRPr="00777DC6">
        <w:rPr>
          <w:lang w:val="en-US"/>
        </w:rPr>
        <w:t xml:space="preserve"> T., Shelton D. and Stewart D., </w:t>
      </w:r>
      <w:r w:rsidRPr="00777DC6">
        <w:rPr>
          <w:i/>
          <w:lang w:val="en-US"/>
        </w:rPr>
        <w:t>International Human Rights in a nutshell</w:t>
      </w:r>
      <w:r w:rsidRPr="00777DC6">
        <w:rPr>
          <w:lang w:val="en-US"/>
        </w:rPr>
        <w:t xml:space="preserve">, St. Paul, Thomson Reuters, 2009, 553 p. </w:t>
      </w:r>
    </w:p>
    <w:p w:rsidR="00777DC6" w:rsidRPr="00777DC6" w:rsidRDefault="00777DC6" w:rsidP="00777DC6">
      <w:pPr>
        <w:numPr>
          <w:ilvl w:val="0"/>
          <w:numId w:val="4"/>
        </w:numPr>
        <w:jc w:val="both"/>
        <w:rPr>
          <w:i/>
          <w:u w:val="single"/>
          <w:lang w:val="en-US"/>
        </w:rPr>
      </w:pPr>
      <w:proofErr w:type="spellStart"/>
      <w:r w:rsidRPr="00777DC6">
        <w:rPr>
          <w:lang w:val="en-US"/>
        </w:rPr>
        <w:t>Burchell</w:t>
      </w:r>
      <w:proofErr w:type="spellEnd"/>
      <w:r w:rsidRPr="00777DC6">
        <w:rPr>
          <w:lang w:val="en-US"/>
        </w:rPr>
        <w:t xml:space="preserve"> B., Fagan C., O’Brien C. and Smith M., </w:t>
      </w:r>
      <w:r w:rsidRPr="00777DC6">
        <w:rPr>
          <w:i/>
          <w:lang w:val="en-US"/>
        </w:rPr>
        <w:t>Working conditions in the European Union: The Gender perspective</w:t>
      </w:r>
      <w:r w:rsidRPr="00777DC6">
        <w:rPr>
          <w:lang w:val="en-US"/>
        </w:rPr>
        <w:t xml:space="preserve">, Dublin, European Foundation for the Improvement of Living and Working Conditions, 2007, 73 p. </w:t>
      </w:r>
    </w:p>
    <w:p w:rsidR="00777DC6" w:rsidRPr="00777DC6" w:rsidRDefault="00777DC6" w:rsidP="00777DC6">
      <w:pPr>
        <w:numPr>
          <w:ilvl w:val="0"/>
          <w:numId w:val="4"/>
        </w:numPr>
        <w:jc w:val="both"/>
        <w:rPr>
          <w:i/>
          <w:u w:val="single"/>
        </w:rPr>
      </w:pPr>
      <w:proofErr w:type="spellStart"/>
      <w:r w:rsidRPr="00777DC6">
        <w:t>Burri</w:t>
      </w:r>
      <w:proofErr w:type="spellEnd"/>
      <w:r w:rsidRPr="00777DC6">
        <w:t xml:space="preserve"> S., </w:t>
      </w:r>
      <w:r w:rsidRPr="00777DC6">
        <w:rPr>
          <w:i/>
        </w:rPr>
        <w:t>Tijd delen: Deeltijd, gelijkheid en gender in Europees- en nationaalrechtelijk perspectief,</w:t>
      </w:r>
      <w:r w:rsidRPr="00777DC6">
        <w:t xml:space="preserve"> Antwerpen, Kluwer, 2000, 723 p. </w:t>
      </w:r>
    </w:p>
    <w:p w:rsidR="00777DC6" w:rsidRPr="00777DC6" w:rsidRDefault="00777DC6" w:rsidP="00777DC6">
      <w:pPr>
        <w:numPr>
          <w:ilvl w:val="0"/>
          <w:numId w:val="4"/>
        </w:numPr>
        <w:jc w:val="both"/>
        <w:rPr>
          <w:i/>
          <w:u w:val="single"/>
          <w:lang w:val="en-US"/>
        </w:rPr>
      </w:pPr>
      <w:r w:rsidRPr="00777DC6">
        <w:rPr>
          <w:lang w:val="en-US"/>
        </w:rPr>
        <w:t xml:space="preserve">Burrows N. and </w:t>
      </w:r>
      <w:proofErr w:type="spellStart"/>
      <w:r w:rsidRPr="00777DC6">
        <w:rPr>
          <w:lang w:val="en-US"/>
        </w:rPr>
        <w:t>Mair</w:t>
      </w:r>
      <w:proofErr w:type="spellEnd"/>
      <w:r w:rsidRPr="00777DC6">
        <w:rPr>
          <w:lang w:val="en-US"/>
        </w:rPr>
        <w:t xml:space="preserve"> J., </w:t>
      </w:r>
      <w:r w:rsidRPr="00777DC6">
        <w:rPr>
          <w:i/>
          <w:lang w:val="en-US"/>
        </w:rPr>
        <w:t>European Social Law</w:t>
      </w:r>
      <w:r w:rsidRPr="00777DC6">
        <w:rPr>
          <w:lang w:val="en-US"/>
        </w:rPr>
        <w:t xml:space="preserve">, </w:t>
      </w:r>
      <w:proofErr w:type="spellStart"/>
      <w:r w:rsidRPr="00777DC6">
        <w:rPr>
          <w:lang w:val="en-US"/>
        </w:rPr>
        <w:t>Chichester</w:t>
      </w:r>
      <w:proofErr w:type="spellEnd"/>
      <w:r w:rsidRPr="00777DC6">
        <w:rPr>
          <w:lang w:val="en-US"/>
        </w:rPr>
        <w:t xml:space="preserve">, John Wiley and Sons, 1996, 451 p. </w:t>
      </w:r>
    </w:p>
    <w:p w:rsidR="00777DC6" w:rsidRPr="00777DC6" w:rsidRDefault="00777DC6" w:rsidP="00777DC6">
      <w:pPr>
        <w:numPr>
          <w:ilvl w:val="0"/>
          <w:numId w:val="4"/>
        </w:numPr>
        <w:jc w:val="both"/>
        <w:rPr>
          <w:b/>
          <w:u w:val="single"/>
          <w:lang w:val="en-US"/>
        </w:rPr>
      </w:pPr>
      <w:r w:rsidRPr="00777DC6">
        <w:rPr>
          <w:lang w:val="en-US"/>
        </w:rPr>
        <w:t xml:space="preserve">Cahill M., </w:t>
      </w:r>
      <w:r w:rsidRPr="00777DC6">
        <w:rPr>
          <w:i/>
          <w:lang w:val="en-US"/>
        </w:rPr>
        <w:t>The Social Construction of Sexual Harassment Law</w:t>
      </w:r>
      <w:r w:rsidRPr="00777DC6">
        <w:rPr>
          <w:lang w:val="en-US"/>
        </w:rPr>
        <w:t xml:space="preserve">, </w:t>
      </w:r>
      <w:proofErr w:type="spellStart"/>
      <w:r w:rsidRPr="00777DC6">
        <w:rPr>
          <w:lang w:val="en-US"/>
        </w:rPr>
        <w:t>Aldershot</w:t>
      </w:r>
      <w:proofErr w:type="spellEnd"/>
      <w:r w:rsidRPr="00777DC6">
        <w:rPr>
          <w:lang w:val="en-US"/>
        </w:rPr>
        <w:t xml:space="preserve">, </w:t>
      </w:r>
      <w:proofErr w:type="spellStart"/>
      <w:r w:rsidRPr="00777DC6">
        <w:rPr>
          <w:lang w:val="en-US"/>
        </w:rPr>
        <w:t>Ashgate</w:t>
      </w:r>
      <w:proofErr w:type="spellEnd"/>
      <w:r w:rsidRPr="00777DC6">
        <w:rPr>
          <w:lang w:val="en-US"/>
        </w:rPr>
        <w:t xml:space="preserve"> Publishing Limited, 2001, 125 p. </w:t>
      </w:r>
    </w:p>
    <w:p w:rsidR="00777DC6" w:rsidRPr="00777DC6" w:rsidRDefault="00777DC6" w:rsidP="00777DC6">
      <w:pPr>
        <w:numPr>
          <w:ilvl w:val="0"/>
          <w:numId w:val="4"/>
        </w:numPr>
        <w:jc w:val="both"/>
        <w:rPr>
          <w:b/>
          <w:u w:val="single"/>
          <w:lang w:val="en-US"/>
        </w:rPr>
      </w:pPr>
      <w:r w:rsidRPr="00777DC6">
        <w:rPr>
          <w:lang w:val="en-US"/>
        </w:rPr>
        <w:t xml:space="preserve">Cassese A., </w:t>
      </w:r>
      <w:r w:rsidRPr="00777DC6">
        <w:rPr>
          <w:i/>
          <w:lang w:val="en-US"/>
        </w:rPr>
        <w:t>International Law</w:t>
      </w:r>
      <w:r w:rsidRPr="00777DC6">
        <w:rPr>
          <w:lang w:val="en-US"/>
        </w:rPr>
        <w:t xml:space="preserve">, Oxford, Oxford University Press, 2005, 558 p. </w:t>
      </w:r>
    </w:p>
    <w:p w:rsidR="00777DC6" w:rsidRPr="00777DC6" w:rsidRDefault="00777DC6" w:rsidP="00777DC6">
      <w:pPr>
        <w:numPr>
          <w:ilvl w:val="0"/>
          <w:numId w:val="4"/>
        </w:numPr>
        <w:jc w:val="both"/>
        <w:rPr>
          <w:b/>
          <w:u w:val="single"/>
          <w:lang w:val="en-US"/>
        </w:rPr>
      </w:pPr>
      <w:r w:rsidRPr="00777DC6">
        <w:rPr>
          <w:lang w:val="en-US"/>
        </w:rPr>
        <w:t xml:space="preserve">Chalmers D., Davies G. and </w:t>
      </w:r>
      <w:proofErr w:type="spellStart"/>
      <w:r w:rsidRPr="00777DC6">
        <w:rPr>
          <w:lang w:val="en-US"/>
        </w:rPr>
        <w:t>Monti</w:t>
      </w:r>
      <w:proofErr w:type="spellEnd"/>
      <w:r w:rsidRPr="00777DC6">
        <w:rPr>
          <w:lang w:val="en-US"/>
        </w:rPr>
        <w:t xml:space="preserve"> G., </w:t>
      </w:r>
      <w:r w:rsidRPr="00777DC6">
        <w:rPr>
          <w:i/>
          <w:lang w:val="en-US"/>
        </w:rPr>
        <w:t>European Union Law</w:t>
      </w:r>
      <w:r w:rsidRPr="00777DC6">
        <w:rPr>
          <w:lang w:val="en-US"/>
        </w:rPr>
        <w:t xml:space="preserve">, Cambridge, Cambridge University Press, 2010, 1115 p. </w:t>
      </w:r>
    </w:p>
    <w:p w:rsidR="00777DC6" w:rsidRPr="00D15D56" w:rsidRDefault="00777DC6" w:rsidP="00777DC6">
      <w:pPr>
        <w:numPr>
          <w:ilvl w:val="0"/>
          <w:numId w:val="4"/>
        </w:numPr>
        <w:jc w:val="both"/>
        <w:rPr>
          <w:lang w:val="en-US"/>
        </w:rPr>
      </w:pPr>
      <w:r w:rsidRPr="00777DC6">
        <w:rPr>
          <w:lang w:val="en-US"/>
        </w:rPr>
        <w:t xml:space="preserve">Cockburn C., </w:t>
      </w:r>
      <w:r w:rsidRPr="00777DC6">
        <w:rPr>
          <w:i/>
          <w:lang w:val="en-US"/>
        </w:rPr>
        <w:t>In the way of Women: Men’s resistance to sex equality in organizations</w:t>
      </w:r>
      <w:r w:rsidRPr="00777DC6">
        <w:rPr>
          <w:lang w:val="en-US"/>
        </w:rPr>
        <w:t xml:space="preserve">, London, MacMillan, 1991, 260 p. </w:t>
      </w:r>
    </w:p>
    <w:p w:rsidR="00777DC6" w:rsidRPr="00D15D56" w:rsidRDefault="00777DC6" w:rsidP="00777DC6">
      <w:pPr>
        <w:numPr>
          <w:ilvl w:val="0"/>
          <w:numId w:val="4"/>
        </w:numPr>
        <w:jc w:val="both"/>
        <w:rPr>
          <w:lang w:val="en-US"/>
        </w:rPr>
      </w:pPr>
      <w:r w:rsidRPr="00777DC6">
        <w:rPr>
          <w:lang w:val="en-US"/>
        </w:rPr>
        <w:t xml:space="preserve">Collins H., </w:t>
      </w:r>
      <w:r w:rsidRPr="00777DC6">
        <w:rPr>
          <w:i/>
          <w:lang w:val="en-US"/>
        </w:rPr>
        <w:t>The EU Pregnancy Directive</w:t>
      </w:r>
      <w:r w:rsidRPr="00777DC6">
        <w:rPr>
          <w:lang w:val="en-US"/>
        </w:rPr>
        <w:t xml:space="preserve">, Oxford, Blackwell Publishers, 1994, 177 p. </w:t>
      </w:r>
    </w:p>
    <w:p w:rsidR="00777DC6" w:rsidRPr="00777DC6" w:rsidRDefault="00777DC6" w:rsidP="00777DC6">
      <w:pPr>
        <w:numPr>
          <w:ilvl w:val="0"/>
          <w:numId w:val="4"/>
        </w:numPr>
        <w:jc w:val="both"/>
        <w:rPr>
          <w:lang w:val="en-US"/>
        </w:rPr>
      </w:pPr>
      <w:r w:rsidRPr="00777DC6">
        <w:rPr>
          <w:lang w:val="en-US"/>
        </w:rPr>
        <w:t xml:space="preserve">Collins H., Davies P. and </w:t>
      </w:r>
      <w:proofErr w:type="spellStart"/>
      <w:r w:rsidRPr="00777DC6">
        <w:rPr>
          <w:lang w:val="en-US"/>
        </w:rPr>
        <w:t>Rideout</w:t>
      </w:r>
      <w:proofErr w:type="spellEnd"/>
      <w:r w:rsidRPr="00777DC6">
        <w:rPr>
          <w:lang w:val="en-US"/>
        </w:rPr>
        <w:t xml:space="preserve"> R. (eds.), </w:t>
      </w:r>
      <w:r w:rsidRPr="00777DC6">
        <w:rPr>
          <w:i/>
          <w:lang w:val="en-US"/>
        </w:rPr>
        <w:t>Legal Regulation of the Employment Relation</w:t>
      </w:r>
      <w:r w:rsidRPr="00777DC6">
        <w:rPr>
          <w:lang w:val="en-US"/>
        </w:rPr>
        <w:t>, Dordrecht, Kluwer Law International, 2000, 646 p.</w:t>
      </w:r>
    </w:p>
    <w:p w:rsidR="00777DC6" w:rsidRPr="00777DC6" w:rsidRDefault="00777DC6" w:rsidP="00777DC6">
      <w:pPr>
        <w:numPr>
          <w:ilvl w:val="0"/>
          <w:numId w:val="4"/>
        </w:numPr>
        <w:jc w:val="both"/>
        <w:rPr>
          <w:lang w:val="en-US"/>
        </w:rPr>
      </w:pPr>
      <w:r w:rsidRPr="00777DC6">
        <w:rPr>
          <w:lang w:val="en-US"/>
        </w:rPr>
        <w:t xml:space="preserve">Connolly M., </w:t>
      </w:r>
      <w:r w:rsidRPr="00777DC6">
        <w:rPr>
          <w:i/>
          <w:lang w:val="en-US"/>
        </w:rPr>
        <w:t>Discrimination Law</w:t>
      </w:r>
      <w:r w:rsidRPr="00777DC6">
        <w:rPr>
          <w:lang w:val="en-US"/>
        </w:rPr>
        <w:t xml:space="preserve">, London, Sweet &amp; Maxwell, 2011, 442 p. </w:t>
      </w:r>
    </w:p>
    <w:p w:rsidR="00777DC6" w:rsidRPr="00777DC6" w:rsidRDefault="00777DC6" w:rsidP="00777DC6">
      <w:pPr>
        <w:numPr>
          <w:ilvl w:val="0"/>
          <w:numId w:val="4"/>
        </w:numPr>
        <w:jc w:val="both"/>
        <w:rPr>
          <w:i/>
          <w:lang w:val="fr-FR"/>
        </w:rPr>
      </w:pPr>
      <w:r w:rsidRPr="00777DC6">
        <w:rPr>
          <w:lang w:val="fr-FR"/>
        </w:rPr>
        <w:t xml:space="preserve">Cordier J.P. and Brasseur P., </w:t>
      </w:r>
      <w:r w:rsidRPr="00777DC6">
        <w:rPr>
          <w:i/>
          <w:lang w:val="fr-FR"/>
        </w:rPr>
        <w:t>Le bien-être psychosocial au travail</w:t>
      </w:r>
      <w:r w:rsidRPr="00777DC6">
        <w:rPr>
          <w:lang w:val="fr-FR"/>
        </w:rPr>
        <w:t xml:space="preserve">, Waterloo, Kluwer, 2009, 374 p. </w:t>
      </w:r>
    </w:p>
    <w:p w:rsidR="00777DC6" w:rsidRPr="00777DC6" w:rsidRDefault="00777DC6" w:rsidP="00777DC6">
      <w:pPr>
        <w:numPr>
          <w:ilvl w:val="0"/>
          <w:numId w:val="4"/>
        </w:numPr>
        <w:jc w:val="both"/>
        <w:rPr>
          <w:b/>
          <w:u w:val="single"/>
          <w:lang w:val="en-US"/>
        </w:rPr>
      </w:pPr>
      <w:r w:rsidRPr="00777DC6">
        <w:rPr>
          <w:lang w:val="en-US"/>
        </w:rPr>
        <w:t xml:space="preserve">Craig P. and de </w:t>
      </w:r>
      <w:proofErr w:type="spellStart"/>
      <w:r w:rsidRPr="00777DC6">
        <w:rPr>
          <w:lang w:val="en-US"/>
        </w:rPr>
        <w:t>Burca</w:t>
      </w:r>
      <w:proofErr w:type="spellEnd"/>
      <w:r w:rsidRPr="00777DC6">
        <w:rPr>
          <w:lang w:val="en-US"/>
        </w:rPr>
        <w:t xml:space="preserve"> G., </w:t>
      </w:r>
      <w:r w:rsidRPr="00777DC6">
        <w:rPr>
          <w:i/>
          <w:lang w:val="en-US"/>
        </w:rPr>
        <w:t>EU Law</w:t>
      </w:r>
      <w:r w:rsidRPr="00777DC6">
        <w:rPr>
          <w:lang w:val="en-US"/>
        </w:rPr>
        <w:t xml:space="preserve">, Oxford, Oxford University Press, 2011, 1155 p. </w:t>
      </w:r>
    </w:p>
    <w:p w:rsidR="00777DC6" w:rsidRPr="00777DC6" w:rsidRDefault="00777DC6" w:rsidP="00777DC6">
      <w:pPr>
        <w:numPr>
          <w:ilvl w:val="0"/>
          <w:numId w:val="4"/>
        </w:numPr>
        <w:jc w:val="both"/>
        <w:rPr>
          <w:b/>
          <w:u w:val="single"/>
          <w:lang w:val="en-US"/>
        </w:rPr>
      </w:pPr>
      <w:r w:rsidRPr="00777DC6">
        <w:rPr>
          <w:lang w:val="en-US"/>
        </w:rPr>
        <w:t xml:space="preserve">Craig P. and de </w:t>
      </w:r>
      <w:proofErr w:type="spellStart"/>
      <w:r w:rsidRPr="00777DC6">
        <w:rPr>
          <w:lang w:val="en-US"/>
        </w:rPr>
        <w:t>Burca</w:t>
      </w:r>
      <w:proofErr w:type="spellEnd"/>
      <w:r w:rsidRPr="00777DC6">
        <w:rPr>
          <w:lang w:val="en-US"/>
        </w:rPr>
        <w:t xml:space="preserve"> G. (eds.), </w:t>
      </w:r>
      <w:r w:rsidRPr="00777DC6">
        <w:rPr>
          <w:i/>
          <w:lang w:val="en-US"/>
        </w:rPr>
        <w:t>The Evolution of EU Law</w:t>
      </w:r>
      <w:r w:rsidRPr="00777DC6">
        <w:rPr>
          <w:lang w:val="en-US"/>
        </w:rPr>
        <w:t>, Oxford, Oxford University Press, 2011, 917 p.</w:t>
      </w:r>
    </w:p>
    <w:p w:rsidR="00777DC6" w:rsidRPr="00777DC6" w:rsidRDefault="00777DC6" w:rsidP="00777DC6">
      <w:pPr>
        <w:numPr>
          <w:ilvl w:val="0"/>
          <w:numId w:val="4"/>
        </w:numPr>
        <w:jc w:val="both"/>
        <w:rPr>
          <w:lang w:val="en-US"/>
        </w:rPr>
      </w:pPr>
      <w:r w:rsidRPr="00777DC6">
        <w:rPr>
          <w:lang w:val="en-US"/>
        </w:rPr>
        <w:lastRenderedPageBreak/>
        <w:t xml:space="preserve">Craig P., </w:t>
      </w:r>
      <w:r w:rsidRPr="00777DC6">
        <w:rPr>
          <w:i/>
          <w:lang w:val="en-US"/>
        </w:rPr>
        <w:t>The Lisbon Treaty: Law, Politics and Treaty Reform</w:t>
      </w:r>
      <w:r w:rsidRPr="00777DC6">
        <w:rPr>
          <w:lang w:val="en-US"/>
        </w:rPr>
        <w:t xml:space="preserve">, Oxford, Oxford University Press, 2010, 466 p. </w:t>
      </w:r>
    </w:p>
    <w:p w:rsidR="00777DC6" w:rsidRPr="00777DC6" w:rsidRDefault="00777DC6" w:rsidP="00777DC6">
      <w:pPr>
        <w:numPr>
          <w:ilvl w:val="0"/>
          <w:numId w:val="4"/>
        </w:numPr>
        <w:jc w:val="both"/>
        <w:rPr>
          <w:u w:val="single"/>
        </w:rPr>
      </w:pPr>
      <w:r w:rsidRPr="00777DC6">
        <w:t xml:space="preserve">Cremers E., Monster W. </w:t>
      </w:r>
      <w:proofErr w:type="spellStart"/>
      <w:r w:rsidRPr="00777DC6">
        <w:t>and</w:t>
      </w:r>
      <w:proofErr w:type="spellEnd"/>
      <w:r w:rsidRPr="00777DC6">
        <w:t xml:space="preserve"> Willems L., </w:t>
      </w:r>
      <w:r w:rsidRPr="00777DC6">
        <w:rPr>
          <w:i/>
        </w:rPr>
        <w:t>Vrouwenverdrag, moederschap, ouderschap en arbeid</w:t>
      </w:r>
      <w:r w:rsidRPr="00777DC6">
        <w:t xml:space="preserve">, Den Haag, Elsevier, 1998, 379 p. </w:t>
      </w:r>
    </w:p>
    <w:p w:rsidR="00777DC6" w:rsidRPr="00777DC6" w:rsidRDefault="00777DC6" w:rsidP="00777DC6">
      <w:pPr>
        <w:numPr>
          <w:ilvl w:val="0"/>
          <w:numId w:val="4"/>
        </w:numPr>
        <w:jc w:val="both"/>
        <w:rPr>
          <w:lang w:val="en-US"/>
        </w:rPr>
      </w:pPr>
      <w:r w:rsidRPr="00777DC6">
        <w:rPr>
          <w:lang w:val="en-US"/>
        </w:rPr>
        <w:t xml:space="preserve">Crouch M., </w:t>
      </w:r>
      <w:r w:rsidRPr="00777DC6">
        <w:rPr>
          <w:i/>
          <w:lang w:val="en-US"/>
        </w:rPr>
        <w:t>Thinking about Sexual Harassment</w:t>
      </w:r>
      <w:r w:rsidRPr="00777DC6">
        <w:rPr>
          <w:lang w:val="en-US"/>
        </w:rPr>
        <w:t xml:space="preserve">, Oxford, Oxford University Press, 2001, 328 p. </w:t>
      </w:r>
    </w:p>
    <w:p w:rsidR="00777DC6" w:rsidRPr="00777DC6" w:rsidRDefault="00777DC6" w:rsidP="00777DC6">
      <w:pPr>
        <w:numPr>
          <w:ilvl w:val="0"/>
          <w:numId w:val="4"/>
        </w:numPr>
        <w:jc w:val="both"/>
      </w:pPr>
      <w:proofErr w:type="spellStart"/>
      <w:r w:rsidRPr="00777DC6">
        <w:t>Cuypers</w:t>
      </w:r>
      <w:proofErr w:type="spellEnd"/>
      <w:r w:rsidRPr="00777DC6">
        <w:t xml:space="preserve"> C. (ed.), </w:t>
      </w:r>
      <w:r w:rsidRPr="00777DC6">
        <w:rPr>
          <w:i/>
        </w:rPr>
        <w:t>Gelijkheid in the Arbeidsrecht</w:t>
      </w:r>
      <w:r w:rsidRPr="00777DC6">
        <w:t xml:space="preserve">, Antwerpen – Oxford, </w:t>
      </w:r>
      <w:proofErr w:type="spellStart"/>
      <w:r w:rsidRPr="00777DC6">
        <w:t>Intersentia</w:t>
      </w:r>
      <w:proofErr w:type="spellEnd"/>
      <w:r w:rsidRPr="00777DC6">
        <w:t xml:space="preserve">, 2003, 363 p. </w:t>
      </w:r>
    </w:p>
    <w:p w:rsidR="00777DC6" w:rsidRPr="00777DC6" w:rsidRDefault="00777DC6" w:rsidP="00777DC6">
      <w:pPr>
        <w:numPr>
          <w:ilvl w:val="0"/>
          <w:numId w:val="4"/>
        </w:numPr>
        <w:jc w:val="both"/>
        <w:rPr>
          <w:lang w:val="en-US"/>
        </w:rPr>
      </w:pPr>
      <w:r w:rsidRPr="00777DC6">
        <w:rPr>
          <w:lang w:val="en-US"/>
        </w:rPr>
        <w:t xml:space="preserve">Davis A. and Graham B., </w:t>
      </w:r>
      <w:r w:rsidRPr="00777DC6">
        <w:rPr>
          <w:i/>
          <w:lang w:val="en-US"/>
        </w:rPr>
        <w:t>The Supreme Court, Race and Civil Rights</w:t>
      </w:r>
      <w:r w:rsidRPr="00777DC6">
        <w:rPr>
          <w:lang w:val="en-US"/>
        </w:rPr>
        <w:t xml:space="preserve">, Thousand Oaks, SAGE publications Inc., 1995, 483 p. </w:t>
      </w:r>
    </w:p>
    <w:p w:rsidR="00777DC6" w:rsidRPr="00777DC6" w:rsidRDefault="00777DC6" w:rsidP="00777DC6">
      <w:pPr>
        <w:numPr>
          <w:ilvl w:val="0"/>
          <w:numId w:val="4"/>
        </w:numPr>
        <w:jc w:val="both"/>
        <w:rPr>
          <w:lang w:val="en-US"/>
        </w:rPr>
      </w:pPr>
      <w:r w:rsidRPr="00777DC6">
        <w:rPr>
          <w:lang w:val="en-US"/>
        </w:rPr>
        <w:t xml:space="preserve">de Boer M. and </w:t>
      </w:r>
      <w:proofErr w:type="spellStart"/>
      <w:r w:rsidRPr="00777DC6">
        <w:rPr>
          <w:lang w:val="en-US"/>
        </w:rPr>
        <w:t>Wijers</w:t>
      </w:r>
      <w:proofErr w:type="spellEnd"/>
      <w:r w:rsidRPr="00777DC6">
        <w:rPr>
          <w:lang w:val="en-US"/>
        </w:rPr>
        <w:t xml:space="preserve"> M., </w:t>
      </w:r>
      <w:r w:rsidRPr="00777DC6">
        <w:rPr>
          <w:i/>
          <w:lang w:val="en-US"/>
        </w:rPr>
        <w:t>Taking Women’s Rights Seriously?</w:t>
      </w:r>
      <w:r w:rsidRPr="00777DC6">
        <w:rPr>
          <w:lang w:val="en-US"/>
        </w:rPr>
        <w:t xml:space="preserve">, Utrecht, Humanist Committee on Human Rights, 2006, 101 p.  </w:t>
      </w:r>
    </w:p>
    <w:p w:rsidR="00777DC6" w:rsidRPr="00A60F70" w:rsidRDefault="00777DC6" w:rsidP="00777DC6">
      <w:pPr>
        <w:numPr>
          <w:ilvl w:val="0"/>
          <w:numId w:val="4"/>
        </w:numPr>
        <w:jc w:val="both"/>
        <w:rPr>
          <w:i/>
          <w:lang w:val="en-US"/>
        </w:rPr>
      </w:pPr>
      <w:r w:rsidRPr="00777DC6">
        <w:rPr>
          <w:lang w:val="en-US"/>
        </w:rPr>
        <w:t xml:space="preserve">de </w:t>
      </w:r>
      <w:proofErr w:type="spellStart"/>
      <w:r w:rsidRPr="00777DC6">
        <w:rPr>
          <w:lang w:val="en-US"/>
        </w:rPr>
        <w:t>Burca</w:t>
      </w:r>
      <w:proofErr w:type="spellEnd"/>
      <w:r w:rsidRPr="00777DC6">
        <w:rPr>
          <w:lang w:val="en-US"/>
        </w:rPr>
        <w:t xml:space="preserve"> G. and </w:t>
      </w:r>
      <w:proofErr w:type="spellStart"/>
      <w:r w:rsidRPr="00777DC6">
        <w:rPr>
          <w:lang w:val="en-US"/>
        </w:rPr>
        <w:t>Weiler</w:t>
      </w:r>
      <w:proofErr w:type="spellEnd"/>
      <w:r w:rsidRPr="00777DC6">
        <w:rPr>
          <w:lang w:val="en-US"/>
        </w:rPr>
        <w:t xml:space="preserve"> J. (eds.), </w:t>
      </w:r>
      <w:r w:rsidRPr="00777DC6">
        <w:rPr>
          <w:i/>
          <w:lang w:val="en-US"/>
        </w:rPr>
        <w:t>The European Court of Justice</w:t>
      </w:r>
      <w:r w:rsidRPr="00777DC6">
        <w:rPr>
          <w:lang w:val="en-US"/>
        </w:rPr>
        <w:t xml:space="preserve">, Oxford, Oxford University Press, 2001, 233 p. </w:t>
      </w:r>
    </w:p>
    <w:p w:rsidR="00777DC6" w:rsidRPr="00A60F70" w:rsidRDefault="00777DC6" w:rsidP="00777DC6">
      <w:pPr>
        <w:numPr>
          <w:ilvl w:val="0"/>
          <w:numId w:val="4"/>
        </w:numPr>
        <w:jc w:val="both"/>
        <w:rPr>
          <w:i/>
        </w:rPr>
      </w:pPr>
      <w:r w:rsidRPr="00777DC6">
        <w:t>De Graaf-</w:t>
      </w:r>
      <w:proofErr w:type="spellStart"/>
      <w:r w:rsidRPr="00777DC6">
        <w:t>Tolkamp</w:t>
      </w:r>
      <w:proofErr w:type="spellEnd"/>
      <w:r w:rsidRPr="00777DC6">
        <w:t xml:space="preserve"> C., </w:t>
      </w:r>
      <w:r w:rsidRPr="00777DC6">
        <w:rPr>
          <w:i/>
        </w:rPr>
        <w:t>Seksuele intimidatie op het werk</w:t>
      </w:r>
      <w:r w:rsidRPr="00777DC6">
        <w:t xml:space="preserve">, </w:t>
      </w:r>
      <w:proofErr w:type="spellStart"/>
      <w:r w:rsidRPr="00777DC6">
        <w:t>Zuthpen</w:t>
      </w:r>
      <w:proofErr w:type="spellEnd"/>
      <w:r w:rsidRPr="00777DC6">
        <w:t>, Uitgeverij Paris, 2008, 110 p.</w:t>
      </w:r>
    </w:p>
    <w:p w:rsidR="00777DC6" w:rsidRPr="00777DC6" w:rsidRDefault="00777DC6" w:rsidP="00777DC6">
      <w:pPr>
        <w:numPr>
          <w:ilvl w:val="0"/>
          <w:numId w:val="4"/>
        </w:numPr>
        <w:jc w:val="both"/>
        <w:rPr>
          <w:i/>
        </w:rPr>
      </w:pPr>
      <w:r w:rsidRPr="00777DC6">
        <w:t xml:space="preserve">de Haas S., </w:t>
      </w:r>
      <w:proofErr w:type="spellStart"/>
      <w:r w:rsidRPr="00777DC6">
        <w:rPr>
          <w:i/>
        </w:rPr>
        <w:t>Sexual</w:t>
      </w:r>
      <w:proofErr w:type="spellEnd"/>
      <w:r w:rsidRPr="00777DC6">
        <w:rPr>
          <w:i/>
        </w:rPr>
        <w:t xml:space="preserve"> </w:t>
      </w:r>
      <w:proofErr w:type="spellStart"/>
      <w:r w:rsidRPr="00777DC6">
        <w:rPr>
          <w:i/>
        </w:rPr>
        <w:t>Harassment</w:t>
      </w:r>
      <w:proofErr w:type="spellEnd"/>
      <w:r w:rsidRPr="00777DC6">
        <w:rPr>
          <w:i/>
        </w:rPr>
        <w:t xml:space="preserve"> in a male </w:t>
      </w:r>
      <w:proofErr w:type="spellStart"/>
      <w:r w:rsidRPr="00777DC6">
        <w:rPr>
          <w:i/>
        </w:rPr>
        <w:t>dominated</w:t>
      </w:r>
      <w:proofErr w:type="spellEnd"/>
      <w:r w:rsidRPr="00777DC6">
        <w:rPr>
          <w:i/>
        </w:rPr>
        <w:t xml:space="preserve"> </w:t>
      </w:r>
      <w:proofErr w:type="spellStart"/>
      <w:r w:rsidRPr="00777DC6">
        <w:rPr>
          <w:i/>
        </w:rPr>
        <w:t>workplace</w:t>
      </w:r>
      <w:proofErr w:type="spellEnd"/>
      <w:r w:rsidRPr="00777DC6">
        <w:t xml:space="preserve">, Rijksuniversiteit Groningen, Groningen, 2009, 111 p. </w:t>
      </w:r>
    </w:p>
    <w:p w:rsidR="00777DC6" w:rsidRPr="00777DC6" w:rsidRDefault="00777DC6" w:rsidP="00777DC6">
      <w:pPr>
        <w:numPr>
          <w:ilvl w:val="0"/>
          <w:numId w:val="4"/>
        </w:numPr>
        <w:jc w:val="both"/>
        <w:rPr>
          <w:b/>
          <w:u w:val="single"/>
        </w:rPr>
      </w:pPr>
      <w:r w:rsidRPr="00777DC6">
        <w:t xml:space="preserve">De Prins D., </w:t>
      </w:r>
      <w:proofErr w:type="spellStart"/>
      <w:r w:rsidRPr="00777DC6">
        <w:t>Sottiaux</w:t>
      </w:r>
      <w:proofErr w:type="spellEnd"/>
      <w:r w:rsidRPr="00777DC6">
        <w:t xml:space="preserve"> S. en </w:t>
      </w:r>
      <w:proofErr w:type="spellStart"/>
      <w:r w:rsidRPr="00777DC6">
        <w:t>Vrielink</w:t>
      </w:r>
      <w:proofErr w:type="spellEnd"/>
      <w:r w:rsidRPr="00777DC6">
        <w:t xml:space="preserve"> J., </w:t>
      </w:r>
      <w:r w:rsidRPr="00777DC6">
        <w:rPr>
          <w:i/>
        </w:rPr>
        <w:t>Handboek Discriminatierecht</w:t>
      </w:r>
      <w:r w:rsidRPr="00777DC6">
        <w:t xml:space="preserve">, Mechelen, Kluwer, 2005, 593 p. </w:t>
      </w:r>
    </w:p>
    <w:p w:rsidR="00777DC6" w:rsidRPr="00777DC6" w:rsidRDefault="00777DC6" w:rsidP="00777DC6">
      <w:pPr>
        <w:numPr>
          <w:ilvl w:val="0"/>
          <w:numId w:val="4"/>
        </w:numPr>
        <w:jc w:val="both"/>
        <w:rPr>
          <w:lang w:val="en-US"/>
        </w:rPr>
      </w:pPr>
      <w:r w:rsidRPr="00777DC6">
        <w:rPr>
          <w:lang w:val="en-US"/>
        </w:rPr>
        <w:t xml:space="preserve">De </w:t>
      </w:r>
      <w:proofErr w:type="spellStart"/>
      <w:r w:rsidRPr="00777DC6">
        <w:rPr>
          <w:lang w:val="en-US"/>
        </w:rPr>
        <w:t>Schutter</w:t>
      </w:r>
      <w:proofErr w:type="spellEnd"/>
      <w:r w:rsidRPr="00777DC6">
        <w:rPr>
          <w:lang w:val="en-US"/>
        </w:rPr>
        <w:t xml:space="preserve"> O. and </w:t>
      </w:r>
      <w:proofErr w:type="spellStart"/>
      <w:r w:rsidRPr="00777DC6">
        <w:rPr>
          <w:lang w:val="en-US"/>
        </w:rPr>
        <w:t>Deakin</w:t>
      </w:r>
      <w:proofErr w:type="spellEnd"/>
      <w:r w:rsidRPr="00777DC6">
        <w:rPr>
          <w:lang w:val="en-US"/>
        </w:rPr>
        <w:t xml:space="preserve"> S. (eds.), </w:t>
      </w:r>
      <w:r w:rsidRPr="00777DC6">
        <w:rPr>
          <w:i/>
          <w:lang w:val="en-US"/>
        </w:rPr>
        <w:t xml:space="preserve">Social Rights and Market Forces, </w:t>
      </w:r>
      <w:r w:rsidRPr="00777DC6">
        <w:rPr>
          <w:lang w:val="en-US"/>
        </w:rPr>
        <w:t xml:space="preserve">Brussels, </w:t>
      </w:r>
      <w:proofErr w:type="spellStart"/>
      <w:r w:rsidRPr="00777DC6">
        <w:rPr>
          <w:lang w:val="en-US"/>
        </w:rPr>
        <w:t>Bruylant</w:t>
      </w:r>
      <w:proofErr w:type="spellEnd"/>
      <w:r w:rsidRPr="00777DC6">
        <w:rPr>
          <w:lang w:val="en-US"/>
        </w:rPr>
        <w:t xml:space="preserve">, 2005, 351 p. </w:t>
      </w:r>
    </w:p>
    <w:p w:rsidR="00777DC6" w:rsidRPr="00777DC6" w:rsidRDefault="00777DC6" w:rsidP="00777DC6">
      <w:pPr>
        <w:numPr>
          <w:ilvl w:val="0"/>
          <w:numId w:val="4"/>
        </w:numPr>
        <w:jc w:val="both"/>
        <w:rPr>
          <w:lang w:val="en-GB"/>
        </w:rPr>
      </w:pPr>
      <w:proofErr w:type="spellStart"/>
      <w:r w:rsidRPr="00777DC6">
        <w:rPr>
          <w:lang w:val="en-GB"/>
        </w:rPr>
        <w:t>Eide</w:t>
      </w:r>
      <w:proofErr w:type="spellEnd"/>
      <w:r w:rsidRPr="00777DC6">
        <w:rPr>
          <w:lang w:val="en-GB"/>
        </w:rPr>
        <w:t xml:space="preserve"> A., Krause C. and Rosas A. (eds.), </w:t>
      </w:r>
      <w:r w:rsidRPr="00777DC6">
        <w:rPr>
          <w:i/>
          <w:lang w:val="en-GB"/>
        </w:rPr>
        <w:t>Economic, social and cultural rights: a textbook</w:t>
      </w:r>
      <w:r w:rsidRPr="00777DC6">
        <w:rPr>
          <w:lang w:val="en-GB"/>
        </w:rPr>
        <w:t xml:space="preserve">, The Hague, </w:t>
      </w:r>
      <w:proofErr w:type="spellStart"/>
      <w:r w:rsidRPr="00777DC6">
        <w:rPr>
          <w:lang w:val="en-GB"/>
        </w:rPr>
        <w:t>Martinus</w:t>
      </w:r>
      <w:proofErr w:type="spellEnd"/>
      <w:r w:rsidRPr="00777DC6">
        <w:rPr>
          <w:lang w:val="en-GB"/>
        </w:rPr>
        <w:t xml:space="preserve"> </w:t>
      </w:r>
      <w:proofErr w:type="spellStart"/>
      <w:r w:rsidRPr="00777DC6">
        <w:rPr>
          <w:lang w:val="en-GB"/>
        </w:rPr>
        <w:t>Nijhoff</w:t>
      </w:r>
      <w:proofErr w:type="spellEnd"/>
      <w:r w:rsidRPr="00777DC6">
        <w:rPr>
          <w:lang w:val="en-GB"/>
        </w:rPr>
        <w:t xml:space="preserve"> Publishers, 2001, 785 p. </w:t>
      </w:r>
      <w:r w:rsidRPr="00777DC6">
        <w:rPr>
          <w:i/>
          <w:lang w:val="en-GB"/>
        </w:rPr>
        <w:t xml:space="preserve"> </w:t>
      </w:r>
    </w:p>
    <w:p w:rsidR="00777DC6" w:rsidRPr="00777DC6" w:rsidRDefault="00777DC6" w:rsidP="00777DC6">
      <w:pPr>
        <w:numPr>
          <w:ilvl w:val="0"/>
          <w:numId w:val="4"/>
        </w:numPr>
        <w:jc w:val="both"/>
        <w:rPr>
          <w:lang w:val="en-GB"/>
        </w:rPr>
      </w:pPr>
      <w:r w:rsidRPr="00777DC6">
        <w:rPr>
          <w:lang w:val="en-GB"/>
        </w:rPr>
        <w:t xml:space="preserve">Ellis E., </w:t>
      </w:r>
      <w:r w:rsidRPr="00777DC6">
        <w:rPr>
          <w:i/>
          <w:lang w:val="en-GB"/>
        </w:rPr>
        <w:t>EC Sex Equality Law</w:t>
      </w:r>
      <w:r w:rsidRPr="00777DC6">
        <w:rPr>
          <w:lang w:val="en-GB"/>
        </w:rPr>
        <w:t xml:space="preserve">, Oxford, Clarendon, 1998, 365 p.  </w:t>
      </w:r>
    </w:p>
    <w:p w:rsidR="00777DC6" w:rsidRPr="00777DC6" w:rsidRDefault="00777DC6" w:rsidP="00777DC6">
      <w:pPr>
        <w:numPr>
          <w:ilvl w:val="0"/>
          <w:numId w:val="4"/>
        </w:numPr>
        <w:jc w:val="both"/>
        <w:rPr>
          <w:b/>
          <w:u w:val="single"/>
          <w:lang w:val="en-GB"/>
        </w:rPr>
      </w:pPr>
      <w:r w:rsidRPr="00777DC6">
        <w:rPr>
          <w:lang w:val="en-GB"/>
        </w:rPr>
        <w:t xml:space="preserve">Ellis E., </w:t>
      </w:r>
      <w:r w:rsidRPr="00777DC6">
        <w:rPr>
          <w:i/>
          <w:lang w:val="en-GB"/>
        </w:rPr>
        <w:t>EU Anti-Discrimination Law</w:t>
      </w:r>
      <w:r w:rsidRPr="00777DC6">
        <w:rPr>
          <w:lang w:val="en-GB"/>
        </w:rPr>
        <w:t>, Oxford, Oxford University Press, 2005, 401 p.</w:t>
      </w:r>
    </w:p>
    <w:p w:rsidR="00777DC6" w:rsidRPr="00777DC6" w:rsidRDefault="00777DC6" w:rsidP="00777DC6">
      <w:pPr>
        <w:numPr>
          <w:ilvl w:val="0"/>
          <w:numId w:val="4"/>
        </w:numPr>
        <w:jc w:val="both"/>
        <w:rPr>
          <w:b/>
          <w:u w:val="single"/>
          <w:lang w:val="en-US"/>
        </w:rPr>
      </w:pPr>
      <w:r w:rsidRPr="00777DC6">
        <w:rPr>
          <w:lang w:val="en-US"/>
        </w:rPr>
        <w:t xml:space="preserve">Ellis E. and Watson P., </w:t>
      </w:r>
      <w:r w:rsidRPr="00777DC6">
        <w:rPr>
          <w:i/>
          <w:lang w:val="en-US"/>
        </w:rPr>
        <w:t>EU Anti-Discrimination Law</w:t>
      </w:r>
      <w:r w:rsidRPr="00777DC6">
        <w:rPr>
          <w:lang w:val="en-US"/>
        </w:rPr>
        <w:t xml:space="preserve">, Oxford, Oxford University Press, 2012, 519 p. </w:t>
      </w:r>
    </w:p>
    <w:p w:rsidR="00777DC6" w:rsidRPr="00777DC6" w:rsidRDefault="00777DC6" w:rsidP="00777DC6">
      <w:pPr>
        <w:numPr>
          <w:ilvl w:val="0"/>
          <w:numId w:val="4"/>
        </w:numPr>
        <w:jc w:val="both"/>
      </w:pPr>
      <w:proofErr w:type="spellStart"/>
      <w:r w:rsidRPr="00777DC6">
        <w:t>Evenhuis</w:t>
      </w:r>
      <w:proofErr w:type="spellEnd"/>
      <w:r w:rsidRPr="00777DC6">
        <w:t xml:space="preserve"> W. en van Eijk E., </w:t>
      </w:r>
      <w:r w:rsidRPr="00777DC6">
        <w:rPr>
          <w:i/>
        </w:rPr>
        <w:t>Met recht een vrouw</w:t>
      </w:r>
      <w:r w:rsidRPr="00777DC6">
        <w:t xml:space="preserve">, Amsterdam, </w:t>
      </w:r>
      <w:proofErr w:type="spellStart"/>
      <w:r w:rsidRPr="00777DC6">
        <w:t>Greber</w:t>
      </w:r>
      <w:proofErr w:type="spellEnd"/>
      <w:r w:rsidRPr="00777DC6">
        <w:t xml:space="preserve"> Uitgever &amp; Distributeur, 2001, 56 p.</w:t>
      </w:r>
    </w:p>
    <w:p w:rsidR="00777DC6" w:rsidRPr="00777DC6" w:rsidRDefault="00777DC6" w:rsidP="00777DC6">
      <w:pPr>
        <w:numPr>
          <w:ilvl w:val="0"/>
          <w:numId w:val="4"/>
        </w:numPr>
        <w:jc w:val="both"/>
        <w:rPr>
          <w:b/>
          <w:u w:val="single"/>
          <w:lang w:val="en-GB"/>
        </w:rPr>
      </w:pPr>
      <w:r w:rsidRPr="00777DC6">
        <w:rPr>
          <w:lang w:val="en-GB"/>
        </w:rPr>
        <w:t xml:space="preserve">Forsythe D. (ed.), </w:t>
      </w:r>
      <w:proofErr w:type="spellStart"/>
      <w:r w:rsidRPr="00777DC6">
        <w:rPr>
          <w:i/>
          <w:lang w:val="en-GB"/>
        </w:rPr>
        <w:t>Encyclopedia</w:t>
      </w:r>
      <w:proofErr w:type="spellEnd"/>
      <w:r w:rsidRPr="00777DC6">
        <w:rPr>
          <w:i/>
          <w:lang w:val="en-GB"/>
        </w:rPr>
        <w:t xml:space="preserve"> of Human Rights</w:t>
      </w:r>
      <w:r w:rsidRPr="00777DC6">
        <w:rPr>
          <w:lang w:val="en-GB"/>
        </w:rPr>
        <w:t xml:space="preserve">, II, Oxford, Oxford University Press, 2009, 506 p. </w:t>
      </w:r>
    </w:p>
    <w:p w:rsidR="00777DC6" w:rsidRPr="00777DC6" w:rsidRDefault="00777DC6" w:rsidP="00777DC6">
      <w:pPr>
        <w:numPr>
          <w:ilvl w:val="0"/>
          <w:numId w:val="4"/>
        </w:numPr>
        <w:jc w:val="both"/>
        <w:rPr>
          <w:b/>
          <w:u w:val="single"/>
          <w:lang w:val="en-GB"/>
        </w:rPr>
      </w:pPr>
      <w:r w:rsidRPr="00777DC6">
        <w:rPr>
          <w:lang w:val="en-GB"/>
        </w:rPr>
        <w:lastRenderedPageBreak/>
        <w:t xml:space="preserve">Forsythe D. (ed.), </w:t>
      </w:r>
      <w:proofErr w:type="spellStart"/>
      <w:r w:rsidRPr="00777DC6">
        <w:rPr>
          <w:i/>
          <w:lang w:val="en-GB"/>
        </w:rPr>
        <w:t>Encyclopedia</w:t>
      </w:r>
      <w:proofErr w:type="spellEnd"/>
      <w:r w:rsidRPr="00777DC6">
        <w:rPr>
          <w:i/>
          <w:lang w:val="en-GB"/>
        </w:rPr>
        <w:t xml:space="preserve"> of Human Rights</w:t>
      </w:r>
      <w:r w:rsidRPr="00777DC6">
        <w:rPr>
          <w:lang w:val="en-GB"/>
        </w:rPr>
        <w:t xml:space="preserve">, III, Oxford, Oxford University Press, 2009, 521 p. </w:t>
      </w:r>
    </w:p>
    <w:p w:rsidR="00777DC6" w:rsidRPr="00777DC6" w:rsidRDefault="00777DC6" w:rsidP="00777DC6">
      <w:pPr>
        <w:numPr>
          <w:ilvl w:val="0"/>
          <w:numId w:val="4"/>
        </w:numPr>
        <w:jc w:val="both"/>
        <w:rPr>
          <w:b/>
          <w:u w:val="single"/>
          <w:lang w:val="en-GB"/>
        </w:rPr>
      </w:pPr>
      <w:r w:rsidRPr="00777DC6">
        <w:rPr>
          <w:lang w:val="en-GB"/>
        </w:rPr>
        <w:t xml:space="preserve">Forsythe D. (ed.), </w:t>
      </w:r>
      <w:proofErr w:type="spellStart"/>
      <w:r w:rsidRPr="00777DC6">
        <w:rPr>
          <w:i/>
          <w:lang w:val="en-GB"/>
        </w:rPr>
        <w:t>Encyclopedia</w:t>
      </w:r>
      <w:proofErr w:type="spellEnd"/>
      <w:r w:rsidRPr="00777DC6">
        <w:rPr>
          <w:i/>
          <w:lang w:val="en-GB"/>
        </w:rPr>
        <w:t xml:space="preserve"> of Human Rights</w:t>
      </w:r>
      <w:r w:rsidRPr="00777DC6">
        <w:rPr>
          <w:lang w:val="en-GB"/>
        </w:rPr>
        <w:t>, V, Oxford, Oxford University Press, 2009, 537 p.</w:t>
      </w:r>
    </w:p>
    <w:p w:rsidR="00777DC6" w:rsidRPr="00777DC6" w:rsidRDefault="00777DC6" w:rsidP="00777DC6">
      <w:pPr>
        <w:numPr>
          <w:ilvl w:val="0"/>
          <w:numId w:val="4"/>
        </w:numPr>
        <w:jc w:val="both"/>
        <w:rPr>
          <w:lang w:val="en-GB"/>
        </w:rPr>
      </w:pPr>
      <w:r w:rsidRPr="00777DC6">
        <w:rPr>
          <w:lang w:val="en-US"/>
        </w:rPr>
        <w:t xml:space="preserve">Foster N., </w:t>
      </w:r>
      <w:r w:rsidRPr="00777DC6">
        <w:rPr>
          <w:i/>
          <w:lang w:val="en-US"/>
        </w:rPr>
        <w:t>Foster on EU Law</w:t>
      </w:r>
      <w:r w:rsidRPr="00777DC6">
        <w:rPr>
          <w:lang w:val="en-US"/>
        </w:rPr>
        <w:t xml:space="preserve">, Oxford, Oxford University Press, 2011, 512 p. </w:t>
      </w:r>
    </w:p>
    <w:p w:rsidR="00777DC6" w:rsidRPr="00777DC6" w:rsidRDefault="00777DC6" w:rsidP="00777DC6">
      <w:pPr>
        <w:numPr>
          <w:ilvl w:val="0"/>
          <w:numId w:val="4"/>
        </w:numPr>
        <w:jc w:val="both"/>
        <w:rPr>
          <w:lang w:val="en-GB"/>
        </w:rPr>
      </w:pPr>
      <w:proofErr w:type="spellStart"/>
      <w:r w:rsidRPr="00777DC6">
        <w:rPr>
          <w:lang w:val="en-GB"/>
        </w:rPr>
        <w:t>Foubert</w:t>
      </w:r>
      <w:proofErr w:type="spellEnd"/>
      <w:r w:rsidRPr="00777DC6">
        <w:rPr>
          <w:lang w:val="en-GB"/>
        </w:rPr>
        <w:t xml:space="preserve"> P., </w:t>
      </w:r>
      <w:r w:rsidRPr="00777DC6">
        <w:rPr>
          <w:i/>
          <w:lang w:val="en-GB"/>
        </w:rPr>
        <w:t xml:space="preserve">The legal protection of the pregnant worker in the European Community, </w:t>
      </w:r>
      <w:r w:rsidRPr="00777DC6">
        <w:rPr>
          <w:lang w:val="en-GB"/>
        </w:rPr>
        <w:t xml:space="preserve">The Hague, Kluwer Law International, 2002, 389 p. </w:t>
      </w:r>
    </w:p>
    <w:p w:rsidR="00777DC6" w:rsidRPr="00777DC6" w:rsidRDefault="00777DC6" w:rsidP="00777DC6">
      <w:pPr>
        <w:numPr>
          <w:ilvl w:val="0"/>
          <w:numId w:val="4"/>
        </w:numPr>
        <w:jc w:val="both"/>
        <w:rPr>
          <w:b/>
          <w:u w:val="single"/>
          <w:lang w:val="en-GB"/>
        </w:rPr>
      </w:pPr>
      <w:proofErr w:type="spellStart"/>
      <w:r w:rsidRPr="00777DC6">
        <w:rPr>
          <w:lang w:val="en-GB"/>
        </w:rPr>
        <w:t>Fredman</w:t>
      </w:r>
      <w:proofErr w:type="spellEnd"/>
      <w:r w:rsidRPr="00777DC6">
        <w:rPr>
          <w:lang w:val="en-GB"/>
        </w:rPr>
        <w:t xml:space="preserve"> S., </w:t>
      </w:r>
      <w:r w:rsidRPr="00777DC6">
        <w:rPr>
          <w:i/>
          <w:lang w:val="en-GB"/>
        </w:rPr>
        <w:t>Women and the Law</w:t>
      </w:r>
      <w:r w:rsidRPr="00777DC6">
        <w:rPr>
          <w:lang w:val="en-GB"/>
        </w:rPr>
        <w:t>, Oxford, Clarendon Press, 1997, 429 p.</w:t>
      </w:r>
    </w:p>
    <w:p w:rsidR="00777DC6" w:rsidRPr="00777DC6" w:rsidRDefault="00777DC6" w:rsidP="00777DC6">
      <w:pPr>
        <w:numPr>
          <w:ilvl w:val="0"/>
          <w:numId w:val="4"/>
        </w:numPr>
        <w:jc w:val="both"/>
        <w:rPr>
          <w:b/>
          <w:u w:val="single"/>
          <w:lang w:val="en-GB"/>
        </w:rPr>
      </w:pPr>
      <w:proofErr w:type="spellStart"/>
      <w:r w:rsidRPr="00777DC6">
        <w:rPr>
          <w:lang w:val="en-GB"/>
        </w:rPr>
        <w:t>Fredman</w:t>
      </w:r>
      <w:proofErr w:type="spellEnd"/>
      <w:r w:rsidRPr="00777DC6">
        <w:rPr>
          <w:lang w:val="en-GB"/>
        </w:rPr>
        <w:t xml:space="preserve"> S., </w:t>
      </w:r>
      <w:r w:rsidRPr="00777DC6">
        <w:rPr>
          <w:i/>
          <w:lang w:val="en-GB"/>
        </w:rPr>
        <w:t>Discrimination Law</w:t>
      </w:r>
      <w:r w:rsidRPr="00777DC6">
        <w:rPr>
          <w:lang w:val="en-GB"/>
        </w:rPr>
        <w:t xml:space="preserve">, Oxford, Oxford University Press, 2002, 205 p. </w:t>
      </w:r>
    </w:p>
    <w:p w:rsidR="00777DC6" w:rsidRPr="00777DC6" w:rsidRDefault="00777DC6" w:rsidP="00777DC6">
      <w:pPr>
        <w:numPr>
          <w:ilvl w:val="0"/>
          <w:numId w:val="4"/>
        </w:numPr>
        <w:jc w:val="both"/>
        <w:rPr>
          <w:b/>
          <w:u w:val="single"/>
          <w:lang w:val="en-GB"/>
        </w:rPr>
      </w:pPr>
      <w:proofErr w:type="spellStart"/>
      <w:r w:rsidRPr="00777DC6">
        <w:rPr>
          <w:lang w:val="en-GB"/>
        </w:rPr>
        <w:t>Fredman</w:t>
      </w:r>
      <w:proofErr w:type="spellEnd"/>
      <w:r w:rsidRPr="00777DC6">
        <w:rPr>
          <w:lang w:val="en-GB"/>
        </w:rPr>
        <w:t xml:space="preserve"> S., </w:t>
      </w:r>
      <w:r w:rsidRPr="00777DC6">
        <w:rPr>
          <w:i/>
          <w:lang w:val="en-GB"/>
        </w:rPr>
        <w:t>Discrimination Law</w:t>
      </w:r>
      <w:r w:rsidRPr="00777DC6">
        <w:rPr>
          <w:lang w:val="en-GB"/>
        </w:rPr>
        <w:t xml:space="preserve">, Oxford, Oxford University Press, 2011, 384 p.  </w:t>
      </w:r>
    </w:p>
    <w:p w:rsidR="00777DC6" w:rsidRPr="00777DC6" w:rsidRDefault="00777DC6" w:rsidP="00777DC6">
      <w:pPr>
        <w:numPr>
          <w:ilvl w:val="0"/>
          <w:numId w:val="4"/>
        </w:numPr>
        <w:jc w:val="both"/>
        <w:rPr>
          <w:lang w:val="en-US"/>
        </w:rPr>
      </w:pPr>
      <w:r w:rsidRPr="00777DC6">
        <w:rPr>
          <w:lang w:val="en-US"/>
        </w:rPr>
        <w:t xml:space="preserve">Freeman M., </w:t>
      </w:r>
      <w:proofErr w:type="spellStart"/>
      <w:r w:rsidRPr="00777DC6">
        <w:rPr>
          <w:lang w:val="en-US"/>
        </w:rPr>
        <w:t>Chinkin</w:t>
      </w:r>
      <w:proofErr w:type="spellEnd"/>
      <w:r w:rsidRPr="00777DC6">
        <w:rPr>
          <w:lang w:val="en-US"/>
        </w:rPr>
        <w:t xml:space="preserve"> C. and </w:t>
      </w:r>
      <w:proofErr w:type="spellStart"/>
      <w:r w:rsidRPr="00777DC6">
        <w:rPr>
          <w:lang w:val="en-US"/>
        </w:rPr>
        <w:t>Beate</w:t>
      </w:r>
      <w:proofErr w:type="spellEnd"/>
      <w:r w:rsidRPr="00777DC6">
        <w:rPr>
          <w:lang w:val="en-US"/>
        </w:rPr>
        <w:t xml:space="preserve"> R. (eds.), </w:t>
      </w:r>
      <w:r w:rsidRPr="00777DC6">
        <w:rPr>
          <w:i/>
          <w:lang w:val="en-US"/>
        </w:rPr>
        <w:t xml:space="preserve">The Un Convention on the Elimination of All Forms of Discrimination against Women: A Commentary, </w:t>
      </w:r>
      <w:r w:rsidRPr="00777DC6">
        <w:rPr>
          <w:lang w:val="en-US"/>
        </w:rPr>
        <w:t xml:space="preserve">Oxford, Oxford University Press, 2012, 731 p. </w:t>
      </w:r>
    </w:p>
    <w:p w:rsidR="00777DC6" w:rsidRPr="00777DC6" w:rsidRDefault="00777DC6" w:rsidP="00777DC6">
      <w:pPr>
        <w:numPr>
          <w:ilvl w:val="0"/>
          <w:numId w:val="4"/>
        </w:numPr>
        <w:jc w:val="both"/>
        <w:rPr>
          <w:b/>
          <w:u w:val="single"/>
          <w:lang w:val="en-US"/>
        </w:rPr>
      </w:pPr>
      <w:proofErr w:type="spellStart"/>
      <w:r w:rsidRPr="00777DC6">
        <w:rPr>
          <w:lang w:val="en-US"/>
        </w:rPr>
        <w:t>Gearty</w:t>
      </w:r>
      <w:proofErr w:type="spellEnd"/>
      <w:r w:rsidRPr="00777DC6">
        <w:rPr>
          <w:lang w:val="en-US"/>
        </w:rPr>
        <w:t xml:space="preserve"> C. and </w:t>
      </w:r>
      <w:proofErr w:type="spellStart"/>
      <w:r w:rsidRPr="00777DC6">
        <w:rPr>
          <w:lang w:val="en-US"/>
        </w:rPr>
        <w:t>Mantouvalou</w:t>
      </w:r>
      <w:proofErr w:type="spellEnd"/>
      <w:r w:rsidRPr="00777DC6">
        <w:rPr>
          <w:lang w:val="en-US"/>
        </w:rPr>
        <w:t xml:space="preserve"> V., </w:t>
      </w:r>
      <w:r w:rsidRPr="00777DC6">
        <w:rPr>
          <w:i/>
          <w:lang w:val="en-US"/>
        </w:rPr>
        <w:t>Debating Social Rights</w:t>
      </w:r>
      <w:r w:rsidRPr="00777DC6">
        <w:rPr>
          <w:lang w:val="en-US"/>
        </w:rPr>
        <w:t xml:space="preserve">, Oxford, Hart Publishing,  2011, 191 p. </w:t>
      </w:r>
    </w:p>
    <w:p w:rsidR="00777DC6" w:rsidRPr="00777DC6" w:rsidRDefault="00777DC6" w:rsidP="00777DC6">
      <w:pPr>
        <w:numPr>
          <w:ilvl w:val="0"/>
          <w:numId w:val="4"/>
        </w:numPr>
        <w:jc w:val="both"/>
        <w:rPr>
          <w:b/>
          <w:u w:val="single"/>
        </w:rPr>
      </w:pPr>
      <w:r w:rsidRPr="00777DC6">
        <w:t xml:space="preserve">Gerards J., </w:t>
      </w:r>
      <w:r w:rsidRPr="00777DC6">
        <w:rPr>
          <w:i/>
        </w:rPr>
        <w:t>Rechterlijke toetsing aan het gelijkheidsbeginsel</w:t>
      </w:r>
      <w:r w:rsidRPr="00777DC6">
        <w:t xml:space="preserve">, Den Haag, </w:t>
      </w:r>
      <w:proofErr w:type="spellStart"/>
      <w:r w:rsidRPr="00777DC6">
        <w:t>Sdu</w:t>
      </w:r>
      <w:proofErr w:type="spellEnd"/>
      <w:r w:rsidRPr="00777DC6">
        <w:t xml:space="preserve"> Uitgevers BV, 2002, 803 p.  </w:t>
      </w:r>
    </w:p>
    <w:p w:rsidR="00777DC6" w:rsidRPr="00777DC6" w:rsidRDefault="00777DC6" w:rsidP="00777DC6">
      <w:pPr>
        <w:numPr>
          <w:ilvl w:val="0"/>
          <w:numId w:val="4"/>
        </w:numPr>
        <w:jc w:val="both"/>
        <w:rPr>
          <w:b/>
          <w:u w:val="single"/>
          <w:lang w:val="en-US"/>
        </w:rPr>
      </w:pPr>
      <w:proofErr w:type="spellStart"/>
      <w:r w:rsidRPr="00777DC6">
        <w:rPr>
          <w:lang w:val="en-US"/>
        </w:rPr>
        <w:t>Gijzen</w:t>
      </w:r>
      <w:proofErr w:type="spellEnd"/>
      <w:r w:rsidRPr="00777DC6">
        <w:rPr>
          <w:lang w:val="en-US"/>
        </w:rPr>
        <w:t xml:space="preserve"> M., </w:t>
      </w:r>
      <w:r w:rsidRPr="00777DC6">
        <w:rPr>
          <w:i/>
          <w:lang w:val="en-US"/>
        </w:rPr>
        <w:t>Selected Issues in Equal Treatment Law: a Multi-Layered Comparison of European, English and Dutch Law</w:t>
      </w:r>
      <w:r w:rsidRPr="00777DC6">
        <w:rPr>
          <w:lang w:val="en-US"/>
        </w:rPr>
        <w:t xml:space="preserve">, Antwerp-Oxford, </w:t>
      </w:r>
      <w:proofErr w:type="spellStart"/>
      <w:r w:rsidRPr="00777DC6">
        <w:rPr>
          <w:lang w:val="en-US"/>
        </w:rPr>
        <w:t>Intersentia</w:t>
      </w:r>
      <w:proofErr w:type="spellEnd"/>
      <w:r w:rsidRPr="00777DC6">
        <w:rPr>
          <w:lang w:val="en-US"/>
        </w:rPr>
        <w:t xml:space="preserve">, 2006, 551 p. </w:t>
      </w:r>
    </w:p>
    <w:p w:rsidR="00777DC6" w:rsidRPr="00777DC6" w:rsidRDefault="00777DC6" w:rsidP="00777DC6">
      <w:pPr>
        <w:numPr>
          <w:ilvl w:val="0"/>
          <w:numId w:val="4"/>
        </w:numPr>
        <w:jc w:val="both"/>
        <w:rPr>
          <w:b/>
          <w:u w:val="single"/>
          <w:lang w:val="en-US"/>
        </w:rPr>
      </w:pPr>
      <w:proofErr w:type="spellStart"/>
      <w:r w:rsidRPr="00777DC6">
        <w:rPr>
          <w:lang w:val="en-US"/>
        </w:rPr>
        <w:t>Giubboni</w:t>
      </w:r>
      <w:proofErr w:type="spellEnd"/>
      <w:r w:rsidRPr="00777DC6">
        <w:rPr>
          <w:lang w:val="en-US"/>
        </w:rPr>
        <w:t xml:space="preserve"> S., </w:t>
      </w:r>
      <w:r w:rsidRPr="00777DC6">
        <w:rPr>
          <w:i/>
          <w:lang w:val="en-US"/>
        </w:rPr>
        <w:t>Social Rights and Market Freedom in the European Constitution</w:t>
      </w:r>
      <w:r w:rsidRPr="00777DC6">
        <w:rPr>
          <w:lang w:val="en-US"/>
        </w:rPr>
        <w:t xml:space="preserve">, Cambridge, Cambridge University Press, 2006, 290 p. </w:t>
      </w:r>
    </w:p>
    <w:p w:rsidR="00777DC6" w:rsidRPr="00777DC6" w:rsidRDefault="00777DC6" w:rsidP="00777DC6">
      <w:pPr>
        <w:numPr>
          <w:ilvl w:val="0"/>
          <w:numId w:val="4"/>
        </w:numPr>
        <w:jc w:val="both"/>
        <w:rPr>
          <w:b/>
          <w:u w:val="single"/>
          <w:lang w:val="en-GB"/>
        </w:rPr>
      </w:pPr>
      <w:r w:rsidRPr="00777DC6">
        <w:rPr>
          <w:lang w:val="en-GB"/>
        </w:rPr>
        <w:t xml:space="preserve">Gomez I. and de </w:t>
      </w:r>
      <w:proofErr w:type="spellStart"/>
      <w:r w:rsidRPr="00777DC6">
        <w:rPr>
          <w:lang w:val="en-GB"/>
        </w:rPr>
        <w:t>Feyter</w:t>
      </w:r>
      <w:proofErr w:type="spellEnd"/>
      <w:r w:rsidRPr="00777DC6">
        <w:rPr>
          <w:lang w:val="en-GB"/>
        </w:rPr>
        <w:t xml:space="preserve"> K. (eds.), </w:t>
      </w:r>
      <w:r w:rsidRPr="00777DC6">
        <w:rPr>
          <w:i/>
          <w:lang w:val="en-GB"/>
        </w:rPr>
        <w:t>International Protection of Human Rights: Achievements and Challenges</w:t>
      </w:r>
      <w:r w:rsidRPr="00777DC6">
        <w:rPr>
          <w:lang w:val="en-GB"/>
        </w:rPr>
        <w:t xml:space="preserve">, Bilbao, </w:t>
      </w:r>
      <w:proofErr w:type="spellStart"/>
      <w:r w:rsidRPr="00777DC6">
        <w:rPr>
          <w:lang w:val="en-GB"/>
        </w:rPr>
        <w:t>Publicaciones</w:t>
      </w:r>
      <w:proofErr w:type="spellEnd"/>
      <w:r w:rsidRPr="00777DC6">
        <w:rPr>
          <w:lang w:val="en-GB"/>
        </w:rPr>
        <w:t xml:space="preserve"> de la Universidad de </w:t>
      </w:r>
      <w:proofErr w:type="spellStart"/>
      <w:r w:rsidRPr="00777DC6">
        <w:rPr>
          <w:lang w:val="en-GB"/>
        </w:rPr>
        <w:t>Deusto</w:t>
      </w:r>
      <w:proofErr w:type="spellEnd"/>
      <w:r w:rsidRPr="00777DC6">
        <w:rPr>
          <w:lang w:val="en-GB"/>
        </w:rPr>
        <w:t xml:space="preserve">, 2006, 704 p.  </w:t>
      </w:r>
    </w:p>
    <w:p w:rsidR="00777DC6" w:rsidRPr="00777DC6" w:rsidRDefault="00777DC6" w:rsidP="00777DC6">
      <w:pPr>
        <w:numPr>
          <w:ilvl w:val="0"/>
          <w:numId w:val="4"/>
        </w:numPr>
        <w:jc w:val="both"/>
        <w:rPr>
          <w:b/>
          <w:u w:val="single"/>
          <w:lang w:val="en-GB"/>
        </w:rPr>
      </w:pPr>
      <w:proofErr w:type="spellStart"/>
      <w:r w:rsidRPr="00777DC6">
        <w:rPr>
          <w:lang w:val="en-GB"/>
        </w:rPr>
        <w:t>Goudappel</w:t>
      </w:r>
      <w:proofErr w:type="spellEnd"/>
      <w:r w:rsidRPr="00777DC6">
        <w:rPr>
          <w:lang w:val="en-GB"/>
        </w:rPr>
        <w:t xml:space="preserve"> F., </w:t>
      </w:r>
      <w:r w:rsidRPr="00777DC6">
        <w:rPr>
          <w:i/>
          <w:lang w:val="en-GB"/>
        </w:rPr>
        <w:t>The Effects of EU Citizenship</w:t>
      </w:r>
      <w:r w:rsidRPr="00777DC6">
        <w:rPr>
          <w:lang w:val="en-GB"/>
        </w:rPr>
        <w:t xml:space="preserve">, The Hague, T.M.C. Asser Press, 2010, 255 p. </w:t>
      </w:r>
    </w:p>
    <w:p w:rsidR="00777DC6" w:rsidRPr="00777DC6" w:rsidRDefault="00777DC6" w:rsidP="00777DC6">
      <w:pPr>
        <w:numPr>
          <w:ilvl w:val="0"/>
          <w:numId w:val="4"/>
        </w:numPr>
        <w:jc w:val="both"/>
        <w:rPr>
          <w:lang w:val="en-US"/>
        </w:rPr>
      </w:pPr>
      <w:r w:rsidRPr="00777DC6">
        <w:rPr>
          <w:lang w:val="en-US"/>
        </w:rPr>
        <w:t xml:space="preserve">Hakim C., </w:t>
      </w:r>
      <w:r w:rsidRPr="00777DC6">
        <w:rPr>
          <w:i/>
          <w:lang w:val="en-US"/>
        </w:rPr>
        <w:t xml:space="preserve">Key Issues in Women’s Work, </w:t>
      </w:r>
      <w:r w:rsidRPr="00777DC6">
        <w:rPr>
          <w:lang w:val="en-US"/>
        </w:rPr>
        <w:t xml:space="preserve">London, The </w:t>
      </w:r>
      <w:proofErr w:type="spellStart"/>
      <w:r w:rsidRPr="00777DC6">
        <w:rPr>
          <w:lang w:val="en-US"/>
        </w:rPr>
        <w:t>GlassHouse</w:t>
      </w:r>
      <w:proofErr w:type="spellEnd"/>
      <w:r w:rsidRPr="00777DC6">
        <w:rPr>
          <w:lang w:val="en-US"/>
        </w:rPr>
        <w:t xml:space="preserve"> Press, 2004, 280 p.  </w:t>
      </w:r>
    </w:p>
    <w:p w:rsidR="00777DC6" w:rsidRPr="00777DC6" w:rsidRDefault="00777DC6" w:rsidP="00777DC6">
      <w:pPr>
        <w:numPr>
          <w:ilvl w:val="0"/>
          <w:numId w:val="4"/>
        </w:numPr>
        <w:jc w:val="both"/>
        <w:rPr>
          <w:b/>
          <w:u w:val="single"/>
          <w:lang w:val="en-US"/>
        </w:rPr>
      </w:pPr>
      <w:proofErr w:type="spellStart"/>
      <w:r w:rsidRPr="00777DC6">
        <w:rPr>
          <w:lang w:val="en-US"/>
        </w:rPr>
        <w:t>Hantrais</w:t>
      </w:r>
      <w:proofErr w:type="spellEnd"/>
      <w:r w:rsidRPr="00777DC6">
        <w:rPr>
          <w:lang w:val="en-US"/>
        </w:rPr>
        <w:t xml:space="preserve"> L., </w:t>
      </w:r>
      <w:r w:rsidRPr="00777DC6">
        <w:rPr>
          <w:i/>
          <w:lang w:val="en-US"/>
        </w:rPr>
        <w:t>Social Policy in the European Union</w:t>
      </w:r>
      <w:r w:rsidRPr="00777DC6">
        <w:rPr>
          <w:lang w:val="en-US"/>
        </w:rPr>
        <w:t xml:space="preserve">, London, MacMillan Press, 2000, 273 p. </w:t>
      </w:r>
    </w:p>
    <w:p w:rsidR="00777DC6" w:rsidRPr="00777DC6" w:rsidRDefault="00777DC6" w:rsidP="00777DC6">
      <w:pPr>
        <w:numPr>
          <w:ilvl w:val="0"/>
          <w:numId w:val="4"/>
        </w:numPr>
        <w:jc w:val="both"/>
        <w:rPr>
          <w:b/>
          <w:u w:val="single"/>
          <w:lang w:val="en-US"/>
        </w:rPr>
      </w:pPr>
      <w:r w:rsidRPr="00777DC6">
        <w:rPr>
          <w:lang w:val="en-US"/>
        </w:rPr>
        <w:t xml:space="preserve">Harris D. and Darcy J., </w:t>
      </w:r>
      <w:r w:rsidRPr="00777DC6">
        <w:rPr>
          <w:i/>
          <w:lang w:val="en-US"/>
        </w:rPr>
        <w:t>The European Social Charter</w:t>
      </w:r>
      <w:r w:rsidRPr="00777DC6">
        <w:rPr>
          <w:lang w:val="en-US"/>
        </w:rPr>
        <w:t>, New York, Transnational Publishers Inc., 2001, 431 p.</w:t>
      </w:r>
    </w:p>
    <w:p w:rsidR="00777DC6" w:rsidRPr="00777DC6" w:rsidRDefault="00777DC6" w:rsidP="00777DC6">
      <w:pPr>
        <w:numPr>
          <w:ilvl w:val="0"/>
          <w:numId w:val="4"/>
        </w:numPr>
        <w:jc w:val="both"/>
        <w:rPr>
          <w:b/>
          <w:u w:val="single"/>
          <w:lang w:val="en-US"/>
        </w:rPr>
      </w:pPr>
      <w:r w:rsidRPr="00777DC6">
        <w:rPr>
          <w:lang w:val="en-US"/>
        </w:rPr>
        <w:t xml:space="preserve">Harris D., O’Boyle M., Bates E., Buckley C., </w:t>
      </w:r>
      <w:r w:rsidRPr="00777DC6">
        <w:rPr>
          <w:i/>
          <w:lang w:val="en-US"/>
        </w:rPr>
        <w:t>Law of the European Convention on Human Rights</w:t>
      </w:r>
      <w:r w:rsidRPr="00777DC6">
        <w:rPr>
          <w:lang w:val="en-US"/>
        </w:rPr>
        <w:t>, Oxford, Oxford University Press, 2009, 902 p.</w:t>
      </w:r>
    </w:p>
    <w:p w:rsidR="00777DC6" w:rsidRPr="00777DC6" w:rsidRDefault="00777DC6" w:rsidP="00777DC6">
      <w:pPr>
        <w:numPr>
          <w:ilvl w:val="0"/>
          <w:numId w:val="4"/>
        </w:numPr>
        <w:jc w:val="both"/>
        <w:rPr>
          <w:b/>
          <w:u w:val="single"/>
          <w:lang w:val="en-GB"/>
        </w:rPr>
      </w:pPr>
      <w:r w:rsidRPr="00777DC6">
        <w:rPr>
          <w:lang w:val="en-GB"/>
        </w:rPr>
        <w:lastRenderedPageBreak/>
        <w:t xml:space="preserve">Hartley T., </w:t>
      </w:r>
      <w:r w:rsidRPr="00777DC6">
        <w:rPr>
          <w:i/>
          <w:lang w:val="en-GB"/>
        </w:rPr>
        <w:t>The Foundations of European Union Law</w:t>
      </w:r>
      <w:r w:rsidRPr="00777DC6">
        <w:rPr>
          <w:lang w:val="en-GB"/>
        </w:rPr>
        <w:t xml:space="preserve">, Oxford, Oxford University Press, 2010, 501 p.  </w:t>
      </w:r>
    </w:p>
    <w:p w:rsidR="00777DC6" w:rsidRPr="00777DC6" w:rsidRDefault="00777DC6" w:rsidP="00777DC6">
      <w:pPr>
        <w:numPr>
          <w:ilvl w:val="0"/>
          <w:numId w:val="4"/>
        </w:numPr>
        <w:jc w:val="both"/>
        <w:rPr>
          <w:u w:val="single"/>
        </w:rPr>
      </w:pPr>
      <w:r w:rsidRPr="00777DC6">
        <w:t xml:space="preserve">Heringa A., Hes J. </w:t>
      </w:r>
      <w:proofErr w:type="spellStart"/>
      <w:r w:rsidRPr="00777DC6">
        <w:t>and</w:t>
      </w:r>
      <w:proofErr w:type="spellEnd"/>
      <w:r w:rsidRPr="00777DC6">
        <w:t xml:space="preserve"> Lijnzaad L. (</w:t>
      </w:r>
      <w:proofErr w:type="spellStart"/>
      <w:r w:rsidRPr="00777DC6">
        <w:t>eds</w:t>
      </w:r>
      <w:proofErr w:type="spellEnd"/>
      <w:r w:rsidRPr="00777DC6">
        <w:t xml:space="preserve">.), </w:t>
      </w:r>
      <w:r w:rsidRPr="00777DC6">
        <w:rPr>
          <w:i/>
        </w:rPr>
        <w:t>Het Vrouwenverdrag: een beeld van een verdrag</w:t>
      </w:r>
      <w:r w:rsidRPr="00777DC6">
        <w:t xml:space="preserve">, Antwerpen – Apeldoorn, </w:t>
      </w:r>
      <w:proofErr w:type="spellStart"/>
      <w:r w:rsidRPr="00777DC6">
        <w:t>Maklu</w:t>
      </w:r>
      <w:proofErr w:type="spellEnd"/>
      <w:r w:rsidRPr="00777DC6">
        <w:t>, 1994, 316 p.</w:t>
      </w:r>
    </w:p>
    <w:p w:rsidR="00777DC6" w:rsidRPr="00777DC6" w:rsidRDefault="00777DC6" w:rsidP="00777DC6">
      <w:pPr>
        <w:numPr>
          <w:ilvl w:val="0"/>
          <w:numId w:val="4"/>
        </w:numPr>
        <w:jc w:val="both"/>
        <w:rPr>
          <w:lang w:val="en-GB"/>
        </w:rPr>
      </w:pPr>
      <w:r w:rsidRPr="00777DC6">
        <w:rPr>
          <w:lang w:val="en-GB"/>
        </w:rPr>
        <w:t xml:space="preserve">Hervey T., </w:t>
      </w:r>
      <w:r w:rsidRPr="00777DC6">
        <w:rPr>
          <w:i/>
          <w:lang w:val="en-GB"/>
        </w:rPr>
        <w:t>Justifications for Sex Discrimination in Employment</w:t>
      </w:r>
      <w:r w:rsidRPr="00777DC6">
        <w:rPr>
          <w:lang w:val="en-GB"/>
        </w:rPr>
        <w:t xml:space="preserve">, London, </w:t>
      </w:r>
      <w:proofErr w:type="spellStart"/>
      <w:r w:rsidRPr="00777DC6">
        <w:rPr>
          <w:lang w:val="en-GB"/>
        </w:rPr>
        <w:t>Butterworths</w:t>
      </w:r>
      <w:proofErr w:type="spellEnd"/>
      <w:r w:rsidRPr="00777DC6">
        <w:rPr>
          <w:lang w:val="en-GB"/>
        </w:rPr>
        <w:t xml:space="preserve">, 1993, 264 p. </w:t>
      </w:r>
    </w:p>
    <w:p w:rsidR="00777DC6" w:rsidRPr="00777DC6" w:rsidRDefault="00777DC6" w:rsidP="00777DC6">
      <w:pPr>
        <w:numPr>
          <w:ilvl w:val="0"/>
          <w:numId w:val="4"/>
        </w:numPr>
        <w:jc w:val="both"/>
        <w:rPr>
          <w:b/>
          <w:u w:val="single"/>
          <w:lang w:val="en-GB"/>
        </w:rPr>
      </w:pPr>
      <w:r w:rsidRPr="00777DC6">
        <w:rPr>
          <w:lang w:val="en-GB"/>
        </w:rPr>
        <w:t xml:space="preserve">Hervey T. and Kenner J. (eds.), </w:t>
      </w:r>
      <w:r w:rsidRPr="00777DC6">
        <w:rPr>
          <w:i/>
          <w:lang w:val="en-GB"/>
        </w:rPr>
        <w:t>Economic and Social Rights under the EU Charter of Fundamental Rights – A Legal Perspective</w:t>
      </w:r>
      <w:r w:rsidRPr="00777DC6">
        <w:rPr>
          <w:lang w:val="en-GB"/>
        </w:rPr>
        <w:t>, Oxford and Portland, Hart Publishing, 2003, 327 p.</w:t>
      </w:r>
    </w:p>
    <w:p w:rsidR="00777DC6" w:rsidRPr="00777DC6" w:rsidRDefault="00777DC6" w:rsidP="00777DC6">
      <w:pPr>
        <w:numPr>
          <w:ilvl w:val="0"/>
          <w:numId w:val="4"/>
        </w:numPr>
        <w:jc w:val="both"/>
        <w:rPr>
          <w:u w:val="single"/>
          <w:lang w:val="en-US"/>
        </w:rPr>
      </w:pPr>
      <w:r w:rsidRPr="00777DC6">
        <w:rPr>
          <w:lang w:val="en-US"/>
        </w:rPr>
        <w:t xml:space="preserve">Hervey T. and O’Keeffe D. (eds.), </w:t>
      </w:r>
      <w:r w:rsidRPr="00777DC6">
        <w:rPr>
          <w:i/>
          <w:lang w:val="en-US"/>
        </w:rPr>
        <w:t>Sex Equality Law in the European Union</w:t>
      </w:r>
      <w:r w:rsidRPr="00777DC6">
        <w:rPr>
          <w:lang w:val="en-US"/>
        </w:rPr>
        <w:t xml:space="preserve">, </w:t>
      </w:r>
      <w:proofErr w:type="spellStart"/>
      <w:r w:rsidRPr="00777DC6">
        <w:rPr>
          <w:lang w:val="en-US"/>
        </w:rPr>
        <w:t>Chichester</w:t>
      </w:r>
      <w:proofErr w:type="spellEnd"/>
      <w:r w:rsidRPr="00777DC6">
        <w:rPr>
          <w:lang w:val="en-US"/>
        </w:rPr>
        <w:t xml:space="preserve">, John Wiley &amp; Sons, 1996, 427 p. </w:t>
      </w:r>
    </w:p>
    <w:p w:rsidR="00777DC6" w:rsidRPr="00777DC6" w:rsidRDefault="00777DC6" w:rsidP="00777DC6">
      <w:pPr>
        <w:numPr>
          <w:ilvl w:val="0"/>
          <w:numId w:val="4"/>
        </w:numPr>
        <w:jc w:val="both"/>
        <w:rPr>
          <w:b/>
          <w:u w:val="single"/>
          <w:lang w:val="en-US"/>
        </w:rPr>
      </w:pPr>
      <w:r w:rsidRPr="00777DC6">
        <w:rPr>
          <w:lang w:val="en-US"/>
        </w:rPr>
        <w:t xml:space="preserve">Hoffmann S. (ed.), </w:t>
      </w:r>
      <w:r w:rsidRPr="00777DC6">
        <w:rPr>
          <w:i/>
          <w:lang w:val="en-US"/>
        </w:rPr>
        <w:t>Human Rights in the Twentieth Century</w:t>
      </w:r>
      <w:r w:rsidRPr="00777DC6">
        <w:rPr>
          <w:lang w:val="en-US"/>
        </w:rPr>
        <w:t xml:space="preserve">, Cambridge, Cambridge University Press, 2011, 351 p. </w:t>
      </w:r>
    </w:p>
    <w:p w:rsidR="00777DC6" w:rsidRPr="00777DC6" w:rsidRDefault="00777DC6" w:rsidP="00777DC6">
      <w:pPr>
        <w:numPr>
          <w:ilvl w:val="0"/>
          <w:numId w:val="4"/>
        </w:numPr>
        <w:jc w:val="both"/>
      </w:pPr>
      <w:proofErr w:type="spellStart"/>
      <w:r w:rsidRPr="00777DC6">
        <w:t>Holtmaat</w:t>
      </w:r>
      <w:proofErr w:type="spellEnd"/>
      <w:r w:rsidRPr="00777DC6">
        <w:t xml:space="preserve"> R., </w:t>
      </w:r>
      <w:r w:rsidRPr="00777DC6">
        <w:rPr>
          <w:i/>
        </w:rPr>
        <w:t>Seksuele intimidatie: de juridische gids</w:t>
      </w:r>
      <w:r w:rsidRPr="00777DC6">
        <w:t xml:space="preserve">, Nijmegen, Ars </w:t>
      </w:r>
      <w:proofErr w:type="spellStart"/>
      <w:r w:rsidRPr="00777DC6">
        <w:t>Aequi</w:t>
      </w:r>
      <w:proofErr w:type="spellEnd"/>
      <w:r w:rsidRPr="00777DC6">
        <w:t xml:space="preserve"> </w:t>
      </w:r>
      <w:proofErr w:type="spellStart"/>
      <w:r w:rsidRPr="00777DC6">
        <w:t>Libri</w:t>
      </w:r>
      <w:proofErr w:type="spellEnd"/>
      <w:r w:rsidRPr="00777DC6">
        <w:t xml:space="preserve">, 2009, 355 p. </w:t>
      </w:r>
    </w:p>
    <w:p w:rsidR="00777DC6" w:rsidRPr="00A83519" w:rsidRDefault="00777DC6" w:rsidP="00777DC6">
      <w:pPr>
        <w:numPr>
          <w:ilvl w:val="0"/>
          <w:numId w:val="4"/>
        </w:numPr>
        <w:jc w:val="both"/>
        <w:rPr>
          <w:lang w:val="en-US"/>
        </w:rPr>
      </w:pPr>
      <w:proofErr w:type="spellStart"/>
      <w:r w:rsidRPr="00777DC6">
        <w:rPr>
          <w:lang w:val="en-US"/>
        </w:rPr>
        <w:t>Holtmaat</w:t>
      </w:r>
      <w:proofErr w:type="spellEnd"/>
      <w:r w:rsidRPr="00777DC6">
        <w:rPr>
          <w:lang w:val="en-US"/>
        </w:rPr>
        <w:t xml:space="preserve"> R., </w:t>
      </w:r>
      <w:r w:rsidRPr="00777DC6">
        <w:rPr>
          <w:i/>
          <w:lang w:val="en-US"/>
        </w:rPr>
        <w:t>Towards Different Law and Public Policy: The significance of Article 5a CEDAW for the elimination of structural gender discrimination,</w:t>
      </w:r>
      <w:r w:rsidRPr="00777DC6">
        <w:rPr>
          <w:lang w:val="en-US"/>
        </w:rPr>
        <w:t xml:space="preserve"> Leiden, Ministry of Social Affairs and Employment, 2004, 163 p. </w:t>
      </w:r>
    </w:p>
    <w:p w:rsidR="00777DC6" w:rsidRPr="00A83519" w:rsidRDefault="00777DC6" w:rsidP="00777DC6">
      <w:pPr>
        <w:numPr>
          <w:ilvl w:val="0"/>
          <w:numId w:val="4"/>
        </w:numPr>
        <w:jc w:val="both"/>
        <w:rPr>
          <w:lang w:val="en-US"/>
        </w:rPr>
      </w:pPr>
      <w:proofErr w:type="spellStart"/>
      <w:r w:rsidRPr="00777DC6">
        <w:rPr>
          <w:lang w:val="en-US"/>
        </w:rPr>
        <w:t>Honeyball</w:t>
      </w:r>
      <w:proofErr w:type="spellEnd"/>
      <w:r w:rsidRPr="00777DC6">
        <w:rPr>
          <w:lang w:val="en-US"/>
        </w:rPr>
        <w:t xml:space="preserve"> S., </w:t>
      </w:r>
      <w:r w:rsidRPr="00777DC6">
        <w:rPr>
          <w:i/>
          <w:lang w:val="en-US"/>
        </w:rPr>
        <w:t xml:space="preserve">Textbook on </w:t>
      </w:r>
      <w:proofErr w:type="spellStart"/>
      <w:r w:rsidRPr="00777DC6">
        <w:rPr>
          <w:i/>
          <w:lang w:val="en-US"/>
        </w:rPr>
        <w:t>Labour</w:t>
      </w:r>
      <w:proofErr w:type="spellEnd"/>
      <w:r w:rsidRPr="00777DC6">
        <w:rPr>
          <w:i/>
          <w:lang w:val="en-US"/>
        </w:rPr>
        <w:t xml:space="preserve"> Law</w:t>
      </w:r>
      <w:r w:rsidRPr="00777DC6">
        <w:rPr>
          <w:lang w:val="en-US"/>
        </w:rPr>
        <w:t xml:space="preserve">, Oxford, Oxford University Press, 2006, 536 p. </w:t>
      </w:r>
    </w:p>
    <w:p w:rsidR="00777DC6" w:rsidRPr="00777DC6" w:rsidRDefault="00777DC6" w:rsidP="00777DC6">
      <w:pPr>
        <w:numPr>
          <w:ilvl w:val="0"/>
          <w:numId w:val="4"/>
        </w:numPr>
        <w:jc w:val="both"/>
        <w:rPr>
          <w:lang w:val="en-US"/>
        </w:rPr>
      </w:pPr>
      <w:r w:rsidRPr="00777DC6">
        <w:rPr>
          <w:lang w:val="en-US"/>
        </w:rPr>
        <w:t xml:space="preserve">Hughes S. and Haworth N., </w:t>
      </w:r>
      <w:r w:rsidRPr="00777DC6">
        <w:rPr>
          <w:i/>
          <w:lang w:val="en-US"/>
        </w:rPr>
        <w:t xml:space="preserve">The International </w:t>
      </w:r>
      <w:proofErr w:type="spellStart"/>
      <w:r w:rsidRPr="00777DC6">
        <w:rPr>
          <w:i/>
          <w:lang w:val="en-US"/>
        </w:rPr>
        <w:t>Labour</w:t>
      </w:r>
      <w:proofErr w:type="spellEnd"/>
      <w:r w:rsidRPr="00777DC6">
        <w:rPr>
          <w:i/>
          <w:lang w:val="en-US"/>
        </w:rPr>
        <w:t xml:space="preserve"> Organization</w:t>
      </w:r>
      <w:r w:rsidRPr="00777DC6">
        <w:rPr>
          <w:lang w:val="en-US"/>
        </w:rPr>
        <w:t xml:space="preserve">, London, Routledge, 2011, 123 p. </w:t>
      </w:r>
    </w:p>
    <w:p w:rsidR="00777DC6" w:rsidRPr="00777DC6" w:rsidRDefault="00777DC6" w:rsidP="00777DC6">
      <w:pPr>
        <w:numPr>
          <w:ilvl w:val="0"/>
          <w:numId w:val="4"/>
        </w:numPr>
        <w:jc w:val="both"/>
        <w:rPr>
          <w:lang w:val="en-US"/>
        </w:rPr>
      </w:pPr>
      <w:r w:rsidRPr="00777DC6">
        <w:rPr>
          <w:lang w:val="en-US"/>
        </w:rPr>
        <w:t xml:space="preserve">Hunt C. and Davidson M., </w:t>
      </w:r>
      <w:r w:rsidRPr="00777DC6">
        <w:rPr>
          <w:i/>
          <w:lang w:val="en-US"/>
        </w:rPr>
        <w:t>Sexual Harassment in the workplace: a literature review</w:t>
      </w:r>
      <w:r w:rsidRPr="00777DC6">
        <w:rPr>
          <w:lang w:val="en-US"/>
        </w:rPr>
        <w:t>, Manchester, Equal Opportunities Commission, 2007, 87 p.</w:t>
      </w:r>
    </w:p>
    <w:p w:rsidR="00777DC6" w:rsidRPr="00777DC6" w:rsidRDefault="00777DC6" w:rsidP="00777DC6">
      <w:pPr>
        <w:numPr>
          <w:ilvl w:val="0"/>
          <w:numId w:val="4"/>
        </w:numPr>
        <w:jc w:val="both"/>
        <w:rPr>
          <w:lang w:val="en-US"/>
        </w:rPr>
      </w:pPr>
      <w:r w:rsidRPr="00777DC6">
        <w:rPr>
          <w:lang w:val="en-US"/>
        </w:rPr>
        <w:t xml:space="preserve">International Trade Union Conference, </w:t>
      </w:r>
      <w:r w:rsidRPr="00777DC6">
        <w:rPr>
          <w:i/>
          <w:lang w:val="en-US"/>
        </w:rPr>
        <w:t>Stopping Sexual Harassment at Work</w:t>
      </w:r>
      <w:r w:rsidRPr="00777DC6">
        <w:rPr>
          <w:lang w:val="en-US"/>
        </w:rPr>
        <w:t>, Brussels, 2008, 11 p.</w:t>
      </w:r>
    </w:p>
    <w:p w:rsidR="00777DC6" w:rsidRPr="00777DC6" w:rsidRDefault="00777DC6" w:rsidP="00777DC6">
      <w:pPr>
        <w:numPr>
          <w:ilvl w:val="0"/>
          <w:numId w:val="4"/>
        </w:numPr>
        <w:jc w:val="both"/>
        <w:rPr>
          <w:lang w:val="en-US"/>
        </w:rPr>
      </w:pPr>
      <w:r w:rsidRPr="00777DC6">
        <w:rPr>
          <w:lang w:val="en-US"/>
        </w:rPr>
        <w:t xml:space="preserve">Janis M., Kay R., Bradley A., </w:t>
      </w:r>
      <w:proofErr w:type="spellStart"/>
      <w:r w:rsidRPr="00777DC6">
        <w:rPr>
          <w:lang w:val="en-US"/>
        </w:rPr>
        <w:t>McColgan</w:t>
      </w:r>
      <w:proofErr w:type="spellEnd"/>
      <w:r w:rsidRPr="00777DC6">
        <w:rPr>
          <w:lang w:val="en-US"/>
        </w:rPr>
        <w:t xml:space="preserve"> A., Murdoch J., </w:t>
      </w:r>
      <w:r w:rsidRPr="00777DC6">
        <w:rPr>
          <w:i/>
          <w:lang w:val="en-US"/>
        </w:rPr>
        <w:t xml:space="preserve">European Human Rights Law, </w:t>
      </w:r>
      <w:r w:rsidRPr="00777DC6">
        <w:rPr>
          <w:lang w:val="en-US"/>
        </w:rPr>
        <w:t xml:space="preserve">Oxford, Oxford University Press, 2008, 957 p. </w:t>
      </w:r>
    </w:p>
    <w:p w:rsidR="00777DC6" w:rsidRPr="00777DC6" w:rsidRDefault="00777DC6" w:rsidP="00777DC6">
      <w:pPr>
        <w:numPr>
          <w:ilvl w:val="0"/>
          <w:numId w:val="4"/>
        </w:numPr>
        <w:jc w:val="both"/>
        <w:rPr>
          <w:b/>
          <w:u w:val="single"/>
          <w:lang w:val="en-US"/>
        </w:rPr>
      </w:pPr>
      <w:proofErr w:type="spellStart"/>
      <w:r w:rsidRPr="00777DC6">
        <w:rPr>
          <w:lang w:val="en-US"/>
        </w:rPr>
        <w:t>Kalin</w:t>
      </w:r>
      <w:proofErr w:type="spellEnd"/>
      <w:r w:rsidRPr="00777DC6">
        <w:rPr>
          <w:lang w:val="en-US"/>
        </w:rPr>
        <w:t xml:space="preserve"> W. and </w:t>
      </w:r>
      <w:proofErr w:type="spellStart"/>
      <w:r w:rsidRPr="00777DC6">
        <w:rPr>
          <w:lang w:val="en-US"/>
        </w:rPr>
        <w:t>Kunzli</w:t>
      </w:r>
      <w:proofErr w:type="spellEnd"/>
      <w:r w:rsidRPr="00777DC6">
        <w:rPr>
          <w:lang w:val="en-US"/>
        </w:rPr>
        <w:t xml:space="preserve"> J., </w:t>
      </w:r>
      <w:r w:rsidRPr="00777DC6">
        <w:rPr>
          <w:i/>
          <w:lang w:val="en-US"/>
        </w:rPr>
        <w:t>The Law of International Human Rights Protection</w:t>
      </w:r>
      <w:r w:rsidRPr="00777DC6">
        <w:rPr>
          <w:lang w:val="en-US"/>
        </w:rPr>
        <w:t xml:space="preserve">, Oxford, Oxford University Press, 2009, 539 p. </w:t>
      </w:r>
    </w:p>
    <w:p w:rsidR="00777DC6" w:rsidRPr="00777DC6" w:rsidRDefault="00777DC6" w:rsidP="00777DC6">
      <w:pPr>
        <w:numPr>
          <w:ilvl w:val="0"/>
          <w:numId w:val="4"/>
        </w:numPr>
        <w:jc w:val="both"/>
        <w:rPr>
          <w:u w:val="single"/>
          <w:lang w:val="en-US"/>
        </w:rPr>
      </w:pPr>
      <w:proofErr w:type="spellStart"/>
      <w:r w:rsidRPr="00777DC6">
        <w:rPr>
          <w:lang w:val="en-US"/>
        </w:rPr>
        <w:t>Kamerman</w:t>
      </w:r>
      <w:proofErr w:type="spellEnd"/>
      <w:r w:rsidRPr="00777DC6">
        <w:rPr>
          <w:lang w:val="en-US"/>
        </w:rPr>
        <w:t xml:space="preserve"> S. and Moss P. (eds.), </w:t>
      </w:r>
      <w:r w:rsidRPr="00777DC6">
        <w:rPr>
          <w:i/>
          <w:lang w:val="en-US"/>
        </w:rPr>
        <w:t>The politics of parental leave policies</w:t>
      </w:r>
      <w:r w:rsidRPr="00777DC6">
        <w:rPr>
          <w:lang w:val="en-US"/>
        </w:rPr>
        <w:t xml:space="preserve">, Bristol, The Policy Press, 2009, 286 p. </w:t>
      </w:r>
    </w:p>
    <w:p w:rsidR="00777DC6" w:rsidRPr="00777DC6" w:rsidRDefault="00777DC6" w:rsidP="00777DC6">
      <w:pPr>
        <w:numPr>
          <w:ilvl w:val="0"/>
          <w:numId w:val="4"/>
        </w:numPr>
        <w:jc w:val="both"/>
        <w:rPr>
          <w:b/>
          <w:u w:val="single"/>
          <w:lang w:val="en-GB"/>
        </w:rPr>
      </w:pPr>
      <w:proofErr w:type="spellStart"/>
      <w:r w:rsidRPr="00777DC6">
        <w:rPr>
          <w:lang w:val="en-GB"/>
        </w:rPr>
        <w:t>Koukoulis-Spiliotopoulos</w:t>
      </w:r>
      <w:proofErr w:type="spellEnd"/>
      <w:r w:rsidRPr="00777DC6">
        <w:rPr>
          <w:lang w:val="en-GB"/>
        </w:rPr>
        <w:t xml:space="preserve"> S., </w:t>
      </w:r>
      <w:r w:rsidRPr="00777DC6">
        <w:rPr>
          <w:i/>
          <w:lang w:val="en-GB"/>
        </w:rPr>
        <w:t>From formal to substantive gender equality</w:t>
      </w:r>
      <w:r w:rsidRPr="00777DC6">
        <w:rPr>
          <w:lang w:val="en-GB"/>
        </w:rPr>
        <w:t xml:space="preserve">, Brussels, </w:t>
      </w:r>
      <w:proofErr w:type="spellStart"/>
      <w:r w:rsidRPr="00777DC6">
        <w:rPr>
          <w:lang w:val="en-GB"/>
        </w:rPr>
        <w:t>Bruylant</w:t>
      </w:r>
      <w:proofErr w:type="spellEnd"/>
      <w:r w:rsidRPr="00777DC6">
        <w:rPr>
          <w:lang w:val="en-GB"/>
        </w:rPr>
        <w:t xml:space="preserve">, 2001, 130 p. </w:t>
      </w:r>
    </w:p>
    <w:p w:rsidR="00777DC6" w:rsidRPr="00777DC6" w:rsidRDefault="00777DC6" w:rsidP="00777DC6">
      <w:pPr>
        <w:numPr>
          <w:ilvl w:val="0"/>
          <w:numId w:val="4"/>
        </w:numPr>
        <w:jc w:val="both"/>
        <w:rPr>
          <w:b/>
          <w:u w:val="single"/>
          <w:lang w:val="en-US"/>
        </w:rPr>
      </w:pPr>
      <w:r w:rsidRPr="00777DC6">
        <w:rPr>
          <w:lang w:val="en-US"/>
        </w:rPr>
        <w:lastRenderedPageBreak/>
        <w:t xml:space="preserve">Landau E. and </w:t>
      </w:r>
      <w:proofErr w:type="spellStart"/>
      <w:r w:rsidRPr="00777DC6">
        <w:rPr>
          <w:lang w:val="en-US"/>
        </w:rPr>
        <w:t>Beigbeder</w:t>
      </w:r>
      <w:proofErr w:type="spellEnd"/>
      <w:r w:rsidRPr="00777DC6">
        <w:rPr>
          <w:lang w:val="en-US"/>
        </w:rPr>
        <w:t xml:space="preserve"> Y., </w:t>
      </w:r>
      <w:r w:rsidRPr="00777DC6">
        <w:rPr>
          <w:i/>
          <w:lang w:val="en-US"/>
        </w:rPr>
        <w:t>From ILO Standards to EU Law</w:t>
      </w:r>
      <w:r w:rsidRPr="00777DC6">
        <w:rPr>
          <w:lang w:val="en-US"/>
        </w:rPr>
        <w:t xml:space="preserve">, Leyden and Boston, </w:t>
      </w:r>
      <w:proofErr w:type="spellStart"/>
      <w:r w:rsidRPr="00777DC6">
        <w:rPr>
          <w:lang w:val="en-US"/>
        </w:rPr>
        <w:t>Martinus</w:t>
      </w:r>
      <w:proofErr w:type="spellEnd"/>
      <w:r w:rsidRPr="00777DC6">
        <w:rPr>
          <w:lang w:val="en-US"/>
        </w:rPr>
        <w:t xml:space="preserve"> </w:t>
      </w:r>
      <w:proofErr w:type="spellStart"/>
      <w:r w:rsidRPr="00777DC6">
        <w:rPr>
          <w:lang w:val="en-US"/>
        </w:rPr>
        <w:t>Nijhoff</w:t>
      </w:r>
      <w:proofErr w:type="spellEnd"/>
      <w:r w:rsidRPr="00777DC6">
        <w:rPr>
          <w:lang w:val="en-US"/>
        </w:rPr>
        <w:t xml:space="preserve"> Publishers, 2008, 340 p. </w:t>
      </w:r>
    </w:p>
    <w:p w:rsidR="00777DC6" w:rsidRPr="00777DC6" w:rsidRDefault="00777DC6" w:rsidP="00777DC6">
      <w:pPr>
        <w:numPr>
          <w:ilvl w:val="0"/>
          <w:numId w:val="4"/>
        </w:numPr>
        <w:jc w:val="both"/>
        <w:rPr>
          <w:b/>
          <w:u w:val="single"/>
          <w:lang w:val="en-GB"/>
        </w:rPr>
      </w:pPr>
      <w:proofErr w:type="spellStart"/>
      <w:r w:rsidRPr="00777DC6">
        <w:rPr>
          <w:lang w:val="en-GB"/>
        </w:rPr>
        <w:t>Lenaerts</w:t>
      </w:r>
      <w:proofErr w:type="spellEnd"/>
      <w:r w:rsidRPr="00777DC6">
        <w:rPr>
          <w:lang w:val="en-GB"/>
        </w:rPr>
        <w:t xml:space="preserve"> K. and Van </w:t>
      </w:r>
      <w:proofErr w:type="spellStart"/>
      <w:r w:rsidRPr="00777DC6">
        <w:rPr>
          <w:lang w:val="en-GB"/>
        </w:rPr>
        <w:t>Nuffel</w:t>
      </w:r>
      <w:proofErr w:type="spellEnd"/>
      <w:r w:rsidRPr="00777DC6">
        <w:rPr>
          <w:lang w:val="en-GB"/>
        </w:rPr>
        <w:t xml:space="preserve"> P., </w:t>
      </w:r>
      <w:r w:rsidRPr="00777DC6">
        <w:rPr>
          <w:i/>
          <w:lang w:val="en-GB"/>
        </w:rPr>
        <w:t>European Union Law</w:t>
      </w:r>
      <w:r w:rsidRPr="00777DC6">
        <w:rPr>
          <w:lang w:val="en-GB"/>
        </w:rPr>
        <w:t xml:space="preserve">, London, Sweet &amp; Maxwell, 2011, 1334 p. </w:t>
      </w:r>
    </w:p>
    <w:p w:rsidR="00777DC6" w:rsidRPr="00777DC6" w:rsidRDefault="00777DC6" w:rsidP="00777DC6">
      <w:pPr>
        <w:numPr>
          <w:ilvl w:val="0"/>
          <w:numId w:val="4"/>
        </w:numPr>
        <w:jc w:val="both"/>
        <w:rPr>
          <w:b/>
          <w:u w:val="single"/>
          <w:lang w:val="en-US"/>
        </w:rPr>
      </w:pPr>
      <w:proofErr w:type="spellStart"/>
      <w:r w:rsidRPr="00777DC6">
        <w:rPr>
          <w:lang w:val="en-US"/>
        </w:rPr>
        <w:t>Loenen</w:t>
      </w:r>
      <w:proofErr w:type="spellEnd"/>
      <w:r w:rsidRPr="00777DC6">
        <w:rPr>
          <w:lang w:val="en-US"/>
        </w:rPr>
        <w:t xml:space="preserve"> T. and Rodriquez P. (eds.), </w:t>
      </w:r>
      <w:r w:rsidRPr="00777DC6">
        <w:rPr>
          <w:i/>
          <w:lang w:val="en-US"/>
        </w:rPr>
        <w:t>Non-Discrimination Law: Comparative Perspectives</w:t>
      </w:r>
      <w:r w:rsidRPr="00777DC6">
        <w:rPr>
          <w:lang w:val="en-US"/>
        </w:rPr>
        <w:t xml:space="preserve">, The Hague, Kluwer Law International, 1999, 457 p. </w:t>
      </w:r>
    </w:p>
    <w:p w:rsidR="00777DC6" w:rsidRPr="00777DC6" w:rsidRDefault="00777DC6" w:rsidP="00777DC6">
      <w:pPr>
        <w:numPr>
          <w:ilvl w:val="0"/>
          <w:numId w:val="4"/>
        </w:numPr>
        <w:jc w:val="both"/>
        <w:rPr>
          <w:b/>
          <w:u w:val="single"/>
          <w:lang w:val="en-US"/>
        </w:rPr>
      </w:pPr>
      <w:r w:rsidRPr="00777DC6">
        <w:rPr>
          <w:lang w:val="en-US"/>
        </w:rPr>
        <w:t xml:space="preserve">Lyons G. and </w:t>
      </w:r>
      <w:proofErr w:type="spellStart"/>
      <w:r w:rsidRPr="00777DC6">
        <w:rPr>
          <w:lang w:val="en-US"/>
        </w:rPr>
        <w:t>Mayall</w:t>
      </w:r>
      <w:proofErr w:type="spellEnd"/>
      <w:r w:rsidRPr="00777DC6">
        <w:rPr>
          <w:lang w:val="en-US"/>
        </w:rPr>
        <w:t xml:space="preserve"> J. (eds.), </w:t>
      </w:r>
      <w:r w:rsidRPr="00777DC6">
        <w:rPr>
          <w:i/>
          <w:lang w:val="en-US"/>
        </w:rPr>
        <w:t>International Human Rights in the 21</w:t>
      </w:r>
      <w:r w:rsidRPr="00777DC6">
        <w:rPr>
          <w:i/>
          <w:vertAlign w:val="superscript"/>
          <w:lang w:val="en-US"/>
        </w:rPr>
        <w:t>st</w:t>
      </w:r>
      <w:r w:rsidRPr="00777DC6">
        <w:rPr>
          <w:i/>
          <w:lang w:val="en-US"/>
        </w:rPr>
        <w:t xml:space="preserve"> Century</w:t>
      </w:r>
      <w:r w:rsidRPr="00777DC6">
        <w:rPr>
          <w:lang w:val="en-US"/>
        </w:rPr>
        <w:t xml:space="preserve">, Lanham, </w:t>
      </w:r>
      <w:proofErr w:type="spellStart"/>
      <w:r w:rsidRPr="00777DC6">
        <w:rPr>
          <w:lang w:val="en-US"/>
        </w:rPr>
        <w:t>Rowman</w:t>
      </w:r>
      <w:proofErr w:type="spellEnd"/>
      <w:r w:rsidRPr="00777DC6">
        <w:rPr>
          <w:lang w:val="en-US"/>
        </w:rPr>
        <w:t xml:space="preserve"> &amp; Littlefield Publishers, 2003, 227 p.  </w:t>
      </w:r>
    </w:p>
    <w:p w:rsidR="00777DC6" w:rsidRPr="00777DC6" w:rsidRDefault="00777DC6" w:rsidP="00777DC6">
      <w:pPr>
        <w:numPr>
          <w:ilvl w:val="0"/>
          <w:numId w:val="4"/>
        </w:numPr>
        <w:jc w:val="both"/>
        <w:rPr>
          <w:b/>
          <w:u w:val="single"/>
        </w:rPr>
      </w:pPr>
      <w:r w:rsidRPr="00777DC6">
        <w:t xml:space="preserve">Maes G., </w:t>
      </w:r>
      <w:r w:rsidRPr="00777DC6">
        <w:rPr>
          <w:i/>
        </w:rPr>
        <w:t>De Afdwingbaarheid van Sociale Grondrechten</w:t>
      </w:r>
      <w:r w:rsidRPr="00777DC6">
        <w:t xml:space="preserve">, Antwerpen-Oxford, </w:t>
      </w:r>
      <w:proofErr w:type="spellStart"/>
      <w:r w:rsidRPr="00777DC6">
        <w:t>Intersentia</w:t>
      </w:r>
      <w:proofErr w:type="spellEnd"/>
      <w:r w:rsidRPr="00777DC6">
        <w:t xml:space="preserve">, 2003, 523 p. </w:t>
      </w:r>
    </w:p>
    <w:p w:rsidR="00777DC6" w:rsidRPr="00DD4629" w:rsidRDefault="00777DC6" w:rsidP="00777DC6">
      <w:pPr>
        <w:numPr>
          <w:ilvl w:val="0"/>
          <w:numId w:val="4"/>
        </w:numPr>
        <w:jc w:val="both"/>
        <w:rPr>
          <w:lang w:val="en-US"/>
        </w:rPr>
      </w:pPr>
      <w:r w:rsidRPr="00777DC6">
        <w:rPr>
          <w:lang w:val="en-US"/>
        </w:rPr>
        <w:t xml:space="preserve">MacKinnon C., </w:t>
      </w:r>
      <w:r w:rsidRPr="00777DC6">
        <w:rPr>
          <w:i/>
          <w:lang w:val="en-US"/>
        </w:rPr>
        <w:t>Sexual Harassment of Working Women</w:t>
      </w:r>
      <w:r w:rsidRPr="00777DC6">
        <w:rPr>
          <w:lang w:val="en-US"/>
        </w:rPr>
        <w:t xml:space="preserve">, New Haven, Yale University Press, 1979, 312 p. </w:t>
      </w:r>
    </w:p>
    <w:p w:rsidR="00777DC6" w:rsidRPr="00777DC6" w:rsidRDefault="00777DC6" w:rsidP="00777DC6">
      <w:pPr>
        <w:numPr>
          <w:ilvl w:val="0"/>
          <w:numId w:val="4"/>
        </w:numPr>
        <w:jc w:val="both"/>
        <w:rPr>
          <w:lang w:val="en-US"/>
        </w:rPr>
      </w:pPr>
      <w:r w:rsidRPr="00777DC6">
        <w:rPr>
          <w:lang w:val="en-US"/>
        </w:rPr>
        <w:t xml:space="preserve">MacKinnon C. and Siegel R. (eds.), </w:t>
      </w:r>
      <w:r w:rsidRPr="00777DC6">
        <w:rPr>
          <w:i/>
          <w:lang w:val="en-US"/>
        </w:rPr>
        <w:t>Directions in Sexual Harassment Law</w:t>
      </w:r>
      <w:r w:rsidRPr="00777DC6">
        <w:rPr>
          <w:lang w:val="en-US"/>
        </w:rPr>
        <w:t xml:space="preserve">, New Haven, Yale University Press, 2004, 736 p. </w:t>
      </w:r>
    </w:p>
    <w:p w:rsidR="00777DC6" w:rsidRPr="00777DC6" w:rsidRDefault="00777DC6" w:rsidP="00777DC6">
      <w:pPr>
        <w:numPr>
          <w:ilvl w:val="0"/>
          <w:numId w:val="4"/>
        </w:numPr>
        <w:jc w:val="both"/>
        <w:rPr>
          <w:b/>
          <w:u w:val="single"/>
          <w:lang w:val="en-GB"/>
        </w:rPr>
      </w:pPr>
      <w:proofErr w:type="spellStart"/>
      <w:r w:rsidRPr="00777DC6">
        <w:rPr>
          <w:lang w:val="en-GB"/>
        </w:rPr>
        <w:t>McBeth</w:t>
      </w:r>
      <w:proofErr w:type="spellEnd"/>
      <w:r w:rsidRPr="00777DC6">
        <w:rPr>
          <w:lang w:val="en-GB"/>
        </w:rPr>
        <w:t xml:space="preserve"> A., Nolan J. and Rice S., </w:t>
      </w:r>
      <w:r w:rsidRPr="00777DC6">
        <w:rPr>
          <w:i/>
          <w:lang w:val="en-GB"/>
        </w:rPr>
        <w:t>The International Law of Human Rights</w:t>
      </w:r>
      <w:r w:rsidRPr="00777DC6">
        <w:rPr>
          <w:lang w:val="en-GB"/>
        </w:rPr>
        <w:t xml:space="preserve">, Oxford, Oxford University Press, 2011, 662 p. </w:t>
      </w:r>
    </w:p>
    <w:p w:rsidR="00777DC6" w:rsidRPr="00777DC6" w:rsidRDefault="00777DC6" w:rsidP="00777DC6">
      <w:pPr>
        <w:numPr>
          <w:ilvl w:val="0"/>
          <w:numId w:val="4"/>
        </w:numPr>
        <w:jc w:val="both"/>
        <w:rPr>
          <w:b/>
          <w:u w:val="single"/>
          <w:lang w:val="en-GB"/>
        </w:rPr>
      </w:pPr>
      <w:proofErr w:type="spellStart"/>
      <w:r w:rsidRPr="00777DC6">
        <w:rPr>
          <w:lang w:val="en-GB"/>
        </w:rPr>
        <w:t>McCrudden</w:t>
      </w:r>
      <w:proofErr w:type="spellEnd"/>
      <w:r w:rsidRPr="00777DC6">
        <w:rPr>
          <w:lang w:val="en-GB"/>
        </w:rPr>
        <w:t xml:space="preserve"> C. and </w:t>
      </w:r>
      <w:proofErr w:type="spellStart"/>
      <w:r w:rsidRPr="00777DC6">
        <w:rPr>
          <w:lang w:val="en-GB"/>
        </w:rPr>
        <w:t>Prechal</w:t>
      </w:r>
      <w:proofErr w:type="spellEnd"/>
      <w:r w:rsidRPr="00777DC6">
        <w:rPr>
          <w:lang w:val="en-GB"/>
        </w:rPr>
        <w:t xml:space="preserve"> S., </w:t>
      </w:r>
      <w:r w:rsidRPr="00777DC6">
        <w:rPr>
          <w:i/>
          <w:lang w:val="en-GB"/>
        </w:rPr>
        <w:t>The Concepts of Equality and Non-Discrimination in Europe: A practical approach</w:t>
      </w:r>
      <w:r w:rsidRPr="00777DC6">
        <w:rPr>
          <w:lang w:val="en-GB"/>
        </w:rPr>
        <w:t xml:space="preserve">, Brussels, the Directorate-General for Employment, Social Affairs and Equal Opportunities, 2009, 50 p. </w:t>
      </w:r>
    </w:p>
    <w:p w:rsidR="00777DC6" w:rsidRPr="00777DC6" w:rsidRDefault="00777DC6" w:rsidP="00777DC6">
      <w:pPr>
        <w:numPr>
          <w:ilvl w:val="0"/>
          <w:numId w:val="4"/>
        </w:numPr>
        <w:jc w:val="both"/>
        <w:rPr>
          <w:u w:val="single"/>
          <w:lang w:val="en-US"/>
        </w:rPr>
      </w:pPr>
      <w:proofErr w:type="spellStart"/>
      <w:r w:rsidRPr="00777DC6">
        <w:rPr>
          <w:lang w:val="en-US"/>
        </w:rPr>
        <w:t>McGlynn</w:t>
      </w:r>
      <w:proofErr w:type="spellEnd"/>
      <w:r w:rsidRPr="00777DC6">
        <w:rPr>
          <w:lang w:val="en-US"/>
        </w:rPr>
        <w:t xml:space="preserve"> C., </w:t>
      </w:r>
      <w:r w:rsidRPr="00777DC6">
        <w:rPr>
          <w:i/>
          <w:lang w:val="en-US"/>
        </w:rPr>
        <w:t>Families and the European Union</w:t>
      </w:r>
      <w:r w:rsidRPr="00777DC6">
        <w:rPr>
          <w:lang w:val="en-US"/>
        </w:rPr>
        <w:t>, Cambridge, Cambridge University Press, 2006, 230 p.</w:t>
      </w:r>
    </w:p>
    <w:p w:rsidR="00777DC6" w:rsidRPr="00777DC6" w:rsidRDefault="00777DC6" w:rsidP="00777DC6">
      <w:pPr>
        <w:numPr>
          <w:ilvl w:val="0"/>
          <w:numId w:val="4"/>
        </w:numPr>
        <w:jc w:val="both"/>
        <w:rPr>
          <w:b/>
          <w:u w:val="single"/>
          <w:lang w:val="en-GB"/>
        </w:rPr>
      </w:pPr>
      <w:proofErr w:type="spellStart"/>
      <w:r w:rsidRPr="00777DC6">
        <w:rPr>
          <w:lang w:val="en-GB"/>
        </w:rPr>
        <w:t>Meenan</w:t>
      </w:r>
      <w:proofErr w:type="spellEnd"/>
      <w:r w:rsidRPr="00777DC6">
        <w:rPr>
          <w:lang w:val="en-GB"/>
        </w:rPr>
        <w:t xml:space="preserve"> H., </w:t>
      </w:r>
      <w:r w:rsidRPr="00777DC6">
        <w:rPr>
          <w:i/>
          <w:lang w:val="en-GB"/>
        </w:rPr>
        <w:t>Equality Law in an Enlarged European Union</w:t>
      </w:r>
      <w:r w:rsidRPr="00777DC6">
        <w:rPr>
          <w:lang w:val="en-GB"/>
        </w:rPr>
        <w:t>, Cambridge, Cambridge University Press, 2007, 376 p.</w:t>
      </w:r>
    </w:p>
    <w:p w:rsidR="00777DC6" w:rsidRPr="00777DC6" w:rsidRDefault="00777DC6" w:rsidP="00777DC6">
      <w:pPr>
        <w:numPr>
          <w:ilvl w:val="0"/>
          <w:numId w:val="4"/>
        </w:numPr>
        <w:jc w:val="both"/>
        <w:rPr>
          <w:lang w:val="en-US"/>
        </w:rPr>
      </w:pPr>
      <w:proofErr w:type="spellStart"/>
      <w:r w:rsidRPr="00777DC6">
        <w:rPr>
          <w:lang w:val="en-US"/>
        </w:rPr>
        <w:t>Meron</w:t>
      </w:r>
      <w:proofErr w:type="spellEnd"/>
      <w:r w:rsidRPr="00777DC6">
        <w:rPr>
          <w:lang w:val="en-US"/>
        </w:rPr>
        <w:t xml:space="preserve"> T., </w:t>
      </w:r>
      <w:r w:rsidRPr="00777DC6">
        <w:rPr>
          <w:i/>
          <w:lang w:val="en-US"/>
        </w:rPr>
        <w:t>Human Rights Law-Making in the United Nations</w:t>
      </w:r>
      <w:r w:rsidRPr="00777DC6">
        <w:rPr>
          <w:lang w:val="en-US"/>
        </w:rPr>
        <w:t xml:space="preserve">, Oxford, Clarendon Press, 1986, 351 p. </w:t>
      </w:r>
    </w:p>
    <w:p w:rsidR="00777DC6" w:rsidRPr="00777DC6" w:rsidRDefault="00777DC6" w:rsidP="00777DC6">
      <w:pPr>
        <w:numPr>
          <w:ilvl w:val="0"/>
          <w:numId w:val="4"/>
        </w:numPr>
        <w:jc w:val="both"/>
      </w:pPr>
      <w:r w:rsidRPr="00777DC6">
        <w:t xml:space="preserve">Michielsens M., </w:t>
      </w:r>
      <w:r w:rsidRPr="00777DC6">
        <w:rPr>
          <w:i/>
        </w:rPr>
        <w:t>Gelijkheid en Ongelijkheid in België 1830-2005</w:t>
      </w:r>
      <w:r w:rsidRPr="00777DC6">
        <w:t>, Brussel, de Raad van de Gelijke Kansen voor Mannen en Vrouwen, 2005, 191 p.</w:t>
      </w:r>
    </w:p>
    <w:p w:rsidR="00777DC6" w:rsidRPr="00777DC6" w:rsidRDefault="00777DC6" w:rsidP="00777DC6">
      <w:pPr>
        <w:numPr>
          <w:ilvl w:val="0"/>
          <w:numId w:val="4"/>
        </w:numPr>
        <w:jc w:val="both"/>
        <w:rPr>
          <w:b/>
          <w:lang w:val="en-GB"/>
        </w:rPr>
      </w:pPr>
      <w:proofErr w:type="spellStart"/>
      <w:r w:rsidRPr="00777DC6">
        <w:rPr>
          <w:lang w:val="en-GB"/>
        </w:rPr>
        <w:t>Mikkola</w:t>
      </w:r>
      <w:proofErr w:type="spellEnd"/>
      <w:r w:rsidRPr="00777DC6">
        <w:rPr>
          <w:lang w:val="en-GB"/>
        </w:rPr>
        <w:t xml:space="preserve"> M., </w:t>
      </w:r>
      <w:r w:rsidRPr="00777DC6">
        <w:rPr>
          <w:i/>
          <w:lang w:val="en-GB"/>
        </w:rPr>
        <w:t xml:space="preserve">Social Human Rights of Europe, </w:t>
      </w:r>
      <w:proofErr w:type="spellStart"/>
      <w:r w:rsidRPr="00777DC6">
        <w:rPr>
          <w:lang w:val="en-GB"/>
        </w:rPr>
        <w:t>Porvoo</w:t>
      </w:r>
      <w:proofErr w:type="spellEnd"/>
      <w:r w:rsidRPr="00777DC6">
        <w:rPr>
          <w:lang w:val="en-GB"/>
        </w:rPr>
        <w:t xml:space="preserve">, </w:t>
      </w:r>
      <w:proofErr w:type="spellStart"/>
      <w:r w:rsidRPr="00777DC6">
        <w:rPr>
          <w:lang w:val="en-GB"/>
        </w:rPr>
        <w:t>Karelactio</w:t>
      </w:r>
      <w:proofErr w:type="spellEnd"/>
      <w:r w:rsidRPr="00777DC6">
        <w:rPr>
          <w:lang w:val="en-GB"/>
        </w:rPr>
        <w:t xml:space="preserve">, 2010, 694 p. </w:t>
      </w:r>
    </w:p>
    <w:p w:rsidR="00777DC6" w:rsidRPr="00777DC6" w:rsidRDefault="00777DC6" w:rsidP="00777DC6">
      <w:pPr>
        <w:numPr>
          <w:ilvl w:val="0"/>
          <w:numId w:val="4"/>
        </w:numPr>
        <w:jc w:val="both"/>
        <w:rPr>
          <w:lang w:val="en-US"/>
        </w:rPr>
      </w:pPr>
      <w:proofErr w:type="spellStart"/>
      <w:r w:rsidRPr="00777DC6">
        <w:rPr>
          <w:lang w:val="en-US"/>
        </w:rPr>
        <w:t>Minguez</w:t>
      </w:r>
      <w:proofErr w:type="spellEnd"/>
      <w:r w:rsidRPr="00777DC6">
        <w:rPr>
          <w:lang w:val="en-US"/>
        </w:rPr>
        <w:t xml:space="preserve"> A. (ed.), </w:t>
      </w:r>
      <w:r w:rsidRPr="00777DC6">
        <w:rPr>
          <w:i/>
          <w:lang w:val="en-US"/>
        </w:rPr>
        <w:t>Family Well-Being: European Perspectives</w:t>
      </w:r>
      <w:r w:rsidRPr="00777DC6">
        <w:rPr>
          <w:lang w:val="en-US"/>
        </w:rPr>
        <w:t>, London – New York, Springer, 2013, 314 p.</w:t>
      </w:r>
    </w:p>
    <w:p w:rsidR="00777DC6" w:rsidRPr="00777DC6" w:rsidRDefault="00777DC6" w:rsidP="00777DC6">
      <w:pPr>
        <w:numPr>
          <w:ilvl w:val="0"/>
          <w:numId w:val="4"/>
        </w:numPr>
        <w:jc w:val="both"/>
        <w:rPr>
          <w:lang w:val="en-US"/>
        </w:rPr>
      </w:pPr>
      <w:proofErr w:type="spellStart"/>
      <w:r w:rsidRPr="00777DC6">
        <w:rPr>
          <w:lang w:val="en-US"/>
        </w:rPr>
        <w:t>Moeckli</w:t>
      </w:r>
      <w:proofErr w:type="spellEnd"/>
      <w:r w:rsidRPr="00777DC6">
        <w:rPr>
          <w:lang w:val="en-US"/>
        </w:rPr>
        <w:t xml:space="preserve"> D., Shah S. and </w:t>
      </w:r>
      <w:proofErr w:type="spellStart"/>
      <w:r w:rsidRPr="00777DC6">
        <w:rPr>
          <w:lang w:val="en-US"/>
        </w:rPr>
        <w:t>Sivakumaran</w:t>
      </w:r>
      <w:proofErr w:type="spellEnd"/>
      <w:r w:rsidRPr="00777DC6">
        <w:rPr>
          <w:lang w:val="en-US"/>
        </w:rPr>
        <w:t xml:space="preserve"> S. (eds.), </w:t>
      </w:r>
      <w:r w:rsidRPr="00777DC6">
        <w:rPr>
          <w:i/>
          <w:lang w:val="en-US"/>
        </w:rPr>
        <w:t>International Human Rights Law</w:t>
      </w:r>
      <w:r w:rsidRPr="00777DC6">
        <w:rPr>
          <w:lang w:val="en-US"/>
        </w:rPr>
        <w:t>, Oxford, Oxford University Press, 2010, 654 p.</w:t>
      </w:r>
    </w:p>
    <w:p w:rsidR="00777DC6" w:rsidRPr="00777DC6" w:rsidRDefault="00777DC6" w:rsidP="00777DC6">
      <w:pPr>
        <w:numPr>
          <w:ilvl w:val="0"/>
          <w:numId w:val="4"/>
        </w:numPr>
        <w:jc w:val="both"/>
        <w:rPr>
          <w:lang w:val="en-US"/>
        </w:rPr>
      </w:pPr>
      <w:proofErr w:type="spellStart"/>
      <w:r w:rsidRPr="00777DC6">
        <w:rPr>
          <w:lang w:val="en-US"/>
        </w:rPr>
        <w:lastRenderedPageBreak/>
        <w:t>Moens</w:t>
      </w:r>
      <w:proofErr w:type="spellEnd"/>
      <w:r w:rsidRPr="00777DC6">
        <w:rPr>
          <w:lang w:val="en-US"/>
        </w:rPr>
        <w:t xml:space="preserve"> G. and </w:t>
      </w:r>
      <w:proofErr w:type="spellStart"/>
      <w:r w:rsidRPr="00777DC6">
        <w:rPr>
          <w:lang w:val="en-US"/>
        </w:rPr>
        <w:t>Trone</w:t>
      </w:r>
      <w:proofErr w:type="spellEnd"/>
      <w:r w:rsidRPr="00777DC6">
        <w:rPr>
          <w:lang w:val="en-US"/>
        </w:rPr>
        <w:t xml:space="preserve"> J., </w:t>
      </w:r>
      <w:r w:rsidRPr="00777DC6">
        <w:rPr>
          <w:i/>
          <w:lang w:val="en-US"/>
        </w:rPr>
        <w:t>Commercial Law of the European Union</w:t>
      </w:r>
      <w:r w:rsidRPr="00777DC6">
        <w:rPr>
          <w:lang w:val="en-US"/>
        </w:rPr>
        <w:t>, London – New York, Springer, 2010, 486 p.</w:t>
      </w:r>
    </w:p>
    <w:p w:rsidR="00777DC6" w:rsidRPr="00777DC6" w:rsidRDefault="00777DC6" w:rsidP="00777DC6">
      <w:pPr>
        <w:numPr>
          <w:ilvl w:val="0"/>
          <w:numId w:val="4"/>
        </w:numPr>
        <w:jc w:val="both"/>
        <w:rPr>
          <w:lang w:val="en-GB"/>
        </w:rPr>
      </w:pPr>
      <w:r w:rsidRPr="00777DC6">
        <w:rPr>
          <w:lang w:val="en-GB"/>
        </w:rPr>
        <w:t xml:space="preserve">Monaghan K., </w:t>
      </w:r>
      <w:r w:rsidRPr="00777DC6">
        <w:rPr>
          <w:i/>
          <w:lang w:val="en-GB"/>
        </w:rPr>
        <w:t>Equality Law</w:t>
      </w:r>
      <w:r w:rsidRPr="00777DC6">
        <w:rPr>
          <w:lang w:val="en-GB"/>
        </w:rPr>
        <w:t xml:space="preserve">, Oxford, Oxford University Press, 2007, 697 p. </w:t>
      </w:r>
    </w:p>
    <w:p w:rsidR="00777DC6" w:rsidRPr="00777DC6" w:rsidRDefault="00777DC6" w:rsidP="00777DC6">
      <w:pPr>
        <w:numPr>
          <w:ilvl w:val="0"/>
          <w:numId w:val="4"/>
        </w:numPr>
        <w:jc w:val="both"/>
        <w:rPr>
          <w:u w:val="single"/>
        </w:rPr>
      </w:pPr>
      <w:r w:rsidRPr="00777DC6">
        <w:t xml:space="preserve">Monster W., </w:t>
      </w:r>
      <w:r w:rsidRPr="00777DC6">
        <w:rPr>
          <w:i/>
        </w:rPr>
        <w:t>Bescherming van het moederschap</w:t>
      </w:r>
      <w:r w:rsidRPr="00777DC6">
        <w:t xml:space="preserve">, Nijmegen, Ars </w:t>
      </w:r>
      <w:proofErr w:type="spellStart"/>
      <w:r w:rsidRPr="00777DC6">
        <w:t>Aequi</w:t>
      </w:r>
      <w:proofErr w:type="spellEnd"/>
      <w:r w:rsidRPr="00777DC6">
        <w:t xml:space="preserve"> </w:t>
      </w:r>
      <w:proofErr w:type="spellStart"/>
      <w:r w:rsidRPr="00777DC6">
        <w:t>Libri</w:t>
      </w:r>
      <w:proofErr w:type="spellEnd"/>
      <w:r w:rsidRPr="00777DC6">
        <w:t>, 1995, 386 p.</w:t>
      </w:r>
    </w:p>
    <w:p w:rsidR="00777DC6" w:rsidRPr="00777DC6" w:rsidRDefault="00777DC6" w:rsidP="00777DC6">
      <w:pPr>
        <w:numPr>
          <w:ilvl w:val="0"/>
          <w:numId w:val="4"/>
        </w:numPr>
        <w:jc w:val="both"/>
        <w:rPr>
          <w:lang w:val="en-GB"/>
        </w:rPr>
      </w:pPr>
      <w:r w:rsidRPr="00777DC6">
        <w:rPr>
          <w:lang w:val="en-GB"/>
        </w:rPr>
        <w:t xml:space="preserve">Morris A. and O’Donnell T. (eds.), </w:t>
      </w:r>
      <w:r w:rsidRPr="00777DC6">
        <w:rPr>
          <w:i/>
          <w:lang w:val="en-GB"/>
        </w:rPr>
        <w:t>Feminist Perspectives on Employment Law</w:t>
      </w:r>
      <w:r w:rsidRPr="00777DC6">
        <w:rPr>
          <w:lang w:val="en-GB"/>
        </w:rPr>
        <w:t xml:space="preserve">, London, Cavendish Publishing Limited, 1999, 254 p. </w:t>
      </w:r>
    </w:p>
    <w:p w:rsidR="00777DC6" w:rsidRPr="00777DC6" w:rsidRDefault="00777DC6" w:rsidP="00777DC6">
      <w:pPr>
        <w:numPr>
          <w:ilvl w:val="0"/>
          <w:numId w:val="4"/>
        </w:numPr>
        <w:jc w:val="both"/>
        <w:rPr>
          <w:lang w:val="en-GB"/>
        </w:rPr>
      </w:pPr>
      <w:r w:rsidRPr="00777DC6">
        <w:rPr>
          <w:lang w:val="en-GB"/>
        </w:rPr>
        <w:t xml:space="preserve">Moss P. and </w:t>
      </w:r>
      <w:proofErr w:type="spellStart"/>
      <w:r w:rsidRPr="00777DC6">
        <w:rPr>
          <w:lang w:val="en-GB"/>
        </w:rPr>
        <w:t>Deven</w:t>
      </w:r>
      <w:proofErr w:type="spellEnd"/>
      <w:r w:rsidRPr="00777DC6">
        <w:rPr>
          <w:lang w:val="en-GB"/>
        </w:rPr>
        <w:t xml:space="preserve"> F. (eds.), </w:t>
      </w:r>
      <w:r w:rsidRPr="00777DC6">
        <w:rPr>
          <w:i/>
          <w:lang w:val="en-GB"/>
        </w:rPr>
        <w:t>Parental Leave: Progress or Pitfall?,</w:t>
      </w:r>
      <w:r w:rsidRPr="00777DC6">
        <w:rPr>
          <w:lang w:val="en-GB"/>
        </w:rPr>
        <w:t xml:space="preserve"> Brussels, NIDI CBGS Publications, 1999, 364 p. </w:t>
      </w:r>
      <w:r w:rsidRPr="00777DC6">
        <w:rPr>
          <w:i/>
          <w:lang w:val="en-GB"/>
        </w:rPr>
        <w:t xml:space="preserve">  </w:t>
      </w:r>
      <w:r w:rsidRPr="00777DC6">
        <w:rPr>
          <w:lang w:val="en-GB"/>
        </w:rPr>
        <w:t xml:space="preserve"> </w:t>
      </w:r>
    </w:p>
    <w:p w:rsidR="00777DC6" w:rsidRPr="00777DC6" w:rsidRDefault="00777DC6" w:rsidP="00777DC6">
      <w:pPr>
        <w:numPr>
          <w:ilvl w:val="0"/>
          <w:numId w:val="4"/>
        </w:numPr>
        <w:jc w:val="both"/>
        <w:rPr>
          <w:b/>
          <w:lang w:val="en-US"/>
        </w:rPr>
      </w:pPr>
      <w:r w:rsidRPr="00777DC6">
        <w:rPr>
          <w:lang w:val="en-US"/>
        </w:rPr>
        <w:t xml:space="preserve">National Research Council, </w:t>
      </w:r>
      <w:r w:rsidRPr="00777DC6">
        <w:rPr>
          <w:i/>
          <w:lang w:val="en-US"/>
        </w:rPr>
        <w:t xml:space="preserve">Monitoring International </w:t>
      </w:r>
      <w:proofErr w:type="spellStart"/>
      <w:r w:rsidRPr="00777DC6">
        <w:rPr>
          <w:i/>
          <w:lang w:val="en-US"/>
        </w:rPr>
        <w:t>Labour</w:t>
      </w:r>
      <w:proofErr w:type="spellEnd"/>
      <w:r w:rsidRPr="00777DC6">
        <w:rPr>
          <w:i/>
          <w:lang w:val="en-US"/>
        </w:rPr>
        <w:t xml:space="preserve"> Standards: Techniques and Sources of Information</w:t>
      </w:r>
      <w:r w:rsidRPr="00777DC6">
        <w:rPr>
          <w:lang w:val="en-US"/>
        </w:rPr>
        <w:t xml:space="preserve">, Washington DC, National Academic Press, 2004, 295 p. </w:t>
      </w:r>
    </w:p>
    <w:p w:rsidR="00777DC6" w:rsidRPr="00777DC6" w:rsidRDefault="00777DC6" w:rsidP="00777DC6">
      <w:pPr>
        <w:numPr>
          <w:ilvl w:val="0"/>
          <w:numId w:val="4"/>
        </w:numPr>
        <w:jc w:val="both"/>
        <w:rPr>
          <w:b/>
          <w:lang w:val="en-US"/>
        </w:rPr>
      </w:pPr>
      <w:r w:rsidRPr="00777DC6">
        <w:rPr>
          <w:lang w:val="en-US"/>
        </w:rPr>
        <w:t xml:space="preserve">Nowak M., </w:t>
      </w:r>
      <w:r w:rsidRPr="00777DC6">
        <w:rPr>
          <w:i/>
          <w:lang w:val="en-US"/>
        </w:rPr>
        <w:t>Introduction to the International Human Rights Regime</w:t>
      </w:r>
      <w:r w:rsidRPr="00777DC6">
        <w:rPr>
          <w:lang w:val="en-US"/>
        </w:rPr>
        <w:t xml:space="preserve">, Leiden, </w:t>
      </w:r>
      <w:proofErr w:type="spellStart"/>
      <w:r w:rsidRPr="00777DC6">
        <w:rPr>
          <w:lang w:val="en-US"/>
        </w:rPr>
        <w:t>Martinus</w:t>
      </w:r>
      <w:proofErr w:type="spellEnd"/>
      <w:r w:rsidRPr="00777DC6">
        <w:rPr>
          <w:lang w:val="en-US"/>
        </w:rPr>
        <w:t xml:space="preserve"> </w:t>
      </w:r>
      <w:proofErr w:type="spellStart"/>
      <w:r w:rsidRPr="00777DC6">
        <w:rPr>
          <w:lang w:val="en-US"/>
        </w:rPr>
        <w:t>Nijhoff</w:t>
      </w:r>
      <w:proofErr w:type="spellEnd"/>
      <w:r w:rsidRPr="00777DC6">
        <w:rPr>
          <w:lang w:val="en-US"/>
        </w:rPr>
        <w:t xml:space="preserve"> Publishers, 2003, 365 p. </w:t>
      </w:r>
    </w:p>
    <w:p w:rsidR="00777DC6" w:rsidRPr="00777DC6" w:rsidRDefault="00777DC6" w:rsidP="00777DC6">
      <w:pPr>
        <w:numPr>
          <w:ilvl w:val="0"/>
          <w:numId w:val="4"/>
        </w:numPr>
        <w:jc w:val="both"/>
        <w:rPr>
          <w:b/>
          <w:lang w:val="en-GB"/>
        </w:rPr>
      </w:pPr>
      <w:proofErr w:type="spellStart"/>
      <w:r w:rsidRPr="00777DC6">
        <w:rPr>
          <w:lang w:val="en-GB"/>
        </w:rPr>
        <w:t>Padavic</w:t>
      </w:r>
      <w:proofErr w:type="spellEnd"/>
      <w:r w:rsidRPr="00777DC6">
        <w:rPr>
          <w:lang w:val="en-GB"/>
        </w:rPr>
        <w:t xml:space="preserve"> I. and </w:t>
      </w:r>
      <w:proofErr w:type="spellStart"/>
      <w:r w:rsidRPr="00777DC6">
        <w:rPr>
          <w:lang w:val="en-GB"/>
        </w:rPr>
        <w:t>Reskin</w:t>
      </w:r>
      <w:proofErr w:type="spellEnd"/>
      <w:r w:rsidRPr="00777DC6">
        <w:rPr>
          <w:lang w:val="en-GB"/>
        </w:rPr>
        <w:t xml:space="preserve"> B., </w:t>
      </w:r>
      <w:r w:rsidRPr="00777DC6">
        <w:rPr>
          <w:i/>
          <w:lang w:val="en-GB"/>
        </w:rPr>
        <w:t xml:space="preserve">Women and Men at Work, </w:t>
      </w:r>
      <w:r w:rsidRPr="00777DC6">
        <w:rPr>
          <w:lang w:val="en-GB"/>
        </w:rPr>
        <w:t xml:space="preserve">London, Sage Publications Ltd, 2002, 217 p. </w:t>
      </w:r>
    </w:p>
    <w:p w:rsidR="00777DC6" w:rsidRPr="00777DC6" w:rsidRDefault="00777DC6" w:rsidP="00777DC6">
      <w:pPr>
        <w:numPr>
          <w:ilvl w:val="0"/>
          <w:numId w:val="4"/>
        </w:numPr>
        <w:jc w:val="both"/>
        <w:rPr>
          <w:lang w:val="en-US"/>
        </w:rPr>
      </w:pPr>
      <w:r w:rsidRPr="00777DC6">
        <w:rPr>
          <w:lang w:val="en-US"/>
        </w:rPr>
        <w:t xml:space="preserve">Peters A., </w:t>
      </w:r>
      <w:r w:rsidRPr="00777DC6">
        <w:rPr>
          <w:i/>
          <w:lang w:val="en-US"/>
        </w:rPr>
        <w:t>Women, Quotas and Constitutions</w:t>
      </w:r>
      <w:r w:rsidRPr="00777DC6">
        <w:rPr>
          <w:lang w:val="en-US"/>
        </w:rPr>
        <w:t xml:space="preserve">, The Hague, Kluwer Law International, 1999, 400 p. </w:t>
      </w:r>
    </w:p>
    <w:p w:rsidR="00777DC6" w:rsidRPr="00777DC6" w:rsidRDefault="00777DC6" w:rsidP="00777DC6">
      <w:pPr>
        <w:numPr>
          <w:ilvl w:val="0"/>
          <w:numId w:val="4"/>
        </w:numPr>
        <w:jc w:val="both"/>
        <w:rPr>
          <w:b/>
          <w:u w:val="single"/>
          <w:lang w:val="en-US"/>
        </w:rPr>
      </w:pPr>
      <w:proofErr w:type="spellStart"/>
      <w:r w:rsidRPr="00777DC6">
        <w:rPr>
          <w:lang w:val="en-US"/>
        </w:rPr>
        <w:t>Pieters</w:t>
      </w:r>
      <w:proofErr w:type="spellEnd"/>
      <w:r w:rsidRPr="00777DC6">
        <w:rPr>
          <w:lang w:val="en-US"/>
        </w:rPr>
        <w:t xml:space="preserve"> D. (ed.), </w:t>
      </w:r>
      <w:r w:rsidRPr="00777DC6">
        <w:rPr>
          <w:i/>
          <w:lang w:val="en-US"/>
        </w:rPr>
        <w:t>European and International Social Security Law</w:t>
      </w:r>
      <w:r w:rsidRPr="00777DC6">
        <w:rPr>
          <w:lang w:val="en-US"/>
        </w:rPr>
        <w:t>, Leuven, University of Leuven, 2012, 293</w:t>
      </w:r>
      <w:r w:rsidR="009D390B">
        <w:rPr>
          <w:lang w:val="en-US"/>
        </w:rPr>
        <w:t xml:space="preserve"> p</w:t>
      </w:r>
      <w:r w:rsidRPr="00777DC6">
        <w:rPr>
          <w:lang w:val="en-US"/>
        </w:rPr>
        <w:t xml:space="preserve">. </w:t>
      </w:r>
    </w:p>
    <w:p w:rsidR="00777DC6" w:rsidRPr="00777DC6" w:rsidRDefault="00777DC6" w:rsidP="00777DC6">
      <w:pPr>
        <w:numPr>
          <w:ilvl w:val="0"/>
          <w:numId w:val="4"/>
        </w:numPr>
        <w:jc w:val="both"/>
        <w:rPr>
          <w:b/>
          <w:u w:val="single"/>
          <w:lang w:val="en-US"/>
        </w:rPr>
      </w:pPr>
      <w:r w:rsidRPr="00777DC6">
        <w:rPr>
          <w:lang w:val="en-US"/>
        </w:rPr>
        <w:t xml:space="preserve">Pitt G., </w:t>
      </w:r>
      <w:r w:rsidRPr="00777DC6">
        <w:rPr>
          <w:i/>
          <w:lang w:val="en-US"/>
        </w:rPr>
        <w:t>Employment Law</w:t>
      </w:r>
      <w:r w:rsidRPr="00777DC6">
        <w:rPr>
          <w:lang w:val="en-US"/>
        </w:rPr>
        <w:t xml:space="preserve">, London, Sweet &amp; Maxwell, 2011, 503 p. </w:t>
      </w:r>
    </w:p>
    <w:p w:rsidR="00777DC6" w:rsidRPr="00777DC6" w:rsidRDefault="00777DC6" w:rsidP="00777DC6">
      <w:pPr>
        <w:numPr>
          <w:ilvl w:val="0"/>
          <w:numId w:val="4"/>
        </w:numPr>
        <w:jc w:val="both"/>
        <w:rPr>
          <w:b/>
          <w:u w:val="single"/>
          <w:lang w:val="en-US"/>
        </w:rPr>
      </w:pPr>
      <w:proofErr w:type="spellStart"/>
      <w:r w:rsidRPr="00777DC6">
        <w:rPr>
          <w:lang w:val="en-US"/>
        </w:rPr>
        <w:t>Rabe</w:t>
      </w:r>
      <w:proofErr w:type="spellEnd"/>
      <w:r w:rsidRPr="00777DC6">
        <w:rPr>
          <w:lang w:val="en-US"/>
        </w:rPr>
        <w:t xml:space="preserve"> J., </w:t>
      </w:r>
      <w:r w:rsidRPr="00777DC6">
        <w:rPr>
          <w:i/>
          <w:lang w:val="en-US"/>
        </w:rPr>
        <w:t>Equality, Affirmative Action and Justice</w:t>
      </w:r>
      <w:r w:rsidRPr="00777DC6">
        <w:rPr>
          <w:lang w:val="en-US"/>
        </w:rPr>
        <w:t xml:space="preserve">, Norderstedt, Books on Demand, 2001, 426 p. </w:t>
      </w:r>
    </w:p>
    <w:p w:rsidR="00777DC6" w:rsidRPr="00777DC6" w:rsidRDefault="00777DC6" w:rsidP="00777DC6">
      <w:pPr>
        <w:numPr>
          <w:ilvl w:val="0"/>
          <w:numId w:val="4"/>
        </w:numPr>
        <w:jc w:val="both"/>
        <w:rPr>
          <w:b/>
          <w:u w:val="single"/>
          <w:lang w:val="en-US"/>
        </w:rPr>
      </w:pPr>
      <w:proofErr w:type="spellStart"/>
      <w:r w:rsidRPr="00777DC6">
        <w:rPr>
          <w:lang w:val="en-US"/>
        </w:rPr>
        <w:t>Rehman</w:t>
      </w:r>
      <w:proofErr w:type="spellEnd"/>
      <w:r w:rsidRPr="00777DC6">
        <w:rPr>
          <w:lang w:val="en-US"/>
        </w:rPr>
        <w:t xml:space="preserve"> J., </w:t>
      </w:r>
      <w:r w:rsidRPr="00777DC6">
        <w:rPr>
          <w:i/>
          <w:lang w:val="en-US"/>
        </w:rPr>
        <w:t>International Human Rights Law: A Practical Approach</w:t>
      </w:r>
      <w:r w:rsidRPr="00777DC6">
        <w:rPr>
          <w:lang w:val="en-US"/>
        </w:rPr>
        <w:t xml:space="preserve">, Essex, Pearson Education Limited, 2003, 494 p. </w:t>
      </w:r>
    </w:p>
    <w:p w:rsidR="00777DC6" w:rsidRPr="00777DC6" w:rsidRDefault="00777DC6" w:rsidP="00777DC6">
      <w:pPr>
        <w:numPr>
          <w:ilvl w:val="0"/>
          <w:numId w:val="4"/>
        </w:numPr>
        <w:jc w:val="both"/>
        <w:rPr>
          <w:b/>
          <w:u w:val="single"/>
          <w:lang w:val="en-US"/>
        </w:rPr>
      </w:pPr>
      <w:proofErr w:type="spellStart"/>
      <w:r w:rsidRPr="00777DC6">
        <w:rPr>
          <w:lang w:val="en-US"/>
        </w:rPr>
        <w:t>Rehof</w:t>
      </w:r>
      <w:proofErr w:type="spellEnd"/>
      <w:r w:rsidRPr="00777DC6">
        <w:rPr>
          <w:lang w:val="en-US"/>
        </w:rPr>
        <w:t xml:space="preserve"> L., </w:t>
      </w:r>
      <w:r w:rsidRPr="00777DC6">
        <w:rPr>
          <w:i/>
          <w:lang w:val="en-US"/>
        </w:rPr>
        <w:t xml:space="preserve">Guide to the </w:t>
      </w:r>
      <w:proofErr w:type="spellStart"/>
      <w:r w:rsidRPr="00777DC6">
        <w:rPr>
          <w:i/>
          <w:lang w:val="en-US"/>
        </w:rPr>
        <w:t>Travaux</w:t>
      </w:r>
      <w:proofErr w:type="spellEnd"/>
      <w:r w:rsidRPr="00777DC6">
        <w:rPr>
          <w:i/>
          <w:lang w:val="en-US"/>
        </w:rPr>
        <w:t xml:space="preserve"> </w:t>
      </w:r>
      <w:proofErr w:type="spellStart"/>
      <w:r w:rsidRPr="00777DC6">
        <w:rPr>
          <w:i/>
          <w:lang w:val="en-US"/>
        </w:rPr>
        <w:t>Préparatoires</w:t>
      </w:r>
      <w:proofErr w:type="spellEnd"/>
      <w:r w:rsidRPr="00777DC6">
        <w:rPr>
          <w:i/>
          <w:lang w:val="en-US"/>
        </w:rPr>
        <w:t xml:space="preserve"> of the United Nations Convention on the Elimination of All Forms of Discrimination against Women</w:t>
      </w:r>
      <w:r w:rsidRPr="00777DC6">
        <w:rPr>
          <w:lang w:val="en-US"/>
        </w:rPr>
        <w:t xml:space="preserve">, London, </w:t>
      </w:r>
      <w:proofErr w:type="spellStart"/>
      <w:r w:rsidRPr="00777DC6">
        <w:rPr>
          <w:lang w:val="en-US"/>
        </w:rPr>
        <w:t>Martinus</w:t>
      </w:r>
      <w:proofErr w:type="spellEnd"/>
      <w:r w:rsidRPr="00777DC6">
        <w:rPr>
          <w:lang w:val="en-US"/>
        </w:rPr>
        <w:t xml:space="preserve"> </w:t>
      </w:r>
      <w:proofErr w:type="spellStart"/>
      <w:r w:rsidRPr="00777DC6">
        <w:rPr>
          <w:lang w:val="en-US"/>
        </w:rPr>
        <w:t>Nijhoff</w:t>
      </w:r>
      <w:proofErr w:type="spellEnd"/>
      <w:r w:rsidRPr="00777DC6">
        <w:rPr>
          <w:lang w:val="en-US"/>
        </w:rPr>
        <w:t xml:space="preserve"> Publishers, 1993, 385 p.  </w:t>
      </w:r>
    </w:p>
    <w:p w:rsidR="00777DC6" w:rsidRPr="00777DC6" w:rsidRDefault="00777DC6" w:rsidP="00777DC6">
      <w:pPr>
        <w:numPr>
          <w:ilvl w:val="0"/>
          <w:numId w:val="4"/>
        </w:numPr>
        <w:jc w:val="both"/>
        <w:rPr>
          <w:b/>
          <w:u w:val="single"/>
          <w:lang w:val="en-US"/>
        </w:rPr>
      </w:pPr>
      <w:r w:rsidRPr="00777DC6">
        <w:rPr>
          <w:lang w:val="en-US"/>
        </w:rPr>
        <w:t xml:space="preserve">Roberts I. and Springer B., </w:t>
      </w:r>
      <w:r w:rsidRPr="00777DC6">
        <w:rPr>
          <w:i/>
          <w:lang w:val="en-US"/>
        </w:rPr>
        <w:t>Social Policy in the European Union</w:t>
      </w:r>
      <w:r w:rsidRPr="00777DC6">
        <w:rPr>
          <w:lang w:val="en-US"/>
        </w:rPr>
        <w:t xml:space="preserve">, Boulder, Lynne </w:t>
      </w:r>
      <w:proofErr w:type="spellStart"/>
      <w:r w:rsidRPr="00777DC6">
        <w:rPr>
          <w:lang w:val="en-US"/>
        </w:rPr>
        <w:t>Rienner</w:t>
      </w:r>
      <w:proofErr w:type="spellEnd"/>
      <w:r w:rsidRPr="00777DC6">
        <w:rPr>
          <w:lang w:val="en-US"/>
        </w:rPr>
        <w:t xml:space="preserve"> Publishers, 2001, 179 p. </w:t>
      </w:r>
    </w:p>
    <w:p w:rsidR="00777DC6" w:rsidRPr="00777DC6" w:rsidRDefault="00777DC6" w:rsidP="00777DC6">
      <w:pPr>
        <w:numPr>
          <w:ilvl w:val="0"/>
          <w:numId w:val="4"/>
        </w:numPr>
        <w:jc w:val="both"/>
        <w:rPr>
          <w:lang w:val="en-GB"/>
        </w:rPr>
      </w:pPr>
      <w:proofErr w:type="spellStart"/>
      <w:r w:rsidRPr="00777DC6">
        <w:rPr>
          <w:lang w:val="en-GB"/>
        </w:rPr>
        <w:t>Schiavone</w:t>
      </w:r>
      <w:proofErr w:type="spellEnd"/>
      <w:r w:rsidRPr="00777DC6">
        <w:rPr>
          <w:lang w:val="en-GB"/>
        </w:rPr>
        <w:t xml:space="preserve"> G., </w:t>
      </w:r>
      <w:r w:rsidRPr="00777DC6">
        <w:rPr>
          <w:i/>
          <w:lang w:val="en-GB"/>
        </w:rPr>
        <w:t>International Organizations: A dictionary and directory</w:t>
      </w:r>
      <w:r w:rsidRPr="00777DC6">
        <w:rPr>
          <w:lang w:val="en-GB"/>
        </w:rPr>
        <w:t xml:space="preserve">, Hampshire, Palgrave Macmillan, 2008, 411 p. </w:t>
      </w:r>
    </w:p>
    <w:p w:rsidR="00777DC6" w:rsidRPr="00777DC6" w:rsidRDefault="00777DC6" w:rsidP="00777DC6">
      <w:pPr>
        <w:numPr>
          <w:ilvl w:val="0"/>
          <w:numId w:val="4"/>
        </w:numPr>
        <w:jc w:val="both"/>
        <w:rPr>
          <w:lang w:val="en-GB"/>
        </w:rPr>
      </w:pPr>
      <w:proofErr w:type="spellStart"/>
      <w:r w:rsidRPr="00777DC6">
        <w:rPr>
          <w:lang w:val="en-GB"/>
        </w:rPr>
        <w:t>Schiek</w:t>
      </w:r>
      <w:proofErr w:type="spellEnd"/>
      <w:r w:rsidRPr="00777DC6">
        <w:rPr>
          <w:lang w:val="en-GB"/>
        </w:rPr>
        <w:t xml:space="preserve"> D. and </w:t>
      </w:r>
      <w:proofErr w:type="spellStart"/>
      <w:r w:rsidRPr="00777DC6">
        <w:rPr>
          <w:lang w:val="en-GB"/>
        </w:rPr>
        <w:t>Chege</w:t>
      </w:r>
      <w:proofErr w:type="spellEnd"/>
      <w:r w:rsidRPr="00777DC6">
        <w:rPr>
          <w:lang w:val="en-GB"/>
        </w:rPr>
        <w:t xml:space="preserve"> V., </w:t>
      </w:r>
      <w:r w:rsidRPr="00777DC6">
        <w:rPr>
          <w:i/>
          <w:lang w:val="en-GB"/>
        </w:rPr>
        <w:t>European Union Non-Discrimination Law</w:t>
      </w:r>
      <w:r w:rsidRPr="00777DC6">
        <w:rPr>
          <w:lang w:val="en-GB"/>
        </w:rPr>
        <w:t xml:space="preserve">, London and New York, Routledge, 2009, 416 p. </w:t>
      </w:r>
    </w:p>
    <w:p w:rsidR="00777DC6" w:rsidRPr="00777DC6" w:rsidRDefault="00777DC6" w:rsidP="00777DC6">
      <w:pPr>
        <w:numPr>
          <w:ilvl w:val="0"/>
          <w:numId w:val="4"/>
        </w:numPr>
        <w:jc w:val="both"/>
        <w:rPr>
          <w:b/>
          <w:u w:val="single"/>
          <w:lang w:val="en-US"/>
        </w:rPr>
      </w:pPr>
      <w:proofErr w:type="spellStart"/>
      <w:r w:rsidRPr="00777DC6">
        <w:rPr>
          <w:lang w:val="en-US"/>
        </w:rPr>
        <w:lastRenderedPageBreak/>
        <w:t>Schiek</w:t>
      </w:r>
      <w:proofErr w:type="spellEnd"/>
      <w:r w:rsidRPr="00777DC6">
        <w:rPr>
          <w:lang w:val="en-US"/>
        </w:rPr>
        <w:t xml:space="preserve"> D., Waddington L. and Bell M. (eds.), </w:t>
      </w:r>
      <w:r w:rsidRPr="00777DC6">
        <w:rPr>
          <w:i/>
          <w:lang w:val="en-US"/>
        </w:rPr>
        <w:t>Non-Discrimination Law</w:t>
      </w:r>
      <w:r w:rsidRPr="00777DC6">
        <w:rPr>
          <w:lang w:val="en-US"/>
        </w:rPr>
        <w:t xml:space="preserve">, Oxford and Portland, Hart Publishing, 2007, 998 p. </w:t>
      </w:r>
    </w:p>
    <w:p w:rsidR="00777DC6" w:rsidRPr="00777DC6" w:rsidRDefault="00777DC6" w:rsidP="00777DC6">
      <w:pPr>
        <w:numPr>
          <w:ilvl w:val="0"/>
          <w:numId w:val="4"/>
        </w:numPr>
        <w:jc w:val="both"/>
        <w:rPr>
          <w:lang w:val="en-GB"/>
        </w:rPr>
      </w:pPr>
      <w:proofErr w:type="spellStart"/>
      <w:r w:rsidRPr="00777DC6">
        <w:rPr>
          <w:lang w:val="en-GB"/>
        </w:rPr>
        <w:t>Schopp</w:t>
      </w:r>
      <w:proofErr w:type="spellEnd"/>
      <w:r w:rsidRPr="00777DC6">
        <w:rPr>
          <w:lang w:val="en-GB"/>
        </w:rPr>
        <w:t xml:space="preserve">-Schilling H. and </w:t>
      </w:r>
      <w:proofErr w:type="spellStart"/>
      <w:r w:rsidRPr="00777DC6">
        <w:rPr>
          <w:lang w:val="en-GB"/>
        </w:rPr>
        <w:t>Flinterman</w:t>
      </w:r>
      <w:proofErr w:type="spellEnd"/>
      <w:r w:rsidRPr="00777DC6">
        <w:rPr>
          <w:lang w:val="en-GB"/>
        </w:rPr>
        <w:t xml:space="preserve"> C. (eds.), </w:t>
      </w:r>
      <w:r w:rsidRPr="00777DC6">
        <w:rPr>
          <w:i/>
          <w:lang w:val="en-GB"/>
        </w:rPr>
        <w:t>The Circle of Empowerment: Twenty-Five Years of the UN Committee on the Elimination of Discrimination Against Women</w:t>
      </w:r>
      <w:r w:rsidRPr="00777DC6">
        <w:rPr>
          <w:lang w:val="en-GB"/>
        </w:rPr>
        <w:t xml:space="preserve">, New York, The Feminist Press at CUNY, 2007, 392 p. </w:t>
      </w:r>
    </w:p>
    <w:p w:rsidR="00777DC6" w:rsidRPr="00777DC6" w:rsidRDefault="00777DC6" w:rsidP="00777DC6">
      <w:pPr>
        <w:numPr>
          <w:ilvl w:val="0"/>
          <w:numId w:val="4"/>
        </w:numPr>
        <w:jc w:val="both"/>
        <w:rPr>
          <w:lang w:val="en-US"/>
        </w:rPr>
      </w:pPr>
      <w:proofErr w:type="spellStart"/>
      <w:r w:rsidRPr="00777DC6">
        <w:rPr>
          <w:lang w:val="en-US"/>
        </w:rPr>
        <w:t>Senden</w:t>
      </w:r>
      <w:proofErr w:type="spellEnd"/>
      <w:r w:rsidRPr="00777DC6">
        <w:rPr>
          <w:lang w:val="en-US"/>
        </w:rPr>
        <w:t xml:space="preserve"> H., </w:t>
      </w:r>
      <w:r w:rsidRPr="00777DC6">
        <w:rPr>
          <w:i/>
          <w:lang w:val="en-US"/>
        </w:rPr>
        <w:t>Interpretation of Fundamental Rights in a Multilevel Legal System</w:t>
      </w:r>
      <w:r w:rsidRPr="00777DC6">
        <w:rPr>
          <w:lang w:val="en-US"/>
        </w:rPr>
        <w:t xml:space="preserve">, Antwerp-Portland, </w:t>
      </w:r>
      <w:proofErr w:type="spellStart"/>
      <w:r w:rsidRPr="00777DC6">
        <w:rPr>
          <w:lang w:val="en-US"/>
        </w:rPr>
        <w:t>Intersentia</w:t>
      </w:r>
      <w:proofErr w:type="spellEnd"/>
      <w:r w:rsidRPr="00777DC6">
        <w:rPr>
          <w:lang w:val="en-US"/>
        </w:rPr>
        <w:t xml:space="preserve">, 2011, 455 p.  </w:t>
      </w:r>
    </w:p>
    <w:p w:rsidR="00777DC6" w:rsidRPr="00777DC6" w:rsidRDefault="00777DC6" w:rsidP="00777DC6">
      <w:pPr>
        <w:numPr>
          <w:ilvl w:val="0"/>
          <w:numId w:val="4"/>
        </w:numPr>
        <w:jc w:val="both"/>
        <w:rPr>
          <w:lang w:val="fr-FR"/>
        </w:rPr>
      </w:pPr>
      <w:r w:rsidRPr="00777DC6">
        <w:rPr>
          <w:lang w:val="fr-FR"/>
        </w:rPr>
        <w:t xml:space="preserve">Servais J., </w:t>
      </w:r>
      <w:r w:rsidRPr="00777DC6">
        <w:rPr>
          <w:i/>
          <w:lang w:val="fr-FR"/>
        </w:rPr>
        <w:t>Droit social de l’Union Européenne</w:t>
      </w:r>
      <w:r w:rsidRPr="00777DC6">
        <w:rPr>
          <w:lang w:val="fr-FR"/>
        </w:rPr>
        <w:t xml:space="preserve">, Bruxelles, </w:t>
      </w:r>
      <w:proofErr w:type="spellStart"/>
      <w:r w:rsidRPr="00777DC6">
        <w:rPr>
          <w:lang w:val="fr-FR"/>
        </w:rPr>
        <w:t>Bruylant</w:t>
      </w:r>
      <w:proofErr w:type="spellEnd"/>
      <w:r w:rsidRPr="00777DC6">
        <w:rPr>
          <w:lang w:val="fr-FR"/>
        </w:rPr>
        <w:t xml:space="preserve">, 2011, 369 p. </w:t>
      </w:r>
    </w:p>
    <w:p w:rsidR="00777DC6" w:rsidRPr="00777DC6" w:rsidRDefault="00777DC6" w:rsidP="00777DC6">
      <w:pPr>
        <w:numPr>
          <w:ilvl w:val="0"/>
          <w:numId w:val="4"/>
        </w:numPr>
        <w:jc w:val="both"/>
        <w:rPr>
          <w:b/>
          <w:u w:val="single"/>
          <w:lang w:val="en-US"/>
        </w:rPr>
      </w:pPr>
      <w:proofErr w:type="spellStart"/>
      <w:r w:rsidRPr="00777DC6">
        <w:rPr>
          <w:lang w:val="en-US"/>
        </w:rPr>
        <w:t>Servais</w:t>
      </w:r>
      <w:proofErr w:type="spellEnd"/>
      <w:r w:rsidRPr="00777DC6">
        <w:rPr>
          <w:lang w:val="en-US"/>
        </w:rPr>
        <w:t xml:space="preserve"> J., </w:t>
      </w:r>
      <w:r w:rsidRPr="00777DC6">
        <w:rPr>
          <w:i/>
          <w:lang w:val="en-US"/>
        </w:rPr>
        <w:t xml:space="preserve">International </w:t>
      </w:r>
      <w:proofErr w:type="spellStart"/>
      <w:r w:rsidRPr="00777DC6">
        <w:rPr>
          <w:i/>
          <w:lang w:val="en-US"/>
        </w:rPr>
        <w:t>Labour</w:t>
      </w:r>
      <w:proofErr w:type="spellEnd"/>
      <w:r w:rsidRPr="00777DC6">
        <w:rPr>
          <w:i/>
          <w:lang w:val="en-US"/>
        </w:rPr>
        <w:t xml:space="preserve"> Law</w:t>
      </w:r>
      <w:r w:rsidRPr="00777DC6">
        <w:rPr>
          <w:lang w:val="en-US"/>
        </w:rPr>
        <w:t xml:space="preserve">, The Hague, Kluwer Law International, 2005, 346 p. </w:t>
      </w:r>
    </w:p>
    <w:p w:rsidR="00777DC6" w:rsidRPr="00777DC6" w:rsidRDefault="00777DC6" w:rsidP="00777DC6">
      <w:pPr>
        <w:numPr>
          <w:ilvl w:val="0"/>
          <w:numId w:val="4"/>
        </w:numPr>
        <w:jc w:val="both"/>
        <w:rPr>
          <w:b/>
          <w:u w:val="single"/>
          <w:lang w:val="en-US"/>
        </w:rPr>
      </w:pPr>
      <w:r w:rsidRPr="00777DC6">
        <w:rPr>
          <w:lang w:val="en-US"/>
        </w:rPr>
        <w:t xml:space="preserve">Shaw J., Hunt J. and Wallace C., </w:t>
      </w:r>
      <w:r w:rsidRPr="00777DC6">
        <w:rPr>
          <w:i/>
          <w:lang w:val="en-US"/>
        </w:rPr>
        <w:t>Economic and Social Law of the European Union</w:t>
      </w:r>
      <w:r w:rsidRPr="00777DC6">
        <w:rPr>
          <w:lang w:val="en-US"/>
        </w:rPr>
        <w:t xml:space="preserve">, New York, Palgrave </w:t>
      </w:r>
      <w:proofErr w:type="spellStart"/>
      <w:r w:rsidRPr="00777DC6">
        <w:rPr>
          <w:lang w:val="en-US"/>
        </w:rPr>
        <w:t>Mcmillan</w:t>
      </w:r>
      <w:proofErr w:type="spellEnd"/>
      <w:r w:rsidRPr="00777DC6">
        <w:rPr>
          <w:lang w:val="en-US"/>
        </w:rPr>
        <w:t xml:space="preserve">, 2007, 515 p.  </w:t>
      </w:r>
    </w:p>
    <w:p w:rsidR="00777DC6" w:rsidRPr="00777DC6" w:rsidRDefault="00777DC6" w:rsidP="00777DC6">
      <w:pPr>
        <w:numPr>
          <w:ilvl w:val="0"/>
          <w:numId w:val="4"/>
        </w:numPr>
        <w:jc w:val="both"/>
        <w:rPr>
          <w:u w:val="single"/>
          <w:lang w:val="en-US"/>
        </w:rPr>
      </w:pPr>
      <w:proofErr w:type="spellStart"/>
      <w:r w:rsidRPr="00777DC6">
        <w:rPr>
          <w:lang w:val="en-US"/>
        </w:rPr>
        <w:t>Simkin</w:t>
      </w:r>
      <w:proofErr w:type="spellEnd"/>
      <w:r w:rsidRPr="00777DC6">
        <w:rPr>
          <w:lang w:val="en-US"/>
        </w:rPr>
        <w:t xml:space="preserve"> P. and </w:t>
      </w:r>
      <w:proofErr w:type="spellStart"/>
      <w:r w:rsidRPr="00777DC6">
        <w:rPr>
          <w:lang w:val="en-US"/>
        </w:rPr>
        <w:t>Whalley</w:t>
      </w:r>
      <w:proofErr w:type="spellEnd"/>
      <w:r w:rsidRPr="00777DC6">
        <w:rPr>
          <w:lang w:val="en-US"/>
        </w:rPr>
        <w:t xml:space="preserve"> J., </w:t>
      </w:r>
      <w:r w:rsidRPr="00777DC6">
        <w:rPr>
          <w:i/>
          <w:lang w:val="en-US"/>
        </w:rPr>
        <w:t>Pregnancy, Childbirth and the Newborn: the complete guide</w:t>
      </w:r>
      <w:r w:rsidRPr="00777DC6">
        <w:rPr>
          <w:lang w:val="en-US"/>
        </w:rPr>
        <w:t>, Minnetonka, Meadowbrook Press, 2010, 497 p.</w:t>
      </w:r>
    </w:p>
    <w:p w:rsidR="00777DC6" w:rsidRPr="00777DC6" w:rsidRDefault="00777DC6" w:rsidP="00777DC6">
      <w:pPr>
        <w:numPr>
          <w:ilvl w:val="0"/>
          <w:numId w:val="4"/>
        </w:numPr>
        <w:jc w:val="both"/>
        <w:rPr>
          <w:b/>
          <w:u w:val="single"/>
        </w:rPr>
      </w:pPr>
      <w:r w:rsidRPr="00777DC6">
        <w:t xml:space="preserve">Smis S., Janssens C., </w:t>
      </w:r>
      <w:proofErr w:type="spellStart"/>
      <w:r w:rsidRPr="00777DC6">
        <w:t>Mirgaux</w:t>
      </w:r>
      <w:proofErr w:type="spellEnd"/>
      <w:r w:rsidRPr="00777DC6">
        <w:t xml:space="preserve"> S. en Van </w:t>
      </w:r>
      <w:proofErr w:type="spellStart"/>
      <w:r w:rsidRPr="00777DC6">
        <w:t>Laethem</w:t>
      </w:r>
      <w:proofErr w:type="spellEnd"/>
      <w:r w:rsidRPr="00777DC6">
        <w:t xml:space="preserve"> K., </w:t>
      </w:r>
      <w:r w:rsidRPr="00777DC6">
        <w:rPr>
          <w:i/>
        </w:rPr>
        <w:t>Handboek Mensenrechten</w:t>
      </w:r>
      <w:r w:rsidRPr="00777DC6">
        <w:t xml:space="preserve">, Antwerpen, </w:t>
      </w:r>
      <w:proofErr w:type="spellStart"/>
      <w:r w:rsidRPr="00777DC6">
        <w:t>Intersentia</w:t>
      </w:r>
      <w:proofErr w:type="spellEnd"/>
      <w:r w:rsidRPr="00777DC6">
        <w:t>, 2011, 660 p.</w:t>
      </w:r>
    </w:p>
    <w:p w:rsidR="00777DC6" w:rsidRPr="00777DC6" w:rsidRDefault="00777DC6" w:rsidP="00777DC6">
      <w:pPr>
        <w:numPr>
          <w:ilvl w:val="0"/>
          <w:numId w:val="4"/>
        </w:numPr>
        <w:jc w:val="both"/>
        <w:rPr>
          <w:lang w:val="en-US"/>
        </w:rPr>
      </w:pPr>
      <w:r w:rsidRPr="00777DC6">
        <w:rPr>
          <w:lang w:val="en-US"/>
        </w:rPr>
        <w:t xml:space="preserve">Smith I. and Baker A., </w:t>
      </w:r>
      <w:r w:rsidRPr="00777DC6">
        <w:rPr>
          <w:i/>
          <w:lang w:val="en-US"/>
        </w:rPr>
        <w:t>Smith &amp; Wood’s employment law</w:t>
      </w:r>
      <w:r w:rsidRPr="00777DC6">
        <w:rPr>
          <w:lang w:val="en-US"/>
        </w:rPr>
        <w:t xml:space="preserve">, Oxford, Oxford University Press, 2010, 743 p. </w:t>
      </w:r>
    </w:p>
    <w:p w:rsidR="00777DC6" w:rsidRPr="00777DC6" w:rsidRDefault="00777DC6" w:rsidP="00777DC6">
      <w:pPr>
        <w:numPr>
          <w:ilvl w:val="0"/>
          <w:numId w:val="4"/>
        </w:numPr>
        <w:jc w:val="both"/>
        <w:rPr>
          <w:lang w:val="en-GB"/>
        </w:rPr>
      </w:pPr>
      <w:r w:rsidRPr="00777DC6">
        <w:rPr>
          <w:lang w:val="en-GB"/>
        </w:rPr>
        <w:t xml:space="preserve">Smith R., </w:t>
      </w:r>
      <w:r w:rsidRPr="00777DC6">
        <w:rPr>
          <w:i/>
          <w:lang w:val="en-GB"/>
        </w:rPr>
        <w:t xml:space="preserve">Textbook on International Human Rights, </w:t>
      </w:r>
      <w:r w:rsidRPr="00777DC6">
        <w:rPr>
          <w:lang w:val="en-GB"/>
        </w:rPr>
        <w:t xml:space="preserve">Oxford, Oxford University Press, 2012, 411 p. </w:t>
      </w:r>
    </w:p>
    <w:p w:rsidR="00777DC6" w:rsidRPr="00777DC6" w:rsidRDefault="00777DC6" w:rsidP="00777DC6">
      <w:pPr>
        <w:numPr>
          <w:ilvl w:val="0"/>
          <w:numId w:val="4"/>
        </w:numPr>
        <w:jc w:val="both"/>
        <w:rPr>
          <w:b/>
          <w:u w:val="single"/>
        </w:rPr>
      </w:pPr>
      <w:r w:rsidRPr="00777DC6">
        <w:t xml:space="preserve">Spee S. en </w:t>
      </w:r>
      <w:proofErr w:type="spellStart"/>
      <w:r w:rsidRPr="00777DC6">
        <w:t>Lodewyckx</w:t>
      </w:r>
      <w:proofErr w:type="spellEnd"/>
      <w:r w:rsidRPr="00777DC6">
        <w:t xml:space="preserve"> I. (</w:t>
      </w:r>
      <w:proofErr w:type="spellStart"/>
      <w:r w:rsidRPr="00777DC6">
        <w:t>eds</w:t>
      </w:r>
      <w:proofErr w:type="spellEnd"/>
      <w:r w:rsidRPr="00777DC6">
        <w:t xml:space="preserve">.), </w:t>
      </w:r>
      <w:r w:rsidRPr="00777DC6">
        <w:rPr>
          <w:i/>
        </w:rPr>
        <w:t>Wachten op gelijke kansen</w:t>
      </w:r>
      <w:r w:rsidRPr="00777DC6">
        <w:t>, Antwerpen-Apeldoorn, Garant, 2004, 274 p.</w:t>
      </w:r>
    </w:p>
    <w:p w:rsidR="00777DC6" w:rsidRPr="00777DC6" w:rsidRDefault="00777DC6" w:rsidP="00777DC6">
      <w:pPr>
        <w:numPr>
          <w:ilvl w:val="0"/>
          <w:numId w:val="4"/>
        </w:numPr>
        <w:jc w:val="both"/>
        <w:rPr>
          <w:b/>
          <w:u w:val="single"/>
          <w:lang w:val="en-US"/>
        </w:rPr>
      </w:pPr>
      <w:r w:rsidRPr="00777DC6">
        <w:rPr>
          <w:lang w:val="en-US"/>
        </w:rPr>
        <w:t xml:space="preserve">Squires J., </w:t>
      </w:r>
      <w:r w:rsidRPr="00777DC6">
        <w:rPr>
          <w:i/>
          <w:lang w:val="en-US"/>
        </w:rPr>
        <w:t>The New Politics of Gender Equality</w:t>
      </w:r>
      <w:r w:rsidRPr="00777DC6">
        <w:rPr>
          <w:lang w:val="en-US"/>
        </w:rPr>
        <w:t xml:space="preserve">, New York, Palgrave McMillan, 2007, 216 p. </w:t>
      </w:r>
    </w:p>
    <w:p w:rsidR="00777DC6" w:rsidRPr="00777DC6" w:rsidRDefault="00777DC6" w:rsidP="00777DC6">
      <w:pPr>
        <w:numPr>
          <w:ilvl w:val="0"/>
          <w:numId w:val="4"/>
        </w:numPr>
        <w:jc w:val="both"/>
        <w:rPr>
          <w:lang w:val="en-US"/>
        </w:rPr>
      </w:pPr>
      <w:r w:rsidRPr="00777DC6">
        <w:rPr>
          <w:lang w:val="en-US"/>
        </w:rPr>
        <w:t xml:space="preserve">Stockdale M., (ed.), </w:t>
      </w:r>
      <w:r w:rsidRPr="00777DC6">
        <w:rPr>
          <w:i/>
          <w:lang w:val="en-US"/>
        </w:rPr>
        <w:t>Sexual Harassment in the Workplace</w:t>
      </w:r>
      <w:r w:rsidRPr="00777DC6">
        <w:rPr>
          <w:lang w:val="en-US"/>
        </w:rPr>
        <w:t xml:space="preserve">, London, Sage Publications, 1996, 303 p.  </w:t>
      </w:r>
    </w:p>
    <w:p w:rsidR="00777DC6" w:rsidRPr="00777DC6" w:rsidRDefault="00777DC6" w:rsidP="00777DC6">
      <w:pPr>
        <w:numPr>
          <w:ilvl w:val="0"/>
          <w:numId w:val="4"/>
        </w:numPr>
        <w:jc w:val="both"/>
        <w:rPr>
          <w:b/>
          <w:u w:val="single"/>
          <w:lang w:val="en-US"/>
        </w:rPr>
      </w:pPr>
      <w:proofErr w:type="spellStart"/>
      <w:r w:rsidRPr="00777DC6">
        <w:rPr>
          <w:lang w:val="en-US"/>
        </w:rPr>
        <w:t>Swiatkowski</w:t>
      </w:r>
      <w:proofErr w:type="spellEnd"/>
      <w:r w:rsidRPr="00777DC6">
        <w:rPr>
          <w:lang w:val="en-US"/>
        </w:rPr>
        <w:t xml:space="preserve"> A., </w:t>
      </w:r>
      <w:r w:rsidRPr="00777DC6">
        <w:rPr>
          <w:i/>
          <w:lang w:val="en-US"/>
        </w:rPr>
        <w:t>Charter of Social Rights of the Council of Europe</w:t>
      </w:r>
      <w:r w:rsidRPr="00777DC6">
        <w:rPr>
          <w:lang w:val="en-US"/>
        </w:rPr>
        <w:t xml:space="preserve">, London, Kluwer Law International, 2007, 414 p. </w:t>
      </w:r>
    </w:p>
    <w:p w:rsidR="00777DC6" w:rsidRPr="00777DC6" w:rsidRDefault="00777DC6" w:rsidP="00777DC6">
      <w:pPr>
        <w:numPr>
          <w:ilvl w:val="0"/>
          <w:numId w:val="4"/>
        </w:numPr>
        <w:jc w:val="both"/>
        <w:rPr>
          <w:b/>
          <w:u w:val="single"/>
          <w:lang w:val="en-US"/>
        </w:rPr>
      </w:pPr>
      <w:proofErr w:type="spellStart"/>
      <w:r w:rsidRPr="00777DC6">
        <w:rPr>
          <w:lang w:val="en-US"/>
        </w:rPr>
        <w:t>Tobler</w:t>
      </w:r>
      <w:proofErr w:type="spellEnd"/>
      <w:r w:rsidRPr="00777DC6">
        <w:rPr>
          <w:lang w:val="en-US"/>
        </w:rPr>
        <w:t xml:space="preserve"> C., </w:t>
      </w:r>
      <w:r w:rsidRPr="00777DC6">
        <w:rPr>
          <w:i/>
          <w:lang w:val="en-US"/>
        </w:rPr>
        <w:t>Indirect Discrimination</w:t>
      </w:r>
      <w:r w:rsidRPr="00777DC6">
        <w:rPr>
          <w:lang w:val="en-US"/>
        </w:rPr>
        <w:t xml:space="preserve">, Antwerp, </w:t>
      </w:r>
      <w:proofErr w:type="spellStart"/>
      <w:r w:rsidRPr="00777DC6">
        <w:rPr>
          <w:lang w:val="en-US"/>
        </w:rPr>
        <w:t>Intersentia</w:t>
      </w:r>
      <w:proofErr w:type="spellEnd"/>
      <w:r w:rsidRPr="00777DC6">
        <w:rPr>
          <w:lang w:val="en-US"/>
        </w:rPr>
        <w:t xml:space="preserve">, 2005, 515 p. </w:t>
      </w:r>
    </w:p>
    <w:p w:rsidR="00777DC6" w:rsidRPr="00777DC6" w:rsidRDefault="00777DC6" w:rsidP="00777DC6">
      <w:pPr>
        <w:numPr>
          <w:ilvl w:val="0"/>
          <w:numId w:val="4"/>
        </w:numPr>
        <w:jc w:val="both"/>
        <w:rPr>
          <w:lang w:val="en-GB"/>
        </w:rPr>
      </w:pPr>
      <w:proofErr w:type="spellStart"/>
      <w:r w:rsidRPr="00777DC6">
        <w:rPr>
          <w:lang w:val="en-GB"/>
        </w:rPr>
        <w:t>Tridimas</w:t>
      </w:r>
      <w:proofErr w:type="spellEnd"/>
      <w:r w:rsidRPr="00777DC6">
        <w:rPr>
          <w:lang w:val="en-GB"/>
        </w:rPr>
        <w:t xml:space="preserve"> T., </w:t>
      </w:r>
      <w:r w:rsidRPr="00777DC6">
        <w:rPr>
          <w:i/>
          <w:lang w:val="en-GB"/>
        </w:rPr>
        <w:t xml:space="preserve">The General Principles of EU Law, </w:t>
      </w:r>
      <w:r w:rsidRPr="00777DC6">
        <w:rPr>
          <w:lang w:val="en-GB"/>
        </w:rPr>
        <w:t xml:space="preserve">Oxford, Oxford University Press, 2006, 714 p. </w:t>
      </w:r>
    </w:p>
    <w:p w:rsidR="00777DC6" w:rsidRPr="00777DC6" w:rsidRDefault="00777DC6" w:rsidP="00777DC6">
      <w:pPr>
        <w:numPr>
          <w:ilvl w:val="0"/>
          <w:numId w:val="4"/>
        </w:numPr>
        <w:jc w:val="both"/>
        <w:rPr>
          <w:lang w:val="en-US"/>
        </w:rPr>
      </w:pPr>
      <w:proofErr w:type="spellStart"/>
      <w:r w:rsidRPr="00777DC6">
        <w:rPr>
          <w:lang w:val="en-US"/>
        </w:rPr>
        <w:t>Twigg-Flesner</w:t>
      </w:r>
      <w:proofErr w:type="spellEnd"/>
      <w:r w:rsidRPr="00777DC6">
        <w:rPr>
          <w:lang w:val="en-US"/>
        </w:rPr>
        <w:t xml:space="preserve"> C., </w:t>
      </w:r>
      <w:r w:rsidRPr="00777DC6">
        <w:rPr>
          <w:i/>
          <w:lang w:val="en-US"/>
        </w:rPr>
        <w:t>The Cambridge Companion to European Union Private Law</w:t>
      </w:r>
      <w:r w:rsidRPr="00777DC6">
        <w:rPr>
          <w:lang w:val="en-US"/>
        </w:rPr>
        <w:t xml:space="preserve">, Cambridge, Cambridge University Press, 2010, 350 p. </w:t>
      </w:r>
    </w:p>
    <w:p w:rsidR="00777DC6" w:rsidRPr="00777DC6" w:rsidRDefault="00777DC6" w:rsidP="00777DC6">
      <w:pPr>
        <w:numPr>
          <w:ilvl w:val="0"/>
          <w:numId w:val="4"/>
        </w:numPr>
        <w:jc w:val="both"/>
      </w:pPr>
      <w:r w:rsidRPr="00777DC6">
        <w:lastRenderedPageBreak/>
        <w:t xml:space="preserve">Vanachter O. (ed.), </w:t>
      </w:r>
      <w:r w:rsidRPr="00777DC6">
        <w:rPr>
          <w:i/>
        </w:rPr>
        <w:t>Gelijke Behandeling en Arbeidsverhoudingen</w:t>
      </w:r>
      <w:r w:rsidRPr="00777DC6">
        <w:t xml:space="preserve">, Antwerpen-Groningen, </w:t>
      </w:r>
      <w:proofErr w:type="spellStart"/>
      <w:r w:rsidRPr="00777DC6">
        <w:t>Intersentia</w:t>
      </w:r>
      <w:proofErr w:type="spellEnd"/>
      <w:r w:rsidRPr="00777DC6">
        <w:t xml:space="preserve"> Rechtswetenschappen, 1999, 296 p.  </w:t>
      </w:r>
    </w:p>
    <w:p w:rsidR="00777DC6" w:rsidRPr="00777DC6" w:rsidRDefault="00777DC6" w:rsidP="00777DC6">
      <w:pPr>
        <w:numPr>
          <w:ilvl w:val="0"/>
          <w:numId w:val="4"/>
        </w:numPr>
        <w:jc w:val="both"/>
        <w:rPr>
          <w:i/>
          <w:lang w:val="en-US"/>
        </w:rPr>
      </w:pPr>
      <w:r w:rsidRPr="00777DC6">
        <w:rPr>
          <w:lang w:val="en-US"/>
        </w:rPr>
        <w:t xml:space="preserve">Van </w:t>
      </w:r>
      <w:proofErr w:type="spellStart"/>
      <w:r w:rsidRPr="00777DC6">
        <w:rPr>
          <w:lang w:val="en-US"/>
        </w:rPr>
        <w:t>Daele</w:t>
      </w:r>
      <w:proofErr w:type="spellEnd"/>
      <w:r w:rsidRPr="00777DC6">
        <w:rPr>
          <w:lang w:val="en-US"/>
        </w:rPr>
        <w:t xml:space="preserve"> J. and Rodriguez M. (eds.), </w:t>
      </w:r>
      <w:r w:rsidRPr="00777DC6">
        <w:rPr>
          <w:i/>
          <w:lang w:val="en-US"/>
        </w:rPr>
        <w:t xml:space="preserve">ILO Histories: Essays on the International </w:t>
      </w:r>
      <w:proofErr w:type="spellStart"/>
      <w:r w:rsidRPr="00777DC6">
        <w:rPr>
          <w:i/>
          <w:lang w:val="en-US"/>
        </w:rPr>
        <w:t>Labour</w:t>
      </w:r>
      <w:proofErr w:type="spellEnd"/>
      <w:r w:rsidRPr="00777DC6">
        <w:rPr>
          <w:i/>
          <w:lang w:val="en-US"/>
        </w:rPr>
        <w:t xml:space="preserve"> Organization and Its Impact on the World During the Twentieth Century</w:t>
      </w:r>
      <w:r w:rsidRPr="00777DC6">
        <w:rPr>
          <w:lang w:val="en-US"/>
        </w:rPr>
        <w:t xml:space="preserve">, Bern, Peter Lang AG, 2010, 542 p. </w:t>
      </w:r>
    </w:p>
    <w:p w:rsidR="00777DC6" w:rsidRPr="00777DC6" w:rsidRDefault="00777DC6" w:rsidP="00777DC6">
      <w:pPr>
        <w:numPr>
          <w:ilvl w:val="0"/>
          <w:numId w:val="4"/>
        </w:numPr>
        <w:jc w:val="both"/>
        <w:rPr>
          <w:lang w:val="en-US"/>
        </w:rPr>
      </w:pPr>
      <w:proofErr w:type="spellStart"/>
      <w:r w:rsidRPr="00777DC6">
        <w:rPr>
          <w:lang w:val="en-US"/>
        </w:rPr>
        <w:t>Vandenhole</w:t>
      </w:r>
      <w:proofErr w:type="spellEnd"/>
      <w:r w:rsidRPr="00777DC6">
        <w:rPr>
          <w:lang w:val="en-US"/>
        </w:rPr>
        <w:t xml:space="preserve"> W., </w:t>
      </w:r>
      <w:r w:rsidRPr="00777DC6">
        <w:rPr>
          <w:i/>
          <w:lang w:val="en-US"/>
        </w:rPr>
        <w:t xml:space="preserve">Non-Discrimination and Equality in the view of the UN Human Rights Treaty Bodies, </w:t>
      </w:r>
      <w:r w:rsidRPr="00777DC6">
        <w:rPr>
          <w:lang w:val="en-US"/>
        </w:rPr>
        <w:t xml:space="preserve">Antwerp-Oxford, </w:t>
      </w:r>
      <w:proofErr w:type="spellStart"/>
      <w:r w:rsidRPr="00777DC6">
        <w:rPr>
          <w:lang w:val="en-US"/>
        </w:rPr>
        <w:t>Intersentia</w:t>
      </w:r>
      <w:proofErr w:type="spellEnd"/>
      <w:r w:rsidRPr="00777DC6">
        <w:rPr>
          <w:lang w:val="en-US"/>
        </w:rPr>
        <w:t xml:space="preserve">, 2005, 293 p. </w:t>
      </w:r>
    </w:p>
    <w:p w:rsidR="00777DC6" w:rsidRPr="00777DC6" w:rsidRDefault="00777DC6" w:rsidP="00777DC6">
      <w:pPr>
        <w:numPr>
          <w:ilvl w:val="0"/>
          <w:numId w:val="4"/>
        </w:numPr>
        <w:jc w:val="both"/>
        <w:rPr>
          <w:b/>
          <w:u w:val="single"/>
          <w:lang w:val="en-US"/>
        </w:rPr>
      </w:pPr>
      <w:r w:rsidRPr="00777DC6">
        <w:rPr>
          <w:lang w:val="en-US"/>
        </w:rPr>
        <w:t xml:space="preserve">Van </w:t>
      </w:r>
      <w:proofErr w:type="spellStart"/>
      <w:r w:rsidRPr="00777DC6">
        <w:rPr>
          <w:lang w:val="en-US"/>
        </w:rPr>
        <w:t>Doorne-Huiskes</w:t>
      </w:r>
      <w:proofErr w:type="spellEnd"/>
      <w:r w:rsidRPr="00777DC6">
        <w:rPr>
          <w:lang w:val="en-US"/>
        </w:rPr>
        <w:t xml:space="preserve"> A. and Van Hoof J. (eds.), </w:t>
      </w:r>
      <w:r w:rsidRPr="00777DC6">
        <w:rPr>
          <w:i/>
          <w:lang w:val="en-US"/>
        </w:rPr>
        <w:t xml:space="preserve">Women and the European </w:t>
      </w:r>
      <w:proofErr w:type="spellStart"/>
      <w:r w:rsidRPr="00777DC6">
        <w:rPr>
          <w:i/>
          <w:lang w:val="en-US"/>
        </w:rPr>
        <w:t>Labour</w:t>
      </w:r>
      <w:proofErr w:type="spellEnd"/>
      <w:r w:rsidRPr="00777DC6">
        <w:rPr>
          <w:i/>
          <w:lang w:val="en-US"/>
        </w:rPr>
        <w:t xml:space="preserve"> Markets,</w:t>
      </w:r>
      <w:r w:rsidRPr="00777DC6">
        <w:rPr>
          <w:lang w:val="en-US"/>
        </w:rPr>
        <w:t xml:space="preserve"> London, Paul Chapman Publishing, 1995, 257 p. </w:t>
      </w:r>
    </w:p>
    <w:p w:rsidR="00777DC6" w:rsidRPr="00777DC6" w:rsidRDefault="00777DC6" w:rsidP="00777DC6">
      <w:pPr>
        <w:numPr>
          <w:ilvl w:val="0"/>
          <w:numId w:val="4"/>
        </w:numPr>
        <w:jc w:val="both"/>
        <w:rPr>
          <w:b/>
          <w:u w:val="single"/>
        </w:rPr>
      </w:pPr>
      <w:r w:rsidRPr="00777DC6">
        <w:t xml:space="preserve">Van Hoof K., </w:t>
      </w:r>
      <w:r w:rsidRPr="00777DC6">
        <w:rPr>
          <w:i/>
        </w:rPr>
        <w:t>Tewerkstelling van vrouwen en segregatie</w:t>
      </w:r>
      <w:r w:rsidRPr="00777DC6">
        <w:t xml:space="preserve">, Brussel, Nationaal Instituut voor de Statistiek, 1997, 153 p. </w:t>
      </w:r>
    </w:p>
    <w:p w:rsidR="00777DC6" w:rsidRPr="00777DC6" w:rsidRDefault="00777DC6" w:rsidP="00777DC6">
      <w:pPr>
        <w:numPr>
          <w:ilvl w:val="0"/>
          <w:numId w:val="4"/>
        </w:numPr>
        <w:jc w:val="both"/>
        <w:rPr>
          <w:lang w:val="en-GB"/>
        </w:rPr>
      </w:pPr>
      <w:proofErr w:type="spellStart"/>
      <w:r w:rsidRPr="00777DC6">
        <w:rPr>
          <w:lang w:val="en-GB"/>
        </w:rPr>
        <w:t>Vosko</w:t>
      </w:r>
      <w:proofErr w:type="spellEnd"/>
      <w:r w:rsidRPr="00777DC6">
        <w:rPr>
          <w:lang w:val="en-GB"/>
        </w:rPr>
        <w:t xml:space="preserve"> L., </w:t>
      </w:r>
      <w:r w:rsidRPr="00777DC6">
        <w:rPr>
          <w:i/>
          <w:lang w:val="en-GB"/>
        </w:rPr>
        <w:t>Managing the Margins: Gender, Citizenship, and the International Regulation of Precarious Employment</w:t>
      </w:r>
      <w:r w:rsidRPr="00777DC6">
        <w:rPr>
          <w:lang w:val="en-GB"/>
        </w:rPr>
        <w:t xml:space="preserve">, Oxford, Oxford University Press, 2010, 311 p. </w:t>
      </w:r>
    </w:p>
    <w:p w:rsidR="00777DC6" w:rsidRPr="00777DC6" w:rsidRDefault="00777DC6" w:rsidP="00777DC6">
      <w:pPr>
        <w:numPr>
          <w:ilvl w:val="0"/>
          <w:numId w:val="4"/>
        </w:numPr>
        <w:jc w:val="both"/>
        <w:rPr>
          <w:lang w:val="en-GB"/>
        </w:rPr>
      </w:pPr>
      <w:r w:rsidRPr="00777DC6">
        <w:rPr>
          <w:lang w:val="en-GB"/>
        </w:rPr>
        <w:t xml:space="preserve">Wallace H. and Wallace W. (eds.), Policy-Making in the European Union, Oxford, Oxford University Press, 2000, 610 p. </w:t>
      </w:r>
    </w:p>
    <w:p w:rsidR="00777DC6" w:rsidRPr="00777DC6" w:rsidRDefault="00777DC6" w:rsidP="00777DC6">
      <w:pPr>
        <w:numPr>
          <w:ilvl w:val="0"/>
          <w:numId w:val="4"/>
        </w:numPr>
        <w:jc w:val="both"/>
        <w:rPr>
          <w:b/>
          <w:u w:val="single"/>
          <w:lang w:val="en-US"/>
        </w:rPr>
      </w:pPr>
      <w:r w:rsidRPr="00777DC6">
        <w:rPr>
          <w:lang w:val="en-US"/>
        </w:rPr>
        <w:t xml:space="preserve">Watson P., </w:t>
      </w:r>
      <w:r w:rsidRPr="00777DC6">
        <w:rPr>
          <w:i/>
          <w:lang w:val="en-US"/>
        </w:rPr>
        <w:t>EU Social and Employment Law</w:t>
      </w:r>
      <w:r w:rsidRPr="00777DC6">
        <w:rPr>
          <w:lang w:val="en-US"/>
        </w:rPr>
        <w:t xml:space="preserve">, Oxford, Oxford University Press, 2009, 538 p. </w:t>
      </w:r>
    </w:p>
    <w:p w:rsidR="00777DC6" w:rsidRPr="00777DC6" w:rsidRDefault="00777DC6" w:rsidP="00777DC6">
      <w:pPr>
        <w:numPr>
          <w:ilvl w:val="0"/>
          <w:numId w:val="4"/>
        </w:numPr>
        <w:jc w:val="both"/>
        <w:rPr>
          <w:b/>
          <w:u w:val="single"/>
          <w:lang w:val="en-US"/>
        </w:rPr>
      </w:pPr>
      <w:proofErr w:type="spellStart"/>
      <w:r w:rsidRPr="00777DC6">
        <w:rPr>
          <w:lang w:val="en-US"/>
        </w:rPr>
        <w:t>Wouters</w:t>
      </w:r>
      <w:proofErr w:type="spellEnd"/>
      <w:r w:rsidRPr="00777DC6">
        <w:rPr>
          <w:lang w:val="en-US"/>
        </w:rPr>
        <w:t xml:space="preserve"> J., </w:t>
      </w:r>
      <w:proofErr w:type="spellStart"/>
      <w:r w:rsidRPr="00777DC6">
        <w:rPr>
          <w:lang w:val="en-US"/>
        </w:rPr>
        <w:t>Verhey</w:t>
      </w:r>
      <w:proofErr w:type="spellEnd"/>
      <w:r w:rsidRPr="00777DC6">
        <w:rPr>
          <w:lang w:val="en-US"/>
        </w:rPr>
        <w:t xml:space="preserve"> L. and </w:t>
      </w:r>
      <w:proofErr w:type="spellStart"/>
      <w:r w:rsidRPr="00777DC6">
        <w:rPr>
          <w:lang w:val="en-US"/>
        </w:rPr>
        <w:t>Kiiver</w:t>
      </w:r>
      <w:proofErr w:type="spellEnd"/>
      <w:r w:rsidRPr="00777DC6">
        <w:rPr>
          <w:lang w:val="en-US"/>
        </w:rPr>
        <w:t xml:space="preserve"> P. (eds.), </w:t>
      </w:r>
      <w:r w:rsidRPr="00777DC6">
        <w:rPr>
          <w:i/>
          <w:lang w:val="en-US"/>
        </w:rPr>
        <w:t>European Constitutionalism Beyond Lisbon</w:t>
      </w:r>
      <w:r w:rsidRPr="00777DC6">
        <w:rPr>
          <w:lang w:val="en-US"/>
        </w:rPr>
        <w:t xml:space="preserve">, Antwerp, </w:t>
      </w:r>
      <w:proofErr w:type="spellStart"/>
      <w:r w:rsidRPr="00777DC6">
        <w:rPr>
          <w:lang w:val="en-US"/>
        </w:rPr>
        <w:t>Intersentia</w:t>
      </w:r>
      <w:proofErr w:type="spellEnd"/>
      <w:r w:rsidRPr="00777DC6">
        <w:rPr>
          <w:lang w:val="en-US"/>
        </w:rPr>
        <w:t xml:space="preserve">, 2009, 306 p. </w:t>
      </w:r>
    </w:p>
    <w:p w:rsidR="00777DC6" w:rsidRPr="00777DC6" w:rsidRDefault="00777DC6" w:rsidP="00777DC6">
      <w:pPr>
        <w:numPr>
          <w:ilvl w:val="0"/>
          <w:numId w:val="4"/>
        </w:numPr>
        <w:jc w:val="both"/>
        <w:rPr>
          <w:b/>
          <w:u w:val="single"/>
          <w:lang w:val="en-US"/>
        </w:rPr>
      </w:pPr>
      <w:r w:rsidRPr="00777DC6">
        <w:rPr>
          <w:lang w:val="en-US"/>
        </w:rPr>
        <w:t xml:space="preserve">Young I., </w:t>
      </w:r>
      <w:r w:rsidRPr="00777DC6">
        <w:rPr>
          <w:i/>
          <w:lang w:val="en-US"/>
        </w:rPr>
        <w:t>Justice and the Politics of Difference</w:t>
      </w:r>
      <w:r w:rsidRPr="00777DC6">
        <w:rPr>
          <w:lang w:val="en-US"/>
        </w:rPr>
        <w:t xml:space="preserve">, New Jersey, Princeton University Press, 1990, 289 p. </w:t>
      </w:r>
    </w:p>
    <w:p w:rsidR="00777DC6" w:rsidRPr="00777DC6" w:rsidRDefault="00777DC6" w:rsidP="00777DC6">
      <w:pPr>
        <w:jc w:val="both"/>
        <w:rPr>
          <w:b/>
          <w:u w:val="single"/>
          <w:lang w:val="en-US"/>
        </w:rPr>
      </w:pPr>
    </w:p>
    <w:p w:rsidR="00777DC6" w:rsidRPr="00777DC6" w:rsidRDefault="00777DC6" w:rsidP="00777DC6">
      <w:pPr>
        <w:jc w:val="both"/>
        <w:rPr>
          <w:b/>
          <w:u w:val="single"/>
          <w:lang w:val="en-US"/>
        </w:rPr>
      </w:pPr>
    </w:p>
    <w:p w:rsidR="00777DC6" w:rsidRPr="00777DC6" w:rsidRDefault="00777DC6" w:rsidP="00777DC6">
      <w:pPr>
        <w:jc w:val="both"/>
        <w:rPr>
          <w:b/>
          <w:u w:val="single"/>
          <w:lang w:val="en-US"/>
        </w:rPr>
      </w:pPr>
    </w:p>
    <w:p w:rsidR="00777DC6" w:rsidRPr="00777DC6" w:rsidRDefault="00777DC6" w:rsidP="00777DC6">
      <w:pPr>
        <w:jc w:val="both"/>
        <w:rPr>
          <w:b/>
          <w:u w:val="single"/>
          <w:lang w:val="en-US"/>
        </w:rPr>
      </w:pPr>
    </w:p>
    <w:p w:rsidR="00777DC6" w:rsidRPr="00777DC6" w:rsidRDefault="00777DC6" w:rsidP="00777DC6">
      <w:pPr>
        <w:jc w:val="both"/>
        <w:rPr>
          <w:b/>
          <w:u w:val="single"/>
          <w:lang w:val="en-US"/>
        </w:rPr>
      </w:pPr>
    </w:p>
    <w:p w:rsidR="00A121D3" w:rsidRDefault="00A121D3" w:rsidP="00777DC6">
      <w:pPr>
        <w:jc w:val="both"/>
        <w:rPr>
          <w:b/>
          <w:u w:val="single"/>
          <w:lang w:val="en-US"/>
        </w:rPr>
      </w:pPr>
    </w:p>
    <w:p w:rsidR="00A121D3" w:rsidRDefault="00A121D3" w:rsidP="00777DC6">
      <w:pPr>
        <w:jc w:val="both"/>
        <w:rPr>
          <w:b/>
          <w:u w:val="single"/>
          <w:lang w:val="en-US"/>
        </w:rPr>
      </w:pPr>
    </w:p>
    <w:p w:rsidR="00A121D3" w:rsidRDefault="00A121D3" w:rsidP="00777DC6">
      <w:pPr>
        <w:jc w:val="both"/>
        <w:rPr>
          <w:b/>
          <w:u w:val="single"/>
          <w:lang w:val="en-US"/>
        </w:rPr>
      </w:pPr>
    </w:p>
    <w:p w:rsidR="00D0739A" w:rsidRDefault="00D0739A" w:rsidP="00777DC6">
      <w:pPr>
        <w:jc w:val="both"/>
        <w:rPr>
          <w:b/>
          <w:u w:val="single"/>
          <w:lang w:val="en-US"/>
        </w:rPr>
      </w:pPr>
    </w:p>
    <w:p w:rsidR="00476678" w:rsidRDefault="00476678" w:rsidP="00777DC6">
      <w:pPr>
        <w:jc w:val="both"/>
        <w:rPr>
          <w:b/>
          <w:u w:val="single"/>
          <w:lang w:val="en-US"/>
        </w:rPr>
      </w:pPr>
    </w:p>
    <w:p w:rsidR="00777DC6" w:rsidRPr="00777DC6" w:rsidRDefault="00777DC6" w:rsidP="00777DC6">
      <w:pPr>
        <w:jc w:val="both"/>
        <w:rPr>
          <w:b/>
          <w:u w:val="single"/>
          <w:lang w:val="en-US"/>
        </w:rPr>
      </w:pPr>
      <w:r w:rsidRPr="00777DC6">
        <w:rPr>
          <w:b/>
          <w:u w:val="single"/>
          <w:lang w:val="en-US"/>
        </w:rPr>
        <w:lastRenderedPageBreak/>
        <w:t>Legal Doctrine: Journals</w:t>
      </w:r>
    </w:p>
    <w:p w:rsidR="00777DC6" w:rsidRPr="00777DC6" w:rsidRDefault="00777DC6" w:rsidP="00777DC6">
      <w:pPr>
        <w:numPr>
          <w:ilvl w:val="0"/>
          <w:numId w:val="4"/>
        </w:numPr>
        <w:jc w:val="both"/>
        <w:rPr>
          <w:lang w:val="en-US"/>
        </w:rPr>
      </w:pPr>
      <w:proofErr w:type="spellStart"/>
      <w:r w:rsidRPr="00777DC6">
        <w:rPr>
          <w:lang w:val="en-US"/>
        </w:rPr>
        <w:t>Aeberhard</w:t>
      </w:r>
      <w:proofErr w:type="spellEnd"/>
      <w:r w:rsidRPr="00777DC6">
        <w:rPr>
          <w:lang w:val="en-US"/>
        </w:rPr>
        <w:t xml:space="preserve">-Hodges J., “Sexual harassment in employment: Recent judicial and arbitral trends”, </w:t>
      </w:r>
      <w:r w:rsidRPr="00777DC6">
        <w:rPr>
          <w:i/>
          <w:lang w:val="en-US"/>
        </w:rPr>
        <w:t>Int’l Lab. Rev.</w:t>
      </w:r>
      <w:r w:rsidRPr="00777DC6">
        <w:rPr>
          <w:lang w:val="en-US"/>
        </w:rPr>
        <w:t xml:space="preserve"> 1996, 499-533. </w:t>
      </w:r>
    </w:p>
    <w:p w:rsidR="00777DC6" w:rsidRPr="00777DC6" w:rsidRDefault="00777DC6" w:rsidP="00777DC6">
      <w:pPr>
        <w:numPr>
          <w:ilvl w:val="0"/>
          <w:numId w:val="4"/>
        </w:numPr>
        <w:jc w:val="both"/>
        <w:rPr>
          <w:lang w:val="en-GB"/>
        </w:rPr>
      </w:pPr>
      <w:proofErr w:type="spellStart"/>
      <w:r w:rsidRPr="00777DC6">
        <w:rPr>
          <w:lang w:val="en-US"/>
        </w:rPr>
        <w:t>Achampong</w:t>
      </w:r>
      <w:proofErr w:type="spellEnd"/>
      <w:r w:rsidRPr="00777DC6">
        <w:rPr>
          <w:lang w:val="en-US"/>
        </w:rPr>
        <w:t xml:space="preserve"> F., “Third party harassment and other significant recent developments in sexual harassment law; A discussion of the latest developments in workplace sexual harassment litigation”, </w:t>
      </w:r>
      <w:r w:rsidRPr="00777DC6">
        <w:rPr>
          <w:i/>
          <w:lang w:val="en-US"/>
        </w:rPr>
        <w:t xml:space="preserve">Suffolk U. L. Rev. </w:t>
      </w:r>
      <w:r w:rsidRPr="00777DC6">
        <w:rPr>
          <w:lang w:val="en-US"/>
        </w:rPr>
        <w:t>1994, 631-656.</w:t>
      </w:r>
    </w:p>
    <w:p w:rsidR="00777DC6" w:rsidRPr="00777DC6" w:rsidRDefault="00777DC6" w:rsidP="00777DC6">
      <w:pPr>
        <w:numPr>
          <w:ilvl w:val="0"/>
          <w:numId w:val="4"/>
        </w:numPr>
        <w:jc w:val="both"/>
        <w:rPr>
          <w:lang w:val="en-GB"/>
        </w:rPr>
      </w:pPr>
      <w:proofErr w:type="spellStart"/>
      <w:r w:rsidRPr="00777DC6">
        <w:rPr>
          <w:lang w:val="en-GB"/>
        </w:rPr>
        <w:t>Ahtela</w:t>
      </w:r>
      <w:proofErr w:type="spellEnd"/>
      <w:r w:rsidRPr="00777DC6">
        <w:rPr>
          <w:lang w:val="en-GB"/>
        </w:rPr>
        <w:t xml:space="preserve"> K., “The Revised Provisions on Sex Discrimination in European Law: A Critical Assessment”, </w:t>
      </w:r>
      <w:r w:rsidRPr="00777DC6">
        <w:rPr>
          <w:i/>
          <w:lang w:val="en-GB"/>
        </w:rPr>
        <w:t xml:space="preserve">ELJ </w:t>
      </w:r>
      <w:r w:rsidRPr="00777DC6">
        <w:rPr>
          <w:lang w:val="en-GB"/>
        </w:rPr>
        <w:t>2005, 57-78.</w:t>
      </w:r>
    </w:p>
    <w:p w:rsidR="00777DC6" w:rsidRPr="00777DC6" w:rsidRDefault="00777DC6" w:rsidP="00777DC6">
      <w:pPr>
        <w:numPr>
          <w:ilvl w:val="0"/>
          <w:numId w:val="4"/>
        </w:numPr>
        <w:jc w:val="both"/>
        <w:rPr>
          <w:i/>
          <w:lang w:val="en-GB"/>
        </w:rPr>
      </w:pPr>
      <w:proofErr w:type="spellStart"/>
      <w:r w:rsidRPr="00777DC6">
        <w:rPr>
          <w:lang w:val="en-GB"/>
        </w:rPr>
        <w:t>Alber</w:t>
      </w:r>
      <w:proofErr w:type="spellEnd"/>
      <w:r w:rsidRPr="00777DC6">
        <w:rPr>
          <w:lang w:val="en-GB"/>
        </w:rPr>
        <w:t xml:space="preserve"> J. and Standing G., “Social Dumping, catch-up or convergence? Europe in a comparative global context”, </w:t>
      </w:r>
      <w:r w:rsidRPr="00777DC6">
        <w:rPr>
          <w:i/>
          <w:lang w:val="en-GB"/>
        </w:rPr>
        <w:t xml:space="preserve">J. of Eur. Soc. Policy </w:t>
      </w:r>
      <w:r w:rsidRPr="00777DC6">
        <w:rPr>
          <w:lang w:val="en-GB"/>
        </w:rPr>
        <w:t xml:space="preserve">2000, 99-119. </w:t>
      </w:r>
    </w:p>
    <w:p w:rsidR="00777DC6" w:rsidRPr="00777DC6" w:rsidRDefault="00777DC6" w:rsidP="00777DC6">
      <w:pPr>
        <w:numPr>
          <w:ilvl w:val="0"/>
          <w:numId w:val="4"/>
        </w:numPr>
        <w:jc w:val="both"/>
        <w:rPr>
          <w:i/>
          <w:lang w:val="en-GB"/>
        </w:rPr>
      </w:pPr>
      <w:proofErr w:type="spellStart"/>
      <w:r w:rsidRPr="00777DC6">
        <w:rPr>
          <w:lang w:val="en-GB"/>
        </w:rPr>
        <w:t>Bamforth</w:t>
      </w:r>
      <w:proofErr w:type="spellEnd"/>
      <w:r w:rsidRPr="00777DC6">
        <w:rPr>
          <w:lang w:val="en-GB"/>
        </w:rPr>
        <w:t xml:space="preserve"> N., “Conceptions of Anti-Discrimination Law”, </w:t>
      </w:r>
      <w:r w:rsidRPr="00777DC6">
        <w:rPr>
          <w:i/>
          <w:lang w:val="en-GB"/>
        </w:rPr>
        <w:t>O. J. L. S.</w:t>
      </w:r>
      <w:r w:rsidRPr="00777DC6">
        <w:rPr>
          <w:lang w:val="en-GB"/>
        </w:rPr>
        <w:t xml:space="preserve"> 2004, 693-716. </w:t>
      </w:r>
    </w:p>
    <w:p w:rsidR="00777DC6" w:rsidRPr="00777DC6" w:rsidRDefault="00777DC6" w:rsidP="00777DC6">
      <w:pPr>
        <w:numPr>
          <w:ilvl w:val="0"/>
          <w:numId w:val="4"/>
        </w:numPr>
        <w:jc w:val="both"/>
        <w:rPr>
          <w:i/>
          <w:lang w:val="en-GB"/>
        </w:rPr>
      </w:pPr>
      <w:proofErr w:type="spellStart"/>
      <w:r w:rsidRPr="00777DC6">
        <w:rPr>
          <w:lang w:val="en-GB"/>
        </w:rPr>
        <w:t>Bardasi</w:t>
      </w:r>
      <w:proofErr w:type="spellEnd"/>
      <w:r w:rsidRPr="00777DC6">
        <w:rPr>
          <w:lang w:val="en-GB"/>
        </w:rPr>
        <w:t xml:space="preserve"> E. and </w:t>
      </w:r>
      <w:proofErr w:type="spellStart"/>
      <w:r w:rsidRPr="00777DC6">
        <w:rPr>
          <w:lang w:val="en-GB"/>
        </w:rPr>
        <w:t>Gornick</w:t>
      </w:r>
      <w:proofErr w:type="spellEnd"/>
      <w:r w:rsidRPr="00777DC6">
        <w:rPr>
          <w:lang w:val="en-GB"/>
        </w:rPr>
        <w:t xml:space="preserve"> J., “Working for less? Women’s part time wage penalties across countries”, </w:t>
      </w:r>
      <w:r w:rsidRPr="00777DC6">
        <w:rPr>
          <w:i/>
          <w:lang w:val="en-GB"/>
        </w:rPr>
        <w:t>Feminist Economics</w:t>
      </w:r>
      <w:r w:rsidRPr="00777DC6">
        <w:rPr>
          <w:lang w:val="en-GB"/>
        </w:rPr>
        <w:t xml:space="preserve">, 2008, 37-72. </w:t>
      </w:r>
    </w:p>
    <w:p w:rsidR="00777DC6" w:rsidRPr="00777DC6" w:rsidRDefault="00777DC6" w:rsidP="00777DC6">
      <w:pPr>
        <w:numPr>
          <w:ilvl w:val="0"/>
          <w:numId w:val="4"/>
        </w:numPr>
        <w:jc w:val="both"/>
        <w:rPr>
          <w:i/>
          <w:lang w:val="en-GB"/>
        </w:rPr>
      </w:pPr>
      <w:r w:rsidRPr="00777DC6">
        <w:rPr>
          <w:lang w:val="en-GB"/>
        </w:rPr>
        <w:t xml:space="preserve">Barnard C. and </w:t>
      </w:r>
      <w:proofErr w:type="spellStart"/>
      <w:r w:rsidRPr="00777DC6">
        <w:rPr>
          <w:lang w:val="en-GB"/>
        </w:rPr>
        <w:t>Hepple</w:t>
      </w:r>
      <w:proofErr w:type="spellEnd"/>
      <w:r w:rsidRPr="00777DC6">
        <w:rPr>
          <w:lang w:val="en-GB"/>
        </w:rPr>
        <w:t xml:space="preserve"> B., “Substantive Equality”, </w:t>
      </w:r>
      <w:r w:rsidRPr="00777DC6">
        <w:rPr>
          <w:i/>
          <w:lang w:val="en-GB"/>
        </w:rPr>
        <w:t>Cambridge L. J.</w:t>
      </w:r>
      <w:r w:rsidRPr="00777DC6">
        <w:rPr>
          <w:lang w:val="en-GB"/>
        </w:rPr>
        <w:t xml:space="preserve"> 2000, 562-585. </w:t>
      </w:r>
    </w:p>
    <w:p w:rsidR="00777DC6" w:rsidRPr="00777DC6" w:rsidRDefault="00777DC6" w:rsidP="00777DC6">
      <w:pPr>
        <w:numPr>
          <w:ilvl w:val="0"/>
          <w:numId w:val="4"/>
        </w:numPr>
        <w:jc w:val="both"/>
        <w:rPr>
          <w:i/>
          <w:lang w:val="en-GB"/>
        </w:rPr>
      </w:pPr>
      <w:proofErr w:type="spellStart"/>
      <w:r w:rsidRPr="00777DC6">
        <w:rPr>
          <w:lang w:val="en-GB"/>
        </w:rPr>
        <w:t>Bayefsky</w:t>
      </w:r>
      <w:proofErr w:type="spellEnd"/>
      <w:r w:rsidRPr="00777DC6">
        <w:rPr>
          <w:lang w:val="en-GB"/>
        </w:rPr>
        <w:t xml:space="preserve"> A., “The principle of equality or non-discrimination in international law”, </w:t>
      </w:r>
      <w:r w:rsidRPr="00777DC6">
        <w:rPr>
          <w:i/>
          <w:lang w:val="en-GB"/>
        </w:rPr>
        <w:t xml:space="preserve">HRLJ </w:t>
      </w:r>
      <w:r w:rsidRPr="00777DC6">
        <w:rPr>
          <w:lang w:val="en-GB"/>
        </w:rPr>
        <w:t xml:space="preserve">1990, 1-34. </w:t>
      </w:r>
      <w:r w:rsidRPr="00777DC6">
        <w:rPr>
          <w:i/>
          <w:lang w:val="en-GB"/>
        </w:rPr>
        <w:t xml:space="preserve"> </w:t>
      </w:r>
    </w:p>
    <w:p w:rsidR="00777DC6" w:rsidRPr="00777DC6" w:rsidRDefault="00777DC6" w:rsidP="00777DC6">
      <w:pPr>
        <w:numPr>
          <w:ilvl w:val="0"/>
          <w:numId w:val="4"/>
        </w:numPr>
        <w:jc w:val="both"/>
        <w:rPr>
          <w:lang w:val="en-GB"/>
        </w:rPr>
      </w:pPr>
      <w:r w:rsidRPr="00777DC6">
        <w:rPr>
          <w:lang w:val="en-GB"/>
        </w:rPr>
        <w:t xml:space="preserve">Bell M., “Between </w:t>
      </w:r>
      <w:proofErr w:type="spellStart"/>
      <w:r w:rsidRPr="00777DC6">
        <w:rPr>
          <w:lang w:val="en-GB"/>
        </w:rPr>
        <w:t>Flexicurity</w:t>
      </w:r>
      <w:proofErr w:type="spellEnd"/>
      <w:r w:rsidRPr="00777DC6">
        <w:rPr>
          <w:lang w:val="en-GB"/>
        </w:rPr>
        <w:t xml:space="preserve"> and fundamental social rights: the EU Directives on atypical work”, </w:t>
      </w:r>
      <w:r w:rsidRPr="00777DC6">
        <w:rPr>
          <w:i/>
          <w:lang w:val="en-GB"/>
        </w:rPr>
        <w:t>E. L. Rev.</w:t>
      </w:r>
      <w:r w:rsidRPr="00777DC6">
        <w:rPr>
          <w:lang w:val="en-GB"/>
        </w:rPr>
        <w:t xml:space="preserve"> 2012, 31-48. </w:t>
      </w:r>
    </w:p>
    <w:p w:rsidR="00777DC6" w:rsidRPr="00777DC6" w:rsidRDefault="00777DC6" w:rsidP="00777DC6">
      <w:pPr>
        <w:numPr>
          <w:ilvl w:val="0"/>
          <w:numId w:val="4"/>
        </w:numPr>
        <w:jc w:val="both"/>
        <w:rPr>
          <w:i/>
          <w:lang w:val="en-GB"/>
        </w:rPr>
      </w:pPr>
      <w:proofErr w:type="spellStart"/>
      <w:r w:rsidRPr="00777DC6">
        <w:rPr>
          <w:lang w:val="en-GB"/>
        </w:rPr>
        <w:t>Bercusson</w:t>
      </w:r>
      <w:proofErr w:type="spellEnd"/>
      <w:r w:rsidRPr="00777DC6">
        <w:rPr>
          <w:lang w:val="en-GB"/>
        </w:rPr>
        <w:t xml:space="preserve"> B., “The Lisbon Treaty and Social Europe”, </w:t>
      </w:r>
      <w:r w:rsidRPr="00777DC6">
        <w:rPr>
          <w:i/>
          <w:lang w:val="en-GB"/>
        </w:rPr>
        <w:t>ERA Forum</w:t>
      </w:r>
      <w:r w:rsidRPr="00777DC6">
        <w:rPr>
          <w:lang w:val="en-GB"/>
        </w:rPr>
        <w:t xml:space="preserve"> 2009, 87-105. </w:t>
      </w:r>
    </w:p>
    <w:p w:rsidR="00777DC6" w:rsidRPr="00777DC6" w:rsidRDefault="00777DC6" w:rsidP="00777DC6">
      <w:pPr>
        <w:numPr>
          <w:ilvl w:val="0"/>
          <w:numId w:val="4"/>
        </w:numPr>
        <w:jc w:val="both"/>
        <w:rPr>
          <w:lang w:val="en-GB"/>
        </w:rPr>
      </w:pPr>
      <w:r w:rsidRPr="00777DC6">
        <w:rPr>
          <w:lang w:val="en-GB"/>
        </w:rPr>
        <w:t xml:space="preserve">Bergmann B., “Long Leaves, Child Well-Being, and Gender Equality”, </w:t>
      </w:r>
      <w:r w:rsidRPr="00777DC6">
        <w:rPr>
          <w:i/>
          <w:lang w:val="en-GB"/>
        </w:rPr>
        <w:t>Politics &amp; Society</w:t>
      </w:r>
      <w:r w:rsidRPr="00777DC6">
        <w:rPr>
          <w:lang w:val="en-GB"/>
        </w:rPr>
        <w:t xml:space="preserve"> 2008, 350-359.</w:t>
      </w:r>
    </w:p>
    <w:p w:rsidR="00777DC6" w:rsidRPr="00777DC6" w:rsidRDefault="00777DC6" w:rsidP="00777DC6">
      <w:pPr>
        <w:numPr>
          <w:ilvl w:val="0"/>
          <w:numId w:val="4"/>
        </w:numPr>
        <w:jc w:val="both"/>
        <w:rPr>
          <w:i/>
          <w:lang w:val="en-GB"/>
        </w:rPr>
      </w:pPr>
      <w:proofErr w:type="spellStart"/>
      <w:r w:rsidRPr="00777DC6">
        <w:rPr>
          <w:lang w:val="en-GB"/>
        </w:rPr>
        <w:t>Besson</w:t>
      </w:r>
      <w:proofErr w:type="spellEnd"/>
      <w:r w:rsidRPr="00777DC6">
        <w:rPr>
          <w:lang w:val="en-GB"/>
        </w:rPr>
        <w:t xml:space="preserve"> S., “Evolutions in Non-Discrimination Law within the ECHR and the ESC Systems: It Takes Two Tango in the Council of Europe”, </w:t>
      </w:r>
      <w:r w:rsidRPr="00777DC6">
        <w:rPr>
          <w:i/>
          <w:lang w:val="en-GB"/>
        </w:rPr>
        <w:t>Am. J. Comp. L.</w:t>
      </w:r>
      <w:r w:rsidRPr="00777DC6">
        <w:rPr>
          <w:lang w:val="en-GB"/>
        </w:rPr>
        <w:t xml:space="preserve"> 2012, 147-180. </w:t>
      </w:r>
    </w:p>
    <w:p w:rsidR="00777DC6" w:rsidRPr="00777DC6" w:rsidRDefault="00777DC6" w:rsidP="00777DC6">
      <w:pPr>
        <w:numPr>
          <w:ilvl w:val="0"/>
          <w:numId w:val="4"/>
        </w:numPr>
        <w:jc w:val="both"/>
        <w:rPr>
          <w:i/>
          <w:lang w:val="en-GB"/>
        </w:rPr>
      </w:pPr>
      <w:proofErr w:type="spellStart"/>
      <w:r w:rsidRPr="00777DC6">
        <w:rPr>
          <w:lang w:val="en-GB"/>
        </w:rPr>
        <w:t>Besson</w:t>
      </w:r>
      <w:proofErr w:type="spellEnd"/>
      <w:r w:rsidRPr="00777DC6">
        <w:rPr>
          <w:lang w:val="en-GB"/>
        </w:rPr>
        <w:t xml:space="preserve"> S., “Gender Discrimination under EU and ECHR Law: Never Shall the Twain Meet?”, </w:t>
      </w:r>
      <w:r w:rsidRPr="00777DC6">
        <w:rPr>
          <w:i/>
          <w:lang w:val="en-GB"/>
        </w:rPr>
        <w:t>H. R. L. Rev.</w:t>
      </w:r>
      <w:r w:rsidRPr="00777DC6">
        <w:rPr>
          <w:lang w:val="en-GB"/>
        </w:rPr>
        <w:t xml:space="preserve"> 2008, 647-682.  </w:t>
      </w:r>
    </w:p>
    <w:p w:rsidR="00777DC6" w:rsidRPr="00777DC6" w:rsidRDefault="00777DC6" w:rsidP="00777DC6">
      <w:pPr>
        <w:numPr>
          <w:ilvl w:val="0"/>
          <w:numId w:val="4"/>
        </w:numPr>
        <w:jc w:val="both"/>
        <w:rPr>
          <w:i/>
          <w:lang w:val="en-GB"/>
        </w:rPr>
      </w:pPr>
      <w:proofErr w:type="spellStart"/>
      <w:r w:rsidRPr="00777DC6">
        <w:rPr>
          <w:lang w:val="en-GB"/>
        </w:rPr>
        <w:t>Beveridge</w:t>
      </w:r>
      <w:proofErr w:type="spellEnd"/>
      <w:r w:rsidRPr="00777DC6">
        <w:rPr>
          <w:lang w:val="en-GB"/>
        </w:rPr>
        <w:t xml:space="preserve"> F. and Nott S., “Women, Wealth and the Single Market”, </w:t>
      </w:r>
      <w:r w:rsidRPr="00777DC6">
        <w:rPr>
          <w:i/>
          <w:lang w:val="en-GB"/>
        </w:rPr>
        <w:t xml:space="preserve">Int’l Legal </w:t>
      </w:r>
      <w:proofErr w:type="spellStart"/>
      <w:r w:rsidRPr="00777DC6">
        <w:rPr>
          <w:i/>
          <w:lang w:val="en-GB"/>
        </w:rPr>
        <w:t>Persp</w:t>
      </w:r>
      <w:proofErr w:type="spellEnd"/>
      <w:r w:rsidRPr="00777DC6">
        <w:rPr>
          <w:i/>
          <w:lang w:val="en-GB"/>
        </w:rPr>
        <w:t>.</w:t>
      </w:r>
      <w:r w:rsidRPr="00777DC6">
        <w:rPr>
          <w:lang w:val="en-GB"/>
        </w:rPr>
        <w:t xml:space="preserve"> 1996, 1-36.  </w:t>
      </w:r>
    </w:p>
    <w:p w:rsidR="00777DC6" w:rsidRPr="00777DC6" w:rsidRDefault="00777DC6" w:rsidP="00777DC6">
      <w:pPr>
        <w:numPr>
          <w:ilvl w:val="0"/>
          <w:numId w:val="4"/>
        </w:numPr>
        <w:jc w:val="both"/>
        <w:rPr>
          <w:i/>
          <w:lang w:val="en-GB"/>
        </w:rPr>
      </w:pPr>
      <w:proofErr w:type="spellStart"/>
      <w:r w:rsidRPr="00777DC6">
        <w:rPr>
          <w:lang w:val="en-GB"/>
        </w:rPr>
        <w:t>Blanpain</w:t>
      </w:r>
      <w:proofErr w:type="spellEnd"/>
      <w:r w:rsidRPr="00777DC6">
        <w:rPr>
          <w:lang w:val="en-GB"/>
        </w:rPr>
        <w:t xml:space="preserve"> R., “1992 and Beyond: the impact of the European Community on the labour law systems of the member countries”, </w:t>
      </w:r>
      <w:r w:rsidRPr="00777DC6">
        <w:rPr>
          <w:i/>
          <w:lang w:val="en-GB"/>
        </w:rPr>
        <w:t>Comp. Lab. L. J.</w:t>
      </w:r>
      <w:r w:rsidRPr="00777DC6">
        <w:rPr>
          <w:lang w:val="en-GB"/>
        </w:rPr>
        <w:t xml:space="preserve"> 1989-1990, 403-410. </w:t>
      </w:r>
    </w:p>
    <w:p w:rsidR="00777DC6" w:rsidRPr="00777DC6" w:rsidRDefault="00777DC6" w:rsidP="00777DC6">
      <w:pPr>
        <w:numPr>
          <w:ilvl w:val="0"/>
          <w:numId w:val="4"/>
        </w:numPr>
        <w:jc w:val="both"/>
        <w:rPr>
          <w:lang w:val="en-GB"/>
        </w:rPr>
      </w:pPr>
      <w:proofErr w:type="spellStart"/>
      <w:r w:rsidRPr="00777DC6">
        <w:rPr>
          <w:lang w:val="en-US"/>
        </w:rPr>
        <w:t>Boch</w:t>
      </w:r>
      <w:proofErr w:type="spellEnd"/>
      <w:r w:rsidRPr="00777DC6">
        <w:rPr>
          <w:lang w:val="en-US"/>
        </w:rPr>
        <w:t xml:space="preserve"> C., “Official: during pregnancy, females are pregnant”, </w:t>
      </w:r>
      <w:r w:rsidRPr="00777DC6">
        <w:rPr>
          <w:i/>
          <w:lang w:val="en-US"/>
        </w:rPr>
        <w:t>E. L. Rev.</w:t>
      </w:r>
      <w:r w:rsidRPr="00777DC6">
        <w:rPr>
          <w:lang w:val="en-US"/>
        </w:rPr>
        <w:t xml:space="preserve"> 1998, 488-494. </w:t>
      </w:r>
    </w:p>
    <w:p w:rsidR="00777DC6" w:rsidRPr="00777DC6" w:rsidRDefault="00777DC6" w:rsidP="00777DC6">
      <w:pPr>
        <w:numPr>
          <w:ilvl w:val="0"/>
          <w:numId w:val="4"/>
        </w:numPr>
        <w:jc w:val="both"/>
        <w:rPr>
          <w:i/>
          <w:lang w:val="en-GB"/>
        </w:rPr>
      </w:pPr>
      <w:r w:rsidRPr="00777DC6">
        <w:rPr>
          <w:lang w:val="en-GB"/>
        </w:rPr>
        <w:lastRenderedPageBreak/>
        <w:t xml:space="preserve">Bolger M., “Protective Measures for Pregnant Workers; Maternity Leave; Parental Leave”, </w:t>
      </w:r>
      <w:r w:rsidRPr="00777DC6">
        <w:rPr>
          <w:i/>
          <w:lang w:val="en-GB"/>
        </w:rPr>
        <w:t>Academy of European Law</w:t>
      </w:r>
      <w:r w:rsidRPr="00777DC6">
        <w:rPr>
          <w:lang w:val="en-GB"/>
        </w:rPr>
        <w:t xml:space="preserve"> 2013, 1-21. </w:t>
      </w:r>
    </w:p>
    <w:p w:rsidR="00777DC6" w:rsidRPr="00777DC6" w:rsidRDefault="00777DC6" w:rsidP="00777DC6">
      <w:pPr>
        <w:numPr>
          <w:ilvl w:val="0"/>
          <w:numId w:val="4"/>
        </w:numPr>
        <w:jc w:val="both"/>
        <w:rPr>
          <w:i/>
          <w:lang w:val="en-GB"/>
        </w:rPr>
      </w:pPr>
      <w:proofErr w:type="spellStart"/>
      <w:r w:rsidRPr="00777DC6">
        <w:rPr>
          <w:lang w:val="en-GB"/>
        </w:rPr>
        <w:t>Bollé</w:t>
      </w:r>
      <w:proofErr w:type="spellEnd"/>
      <w:r w:rsidRPr="00777DC6">
        <w:rPr>
          <w:lang w:val="en-GB"/>
        </w:rPr>
        <w:t xml:space="preserve"> P., “Part-time work: Solution or trap?”, </w:t>
      </w:r>
      <w:r w:rsidRPr="00777DC6">
        <w:rPr>
          <w:i/>
          <w:lang w:val="en-GB"/>
        </w:rPr>
        <w:t>Int’l Lab. Rev.</w:t>
      </w:r>
      <w:r w:rsidRPr="00777DC6">
        <w:rPr>
          <w:lang w:val="en-GB"/>
        </w:rPr>
        <w:t xml:space="preserve"> 1997, 557-579. </w:t>
      </w:r>
    </w:p>
    <w:p w:rsidR="00777DC6" w:rsidRPr="00777DC6" w:rsidRDefault="00777DC6" w:rsidP="00777DC6">
      <w:pPr>
        <w:numPr>
          <w:ilvl w:val="0"/>
          <w:numId w:val="4"/>
        </w:numPr>
        <w:jc w:val="both"/>
        <w:rPr>
          <w:i/>
          <w:lang w:val="fr-FR"/>
        </w:rPr>
      </w:pPr>
      <w:proofErr w:type="spellStart"/>
      <w:r w:rsidRPr="00777DC6">
        <w:rPr>
          <w:lang w:val="fr-FR"/>
        </w:rPr>
        <w:t>Bribosia</w:t>
      </w:r>
      <w:proofErr w:type="spellEnd"/>
      <w:r w:rsidRPr="00777DC6">
        <w:rPr>
          <w:lang w:val="fr-FR"/>
        </w:rPr>
        <w:t xml:space="preserve"> E. et </w:t>
      </w:r>
      <w:proofErr w:type="spellStart"/>
      <w:r w:rsidRPr="00777DC6">
        <w:rPr>
          <w:lang w:val="fr-FR"/>
        </w:rPr>
        <w:t>Rorive</w:t>
      </w:r>
      <w:proofErr w:type="spellEnd"/>
      <w:r w:rsidRPr="00777DC6">
        <w:rPr>
          <w:lang w:val="fr-FR"/>
        </w:rPr>
        <w:t xml:space="preserve"> I., “Droit de l’égalité et de la non-discrimination”, </w:t>
      </w:r>
      <w:r w:rsidRPr="00777DC6">
        <w:rPr>
          <w:i/>
          <w:lang w:val="fr-FR"/>
        </w:rPr>
        <w:t>Journal européen des droits de l’homme</w:t>
      </w:r>
      <w:r w:rsidRPr="00777DC6">
        <w:rPr>
          <w:lang w:val="fr-FR"/>
        </w:rPr>
        <w:t xml:space="preserve"> 2013, 152-157. </w:t>
      </w:r>
    </w:p>
    <w:p w:rsidR="00777DC6" w:rsidRPr="00777DC6" w:rsidRDefault="00777DC6" w:rsidP="00777DC6">
      <w:pPr>
        <w:numPr>
          <w:ilvl w:val="0"/>
          <w:numId w:val="4"/>
        </w:numPr>
        <w:jc w:val="both"/>
        <w:rPr>
          <w:i/>
          <w:lang w:val="en-GB"/>
        </w:rPr>
      </w:pPr>
      <w:r w:rsidRPr="00777DC6">
        <w:rPr>
          <w:lang w:val="en-GB"/>
        </w:rPr>
        <w:t xml:space="preserve">Briggs A., “Waking Sleeping Beauty: The Revised European Social Charter”, </w:t>
      </w:r>
      <w:r w:rsidRPr="00777DC6">
        <w:rPr>
          <w:i/>
          <w:lang w:val="en-GB"/>
        </w:rPr>
        <w:t xml:space="preserve">Hum. </w:t>
      </w:r>
      <w:proofErr w:type="spellStart"/>
      <w:r w:rsidRPr="00777DC6">
        <w:rPr>
          <w:i/>
          <w:lang w:val="en-GB"/>
        </w:rPr>
        <w:t>Rts</w:t>
      </w:r>
      <w:proofErr w:type="spellEnd"/>
      <w:r w:rsidRPr="00777DC6">
        <w:rPr>
          <w:i/>
          <w:lang w:val="en-GB"/>
        </w:rPr>
        <w:t>. Brief</w:t>
      </w:r>
      <w:r w:rsidRPr="00777DC6">
        <w:rPr>
          <w:lang w:val="en-GB"/>
        </w:rPr>
        <w:t xml:space="preserve"> 2000, 24-27. </w:t>
      </w:r>
    </w:p>
    <w:p w:rsidR="00777DC6" w:rsidRPr="00777DC6" w:rsidRDefault="00777DC6" w:rsidP="00777DC6">
      <w:pPr>
        <w:numPr>
          <w:ilvl w:val="0"/>
          <w:numId w:val="4"/>
        </w:numPr>
        <w:jc w:val="both"/>
        <w:rPr>
          <w:lang w:val="en-US"/>
        </w:rPr>
      </w:pPr>
      <w:proofErr w:type="spellStart"/>
      <w:r w:rsidRPr="00777DC6">
        <w:rPr>
          <w:lang w:val="en-US"/>
        </w:rPr>
        <w:t>Bruning</w:t>
      </w:r>
      <w:proofErr w:type="spellEnd"/>
      <w:r w:rsidRPr="00777DC6">
        <w:rPr>
          <w:lang w:val="en-US"/>
        </w:rPr>
        <w:t xml:space="preserve"> G. and </w:t>
      </w:r>
      <w:proofErr w:type="spellStart"/>
      <w:r w:rsidRPr="00777DC6">
        <w:rPr>
          <w:lang w:val="en-US"/>
        </w:rPr>
        <w:t>Plantenga</w:t>
      </w:r>
      <w:proofErr w:type="spellEnd"/>
      <w:r w:rsidRPr="00777DC6">
        <w:rPr>
          <w:lang w:val="en-US"/>
        </w:rPr>
        <w:t xml:space="preserve"> J., “Parental Leave and Equal Opportunities: Experiences in Eight European Countries”, </w:t>
      </w:r>
      <w:r w:rsidRPr="00777DC6">
        <w:rPr>
          <w:i/>
          <w:lang w:val="en-US"/>
        </w:rPr>
        <w:t>JESP</w:t>
      </w:r>
      <w:r w:rsidRPr="00777DC6">
        <w:rPr>
          <w:lang w:val="en-US"/>
        </w:rPr>
        <w:t xml:space="preserve"> 1999, 195-209. </w:t>
      </w:r>
    </w:p>
    <w:p w:rsidR="00777DC6" w:rsidRPr="00777DC6" w:rsidRDefault="00777DC6" w:rsidP="00777DC6">
      <w:pPr>
        <w:numPr>
          <w:ilvl w:val="0"/>
          <w:numId w:val="4"/>
        </w:numPr>
        <w:jc w:val="both"/>
      </w:pPr>
      <w:proofErr w:type="spellStart"/>
      <w:r w:rsidRPr="00777DC6">
        <w:t>Brunott</w:t>
      </w:r>
      <w:proofErr w:type="spellEnd"/>
      <w:r w:rsidRPr="00777DC6">
        <w:t xml:space="preserve"> L., “Mensenrechten als vrouwenrechten”, </w:t>
      </w:r>
      <w:r w:rsidRPr="00777DC6">
        <w:rPr>
          <w:i/>
        </w:rPr>
        <w:t>Nemesis</w:t>
      </w:r>
      <w:r w:rsidRPr="00777DC6">
        <w:t xml:space="preserve"> 1991, 27-30. </w:t>
      </w:r>
    </w:p>
    <w:p w:rsidR="00777DC6" w:rsidRPr="00777DC6" w:rsidRDefault="00777DC6" w:rsidP="00777DC6">
      <w:pPr>
        <w:numPr>
          <w:ilvl w:val="0"/>
          <w:numId w:val="4"/>
        </w:numPr>
        <w:jc w:val="both"/>
      </w:pPr>
      <w:proofErr w:type="spellStart"/>
      <w:r w:rsidRPr="00777DC6">
        <w:t>Burri</w:t>
      </w:r>
      <w:proofErr w:type="spellEnd"/>
      <w:r w:rsidRPr="00777DC6">
        <w:t xml:space="preserve"> S., “En ze zorgden nog lang en gelukkig”, </w:t>
      </w:r>
      <w:r w:rsidRPr="00777DC6">
        <w:rPr>
          <w:i/>
        </w:rPr>
        <w:t>Nemesis</w:t>
      </w:r>
      <w:r w:rsidRPr="00777DC6">
        <w:t xml:space="preserve"> 2001, 70-78. </w:t>
      </w:r>
    </w:p>
    <w:p w:rsidR="00777DC6" w:rsidRPr="00777DC6" w:rsidRDefault="00777DC6" w:rsidP="00777DC6">
      <w:pPr>
        <w:numPr>
          <w:ilvl w:val="0"/>
          <w:numId w:val="4"/>
        </w:numPr>
        <w:jc w:val="both"/>
        <w:rPr>
          <w:lang w:val="en-GB"/>
        </w:rPr>
      </w:pPr>
      <w:r w:rsidRPr="00777DC6">
        <w:rPr>
          <w:lang w:val="en-GB"/>
        </w:rPr>
        <w:t xml:space="preserve">Burrows N., “Equal pay for work of equal value”, </w:t>
      </w:r>
      <w:r w:rsidRPr="00777DC6">
        <w:rPr>
          <w:i/>
          <w:lang w:val="en-GB"/>
        </w:rPr>
        <w:t>Academy of European Law</w:t>
      </w:r>
      <w:r w:rsidRPr="00777DC6">
        <w:rPr>
          <w:lang w:val="en-GB"/>
        </w:rPr>
        <w:t xml:space="preserve"> 2010, 1-12. </w:t>
      </w:r>
    </w:p>
    <w:p w:rsidR="00777DC6" w:rsidRPr="00777DC6" w:rsidRDefault="00777DC6" w:rsidP="00777DC6">
      <w:pPr>
        <w:numPr>
          <w:ilvl w:val="0"/>
          <w:numId w:val="4"/>
        </w:numPr>
        <w:jc w:val="both"/>
        <w:rPr>
          <w:lang w:val="en-GB"/>
        </w:rPr>
      </w:pPr>
      <w:r w:rsidRPr="00777DC6">
        <w:rPr>
          <w:lang w:val="en-GB"/>
        </w:rPr>
        <w:t xml:space="preserve">Burrows N. and Robison M., “Positive Action for Women in Employment: Time to Align with Europe?”, </w:t>
      </w:r>
      <w:r w:rsidRPr="00777DC6">
        <w:rPr>
          <w:i/>
          <w:lang w:val="en-GB"/>
        </w:rPr>
        <w:t>Brit. J. Law &amp; Soc.</w:t>
      </w:r>
      <w:r w:rsidRPr="00777DC6">
        <w:rPr>
          <w:lang w:val="en-GB"/>
        </w:rPr>
        <w:t xml:space="preserve"> 2006, 24-41. </w:t>
      </w:r>
    </w:p>
    <w:p w:rsidR="00777DC6" w:rsidRPr="00777DC6" w:rsidRDefault="00777DC6" w:rsidP="00777DC6">
      <w:pPr>
        <w:numPr>
          <w:ilvl w:val="0"/>
          <w:numId w:val="4"/>
        </w:numPr>
        <w:jc w:val="both"/>
        <w:rPr>
          <w:lang w:val="en-GB"/>
        </w:rPr>
      </w:pPr>
      <w:r w:rsidRPr="00777DC6">
        <w:rPr>
          <w:lang w:val="en-GB"/>
        </w:rPr>
        <w:t xml:space="preserve">Busby N., “Division of labour: maternity protection in Europe”, </w:t>
      </w:r>
      <w:r w:rsidRPr="00777DC6">
        <w:rPr>
          <w:i/>
          <w:lang w:val="en-GB"/>
        </w:rPr>
        <w:t xml:space="preserve">J. Soc. </w:t>
      </w:r>
      <w:proofErr w:type="spellStart"/>
      <w:r w:rsidRPr="00777DC6">
        <w:rPr>
          <w:i/>
          <w:lang w:val="en-GB"/>
        </w:rPr>
        <w:t>Wel</w:t>
      </w:r>
      <w:proofErr w:type="spellEnd"/>
      <w:r w:rsidRPr="00777DC6">
        <w:rPr>
          <w:i/>
          <w:lang w:val="en-GB"/>
        </w:rPr>
        <w:t>.&amp; Fam. L.</w:t>
      </w:r>
      <w:r w:rsidRPr="00777DC6">
        <w:rPr>
          <w:lang w:val="en-GB"/>
        </w:rPr>
        <w:t xml:space="preserve"> 2000, 277-294. </w:t>
      </w:r>
    </w:p>
    <w:p w:rsidR="00777DC6" w:rsidRPr="00777DC6" w:rsidRDefault="00777DC6" w:rsidP="00777DC6">
      <w:pPr>
        <w:numPr>
          <w:ilvl w:val="0"/>
          <w:numId w:val="4"/>
        </w:numPr>
        <w:jc w:val="both"/>
        <w:rPr>
          <w:i/>
          <w:lang w:val="en-GB"/>
        </w:rPr>
      </w:pPr>
      <w:r w:rsidRPr="00777DC6">
        <w:rPr>
          <w:lang w:val="en-GB"/>
        </w:rPr>
        <w:t xml:space="preserve">Busby N., “The Part-Time Workers Regulations 2000: righting a wrong or out of proportion?”, </w:t>
      </w:r>
      <w:r w:rsidRPr="00777DC6">
        <w:rPr>
          <w:i/>
          <w:lang w:val="en-GB"/>
        </w:rPr>
        <w:t xml:space="preserve">J. B. L. </w:t>
      </w:r>
      <w:r w:rsidRPr="00777DC6">
        <w:rPr>
          <w:lang w:val="en-GB"/>
        </w:rPr>
        <w:t xml:space="preserve">2001, 344-356. </w:t>
      </w:r>
    </w:p>
    <w:p w:rsidR="00777DC6" w:rsidRPr="00777DC6" w:rsidRDefault="00777DC6" w:rsidP="00777DC6">
      <w:pPr>
        <w:numPr>
          <w:ilvl w:val="0"/>
          <w:numId w:val="4"/>
        </w:numPr>
        <w:jc w:val="both"/>
        <w:rPr>
          <w:i/>
          <w:lang w:val="en-GB"/>
        </w:rPr>
      </w:pPr>
      <w:r w:rsidRPr="00777DC6">
        <w:rPr>
          <w:lang w:val="en-GB"/>
        </w:rPr>
        <w:t xml:space="preserve">Byrnes A., “The ‘Other’ Human Rights Treaty Body: The Work of the Committee on the Elimination of Discrimination Against Women”, </w:t>
      </w:r>
      <w:r w:rsidRPr="00777DC6">
        <w:rPr>
          <w:i/>
          <w:lang w:val="en-GB"/>
        </w:rPr>
        <w:t>Yale J. Int’l L.</w:t>
      </w:r>
      <w:r w:rsidRPr="00777DC6">
        <w:rPr>
          <w:lang w:val="en-GB"/>
        </w:rPr>
        <w:t xml:space="preserve"> 1989, 1-67. </w:t>
      </w:r>
    </w:p>
    <w:p w:rsidR="00777DC6" w:rsidRPr="00777DC6" w:rsidRDefault="00777DC6" w:rsidP="00777DC6">
      <w:pPr>
        <w:numPr>
          <w:ilvl w:val="0"/>
          <w:numId w:val="4"/>
        </w:numPr>
        <w:jc w:val="both"/>
        <w:rPr>
          <w:i/>
          <w:lang w:val="en-GB"/>
        </w:rPr>
      </w:pPr>
      <w:proofErr w:type="spellStart"/>
      <w:r w:rsidRPr="00777DC6">
        <w:rPr>
          <w:lang w:val="en-GB"/>
        </w:rPr>
        <w:t>Caracciolo</w:t>
      </w:r>
      <w:proofErr w:type="spellEnd"/>
      <w:r w:rsidRPr="00777DC6">
        <w:rPr>
          <w:lang w:val="en-GB"/>
        </w:rPr>
        <w:t xml:space="preserve"> E., “The ‘Family-Friendly Workplace’: the EC Position”, </w:t>
      </w:r>
      <w:r w:rsidRPr="00777DC6">
        <w:rPr>
          <w:i/>
          <w:lang w:val="en-GB"/>
        </w:rPr>
        <w:t xml:space="preserve">Int. J. Comp. Lab. Law &amp; Ind. Rel. </w:t>
      </w:r>
      <w:r w:rsidRPr="00777DC6">
        <w:rPr>
          <w:lang w:val="en-US"/>
        </w:rPr>
        <w:t xml:space="preserve">2001, 325-344. </w:t>
      </w:r>
    </w:p>
    <w:p w:rsidR="00777DC6" w:rsidRPr="00777DC6" w:rsidRDefault="00777DC6" w:rsidP="00777DC6">
      <w:pPr>
        <w:numPr>
          <w:ilvl w:val="0"/>
          <w:numId w:val="4"/>
        </w:numPr>
        <w:jc w:val="both"/>
        <w:rPr>
          <w:i/>
          <w:lang w:val="en-GB"/>
        </w:rPr>
      </w:pPr>
      <w:proofErr w:type="spellStart"/>
      <w:r w:rsidRPr="00777DC6">
        <w:rPr>
          <w:lang w:val="en-GB"/>
        </w:rPr>
        <w:t>Charlesworth</w:t>
      </w:r>
      <w:proofErr w:type="spellEnd"/>
      <w:r w:rsidRPr="00777DC6">
        <w:rPr>
          <w:lang w:val="en-GB"/>
        </w:rPr>
        <w:t xml:space="preserve"> H., </w:t>
      </w:r>
      <w:proofErr w:type="spellStart"/>
      <w:r w:rsidRPr="00777DC6">
        <w:rPr>
          <w:lang w:val="en-GB"/>
        </w:rPr>
        <w:t>Chinkin</w:t>
      </w:r>
      <w:proofErr w:type="spellEnd"/>
      <w:r w:rsidRPr="00777DC6">
        <w:rPr>
          <w:lang w:val="en-GB"/>
        </w:rPr>
        <w:t xml:space="preserve"> C. and Wright S., “Feminist Approaches to International Law”, </w:t>
      </w:r>
      <w:r w:rsidRPr="00777DC6">
        <w:rPr>
          <w:i/>
          <w:lang w:val="en-GB"/>
        </w:rPr>
        <w:t>Am. J. Int’l L.</w:t>
      </w:r>
      <w:r w:rsidRPr="00777DC6">
        <w:rPr>
          <w:lang w:val="en-GB"/>
        </w:rPr>
        <w:t xml:space="preserve"> 1991, 613-645. </w:t>
      </w:r>
    </w:p>
    <w:p w:rsidR="00777DC6" w:rsidRPr="00777DC6" w:rsidRDefault="00777DC6" w:rsidP="00777DC6">
      <w:pPr>
        <w:numPr>
          <w:ilvl w:val="0"/>
          <w:numId w:val="4"/>
        </w:numPr>
        <w:jc w:val="both"/>
        <w:rPr>
          <w:i/>
          <w:lang w:val="en-GB"/>
        </w:rPr>
      </w:pPr>
      <w:proofErr w:type="spellStart"/>
      <w:r w:rsidRPr="00777DC6">
        <w:rPr>
          <w:lang w:val="en-GB"/>
        </w:rPr>
        <w:t>Charpentier</w:t>
      </w:r>
      <w:proofErr w:type="spellEnd"/>
      <w:r w:rsidRPr="00777DC6">
        <w:rPr>
          <w:lang w:val="en-GB"/>
        </w:rPr>
        <w:t xml:space="preserve"> L., “The European Court of Justice and the Rhetoric of Affirmative Action”, </w:t>
      </w:r>
      <w:r w:rsidRPr="00777DC6">
        <w:rPr>
          <w:i/>
          <w:lang w:val="en-GB"/>
        </w:rPr>
        <w:t>ELJ</w:t>
      </w:r>
      <w:r w:rsidRPr="00777DC6">
        <w:rPr>
          <w:lang w:val="en-GB"/>
        </w:rPr>
        <w:t xml:space="preserve"> 1998, 167-195.</w:t>
      </w:r>
    </w:p>
    <w:p w:rsidR="00777DC6" w:rsidRPr="00777DC6" w:rsidRDefault="00777DC6" w:rsidP="00777DC6">
      <w:pPr>
        <w:numPr>
          <w:ilvl w:val="0"/>
          <w:numId w:val="4"/>
        </w:numPr>
        <w:jc w:val="both"/>
        <w:rPr>
          <w:i/>
          <w:lang w:val="en-GB"/>
        </w:rPr>
      </w:pPr>
      <w:proofErr w:type="spellStart"/>
      <w:r w:rsidRPr="00777DC6">
        <w:rPr>
          <w:lang w:val="en-GB"/>
        </w:rPr>
        <w:t>Chemerinsky</w:t>
      </w:r>
      <w:proofErr w:type="spellEnd"/>
      <w:r w:rsidRPr="00777DC6">
        <w:rPr>
          <w:lang w:val="en-GB"/>
        </w:rPr>
        <w:t xml:space="preserve"> E., “Making Sense of the Affirmative Action Debate”, </w:t>
      </w:r>
      <w:r w:rsidRPr="00777DC6">
        <w:rPr>
          <w:i/>
          <w:lang w:val="en-GB"/>
        </w:rPr>
        <w:t>Ohio N. U. L. Rev.</w:t>
      </w:r>
      <w:r w:rsidRPr="00777DC6">
        <w:rPr>
          <w:lang w:val="en-GB"/>
        </w:rPr>
        <w:t xml:space="preserve"> 1995-1996, 1159-1176.</w:t>
      </w:r>
    </w:p>
    <w:p w:rsidR="00777DC6" w:rsidRPr="00E0604C" w:rsidRDefault="00777DC6" w:rsidP="00777DC6">
      <w:pPr>
        <w:numPr>
          <w:ilvl w:val="0"/>
          <w:numId w:val="4"/>
        </w:numPr>
        <w:jc w:val="both"/>
        <w:rPr>
          <w:lang w:val="en-US"/>
        </w:rPr>
      </w:pPr>
      <w:r w:rsidRPr="00777DC6">
        <w:rPr>
          <w:lang w:val="en-US"/>
        </w:rPr>
        <w:t xml:space="preserve">Chen M., “Protective Laws and the Convention on the Elimination of Discrimination Against Women”, </w:t>
      </w:r>
      <w:r w:rsidRPr="00777DC6">
        <w:rPr>
          <w:i/>
          <w:lang w:val="en-US"/>
        </w:rPr>
        <w:t xml:space="preserve">Women’s </w:t>
      </w:r>
      <w:proofErr w:type="spellStart"/>
      <w:r w:rsidRPr="00777DC6">
        <w:rPr>
          <w:i/>
          <w:lang w:val="en-US"/>
        </w:rPr>
        <w:t>Rts</w:t>
      </w:r>
      <w:proofErr w:type="spellEnd"/>
      <w:r w:rsidRPr="00777DC6">
        <w:rPr>
          <w:i/>
          <w:lang w:val="en-US"/>
        </w:rPr>
        <w:t>. L. Rep.</w:t>
      </w:r>
      <w:r w:rsidRPr="00777DC6">
        <w:rPr>
          <w:lang w:val="en-US"/>
        </w:rPr>
        <w:t xml:space="preserve"> 1993-1994, 1-37.</w:t>
      </w:r>
    </w:p>
    <w:p w:rsidR="00777DC6" w:rsidRPr="003C2797" w:rsidRDefault="00777DC6" w:rsidP="00777DC6">
      <w:pPr>
        <w:numPr>
          <w:ilvl w:val="0"/>
          <w:numId w:val="4"/>
        </w:numPr>
        <w:jc w:val="both"/>
        <w:rPr>
          <w:lang w:val="en-US"/>
        </w:rPr>
      </w:pPr>
      <w:proofErr w:type="spellStart"/>
      <w:r w:rsidRPr="00777DC6">
        <w:rPr>
          <w:lang w:val="en-US"/>
        </w:rPr>
        <w:lastRenderedPageBreak/>
        <w:t>Ciccia</w:t>
      </w:r>
      <w:proofErr w:type="spellEnd"/>
      <w:r w:rsidRPr="00777DC6">
        <w:rPr>
          <w:lang w:val="en-US"/>
        </w:rPr>
        <w:t xml:space="preserve"> R. and </w:t>
      </w:r>
      <w:proofErr w:type="spellStart"/>
      <w:r w:rsidRPr="00777DC6">
        <w:rPr>
          <w:lang w:val="en-US"/>
        </w:rPr>
        <w:t>Verloo</w:t>
      </w:r>
      <w:proofErr w:type="spellEnd"/>
      <w:r w:rsidRPr="00777DC6">
        <w:rPr>
          <w:lang w:val="en-US"/>
        </w:rPr>
        <w:t xml:space="preserve"> M., “Parental leave regulations and the persistence of the male breadwinner model: using fuzzy-set ideal type analysis to assess gender equality in an enlarged Europe”, </w:t>
      </w:r>
      <w:r w:rsidRPr="00777DC6">
        <w:rPr>
          <w:i/>
          <w:lang w:val="en-US"/>
        </w:rPr>
        <w:t>JESP</w:t>
      </w:r>
      <w:r w:rsidRPr="00777DC6">
        <w:rPr>
          <w:lang w:val="en-US"/>
        </w:rPr>
        <w:t xml:space="preserve"> 2012, 507-528. </w:t>
      </w:r>
    </w:p>
    <w:p w:rsidR="00777DC6" w:rsidRPr="000122ED" w:rsidRDefault="00777DC6" w:rsidP="00777DC6">
      <w:pPr>
        <w:numPr>
          <w:ilvl w:val="0"/>
          <w:numId w:val="4"/>
        </w:numPr>
        <w:jc w:val="both"/>
        <w:rPr>
          <w:lang w:val="en-US"/>
        </w:rPr>
      </w:pPr>
      <w:r w:rsidRPr="00777DC6">
        <w:rPr>
          <w:lang w:val="en-US"/>
        </w:rPr>
        <w:t xml:space="preserve">Clark B., “The Vienna Convention Reservations Regime and the Convention on Discrimination against Women”, </w:t>
      </w:r>
      <w:r w:rsidRPr="00777DC6">
        <w:rPr>
          <w:i/>
          <w:lang w:val="en-US"/>
        </w:rPr>
        <w:t>Am. J. Int’l L.</w:t>
      </w:r>
      <w:r w:rsidRPr="00777DC6">
        <w:rPr>
          <w:lang w:val="en-US"/>
        </w:rPr>
        <w:t xml:space="preserve"> 1991, 281-321. </w:t>
      </w:r>
    </w:p>
    <w:p w:rsidR="00777DC6" w:rsidRPr="00E0604C" w:rsidRDefault="00777DC6" w:rsidP="00777DC6">
      <w:pPr>
        <w:numPr>
          <w:ilvl w:val="0"/>
          <w:numId w:val="4"/>
        </w:numPr>
        <w:jc w:val="both"/>
        <w:rPr>
          <w:lang w:val="en-US"/>
        </w:rPr>
      </w:pPr>
      <w:proofErr w:type="spellStart"/>
      <w:r w:rsidRPr="00777DC6">
        <w:rPr>
          <w:lang w:val="en-US"/>
        </w:rPr>
        <w:t>Claussen</w:t>
      </w:r>
      <w:proofErr w:type="spellEnd"/>
      <w:r w:rsidRPr="00777DC6">
        <w:rPr>
          <w:lang w:val="en-US"/>
        </w:rPr>
        <w:t xml:space="preserve"> C., “Incorporating women’s reality into legal neutrality in the European Community: the sex segregation of labor and the work-family nexus”, </w:t>
      </w:r>
      <w:r w:rsidRPr="00777DC6">
        <w:rPr>
          <w:i/>
          <w:lang w:val="en-US"/>
        </w:rPr>
        <w:t xml:space="preserve">Law and Policy in International Business </w:t>
      </w:r>
      <w:r w:rsidRPr="00777DC6">
        <w:rPr>
          <w:lang w:val="en-US"/>
        </w:rPr>
        <w:t xml:space="preserve">1991, 787-813.  </w:t>
      </w:r>
    </w:p>
    <w:p w:rsidR="00777DC6" w:rsidRPr="00777DC6" w:rsidRDefault="00777DC6" w:rsidP="00777DC6">
      <w:pPr>
        <w:numPr>
          <w:ilvl w:val="0"/>
          <w:numId w:val="4"/>
        </w:numPr>
        <w:jc w:val="both"/>
        <w:rPr>
          <w:lang w:val="en-US"/>
        </w:rPr>
      </w:pPr>
      <w:r w:rsidRPr="00777DC6">
        <w:rPr>
          <w:lang w:val="en-US"/>
        </w:rPr>
        <w:t>Clayton A., “</w:t>
      </w:r>
      <w:proofErr w:type="spellStart"/>
      <w:r w:rsidRPr="00777DC6">
        <w:rPr>
          <w:lang w:val="en-US"/>
        </w:rPr>
        <w:t>Hellmut</w:t>
      </w:r>
      <w:proofErr w:type="spellEnd"/>
      <w:r w:rsidRPr="00777DC6">
        <w:rPr>
          <w:lang w:val="en-US"/>
        </w:rPr>
        <w:t xml:space="preserve"> </w:t>
      </w:r>
      <w:proofErr w:type="spellStart"/>
      <w:r w:rsidRPr="00777DC6">
        <w:rPr>
          <w:lang w:val="en-US"/>
        </w:rPr>
        <w:t>Marschall</w:t>
      </w:r>
      <w:proofErr w:type="spellEnd"/>
      <w:r w:rsidRPr="00777DC6">
        <w:rPr>
          <w:lang w:val="en-US"/>
        </w:rPr>
        <w:t xml:space="preserve"> v. Land </w:t>
      </w:r>
      <w:proofErr w:type="spellStart"/>
      <w:r w:rsidRPr="00777DC6">
        <w:rPr>
          <w:lang w:val="en-US"/>
        </w:rPr>
        <w:t>Nordrhein</w:t>
      </w:r>
      <w:proofErr w:type="spellEnd"/>
      <w:r w:rsidRPr="00777DC6">
        <w:rPr>
          <w:lang w:val="en-US"/>
        </w:rPr>
        <w:t xml:space="preserve"> </w:t>
      </w:r>
      <w:proofErr w:type="spellStart"/>
      <w:r w:rsidRPr="00777DC6">
        <w:rPr>
          <w:lang w:val="en-US"/>
        </w:rPr>
        <w:t>Westfalen</w:t>
      </w:r>
      <w:proofErr w:type="spellEnd"/>
      <w:r w:rsidRPr="00777DC6">
        <w:rPr>
          <w:lang w:val="en-US"/>
        </w:rPr>
        <w:t xml:space="preserve">: Has equal opportunity between the sexes finally found a champion in European Community law?”, </w:t>
      </w:r>
      <w:r w:rsidRPr="00777DC6">
        <w:rPr>
          <w:i/>
          <w:lang w:val="en-US"/>
        </w:rPr>
        <w:t>B. U. Int’l L. J.</w:t>
      </w:r>
      <w:r w:rsidRPr="00777DC6">
        <w:rPr>
          <w:lang w:val="en-US"/>
        </w:rPr>
        <w:t xml:space="preserve"> 1998, 423-451. </w:t>
      </w:r>
    </w:p>
    <w:p w:rsidR="00777DC6" w:rsidRPr="00777DC6" w:rsidRDefault="00777DC6" w:rsidP="00777DC6">
      <w:pPr>
        <w:numPr>
          <w:ilvl w:val="0"/>
          <w:numId w:val="4"/>
        </w:numPr>
        <w:jc w:val="both"/>
        <w:rPr>
          <w:i/>
          <w:lang w:val="en-GB"/>
        </w:rPr>
      </w:pPr>
      <w:r w:rsidRPr="00777DC6">
        <w:rPr>
          <w:lang w:val="en-GB"/>
        </w:rPr>
        <w:t xml:space="preserve">Cook R., “Reservations to the Convention on the Elimination of All Forms of Discrimination Against Women”, </w:t>
      </w:r>
      <w:r w:rsidRPr="00777DC6">
        <w:rPr>
          <w:i/>
          <w:lang w:val="en-GB"/>
        </w:rPr>
        <w:t>Va. J. Int’l L.</w:t>
      </w:r>
      <w:r w:rsidRPr="00777DC6">
        <w:rPr>
          <w:lang w:val="en-GB"/>
        </w:rPr>
        <w:t xml:space="preserve"> 1989-1990, 643-716. </w:t>
      </w:r>
    </w:p>
    <w:p w:rsidR="00777DC6" w:rsidRPr="00777DC6" w:rsidRDefault="00777DC6" w:rsidP="00777DC6">
      <w:pPr>
        <w:numPr>
          <w:ilvl w:val="0"/>
          <w:numId w:val="4"/>
        </w:numPr>
        <w:jc w:val="both"/>
        <w:rPr>
          <w:i/>
          <w:lang w:val="en-GB"/>
        </w:rPr>
      </w:pPr>
      <w:r w:rsidRPr="00777DC6">
        <w:rPr>
          <w:lang w:val="en-GB"/>
        </w:rPr>
        <w:t xml:space="preserve">Costello C. and Davies G., “The case law of the Court of Justice in the field of Sex Equality since 2000”, </w:t>
      </w:r>
      <w:r w:rsidRPr="00777DC6">
        <w:rPr>
          <w:i/>
          <w:lang w:val="en-GB"/>
        </w:rPr>
        <w:t xml:space="preserve">CMLR </w:t>
      </w:r>
      <w:r w:rsidRPr="00777DC6">
        <w:rPr>
          <w:lang w:val="en-GB"/>
        </w:rPr>
        <w:t>2006, 1567-1616.</w:t>
      </w:r>
    </w:p>
    <w:p w:rsidR="00777DC6" w:rsidRPr="00777DC6" w:rsidRDefault="00777DC6" w:rsidP="00777DC6">
      <w:pPr>
        <w:numPr>
          <w:ilvl w:val="0"/>
          <w:numId w:val="4"/>
        </w:numPr>
        <w:jc w:val="both"/>
        <w:rPr>
          <w:i/>
        </w:rPr>
      </w:pPr>
      <w:r w:rsidRPr="00777DC6">
        <w:t>Cremers E., “</w:t>
      </w:r>
      <w:proofErr w:type="spellStart"/>
      <w:r w:rsidRPr="00777DC6">
        <w:t>Zwangerschaps</w:t>
      </w:r>
      <w:proofErr w:type="spellEnd"/>
      <w:r w:rsidRPr="00777DC6">
        <w:t xml:space="preserve"> – en Bevallingsverlof Wet Arbeid en Zorg”, </w:t>
      </w:r>
      <w:r w:rsidRPr="00777DC6">
        <w:rPr>
          <w:i/>
        </w:rPr>
        <w:t xml:space="preserve">Nemesis </w:t>
      </w:r>
      <w:r w:rsidRPr="00777DC6">
        <w:t xml:space="preserve">2002, 119-127. </w:t>
      </w:r>
    </w:p>
    <w:p w:rsidR="00777DC6" w:rsidRPr="00777DC6" w:rsidRDefault="00777DC6" w:rsidP="00777DC6">
      <w:pPr>
        <w:numPr>
          <w:ilvl w:val="0"/>
          <w:numId w:val="4"/>
        </w:numPr>
        <w:jc w:val="both"/>
        <w:rPr>
          <w:i/>
          <w:lang w:val="en-US"/>
        </w:rPr>
      </w:pPr>
      <w:r w:rsidRPr="00777DC6">
        <w:rPr>
          <w:lang w:val="en-US"/>
        </w:rPr>
        <w:t xml:space="preserve">Date-Bah E., “Appropriate Policy for Gender Equality in Employment: Insights from the ILO Interdepartmental Project on Equality for Women in Employment”, </w:t>
      </w:r>
      <w:r w:rsidRPr="00777DC6">
        <w:rPr>
          <w:i/>
          <w:lang w:val="en-US"/>
        </w:rPr>
        <w:t xml:space="preserve">I. J. D. L. </w:t>
      </w:r>
      <w:r w:rsidRPr="00777DC6">
        <w:rPr>
          <w:lang w:val="en-US"/>
        </w:rPr>
        <w:t xml:space="preserve"> 1996, 3-22.</w:t>
      </w:r>
    </w:p>
    <w:p w:rsidR="00777DC6" w:rsidRPr="00777DC6" w:rsidRDefault="00777DC6" w:rsidP="00777DC6">
      <w:pPr>
        <w:numPr>
          <w:ilvl w:val="0"/>
          <w:numId w:val="4"/>
        </w:numPr>
        <w:jc w:val="both"/>
        <w:rPr>
          <w:i/>
        </w:rPr>
      </w:pPr>
      <w:r w:rsidRPr="00777DC6">
        <w:t xml:space="preserve">De Bruin </w:t>
      </w:r>
      <w:proofErr w:type="spellStart"/>
      <w:r w:rsidRPr="00777DC6">
        <w:t>E.,“Portret</w:t>
      </w:r>
      <w:proofErr w:type="spellEnd"/>
      <w:r w:rsidRPr="00777DC6">
        <w:t xml:space="preserve"> van de vieze man”,</w:t>
      </w:r>
      <w:r w:rsidRPr="00777DC6">
        <w:rPr>
          <w:i/>
        </w:rPr>
        <w:t xml:space="preserve"> NRC </w:t>
      </w:r>
      <w:r w:rsidRPr="00777DC6">
        <w:t>Handelsblad, 13 juni 1998.</w:t>
      </w:r>
      <w:r w:rsidRPr="00777DC6">
        <w:rPr>
          <w:i/>
        </w:rPr>
        <w:t xml:space="preserve"> </w:t>
      </w:r>
    </w:p>
    <w:p w:rsidR="00777DC6" w:rsidRPr="00777DC6" w:rsidRDefault="00777DC6" w:rsidP="00777DC6">
      <w:pPr>
        <w:numPr>
          <w:ilvl w:val="0"/>
          <w:numId w:val="4"/>
        </w:numPr>
        <w:jc w:val="both"/>
        <w:rPr>
          <w:lang w:val="en-US"/>
        </w:rPr>
      </w:pPr>
      <w:proofErr w:type="spellStart"/>
      <w:r w:rsidRPr="00777DC6">
        <w:rPr>
          <w:lang w:val="en-US"/>
        </w:rPr>
        <w:t>Defeis</w:t>
      </w:r>
      <w:proofErr w:type="spellEnd"/>
      <w:r w:rsidRPr="00777DC6">
        <w:rPr>
          <w:lang w:val="en-US"/>
        </w:rPr>
        <w:t xml:space="preserve"> E., “Human Rights and the European Court of Justice: An Appraisal”, </w:t>
      </w:r>
      <w:r w:rsidRPr="00777DC6">
        <w:rPr>
          <w:i/>
          <w:lang w:val="en-US"/>
        </w:rPr>
        <w:t xml:space="preserve">Fordham Int’l L. J. </w:t>
      </w:r>
      <w:r w:rsidRPr="00777DC6">
        <w:rPr>
          <w:lang w:val="en-US"/>
        </w:rPr>
        <w:t xml:space="preserve">2008, 1104-1117. </w:t>
      </w:r>
    </w:p>
    <w:p w:rsidR="00777DC6" w:rsidRPr="00777DC6" w:rsidRDefault="00777DC6" w:rsidP="00777DC6">
      <w:pPr>
        <w:numPr>
          <w:ilvl w:val="0"/>
          <w:numId w:val="4"/>
        </w:numPr>
        <w:jc w:val="both"/>
        <w:rPr>
          <w:lang w:val="en-US"/>
        </w:rPr>
      </w:pPr>
      <w:proofErr w:type="spellStart"/>
      <w:r w:rsidRPr="00777DC6">
        <w:rPr>
          <w:lang w:val="en-US"/>
        </w:rPr>
        <w:t>Defeis</w:t>
      </w:r>
      <w:proofErr w:type="spellEnd"/>
      <w:r w:rsidRPr="00777DC6">
        <w:rPr>
          <w:lang w:val="en-US"/>
        </w:rPr>
        <w:t xml:space="preserve"> E., “Women’s Human Rights: The Twenty-First Century”, </w:t>
      </w:r>
      <w:r w:rsidRPr="00777DC6">
        <w:rPr>
          <w:i/>
          <w:lang w:val="en-US"/>
        </w:rPr>
        <w:t>Fordham Int’l L. J.</w:t>
      </w:r>
      <w:r w:rsidRPr="00777DC6">
        <w:rPr>
          <w:lang w:val="en-US"/>
        </w:rPr>
        <w:t xml:space="preserve"> 1994-1995, 1748-1755. </w:t>
      </w:r>
    </w:p>
    <w:p w:rsidR="00777DC6" w:rsidRPr="00777DC6" w:rsidRDefault="00777DC6" w:rsidP="00777DC6">
      <w:pPr>
        <w:numPr>
          <w:ilvl w:val="0"/>
          <w:numId w:val="4"/>
        </w:numPr>
        <w:jc w:val="both"/>
        <w:rPr>
          <w:lang w:val="en-US"/>
        </w:rPr>
      </w:pPr>
      <w:r w:rsidRPr="00777DC6">
        <w:rPr>
          <w:lang w:val="en-US"/>
        </w:rPr>
        <w:t xml:space="preserve">De </w:t>
      </w:r>
      <w:proofErr w:type="spellStart"/>
      <w:r w:rsidRPr="00777DC6">
        <w:rPr>
          <w:lang w:val="en-US"/>
        </w:rPr>
        <w:t>Schutter</w:t>
      </w:r>
      <w:proofErr w:type="spellEnd"/>
      <w:r w:rsidRPr="00777DC6">
        <w:rPr>
          <w:lang w:val="en-US"/>
        </w:rPr>
        <w:t xml:space="preserve"> O., “Three Models of Equality and European Anti-Discrimination Law”, </w:t>
      </w:r>
      <w:r w:rsidRPr="00777DC6">
        <w:rPr>
          <w:i/>
          <w:lang w:val="en-US"/>
        </w:rPr>
        <w:t>NILQ</w:t>
      </w:r>
      <w:r w:rsidRPr="00777DC6">
        <w:rPr>
          <w:lang w:val="en-US"/>
        </w:rPr>
        <w:t xml:space="preserve"> 2006, 1-56. </w:t>
      </w:r>
    </w:p>
    <w:p w:rsidR="00777DC6" w:rsidRPr="00777DC6" w:rsidRDefault="00777DC6" w:rsidP="00777DC6">
      <w:pPr>
        <w:numPr>
          <w:ilvl w:val="0"/>
          <w:numId w:val="4"/>
        </w:numPr>
        <w:jc w:val="both"/>
        <w:rPr>
          <w:lang w:val="en-US"/>
        </w:rPr>
      </w:pPr>
      <w:r w:rsidRPr="00777DC6">
        <w:rPr>
          <w:lang w:val="en-US"/>
        </w:rPr>
        <w:t xml:space="preserve">De Silva De </w:t>
      </w:r>
      <w:proofErr w:type="spellStart"/>
      <w:r w:rsidRPr="00777DC6">
        <w:rPr>
          <w:lang w:val="en-US"/>
        </w:rPr>
        <w:t>Alwis</w:t>
      </w:r>
      <w:proofErr w:type="spellEnd"/>
      <w:r w:rsidRPr="00777DC6">
        <w:rPr>
          <w:lang w:val="en-US"/>
        </w:rPr>
        <w:t xml:space="preserve"> R., </w:t>
      </w:r>
      <w:r w:rsidRPr="00777DC6">
        <w:rPr>
          <w:lang w:val="en-GB"/>
        </w:rPr>
        <w:t xml:space="preserve">“Examining Gender Stereotypes in New Work/Family Reconciliation Policies: The Creation of a New Paradigm for Egalitarian Legislation”, </w:t>
      </w:r>
      <w:r w:rsidRPr="00777DC6">
        <w:rPr>
          <w:i/>
          <w:lang w:val="en-GB"/>
        </w:rPr>
        <w:t xml:space="preserve">Duke J. Gender L. &amp; </w:t>
      </w:r>
      <w:proofErr w:type="spellStart"/>
      <w:r w:rsidRPr="00777DC6">
        <w:rPr>
          <w:i/>
          <w:lang w:val="en-GB"/>
        </w:rPr>
        <w:t>Pol’y</w:t>
      </w:r>
      <w:proofErr w:type="spellEnd"/>
      <w:r w:rsidRPr="00777DC6">
        <w:rPr>
          <w:lang w:val="en-GB"/>
        </w:rPr>
        <w:t xml:space="preserve"> 2010-2011, 305-334. </w:t>
      </w:r>
      <w:r w:rsidRPr="00777DC6">
        <w:rPr>
          <w:lang w:val="en-US"/>
        </w:rPr>
        <w:t> </w:t>
      </w:r>
    </w:p>
    <w:p w:rsidR="00777DC6" w:rsidRPr="00777DC6" w:rsidRDefault="00777DC6" w:rsidP="00777DC6">
      <w:pPr>
        <w:numPr>
          <w:ilvl w:val="0"/>
          <w:numId w:val="4"/>
        </w:numPr>
        <w:jc w:val="both"/>
      </w:pPr>
      <w:proofErr w:type="spellStart"/>
      <w:r w:rsidRPr="00777DC6">
        <w:t>Dierx</w:t>
      </w:r>
      <w:proofErr w:type="spellEnd"/>
      <w:r w:rsidRPr="00777DC6">
        <w:t xml:space="preserve"> R. en Hut B., “Verslag van de workshop van het Symposium ‘Handen en Voeten aan het Vrouwenverdrag”, </w:t>
      </w:r>
      <w:r w:rsidRPr="00777DC6">
        <w:rPr>
          <w:i/>
        </w:rPr>
        <w:t>Nemesis</w:t>
      </w:r>
      <w:r w:rsidRPr="00777DC6">
        <w:t xml:space="preserve"> 1995, 19-22. </w:t>
      </w:r>
    </w:p>
    <w:p w:rsidR="00777DC6" w:rsidRDefault="00777DC6" w:rsidP="00777DC6">
      <w:pPr>
        <w:numPr>
          <w:ilvl w:val="0"/>
          <w:numId w:val="4"/>
        </w:numPr>
        <w:jc w:val="both"/>
        <w:rPr>
          <w:lang w:val="en-US"/>
        </w:rPr>
      </w:pPr>
      <w:r w:rsidRPr="00777DC6">
        <w:rPr>
          <w:lang w:val="en-US"/>
        </w:rPr>
        <w:t xml:space="preserve">do Rosario M., “Reconciling of Work and Family Life: Putting the fathers in context”, </w:t>
      </w:r>
      <w:r w:rsidRPr="00777DC6">
        <w:rPr>
          <w:i/>
          <w:lang w:val="en-US"/>
        </w:rPr>
        <w:t>Academy of European Law</w:t>
      </w:r>
      <w:r w:rsidRPr="00777DC6">
        <w:rPr>
          <w:lang w:val="en-US"/>
        </w:rPr>
        <w:t xml:space="preserve"> 2011, 1-10. </w:t>
      </w:r>
    </w:p>
    <w:p w:rsidR="00280014" w:rsidRPr="00280014" w:rsidRDefault="00280014" w:rsidP="00280014">
      <w:pPr>
        <w:numPr>
          <w:ilvl w:val="0"/>
          <w:numId w:val="4"/>
        </w:numPr>
        <w:jc w:val="both"/>
        <w:rPr>
          <w:lang w:val="en-US"/>
        </w:rPr>
      </w:pPr>
      <w:r w:rsidRPr="00777DC6">
        <w:rPr>
          <w:lang w:val="en-US"/>
        </w:rPr>
        <w:lastRenderedPageBreak/>
        <w:t xml:space="preserve">Douglas-Scott S., “The European Union and Human Rights after the Treaty of Lisbon”, </w:t>
      </w:r>
      <w:r w:rsidRPr="00777DC6">
        <w:rPr>
          <w:i/>
          <w:lang w:val="en-US"/>
        </w:rPr>
        <w:t>HRLR</w:t>
      </w:r>
      <w:r w:rsidRPr="00777DC6">
        <w:rPr>
          <w:lang w:val="en-US"/>
        </w:rPr>
        <w:t xml:space="preserve"> 2011, 645-682. </w:t>
      </w:r>
    </w:p>
    <w:p w:rsidR="00777DC6" w:rsidRPr="00777DC6" w:rsidRDefault="00777DC6" w:rsidP="00777DC6">
      <w:pPr>
        <w:numPr>
          <w:ilvl w:val="0"/>
          <w:numId w:val="4"/>
        </w:numPr>
        <w:jc w:val="both"/>
        <w:rPr>
          <w:lang w:val="en-GB"/>
        </w:rPr>
      </w:pPr>
      <w:r w:rsidRPr="00777DC6">
        <w:rPr>
          <w:lang w:val="en-GB"/>
        </w:rPr>
        <w:t xml:space="preserve">Earle B. and </w:t>
      </w:r>
      <w:proofErr w:type="spellStart"/>
      <w:r w:rsidRPr="00777DC6">
        <w:rPr>
          <w:lang w:val="en-GB"/>
        </w:rPr>
        <w:t>Madek</w:t>
      </w:r>
      <w:proofErr w:type="spellEnd"/>
      <w:r w:rsidRPr="00777DC6">
        <w:rPr>
          <w:lang w:val="en-GB"/>
        </w:rPr>
        <w:t xml:space="preserve"> G., “An International Perspective on Sexual Harassment Law”, </w:t>
      </w:r>
      <w:r w:rsidRPr="00777DC6">
        <w:rPr>
          <w:i/>
          <w:lang w:val="en-GB"/>
        </w:rPr>
        <w:t>Law and Inequality</w:t>
      </w:r>
      <w:r w:rsidRPr="00777DC6">
        <w:rPr>
          <w:lang w:val="en-GB"/>
        </w:rPr>
        <w:t xml:space="preserve"> 1993-1994, 43-92.</w:t>
      </w:r>
    </w:p>
    <w:p w:rsidR="00777DC6" w:rsidRPr="00777DC6" w:rsidRDefault="00777DC6" w:rsidP="00777DC6">
      <w:pPr>
        <w:numPr>
          <w:ilvl w:val="0"/>
          <w:numId w:val="4"/>
        </w:numPr>
        <w:jc w:val="both"/>
        <w:rPr>
          <w:lang w:val="en-US"/>
        </w:rPr>
      </w:pPr>
      <w:r w:rsidRPr="00777DC6">
        <w:rPr>
          <w:lang w:val="en-US"/>
        </w:rPr>
        <w:t xml:space="preserve">Ekberg J., Eriksson R. and </w:t>
      </w:r>
      <w:proofErr w:type="spellStart"/>
      <w:r w:rsidRPr="00777DC6">
        <w:rPr>
          <w:lang w:val="en-US"/>
        </w:rPr>
        <w:t>Friebel</w:t>
      </w:r>
      <w:proofErr w:type="spellEnd"/>
      <w:r w:rsidRPr="00777DC6">
        <w:rPr>
          <w:lang w:val="en-US"/>
        </w:rPr>
        <w:t xml:space="preserve"> G., “Parental leave – A policy evaluation of the Swedish “Daddy-Month” reform”, </w:t>
      </w:r>
      <w:r w:rsidRPr="00777DC6">
        <w:rPr>
          <w:i/>
          <w:lang w:val="en-US"/>
        </w:rPr>
        <w:t xml:space="preserve">J. of Public Economics </w:t>
      </w:r>
      <w:r w:rsidRPr="00777DC6">
        <w:rPr>
          <w:lang w:val="en-US"/>
        </w:rPr>
        <w:t xml:space="preserve">2013, 131-143. </w:t>
      </w:r>
    </w:p>
    <w:p w:rsidR="00777DC6" w:rsidRPr="00777DC6" w:rsidRDefault="00777DC6" w:rsidP="00777DC6">
      <w:pPr>
        <w:numPr>
          <w:ilvl w:val="0"/>
          <w:numId w:val="4"/>
        </w:numPr>
        <w:jc w:val="both"/>
        <w:rPr>
          <w:lang w:val="en-GB"/>
        </w:rPr>
      </w:pPr>
      <w:proofErr w:type="spellStart"/>
      <w:r w:rsidRPr="00777DC6">
        <w:rPr>
          <w:lang w:val="en-GB"/>
        </w:rPr>
        <w:t>Evatt</w:t>
      </w:r>
      <w:proofErr w:type="spellEnd"/>
      <w:r w:rsidRPr="00777DC6">
        <w:rPr>
          <w:lang w:val="en-GB"/>
        </w:rPr>
        <w:t xml:space="preserve"> E., “Eliminating Discrimination against Women: The Impact of the UN Convention”, </w:t>
      </w:r>
      <w:proofErr w:type="spellStart"/>
      <w:r w:rsidRPr="00777DC6">
        <w:rPr>
          <w:i/>
          <w:lang w:val="en-GB"/>
        </w:rPr>
        <w:t>Melb</w:t>
      </w:r>
      <w:proofErr w:type="spellEnd"/>
      <w:r w:rsidRPr="00777DC6">
        <w:rPr>
          <w:i/>
          <w:lang w:val="en-GB"/>
        </w:rPr>
        <w:t>. U. L. Rev.</w:t>
      </w:r>
      <w:r w:rsidRPr="00777DC6">
        <w:rPr>
          <w:lang w:val="en-GB"/>
        </w:rPr>
        <w:t xml:space="preserve"> 1991-1992, 435-449. </w:t>
      </w:r>
    </w:p>
    <w:p w:rsidR="00777DC6" w:rsidRPr="00777DC6" w:rsidRDefault="00777DC6" w:rsidP="00777DC6">
      <w:pPr>
        <w:numPr>
          <w:ilvl w:val="0"/>
          <w:numId w:val="4"/>
        </w:numPr>
        <w:jc w:val="both"/>
        <w:rPr>
          <w:lang w:val="en-GB"/>
        </w:rPr>
      </w:pPr>
      <w:proofErr w:type="spellStart"/>
      <w:r w:rsidRPr="00777DC6">
        <w:rPr>
          <w:lang w:val="en-GB"/>
        </w:rPr>
        <w:t>Facio</w:t>
      </w:r>
      <w:proofErr w:type="spellEnd"/>
      <w:r w:rsidRPr="00777DC6">
        <w:rPr>
          <w:lang w:val="en-GB"/>
        </w:rPr>
        <w:t xml:space="preserve"> A. and Morgan M., “Equity or Equality for Women? Understanding CEDAW’s Equality Principles”, </w:t>
      </w:r>
      <w:r w:rsidRPr="00777DC6">
        <w:rPr>
          <w:i/>
          <w:lang w:val="en-GB"/>
        </w:rPr>
        <w:t>Ala. L. Rev.</w:t>
      </w:r>
      <w:r w:rsidRPr="00777DC6">
        <w:rPr>
          <w:lang w:val="en-GB"/>
        </w:rPr>
        <w:t xml:space="preserve"> 2009, 1133-1170.</w:t>
      </w:r>
    </w:p>
    <w:p w:rsidR="00777DC6" w:rsidRPr="00557303" w:rsidRDefault="00777DC6" w:rsidP="00777DC6">
      <w:pPr>
        <w:numPr>
          <w:ilvl w:val="0"/>
          <w:numId w:val="4"/>
        </w:numPr>
        <w:jc w:val="both"/>
        <w:rPr>
          <w:lang w:val="en-US"/>
        </w:rPr>
      </w:pPr>
      <w:r w:rsidRPr="00777DC6">
        <w:rPr>
          <w:lang w:val="en-US"/>
        </w:rPr>
        <w:t xml:space="preserve">Falkner G. and </w:t>
      </w:r>
      <w:proofErr w:type="spellStart"/>
      <w:r w:rsidRPr="00777DC6">
        <w:rPr>
          <w:lang w:val="en-US"/>
        </w:rPr>
        <w:t>Hartlapp</w:t>
      </w:r>
      <w:proofErr w:type="spellEnd"/>
      <w:r w:rsidRPr="00777DC6">
        <w:rPr>
          <w:lang w:val="en-US"/>
        </w:rPr>
        <w:t xml:space="preserve"> M., “Non-compliance with EU directives in the Member States: Opposition through the Backdoor?”, </w:t>
      </w:r>
      <w:r w:rsidRPr="00777DC6">
        <w:rPr>
          <w:i/>
          <w:lang w:val="en-US"/>
        </w:rPr>
        <w:t>W. Eur. Pol.</w:t>
      </w:r>
      <w:r w:rsidRPr="00777DC6">
        <w:rPr>
          <w:lang w:val="en-US"/>
        </w:rPr>
        <w:t xml:space="preserve"> 2004, 452-473.</w:t>
      </w:r>
    </w:p>
    <w:p w:rsidR="00777DC6" w:rsidRPr="00557303" w:rsidRDefault="00777DC6" w:rsidP="00777DC6">
      <w:pPr>
        <w:numPr>
          <w:ilvl w:val="0"/>
          <w:numId w:val="4"/>
        </w:numPr>
        <w:jc w:val="both"/>
        <w:rPr>
          <w:lang w:val="en-US"/>
        </w:rPr>
      </w:pPr>
      <w:proofErr w:type="spellStart"/>
      <w:r w:rsidRPr="00777DC6">
        <w:rPr>
          <w:lang w:val="en-US"/>
        </w:rPr>
        <w:t>Fashoyin</w:t>
      </w:r>
      <w:proofErr w:type="spellEnd"/>
      <w:r w:rsidRPr="00777DC6">
        <w:rPr>
          <w:lang w:val="en-US"/>
        </w:rPr>
        <w:t xml:space="preserve"> T., “</w:t>
      </w:r>
      <w:proofErr w:type="spellStart"/>
      <w:r w:rsidRPr="00777DC6">
        <w:rPr>
          <w:lang w:val="en-US"/>
        </w:rPr>
        <w:t>Tripartism</w:t>
      </w:r>
      <w:proofErr w:type="spellEnd"/>
      <w:r w:rsidRPr="00777DC6">
        <w:rPr>
          <w:lang w:val="en-US"/>
        </w:rPr>
        <w:t xml:space="preserve"> and Other Actors in Social Dialogue”, </w:t>
      </w:r>
      <w:r w:rsidRPr="00777DC6">
        <w:rPr>
          <w:i/>
          <w:lang w:val="en-GB"/>
        </w:rPr>
        <w:t>Int. J. Comp. Lab. Law &amp; Ind. Rel.</w:t>
      </w:r>
      <w:r w:rsidRPr="00777DC6">
        <w:rPr>
          <w:lang w:val="en-GB"/>
        </w:rPr>
        <w:t xml:space="preserve"> 2005, 37-58. </w:t>
      </w:r>
    </w:p>
    <w:p w:rsidR="00777DC6" w:rsidRPr="00557303" w:rsidRDefault="00777DC6" w:rsidP="00777DC6">
      <w:pPr>
        <w:numPr>
          <w:ilvl w:val="0"/>
          <w:numId w:val="4"/>
        </w:numPr>
        <w:jc w:val="both"/>
        <w:rPr>
          <w:lang w:val="en-US"/>
        </w:rPr>
      </w:pPr>
      <w:r w:rsidRPr="00777DC6">
        <w:rPr>
          <w:lang w:val="en-US"/>
        </w:rPr>
        <w:t xml:space="preserve">Fenwick H., “From Formal to Substantive Equality: The Place of Affirmative Action in European Union Sex Equality Law”, </w:t>
      </w:r>
      <w:r w:rsidRPr="00777DC6">
        <w:rPr>
          <w:i/>
          <w:lang w:val="en-US"/>
        </w:rPr>
        <w:t>EPL</w:t>
      </w:r>
      <w:r w:rsidRPr="00777DC6">
        <w:rPr>
          <w:lang w:val="en-US"/>
        </w:rPr>
        <w:t xml:space="preserve"> 1998, 507-516. </w:t>
      </w:r>
    </w:p>
    <w:p w:rsidR="00777DC6" w:rsidRPr="00777DC6" w:rsidRDefault="00777DC6" w:rsidP="00777DC6">
      <w:pPr>
        <w:numPr>
          <w:ilvl w:val="0"/>
          <w:numId w:val="4"/>
        </w:numPr>
        <w:jc w:val="both"/>
        <w:rPr>
          <w:lang w:val="en-US"/>
        </w:rPr>
      </w:pPr>
      <w:r w:rsidRPr="00777DC6">
        <w:rPr>
          <w:lang w:val="en-US"/>
        </w:rPr>
        <w:t xml:space="preserve">Finlay L., “Transcending equality theory: A way out of the maternity and workplace debate”, </w:t>
      </w:r>
      <w:r w:rsidRPr="00777DC6">
        <w:rPr>
          <w:i/>
          <w:lang w:val="en-US"/>
        </w:rPr>
        <w:t>Colum. L. Rev.</w:t>
      </w:r>
      <w:r w:rsidRPr="00777DC6">
        <w:rPr>
          <w:lang w:val="en-US"/>
        </w:rPr>
        <w:t xml:space="preserve"> 1986, 1118-1182. </w:t>
      </w:r>
    </w:p>
    <w:p w:rsidR="00777DC6" w:rsidRPr="00777DC6" w:rsidRDefault="00777DC6" w:rsidP="00777DC6">
      <w:pPr>
        <w:numPr>
          <w:ilvl w:val="0"/>
          <w:numId w:val="4"/>
        </w:numPr>
        <w:jc w:val="both"/>
        <w:rPr>
          <w:i/>
          <w:lang w:val="en-GB"/>
        </w:rPr>
      </w:pPr>
      <w:r w:rsidRPr="00777DC6">
        <w:rPr>
          <w:lang w:val="en-GB"/>
        </w:rPr>
        <w:t xml:space="preserve">Fraser M., “New rights for old: Flexi-working and sex discrimination”, </w:t>
      </w:r>
      <w:r w:rsidRPr="00777DC6">
        <w:rPr>
          <w:i/>
          <w:lang w:val="en-GB"/>
        </w:rPr>
        <w:t>Employee Relations</w:t>
      </w:r>
      <w:r w:rsidRPr="00777DC6">
        <w:rPr>
          <w:lang w:val="en-GB"/>
        </w:rPr>
        <w:t xml:space="preserve"> 2004, 167-181. </w:t>
      </w:r>
    </w:p>
    <w:p w:rsidR="00777DC6" w:rsidRPr="00777DC6" w:rsidRDefault="00777DC6" w:rsidP="00777DC6">
      <w:pPr>
        <w:numPr>
          <w:ilvl w:val="0"/>
          <w:numId w:val="4"/>
        </w:numPr>
        <w:jc w:val="both"/>
        <w:rPr>
          <w:i/>
          <w:lang w:val="en-GB"/>
        </w:rPr>
      </w:pPr>
      <w:proofErr w:type="spellStart"/>
      <w:r w:rsidRPr="00777DC6">
        <w:rPr>
          <w:lang w:val="en-GB"/>
        </w:rPr>
        <w:t>Fredman</w:t>
      </w:r>
      <w:proofErr w:type="spellEnd"/>
      <w:r w:rsidRPr="00777DC6">
        <w:rPr>
          <w:lang w:val="en-GB"/>
        </w:rPr>
        <w:t xml:space="preserve"> S., “A difference with distinction: pregnancy and parenthood reassessed”, </w:t>
      </w:r>
      <w:r w:rsidRPr="00777DC6">
        <w:rPr>
          <w:i/>
          <w:lang w:val="en-GB"/>
        </w:rPr>
        <w:t>L.Q.R.</w:t>
      </w:r>
      <w:r w:rsidRPr="00777DC6">
        <w:rPr>
          <w:lang w:val="en-GB"/>
        </w:rPr>
        <w:t xml:space="preserve"> 1994, 106-123. </w:t>
      </w:r>
    </w:p>
    <w:p w:rsidR="00777DC6" w:rsidRPr="00777DC6" w:rsidRDefault="00777DC6" w:rsidP="00777DC6">
      <w:pPr>
        <w:numPr>
          <w:ilvl w:val="0"/>
          <w:numId w:val="4"/>
        </w:numPr>
        <w:jc w:val="both"/>
        <w:rPr>
          <w:i/>
          <w:lang w:val="en-GB"/>
        </w:rPr>
      </w:pPr>
      <w:proofErr w:type="spellStart"/>
      <w:r w:rsidRPr="00777DC6">
        <w:rPr>
          <w:lang w:val="en-GB"/>
        </w:rPr>
        <w:t>Fredman</w:t>
      </w:r>
      <w:proofErr w:type="spellEnd"/>
      <w:r w:rsidRPr="00777DC6">
        <w:rPr>
          <w:lang w:val="en-GB"/>
        </w:rPr>
        <w:t xml:space="preserve"> S., “Reversing Discrimination”, </w:t>
      </w:r>
      <w:r w:rsidRPr="00777DC6">
        <w:rPr>
          <w:i/>
          <w:lang w:val="en-GB"/>
        </w:rPr>
        <w:t>L.Q.R.</w:t>
      </w:r>
      <w:r w:rsidRPr="00777DC6">
        <w:rPr>
          <w:lang w:val="en-GB"/>
        </w:rPr>
        <w:t xml:space="preserve"> 1997, 575-600. </w:t>
      </w:r>
    </w:p>
    <w:p w:rsidR="00777DC6" w:rsidRPr="00777DC6" w:rsidRDefault="00777DC6" w:rsidP="00777DC6">
      <w:pPr>
        <w:numPr>
          <w:ilvl w:val="0"/>
          <w:numId w:val="4"/>
        </w:numPr>
        <w:jc w:val="both"/>
        <w:rPr>
          <w:lang w:val="en-GB"/>
        </w:rPr>
      </w:pPr>
      <w:proofErr w:type="spellStart"/>
      <w:r w:rsidRPr="00777DC6">
        <w:rPr>
          <w:lang w:val="en-GB"/>
        </w:rPr>
        <w:t>Fredman</w:t>
      </w:r>
      <w:proofErr w:type="spellEnd"/>
      <w:r w:rsidRPr="00777DC6">
        <w:rPr>
          <w:lang w:val="en-GB"/>
        </w:rPr>
        <w:t xml:space="preserve"> S., “Transformation or Dilution: Fundamental Rights in the EU Social Space”, </w:t>
      </w:r>
      <w:r w:rsidRPr="00777DC6">
        <w:rPr>
          <w:i/>
          <w:lang w:val="en-GB"/>
        </w:rPr>
        <w:t>ELJ</w:t>
      </w:r>
      <w:r w:rsidRPr="00777DC6">
        <w:rPr>
          <w:lang w:val="en-GB"/>
        </w:rPr>
        <w:t xml:space="preserve"> 2006, 41-60. </w:t>
      </w:r>
    </w:p>
    <w:p w:rsidR="00777DC6" w:rsidRPr="00777DC6" w:rsidRDefault="00777DC6" w:rsidP="00777DC6">
      <w:pPr>
        <w:numPr>
          <w:ilvl w:val="0"/>
          <w:numId w:val="4"/>
        </w:numPr>
        <w:jc w:val="both"/>
        <w:rPr>
          <w:i/>
          <w:lang w:val="en-US"/>
        </w:rPr>
      </w:pPr>
      <w:r w:rsidRPr="00777DC6">
        <w:rPr>
          <w:lang w:val="en-US"/>
        </w:rPr>
        <w:t xml:space="preserve">Gomes G., Owens J. and Morgan J., “Prohibiting sexual harassment in the European Union”, </w:t>
      </w:r>
      <w:r w:rsidRPr="00777DC6">
        <w:rPr>
          <w:i/>
          <w:lang w:val="en-US"/>
        </w:rPr>
        <w:t xml:space="preserve">Employee Relations </w:t>
      </w:r>
      <w:r w:rsidRPr="00777DC6">
        <w:rPr>
          <w:lang w:val="en-US"/>
        </w:rPr>
        <w:t xml:space="preserve">2004, 292-306. </w:t>
      </w:r>
    </w:p>
    <w:p w:rsidR="00777DC6" w:rsidRPr="00777DC6" w:rsidRDefault="00777DC6" w:rsidP="00777DC6">
      <w:pPr>
        <w:numPr>
          <w:ilvl w:val="0"/>
          <w:numId w:val="4"/>
        </w:numPr>
        <w:jc w:val="both"/>
        <w:rPr>
          <w:i/>
          <w:lang w:val="en-US"/>
        </w:rPr>
      </w:pPr>
      <w:r w:rsidRPr="00777DC6">
        <w:rPr>
          <w:lang w:val="en-US"/>
        </w:rPr>
        <w:t xml:space="preserve">Gregory J., “Sexual Harassment : Making the Best Use of European Law”, </w:t>
      </w:r>
      <w:r w:rsidRPr="00777DC6">
        <w:rPr>
          <w:i/>
          <w:lang w:val="en-US"/>
        </w:rPr>
        <w:t>European Journal of Women’s Studies</w:t>
      </w:r>
      <w:r w:rsidRPr="00777DC6">
        <w:rPr>
          <w:lang w:val="en-US"/>
        </w:rPr>
        <w:t xml:space="preserve"> 1995, 421-440. </w:t>
      </w:r>
    </w:p>
    <w:p w:rsidR="00777DC6" w:rsidRPr="00777DC6" w:rsidRDefault="00777DC6" w:rsidP="00777DC6">
      <w:pPr>
        <w:numPr>
          <w:ilvl w:val="0"/>
          <w:numId w:val="4"/>
        </w:numPr>
        <w:jc w:val="both"/>
        <w:rPr>
          <w:i/>
          <w:lang w:val="en-US"/>
        </w:rPr>
      </w:pPr>
      <w:proofErr w:type="spellStart"/>
      <w:r w:rsidRPr="00777DC6">
        <w:rPr>
          <w:lang w:val="en-US"/>
        </w:rPr>
        <w:t>Guerrina</w:t>
      </w:r>
      <w:proofErr w:type="spellEnd"/>
      <w:r w:rsidRPr="00777DC6">
        <w:rPr>
          <w:lang w:val="en-US"/>
        </w:rPr>
        <w:t xml:space="preserve"> R., “Mothering in Europe: Feminist Critique of European Policies on Motherhood and Employment”, </w:t>
      </w:r>
      <w:r w:rsidRPr="00777DC6">
        <w:rPr>
          <w:i/>
          <w:lang w:val="en-US"/>
        </w:rPr>
        <w:t>European Journal of Women’s Studies</w:t>
      </w:r>
      <w:r w:rsidRPr="00777DC6">
        <w:rPr>
          <w:lang w:val="en-US"/>
        </w:rPr>
        <w:t xml:space="preserve"> 2002, 49-68. </w:t>
      </w:r>
    </w:p>
    <w:p w:rsidR="00777DC6" w:rsidRPr="00777DC6" w:rsidRDefault="00777DC6" w:rsidP="00777DC6">
      <w:pPr>
        <w:numPr>
          <w:ilvl w:val="0"/>
          <w:numId w:val="4"/>
        </w:numPr>
        <w:jc w:val="both"/>
        <w:rPr>
          <w:i/>
          <w:lang w:val="en-US"/>
        </w:rPr>
      </w:pPr>
      <w:proofErr w:type="spellStart"/>
      <w:r w:rsidRPr="00777DC6">
        <w:rPr>
          <w:lang w:val="en-US"/>
        </w:rPr>
        <w:t>Gutek</w:t>
      </w:r>
      <w:proofErr w:type="spellEnd"/>
      <w:r w:rsidRPr="00777DC6">
        <w:rPr>
          <w:lang w:val="en-US"/>
        </w:rPr>
        <w:t xml:space="preserve"> B., “Understanding Sexual Harassment at Work”, </w:t>
      </w:r>
      <w:r w:rsidRPr="00777DC6">
        <w:rPr>
          <w:i/>
          <w:lang w:val="en-US"/>
        </w:rPr>
        <w:t xml:space="preserve">Notre Dame J. L. Ethics &amp; Pub. </w:t>
      </w:r>
      <w:proofErr w:type="spellStart"/>
      <w:r w:rsidRPr="00777DC6">
        <w:rPr>
          <w:i/>
          <w:lang w:val="en-US"/>
        </w:rPr>
        <w:t>Pol’y</w:t>
      </w:r>
      <w:proofErr w:type="spellEnd"/>
      <w:r w:rsidRPr="00777DC6">
        <w:rPr>
          <w:lang w:val="en-US"/>
        </w:rPr>
        <w:t xml:space="preserve"> 1992, 335-358. </w:t>
      </w:r>
    </w:p>
    <w:p w:rsidR="00777DC6" w:rsidRPr="00777DC6" w:rsidRDefault="00777DC6" w:rsidP="00777DC6">
      <w:pPr>
        <w:numPr>
          <w:ilvl w:val="0"/>
          <w:numId w:val="4"/>
        </w:numPr>
        <w:jc w:val="both"/>
        <w:rPr>
          <w:i/>
          <w:lang w:val="en-GB"/>
        </w:rPr>
      </w:pPr>
      <w:proofErr w:type="spellStart"/>
      <w:r w:rsidRPr="00777DC6">
        <w:rPr>
          <w:lang w:val="en-GB"/>
        </w:rPr>
        <w:lastRenderedPageBreak/>
        <w:t>Hadj</w:t>
      </w:r>
      <w:proofErr w:type="spellEnd"/>
      <w:r w:rsidRPr="00777DC6">
        <w:rPr>
          <w:lang w:val="en-GB"/>
        </w:rPr>
        <w:t xml:space="preserve"> </w:t>
      </w:r>
      <w:proofErr w:type="spellStart"/>
      <w:r w:rsidRPr="00777DC6">
        <w:rPr>
          <w:lang w:val="en-GB"/>
        </w:rPr>
        <w:t>Ayed</w:t>
      </w:r>
      <w:proofErr w:type="spellEnd"/>
      <w:r w:rsidRPr="00777DC6">
        <w:rPr>
          <w:lang w:val="en-GB"/>
        </w:rPr>
        <w:t xml:space="preserve"> S. and </w:t>
      </w:r>
      <w:proofErr w:type="spellStart"/>
      <w:r w:rsidRPr="00777DC6">
        <w:rPr>
          <w:lang w:val="en-GB"/>
        </w:rPr>
        <w:t>Masselot</w:t>
      </w:r>
      <w:proofErr w:type="spellEnd"/>
      <w:r w:rsidRPr="00777DC6">
        <w:rPr>
          <w:lang w:val="en-GB"/>
        </w:rPr>
        <w:t xml:space="preserve"> A., “Reconciliation between Work and Family Life in the EU: reshaping gendered structures?” </w:t>
      </w:r>
      <w:r w:rsidRPr="00777DC6">
        <w:rPr>
          <w:i/>
          <w:lang w:val="en-GB"/>
        </w:rPr>
        <w:t xml:space="preserve">J. Soc. </w:t>
      </w:r>
      <w:proofErr w:type="spellStart"/>
      <w:r w:rsidRPr="00777DC6">
        <w:rPr>
          <w:i/>
          <w:lang w:val="en-GB"/>
        </w:rPr>
        <w:t>Wel</w:t>
      </w:r>
      <w:proofErr w:type="spellEnd"/>
      <w:r w:rsidRPr="00777DC6">
        <w:rPr>
          <w:i/>
          <w:lang w:val="en-GB"/>
        </w:rPr>
        <w:t>. &amp; Fam. L.</w:t>
      </w:r>
      <w:r w:rsidRPr="00777DC6">
        <w:rPr>
          <w:lang w:val="en-GB"/>
        </w:rPr>
        <w:t xml:space="preserve"> 2004, 325-338. </w:t>
      </w:r>
    </w:p>
    <w:p w:rsidR="00777DC6" w:rsidRPr="00777DC6" w:rsidRDefault="00777DC6" w:rsidP="00777DC6">
      <w:pPr>
        <w:numPr>
          <w:ilvl w:val="0"/>
          <w:numId w:val="4"/>
        </w:numPr>
        <w:jc w:val="both"/>
        <w:rPr>
          <w:i/>
          <w:lang w:val="en-GB"/>
        </w:rPr>
      </w:pPr>
      <w:r w:rsidRPr="00777DC6">
        <w:rPr>
          <w:lang w:val="en-GB"/>
        </w:rPr>
        <w:t xml:space="preserve">Hardy S. and </w:t>
      </w:r>
      <w:proofErr w:type="spellStart"/>
      <w:r w:rsidRPr="00777DC6">
        <w:rPr>
          <w:lang w:val="en-GB"/>
        </w:rPr>
        <w:t>Adnett</w:t>
      </w:r>
      <w:proofErr w:type="spellEnd"/>
      <w:r w:rsidRPr="00777DC6">
        <w:rPr>
          <w:lang w:val="en-GB"/>
        </w:rPr>
        <w:t xml:space="preserve"> N., “The Parental Leave Directive: Towards a ‘Family-Friendly’ Social Europe?”, </w:t>
      </w:r>
      <w:r w:rsidRPr="00777DC6">
        <w:rPr>
          <w:i/>
          <w:lang w:val="en-GB"/>
        </w:rPr>
        <w:t xml:space="preserve">Eur. J. Ind. </w:t>
      </w:r>
      <w:proofErr w:type="spellStart"/>
      <w:r w:rsidRPr="00777DC6">
        <w:rPr>
          <w:i/>
          <w:lang w:val="en-GB"/>
        </w:rPr>
        <w:t>Relat</w:t>
      </w:r>
      <w:proofErr w:type="spellEnd"/>
      <w:r w:rsidRPr="00777DC6">
        <w:rPr>
          <w:i/>
          <w:lang w:val="en-GB"/>
        </w:rPr>
        <w:t>.</w:t>
      </w:r>
      <w:r w:rsidRPr="00777DC6">
        <w:rPr>
          <w:lang w:val="en-GB"/>
        </w:rPr>
        <w:t xml:space="preserve"> 2002, 157-172.  </w:t>
      </w:r>
    </w:p>
    <w:p w:rsidR="00777DC6" w:rsidRPr="00777DC6" w:rsidRDefault="00777DC6" w:rsidP="00777DC6">
      <w:pPr>
        <w:numPr>
          <w:ilvl w:val="0"/>
          <w:numId w:val="4"/>
        </w:numPr>
        <w:jc w:val="both"/>
        <w:rPr>
          <w:i/>
          <w:lang w:val="en-GB"/>
        </w:rPr>
      </w:pPr>
      <w:r w:rsidRPr="00777DC6">
        <w:rPr>
          <w:lang w:val="en-GB"/>
        </w:rPr>
        <w:t xml:space="preserve">Hart J., “The European Human Rights System”, </w:t>
      </w:r>
      <w:r w:rsidRPr="00777DC6">
        <w:rPr>
          <w:i/>
          <w:lang w:val="en-GB"/>
        </w:rPr>
        <w:t xml:space="preserve">L. </w:t>
      </w:r>
      <w:proofErr w:type="spellStart"/>
      <w:r w:rsidRPr="00777DC6">
        <w:rPr>
          <w:i/>
          <w:lang w:val="en-GB"/>
        </w:rPr>
        <w:t>Libr</w:t>
      </w:r>
      <w:proofErr w:type="spellEnd"/>
      <w:r w:rsidRPr="00777DC6">
        <w:rPr>
          <w:i/>
          <w:lang w:val="en-GB"/>
        </w:rPr>
        <w:t>. J.</w:t>
      </w:r>
      <w:r w:rsidRPr="00777DC6">
        <w:rPr>
          <w:lang w:val="en-GB"/>
        </w:rPr>
        <w:t xml:space="preserve"> 2010, 533-559. </w:t>
      </w:r>
    </w:p>
    <w:p w:rsidR="00777DC6" w:rsidRPr="00777DC6" w:rsidRDefault="00777DC6" w:rsidP="00777DC6">
      <w:pPr>
        <w:numPr>
          <w:ilvl w:val="0"/>
          <w:numId w:val="4"/>
        </w:numPr>
        <w:jc w:val="both"/>
        <w:rPr>
          <w:i/>
          <w:lang w:val="en-GB"/>
        </w:rPr>
      </w:pPr>
      <w:proofErr w:type="spellStart"/>
      <w:r w:rsidRPr="00777DC6">
        <w:rPr>
          <w:lang w:val="en-GB"/>
        </w:rPr>
        <w:t>Heide</w:t>
      </w:r>
      <w:proofErr w:type="spellEnd"/>
      <w:r w:rsidRPr="00777DC6">
        <w:rPr>
          <w:lang w:val="en-GB"/>
        </w:rPr>
        <w:t xml:space="preserve"> I., “Supranational action against sex discrimination: Equal pay and equal treatment in the European Union”, </w:t>
      </w:r>
      <w:r w:rsidRPr="00777DC6">
        <w:rPr>
          <w:i/>
          <w:lang w:val="en-GB"/>
        </w:rPr>
        <w:t xml:space="preserve">Int’l Lab. Rev. </w:t>
      </w:r>
      <w:r w:rsidRPr="00777DC6">
        <w:rPr>
          <w:lang w:val="en-GB"/>
        </w:rPr>
        <w:t xml:space="preserve">1999, 381-410. </w:t>
      </w:r>
    </w:p>
    <w:p w:rsidR="00777DC6" w:rsidRPr="00777DC6" w:rsidRDefault="00777DC6" w:rsidP="00777DC6">
      <w:pPr>
        <w:numPr>
          <w:ilvl w:val="0"/>
          <w:numId w:val="4"/>
        </w:numPr>
        <w:jc w:val="both"/>
        <w:rPr>
          <w:i/>
          <w:lang w:val="en-GB"/>
        </w:rPr>
      </w:pPr>
      <w:proofErr w:type="spellStart"/>
      <w:r w:rsidRPr="00777DC6">
        <w:rPr>
          <w:lang w:val="en-GB"/>
        </w:rPr>
        <w:t>Henever</w:t>
      </w:r>
      <w:proofErr w:type="spellEnd"/>
      <w:r w:rsidRPr="00777DC6">
        <w:rPr>
          <w:lang w:val="en-GB"/>
        </w:rPr>
        <w:t xml:space="preserve"> N., “An Analysis of Gender Based Treaty Law: Contemporary Developments in Historical Perspective”, </w:t>
      </w:r>
      <w:r w:rsidRPr="00777DC6">
        <w:rPr>
          <w:i/>
          <w:lang w:val="en-GB"/>
        </w:rPr>
        <w:t xml:space="preserve">Hum. </w:t>
      </w:r>
      <w:proofErr w:type="spellStart"/>
      <w:r w:rsidRPr="00777DC6">
        <w:rPr>
          <w:i/>
          <w:lang w:val="en-GB"/>
        </w:rPr>
        <w:t>Rts</w:t>
      </w:r>
      <w:proofErr w:type="spellEnd"/>
      <w:r w:rsidRPr="00777DC6">
        <w:rPr>
          <w:i/>
          <w:lang w:val="en-GB"/>
        </w:rPr>
        <w:t>. Q.</w:t>
      </w:r>
      <w:r w:rsidRPr="00777DC6">
        <w:rPr>
          <w:lang w:val="en-GB"/>
        </w:rPr>
        <w:t xml:space="preserve"> 1986, 70-88. </w:t>
      </w:r>
    </w:p>
    <w:p w:rsidR="00777DC6" w:rsidRPr="00777DC6" w:rsidRDefault="00777DC6" w:rsidP="00777DC6">
      <w:pPr>
        <w:numPr>
          <w:ilvl w:val="0"/>
          <w:numId w:val="4"/>
        </w:numPr>
        <w:jc w:val="both"/>
        <w:rPr>
          <w:i/>
          <w:lang w:val="en-GB"/>
        </w:rPr>
      </w:pPr>
      <w:proofErr w:type="spellStart"/>
      <w:r w:rsidRPr="00777DC6">
        <w:rPr>
          <w:lang w:val="en-GB"/>
        </w:rPr>
        <w:t>Hepple</w:t>
      </w:r>
      <w:proofErr w:type="spellEnd"/>
      <w:r w:rsidRPr="00777DC6">
        <w:rPr>
          <w:lang w:val="en-GB"/>
        </w:rPr>
        <w:t xml:space="preserve"> B., “Equality and empowerment for decent work”,</w:t>
      </w:r>
      <w:r w:rsidRPr="00777DC6">
        <w:rPr>
          <w:i/>
          <w:lang w:val="en-GB"/>
        </w:rPr>
        <w:t xml:space="preserve"> Int’l Lab. Rev. </w:t>
      </w:r>
      <w:r w:rsidRPr="00777DC6">
        <w:rPr>
          <w:lang w:val="en-GB"/>
        </w:rPr>
        <w:t xml:space="preserve">2001, 5-18. </w:t>
      </w:r>
    </w:p>
    <w:p w:rsidR="00777DC6" w:rsidRPr="00777DC6" w:rsidRDefault="00777DC6" w:rsidP="00777DC6">
      <w:pPr>
        <w:numPr>
          <w:ilvl w:val="0"/>
          <w:numId w:val="4"/>
        </w:numPr>
        <w:jc w:val="both"/>
        <w:rPr>
          <w:i/>
          <w:lang w:val="en-GB"/>
        </w:rPr>
      </w:pPr>
      <w:r w:rsidRPr="00777DC6">
        <w:rPr>
          <w:lang w:val="en-GB"/>
        </w:rPr>
        <w:t xml:space="preserve">Hervey T., “Thirty Years of EU Sex Equality Law: Looking Backwards, Looking Forwards”, </w:t>
      </w:r>
      <w:r w:rsidRPr="00777DC6">
        <w:rPr>
          <w:i/>
          <w:lang w:val="en-GB"/>
        </w:rPr>
        <w:t xml:space="preserve">MJ </w:t>
      </w:r>
      <w:r w:rsidRPr="00777DC6">
        <w:rPr>
          <w:lang w:val="en-GB"/>
        </w:rPr>
        <w:t>2005, 307-326.</w:t>
      </w:r>
    </w:p>
    <w:p w:rsidR="00777DC6" w:rsidRPr="00777DC6" w:rsidRDefault="00777DC6" w:rsidP="00777DC6">
      <w:pPr>
        <w:numPr>
          <w:ilvl w:val="0"/>
          <w:numId w:val="4"/>
        </w:numPr>
        <w:jc w:val="both"/>
        <w:rPr>
          <w:i/>
          <w:lang w:val="en-GB"/>
        </w:rPr>
      </w:pPr>
      <w:r w:rsidRPr="00777DC6">
        <w:rPr>
          <w:lang w:val="en-GB"/>
        </w:rPr>
        <w:t xml:space="preserve">Hervey T. and Shaw J., “Women, work and care: women’s dual role and double burden in EC sex equality law”, </w:t>
      </w:r>
      <w:r w:rsidRPr="00777DC6">
        <w:rPr>
          <w:i/>
          <w:lang w:val="en-GB"/>
        </w:rPr>
        <w:t xml:space="preserve">J. of Eur. Soc. Policy </w:t>
      </w:r>
      <w:r w:rsidRPr="00777DC6">
        <w:rPr>
          <w:lang w:val="en-GB"/>
        </w:rPr>
        <w:t>1998, 43-63.</w:t>
      </w:r>
    </w:p>
    <w:p w:rsidR="00777DC6" w:rsidRPr="00777DC6" w:rsidRDefault="00777DC6" w:rsidP="00777DC6">
      <w:pPr>
        <w:numPr>
          <w:ilvl w:val="0"/>
          <w:numId w:val="4"/>
        </w:numPr>
        <w:jc w:val="both"/>
        <w:rPr>
          <w:i/>
          <w:lang w:val="en-GB"/>
        </w:rPr>
      </w:pPr>
      <w:r w:rsidRPr="00777DC6">
        <w:rPr>
          <w:lang w:val="en-GB"/>
        </w:rPr>
        <w:t>Hodges-</w:t>
      </w:r>
      <w:proofErr w:type="spellStart"/>
      <w:r w:rsidRPr="00777DC6">
        <w:rPr>
          <w:lang w:val="en-GB"/>
        </w:rPr>
        <w:t>Aeberhard</w:t>
      </w:r>
      <w:proofErr w:type="spellEnd"/>
      <w:r w:rsidRPr="00777DC6">
        <w:rPr>
          <w:lang w:val="en-GB"/>
        </w:rPr>
        <w:t xml:space="preserve"> J., “Affirmative action in employment: Recent court approaches to a difficult concept”, </w:t>
      </w:r>
      <w:r w:rsidRPr="00777DC6">
        <w:rPr>
          <w:i/>
          <w:lang w:val="en-GB"/>
        </w:rPr>
        <w:t xml:space="preserve">Int’l Lab. Rev. </w:t>
      </w:r>
      <w:r w:rsidRPr="00777DC6">
        <w:rPr>
          <w:lang w:val="en-GB"/>
        </w:rPr>
        <w:t xml:space="preserve">1999, 247-272. </w:t>
      </w:r>
    </w:p>
    <w:p w:rsidR="00777DC6" w:rsidRPr="00777DC6" w:rsidRDefault="00777DC6" w:rsidP="00777DC6">
      <w:pPr>
        <w:numPr>
          <w:ilvl w:val="0"/>
          <w:numId w:val="4"/>
        </w:numPr>
        <w:jc w:val="both"/>
        <w:rPr>
          <w:i/>
          <w:lang w:val="en-GB"/>
        </w:rPr>
      </w:pPr>
      <w:proofErr w:type="spellStart"/>
      <w:r w:rsidRPr="00777DC6">
        <w:rPr>
          <w:lang w:val="en-GB"/>
        </w:rPr>
        <w:t>Holtmaat</w:t>
      </w:r>
      <w:proofErr w:type="spellEnd"/>
      <w:r w:rsidRPr="00777DC6">
        <w:rPr>
          <w:lang w:val="en-GB"/>
        </w:rPr>
        <w:t xml:space="preserve"> R., “Sexual Harassment and Harassment on the Ground of Sex in EU Law: A Conceptual Clarification”, </w:t>
      </w:r>
      <w:r w:rsidRPr="00777DC6">
        <w:rPr>
          <w:i/>
          <w:lang w:val="en-GB"/>
        </w:rPr>
        <w:t>European Gender Equality Law Review</w:t>
      </w:r>
      <w:r w:rsidRPr="00777DC6">
        <w:rPr>
          <w:lang w:val="en-GB"/>
        </w:rPr>
        <w:t xml:space="preserve"> 2011, 4-13. </w:t>
      </w:r>
    </w:p>
    <w:p w:rsidR="00777DC6" w:rsidRPr="00777DC6" w:rsidRDefault="00777DC6" w:rsidP="00777DC6">
      <w:pPr>
        <w:numPr>
          <w:ilvl w:val="0"/>
          <w:numId w:val="4"/>
        </w:numPr>
        <w:jc w:val="both"/>
        <w:rPr>
          <w:i/>
          <w:lang w:val="en-GB"/>
        </w:rPr>
      </w:pPr>
      <w:proofErr w:type="spellStart"/>
      <w:r w:rsidRPr="00777DC6">
        <w:rPr>
          <w:lang w:val="en-GB"/>
        </w:rPr>
        <w:t>Holtmaat</w:t>
      </w:r>
      <w:proofErr w:type="spellEnd"/>
      <w:r w:rsidRPr="00777DC6">
        <w:rPr>
          <w:lang w:val="en-GB"/>
        </w:rPr>
        <w:t xml:space="preserve"> R. and </w:t>
      </w:r>
      <w:proofErr w:type="spellStart"/>
      <w:r w:rsidRPr="00777DC6">
        <w:rPr>
          <w:lang w:val="en-GB"/>
        </w:rPr>
        <w:t>Tobler</w:t>
      </w:r>
      <w:proofErr w:type="spellEnd"/>
      <w:r w:rsidRPr="00777DC6">
        <w:rPr>
          <w:lang w:val="en-GB"/>
        </w:rPr>
        <w:t xml:space="preserve"> C., “CEDAW and the European Union’s policy in the field of combating gender discrimination”, </w:t>
      </w:r>
      <w:r w:rsidRPr="00777DC6">
        <w:rPr>
          <w:i/>
          <w:lang w:val="en-GB"/>
        </w:rPr>
        <w:t>MJ</w:t>
      </w:r>
      <w:r w:rsidRPr="00777DC6">
        <w:rPr>
          <w:lang w:val="en-GB"/>
        </w:rPr>
        <w:t xml:space="preserve"> 2005, 399-425. </w:t>
      </w:r>
    </w:p>
    <w:p w:rsidR="00777DC6" w:rsidRPr="00777DC6" w:rsidRDefault="00777DC6" w:rsidP="00777DC6">
      <w:pPr>
        <w:numPr>
          <w:ilvl w:val="0"/>
          <w:numId w:val="4"/>
        </w:numPr>
        <w:jc w:val="both"/>
        <w:rPr>
          <w:lang w:val="en-GB"/>
        </w:rPr>
      </w:pPr>
      <w:proofErr w:type="spellStart"/>
      <w:r w:rsidRPr="00777DC6">
        <w:rPr>
          <w:lang w:val="en-GB"/>
        </w:rPr>
        <w:t>Hoskyns</w:t>
      </w:r>
      <w:proofErr w:type="spellEnd"/>
      <w:r w:rsidRPr="00777DC6">
        <w:rPr>
          <w:lang w:val="en-GB"/>
        </w:rPr>
        <w:t xml:space="preserve"> C., “Gender Issues in International Relations: The Case of the European Community”, </w:t>
      </w:r>
      <w:r w:rsidRPr="00777DC6">
        <w:rPr>
          <w:i/>
          <w:lang w:val="en-GB"/>
        </w:rPr>
        <w:t>Rev. Int’l Stud.</w:t>
      </w:r>
      <w:r w:rsidRPr="00777DC6">
        <w:rPr>
          <w:lang w:val="en-GB"/>
        </w:rPr>
        <w:t xml:space="preserve"> 1994, 225-239. </w:t>
      </w:r>
    </w:p>
    <w:p w:rsidR="00777DC6" w:rsidRPr="00777DC6" w:rsidRDefault="00777DC6" w:rsidP="00777DC6">
      <w:pPr>
        <w:numPr>
          <w:ilvl w:val="0"/>
          <w:numId w:val="4"/>
        </w:numPr>
        <w:jc w:val="both"/>
        <w:rPr>
          <w:i/>
          <w:lang w:val="en-GB"/>
        </w:rPr>
      </w:pPr>
      <w:r w:rsidRPr="00777DC6">
        <w:rPr>
          <w:lang w:val="en-GB"/>
        </w:rPr>
        <w:t xml:space="preserve">Howard E., “Equality: A fundamental right in the European Union?”, </w:t>
      </w:r>
      <w:r w:rsidRPr="00777DC6">
        <w:rPr>
          <w:i/>
          <w:lang w:val="en-GB"/>
        </w:rPr>
        <w:t>I.J.D.L.</w:t>
      </w:r>
      <w:r w:rsidRPr="00777DC6">
        <w:rPr>
          <w:lang w:val="en-GB"/>
        </w:rPr>
        <w:t xml:space="preserve"> 2009, 19-38. </w:t>
      </w:r>
    </w:p>
    <w:p w:rsidR="00777DC6" w:rsidRPr="00777DC6" w:rsidRDefault="00777DC6" w:rsidP="00777DC6">
      <w:pPr>
        <w:numPr>
          <w:ilvl w:val="0"/>
          <w:numId w:val="4"/>
        </w:numPr>
        <w:jc w:val="both"/>
        <w:rPr>
          <w:lang w:val="en-GB"/>
        </w:rPr>
      </w:pPr>
      <w:r w:rsidRPr="00777DC6">
        <w:rPr>
          <w:lang w:val="en-GB"/>
        </w:rPr>
        <w:t xml:space="preserve">Howard E., “The European Year of Equal Opportunities for All – 2007: Is the EU Moving Away From a Formal Idea of Equality?”, </w:t>
      </w:r>
      <w:r w:rsidRPr="00777DC6">
        <w:rPr>
          <w:i/>
          <w:lang w:val="en-GB"/>
        </w:rPr>
        <w:t>ELJ</w:t>
      </w:r>
      <w:r w:rsidRPr="00777DC6">
        <w:rPr>
          <w:lang w:val="en-GB"/>
        </w:rPr>
        <w:t xml:space="preserve"> 2008, 168-185. </w:t>
      </w:r>
    </w:p>
    <w:p w:rsidR="00777DC6" w:rsidRPr="00777DC6" w:rsidRDefault="00777DC6" w:rsidP="00777DC6">
      <w:pPr>
        <w:numPr>
          <w:ilvl w:val="0"/>
          <w:numId w:val="4"/>
        </w:numPr>
        <w:jc w:val="both"/>
        <w:rPr>
          <w:lang w:val="en-US"/>
        </w:rPr>
      </w:pPr>
      <w:r w:rsidRPr="00777DC6">
        <w:rPr>
          <w:lang w:val="en-US"/>
        </w:rPr>
        <w:t xml:space="preserve">Husbands R., “Sexual Harassment Law in Employment: An International Perspective”, </w:t>
      </w:r>
      <w:r w:rsidRPr="00777DC6">
        <w:rPr>
          <w:i/>
          <w:lang w:val="en-US"/>
        </w:rPr>
        <w:t xml:space="preserve">Int’l </w:t>
      </w:r>
      <w:proofErr w:type="spellStart"/>
      <w:r w:rsidRPr="00777DC6">
        <w:rPr>
          <w:i/>
          <w:lang w:val="en-US"/>
        </w:rPr>
        <w:t>Lab..Rev</w:t>
      </w:r>
      <w:proofErr w:type="spellEnd"/>
      <w:r w:rsidRPr="00777DC6">
        <w:rPr>
          <w:i/>
          <w:lang w:val="en-US"/>
        </w:rPr>
        <w:t xml:space="preserve">. </w:t>
      </w:r>
      <w:r w:rsidRPr="00777DC6">
        <w:rPr>
          <w:lang w:val="en-US"/>
        </w:rPr>
        <w:t>1992, 535-559.</w:t>
      </w:r>
    </w:p>
    <w:p w:rsidR="00777DC6" w:rsidRPr="00777DC6" w:rsidRDefault="00777DC6" w:rsidP="00777DC6">
      <w:pPr>
        <w:numPr>
          <w:ilvl w:val="0"/>
          <w:numId w:val="4"/>
        </w:numPr>
        <w:jc w:val="both"/>
        <w:rPr>
          <w:i/>
          <w:lang w:val="en-GB"/>
        </w:rPr>
      </w:pPr>
      <w:r w:rsidRPr="00777DC6">
        <w:rPr>
          <w:lang w:val="en-GB"/>
        </w:rPr>
        <w:t xml:space="preserve">Jacobs F., “Human Rights in the European Union: the role of the Court of Justice”, </w:t>
      </w:r>
      <w:r w:rsidRPr="00777DC6">
        <w:rPr>
          <w:i/>
          <w:lang w:val="en-GB"/>
        </w:rPr>
        <w:t xml:space="preserve">E. L. Rev. </w:t>
      </w:r>
      <w:r w:rsidRPr="00777DC6">
        <w:rPr>
          <w:lang w:val="en-GB"/>
        </w:rPr>
        <w:t>2001, 331-341.</w:t>
      </w:r>
    </w:p>
    <w:p w:rsidR="00777DC6" w:rsidRPr="00737A9C" w:rsidRDefault="00777DC6" w:rsidP="00777DC6">
      <w:pPr>
        <w:numPr>
          <w:ilvl w:val="0"/>
          <w:numId w:val="4"/>
        </w:numPr>
        <w:jc w:val="both"/>
        <w:rPr>
          <w:lang w:val="en-US"/>
        </w:rPr>
      </w:pPr>
      <w:r w:rsidRPr="00777DC6">
        <w:rPr>
          <w:lang w:val="en-US"/>
        </w:rPr>
        <w:t xml:space="preserve">Jeffery M., “Not Really Going to Work? Of the Directive on Part-time Work, ‘Atypical Work’ and Attempts to Regulate It”, </w:t>
      </w:r>
      <w:r w:rsidRPr="00777DC6">
        <w:rPr>
          <w:i/>
          <w:lang w:val="en-US"/>
        </w:rPr>
        <w:t>Ind. L. J.</w:t>
      </w:r>
      <w:r w:rsidRPr="00777DC6">
        <w:rPr>
          <w:lang w:val="en-US"/>
        </w:rPr>
        <w:t xml:space="preserve"> 1998, 193-213. </w:t>
      </w:r>
    </w:p>
    <w:p w:rsidR="00777DC6" w:rsidRPr="007B28DF" w:rsidRDefault="00777DC6" w:rsidP="00777DC6">
      <w:pPr>
        <w:numPr>
          <w:ilvl w:val="0"/>
          <w:numId w:val="4"/>
        </w:numPr>
        <w:jc w:val="both"/>
        <w:rPr>
          <w:lang w:val="en-US"/>
        </w:rPr>
      </w:pPr>
      <w:r w:rsidRPr="00777DC6">
        <w:rPr>
          <w:lang w:val="en-US"/>
        </w:rPr>
        <w:lastRenderedPageBreak/>
        <w:t xml:space="preserve">Kaufman N., “An analysis of Gender Based Treaty law: Contemporary Developments in Historical Perspective”, </w:t>
      </w:r>
      <w:proofErr w:type="spellStart"/>
      <w:r w:rsidRPr="00777DC6">
        <w:rPr>
          <w:i/>
          <w:lang w:val="en-US"/>
        </w:rPr>
        <w:t>Hum.Rts.Q</w:t>
      </w:r>
      <w:proofErr w:type="spellEnd"/>
      <w:r w:rsidRPr="00777DC6">
        <w:rPr>
          <w:i/>
          <w:lang w:val="en-US"/>
        </w:rPr>
        <w:t>.</w:t>
      </w:r>
      <w:r w:rsidRPr="00777DC6">
        <w:rPr>
          <w:lang w:val="en-US"/>
        </w:rPr>
        <w:t xml:space="preserve"> 1986, 70-88.</w:t>
      </w:r>
    </w:p>
    <w:p w:rsidR="00777DC6" w:rsidRPr="000122ED" w:rsidRDefault="00777DC6" w:rsidP="00777DC6">
      <w:pPr>
        <w:numPr>
          <w:ilvl w:val="0"/>
          <w:numId w:val="4"/>
        </w:numPr>
        <w:jc w:val="both"/>
        <w:rPr>
          <w:lang w:val="en-US"/>
        </w:rPr>
      </w:pPr>
      <w:proofErr w:type="spellStart"/>
      <w:r w:rsidRPr="00777DC6">
        <w:rPr>
          <w:lang w:val="en-US"/>
        </w:rPr>
        <w:t>Kellerson</w:t>
      </w:r>
      <w:proofErr w:type="spellEnd"/>
      <w:r w:rsidRPr="00777DC6">
        <w:rPr>
          <w:lang w:val="en-US"/>
        </w:rPr>
        <w:t xml:space="preserve"> H., “The ILO Declaration of 1998 on fundamental principles and rights: A challenge for the future”, </w:t>
      </w:r>
      <w:r w:rsidRPr="00777DC6">
        <w:rPr>
          <w:i/>
          <w:lang w:val="en-US"/>
        </w:rPr>
        <w:t>Int’l Lab. Rev.</w:t>
      </w:r>
      <w:r w:rsidRPr="00777DC6">
        <w:rPr>
          <w:lang w:val="en-US"/>
        </w:rPr>
        <w:t xml:space="preserve"> 1998, 223-227. </w:t>
      </w:r>
    </w:p>
    <w:p w:rsidR="00777DC6" w:rsidRPr="007B28DF" w:rsidRDefault="00777DC6" w:rsidP="00777DC6">
      <w:pPr>
        <w:numPr>
          <w:ilvl w:val="0"/>
          <w:numId w:val="4"/>
        </w:numPr>
        <w:jc w:val="both"/>
        <w:rPr>
          <w:lang w:val="en-US"/>
        </w:rPr>
      </w:pPr>
      <w:proofErr w:type="spellStart"/>
      <w:r w:rsidRPr="00777DC6">
        <w:rPr>
          <w:lang w:val="en-US"/>
        </w:rPr>
        <w:t>Koh</w:t>
      </w:r>
      <w:proofErr w:type="spellEnd"/>
      <w:r w:rsidRPr="00777DC6">
        <w:rPr>
          <w:lang w:val="en-US"/>
        </w:rPr>
        <w:t xml:space="preserve"> H., “Why America Should Ratify the Women’s Rights Treaty”, </w:t>
      </w:r>
      <w:r w:rsidRPr="00777DC6">
        <w:rPr>
          <w:i/>
          <w:lang w:val="en-US"/>
        </w:rPr>
        <w:t>Case W. Res. J. Int’l L.</w:t>
      </w:r>
      <w:r w:rsidRPr="00777DC6">
        <w:rPr>
          <w:lang w:val="en-US"/>
        </w:rPr>
        <w:t xml:space="preserve"> 2002, 263-276. </w:t>
      </w:r>
    </w:p>
    <w:p w:rsidR="00777DC6" w:rsidRPr="008D4B56" w:rsidRDefault="00777DC6" w:rsidP="00777DC6">
      <w:pPr>
        <w:numPr>
          <w:ilvl w:val="0"/>
          <w:numId w:val="4"/>
        </w:numPr>
        <w:jc w:val="both"/>
        <w:rPr>
          <w:lang w:val="en-US"/>
        </w:rPr>
      </w:pPr>
      <w:proofErr w:type="spellStart"/>
      <w:r w:rsidRPr="00777DC6">
        <w:rPr>
          <w:lang w:val="en-US"/>
        </w:rPr>
        <w:t>Kombos</w:t>
      </w:r>
      <w:proofErr w:type="spellEnd"/>
      <w:r w:rsidRPr="00777DC6">
        <w:rPr>
          <w:lang w:val="en-US"/>
        </w:rPr>
        <w:t xml:space="preserve"> C. and </w:t>
      </w:r>
      <w:proofErr w:type="spellStart"/>
      <w:r w:rsidRPr="00777DC6">
        <w:rPr>
          <w:lang w:val="en-US"/>
        </w:rPr>
        <w:t>Hadjisolomou</w:t>
      </w:r>
      <w:proofErr w:type="spellEnd"/>
      <w:r w:rsidRPr="00777DC6">
        <w:rPr>
          <w:lang w:val="en-US"/>
        </w:rPr>
        <w:t xml:space="preserve"> M., “The Mechanisms Used by the ILO and the EU in Combating Employment Discrimination in Pay: Converging Divergence?”, </w:t>
      </w:r>
      <w:r w:rsidRPr="00777DC6">
        <w:rPr>
          <w:i/>
          <w:lang w:val="en-US"/>
        </w:rPr>
        <w:t>EJCL</w:t>
      </w:r>
      <w:r w:rsidRPr="00777DC6">
        <w:rPr>
          <w:lang w:val="en-US"/>
        </w:rPr>
        <w:t xml:space="preserve"> 2007, 1-38. </w:t>
      </w:r>
    </w:p>
    <w:p w:rsidR="00777DC6" w:rsidRPr="00777DC6" w:rsidRDefault="00777DC6" w:rsidP="00777DC6">
      <w:pPr>
        <w:numPr>
          <w:ilvl w:val="0"/>
          <w:numId w:val="4"/>
        </w:numPr>
        <w:jc w:val="both"/>
        <w:rPr>
          <w:lang w:val="en-US"/>
        </w:rPr>
      </w:pPr>
      <w:proofErr w:type="spellStart"/>
      <w:r w:rsidRPr="00777DC6">
        <w:rPr>
          <w:lang w:val="en-US"/>
        </w:rPr>
        <w:t>Koukoulis</w:t>
      </w:r>
      <w:proofErr w:type="spellEnd"/>
      <w:r w:rsidRPr="00777DC6">
        <w:rPr>
          <w:lang w:val="en-US"/>
        </w:rPr>
        <w:t xml:space="preserve"> – </w:t>
      </w:r>
      <w:proofErr w:type="spellStart"/>
      <w:r w:rsidRPr="00777DC6">
        <w:rPr>
          <w:lang w:val="en-US"/>
        </w:rPr>
        <w:t>Spiliotopoulos</w:t>
      </w:r>
      <w:proofErr w:type="spellEnd"/>
      <w:r w:rsidRPr="00777DC6">
        <w:rPr>
          <w:lang w:val="en-US"/>
        </w:rPr>
        <w:t xml:space="preserve"> S., “The amended equal treatment directive: an expression of constitutional principles/fundamental rights”, </w:t>
      </w:r>
      <w:r w:rsidRPr="00777DC6">
        <w:rPr>
          <w:i/>
          <w:lang w:val="en-US"/>
        </w:rPr>
        <w:t>MJ</w:t>
      </w:r>
      <w:r w:rsidRPr="00777DC6">
        <w:rPr>
          <w:lang w:val="en-US"/>
        </w:rPr>
        <w:t xml:space="preserve"> 2005, 327-368. </w:t>
      </w:r>
    </w:p>
    <w:p w:rsidR="00777DC6" w:rsidRPr="00777DC6" w:rsidRDefault="00777DC6" w:rsidP="00777DC6">
      <w:pPr>
        <w:numPr>
          <w:ilvl w:val="0"/>
          <w:numId w:val="4"/>
        </w:numPr>
        <w:jc w:val="both"/>
        <w:rPr>
          <w:lang w:val="en-GB"/>
        </w:rPr>
      </w:pPr>
      <w:proofErr w:type="spellStart"/>
      <w:r w:rsidRPr="00777DC6">
        <w:rPr>
          <w:lang w:val="en-GB"/>
        </w:rPr>
        <w:t>Krstic</w:t>
      </w:r>
      <w:proofErr w:type="spellEnd"/>
      <w:r w:rsidRPr="00777DC6">
        <w:rPr>
          <w:lang w:val="en-GB"/>
        </w:rPr>
        <w:t xml:space="preserve"> I., “Affirmative Action in the United States and the European Union: Comparison and Analysis”, </w:t>
      </w:r>
      <w:r w:rsidRPr="00777DC6">
        <w:rPr>
          <w:i/>
          <w:lang w:val="en-GB"/>
        </w:rPr>
        <w:t>Law and Politics</w:t>
      </w:r>
      <w:r w:rsidRPr="00777DC6">
        <w:rPr>
          <w:lang w:val="en-GB"/>
        </w:rPr>
        <w:t xml:space="preserve"> 2003, 825-843. </w:t>
      </w:r>
    </w:p>
    <w:p w:rsidR="00777DC6" w:rsidRPr="00777DC6" w:rsidRDefault="00777DC6" w:rsidP="00777DC6">
      <w:pPr>
        <w:numPr>
          <w:ilvl w:val="0"/>
          <w:numId w:val="4"/>
        </w:numPr>
        <w:jc w:val="both"/>
        <w:rPr>
          <w:lang w:val="en-GB"/>
        </w:rPr>
      </w:pPr>
      <w:proofErr w:type="spellStart"/>
      <w:r w:rsidRPr="00777DC6">
        <w:rPr>
          <w:lang w:val="en-GB"/>
        </w:rPr>
        <w:t>Lacey</w:t>
      </w:r>
      <w:proofErr w:type="spellEnd"/>
      <w:r w:rsidRPr="00777DC6">
        <w:rPr>
          <w:lang w:val="en-GB"/>
        </w:rPr>
        <w:t xml:space="preserve"> N., “Legislation Against Sex Discrimination: Questions From a Feminist Perspective”, </w:t>
      </w:r>
      <w:r w:rsidRPr="00777DC6">
        <w:rPr>
          <w:i/>
          <w:lang w:val="en-GB"/>
        </w:rPr>
        <w:t xml:space="preserve">Brit. J. L. &amp; </w:t>
      </w:r>
      <w:proofErr w:type="spellStart"/>
      <w:r w:rsidRPr="00777DC6">
        <w:rPr>
          <w:i/>
          <w:lang w:val="en-GB"/>
        </w:rPr>
        <w:t>Soc’y</w:t>
      </w:r>
      <w:proofErr w:type="spellEnd"/>
      <w:r w:rsidRPr="00777DC6">
        <w:rPr>
          <w:lang w:val="en-GB"/>
        </w:rPr>
        <w:t xml:space="preserve"> 1987, 411-421. </w:t>
      </w:r>
    </w:p>
    <w:p w:rsidR="00777DC6" w:rsidRPr="00777DC6" w:rsidRDefault="00777DC6" w:rsidP="00777DC6">
      <w:pPr>
        <w:numPr>
          <w:ilvl w:val="0"/>
          <w:numId w:val="4"/>
        </w:numPr>
        <w:jc w:val="both"/>
        <w:rPr>
          <w:lang w:val="en-US"/>
        </w:rPr>
      </w:pPr>
      <w:proofErr w:type="spellStart"/>
      <w:r w:rsidRPr="00777DC6">
        <w:rPr>
          <w:lang w:val="en-US"/>
        </w:rPr>
        <w:t>Langille</w:t>
      </w:r>
      <w:proofErr w:type="spellEnd"/>
      <w:r w:rsidRPr="00777DC6">
        <w:rPr>
          <w:lang w:val="en-US"/>
        </w:rPr>
        <w:t xml:space="preserve"> B., “Core </w:t>
      </w:r>
      <w:proofErr w:type="spellStart"/>
      <w:r w:rsidRPr="00777DC6">
        <w:rPr>
          <w:lang w:val="en-US"/>
        </w:rPr>
        <w:t>Labour</w:t>
      </w:r>
      <w:proofErr w:type="spellEnd"/>
      <w:r w:rsidRPr="00777DC6">
        <w:rPr>
          <w:lang w:val="en-US"/>
        </w:rPr>
        <w:t xml:space="preserve"> Rights – The True Story”, </w:t>
      </w:r>
      <w:r w:rsidRPr="00777DC6">
        <w:rPr>
          <w:i/>
          <w:lang w:val="en-US"/>
        </w:rPr>
        <w:t>EJIL</w:t>
      </w:r>
      <w:r w:rsidRPr="00777DC6">
        <w:rPr>
          <w:lang w:val="en-US"/>
        </w:rPr>
        <w:t xml:space="preserve"> 2005, 409-437. </w:t>
      </w:r>
    </w:p>
    <w:p w:rsidR="00777DC6" w:rsidRPr="00777DC6" w:rsidRDefault="00777DC6" w:rsidP="00777DC6">
      <w:pPr>
        <w:numPr>
          <w:ilvl w:val="0"/>
          <w:numId w:val="4"/>
        </w:numPr>
        <w:jc w:val="both"/>
        <w:rPr>
          <w:i/>
          <w:lang w:val="en-GB"/>
        </w:rPr>
      </w:pPr>
      <w:proofErr w:type="spellStart"/>
      <w:r w:rsidRPr="00777DC6">
        <w:rPr>
          <w:lang w:val="en-GB"/>
        </w:rPr>
        <w:t>Lenaerts</w:t>
      </w:r>
      <w:proofErr w:type="spellEnd"/>
      <w:r w:rsidRPr="00777DC6">
        <w:rPr>
          <w:lang w:val="en-GB"/>
        </w:rPr>
        <w:t xml:space="preserve"> K. and De </w:t>
      </w:r>
      <w:proofErr w:type="spellStart"/>
      <w:r w:rsidRPr="00777DC6">
        <w:rPr>
          <w:lang w:val="en-GB"/>
        </w:rPr>
        <w:t>Smijter</w:t>
      </w:r>
      <w:proofErr w:type="spellEnd"/>
      <w:r w:rsidRPr="00777DC6">
        <w:rPr>
          <w:lang w:val="en-GB"/>
        </w:rPr>
        <w:t xml:space="preserve"> E., “A ‘Bill of Rights’ for the European Union”, </w:t>
      </w:r>
      <w:r w:rsidRPr="00777DC6">
        <w:rPr>
          <w:i/>
          <w:lang w:val="en-GB"/>
        </w:rPr>
        <w:t>CMLR</w:t>
      </w:r>
      <w:r w:rsidRPr="00777DC6">
        <w:rPr>
          <w:lang w:val="en-GB"/>
        </w:rPr>
        <w:t xml:space="preserve"> 2001, 273-300. </w:t>
      </w:r>
    </w:p>
    <w:p w:rsidR="00777DC6" w:rsidRPr="00777DC6" w:rsidRDefault="00777DC6" w:rsidP="00777DC6">
      <w:pPr>
        <w:numPr>
          <w:ilvl w:val="0"/>
          <w:numId w:val="4"/>
        </w:numPr>
        <w:jc w:val="both"/>
        <w:rPr>
          <w:lang w:val="en-GB"/>
        </w:rPr>
      </w:pPr>
      <w:proofErr w:type="spellStart"/>
      <w:r w:rsidRPr="00777DC6">
        <w:rPr>
          <w:lang w:val="en-GB"/>
        </w:rPr>
        <w:t>Lenaerts</w:t>
      </w:r>
      <w:proofErr w:type="spellEnd"/>
      <w:r w:rsidRPr="00777DC6">
        <w:rPr>
          <w:lang w:val="en-GB"/>
        </w:rPr>
        <w:t xml:space="preserve"> K. and </w:t>
      </w:r>
      <w:proofErr w:type="spellStart"/>
      <w:r w:rsidRPr="00777DC6">
        <w:rPr>
          <w:lang w:val="en-GB"/>
        </w:rPr>
        <w:t>Foubert</w:t>
      </w:r>
      <w:proofErr w:type="spellEnd"/>
      <w:r w:rsidRPr="00777DC6">
        <w:rPr>
          <w:lang w:val="en-GB"/>
        </w:rPr>
        <w:t xml:space="preserve"> P., “Social Rights in the Case-Law of the European Court of Justice”, </w:t>
      </w:r>
      <w:r w:rsidRPr="00777DC6">
        <w:rPr>
          <w:i/>
          <w:lang w:val="en-GB"/>
        </w:rPr>
        <w:t xml:space="preserve">LIEI </w:t>
      </w:r>
      <w:r w:rsidRPr="00777DC6">
        <w:rPr>
          <w:lang w:val="en-GB"/>
        </w:rPr>
        <w:t>2001, 267-296.</w:t>
      </w:r>
    </w:p>
    <w:p w:rsidR="00777DC6" w:rsidRPr="008D4B56" w:rsidRDefault="00777DC6" w:rsidP="00777DC6">
      <w:pPr>
        <w:numPr>
          <w:ilvl w:val="0"/>
          <w:numId w:val="4"/>
        </w:numPr>
        <w:jc w:val="both"/>
      </w:pPr>
      <w:r w:rsidRPr="00777DC6">
        <w:t xml:space="preserve">Lijnzaad L., “Het kussen van een kikker”, </w:t>
      </w:r>
      <w:r w:rsidRPr="00777DC6">
        <w:rPr>
          <w:i/>
        </w:rPr>
        <w:t>Nemesis</w:t>
      </w:r>
      <w:r w:rsidRPr="00777DC6">
        <w:t xml:space="preserve"> 1991, 5-17. </w:t>
      </w:r>
    </w:p>
    <w:p w:rsidR="00777DC6" w:rsidRPr="00777DC6" w:rsidRDefault="00777DC6" w:rsidP="00777DC6">
      <w:pPr>
        <w:numPr>
          <w:ilvl w:val="0"/>
          <w:numId w:val="4"/>
        </w:numPr>
        <w:jc w:val="both"/>
        <w:rPr>
          <w:i/>
          <w:lang w:val="en-GB"/>
        </w:rPr>
      </w:pPr>
      <w:proofErr w:type="spellStart"/>
      <w:r w:rsidRPr="00777DC6">
        <w:rPr>
          <w:lang w:val="en-GB"/>
        </w:rPr>
        <w:t>Lucarelli</w:t>
      </w:r>
      <w:proofErr w:type="spellEnd"/>
      <w:r w:rsidRPr="00777DC6">
        <w:rPr>
          <w:lang w:val="en-GB"/>
        </w:rPr>
        <w:t xml:space="preserve"> S., “Seen From the Outside: The State of the Art on the External Image of the EU”, </w:t>
      </w:r>
      <w:r w:rsidRPr="00777DC6">
        <w:rPr>
          <w:i/>
          <w:lang w:val="en-GB"/>
        </w:rPr>
        <w:t xml:space="preserve">J. </w:t>
      </w:r>
      <w:proofErr w:type="spellStart"/>
      <w:r w:rsidRPr="00777DC6">
        <w:rPr>
          <w:i/>
          <w:lang w:val="en-GB"/>
        </w:rPr>
        <w:t>Europ</w:t>
      </w:r>
      <w:proofErr w:type="spellEnd"/>
      <w:r w:rsidRPr="00777DC6">
        <w:rPr>
          <w:i/>
          <w:lang w:val="en-GB"/>
        </w:rPr>
        <w:t>. Integration</w:t>
      </w:r>
      <w:r w:rsidRPr="00777DC6">
        <w:rPr>
          <w:lang w:val="en-GB"/>
        </w:rPr>
        <w:t xml:space="preserve"> 2013, 1-16. </w:t>
      </w:r>
    </w:p>
    <w:p w:rsidR="00777DC6" w:rsidRPr="00777DC6" w:rsidRDefault="00777DC6" w:rsidP="00777DC6">
      <w:pPr>
        <w:numPr>
          <w:ilvl w:val="0"/>
          <w:numId w:val="4"/>
        </w:numPr>
        <w:jc w:val="both"/>
        <w:rPr>
          <w:i/>
          <w:lang w:val="en-GB"/>
        </w:rPr>
      </w:pPr>
      <w:proofErr w:type="spellStart"/>
      <w:r w:rsidRPr="00777DC6">
        <w:rPr>
          <w:lang w:val="en-GB"/>
        </w:rPr>
        <w:t>Mair</w:t>
      </w:r>
      <w:proofErr w:type="spellEnd"/>
      <w:r w:rsidRPr="00777DC6">
        <w:rPr>
          <w:lang w:val="en-GB"/>
        </w:rPr>
        <w:t xml:space="preserve"> J., “Direct Discrimination: Limited by Definition?”, </w:t>
      </w:r>
      <w:r w:rsidRPr="00777DC6">
        <w:rPr>
          <w:i/>
          <w:lang w:val="en-GB"/>
        </w:rPr>
        <w:t xml:space="preserve">I. J. D. L. </w:t>
      </w:r>
      <w:r w:rsidRPr="00777DC6">
        <w:rPr>
          <w:lang w:val="en-GB"/>
        </w:rPr>
        <w:t>2009, 3-17.</w:t>
      </w:r>
    </w:p>
    <w:p w:rsidR="00777DC6" w:rsidRPr="00777DC6" w:rsidRDefault="00777DC6" w:rsidP="00777DC6">
      <w:pPr>
        <w:numPr>
          <w:ilvl w:val="0"/>
          <w:numId w:val="4"/>
        </w:numPr>
        <w:jc w:val="both"/>
        <w:rPr>
          <w:lang w:val="en-GB"/>
        </w:rPr>
      </w:pPr>
      <w:proofErr w:type="spellStart"/>
      <w:r w:rsidRPr="00777DC6">
        <w:rPr>
          <w:lang w:val="en-GB"/>
        </w:rPr>
        <w:t>Masselot</w:t>
      </w:r>
      <w:proofErr w:type="spellEnd"/>
      <w:r w:rsidRPr="00777DC6">
        <w:rPr>
          <w:lang w:val="en-GB"/>
        </w:rPr>
        <w:t xml:space="preserve"> A., “The New Equal Treatment Directive: Plus </w:t>
      </w:r>
      <w:proofErr w:type="spellStart"/>
      <w:r w:rsidRPr="00777DC6">
        <w:rPr>
          <w:lang w:val="en-GB"/>
        </w:rPr>
        <w:t>ça</w:t>
      </w:r>
      <w:proofErr w:type="spellEnd"/>
      <w:r w:rsidRPr="00777DC6">
        <w:rPr>
          <w:lang w:val="en-GB"/>
        </w:rPr>
        <w:t xml:space="preserve"> change...”, </w:t>
      </w:r>
      <w:r w:rsidRPr="00777DC6">
        <w:rPr>
          <w:i/>
          <w:lang w:val="en-GB"/>
        </w:rPr>
        <w:t>Fem. L. S.</w:t>
      </w:r>
      <w:r w:rsidRPr="00777DC6">
        <w:rPr>
          <w:lang w:val="en-GB"/>
        </w:rPr>
        <w:t xml:space="preserve"> 2004, 93-104. </w:t>
      </w:r>
    </w:p>
    <w:p w:rsidR="00777DC6" w:rsidRPr="00777DC6" w:rsidRDefault="00777DC6" w:rsidP="00777DC6">
      <w:pPr>
        <w:numPr>
          <w:ilvl w:val="0"/>
          <w:numId w:val="4"/>
        </w:numPr>
        <w:jc w:val="both"/>
        <w:rPr>
          <w:lang w:val="en-GB"/>
        </w:rPr>
      </w:pPr>
      <w:proofErr w:type="spellStart"/>
      <w:r w:rsidRPr="00777DC6">
        <w:rPr>
          <w:lang w:val="en-GB"/>
        </w:rPr>
        <w:t>Mazey</w:t>
      </w:r>
      <w:proofErr w:type="spellEnd"/>
      <w:r w:rsidRPr="00777DC6">
        <w:rPr>
          <w:lang w:val="en-GB"/>
        </w:rPr>
        <w:t xml:space="preserve"> S., “The European Union and women’s rights: from the Europeanization of national agendas to the nationalization of a European agenda”, </w:t>
      </w:r>
      <w:r w:rsidRPr="00777DC6">
        <w:rPr>
          <w:i/>
          <w:lang w:val="en-GB"/>
        </w:rPr>
        <w:t>J. E. P. P.</w:t>
      </w:r>
      <w:r w:rsidRPr="00777DC6">
        <w:rPr>
          <w:lang w:val="en-GB"/>
        </w:rPr>
        <w:t xml:space="preserve"> 1998, 131-152. </w:t>
      </w:r>
    </w:p>
    <w:p w:rsidR="00777DC6" w:rsidRPr="00777DC6" w:rsidRDefault="00777DC6" w:rsidP="00777DC6">
      <w:pPr>
        <w:numPr>
          <w:ilvl w:val="0"/>
          <w:numId w:val="4"/>
        </w:numPr>
        <w:jc w:val="both"/>
        <w:rPr>
          <w:lang w:val="en-GB"/>
        </w:rPr>
      </w:pPr>
      <w:proofErr w:type="spellStart"/>
      <w:r w:rsidRPr="00777DC6">
        <w:rPr>
          <w:lang w:val="en-GB"/>
        </w:rPr>
        <w:t>McColgan</w:t>
      </w:r>
      <w:proofErr w:type="spellEnd"/>
      <w:r w:rsidRPr="00777DC6">
        <w:rPr>
          <w:lang w:val="en-GB"/>
        </w:rPr>
        <w:t xml:space="preserve"> A., “Family Friendly Frolics? The Maternity and Parental Leave etc. Regulations 1999”, </w:t>
      </w:r>
      <w:r w:rsidRPr="00777DC6">
        <w:rPr>
          <w:i/>
          <w:lang w:val="en-GB"/>
        </w:rPr>
        <w:t>Ind. L. J.</w:t>
      </w:r>
      <w:r w:rsidRPr="00777DC6">
        <w:rPr>
          <w:lang w:val="en-GB"/>
        </w:rPr>
        <w:t xml:space="preserve"> 2000, 125-143. </w:t>
      </w:r>
    </w:p>
    <w:p w:rsidR="00777DC6" w:rsidRPr="00777DC6" w:rsidRDefault="00777DC6" w:rsidP="00777DC6">
      <w:pPr>
        <w:numPr>
          <w:ilvl w:val="0"/>
          <w:numId w:val="4"/>
        </w:numPr>
        <w:jc w:val="both"/>
        <w:rPr>
          <w:lang w:val="en-GB"/>
        </w:rPr>
      </w:pPr>
      <w:proofErr w:type="spellStart"/>
      <w:r w:rsidRPr="00777DC6">
        <w:rPr>
          <w:lang w:val="en-GB"/>
        </w:rPr>
        <w:t>McCrudden</w:t>
      </w:r>
      <w:proofErr w:type="spellEnd"/>
      <w:r w:rsidRPr="00777DC6">
        <w:rPr>
          <w:lang w:val="en-GB"/>
        </w:rPr>
        <w:t xml:space="preserve"> C., “Rethinking Positive Action”, </w:t>
      </w:r>
      <w:r w:rsidRPr="00777DC6">
        <w:rPr>
          <w:i/>
          <w:lang w:val="en-GB"/>
        </w:rPr>
        <w:t xml:space="preserve">Ind. L. J. </w:t>
      </w:r>
      <w:r w:rsidRPr="00777DC6">
        <w:rPr>
          <w:lang w:val="en-GB"/>
        </w:rPr>
        <w:t xml:space="preserve">1986, 219-243. </w:t>
      </w:r>
    </w:p>
    <w:p w:rsidR="00777DC6" w:rsidRPr="00777DC6" w:rsidRDefault="00777DC6" w:rsidP="00777DC6">
      <w:pPr>
        <w:numPr>
          <w:ilvl w:val="0"/>
          <w:numId w:val="4"/>
        </w:numPr>
        <w:jc w:val="both"/>
        <w:rPr>
          <w:lang w:val="en-GB"/>
        </w:rPr>
      </w:pPr>
      <w:proofErr w:type="spellStart"/>
      <w:r w:rsidRPr="00777DC6">
        <w:rPr>
          <w:lang w:val="en-GB"/>
        </w:rPr>
        <w:lastRenderedPageBreak/>
        <w:t>McGlynn</w:t>
      </w:r>
      <w:proofErr w:type="spellEnd"/>
      <w:r w:rsidRPr="00777DC6">
        <w:rPr>
          <w:lang w:val="en-GB"/>
        </w:rPr>
        <w:t xml:space="preserve">, “Reclaiming a Feminist Vision: The Reconciliation of Paid Work and Family Life in European Union Law and Policy”, </w:t>
      </w:r>
      <w:r w:rsidRPr="00777DC6">
        <w:rPr>
          <w:i/>
          <w:lang w:val="en-GB"/>
        </w:rPr>
        <w:t>Colum. J. Eur. L.</w:t>
      </w:r>
      <w:r w:rsidRPr="00777DC6">
        <w:rPr>
          <w:lang w:val="en-GB"/>
        </w:rPr>
        <w:t xml:space="preserve"> 2001, 241-267. </w:t>
      </w:r>
    </w:p>
    <w:p w:rsidR="00777DC6" w:rsidRPr="00777DC6" w:rsidRDefault="00777DC6" w:rsidP="00777DC6">
      <w:pPr>
        <w:numPr>
          <w:ilvl w:val="0"/>
          <w:numId w:val="4"/>
        </w:numPr>
        <w:jc w:val="both"/>
        <w:rPr>
          <w:lang w:val="en-GB"/>
        </w:rPr>
      </w:pPr>
      <w:proofErr w:type="spellStart"/>
      <w:r w:rsidRPr="00777DC6">
        <w:rPr>
          <w:lang w:val="en-GB"/>
        </w:rPr>
        <w:t>McHarg</w:t>
      </w:r>
      <w:proofErr w:type="spellEnd"/>
      <w:r w:rsidRPr="00777DC6">
        <w:rPr>
          <w:lang w:val="en-GB"/>
        </w:rPr>
        <w:t xml:space="preserve"> A. and Nicolson D., “Justifying Affirmative Action: Perception and Reality”, </w:t>
      </w:r>
      <w:r w:rsidRPr="00777DC6">
        <w:rPr>
          <w:i/>
          <w:lang w:val="en-GB"/>
        </w:rPr>
        <w:t>Brit. J. Law &amp; Soc.</w:t>
      </w:r>
      <w:r w:rsidRPr="00777DC6">
        <w:rPr>
          <w:lang w:val="en-GB"/>
        </w:rPr>
        <w:t xml:space="preserve"> 2006, 1-23.</w:t>
      </w:r>
    </w:p>
    <w:p w:rsidR="00777DC6" w:rsidRPr="00777DC6" w:rsidRDefault="00777DC6" w:rsidP="00777DC6">
      <w:pPr>
        <w:numPr>
          <w:ilvl w:val="0"/>
          <w:numId w:val="4"/>
        </w:numPr>
        <w:jc w:val="both"/>
        <w:rPr>
          <w:i/>
          <w:lang w:val="en-GB"/>
        </w:rPr>
      </w:pPr>
      <w:r w:rsidRPr="00777DC6">
        <w:rPr>
          <w:lang w:val="en-GB"/>
        </w:rPr>
        <w:t xml:space="preserve">Monaghan K., “Equality and Non-Discrimination”, </w:t>
      </w:r>
      <w:r w:rsidRPr="00777DC6">
        <w:rPr>
          <w:i/>
          <w:lang w:val="en-GB"/>
        </w:rPr>
        <w:t>JR</w:t>
      </w:r>
      <w:r w:rsidRPr="00777DC6">
        <w:rPr>
          <w:lang w:val="en-GB"/>
        </w:rPr>
        <w:t xml:space="preserve"> 2011, 418-428.</w:t>
      </w:r>
    </w:p>
    <w:p w:rsidR="00777DC6" w:rsidRPr="00777DC6" w:rsidRDefault="00777DC6" w:rsidP="00777DC6">
      <w:pPr>
        <w:numPr>
          <w:ilvl w:val="0"/>
          <w:numId w:val="4"/>
        </w:numPr>
        <w:jc w:val="both"/>
      </w:pPr>
      <w:r w:rsidRPr="00777DC6">
        <w:t xml:space="preserve">Monster M., “Bescherming moederschap”, </w:t>
      </w:r>
      <w:r w:rsidRPr="00777DC6">
        <w:rPr>
          <w:i/>
        </w:rPr>
        <w:t>Nemesis</w:t>
      </w:r>
      <w:r w:rsidRPr="00777DC6">
        <w:t xml:space="preserve"> 1988, 91-98. </w:t>
      </w:r>
    </w:p>
    <w:p w:rsidR="00777DC6" w:rsidRPr="00777DC6" w:rsidRDefault="00777DC6" w:rsidP="00777DC6">
      <w:pPr>
        <w:numPr>
          <w:ilvl w:val="0"/>
          <w:numId w:val="4"/>
        </w:numPr>
        <w:jc w:val="both"/>
        <w:rPr>
          <w:i/>
          <w:lang w:val="en-US"/>
        </w:rPr>
      </w:pPr>
      <w:r w:rsidRPr="00777DC6">
        <w:rPr>
          <w:lang w:val="en-US"/>
        </w:rPr>
        <w:t xml:space="preserve">Morris A., “Which is it you want – Equality or Maternity Leave?”, </w:t>
      </w:r>
      <w:r w:rsidRPr="00777DC6">
        <w:rPr>
          <w:i/>
          <w:lang w:val="en-US"/>
        </w:rPr>
        <w:t xml:space="preserve">Fem. L. S. </w:t>
      </w:r>
      <w:r w:rsidRPr="00777DC6">
        <w:rPr>
          <w:lang w:val="en-US"/>
        </w:rPr>
        <w:t xml:space="preserve">2006, 87-97. </w:t>
      </w:r>
    </w:p>
    <w:p w:rsidR="00777DC6" w:rsidRPr="00B86258" w:rsidRDefault="00777DC6" w:rsidP="00777DC6">
      <w:pPr>
        <w:numPr>
          <w:ilvl w:val="0"/>
          <w:numId w:val="4"/>
        </w:numPr>
        <w:jc w:val="both"/>
        <w:rPr>
          <w:i/>
          <w:lang w:val="en-US"/>
        </w:rPr>
      </w:pPr>
      <w:r w:rsidRPr="00777DC6">
        <w:rPr>
          <w:lang w:val="en-US"/>
        </w:rPr>
        <w:t xml:space="preserve">Munson L., “CEDAW: It’s Old, It Doesn’t Work, and We Don’t Need It”, </w:t>
      </w:r>
      <w:r w:rsidRPr="00777DC6">
        <w:rPr>
          <w:i/>
          <w:lang w:val="en-US"/>
        </w:rPr>
        <w:t>Human Rights Brief</w:t>
      </w:r>
      <w:r w:rsidRPr="00777DC6">
        <w:rPr>
          <w:lang w:val="en-US"/>
        </w:rPr>
        <w:t xml:space="preserve"> 2003, 23-25. </w:t>
      </w:r>
    </w:p>
    <w:p w:rsidR="00777DC6" w:rsidRPr="00777DC6" w:rsidRDefault="00777DC6" w:rsidP="00777DC6">
      <w:pPr>
        <w:numPr>
          <w:ilvl w:val="0"/>
          <w:numId w:val="4"/>
        </w:numPr>
        <w:jc w:val="both"/>
        <w:rPr>
          <w:i/>
          <w:lang w:val="en-GB"/>
        </w:rPr>
      </w:pPr>
      <w:r w:rsidRPr="00777DC6">
        <w:rPr>
          <w:lang w:val="en-GB"/>
        </w:rPr>
        <w:t xml:space="preserve">Murray J., “Social Justice for Women? The ILO’s Convention on Part-time Work”, </w:t>
      </w:r>
      <w:r w:rsidRPr="00777DC6">
        <w:rPr>
          <w:i/>
          <w:lang w:val="en-GB"/>
        </w:rPr>
        <w:t xml:space="preserve">Int. J. Comp. Lab. Law &amp; Ind. Rel. </w:t>
      </w:r>
      <w:r w:rsidRPr="00777DC6">
        <w:rPr>
          <w:lang w:val="en-GB"/>
        </w:rPr>
        <w:t xml:space="preserve">1999, 3-19. </w:t>
      </w:r>
    </w:p>
    <w:p w:rsidR="00777DC6" w:rsidRPr="00777DC6" w:rsidRDefault="00777DC6" w:rsidP="00777DC6">
      <w:pPr>
        <w:numPr>
          <w:ilvl w:val="0"/>
          <w:numId w:val="4"/>
        </w:numPr>
        <w:jc w:val="both"/>
        <w:rPr>
          <w:lang w:val="en-GB"/>
        </w:rPr>
      </w:pPr>
      <w:r w:rsidRPr="00777DC6">
        <w:rPr>
          <w:lang w:val="en-GB"/>
        </w:rPr>
        <w:t xml:space="preserve">Murray J., “The International Regulation of Maternity: Still Waiting for the Reconciliation of Work and Family Life”, </w:t>
      </w:r>
      <w:r w:rsidRPr="00777DC6">
        <w:rPr>
          <w:i/>
          <w:lang w:val="en-GB"/>
        </w:rPr>
        <w:t>Int. J. Comp. Lab. Law &amp; Ind. Rel.</w:t>
      </w:r>
      <w:r w:rsidRPr="00777DC6">
        <w:rPr>
          <w:lang w:val="en-GB"/>
        </w:rPr>
        <w:t xml:space="preserve"> 2001, 25-46. </w:t>
      </w:r>
    </w:p>
    <w:p w:rsidR="00777DC6" w:rsidRPr="00777DC6" w:rsidRDefault="00777DC6" w:rsidP="00777DC6">
      <w:pPr>
        <w:numPr>
          <w:ilvl w:val="0"/>
          <w:numId w:val="4"/>
        </w:numPr>
        <w:jc w:val="both"/>
        <w:rPr>
          <w:i/>
          <w:lang w:val="en-US"/>
        </w:rPr>
      </w:pPr>
      <w:proofErr w:type="spellStart"/>
      <w:r w:rsidRPr="00777DC6">
        <w:rPr>
          <w:lang w:val="en-US"/>
        </w:rPr>
        <w:t>Mutari</w:t>
      </w:r>
      <w:proofErr w:type="spellEnd"/>
      <w:r w:rsidRPr="00777DC6">
        <w:rPr>
          <w:lang w:val="en-US"/>
        </w:rPr>
        <w:t xml:space="preserve"> E. and </w:t>
      </w:r>
      <w:proofErr w:type="spellStart"/>
      <w:r w:rsidRPr="00777DC6">
        <w:rPr>
          <w:lang w:val="en-US"/>
        </w:rPr>
        <w:t>Figart</w:t>
      </w:r>
      <w:proofErr w:type="spellEnd"/>
      <w:r w:rsidRPr="00777DC6">
        <w:rPr>
          <w:lang w:val="en-US"/>
        </w:rPr>
        <w:t xml:space="preserve"> D., “Europe at a Crossroads: Harmonization, Liberalization, and the Gender of Work Time”, </w:t>
      </w:r>
      <w:r w:rsidRPr="00777DC6">
        <w:rPr>
          <w:i/>
          <w:lang w:val="en-US"/>
        </w:rPr>
        <w:t>Social Politics</w:t>
      </w:r>
      <w:r w:rsidRPr="00777DC6">
        <w:rPr>
          <w:lang w:val="en-US"/>
        </w:rPr>
        <w:t xml:space="preserve"> 2001, 36-64. </w:t>
      </w:r>
    </w:p>
    <w:p w:rsidR="00777DC6" w:rsidRPr="00777DC6" w:rsidRDefault="00777DC6" w:rsidP="00777DC6">
      <w:pPr>
        <w:numPr>
          <w:ilvl w:val="0"/>
          <w:numId w:val="4"/>
        </w:numPr>
        <w:jc w:val="both"/>
        <w:rPr>
          <w:i/>
          <w:lang w:val="en-GB"/>
        </w:rPr>
      </w:pPr>
      <w:proofErr w:type="spellStart"/>
      <w:r w:rsidRPr="00777DC6">
        <w:rPr>
          <w:lang w:val="en-GB"/>
        </w:rPr>
        <w:t>Nanopoulos</w:t>
      </w:r>
      <w:proofErr w:type="spellEnd"/>
      <w:r w:rsidRPr="00777DC6">
        <w:rPr>
          <w:lang w:val="en-GB"/>
        </w:rPr>
        <w:t xml:space="preserve"> E., “It is time, Charter, rise and shine”, </w:t>
      </w:r>
      <w:r w:rsidRPr="00777DC6">
        <w:rPr>
          <w:i/>
          <w:lang w:val="en-GB"/>
        </w:rPr>
        <w:t>Cambridge L. J.</w:t>
      </w:r>
      <w:r w:rsidRPr="00777DC6">
        <w:rPr>
          <w:lang w:val="en-GB"/>
        </w:rPr>
        <w:t xml:space="preserve"> 2011, 306-309. </w:t>
      </w:r>
    </w:p>
    <w:p w:rsidR="00777DC6" w:rsidRPr="00777DC6" w:rsidRDefault="00777DC6" w:rsidP="00777DC6">
      <w:pPr>
        <w:numPr>
          <w:ilvl w:val="0"/>
          <w:numId w:val="4"/>
        </w:numPr>
        <w:jc w:val="both"/>
        <w:rPr>
          <w:i/>
          <w:lang w:val="en-GB"/>
        </w:rPr>
      </w:pPr>
      <w:r w:rsidRPr="00777DC6">
        <w:rPr>
          <w:lang w:val="en-GB"/>
        </w:rPr>
        <w:t xml:space="preserve">Nielsen H., “Discrimination and Lawful Distinction in Employment – The Approach by the ILO”, </w:t>
      </w:r>
      <w:r w:rsidRPr="00777DC6">
        <w:rPr>
          <w:i/>
          <w:lang w:val="en-GB"/>
        </w:rPr>
        <w:t xml:space="preserve">NQHR </w:t>
      </w:r>
      <w:r w:rsidRPr="00777DC6">
        <w:rPr>
          <w:lang w:val="en-GB"/>
        </w:rPr>
        <w:t>1996, 401-417.</w:t>
      </w:r>
    </w:p>
    <w:p w:rsidR="00777DC6" w:rsidRPr="00777DC6" w:rsidRDefault="00777DC6" w:rsidP="00777DC6">
      <w:pPr>
        <w:numPr>
          <w:ilvl w:val="0"/>
          <w:numId w:val="4"/>
        </w:numPr>
        <w:jc w:val="both"/>
        <w:rPr>
          <w:i/>
          <w:lang w:val="en-GB"/>
        </w:rPr>
      </w:pPr>
      <w:r w:rsidRPr="00777DC6">
        <w:rPr>
          <w:lang w:val="en-GB"/>
        </w:rPr>
        <w:t xml:space="preserve">Nielsen H., “The Concept of Discrimination in ILO Convention no. 111”, </w:t>
      </w:r>
      <w:r w:rsidRPr="00777DC6">
        <w:rPr>
          <w:i/>
          <w:lang w:val="en-GB"/>
        </w:rPr>
        <w:t>ICLQ</w:t>
      </w:r>
      <w:r w:rsidRPr="00777DC6">
        <w:rPr>
          <w:lang w:val="en-GB"/>
        </w:rPr>
        <w:t xml:space="preserve"> 1994, 827-856. </w:t>
      </w:r>
    </w:p>
    <w:p w:rsidR="00777DC6" w:rsidRPr="00777DC6" w:rsidRDefault="00777DC6" w:rsidP="00777DC6">
      <w:pPr>
        <w:numPr>
          <w:ilvl w:val="0"/>
          <w:numId w:val="4"/>
        </w:numPr>
        <w:jc w:val="both"/>
        <w:rPr>
          <w:i/>
          <w:lang w:val="en-GB"/>
        </w:rPr>
      </w:pPr>
      <w:r w:rsidRPr="00777DC6">
        <w:rPr>
          <w:lang w:val="en-GB"/>
        </w:rPr>
        <w:t xml:space="preserve">O’Connell R., “Cinderella comes to the ball: Article 14 and the right to non-discrimination in the ECHR”, </w:t>
      </w:r>
      <w:r w:rsidRPr="00777DC6">
        <w:rPr>
          <w:i/>
          <w:lang w:val="en-GB"/>
        </w:rPr>
        <w:t xml:space="preserve">LS </w:t>
      </w:r>
      <w:r w:rsidRPr="00777DC6">
        <w:rPr>
          <w:lang w:val="en-GB"/>
        </w:rPr>
        <w:t>2009, 211-229.</w:t>
      </w:r>
    </w:p>
    <w:p w:rsidR="00777DC6" w:rsidRPr="00777DC6" w:rsidRDefault="00777DC6" w:rsidP="00777DC6">
      <w:pPr>
        <w:numPr>
          <w:ilvl w:val="0"/>
          <w:numId w:val="4"/>
        </w:numPr>
        <w:jc w:val="both"/>
        <w:rPr>
          <w:lang w:val="en-US"/>
        </w:rPr>
      </w:pPr>
      <w:r w:rsidRPr="00777DC6">
        <w:rPr>
          <w:lang w:val="en-US"/>
        </w:rPr>
        <w:t xml:space="preserve">O’Connell C. and </w:t>
      </w:r>
      <w:proofErr w:type="spellStart"/>
      <w:r w:rsidRPr="00777DC6">
        <w:rPr>
          <w:lang w:val="en-US"/>
        </w:rPr>
        <w:t>Korabik</w:t>
      </w:r>
      <w:proofErr w:type="spellEnd"/>
      <w:r w:rsidRPr="00777DC6">
        <w:rPr>
          <w:lang w:val="en-US"/>
        </w:rPr>
        <w:t xml:space="preserve"> K., “Sexual Harassment: The Relationship of Personal Vulnerability, Work Context, Perpetrator Status, and Type of Harassment to Outcomes”, </w:t>
      </w:r>
      <w:r w:rsidRPr="00777DC6">
        <w:rPr>
          <w:i/>
          <w:lang w:val="en-US"/>
        </w:rPr>
        <w:t>Journal of Vocational Behavior</w:t>
      </w:r>
      <w:r w:rsidRPr="00777DC6">
        <w:rPr>
          <w:lang w:val="en-US"/>
        </w:rPr>
        <w:t xml:space="preserve"> 2000, 299–329. </w:t>
      </w:r>
    </w:p>
    <w:p w:rsidR="00777DC6" w:rsidRPr="00777DC6" w:rsidRDefault="00777DC6" w:rsidP="00777DC6">
      <w:pPr>
        <w:numPr>
          <w:ilvl w:val="0"/>
          <w:numId w:val="4"/>
        </w:numPr>
        <w:jc w:val="both"/>
        <w:rPr>
          <w:i/>
          <w:lang w:val="en-GB"/>
        </w:rPr>
      </w:pPr>
      <w:r w:rsidRPr="00777DC6">
        <w:rPr>
          <w:lang w:val="en-GB"/>
        </w:rPr>
        <w:t xml:space="preserve">O’Hare U., “Equality and affirmative action in international human rights law and its relevance to the European Union”, </w:t>
      </w:r>
      <w:r w:rsidRPr="00777DC6">
        <w:rPr>
          <w:i/>
          <w:lang w:val="en-GB"/>
        </w:rPr>
        <w:t>I.J.D.L.</w:t>
      </w:r>
      <w:r w:rsidRPr="00777DC6">
        <w:rPr>
          <w:lang w:val="en-GB"/>
        </w:rPr>
        <w:t xml:space="preserve"> 2000, 3-45. </w:t>
      </w:r>
    </w:p>
    <w:p w:rsidR="00777DC6" w:rsidRPr="00777DC6" w:rsidRDefault="00777DC6" w:rsidP="00777DC6">
      <w:pPr>
        <w:numPr>
          <w:ilvl w:val="0"/>
          <w:numId w:val="4"/>
        </w:numPr>
        <w:jc w:val="both"/>
        <w:rPr>
          <w:i/>
          <w:lang w:val="en-GB"/>
        </w:rPr>
      </w:pPr>
      <w:r w:rsidRPr="00777DC6">
        <w:rPr>
          <w:lang w:val="en-GB"/>
        </w:rPr>
        <w:t>O’Keeffe D., “The uneasy progress of European social policy</w:t>
      </w:r>
      <w:r w:rsidRPr="00777DC6">
        <w:rPr>
          <w:i/>
          <w:lang w:val="en-GB"/>
        </w:rPr>
        <w:t>”, Colum. J. Eur. L.</w:t>
      </w:r>
      <w:r w:rsidRPr="00777DC6">
        <w:rPr>
          <w:lang w:val="en-GB"/>
        </w:rPr>
        <w:t xml:space="preserve"> 1995-1996, 241-263. </w:t>
      </w:r>
    </w:p>
    <w:p w:rsidR="00777DC6" w:rsidRPr="00777DC6" w:rsidRDefault="00777DC6" w:rsidP="00777DC6">
      <w:pPr>
        <w:numPr>
          <w:ilvl w:val="0"/>
          <w:numId w:val="4"/>
        </w:numPr>
        <w:jc w:val="both"/>
        <w:rPr>
          <w:i/>
          <w:lang w:val="en-GB"/>
        </w:rPr>
      </w:pPr>
      <w:proofErr w:type="spellStart"/>
      <w:r w:rsidRPr="00777DC6">
        <w:rPr>
          <w:lang w:val="en-GB"/>
        </w:rPr>
        <w:t>Oré</w:t>
      </w:r>
      <w:proofErr w:type="spellEnd"/>
      <w:r w:rsidRPr="00777DC6">
        <w:rPr>
          <w:lang w:val="en-GB"/>
        </w:rPr>
        <w:t xml:space="preserve">-Aguilar G., “Sexual Harassment and Human Rights in Latin America”, </w:t>
      </w:r>
      <w:r w:rsidRPr="00777DC6">
        <w:rPr>
          <w:i/>
          <w:lang w:val="en-GB"/>
        </w:rPr>
        <w:t>Fordham L. Rev.</w:t>
      </w:r>
      <w:r w:rsidRPr="00777DC6">
        <w:rPr>
          <w:lang w:val="en-GB"/>
        </w:rPr>
        <w:t xml:space="preserve"> 1997-1998, 631-645. </w:t>
      </w:r>
    </w:p>
    <w:p w:rsidR="00777DC6" w:rsidRPr="00777DC6" w:rsidRDefault="00777DC6" w:rsidP="00777DC6">
      <w:pPr>
        <w:numPr>
          <w:ilvl w:val="0"/>
          <w:numId w:val="4"/>
        </w:numPr>
        <w:jc w:val="both"/>
        <w:rPr>
          <w:i/>
          <w:lang w:val="en-GB"/>
        </w:rPr>
      </w:pPr>
      <w:proofErr w:type="spellStart"/>
      <w:r w:rsidRPr="00777DC6">
        <w:rPr>
          <w:lang w:val="en-GB"/>
        </w:rPr>
        <w:lastRenderedPageBreak/>
        <w:t>Oun</w:t>
      </w:r>
      <w:proofErr w:type="spellEnd"/>
      <w:r w:rsidRPr="00777DC6">
        <w:rPr>
          <w:lang w:val="en-GB"/>
        </w:rPr>
        <w:t xml:space="preserve"> I., “Work-Family Conflict in the Nordic Countries: A Comparative Analysis”, </w:t>
      </w:r>
      <w:r w:rsidRPr="00777DC6">
        <w:rPr>
          <w:i/>
          <w:lang w:val="en-GB"/>
        </w:rPr>
        <w:t>J. of Comp. Fam. Stud.</w:t>
      </w:r>
      <w:r w:rsidRPr="00777DC6">
        <w:rPr>
          <w:lang w:val="en-GB"/>
        </w:rPr>
        <w:t xml:space="preserve"> 2012, 165-184. </w:t>
      </w:r>
    </w:p>
    <w:p w:rsidR="00777DC6" w:rsidRPr="00777DC6" w:rsidRDefault="00777DC6" w:rsidP="00777DC6">
      <w:pPr>
        <w:numPr>
          <w:ilvl w:val="0"/>
          <w:numId w:val="4"/>
        </w:numPr>
        <w:jc w:val="both"/>
        <w:rPr>
          <w:i/>
          <w:lang w:val="en-GB"/>
        </w:rPr>
      </w:pPr>
      <w:r w:rsidRPr="00777DC6">
        <w:rPr>
          <w:lang w:val="en-GB"/>
        </w:rPr>
        <w:t xml:space="preserve">Pager S., “Strictness vs. Discretion: The European Court of Justice’s Variable Vision of Gender Equality”, </w:t>
      </w:r>
      <w:r w:rsidRPr="00777DC6">
        <w:rPr>
          <w:i/>
          <w:lang w:val="en-GB"/>
        </w:rPr>
        <w:t>Am. J. Comp. L.</w:t>
      </w:r>
      <w:r w:rsidRPr="00777DC6">
        <w:rPr>
          <w:lang w:val="en-GB"/>
        </w:rPr>
        <w:t xml:space="preserve"> 2003, 553-609. </w:t>
      </w:r>
    </w:p>
    <w:p w:rsidR="00777DC6" w:rsidRPr="00777DC6" w:rsidRDefault="00777DC6" w:rsidP="00777DC6">
      <w:pPr>
        <w:numPr>
          <w:ilvl w:val="0"/>
          <w:numId w:val="4"/>
        </w:numPr>
        <w:jc w:val="both"/>
        <w:rPr>
          <w:i/>
          <w:lang w:val="en-GB"/>
        </w:rPr>
      </w:pPr>
      <w:r w:rsidRPr="00777DC6">
        <w:rPr>
          <w:lang w:val="en-GB"/>
        </w:rPr>
        <w:t xml:space="preserve">Peters A., “The Many Meanings of Equality and Positive Action in Favour of Women under European Community Law – A Conceptual Analysis”, </w:t>
      </w:r>
      <w:r w:rsidRPr="00777DC6">
        <w:rPr>
          <w:i/>
          <w:lang w:val="en-GB"/>
        </w:rPr>
        <w:t xml:space="preserve">ELJ </w:t>
      </w:r>
      <w:r w:rsidRPr="00777DC6">
        <w:rPr>
          <w:lang w:val="en-GB"/>
        </w:rPr>
        <w:t xml:space="preserve">1996, 177-196. </w:t>
      </w:r>
    </w:p>
    <w:p w:rsidR="00777DC6" w:rsidRPr="00777DC6" w:rsidRDefault="00777DC6" w:rsidP="00777DC6">
      <w:pPr>
        <w:numPr>
          <w:ilvl w:val="0"/>
          <w:numId w:val="4"/>
        </w:numPr>
        <w:jc w:val="both"/>
        <w:rPr>
          <w:i/>
          <w:lang w:val="en-US"/>
        </w:rPr>
      </w:pPr>
      <w:r w:rsidRPr="00777DC6">
        <w:rPr>
          <w:lang w:val="en-US"/>
        </w:rPr>
        <w:t xml:space="preserve">Petersen C. and Samuels H., “The International Convention on the Elimination of All Forms of Discrimination Against Women: A Comparison of its Implementation and the Role of Non-Governmental Organizations in the United Kingdom and Hong Kong”, </w:t>
      </w:r>
      <w:r w:rsidRPr="00777DC6">
        <w:rPr>
          <w:i/>
          <w:lang w:val="en-US"/>
        </w:rPr>
        <w:t>Hastings Int’l &amp; Comp. L. Rev.</w:t>
      </w:r>
      <w:r w:rsidRPr="00777DC6">
        <w:rPr>
          <w:lang w:val="en-US"/>
        </w:rPr>
        <w:t xml:space="preserve"> 2002-2003, 1-50. </w:t>
      </w:r>
    </w:p>
    <w:p w:rsidR="00777DC6" w:rsidRPr="00777DC6" w:rsidRDefault="00777DC6" w:rsidP="00777DC6">
      <w:pPr>
        <w:numPr>
          <w:ilvl w:val="0"/>
          <w:numId w:val="4"/>
        </w:numPr>
        <w:jc w:val="both"/>
        <w:rPr>
          <w:i/>
          <w:lang w:val="en-GB"/>
        </w:rPr>
      </w:pPr>
      <w:proofErr w:type="spellStart"/>
      <w:r w:rsidRPr="00777DC6">
        <w:rPr>
          <w:lang w:val="en-GB"/>
        </w:rPr>
        <w:t>Prechal</w:t>
      </w:r>
      <w:proofErr w:type="spellEnd"/>
      <w:r w:rsidRPr="00777DC6">
        <w:rPr>
          <w:lang w:val="en-GB"/>
        </w:rPr>
        <w:t xml:space="preserve"> S., “Equality of Treatment, Non-Discrimination and Social Policy: Achievements in three themes”, </w:t>
      </w:r>
      <w:r w:rsidRPr="00777DC6">
        <w:rPr>
          <w:i/>
          <w:lang w:val="en-GB"/>
        </w:rPr>
        <w:t xml:space="preserve">CMLR </w:t>
      </w:r>
      <w:r w:rsidRPr="00777DC6">
        <w:rPr>
          <w:lang w:val="en-GB"/>
        </w:rPr>
        <w:t>2004, 533-551.</w:t>
      </w:r>
    </w:p>
    <w:p w:rsidR="00777DC6" w:rsidRPr="006C6E1E" w:rsidRDefault="00777DC6" w:rsidP="00777DC6">
      <w:pPr>
        <w:numPr>
          <w:ilvl w:val="0"/>
          <w:numId w:val="4"/>
        </w:numPr>
        <w:jc w:val="both"/>
        <w:rPr>
          <w:lang w:val="en-US"/>
        </w:rPr>
      </w:pPr>
      <w:r w:rsidRPr="00777DC6">
        <w:rPr>
          <w:lang w:val="en-US"/>
        </w:rPr>
        <w:t xml:space="preserve">Ray R., </w:t>
      </w:r>
      <w:proofErr w:type="spellStart"/>
      <w:r w:rsidRPr="00777DC6">
        <w:rPr>
          <w:lang w:val="en-US"/>
        </w:rPr>
        <w:t>Gornick</w:t>
      </w:r>
      <w:proofErr w:type="spellEnd"/>
      <w:r w:rsidRPr="00777DC6">
        <w:rPr>
          <w:lang w:val="en-US"/>
        </w:rPr>
        <w:t xml:space="preserve"> J. and Schmitt J., “Who cares? Assessing generosity and gender equality in parental leave policy designs in 21 countries”, </w:t>
      </w:r>
      <w:r w:rsidRPr="00777DC6">
        <w:rPr>
          <w:i/>
          <w:lang w:val="en-US"/>
        </w:rPr>
        <w:t>JESP</w:t>
      </w:r>
      <w:r w:rsidRPr="00777DC6">
        <w:rPr>
          <w:lang w:val="en-US"/>
        </w:rPr>
        <w:t xml:space="preserve"> 2010, 196-216.</w:t>
      </w:r>
    </w:p>
    <w:p w:rsidR="00777DC6" w:rsidRPr="006C6E1E" w:rsidRDefault="00777DC6" w:rsidP="00777DC6">
      <w:pPr>
        <w:numPr>
          <w:ilvl w:val="0"/>
          <w:numId w:val="4"/>
        </w:numPr>
        <w:jc w:val="both"/>
        <w:rPr>
          <w:lang w:val="en-US"/>
        </w:rPr>
      </w:pPr>
      <w:r w:rsidRPr="00777DC6">
        <w:rPr>
          <w:lang w:val="en-US"/>
        </w:rPr>
        <w:t xml:space="preserve">Rosenblum D., “Unsex Mothering: Toward a New Culture of Parenting”, </w:t>
      </w:r>
      <w:r w:rsidRPr="00777DC6">
        <w:rPr>
          <w:i/>
          <w:lang w:val="en-US"/>
        </w:rPr>
        <w:t>Harvard J. L. &amp; Gender</w:t>
      </w:r>
      <w:r w:rsidRPr="00777DC6">
        <w:rPr>
          <w:lang w:val="en-US"/>
        </w:rPr>
        <w:t xml:space="preserve"> 2012, 57-116. </w:t>
      </w:r>
    </w:p>
    <w:p w:rsidR="00777DC6" w:rsidRPr="006C6E1E" w:rsidRDefault="00777DC6" w:rsidP="00777DC6">
      <w:pPr>
        <w:numPr>
          <w:ilvl w:val="0"/>
          <w:numId w:val="4"/>
        </w:numPr>
        <w:jc w:val="both"/>
        <w:rPr>
          <w:lang w:val="en-US"/>
        </w:rPr>
      </w:pPr>
      <w:proofErr w:type="spellStart"/>
      <w:r w:rsidRPr="00777DC6">
        <w:rPr>
          <w:lang w:val="en-US"/>
        </w:rPr>
        <w:t>Rossilli</w:t>
      </w:r>
      <w:proofErr w:type="spellEnd"/>
      <w:r w:rsidRPr="00777DC6">
        <w:rPr>
          <w:lang w:val="en-US"/>
        </w:rPr>
        <w:t xml:space="preserve"> M., “The European Union’s policy on the equality of women”, </w:t>
      </w:r>
      <w:r w:rsidRPr="00777DC6">
        <w:rPr>
          <w:i/>
          <w:lang w:val="en-US"/>
        </w:rPr>
        <w:t>Feminist Studies</w:t>
      </w:r>
      <w:r w:rsidRPr="00777DC6">
        <w:rPr>
          <w:lang w:val="en-US"/>
        </w:rPr>
        <w:t xml:space="preserve"> 1999, 171-181. </w:t>
      </w:r>
    </w:p>
    <w:p w:rsidR="00777DC6" w:rsidRPr="006C6E1E" w:rsidRDefault="00777DC6" w:rsidP="00777DC6">
      <w:pPr>
        <w:numPr>
          <w:ilvl w:val="0"/>
          <w:numId w:val="4"/>
        </w:numPr>
        <w:jc w:val="both"/>
        <w:rPr>
          <w:lang w:val="en-US"/>
        </w:rPr>
      </w:pPr>
      <w:r w:rsidRPr="00777DC6">
        <w:rPr>
          <w:lang w:val="en-US"/>
        </w:rPr>
        <w:t xml:space="preserve">Saint-Martin A. and Venn D., “Does part-time work pay?”, </w:t>
      </w:r>
      <w:r w:rsidRPr="00777DC6">
        <w:rPr>
          <w:i/>
          <w:lang w:val="en-US"/>
        </w:rPr>
        <w:t>OECD Observer</w:t>
      </w:r>
      <w:r w:rsidRPr="00777DC6">
        <w:rPr>
          <w:lang w:val="en-US"/>
        </w:rPr>
        <w:t xml:space="preserve">, 2010, 7-8. </w:t>
      </w:r>
    </w:p>
    <w:p w:rsidR="00777DC6" w:rsidRPr="006C6E1E" w:rsidRDefault="00777DC6" w:rsidP="00777DC6">
      <w:pPr>
        <w:numPr>
          <w:ilvl w:val="0"/>
          <w:numId w:val="4"/>
        </w:numPr>
        <w:jc w:val="both"/>
        <w:rPr>
          <w:lang w:val="en-US"/>
        </w:rPr>
      </w:pPr>
      <w:r w:rsidRPr="00777DC6">
        <w:rPr>
          <w:lang w:val="en-US"/>
        </w:rPr>
        <w:t xml:space="preserve">Samuels H., “A defining moment: a feminist perspective on the law of sexual harassment in the workplace in the light of the equal treatment amendment directive”, </w:t>
      </w:r>
      <w:r w:rsidRPr="00777DC6">
        <w:rPr>
          <w:i/>
          <w:lang w:val="en-US"/>
        </w:rPr>
        <w:t>Fem. L. S.</w:t>
      </w:r>
      <w:r w:rsidRPr="00777DC6">
        <w:rPr>
          <w:lang w:val="en-US"/>
        </w:rPr>
        <w:t xml:space="preserve"> 2004, 181-211. </w:t>
      </w:r>
    </w:p>
    <w:p w:rsidR="00777DC6" w:rsidRPr="006C6E1E" w:rsidRDefault="00777DC6" w:rsidP="00777DC6">
      <w:pPr>
        <w:numPr>
          <w:ilvl w:val="0"/>
          <w:numId w:val="4"/>
        </w:numPr>
        <w:jc w:val="both"/>
        <w:rPr>
          <w:lang w:val="en-US"/>
        </w:rPr>
      </w:pPr>
      <w:proofErr w:type="spellStart"/>
      <w:r w:rsidRPr="00777DC6">
        <w:rPr>
          <w:lang w:val="en-US"/>
        </w:rPr>
        <w:t>Saguy</w:t>
      </w:r>
      <w:proofErr w:type="spellEnd"/>
      <w:r w:rsidRPr="00777DC6">
        <w:rPr>
          <w:lang w:val="en-US"/>
        </w:rPr>
        <w:t xml:space="preserve"> A., “Employment Discrimination or Sexual Violence? Defining Sexual Harassment in American and French Law”, </w:t>
      </w:r>
      <w:r w:rsidRPr="00777DC6">
        <w:rPr>
          <w:i/>
          <w:lang w:val="en-US"/>
        </w:rPr>
        <w:t xml:space="preserve">Law &amp; </w:t>
      </w:r>
      <w:proofErr w:type="spellStart"/>
      <w:r w:rsidRPr="00777DC6">
        <w:rPr>
          <w:i/>
          <w:lang w:val="en-US"/>
        </w:rPr>
        <w:t>Soc’y</w:t>
      </w:r>
      <w:proofErr w:type="spellEnd"/>
      <w:r w:rsidRPr="00777DC6">
        <w:rPr>
          <w:i/>
          <w:lang w:val="en-US"/>
        </w:rPr>
        <w:t xml:space="preserve"> Rev.</w:t>
      </w:r>
      <w:r w:rsidRPr="00777DC6">
        <w:rPr>
          <w:lang w:val="en-US"/>
        </w:rPr>
        <w:t xml:space="preserve"> 2000, 1091-1128. </w:t>
      </w:r>
    </w:p>
    <w:p w:rsidR="00777DC6" w:rsidRPr="006C6E1E" w:rsidRDefault="00777DC6" w:rsidP="00777DC6">
      <w:pPr>
        <w:numPr>
          <w:ilvl w:val="0"/>
          <w:numId w:val="4"/>
        </w:numPr>
        <w:jc w:val="both"/>
        <w:rPr>
          <w:lang w:val="en-US"/>
        </w:rPr>
      </w:pPr>
      <w:r w:rsidRPr="00777DC6">
        <w:rPr>
          <w:lang w:val="en-US"/>
        </w:rPr>
        <w:t xml:space="preserve">Schmidt M., “A fresh impetus for the European Social Charter”, </w:t>
      </w:r>
      <w:r w:rsidRPr="00777DC6">
        <w:rPr>
          <w:i/>
          <w:lang w:val="en-US"/>
        </w:rPr>
        <w:t xml:space="preserve">Int’l &amp; Comp. L. Q. </w:t>
      </w:r>
      <w:r w:rsidRPr="00777DC6">
        <w:rPr>
          <w:lang w:val="en-US"/>
        </w:rPr>
        <w:t xml:space="preserve">1992, 659-676. </w:t>
      </w:r>
    </w:p>
    <w:p w:rsidR="00777DC6" w:rsidRPr="00777DC6" w:rsidRDefault="00777DC6" w:rsidP="00777DC6">
      <w:pPr>
        <w:numPr>
          <w:ilvl w:val="0"/>
          <w:numId w:val="4"/>
        </w:numPr>
        <w:jc w:val="both"/>
        <w:rPr>
          <w:lang w:val="en-US"/>
        </w:rPr>
      </w:pPr>
      <w:r w:rsidRPr="00777DC6">
        <w:rPr>
          <w:lang w:val="en-US"/>
        </w:rPr>
        <w:t xml:space="preserve">Schmidt M., “Parental Leave: Contested Procedure, Creditable Results”, </w:t>
      </w:r>
      <w:r w:rsidRPr="00777DC6">
        <w:rPr>
          <w:i/>
          <w:lang w:val="en-US"/>
        </w:rPr>
        <w:t xml:space="preserve"> </w:t>
      </w:r>
      <w:r w:rsidRPr="00777DC6">
        <w:rPr>
          <w:i/>
          <w:lang w:val="en-GB"/>
        </w:rPr>
        <w:t xml:space="preserve">Int. J. Comp. Lab. Law &amp; Ind. Rel. </w:t>
      </w:r>
      <w:r w:rsidRPr="00777DC6">
        <w:rPr>
          <w:lang w:val="en-US"/>
        </w:rPr>
        <w:t xml:space="preserve">1997, 113-126. </w:t>
      </w:r>
    </w:p>
    <w:p w:rsidR="00777DC6" w:rsidRPr="00777DC6" w:rsidRDefault="00777DC6" w:rsidP="00777DC6">
      <w:pPr>
        <w:numPr>
          <w:ilvl w:val="0"/>
          <w:numId w:val="4"/>
        </w:numPr>
        <w:jc w:val="both"/>
        <w:rPr>
          <w:i/>
          <w:lang w:val="en-GB"/>
        </w:rPr>
      </w:pPr>
      <w:r w:rsidRPr="00777DC6">
        <w:rPr>
          <w:lang w:val="en-GB"/>
        </w:rPr>
        <w:t>Schultz V., “</w:t>
      </w:r>
      <w:proofErr w:type="spellStart"/>
      <w:r w:rsidRPr="00777DC6">
        <w:rPr>
          <w:lang w:val="en-GB"/>
        </w:rPr>
        <w:t>Reconceptualizing</w:t>
      </w:r>
      <w:proofErr w:type="spellEnd"/>
      <w:r w:rsidRPr="00777DC6">
        <w:rPr>
          <w:lang w:val="en-GB"/>
        </w:rPr>
        <w:t xml:space="preserve"> Sexual Harassment”, </w:t>
      </w:r>
      <w:r w:rsidRPr="00777DC6">
        <w:rPr>
          <w:i/>
          <w:lang w:val="en-GB"/>
        </w:rPr>
        <w:t>Yale L. J.</w:t>
      </w:r>
      <w:r w:rsidRPr="00777DC6">
        <w:rPr>
          <w:lang w:val="en-GB"/>
        </w:rPr>
        <w:t xml:space="preserve"> 1997-1998, 1683-1805. </w:t>
      </w:r>
    </w:p>
    <w:p w:rsidR="00777DC6" w:rsidRPr="00777DC6" w:rsidRDefault="00777DC6" w:rsidP="00777DC6">
      <w:pPr>
        <w:numPr>
          <w:ilvl w:val="0"/>
          <w:numId w:val="4"/>
        </w:numPr>
        <w:jc w:val="both"/>
        <w:rPr>
          <w:i/>
          <w:lang w:val="en-GB"/>
        </w:rPr>
      </w:pPr>
      <w:proofErr w:type="spellStart"/>
      <w:r w:rsidRPr="00777DC6">
        <w:rPr>
          <w:lang w:val="en-GB"/>
        </w:rPr>
        <w:t>Sepper</w:t>
      </w:r>
      <w:proofErr w:type="spellEnd"/>
      <w:r w:rsidRPr="00777DC6">
        <w:rPr>
          <w:lang w:val="en-GB"/>
        </w:rPr>
        <w:t xml:space="preserve"> E., “Confronting the “Sacred and Unchangeable”: The obligation to modify cultural Patterns under the Women’s Discrimination Treaty”, </w:t>
      </w:r>
      <w:r w:rsidRPr="00777DC6">
        <w:rPr>
          <w:i/>
          <w:lang w:val="en-GB"/>
        </w:rPr>
        <w:t xml:space="preserve">U. Pa. J. Int’l. L. </w:t>
      </w:r>
      <w:r w:rsidRPr="00777DC6">
        <w:rPr>
          <w:lang w:val="en-GB"/>
        </w:rPr>
        <w:t xml:space="preserve">2008, 585-639. </w:t>
      </w:r>
    </w:p>
    <w:p w:rsidR="00777DC6" w:rsidRPr="00777DC6" w:rsidRDefault="00777DC6" w:rsidP="00777DC6">
      <w:pPr>
        <w:numPr>
          <w:ilvl w:val="0"/>
          <w:numId w:val="4"/>
        </w:numPr>
        <w:jc w:val="both"/>
        <w:rPr>
          <w:i/>
          <w:lang w:val="en-GB"/>
        </w:rPr>
      </w:pPr>
      <w:r w:rsidRPr="00777DC6">
        <w:rPr>
          <w:lang w:val="en-GB"/>
        </w:rPr>
        <w:lastRenderedPageBreak/>
        <w:t xml:space="preserve">Smith A. and Williams D., “Father-Friendly Legislation and Paternal Time across Western Europe”, </w:t>
      </w:r>
      <w:r w:rsidRPr="00777DC6">
        <w:rPr>
          <w:i/>
          <w:lang w:val="en-GB"/>
        </w:rPr>
        <w:t xml:space="preserve">J. of Comp. </w:t>
      </w:r>
      <w:proofErr w:type="spellStart"/>
      <w:r w:rsidRPr="00777DC6">
        <w:rPr>
          <w:i/>
          <w:lang w:val="en-GB"/>
        </w:rPr>
        <w:t>Pol’y</w:t>
      </w:r>
      <w:proofErr w:type="spellEnd"/>
      <w:r w:rsidRPr="00777DC6">
        <w:rPr>
          <w:i/>
          <w:lang w:val="en-GB"/>
        </w:rPr>
        <w:t xml:space="preserve"> Analysis</w:t>
      </w:r>
      <w:r w:rsidRPr="00777DC6">
        <w:rPr>
          <w:lang w:val="en-GB"/>
        </w:rPr>
        <w:t xml:space="preserve"> 2007, 175-192. </w:t>
      </w:r>
    </w:p>
    <w:p w:rsidR="00777DC6" w:rsidRPr="00777DC6" w:rsidRDefault="00777DC6" w:rsidP="00777DC6">
      <w:pPr>
        <w:numPr>
          <w:ilvl w:val="0"/>
          <w:numId w:val="4"/>
        </w:numPr>
        <w:jc w:val="both"/>
        <w:rPr>
          <w:i/>
          <w:lang w:val="en-GB"/>
        </w:rPr>
      </w:pPr>
      <w:proofErr w:type="spellStart"/>
      <w:r w:rsidRPr="00777DC6">
        <w:rPr>
          <w:lang w:val="en-GB"/>
        </w:rPr>
        <w:t>Sommers</w:t>
      </w:r>
      <w:proofErr w:type="spellEnd"/>
      <w:r w:rsidRPr="00777DC6">
        <w:rPr>
          <w:lang w:val="en-GB"/>
        </w:rPr>
        <w:t xml:space="preserve"> C., “Feminism by Treaty”, </w:t>
      </w:r>
      <w:r w:rsidRPr="00777DC6">
        <w:rPr>
          <w:i/>
          <w:lang w:val="en-GB"/>
        </w:rPr>
        <w:t>Policy Review</w:t>
      </w:r>
      <w:r w:rsidRPr="00777DC6">
        <w:rPr>
          <w:lang w:val="en-GB"/>
        </w:rPr>
        <w:t xml:space="preserve"> 2011, 37-50. </w:t>
      </w:r>
    </w:p>
    <w:p w:rsidR="00777DC6" w:rsidRPr="00777DC6" w:rsidRDefault="00777DC6" w:rsidP="00777DC6">
      <w:pPr>
        <w:numPr>
          <w:ilvl w:val="0"/>
          <w:numId w:val="4"/>
        </w:numPr>
        <w:jc w:val="both"/>
        <w:rPr>
          <w:i/>
          <w:lang w:val="en-GB"/>
        </w:rPr>
      </w:pPr>
      <w:r w:rsidRPr="00777DC6">
        <w:rPr>
          <w:lang w:val="en-GB"/>
        </w:rPr>
        <w:t xml:space="preserve">Stark B., “The Women’s Convention, Reproductive Rights, and the Reproduction of Gender”, </w:t>
      </w:r>
      <w:r w:rsidRPr="00777DC6">
        <w:rPr>
          <w:i/>
          <w:lang w:val="en-GB"/>
        </w:rPr>
        <w:t xml:space="preserve">Duke J. Gender L. &amp; </w:t>
      </w:r>
      <w:proofErr w:type="spellStart"/>
      <w:r w:rsidRPr="00777DC6">
        <w:rPr>
          <w:i/>
          <w:lang w:val="en-GB"/>
        </w:rPr>
        <w:t>Pol’y</w:t>
      </w:r>
      <w:proofErr w:type="spellEnd"/>
      <w:r w:rsidRPr="00777DC6">
        <w:rPr>
          <w:lang w:val="en-GB"/>
        </w:rPr>
        <w:t xml:space="preserve"> 2010-2011, 261-304. </w:t>
      </w:r>
    </w:p>
    <w:p w:rsidR="00777DC6" w:rsidRPr="00777DC6" w:rsidRDefault="00777DC6" w:rsidP="00777DC6">
      <w:pPr>
        <w:numPr>
          <w:ilvl w:val="0"/>
          <w:numId w:val="4"/>
        </w:numPr>
        <w:jc w:val="both"/>
        <w:rPr>
          <w:i/>
          <w:lang w:val="en-GB"/>
        </w:rPr>
      </w:pPr>
      <w:r w:rsidRPr="00777DC6">
        <w:rPr>
          <w:lang w:val="en-GB"/>
        </w:rPr>
        <w:t xml:space="preserve">Steiner H., “Social Rights and Economic Development: Converging Discourses?”, </w:t>
      </w:r>
      <w:r w:rsidRPr="00777DC6">
        <w:rPr>
          <w:i/>
          <w:lang w:val="en-GB"/>
        </w:rPr>
        <w:t xml:space="preserve">Buff. Hum. </w:t>
      </w:r>
      <w:proofErr w:type="spellStart"/>
      <w:r w:rsidRPr="00777DC6">
        <w:rPr>
          <w:i/>
          <w:lang w:val="en-GB"/>
        </w:rPr>
        <w:t>Rts</w:t>
      </w:r>
      <w:proofErr w:type="spellEnd"/>
      <w:r w:rsidRPr="00777DC6">
        <w:rPr>
          <w:i/>
          <w:lang w:val="en-GB"/>
        </w:rPr>
        <w:t>. L. Rev.</w:t>
      </w:r>
      <w:r w:rsidRPr="00777DC6">
        <w:rPr>
          <w:lang w:val="en-GB"/>
        </w:rPr>
        <w:t xml:space="preserve"> 1998, 25-42. </w:t>
      </w:r>
    </w:p>
    <w:p w:rsidR="00777DC6" w:rsidRPr="00777DC6" w:rsidRDefault="00777DC6" w:rsidP="00777DC6">
      <w:pPr>
        <w:numPr>
          <w:ilvl w:val="0"/>
          <w:numId w:val="4"/>
        </w:numPr>
        <w:jc w:val="both"/>
        <w:rPr>
          <w:i/>
          <w:lang w:val="en-GB"/>
        </w:rPr>
      </w:pPr>
      <w:r w:rsidRPr="00777DC6">
        <w:rPr>
          <w:lang w:val="en-GB"/>
        </w:rPr>
        <w:t xml:space="preserve">Suk J., “Are Gender </w:t>
      </w:r>
      <w:proofErr w:type="spellStart"/>
      <w:r w:rsidRPr="00777DC6">
        <w:rPr>
          <w:lang w:val="en-GB"/>
        </w:rPr>
        <w:t>Steretypes</w:t>
      </w:r>
      <w:proofErr w:type="spellEnd"/>
      <w:r w:rsidRPr="00777DC6">
        <w:rPr>
          <w:lang w:val="en-GB"/>
        </w:rPr>
        <w:t xml:space="preserve"> Bad for Women? Rethinking Antidiscrimination Law and Work-Family Conflict”, </w:t>
      </w:r>
      <w:r w:rsidRPr="00777DC6">
        <w:rPr>
          <w:i/>
          <w:lang w:val="en-GB"/>
        </w:rPr>
        <w:t>Colum. L. Rev.</w:t>
      </w:r>
      <w:r w:rsidRPr="00777DC6">
        <w:rPr>
          <w:lang w:val="en-GB"/>
        </w:rPr>
        <w:t xml:space="preserve"> 2010, 1-69. </w:t>
      </w:r>
    </w:p>
    <w:p w:rsidR="00777DC6" w:rsidRPr="00777DC6" w:rsidRDefault="00777DC6" w:rsidP="00777DC6">
      <w:pPr>
        <w:numPr>
          <w:ilvl w:val="0"/>
          <w:numId w:val="4"/>
        </w:numPr>
        <w:jc w:val="both"/>
        <w:rPr>
          <w:i/>
          <w:lang w:val="en-GB"/>
        </w:rPr>
      </w:pPr>
      <w:r w:rsidRPr="00777DC6">
        <w:rPr>
          <w:lang w:val="en-GB"/>
        </w:rPr>
        <w:t xml:space="preserve">Suk J., “From Antidiscrimination to Equality: Stereotypes and the Life Cycle in the United States and Europe”, </w:t>
      </w:r>
      <w:r w:rsidRPr="00777DC6">
        <w:rPr>
          <w:i/>
          <w:lang w:val="en-GB"/>
        </w:rPr>
        <w:t>Am. J. Comp. L.</w:t>
      </w:r>
      <w:r w:rsidRPr="00777DC6">
        <w:rPr>
          <w:lang w:val="en-GB"/>
        </w:rPr>
        <w:t xml:space="preserve"> 2012, 75-97. </w:t>
      </w:r>
    </w:p>
    <w:p w:rsidR="00777DC6" w:rsidRPr="00777DC6" w:rsidRDefault="00777DC6" w:rsidP="00777DC6">
      <w:pPr>
        <w:numPr>
          <w:ilvl w:val="0"/>
          <w:numId w:val="4"/>
        </w:numPr>
        <w:jc w:val="both"/>
        <w:rPr>
          <w:lang w:val="en-US"/>
        </w:rPr>
      </w:pPr>
      <w:r w:rsidRPr="00777DC6">
        <w:rPr>
          <w:lang w:val="en-US"/>
        </w:rPr>
        <w:t xml:space="preserve">Timmerman G. and </w:t>
      </w:r>
      <w:proofErr w:type="spellStart"/>
      <w:r w:rsidRPr="00777DC6">
        <w:rPr>
          <w:lang w:val="en-US"/>
        </w:rPr>
        <w:t>Bajema</w:t>
      </w:r>
      <w:proofErr w:type="spellEnd"/>
      <w:r w:rsidRPr="00777DC6">
        <w:rPr>
          <w:lang w:val="en-US"/>
        </w:rPr>
        <w:t xml:space="preserve"> C., “Sexual Harassment in North-West Europe”, </w:t>
      </w:r>
      <w:r w:rsidRPr="00777DC6">
        <w:rPr>
          <w:i/>
          <w:lang w:val="en-US"/>
        </w:rPr>
        <w:t>European Journal of Women’s Studies</w:t>
      </w:r>
      <w:r w:rsidRPr="00777DC6">
        <w:rPr>
          <w:lang w:val="en-US"/>
        </w:rPr>
        <w:t xml:space="preserve"> 1999, 419-439. </w:t>
      </w:r>
    </w:p>
    <w:p w:rsidR="00777DC6" w:rsidRPr="00777DC6" w:rsidRDefault="00777DC6" w:rsidP="00777DC6">
      <w:pPr>
        <w:numPr>
          <w:ilvl w:val="0"/>
          <w:numId w:val="4"/>
        </w:numPr>
        <w:jc w:val="both"/>
        <w:rPr>
          <w:i/>
          <w:lang w:val="en-US"/>
        </w:rPr>
      </w:pPr>
      <w:proofErr w:type="spellStart"/>
      <w:r w:rsidRPr="00777DC6">
        <w:rPr>
          <w:lang w:val="en-US"/>
        </w:rPr>
        <w:t>Tobler</w:t>
      </w:r>
      <w:proofErr w:type="spellEnd"/>
      <w:r w:rsidRPr="00777DC6">
        <w:rPr>
          <w:lang w:val="en-US"/>
        </w:rPr>
        <w:t xml:space="preserve"> C., “EFTA Court: case E-1/02, </w:t>
      </w:r>
      <w:r w:rsidRPr="00777DC6">
        <w:rPr>
          <w:i/>
          <w:lang w:val="en-US"/>
        </w:rPr>
        <w:t>EFTA Surveillance Authority v. Norway</w:t>
      </w:r>
      <w:r w:rsidRPr="00777DC6">
        <w:rPr>
          <w:lang w:val="en-US"/>
        </w:rPr>
        <w:t xml:space="preserve">”, </w:t>
      </w:r>
      <w:r w:rsidRPr="00777DC6">
        <w:rPr>
          <w:i/>
          <w:lang w:val="en-US"/>
        </w:rPr>
        <w:t>CMLR</w:t>
      </w:r>
      <w:r w:rsidRPr="00777DC6">
        <w:rPr>
          <w:lang w:val="en-US"/>
        </w:rPr>
        <w:t xml:space="preserve"> 2004, 245-260. </w:t>
      </w:r>
    </w:p>
    <w:p w:rsidR="00777DC6" w:rsidRPr="00777DC6" w:rsidRDefault="00777DC6" w:rsidP="00777DC6">
      <w:pPr>
        <w:numPr>
          <w:ilvl w:val="0"/>
          <w:numId w:val="4"/>
        </w:numPr>
        <w:jc w:val="both"/>
        <w:rPr>
          <w:b/>
          <w:lang w:val="en-US"/>
        </w:rPr>
      </w:pPr>
      <w:proofErr w:type="spellStart"/>
      <w:r w:rsidRPr="00777DC6">
        <w:rPr>
          <w:lang w:val="en-US"/>
        </w:rPr>
        <w:t>Tobler</w:t>
      </w:r>
      <w:proofErr w:type="spellEnd"/>
      <w:r w:rsidRPr="00777DC6">
        <w:rPr>
          <w:lang w:val="en-US"/>
        </w:rPr>
        <w:t xml:space="preserve"> C., “Positive action under the revised second equal treatment directive”, </w:t>
      </w:r>
      <w:r w:rsidRPr="00777DC6">
        <w:rPr>
          <w:i/>
          <w:lang w:val="en-US"/>
        </w:rPr>
        <w:t>working paper European Women Lawyers Association September</w:t>
      </w:r>
      <w:r w:rsidRPr="00777DC6">
        <w:rPr>
          <w:lang w:val="en-US"/>
        </w:rPr>
        <w:t xml:space="preserve"> </w:t>
      </w:r>
      <w:r w:rsidRPr="00777DC6">
        <w:rPr>
          <w:i/>
          <w:lang w:val="en-US"/>
        </w:rPr>
        <w:t>2002</w:t>
      </w:r>
      <w:r w:rsidRPr="00777DC6">
        <w:rPr>
          <w:lang w:val="en-US"/>
        </w:rPr>
        <w:t xml:space="preserve">, 1-29. </w:t>
      </w:r>
    </w:p>
    <w:p w:rsidR="00777DC6" w:rsidRPr="00777DC6" w:rsidRDefault="00777DC6" w:rsidP="00777DC6">
      <w:pPr>
        <w:numPr>
          <w:ilvl w:val="0"/>
          <w:numId w:val="4"/>
        </w:numPr>
        <w:jc w:val="both"/>
        <w:rPr>
          <w:i/>
          <w:lang w:val="en-GB"/>
        </w:rPr>
      </w:pPr>
      <w:proofErr w:type="spellStart"/>
      <w:r w:rsidRPr="00777DC6">
        <w:rPr>
          <w:lang w:val="en-GB"/>
        </w:rPr>
        <w:t>Tomei</w:t>
      </w:r>
      <w:proofErr w:type="spellEnd"/>
      <w:r w:rsidRPr="00777DC6">
        <w:rPr>
          <w:lang w:val="en-GB"/>
        </w:rPr>
        <w:t xml:space="preserve"> M., “Discrimination and equality at work: A review of the concepts”, </w:t>
      </w:r>
      <w:r w:rsidRPr="00777DC6">
        <w:rPr>
          <w:i/>
          <w:lang w:val="en-GB"/>
        </w:rPr>
        <w:t>Int’l Lab. Rev.</w:t>
      </w:r>
      <w:r w:rsidRPr="00777DC6">
        <w:rPr>
          <w:lang w:val="en-GB"/>
        </w:rPr>
        <w:t xml:space="preserve"> 2003, 401-418.</w:t>
      </w:r>
      <w:r w:rsidRPr="00777DC6">
        <w:rPr>
          <w:lang w:val="en-GB"/>
        </w:rPr>
        <w:tab/>
        <w:t xml:space="preserve"> </w:t>
      </w:r>
    </w:p>
    <w:p w:rsidR="00777DC6" w:rsidRPr="00777DC6" w:rsidRDefault="00777DC6" w:rsidP="00777DC6">
      <w:pPr>
        <w:numPr>
          <w:ilvl w:val="0"/>
          <w:numId w:val="4"/>
        </w:numPr>
        <w:jc w:val="both"/>
        <w:rPr>
          <w:i/>
          <w:lang w:val="en-GB"/>
        </w:rPr>
      </w:pPr>
      <w:proofErr w:type="spellStart"/>
      <w:r w:rsidRPr="00777DC6">
        <w:rPr>
          <w:lang w:val="en-GB"/>
        </w:rPr>
        <w:t>Toth</w:t>
      </w:r>
      <w:proofErr w:type="spellEnd"/>
      <w:r w:rsidRPr="00777DC6">
        <w:rPr>
          <w:lang w:val="en-GB"/>
        </w:rPr>
        <w:t xml:space="preserve"> M., “The right to dignity at work: Reflections on article 26 of the Revised European Social Charter”, </w:t>
      </w:r>
      <w:r w:rsidRPr="00777DC6">
        <w:rPr>
          <w:i/>
          <w:lang w:val="en-GB"/>
        </w:rPr>
        <w:t xml:space="preserve">Comp. Lab. &amp; </w:t>
      </w:r>
      <w:proofErr w:type="spellStart"/>
      <w:r w:rsidRPr="00777DC6">
        <w:rPr>
          <w:i/>
          <w:lang w:val="en-GB"/>
        </w:rPr>
        <w:t>Pol’y</w:t>
      </w:r>
      <w:proofErr w:type="spellEnd"/>
      <w:r w:rsidRPr="00777DC6">
        <w:rPr>
          <w:i/>
          <w:lang w:val="en-GB"/>
        </w:rPr>
        <w:t xml:space="preserve"> J.</w:t>
      </w:r>
      <w:r w:rsidRPr="00777DC6">
        <w:rPr>
          <w:lang w:val="en-GB"/>
        </w:rPr>
        <w:t xml:space="preserve"> 2007-2008, 275-316. </w:t>
      </w:r>
    </w:p>
    <w:p w:rsidR="00777DC6" w:rsidRPr="00777DC6" w:rsidRDefault="00777DC6" w:rsidP="00777DC6">
      <w:pPr>
        <w:numPr>
          <w:ilvl w:val="0"/>
          <w:numId w:val="4"/>
        </w:numPr>
        <w:jc w:val="both"/>
        <w:rPr>
          <w:i/>
          <w:lang w:val="en-GB"/>
        </w:rPr>
      </w:pPr>
      <w:r w:rsidRPr="00777DC6">
        <w:rPr>
          <w:lang w:val="en-GB"/>
        </w:rPr>
        <w:t xml:space="preserve">Totten C., “Constitutional </w:t>
      </w:r>
      <w:proofErr w:type="spellStart"/>
      <w:r w:rsidRPr="00777DC6">
        <w:rPr>
          <w:lang w:val="en-GB"/>
        </w:rPr>
        <w:t>Precommitments</w:t>
      </w:r>
      <w:proofErr w:type="spellEnd"/>
      <w:r w:rsidRPr="00777DC6">
        <w:rPr>
          <w:lang w:val="en-GB"/>
        </w:rPr>
        <w:t xml:space="preserve"> to Gender Affirmative Action in the European Union, Germany, Canada and the United States: A Comparative Approach”, </w:t>
      </w:r>
      <w:r w:rsidRPr="00777DC6">
        <w:rPr>
          <w:i/>
          <w:lang w:val="en-GB"/>
        </w:rPr>
        <w:t>Berkeley J. Int’l L.</w:t>
      </w:r>
      <w:r w:rsidRPr="00777DC6">
        <w:rPr>
          <w:lang w:val="en-GB"/>
        </w:rPr>
        <w:t xml:space="preserve"> 2003, 27-61. </w:t>
      </w:r>
    </w:p>
    <w:p w:rsidR="00777DC6" w:rsidRPr="00777DC6" w:rsidRDefault="00777DC6" w:rsidP="00777DC6">
      <w:pPr>
        <w:numPr>
          <w:ilvl w:val="0"/>
          <w:numId w:val="4"/>
        </w:numPr>
        <w:jc w:val="both"/>
        <w:rPr>
          <w:i/>
          <w:lang w:val="en-GB"/>
        </w:rPr>
      </w:pPr>
      <w:proofErr w:type="spellStart"/>
      <w:r w:rsidRPr="00777DC6">
        <w:rPr>
          <w:lang w:val="en-GB"/>
        </w:rPr>
        <w:t>VanDamme</w:t>
      </w:r>
      <w:proofErr w:type="spellEnd"/>
      <w:r w:rsidRPr="00777DC6">
        <w:rPr>
          <w:lang w:val="en-GB"/>
        </w:rPr>
        <w:t xml:space="preserve"> F., “The revision of the European Social Charter”, </w:t>
      </w:r>
      <w:r w:rsidRPr="00777DC6">
        <w:rPr>
          <w:i/>
          <w:lang w:val="en-GB"/>
        </w:rPr>
        <w:t xml:space="preserve">Int’l Lab. Rev. </w:t>
      </w:r>
      <w:r w:rsidRPr="00777DC6">
        <w:rPr>
          <w:lang w:val="en-GB"/>
        </w:rPr>
        <w:t xml:space="preserve">1994, 635-655. </w:t>
      </w:r>
    </w:p>
    <w:p w:rsidR="00777DC6" w:rsidRPr="00777DC6" w:rsidRDefault="00777DC6" w:rsidP="00777DC6">
      <w:pPr>
        <w:numPr>
          <w:ilvl w:val="0"/>
          <w:numId w:val="4"/>
        </w:numPr>
        <w:jc w:val="both"/>
        <w:rPr>
          <w:i/>
          <w:lang w:val="en-GB"/>
        </w:rPr>
      </w:pPr>
      <w:proofErr w:type="spellStart"/>
      <w:r w:rsidRPr="00777DC6">
        <w:rPr>
          <w:lang w:val="en-GB"/>
        </w:rPr>
        <w:t>Vandenbroucke</w:t>
      </w:r>
      <w:proofErr w:type="spellEnd"/>
      <w:r w:rsidRPr="00777DC6">
        <w:rPr>
          <w:lang w:val="en-GB"/>
        </w:rPr>
        <w:t xml:space="preserve"> F., “Europe: The Social Challenge”, European Social Observatory Opinion Paper No. 11, July 2012, 1-39. </w:t>
      </w:r>
    </w:p>
    <w:p w:rsidR="00777DC6" w:rsidRPr="00777DC6" w:rsidRDefault="00777DC6" w:rsidP="00777DC6">
      <w:pPr>
        <w:numPr>
          <w:ilvl w:val="0"/>
          <w:numId w:val="4"/>
        </w:numPr>
        <w:jc w:val="both"/>
        <w:rPr>
          <w:i/>
          <w:lang w:val="en-US"/>
        </w:rPr>
      </w:pPr>
      <w:r w:rsidRPr="00777DC6">
        <w:rPr>
          <w:lang w:val="en-US"/>
        </w:rPr>
        <w:t xml:space="preserve">Van der Post S., “Positive Measures in Employment Law: Different Approaches under CEDAW and EU Gender Equality Legislation”, </w:t>
      </w:r>
      <w:r w:rsidRPr="00777DC6">
        <w:rPr>
          <w:i/>
          <w:lang w:val="en-US"/>
        </w:rPr>
        <w:t>European Gender Equality Law Review</w:t>
      </w:r>
      <w:r w:rsidRPr="00777DC6">
        <w:rPr>
          <w:lang w:val="en-US"/>
        </w:rPr>
        <w:t xml:space="preserve"> 2011, 21-28. </w:t>
      </w:r>
    </w:p>
    <w:p w:rsidR="00777DC6" w:rsidRPr="00777DC6" w:rsidRDefault="00777DC6" w:rsidP="00777DC6">
      <w:pPr>
        <w:numPr>
          <w:ilvl w:val="0"/>
          <w:numId w:val="4"/>
        </w:numPr>
        <w:jc w:val="both"/>
        <w:rPr>
          <w:i/>
          <w:lang w:val="en-US"/>
        </w:rPr>
      </w:pPr>
      <w:r w:rsidRPr="00777DC6">
        <w:rPr>
          <w:lang w:val="en-US"/>
        </w:rPr>
        <w:t>Vogel-</w:t>
      </w:r>
      <w:proofErr w:type="spellStart"/>
      <w:r w:rsidRPr="00777DC6">
        <w:rPr>
          <w:lang w:val="en-US"/>
        </w:rPr>
        <w:t>Polsky</w:t>
      </w:r>
      <w:proofErr w:type="spellEnd"/>
      <w:r w:rsidRPr="00777DC6">
        <w:rPr>
          <w:lang w:val="en-US"/>
        </w:rPr>
        <w:t xml:space="preserve"> E., “Unlawful Discrimination in Employment – International Law and Community Law: Their Interrelationship with Domestic Law”, </w:t>
      </w:r>
      <w:r w:rsidRPr="00777DC6">
        <w:rPr>
          <w:i/>
          <w:lang w:val="en-US"/>
        </w:rPr>
        <w:t>Ga. J. Int’l &amp; Comp. L.</w:t>
      </w:r>
      <w:r w:rsidRPr="00777DC6">
        <w:rPr>
          <w:lang w:val="en-US"/>
        </w:rPr>
        <w:t xml:space="preserve"> 1990, 3-12. </w:t>
      </w:r>
    </w:p>
    <w:p w:rsidR="00777DC6" w:rsidRPr="00777DC6" w:rsidRDefault="00777DC6" w:rsidP="00777DC6">
      <w:pPr>
        <w:numPr>
          <w:ilvl w:val="0"/>
          <w:numId w:val="4"/>
        </w:numPr>
        <w:jc w:val="both"/>
        <w:rPr>
          <w:i/>
          <w:lang w:val="en-US"/>
        </w:rPr>
      </w:pPr>
      <w:r w:rsidRPr="00777DC6">
        <w:rPr>
          <w:lang w:val="en-US"/>
        </w:rPr>
        <w:lastRenderedPageBreak/>
        <w:t xml:space="preserve">Von </w:t>
      </w:r>
      <w:proofErr w:type="spellStart"/>
      <w:r w:rsidRPr="00777DC6">
        <w:rPr>
          <w:lang w:val="en-US"/>
        </w:rPr>
        <w:t>Bogdandy</w:t>
      </w:r>
      <w:proofErr w:type="spellEnd"/>
      <w:r w:rsidRPr="00777DC6">
        <w:rPr>
          <w:lang w:val="en-US"/>
        </w:rPr>
        <w:t xml:space="preserve"> A., “The European Union as a Human Rights Organization? Human Rights and the Core of the European Union”, </w:t>
      </w:r>
      <w:r w:rsidRPr="00777DC6">
        <w:rPr>
          <w:i/>
          <w:lang w:val="en-US"/>
        </w:rPr>
        <w:t>CMLR</w:t>
      </w:r>
      <w:r w:rsidRPr="00777DC6">
        <w:rPr>
          <w:lang w:val="en-US"/>
        </w:rPr>
        <w:t xml:space="preserve"> 2000, 1307-1338. </w:t>
      </w:r>
    </w:p>
    <w:p w:rsidR="00777DC6" w:rsidRPr="00777DC6" w:rsidRDefault="00777DC6" w:rsidP="00777DC6">
      <w:pPr>
        <w:numPr>
          <w:ilvl w:val="0"/>
          <w:numId w:val="4"/>
        </w:numPr>
        <w:jc w:val="both"/>
        <w:rPr>
          <w:i/>
          <w:lang w:val="en-GB"/>
        </w:rPr>
      </w:pPr>
      <w:r w:rsidRPr="00777DC6">
        <w:rPr>
          <w:lang w:val="en-GB"/>
        </w:rPr>
        <w:t xml:space="preserve">Watson P., “The Community Social Charter”, </w:t>
      </w:r>
      <w:r w:rsidRPr="00777DC6">
        <w:rPr>
          <w:i/>
          <w:lang w:val="en-GB"/>
        </w:rPr>
        <w:t>CMLR</w:t>
      </w:r>
      <w:r w:rsidRPr="00777DC6">
        <w:rPr>
          <w:lang w:val="en-GB"/>
        </w:rPr>
        <w:t xml:space="preserve"> 1991, 37-68. </w:t>
      </w:r>
    </w:p>
    <w:p w:rsidR="00777DC6" w:rsidRPr="00777DC6" w:rsidRDefault="00777DC6" w:rsidP="00777DC6">
      <w:pPr>
        <w:numPr>
          <w:ilvl w:val="0"/>
          <w:numId w:val="4"/>
        </w:numPr>
        <w:jc w:val="both"/>
        <w:rPr>
          <w:i/>
          <w:lang w:val="en-US"/>
        </w:rPr>
      </w:pPr>
      <w:r w:rsidRPr="00777DC6">
        <w:rPr>
          <w:lang w:val="en-US"/>
        </w:rPr>
        <w:t xml:space="preserve">Weldon-Johns M., “EU Work-Family Policies – Challenging Parental Roles or Reinforcing Gendered Stereotypes?”, </w:t>
      </w:r>
      <w:r w:rsidRPr="00777DC6">
        <w:rPr>
          <w:i/>
          <w:lang w:val="en-US"/>
        </w:rPr>
        <w:t xml:space="preserve">ELJ </w:t>
      </w:r>
      <w:r w:rsidRPr="00777DC6">
        <w:rPr>
          <w:lang w:val="en-US"/>
        </w:rPr>
        <w:t xml:space="preserve">2013, 1-20. </w:t>
      </w:r>
    </w:p>
    <w:p w:rsidR="00777DC6" w:rsidRPr="00777DC6" w:rsidRDefault="00777DC6" w:rsidP="00777DC6">
      <w:pPr>
        <w:numPr>
          <w:ilvl w:val="0"/>
          <w:numId w:val="4"/>
        </w:numPr>
        <w:jc w:val="both"/>
        <w:rPr>
          <w:lang w:val="en-GB"/>
        </w:rPr>
      </w:pPr>
      <w:r w:rsidRPr="00777DC6">
        <w:rPr>
          <w:lang w:val="en-GB"/>
        </w:rPr>
        <w:t xml:space="preserve">Wells M. and </w:t>
      </w:r>
      <w:proofErr w:type="spellStart"/>
      <w:r w:rsidRPr="00777DC6">
        <w:rPr>
          <w:lang w:val="en-GB"/>
        </w:rPr>
        <w:t>Sarkadi</w:t>
      </w:r>
      <w:proofErr w:type="spellEnd"/>
      <w:r w:rsidRPr="00777DC6">
        <w:rPr>
          <w:lang w:val="en-GB"/>
        </w:rPr>
        <w:t xml:space="preserve"> A., “Do Father-Friendly Policies Promote Father-Friendly Child-Rearing Practices? A Review of Swedish Parental Leave and Child Health </w:t>
      </w:r>
      <w:proofErr w:type="spellStart"/>
      <w:r w:rsidRPr="00777DC6">
        <w:rPr>
          <w:lang w:val="en-GB"/>
        </w:rPr>
        <w:t>Centers</w:t>
      </w:r>
      <w:proofErr w:type="spellEnd"/>
      <w:r w:rsidRPr="00777DC6">
        <w:rPr>
          <w:lang w:val="en-GB"/>
        </w:rPr>
        <w:t xml:space="preserve">”, </w:t>
      </w:r>
      <w:r w:rsidRPr="00777DC6">
        <w:rPr>
          <w:i/>
          <w:lang w:val="en-GB"/>
        </w:rPr>
        <w:t>J. Child Fam. Stud.</w:t>
      </w:r>
      <w:r w:rsidRPr="00777DC6">
        <w:rPr>
          <w:lang w:val="en-GB"/>
        </w:rPr>
        <w:t xml:space="preserve"> 2012, 25-31. </w:t>
      </w:r>
    </w:p>
    <w:p w:rsidR="00777DC6" w:rsidRPr="00777DC6" w:rsidRDefault="00777DC6" w:rsidP="00777DC6">
      <w:pPr>
        <w:numPr>
          <w:ilvl w:val="0"/>
          <w:numId w:val="4"/>
        </w:numPr>
        <w:jc w:val="both"/>
        <w:rPr>
          <w:i/>
          <w:lang w:val="en-GB"/>
        </w:rPr>
      </w:pPr>
      <w:proofErr w:type="spellStart"/>
      <w:r w:rsidRPr="00777DC6">
        <w:rPr>
          <w:lang w:val="en-GB"/>
        </w:rPr>
        <w:t>Westen</w:t>
      </w:r>
      <w:proofErr w:type="spellEnd"/>
      <w:r w:rsidRPr="00777DC6">
        <w:rPr>
          <w:lang w:val="en-GB"/>
        </w:rPr>
        <w:t xml:space="preserve"> P., “The Empty Idea of Equality”, </w:t>
      </w:r>
      <w:proofErr w:type="spellStart"/>
      <w:r w:rsidRPr="00777DC6">
        <w:rPr>
          <w:i/>
          <w:lang w:val="en-GB"/>
        </w:rPr>
        <w:t>Harv</w:t>
      </w:r>
      <w:proofErr w:type="spellEnd"/>
      <w:r w:rsidRPr="00777DC6">
        <w:rPr>
          <w:i/>
          <w:lang w:val="en-GB"/>
        </w:rPr>
        <w:t>. L. Rev.</w:t>
      </w:r>
      <w:r w:rsidRPr="00777DC6">
        <w:rPr>
          <w:lang w:val="en-GB"/>
        </w:rPr>
        <w:t xml:space="preserve"> 1982, 537-596. </w:t>
      </w:r>
    </w:p>
    <w:p w:rsidR="00777DC6" w:rsidRPr="00777DC6" w:rsidRDefault="00777DC6" w:rsidP="00777DC6">
      <w:pPr>
        <w:numPr>
          <w:ilvl w:val="0"/>
          <w:numId w:val="4"/>
        </w:numPr>
        <w:jc w:val="both"/>
        <w:rPr>
          <w:i/>
          <w:lang w:val="en-GB"/>
        </w:rPr>
      </w:pPr>
      <w:r w:rsidRPr="00777DC6">
        <w:rPr>
          <w:lang w:val="en-GB"/>
        </w:rPr>
        <w:t xml:space="preserve">Whitworth S., “Gender, International Relations and the Case of the ILO”, </w:t>
      </w:r>
      <w:r w:rsidRPr="00777DC6">
        <w:rPr>
          <w:i/>
          <w:lang w:val="en-GB"/>
        </w:rPr>
        <w:t>Rev. Int’l Stud.</w:t>
      </w:r>
      <w:r w:rsidRPr="00777DC6">
        <w:rPr>
          <w:lang w:val="en-GB"/>
        </w:rPr>
        <w:t xml:space="preserve"> 1994, 389-405. </w:t>
      </w:r>
    </w:p>
    <w:p w:rsidR="00777DC6" w:rsidRPr="00412D2F" w:rsidRDefault="00777DC6" w:rsidP="00777DC6">
      <w:pPr>
        <w:numPr>
          <w:ilvl w:val="0"/>
          <w:numId w:val="4"/>
        </w:numPr>
        <w:jc w:val="both"/>
        <w:rPr>
          <w:lang w:val="en-US"/>
        </w:rPr>
      </w:pPr>
      <w:r w:rsidRPr="00777DC6">
        <w:rPr>
          <w:lang w:val="en-US"/>
        </w:rPr>
        <w:t xml:space="preserve">Williams W., “Equality Riddle: Pregnancy and the Equal Treatment/Special Treatment Debate”, </w:t>
      </w:r>
      <w:r w:rsidRPr="00777DC6">
        <w:rPr>
          <w:i/>
          <w:lang w:val="en-US"/>
        </w:rPr>
        <w:t>N. Y. U. Rev. L. &amp; Soc. Change</w:t>
      </w:r>
      <w:r w:rsidRPr="00777DC6">
        <w:rPr>
          <w:lang w:val="en-US"/>
        </w:rPr>
        <w:t xml:space="preserve"> 1984-1985, 325-380.</w:t>
      </w:r>
    </w:p>
    <w:p w:rsidR="00777DC6" w:rsidRPr="00EB130D" w:rsidRDefault="00777DC6" w:rsidP="00777DC6">
      <w:pPr>
        <w:numPr>
          <w:ilvl w:val="0"/>
          <w:numId w:val="4"/>
        </w:numPr>
        <w:jc w:val="both"/>
        <w:rPr>
          <w:lang w:val="en-US"/>
        </w:rPr>
      </w:pPr>
      <w:proofErr w:type="spellStart"/>
      <w:r w:rsidRPr="00777DC6">
        <w:rPr>
          <w:lang w:val="en-US"/>
        </w:rPr>
        <w:t>Wintemute</w:t>
      </w:r>
      <w:proofErr w:type="spellEnd"/>
      <w:r w:rsidRPr="00777DC6">
        <w:rPr>
          <w:lang w:val="en-US"/>
        </w:rPr>
        <w:t xml:space="preserve"> R., “When is Pregnancy Discrimination Indirect Sex Discrimination?”, </w:t>
      </w:r>
      <w:r w:rsidRPr="00777DC6">
        <w:rPr>
          <w:i/>
          <w:lang w:val="en-US"/>
        </w:rPr>
        <w:t xml:space="preserve">Ind. L. J. </w:t>
      </w:r>
      <w:r w:rsidRPr="00777DC6">
        <w:rPr>
          <w:lang w:val="en-US"/>
        </w:rPr>
        <w:t xml:space="preserve">1998, 23-36.  </w:t>
      </w:r>
    </w:p>
    <w:p w:rsidR="00777DC6" w:rsidRPr="00F84424" w:rsidRDefault="00777DC6" w:rsidP="00777DC6">
      <w:pPr>
        <w:numPr>
          <w:ilvl w:val="0"/>
          <w:numId w:val="4"/>
        </w:numPr>
        <w:jc w:val="both"/>
        <w:rPr>
          <w:lang w:val="en-US"/>
        </w:rPr>
      </w:pPr>
      <w:r w:rsidRPr="00777DC6">
        <w:rPr>
          <w:lang w:val="en-US"/>
        </w:rPr>
        <w:t xml:space="preserve">X, “The European Social Charter and International </w:t>
      </w:r>
      <w:proofErr w:type="spellStart"/>
      <w:r w:rsidRPr="00777DC6">
        <w:rPr>
          <w:lang w:val="en-US"/>
        </w:rPr>
        <w:t>Labour</w:t>
      </w:r>
      <w:proofErr w:type="spellEnd"/>
      <w:r w:rsidRPr="00777DC6">
        <w:rPr>
          <w:lang w:val="en-US"/>
        </w:rPr>
        <w:t xml:space="preserve"> Standards: I”, </w:t>
      </w:r>
      <w:r w:rsidRPr="00777DC6">
        <w:rPr>
          <w:i/>
          <w:lang w:val="en-US"/>
        </w:rPr>
        <w:t xml:space="preserve">Int’l Lab. Rev. </w:t>
      </w:r>
      <w:r w:rsidRPr="00777DC6">
        <w:rPr>
          <w:lang w:val="en-US"/>
        </w:rPr>
        <w:t xml:space="preserve">1961, 354-375. </w:t>
      </w:r>
    </w:p>
    <w:p w:rsidR="00777DC6" w:rsidRPr="00C25086" w:rsidRDefault="00777DC6" w:rsidP="00777DC6">
      <w:pPr>
        <w:numPr>
          <w:ilvl w:val="0"/>
          <w:numId w:val="4"/>
        </w:numPr>
        <w:jc w:val="both"/>
        <w:rPr>
          <w:lang w:val="en-US"/>
        </w:rPr>
      </w:pPr>
      <w:proofErr w:type="spellStart"/>
      <w:r w:rsidRPr="00777DC6">
        <w:rPr>
          <w:lang w:val="en-US"/>
        </w:rPr>
        <w:t>Zearfoss</w:t>
      </w:r>
      <w:proofErr w:type="spellEnd"/>
      <w:r w:rsidRPr="00777DC6">
        <w:rPr>
          <w:lang w:val="en-US"/>
        </w:rPr>
        <w:t xml:space="preserve"> S., “Note, the Convention for the Elimination of All Forms of Discrimination against Women: Radical, Reasonable, or Reactionary?”, </w:t>
      </w:r>
      <w:r w:rsidRPr="00777DC6">
        <w:rPr>
          <w:i/>
          <w:lang w:val="en-US"/>
        </w:rPr>
        <w:t>Mich. J. Int’l L.</w:t>
      </w:r>
      <w:r w:rsidRPr="00777DC6">
        <w:rPr>
          <w:lang w:val="en-US"/>
        </w:rPr>
        <w:t xml:space="preserve"> 1990-1991, 903-942. </w:t>
      </w:r>
    </w:p>
    <w:p w:rsidR="00777DC6" w:rsidRPr="00C25086" w:rsidRDefault="00777DC6" w:rsidP="00777DC6">
      <w:pPr>
        <w:numPr>
          <w:ilvl w:val="0"/>
          <w:numId w:val="4"/>
        </w:numPr>
        <w:jc w:val="both"/>
        <w:rPr>
          <w:lang w:val="en-US"/>
        </w:rPr>
      </w:pPr>
      <w:proofErr w:type="spellStart"/>
      <w:r w:rsidRPr="00777DC6">
        <w:rPr>
          <w:lang w:val="en-US"/>
        </w:rPr>
        <w:t>Zippel</w:t>
      </w:r>
      <w:proofErr w:type="spellEnd"/>
      <w:r w:rsidRPr="00777DC6">
        <w:rPr>
          <w:lang w:val="en-US"/>
        </w:rPr>
        <w:t xml:space="preserve"> K., “Gender Equality Politics in the Changing European Union: The European Union Anti-Discrimination Directive and Sexual Harassment”, </w:t>
      </w:r>
      <w:r w:rsidRPr="00777DC6">
        <w:rPr>
          <w:i/>
          <w:iCs/>
          <w:lang w:val="en-US"/>
        </w:rPr>
        <w:t>CES Working Papers Series</w:t>
      </w:r>
      <w:r w:rsidRPr="00777DC6">
        <w:rPr>
          <w:lang w:val="en-US"/>
        </w:rPr>
        <w:t xml:space="preserve"> 2006, 1-11. </w:t>
      </w:r>
    </w:p>
    <w:p w:rsidR="00777DC6" w:rsidRPr="00C25086" w:rsidRDefault="00777DC6" w:rsidP="00777DC6">
      <w:pPr>
        <w:numPr>
          <w:ilvl w:val="0"/>
          <w:numId w:val="4"/>
        </w:numPr>
        <w:jc w:val="both"/>
        <w:rPr>
          <w:lang w:val="en-US"/>
        </w:rPr>
      </w:pPr>
      <w:proofErr w:type="spellStart"/>
      <w:r w:rsidRPr="00777DC6">
        <w:rPr>
          <w:lang w:val="en-US"/>
        </w:rPr>
        <w:t>Zippel</w:t>
      </w:r>
      <w:proofErr w:type="spellEnd"/>
      <w:r w:rsidRPr="00777DC6">
        <w:rPr>
          <w:lang w:val="en-US"/>
        </w:rPr>
        <w:t xml:space="preserve"> K., “The European Union 2002 Directive on sexual harassment: A feminist success?”, </w:t>
      </w:r>
      <w:r w:rsidRPr="00777DC6">
        <w:rPr>
          <w:i/>
          <w:lang w:val="en-US"/>
        </w:rPr>
        <w:t xml:space="preserve">Comparative European Politics </w:t>
      </w:r>
      <w:r w:rsidRPr="00777DC6">
        <w:rPr>
          <w:lang w:val="en-US"/>
        </w:rPr>
        <w:t xml:space="preserve">2009, 139-157. </w:t>
      </w:r>
    </w:p>
    <w:p w:rsidR="00777DC6" w:rsidRPr="00777DC6" w:rsidRDefault="00777DC6" w:rsidP="00777DC6">
      <w:pPr>
        <w:numPr>
          <w:ilvl w:val="0"/>
          <w:numId w:val="4"/>
        </w:numPr>
        <w:jc w:val="both"/>
        <w:rPr>
          <w:lang w:val="en-US"/>
        </w:rPr>
      </w:pPr>
      <w:proofErr w:type="spellStart"/>
      <w:r w:rsidRPr="00777DC6">
        <w:rPr>
          <w:lang w:val="en-US"/>
        </w:rPr>
        <w:t>Zweighaft</w:t>
      </w:r>
      <w:proofErr w:type="spellEnd"/>
      <w:r w:rsidRPr="00777DC6">
        <w:rPr>
          <w:lang w:val="en-US"/>
        </w:rPr>
        <w:t xml:space="preserve"> R., “What’s the harm? The legal accommodation of hostile environment sexual harassment”, </w:t>
      </w:r>
      <w:r w:rsidRPr="00777DC6">
        <w:rPr>
          <w:i/>
          <w:lang w:val="en-US"/>
        </w:rPr>
        <w:t xml:space="preserve">Comp. Lab. L. J. </w:t>
      </w:r>
      <w:r w:rsidRPr="00777DC6">
        <w:rPr>
          <w:lang w:val="en-US"/>
        </w:rPr>
        <w:t xml:space="preserve">1996-1997, 434-482. </w:t>
      </w: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777DC6" w:rsidRPr="00777DC6" w:rsidRDefault="00777DC6" w:rsidP="00777DC6">
      <w:pPr>
        <w:jc w:val="both"/>
        <w:rPr>
          <w:b/>
          <w:u w:val="single"/>
          <w:lang w:val="en-GB"/>
        </w:rPr>
      </w:pPr>
    </w:p>
    <w:p w:rsidR="00942C07" w:rsidRDefault="00942C07" w:rsidP="00777DC6">
      <w:pPr>
        <w:jc w:val="both"/>
        <w:rPr>
          <w:b/>
          <w:u w:val="single"/>
          <w:lang w:val="en-GB"/>
        </w:rPr>
      </w:pPr>
    </w:p>
    <w:p w:rsidR="00777DC6" w:rsidRPr="00777DC6" w:rsidRDefault="00777DC6" w:rsidP="00777DC6">
      <w:pPr>
        <w:jc w:val="both"/>
        <w:rPr>
          <w:b/>
          <w:u w:val="single"/>
          <w:lang w:val="en-GB"/>
        </w:rPr>
      </w:pPr>
      <w:r w:rsidRPr="00777DC6">
        <w:rPr>
          <w:b/>
          <w:u w:val="single"/>
          <w:lang w:val="en-GB"/>
        </w:rPr>
        <w:lastRenderedPageBreak/>
        <w:t>Online Sources</w:t>
      </w:r>
    </w:p>
    <w:p w:rsidR="00777DC6" w:rsidRPr="00777DC6" w:rsidRDefault="00777DC6" w:rsidP="00777DC6">
      <w:pPr>
        <w:jc w:val="both"/>
        <w:rPr>
          <w:u w:val="single"/>
          <w:lang w:val="en-GB"/>
        </w:rPr>
      </w:pPr>
      <w:r w:rsidRPr="00777DC6">
        <w:rPr>
          <w:u w:val="single"/>
          <w:lang w:val="en-GB"/>
        </w:rPr>
        <w:t>Websites</w:t>
      </w:r>
    </w:p>
    <w:p w:rsidR="00777DC6" w:rsidRPr="00777DC6" w:rsidRDefault="00777DC6" w:rsidP="00FB4E0A">
      <w:pPr>
        <w:numPr>
          <w:ilvl w:val="0"/>
          <w:numId w:val="4"/>
        </w:numPr>
        <w:rPr>
          <w:lang w:val="en-GB"/>
        </w:rPr>
      </w:pPr>
      <w:r w:rsidRPr="00777DC6">
        <w:rPr>
          <w:lang w:val="en-GB"/>
        </w:rPr>
        <w:t>Website of Amnesty International:</w:t>
      </w:r>
      <w:r w:rsidRPr="00777DC6">
        <w:rPr>
          <w:lang w:val="en-US"/>
        </w:rPr>
        <w:t xml:space="preserve">                                        </w:t>
      </w:r>
      <w:hyperlink r:id="rId12" w:history="1">
        <w:r w:rsidRPr="00777DC6">
          <w:rPr>
            <w:rStyle w:val="Hyperlink"/>
            <w:lang w:val="en-US"/>
          </w:rPr>
          <w:t>http://www.amnesty.eu/en/home/</w:t>
        </w:r>
      </w:hyperlink>
    </w:p>
    <w:p w:rsidR="00777DC6" w:rsidRPr="00777DC6" w:rsidRDefault="00777DC6" w:rsidP="00FB4E0A">
      <w:pPr>
        <w:numPr>
          <w:ilvl w:val="0"/>
          <w:numId w:val="4"/>
        </w:numPr>
        <w:rPr>
          <w:u w:val="single"/>
          <w:lang w:val="en-GB"/>
        </w:rPr>
      </w:pPr>
      <w:r w:rsidRPr="00777DC6">
        <w:rPr>
          <w:lang w:val="en-GB"/>
        </w:rPr>
        <w:t xml:space="preserve">Website of the International Labour Organization:                    </w:t>
      </w:r>
      <w:hyperlink r:id="rId13" w:history="1">
        <w:r w:rsidRPr="00777DC6">
          <w:rPr>
            <w:rStyle w:val="Hyperlink"/>
            <w:lang w:val="en-US"/>
          </w:rPr>
          <w:t>http://www.ilo.org/global/lang--en/index.htm</w:t>
        </w:r>
      </w:hyperlink>
    </w:p>
    <w:p w:rsidR="00777DC6" w:rsidRPr="00777DC6" w:rsidRDefault="00777DC6" w:rsidP="00FB4E0A">
      <w:pPr>
        <w:numPr>
          <w:ilvl w:val="0"/>
          <w:numId w:val="4"/>
        </w:numPr>
        <w:rPr>
          <w:u w:val="single"/>
          <w:lang w:val="en-GB"/>
        </w:rPr>
      </w:pPr>
      <w:r w:rsidRPr="00777DC6">
        <w:rPr>
          <w:lang w:val="en-GB"/>
        </w:rPr>
        <w:t xml:space="preserve">Website of the European Union:                                                        </w:t>
      </w:r>
      <w:hyperlink r:id="rId14" w:history="1">
        <w:r w:rsidRPr="00777DC6">
          <w:rPr>
            <w:rStyle w:val="Hyperlink"/>
            <w:lang w:val="en-US"/>
          </w:rPr>
          <w:t>http://europa.eu/index_en.htm</w:t>
        </w:r>
      </w:hyperlink>
    </w:p>
    <w:p w:rsidR="00777DC6" w:rsidRPr="00777DC6" w:rsidRDefault="00777DC6" w:rsidP="00FB4E0A">
      <w:pPr>
        <w:numPr>
          <w:ilvl w:val="0"/>
          <w:numId w:val="4"/>
        </w:numPr>
        <w:rPr>
          <w:u w:val="single"/>
          <w:lang w:val="en-GB"/>
        </w:rPr>
      </w:pPr>
      <w:r w:rsidRPr="00777DC6">
        <w:rPr>
          <w:lang w:val="en-US"/>
        </w:rPr>
        <w:t>The European Job Mobility Portal:</w:t>
      </w:r>
      <w:r w:rsidRPr="00777DC6">
        <w:rPr>
          <w:u w:val="single"/>
          <w:lang w:val="en-GB"/>
        </w:rPr>
        <w:t xml:space="preserve">                                    </w:t>
      </w:r>
      <w:hyperlink r:id="rId15" w:history="1">
        <w:r w:rsidRPr="00777DC6">
          <w:rPr>
            <w:rStyle w:val="Hyperlink"/>
            <w:lang w:val="en-US"/>
          </w:rPr>
          <w:t>https://ec.europa.eu/eures/home.jsp</w:t>
        </w:r>
      </w:hyperlink>
    </w:p>
    <w:p w:rsidR="00777DC6" w:rsidRPr="00777DC6" w:rsidRDefault="00777DC6" w:rsidP="00FB4E0A">
      <w:pPr>
        <w:numPr>
          <w:ilvl w:val="0"/>
          <w:numId w:val="4"/>
        </w:numPr>
        <w:rPr>
          <w:u w:val="single"/>
          <w:lang w:val="en-GB"/>
        </w:rPr>
      </w:pPr>
      <w:r w:rsidRPr="00777DC6">
        <w:rPr>
          <w:lang w:val="en-GB"/>
        </w:rPr>
        <w:t>Website of the European Union Agency for Fundamental Rights:</w:t>
      </w:r>
      <w:r w:rsidRPr="00777DC6">
        <w:rPr>
          <w:u w:val="single"/>
          <w:lang w:val="en-GB"/>
        </w:rPr>
        <w:t xml:space="preserve">                </w:t>
      </w:r>
      <w:hyperlink r:id="rId16" w:history="1">
        <w:r w:rsidRPr="00777DC6">
          <w:rPr>
            <w:rStyle w:val="Hyperlink"/>
            <w:lang w:val="en-US"/>
          </w:rPr>
          <w:t>http://fra.europa.eu/en</w:t>
        </w:r>
      </w:hyperlink>
    </w:p>
    <w:p w:rsidR="00777DC6" w:rsidRPr="00FB4E0A" w:rsidRDefault="00777DC6" w:rsidP="00FB4E0A">
      <w:pPr>
        <w:numPr>
          <w:ilvl w:val="0"/>
          <w:numId w:val="4"/>
        </w:numPr>
        <w:rPr>
          <w:u w:val="single"/>
          <w:lang w:val="en-GB"/>
        </w:rPr>
      </w:pPr>
      <w:r w:rsidRPr="00777DC6">
        <w:rPr>
          <w:lang w:val="en-US"/>
        </w:rPr>
        <w:t xml:space="preserve">Website of the Organization for Economic Co-operation and Development: </w:t>
      </w:r>
      <w:hyperlink r:id="rId17" w:history="1">
        <w:r w:rsidRPr="00777DC6">
          <w:rPr>
            <w:rStyle w:val="Hyperlink"/>
            <w:lang w:val="en-US"/>
          </w:rPr>
          <w:t>http://www.oecd.org/</w:t>
        </w:r>
      </w:hyperlink>
    </w:p>
    <w:p w:rsidR="00777DC6" w:rsidRDefault="00FB4E0A" w:rsidP="00FB4E0A">
      <w:pPr>
        <w:numPr>
          <w:ilvl w:val="0"/>
          <w:numId w:val="4"/>
        </w:numPr>
        <w:rPr>
          <w:u w:val="single"/>
          <w:lang w:val="en-GB"/>
        </w:rPr>
      </w:pPr>
      <w:r w:rsidRPr="00FB4E0A">
        <w:rPr>
          <w:lang w:val="en-US"/>
        </w:rPr>
        <w:t>Website of The Guardian:</w:t>
      </w:r>
      <w:r>
        <w:rPr>
          <w:lang w:val="en-US"/>
        </w:rPr>
        <w:t xml:space="preserve">                                                       </w:t>
      </w:r>
      <w:hyperlink r:id="rId18" w:history="1">
        <w:r w:rsidRPr="00FB4E0A">
          <w:rPr>
            <w:rStyle w:val="Hyperlink"/>
            <w:lang w:val="en-US"/>
          </w:rPr>
          <w:t>http://www.theguardian.com/uk</w:t>
        </w:r>
      </w:hyperlink>
    </w:p>
    <w:p w:rsidR="00FB4E0A" w:rsidRPr="00FB4E0A" w:rsidRDefault="00FB4E0A" w:rsidP="00FB4E0A">
      <w:pPr>
        <w:ind w:left="720"/>
        <w:rPr>
          <w:u w:val="single"/>
          <w:lang w:val="en-GB"/>
        </w:rPr>
      </w:pPr>
    </w:p>
    <w:p w:rsidR="00777DC6" w:rsidRPr="00777DC6" w:rsidRDefault="00777DC6" w:rsidP="00FB4E0A">
      <w:pPr>
        <w:rPr>
          <w:u w:val="single"/>
          <w:lang w:val="en-US"/>
        </w:rPr>
      </w:pPr>
      <w:r w:rsidRPr="00777DC6">
        <w:rPr>
          <w:u w:val="single"/>
          <w:lang w:val="en-US"/>
        </w:rPr>
        <w:t>Online Journal and Newspaper Articles</w:t>
      </w:r>
    </w:p>
    <w:p w:rsidR="00777DC6" w:rsidRPr="00EC52B3" w:rsidRDefault="00777DC6" w:rsidP="00FB4E0A">
      <w:pPr>
        <w:numPr>
          <w:ilvl w:val="0"/>
          <w:numId w:val="4"/>
        </w:numPr>
        <w:rPr>
          <w:lang w:val="en-US"/>
        </w:rPr>
      </w:pPr>
      <w:proofErr w:type="spellStart"/>
      <w:r w:rsidRPr="00777DC6">
        <w:rPr>
          <w:lang w:val="en-GB"/>
        </w:rPr>
        <w:t>Hanseguard</w:t>
      </w:r>
      <w:proofErr w:type="spellEnd"/>
      <w:r w:rsidRPr="00777DC6">
        <w:rPr>
          <w:lang w:val="en-GB"/>
        </w:rPr>
        <w:t xml:space="preserve"> J., “</w:t>
      </w:r>
      <w:r w:rsidRPr="00777DC6">
        <w:rPr>
          <w:lang w:val="en-US"/>
        </w:rPr>
        <w:t xml:space="preserve">For Paternity Leave, Sweden Asks if Two Months Is Enough”, </w:t>
      </w:r>
      <w:r w:rsidRPr="00777DC6">
        <w:rPr>
          <w:i/>
          <w:lang w:val="en-US"/>
        </w:rPr>
        <w:t>The Wall Street Journal</w:t>
      </w:r>
      <w:r w:rsidRPr="00777DC6">
        <w:rPr>
          <w:lang w:val="en-US"/>
        </w:rPr>
        <w:t>, 31</w:t>
      </w:r>
      <w:r w:rsidRPr="00777DC6">
        <w:rPr>
          <w:vertAlign w:val="superscript"/>
          <w:lang w:val="en-US"/>
        </w:rPr>
        <w:t>st</w:t>
      </w:r>
      <w:r w:rsidRPr="00777DC6">
        <w:rPr>
          <w:lang w:val="en-US"/>
        </w:rPr>
        <w:t xml:space="preserve"> of July 2012, at: </w:t>
      </w:r>
      <w:hyperlink r:id="rId19" w:history="1">
        <w:r w:rsidRPr="00777DC6">
          <w:rPr>
            <w:rStyle w:val="Hyperlink"/>
            <w:lang w:val="en-GB"/>
          </w:rPr>
          <w:t>http://online.wsj.com/article/SB10000872396390444226904577561100020336384.html</w:t>
        </w:r>
      </w:hyperlink>
      <w:r w:rsidRPr="00777DC6">
        <w:rPr>
          <w:lang w:val="en-GB"/>
        </w:rPr>
        <w:t xml:space="preserve"> </w:t>
      </w:r>
    </w:p>
    <w:p w:rsidR="00777DC6" w:rsidRPr="00EC52B3" w:rsidRDefault="00777DC6" w:rsidP="00FB4E0A">
      <w:pPr>
        <w:numPr>
          <w:ilvl w:val="0"/>
          <w:numId w:val="4"/>
        </w:numPr>
        <w:rPr>
          <w:lang w:val="en-US"/>
        </w:rPr>
      </w:pPr>
      <w:r w:rsidRPr="00777DC6">
        <w:rPr>
          <w:lang w:val="en-GB"/>
        </w:rPr>
        <w:t xml:space="preserve">Organization for Economic Co-operation and Development, </w:t>
      </w:r>
      <w:r w:rsidRPr="00777DC6">
        <w:rPr>
          <w:i/>
          <w:lang w:val="en-GB"/>
        </w:rPr>
        <w:t>Use of childbirth-related leave by mothers and fathers</w:t>
      </w:r>
      <w:r w:rsidRPr="00777DC6">
        <w:rPr>
          <w:lang w:val="en-GB"/>
        </w:rPr>
        <w:t xml:space="preserve">, 2010, available at: </w:t>
      </w:r>
      <w:hyperlink r:id="rId20" w:history="1">
        <w:r w:rsidRPr="00777DC6">
          <w:rPr>
            <w:rStyle w:val="Hyperlink"/>
            <w:lang w:val="en-US"/>
          </w:rPr>
          <w:t>http://www.oecd.org/social/soc/41927348.pdf</w:t>
        </w:r>
      </w:hyperlink>
      <w:r w:rsidRPr="00777DC6">
        <w:rPr>
          <w:lang w:val="en-GB"/>
        </w:rPr>
        <w:t xml:space="preserve"> </w:t>
      </w:r>
    </w:p>
    <w:p w:rsidR="00777DC6" w:rsidRPr="00EC52B3" w:rsidRDefault="00777DC6" w:rsidP="00EC52B3">
      <w:pPr>
        <w:numPr>
          <w:ilvl w:val="0"/>
          <w:numId w:val="4"/>
        </w:numPr>
        <w:rPr>
          <w:lang w:val="en-US"/>
        </w:rPr>
      </w:pPr>
      <w:r w:rsidRPr="00777DC6">
        <w:rPr>
          <w:lang w:val="en-US"/>
        </w:rPr>
        <w:t>Rankin J., “Council to ditch MEPs' </w:t>
      </w:r>
      <w:r w:rsidRPr="00777DC6">
        <w:rPr>
          <w:bCs/>
          <w:lang w:val="en-US"/>
        </w:rPr>
        <w:t>maternity</w:t>
      </w:r>
      <w:r w:rsidRPr="00777DC6">
        <w:rPr>
          <w:lang w:val="en-US"/>
        </w:rPr>
        <w:t xml:space="preserve"> leave plans”, </w:t>
      </w:r>
      <w:r w:rsidRPr="00777DC6">
        <w:rPr>
          <w:i/>
          <w:lang w:val="en-US"/>
        </w:rPr>
        <w:t>European Voice</w:t>
      </w:r>
      <w:r w:rsidRPr="00777DC6">
        <w:rPr>
          <w:lang w:val="en-US"/>
        </w:rPr>
        <w:t xml:space="preserve"> 2 December 2010. </w:t>
      </w:r>
    </w:p>
    <w:p w:rsidR="00D37BB1" w:rsidRPr="008C2B79" w:rsidRDefault="00777DC6" w:rsidP="008C2B79">
      <w:pPr>
        <w:numPr>
          <w:ilvl w:val="0"/>
          <w:numId w:val="4"/>
        </w:numPr>
        <w:rPr>
          <w:lang w:val="en-US"/>
        </w:rPr>
      </w:pPr>
      <w:r w:rsidRPr="00777DC6">
        <w:rPr>
          <w:lang w:val="en-US"/>
        </w:rPr>
        <w:t xml:space="preserve">The Washington Times, “Feminists accused of pushing agenda at U.N.”, Friday 11 August 2006, available at: </w:t>
      </w:r>
      <w:hyperlink r:id="rId21" w:history="1">
        <w:r w:rsidRPr="00777DC6">
          <w:rPr>
            <w:rStyle w:val="Hyperlink"/>
            <w:lang w:val="en-US"/>
          </w:rPr>
          <w:t>http://www.washingtontimes.com/news/2006/aug/11/20060811-123451-2280r/</w:t>
        </w:r>
      </w:hyperlink>
      <w:r w:rsidRPr="00777DC6">
        <w:rPr>
          <w:lang w:val="en-US"/>
        </w:rPr>
        <w:t xml:space="preserve"> </w:t>
      </w:r>
      <w:r w:rsidR="00D37BB1" w:rsidRPr="008C2B79">
        <w:rPr>
          <w:lang w:val="en-US"/>
        </w:rPr>
        <w:t xml:space="preserve"> </w:t>
      </w:r>
      <w:r w:rsidR="00D37BB1" w:rsidRPr="008C2B79">
        <w:rPr>
          <w:lang w:val="en-US"/>
        </w:rPr>
        <w:tab/>
      </w:r>
    </w:p>
    <w:sectPr w:rsidR="00D37BB1" w:rsidRPr="008C2B79" w:rsidSect="00347FB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E68" w:rsidRDefault="00551E68" w:rsidP="002F6002">
      <w:pPr>
        <w:spacing w:after="0" w:line="240" w:lineRule="auto"/>
      </w:pPr>
      <w:r>
        <w:separator/>
      </w:r>
    </w:p>
  </w:endnote>
  <w:endnote w:type="continuationSeparator" w:id="0">
    <w:p w:rsidR="00551E68" w:rsidRDefault="00551E68" w:rsidP="002F6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E68" w:rsidRDefault="00551E68">
    <w:pPr>
      <w:pStyle w:val="Voettekst"/>
      <w:jc w:val="right"/>
    </w:pPr>
  </w:p>
  <w:p w:rsidR="00551E68" w:rsidRDefault="00551E6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86284"/>
      <w:docPartObj>
        <w:docPartGallery w:val="Page Numbers (Bottom of Page)"/>
        <w:docPartUnique/>
      </w:docPartObj>
    </w:sdtPr>
    <w:sdtContent>
      <w:p w:rsidR="00551E68" w:rsidRDefault="00551E68">
        <w:pPr>
          <w:pStyle w:val="Voettekst"/>
          <w:jc w:val="right"/>
        </w:pPr>
        <w:r>
          <w:fldChar w:fldCharType="begin"/>
        </w:r>
        <w:r>
          <w:instrText xml:space="preserve"> PAGE   \* MERGEFORMAT </w:instrText>
        </w:r>
        <w:r>
          <w:fldChar w:fldCharType="separate"/>
        </w:r>
        <w:r w:rsidR="00206C78">
          <w:rPr>
            <w:noProof/>
          </w:rPr>
          <w:t>88</w:t>
        </w:r>
        <w:r>
          <w:rPr>
            <w:noProof/>
          </w:rPr>
          <w:fldChar w:fldCharType="end"/>
        </w:r>
      </w:p>
    </w:sdtContent>
  </w:sdt>
  <w:p w:rsidR="00551E68" w:rsidRDefault="00551E6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86287"/>
      <w:docPartObj>
        <w:docPartGallery w:val="Page Numbers (Bottom of Page)"/>
        <w:docPartUnique/>
      </w:docPartObj>
    </w:sdtPr>
    <w:sdtContent>
      <w:p w:rsidR="00551E68" w:rsidRDefault="00551E68">
        <w:pPr>
          <w:pStyle w:val="Voettekst"/>
          <w:jc w:val="right"/>
        </w:pPr>
        <w:r>
          <w:fldChar w:fldCharType="begin"/>
        </w:r>
        <w:r>
          <w:instrText xml:space="preserve"> PAGE   \* MERGEFORMAT </w:instrText>
        </w:r>
        <w:r>
          <w:fldChar w:fldCharType="separate"/>
        </w:r>
        <w:r w:rsidR="00D15755">
          <w:rPr>
            <w:noProof/>
          </w:rPr>
          <w:t>II</w:t>
        </w:r>
        <w:r>
          <w:rPr>
            <w:noProof/>
          </w:rPr>
          <w:fldChar w:fldCharType="end"/>
        </w:r>
      </w:p>
    </w:sdtContent>
  </w:sdt>
  <w:p w:rsidR="00551E68" w:rsidRDefault="00551E6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E68" w:rsidRDefault="00551E68" w:rsidP="002F6002">
      <w:pPr>
        <w:spacing w:after="0" w:line="240" w:lineRule="auto"/>
      </w:pPr>
      <w:r>
        <w:separator/>
      </w:r>
    </w:p>
  </w:footnote>
  <w:footnote w:type="continuationSeparator" w:id="0">
    <w:p w:rsidR="00551E68" w:rsidRDefault="00551E68" w:rsidP="002F6002">
      <w:pPr>
        <w:spacing w:after="0" w:line="240" w:lineRule="auto"/>
      </w:pPr>
      <w:r>
        <w:continuationSeparator/>
      </w:r>
    </w:p>
  </w:footnote>
  <w:footnote w:id="1">
    <w:p w:rsidR="00551E68" w:rsidRPr="001F36E2" w:rsidRDefault="00551E68" w:rsidP="005869B3">
      <w:pPr>
        <w:pStyle w:val="Voetnoottekst"/>
        <w:jc w:val="both"/>
        <w:rPr>
          <w:lang w:val="en-US"/>
        </w:rPr>
      </w:pPr>
      <w:r>
        <w:rPr>
          <w:rStyle w:val="Voetnootmarkering"/>
        </w:rPr>
        <w:footnoteRef/>
      </w:r>
      <w:r w:rsidRPr="001F36E2">
        <w:rPr>
          <w:lang w:val="en-US"/>
        </w:rPr>
        <w:t xml:space="preserve"> </w:t>
      </w:r>
      <w:r>
        <w:rPr>
          <w:lang w:val="en-US"/>
        </w:rPr>
        <w:t xml:space="preserve">See for example: article 63 of the Treaty of Peace between the Allied and Associated Powers and Austria, St. </w:t>
      </w:r>
      <w:proofErr w:type="spellStart"/>
      <w:r>
        <w:rPr>
          <w:lang w:val="en-US"/>
        </w:rPr>
        <w:t>Germain</w:t>
      </w:r>
      <w:proofErr w:type="spellEnd"/>
      <w:r>
        <w:rPr>
          <w:lang w:val="en-US"/>
        </w:rPr>
        <w:t>-en-</w:t>
      </w:r>
      <w:proofErr w:type="spellStart"/>
      <w:r>
        <w:rPr>
          <w:lang w:val="en-US"/>
        </w:rPr>
        <w:t>Laye</w:t>
      </w:r>
      <w:proofErr w:type="spellEnd"/>
      <w:r>
        <w:rPr>
          <w:lang w:val="en-US"/>
        </w:rPr>
        <w:t xml:space="preserve">, 10 September 1919; Permanent Court of International Justice, Advisory Opinion on Minority Schools in Albania, 1935, </w:t>
      </w:r>
      <w:proofErr w:type="spellStart"/>
      <w:r>
        <w:rPr>
          <w:lang w:val="en-US"/>
        </w:rPr>
        <w:t>serie</w:t>
      </w:r>
      <w:proofErr w:type="spellEnd"/>
      <w:r>
        <w:rPr>
          <w:lang w:val="en-US"/>
        </w:rPr>
        <w:t xml:space="preserve"> A/B no. 64, 17.</w:t>
      </w:r>
    </w:p>
  </w:footnote>
  <w:footnote w:id="2">
    <w:p w:rsidR="00551E68" w:rsidRPr="000E1919" w:rsidRDefault="00551E68" w:rsidP="005869B3">
      <w:pPr>
        <w:pStyle w:val="Voetnoottekst"/>
        <w:jc w:val="both"/>
        <w:rPr>
          <w:b/>
          <w:lang w:val="en-US"/>
        </w:rPr>
      </w:pPr>
      <w:r>
        <w:rPr>
          <w:rStyle w:val="Voetnootmarkering"/>
        </w:rPr>
        <w:footnoteRef/>
      </w:r>
      <w:r w:rsidRPr="00FB38BA">
        <w:rPr>
          <w:lang w:val="en-US"/>
        </w:rPr>
        <w:t xml:space="preserve"> </w:t>
      </w:r>
      <w:proofErr w:type="spellStart"/>
      <w:r w:rsidRPr="000E1919">
        <w:rPr>
          <w:lang w:val="en-US"/>
        </w:rPr>
        <w:t>Brownlie</w:t>
      </w:r>
      <w:proofErr w:type="spellEnd"/>
      <w:r w:rsidRPr="000E1919">
        <w:rPr>
          <w:lang w:val="en-US"/>
        </w:rPr>
        <w:t xml:space="preserve"> I., </w:t>
      </w:r>
      <w:r w:rsidRPr="000E1919">
        <w:rPr>
          <w:i/>
          <w:lang w:val="en-US"/>
        </w:rPr>
        <w:t>Public International Law</w:t>
      </w:r>
      <w:r w:rsidRPr="000E1919">
        <w:rPr>
          <w:lang w:val="en-US"/>
        </w:rPr>
        <w:t>, Oxford, Oxford University Press, 2008,</w:t>
      </w:r>
      <w:r>
        <w:rPr>
          <w:lang w:val="en-US"/>
        </w:rPr>
        <w:t xml:space="preserve"> 572;</w:t>
      </w:r>
      <w:r>
        <w:rPr>
          <w:b/>
          <w:lang w:val="en-US"/>
        </w:rPr>
        <w:t xml:space="preserve"> </w:t>
      </w:r>
      <w:r w:rsidRPr="00FB38BA">
        <w:rPr>
          <w:lang w:val="en-US"/>
        </w:rPr>
        <w:t xml:space="preserve">Cassese A., </w:t>
      </w:r>
      <w:r w:rsidRPr="00FB38BA">
        <w:rPr>
          <w:i/>
          <w:lang w:val="en-US"/>
        </w:rPr>
        <w:t>International Law</w:t>
      </w:r>
      <w:r w:rsidRPr="00FB38BA">
        <w:rPr>
          <w:lang w:val="en-US"/>
        </w:rPr>
        <w:t>, Oxford, Oxford University Press, 2005,</w:t>
      </w:r>
      <w:r>
        <w:rPr>
          <w:lang w:val="en-US"/>
        </w:rPr>
        <w:t xml:space="preserve"> 375-377. </w:t>
      </w:r>
    </w:p>
  </w:footnote>
  <w:footnote w:id="3">
    <w:p w:rsidR="00551E68" w:rsidRDefault="00551E68" w:rsidP="003669F3">
      <w:pPr>
        <w:pStyle w:val="Voetnoottekst"/>
        <w:rPr>
          <w:lang w:val="en-US"/>
        </w:rPr>
      </w:pPr>
      <w:r>
        <w:rPr>
          <w:rStyle w:val="Voetnootmarkering"/>
        </w:rPr>
        <w:footnoteRef/>
      </w:r>
      <w:r>
        <w:rPr>
          <w:lang w:val="en-US"/>
        </w:rPr>
        <w:t xml:space="preserve"> See the website of The Guardian: “A timeline of women’s right to vote”, available at </w:t>
      </w:r>
      <w:hyperlink r:id="rId1" w:history="1">
        <w:r w:rsidRPr="00FB4E0A">
          <w:rPr>
            <w:rStyle w:val="Hyperlink"/>
            <w:lang w:val="en-US"/>
          </w:rPr>
          <w:t>http://www.theguardian.com/global-development/interactive/2011/jul/06/un-women-vote-timeline-interactive</w:t>
        </w:r>
      </w:hyperlink>
      <w:r>
        <w:rPr>
          <w:lang w:val="en-US"/>
        </w:rPr>
        <w:t>.</w:t>
      </w:r>
    </w:p>
    <w:p w:rsidR="00551E68" w:rsidRPr="009568E5" w:rsidRDefault="00551E68" w:rsidP="003669F3">
      <w:pPr>
        <w:pStyle w:val="Voetnoottekst"/>
        <w:rPr>
          <w:lang w:val="en-US"/>
        </w:rPr>
      </w:pPr>
      <w:r>
        <w:rPr>
          <w:lang w:val="en-US"/>
        </w:rPr>
        <w:t xml:space="preserve">In New Zealand, women received the right to vote as early as 1893. In Belgium, women were only granted a general right to vote in 1948. </w:t>
      </w:r>
    </w:p>
  </w:footnote>
  <w:footnote w:id="4">
    <w:p w:rsidR="00551E68" w:rsidRPr="001B0296" w:rsidRDefault="00551E68" w:rsidP="005869B3">
      <w:pPr>
        <w:pStyle w:val="Voetnoottekst"/>
        <w:jc w:val="both"/>
        <w:rPr>
          <w:lang w:val="en-US"/>
        </w:rPr>
      </w:pPr>
      <w:r>
        <w:rPr>
          <w:rStyle w:val="Voetnootmarkering"/>
        </w:rPr>
        <w:footnoteRef/>
      </w:r>
      <w:r w:rsidRPr="001B0296">
        <w:rPr>
          <w:lang w:val="en-US"/>
        </w:rPr>
        <w:t xml:space="preserve"> </w:t>
      </w:r>
      <w:r>
        <w:rPr>
          <w:lang w:val="en-US"/>
        </w:rPr>
        <w:t xml:space="preserve">Otto D., “Women’s Rights” in </w:t>
      </w:r>
      <w:proofErr w:type="spellStart"/>
      <w:r w:rsidRPr="003375B4">
        <w:rPr>
          <w:lang w:val="en-GB"/>
        </w:rPr>
        <w:t>Moeckli</w:t>
      </w:r>
      <w:proofErr w:type="spellEnd"/>
      <w:r w:rsidRPr="003375B4">
        <w:rPr>
          <w:lang w:val="en-GB"/>
        </w:rPr>
        <w:t xml:space="preserve"> D., Shah </w:t>
      </w:r>
      <w:r>
        <w:rPr>
          <w:lang w:val="en-GB"/>
        </w:rPr>
        <w:t xml:space="preserve">S. and </w:t>
      </w:r>
      <w:proofErr w:type="spellStart"/>
      <w:r w:rsidRPr="003375B4">
        <w:rPr>
          <w:lang w:val="en-GB"/>
        </w:rPr>
        <w:t>Sivakumaran</w:t>
      </w:r>
      <w:proofErr w:type="spellEnd"/>
      <w:r w:rsidRPr="003375B4">
        <w:rPr>
          <w:lang w:val="en-GB"/>
        </w:rPr>
        <w:t xml:space="preserve"> S. (eds.), </w:t>
      </w:r>
      <w:r w:rsidRPr="003375B4">
        <w:rPr>
          <w:i/>
          <w:lang w:val="en-GB"/>
        </w:rPr>
        <w:t>International Human Rights Law</w:t>
      </w:r>
      <w:r w:rsidRPr="003375B4">
        <w:rPr>
          <w:lang w:val="en-GB"/>
        </w:rPr>
        <w:t>, Oxford, Oxford University Press, 2010,</w:t>
      </w:r>
      <w:r>
        <w:rPr>
          <w:lang w:val="en-GB"/>
        </w:rPr>
        <w:t xml:space="preserve"> 348-349. </w:t>
      </w:r>
    </w:p>
  </w:footnote>
  <w:footnote w:id="5">
    <w:p w:rsidR="00551E68" w:rsidRPr="006E574E" w:rsidRDefault="00551E68" w:rsidP="005869B3">
      <w:pPr>
        <w:pStyle w:val="Voetnoottekst"/>
        <w:jc w:val="both"/>
        <w:rPr>
          <w:lang w:val="en-GB"/>
        </w:rPr>
      </w:pPr>
      <w:r>
        <w:rPr>
          <w:rStyle w:val="Voetnootmarkering"/>
        </w:rPr>
        <w:footnoteRef/>
      </w:r>
      <w:r w:rsidRPr="00B069C6">
        <w:rPr>
          <w:lang w:val="en-US"/>
        </w:rPr>
        <w:t xml:space="preserve"> </w:t>
      </w:r>
      <w:r>
        <w:rPr>
          <w:lang w:val="en-US"/>
        </w:rPr>
        <w:t xml:space="preserve">Articles 1(3), 55(c) and 76(c) </w:t>
      </w:r>
      <w:r w:rsidRPr="006E574E">
        <w:rPr>
          <w:lang w:val="en-GB"/>
        </w:rPr>
        <w:t xml:space="preserve">Charter of the United Nations, 26 June 1945. </w:t>
      </w:r>
    </w:p>
  </w:footnote>
  <w:footnote w:id="6">
    <w:p w:rsidR="00551E68" w:rsidRPr="00181F10" w:rsidRDefault="00551E68" w:rsidP="005869B3">
      <w:pPr>
        <w:pStyle w:val="Voetnoottekst"/>
        <w:jc w:val="both"/>
        <w:rPr>
          <w:lang w:val="en-GB"/>
        </w:rPr>
      </w:pPr>
      <w:r>
        <w:rPr>
          <w:rStyle w:val="Voetnootmarkering"/>
        </w:rPr>
        <w:footnoteRef/>
      </w:r>
      <w:r w:rsidRPr="00181F10">
        <w:rPr>
          <w:lang w:val="en-US"/>
        </w:rPr>
        <w:t xml:space="preserve"> </w:t>
      </w:r>
      <w:r>
        <w:rPr>
          <w:lang w:val="en-US"/>
        </w:rPr>
        <w:t xml:space="preserve">Articles 1, 2 and 7 </w:t>
      </w:r>
      <w:r w:rsidRPr="00181F10">
        <w:rPr>
          <w:lang w:val="en-GB"/>
        </w:rPr>
        <w:t xml:space="preserve">Universal Declaration of Human Rights, </w:t>
      </w:r>
      <w:r>
        <w:rPr>
          <w:lang w:val="en-GB"/>
        </w:rPr>
        <w:t xml:space="preserve">10 December 1948. </w:t>
      </w:r>
    </w:p>
  </w:footnote>
  <w:footnote w:id="7">
    <w:p w:rsidR="00551E68" w:rsidRPr="00D26FF3" w:rsidRDefault="00551E68" w:rsidP="005869B3">
      <w:pPr>
        <w:pStyle w:val="Voetnoottekst"/>
        <w:jc w:val="both"/>
        <w:rPr>
          <w:lang w:val="en-GB"/>
        </w:rPr>
      </w:pPr>
      <w:r>
        <w:rPr>
          <w:rStyle w:val="Voetnootmarkering"/>
        </w:rPr>
        <w:footnoteRef/>
      </w:r>
      <w:r w:rsidRPr="00D33C11">
        <w:rPr>
          <w:lang w:val="en-US"/>
        </w:rPr>
        <w:t xml:space="preserve"> </w:t>
      </w:r>
      <w:r>
        <w:rPr>
          <w:lang w:val="en-US"/>
        </w:rPr>
        <w:t xml:space="preserve">See for example articles 2(1) and 26 International </w:t>
      </w:r>
      <w:r w:rsidRPr="00D26FF3">
        <w:rPr>
          <w:lang w:val="en-GB"/>
        </w:rPr>
        <w:t>Covenant on Civil and Pol</w:t>
      </w:r>
      <w:r>
        <w:rPr>
          <w:lang w:val="en-GB"/>
        </w:rPr>
        <w:t xml:space="preserve">itical Rights (ICCPR), 16 December 1966; articles 2(2) and 3 </w:t>
      </w:r>
      <w:r w:rsidRPr="00D26FF3">
        <w:rPr>
          <w:lang w:val="en-GB"/>
        </w:rPr>
        <w:t>International Covenant on Economic, Social and Cultural Rights</w:t>
      </w:r>
      <w:r>
        <w:rPr>
          <w:lang w:val="en-GB"/>
        </w:rPr>
        <w:t xml:space="preserve"> (ICESCR)</w:t>
      </w:r>
      <w:r w:rsidRPr="00D26FF3">
        <w:rPr>
          <w:lang w:val="en-GB"/>
        </w:rPr>
        <w:t>, 16 December 1966.</w:t>
      </w:r>
    </w:p>
  </w:footnote>
  <w:footnote w:id="8">
    <w:p w:rsidR="00551E68" w:rsidRPr="006F62F9" w:rsidRDefault="00551E68" w:rsidP="005869B3">
      <w:pPr>
        <w:pStyle w:val="Voetnoottekst"/>
        <w:jc w:val="both"/>
        <w:rPr>
          <w:u w:val="single"/>
          <w:lang w:val="en-GB"/>
        </w:rPr>
      </w:pPr>
      <w:r>
        <w:rPr>
          <w:rStyle w:val="Voetnootmarkering"/>
        </w:rPr>
        <w:footnoteRef/>
      </w:r>
      <w:r>
        <w:rPr>
          <w:lang w:val="en-US"/>
        </w:rPr>
        <w:t xml:space="preserve"> See for example article 14 </w:t>
      </w:r>
      <w:r w:rsidRPr="00847C05">
        <w:rPr>
          <w:lang w:val="en-GB"/>
        </w:rPr>
        <w:t xml:space="preserve">Convention for the Protection of Human Rights and Fundamental </w:t>
      </w:r>
      <w:r>
        <w:rPr>
          <w:lang w:val="en-GB"/>
        </w:rPr>
        <w:t xml:space="preserve">Freedoms (ECHR), Rome 4 November 1950 and article 24 </w:t>
      </w:r>
      <w:r w:rsidRPr="006F62F9">
        <w:rPr>
          <w:lang w:val="en-GB"/>
        </w:rPr>
        <w:t xml:space="preserve">American Convention on Human Rights, 22 November 1969. </w:t>
      </w:r>
    </w:p>
  </w:footnote>
  <w:footnote w:id="9">
    <w:p w:rsidR="00551E68" w:rsidRPr="0081779B" w:rsidRDefault="00551E68" w:rsidP="005869B3">
      <w:pPr>
        <w:pStyle w:val="Voetnoottekst"/>
        <w:jc w:val="both"/>
        <w:rPr>
          <w:lang w:val="en-GB"/>
        </w:rPr>
      </w:pPr>
      <w:r>
        <w:rPr>
          <w:rStyle w:val="Voetnootmarkering"/>
        </w:rPr>
        <w:footnoteRef/>
      </w:r>
      <w:r w:rsidRPr="00D33C11">
        <w:rPr>
          <w:lang w:val="en-US"/>
        </w:rPr>
        <w:t xml:space="preserve"> </w:t>
      </w:r>
      <w:r>
        <w:rPr>
          <w:lang w:val="en-US"/>
        </w:rPr>
        <w:t xml:space="preserve">See for example Chapter III </w:t>
      </w:r>
      <w:r w:rsidRPr="0081779B">
        <w:rPr>
          <w:lang w:val="en-GB"/>
        </w:rPr>
        <w:t>Charter of Fundamental Rights of the European Union</w:t>
      </w:r>
      <w:r>
        <w:rPr>
          <w:lang w:val="en-GB"/>
        </w:rPr>
        <w:t xml:space="preserve"> (EU Charter), Nice 7 December 2000.</w:t>
      </w:r>
    </w:p>
  </w:footnote>
  <w:footnote w:id="10">
    <w:p w:rsidR="00551E68" w:rsidRPr="00A44986" w:rsidRDefault="00551E68" w:rsidP="005869B3">
      <w:pPr>
        <w:pStyle w:val="Voetnoottekst"/>
        <w:jc w:val="both"/>
        <w:rPr>
          <w:lang w:val="en-GB"/>
        </w:rPr>
      </w:pPr>
      <w:r>
        <w:rPr>
          <w:rStyle w:val="Voetnootmarkering"/>
        </w:rPr>
        <w:footnoteRef/>
      </w:r>
      <w:r>
        <w:rPr>
          <w:lang w:val="en-US"/>
        </w:rPr>
        <w:t xml:space="preserve"> Article 1 International </w:t>
      </w:r>
      <w:r w:rsidRPr="001C1263">
        <w:rPr>
          <w:lang w:val="en-GB"/>
        </w:rPr>
        <w:t xml:space="preserve">Convention on the Elimination of All Forms of Racial Discrimination, 21 December </w:t>
      </w:r>
      <w:r>
        <w:rPr>
          <w:lang w:val="en-GB"/>
        </w:rPr>
        <w:t xml:space="preserve">1965; </w:t>
      </w:r>
      <w:r>
        <w:rPr>
          <w:lang w:val="en-US"/>
        </w:rPr>
        <w:t xml:space="preserve">article 1 </w:t>
      </w:r>
      <w:r w:rsidRPr="00A44986">
        <w:rPr>
          <w:lang w:val="en-GB"/>
        </w:rPr>
        <w:t>Convention on the Elimination of All Forms of Discrimination against Women</w:t>
      </w:r>
      <w:r>
        <w:rPr>
          <w:lang w:val="en-GB"/>
        </w:rPr>
        <w:t xml:space="preserve"> (CEDAW)</w:t>
      </w:r>
      <w:r w:rsidRPr="00A44986">
        <w:rPr>
          <w:lang w:val="en-GB"/>
        </w:rPr>
        <w:t xml:space="preserve">, 18 December 1979. </w:t>
      </w:r>
    </w:p>
  </w:footnote>
  <w:footnote w:id="11">
    <w:p w:rsidR="00551E68" w:rsidRPr="00EC05DB" w:rsidRDefault="00551E68" w:rsidP="005869B3">
      <w:pPr>
        <w:pStyle w:val="Voetnoottekst"/>
        <w:jc w:val="both"/>
        <w:rPr>
          <w:lang w:val="en-US"/>
        </w:rPr>
      </w:pPr>
      <w:r>
        <w:rPr>
          <w:rStyle w:val="Voetnootmarkering"/>
        </w:rPr>
        <w:footnoteRef/>
      </w:r>
      <w:r w:rsidRPr="00C57760">
        <w:rPr>
          <w:lang w:val="en-US"/>
        </w:rPr>
        <w:t xml:space="preserve"> </w:t>
      </w:r>
      <w:r>
        <w:rPr>
          <w:lang w:val="en-US"/>
        </w:rPr>
        <w:t>See for example article 26 ICCPR</w:t>
      </w:r>
      <w:r>
        <w:rPr>
          <w:lang w:val="en-GB"/>
        </w:rPr>
        <w:t xml:space="preserve">; ICCPR, </w:t>
      </w:r>
      <w:proofErr w:type="spellStart"/>
      <w:r w:rsidRPr="001421AF">
        <w:rPr>
          <w:i/>
          <w:lang w:val="en-GB"/>
        </w:rPr>
        <w:t>Broeks</w:t>
      </w:r>
      <w:proofErr w:type="spellEnd"/>
      <w:r w:rsidRPr="001421AF">
        <w:rPr>
          <w:i/>
          <w:lang w:val="en-GB"/>
        </w:rPr>
        <w:t xml:space="preserve"> v. The Netherlands</w:t>
      </w:r>
      <w:r w:rsidRPr="00C57760">
        <w:rPr>
          <w:lang w:val="en-GB"/>
        </w:rPr>
        <w:t>, Communication no. 172/1984, U.N. Doc. CCPR/C/OP/2 at 196 (1</w:t>
      </w:r>
      <w:r>
        <w:rPr>
          <w:lang w:val="en-GB"/>
        </w:rPr>
        <w:t>987), para. 9.1;</w:t>
      </w:r>
      <w:r>
        <w:rPr>
          <w:b/>
          <w:lang w:val="en-GB"/>
        </w:rPr>
        <w:t xml:space="preserve"> </w:t>
      </w:r>
      <w:r>
        <w:rPr>
          <w:lang w:val="en-GB"/>
        </w:rPr>
        <w:t>ICCPR General Comment</w:t>
      </w:r>
      <w:r w:rsidRPr="00EA3042">
        <w:rPr>
          <w:lang w:val="en-GB"/>
        </w:rPr>
        <w:t xml:space="preserve"> no. 18 on Non-Discrimination </w:t>
      </w:r>
      <w:r>
        <w:rPr>
          <w:lang w:val="en-GB"/>
        </w:rPr>
        <w:t xml:space="preserve">(1989), para. 12; </w:t>
      </w:r>
      <w:proofErr w:type="spellStart"/>
      <w:r w:rsidRPr="00356F41">
        <w:rPr>
          <w:lang w:val="en-GB"/>
        </w:rPr>
        <w:t>Bayefsky</w:t>
      </w:r>
      <w:proofErr w:type="spellEnd"/>
      <w:r w:rsidRPr="00356F41">
        <w:rPr>
          <w:lang w:val="en-GB"/>
        </w:rPr>
        <w:t xml:space="preserve"> A., “The principle of equality or non-discrimination in international law”, </w:t>
      </w:r>
      <w:r w:rsidRPr="00356F41">
        <w:rPr>
          <w:i/>
          <w:lang w:val="en-GB"/>
        </w:rPr>
        <w:t xml:space="preserve">HRLJ </w:t>
      </w:r>
      <w:r>
        <w:rPr>
          <w:lang w:val="en-GB"/>
        </w:rPr>
        <w:t xml:space="preserve">1990, 3; </w:t>
      </w:r>
      <w:proofErr w:type="spellStart"/>
      <w:r w:rsidRPr="00FE279B">
        <w:rPr>
          <w:lang w:val="en-US"/>
        </w:rPr>
        <w:t>Schiek</w:t>
      </w:r>
      <w:proofErr w:type="spellEnd"/>
      <w:r w:rsidRPr="00FE279B">
        <w:rPr>
          <w:lang w:val="en-US"/>
        </w:rPr>
        <w:t xml:space="preserve"> D.</w:t>
      </w:r>
      <w:r>
        <w:rPr>
          <w:lang w:val="en-US"/>
        </w:rPr>
        <w:t xml:space="preserve">, Waddington L. and Bell </w:t>
      </w:r>
      <w:r w:rsidRPr="00FE279B">
        <w:rPr>
          <w:lang w:val="en-US"/>
        </w:rPr>
        <w:t xml:space="preserve">M. (eds.), </w:t>
      </w:r>
      <w:r w:rsidRPr="00FE279B">
        <w:rPr>
          <w:i/>
          <w:lang w:val="en-US"/>
        </w:rPr>
        <w:t>Non-Discrimination Law</w:t>
      </w:r>
      <w:r w:rsidRPr="00FE279B">
        <w:rPr>
          <w:lang w:val="en-US"/>
        </w:rPr>
        <w:t>, Oxford and Portland, Hart Publishing, 8.</w:t>
      </w:r>
      <w:r>
        <w:rPr>
          <w:lang w:val="en-US"/>
        </w:rPr>
        <w:t xml:space="preserve"> </w:t>
      </w:r>
    </w:p>
  </w:footnote>
  <w:footnote w:id="12">
    <w:p w:rsidR="00551E68" w:rsidRPr="00696066" w:rsidRDefault="00551E68" w:rsidP="005869B3">
      <w:pPr>
        <w:pStyle w:val="Voetnoottekst"/>
        <w:jc w:val="both"/>
        <w:rPr>
          <w:lang w:val="en-US"/>
        </w:rPr>
      </w:pPr>
      <w:r>
        <w:rPr>
          <w:rStyle w:val="Voetnootmarkering"/>
        </w:rPr>
        <w:footnoteRef/>
      </w:r>
      <w:r w:rsidRPr="0040664F">
        <w:rPr>
          <w:lang w:val="en-US"/>
        </w:rPr>
        <w:t xml:space="preserve"> </w:t>
      </w:r>
      <w:r>
        <w:rPr>
          <w:lang w:val="en-US"/>
        </w:rPr>
        <w:t xml:space="preserve">See for example: Article 2(2) ICESCR; article 14 ECHR. </w:t>
      </w:r>
    </w:p>
  </w:footnote>
  <w:footnote w:id="13">
    <w:p w:rsidR="00551E68" w:rsidRPr="000B7321" w:rsidRDefault="00551E68" w:rsidP="005869B3">
      <w:pPr>
        <w:pStyle w:val="Voetnoottekst"/>
        <w:jc w:val="both"/>
        <w:rPr>
          <w:i/>
          <w:lang w:val="en-GB"/>
        </w:rPr>
      </w:pPr>
      <w:r>
        <w:rPr>
          <w:rStyle w:val="Voetnootmarkering"/>
        </w:rPr>
        <w:footnoteRef/>
      </w:r>
      <w:r w:rsidRPr="000B7321">
        <w:rPr>
          <w:lang w:val="en-US"/>
        </w:rPr>
        <w:t xml:space="preserve"> </w:t>
      </w:r>
      <w:r w:rsidRPr="000B7321">
        <w:rPr>
          <w:lang w:val="en-GB"/>
        </w:rPr>
        <w:t>O’Hare U., “Equality and affirmative action in international human righ</w:t>
      </w:r>
      <w:r>
        <w:rPr>
          <w:lang w:val="en-GB"/>
        </w:rPr>
        <w:t xml:space="preserve">ts law and its relevance to the </w:t>
      </w:r>
      <w:r w:rsidRPr="000B7321">
        <w:rPr>
          <w:lang w:val="en-GB"/>
        </w:rPr>
        <w:t xml:space="preserve">European Union”, </w:t>
      </w:r>
      <w:r w:rsidRPr="000B7321">
        <w:rPr>
          <w:i/>
          <w:lang w:val="en-GB"/>
        </w:rPr>
        <w:t>I.J.D.L.</w:t>
      </w:r>
      <w:r>
        <w:rPr>
          <w:lang w:val="en-GB"/>
        </w:rPr>
        <w:t xml:space="preserve"> 2000, 17. </w:t>
      </w:r>
    </w:p>
  </w:footnote>
  <w:footnote w:id="14">
    <w:p w:rsidR="00551E68" w:rsidRPr="004A1D0B" w:rsidRDefault="00551E68" w:rsidP="005869B3">
      <w:pPr>
        <w:pStyle w:val="Voetnoottekst"/>
        <w:jc w:val="both"/>
        <w:rPr>
          <w:b/>
          <w:u w:val="single"/>
          <w:lang w:val="en-US"/>
        </w:rPr>
      </w:pPr>
      <w:r>
        <w:rPr>
          <w:rStyle w:val="Voetnootmarkering"/>
        </w:rPr>
        <w:footnoteRef/>
      </w:r>
      <w:r>
        <w:rPr>
          <w:lang w:val="en-US"/>
        </w:rPr>
        <w:t xml:space="preserve"> </w:t>
      </w:r>
      <w:r w:rsidRPr="000A13F9">
        <w:rPr>
          <w:lang w:val="en-US"/>
        </w:rPr>
        <w:t xml:space="preserve">European Union Agency for Fundamental Rights, </w:t>
      </w:r>
      <w:r w:rsidRPr="000A13F9">
        <w:rPr>
          <w:i/>
          <w:lang w:val="en-US"/>
        </w:rPr>
        <w:t>Handbook on European non-discrimination law</w:t>
      </w:r>
      <w:r w:rsidRPr="000A13F9">
        <w:rPr>
          <w:lang w:val="en-US"/>
        </w:rPr>
        <w:t>, Luxembourg, Publications Office of the European Union, 2010,</w:t>
      </w:r>
      <w:r>
        <w:rPr>
          <w:lang w:val="en-US"/>
        </w:rPr>
        <w:t xml:space="preserve"> 15; </w:t>
      </w:r>
      <w:proofErr w:type="spellStart"/>
      <w:r w:rsidRPr="004A1D0B">
        <w:rPr>
          <w:lang w:val="en-US"/>
        </w:rPr>
        <w:t>Maes</w:t>
      </w:r>
      <w:proofErr w:type="spellEnd"/>
      <w:r w:rsidRPr="004A1D0B">
        <w:rPr>
          <w:lang w:val="en-US"/>
        </w:rPr>
        <w:t xml:space="preserve"> G., </w:t>
      </w:r>
      <w:r w:rsidRPr="004A1D0B">
        <w:rPr>
          <w:i/>
          <w:lang w:val="en-US"/>
        </w:rPr>
        <w:t xml:space="preserve">De </w:t>
      </w:r>
      <w:proofErr w:type="spellStart"/>
      <w:r w:rsidRPr="004A1D0B">
        <w:rPr>
          <w:i/>
          <w:lang w:val="en-US"/>
        </w:rPr>
        <w:t>Afdwingbaarheid</w:t>
      </w:r>
      <w:proofErr w:type="spellEnd"/>
      <w:r w:rsidRPr="004A1D0B">
        <w:rPr>
          <w:i/>
          <w:lang w:val="en-US"/>
        </w:rPr>
        <w:t xml:space="preserve"> van </w:t>
      </w:r>
      <w:proofErr w:type="spellStart"/>
      <w:r w:rsidRPr="004A1D0B">
        <w:rPr>
          <w:i/>
          <w:lang w:val="en-US"/>
        </w:rPr>
        <w:t>Social</w:t>
      </w:r>
      <w:r>
        <w:rPr>
          <w:i/>
          <w:lang w:val="en-US"/>
        </w:rPr>
        <w:t>e</w:t>
      </w:r>
      <w:proofErr w:type="spellEnd"/>
      <w:r w:rsidRPr="004A1D0B">
        <w:rPr>
          <w:i/>
          <w:lang w:val="en-US"/>
        </w:rPr>
        <w:t xml:space="preserve"> </w:t>
      </w:r>
      <w:proofErr w:type="spellStart"/>
      <w:r w:rsidRPr="004A1D0B">
        <w:rPr>
          <w:i/>
          <w:lang w:val="en-US"/>
        </w:rPr>
        <w:t>Grondrechten</w:t>
      </w:r>
      <w:proofErr w:type="spellEnd"/>
      <w:r w:rsidRPr="004A1D0B">
        <w:rPr>
          <w:lang w:val="en-US"/>
        </w:rPr>
        <w:t xml:space="preserve">, </w:t>
      </w:r>
      <w:proofErr w:type="spellStart"/>
      <w:r w:rsidRPr="004A1D0B">
        <w:rPr>
          <w:lang w:val="en-US"/>
        </w:rPr>
        <w:t>Antwerpen</w:t>
      </w:r>
      <w:proofErr w:type="spellEnd"/>
      <w:r w:rsidRPr="004A1D0B">
        <w:rPr>
          <w:lang w:val="en-US"/>
        </w:rPr>
        <w:t xml:space="preserve">-Oxford, </w:t>
      </w:r>
      <w:proofErr w:type="spellStart"/>
      <w:r w:rsidRPr="004A1D0B">
        <w:rPr>
          <w:lang w:val="en-US"/>
        </w:rPr>
        <w:t>Intersentia</w:t>
      </w:r>
      <w:proofErr w:type="spellEnd"/>
      <w:r w:rsidRPr="004A1D0B">
        <w:rPr>
          <w:lang w:val="en-US"/>
        </w:rPr>
        <w:t>, 2003</w:t>
      </w:r>
      <w:r>
        <w:rPr>
          <w:lang w:val="en-US"/>
        </w:rPr>
        <w:t xml:space="preserve">, 364; </w:t>
      </w:r>
      <w:proofErr w:type="spellStart"/>
      <w:r w:rsidRPr="00AF3002">
        <w:rPr>
          <w:lang w:val="en-GB"/>
        </w:rPr>
        <w:t>Tridimas</w:t>
      </w:r>
      <w:proofErr w:type="spellEnd"/>
      <w:r w:rsidRPr="00AF3002">
        <w:rPr>
          <w:lang w:val="en-GB"/>
        </w:rPr>
        <w:t xml:space="preserve"> T., </w:t>
      </w:r>
      <w:r w:rsidRPr="00AF3002">
        <w:rPr>
          <w:i/>
          <w:lang w:val="en-GB"/>
        </w:rPr>
        <w:t xml:space="preserve">The General Principles of EU Law, </w:t>
      </w:r>
      <w:r w:rsidRPr="00AF3002">
        <w:rPr>
          <w:lang w:val="en-GB"/>
        </w:rPr>
        <w:t>Oxford, Oxford University Press, 2006</w:t>
      </w:r>
      <w:r>
        <w:rPr>
          <w:lang w:val="en-GB"/>
        </w:rPr>
        <w:t xml:space="preserve">, 300. </w:t>
      </w:r>
    </w:p>
  </w:footnote>
  <w:footnote w:id="15">
    <w:p w:rsidR="00551E68" w:rsidRPr="00D233CF" w:rsidRDefault="00551E68" w:rsidP="005869B3">
      <w:pPr>
        <w:pStyle w:val="Voetnoottekst"/>
        <w:jc w:val="both"/>
        <w:rPr>
          <w:b/>
          <w:u w:val="single"/>
        </w:rPr>
      </w:pPr>
      <w:r>
        <w:rPr>
          <w:rStyle w:val="Voetnootmarkering"/>
        </w:rPr>
        <w:footnoteRef/>
      </w:r>
      <w:r w:rsidRPr="00F504C8">
        <w:t xml:space="preserve"> Smis S., Janssens C., </w:t>
      </w:r>
      <w:proofErr w:type="spellStart"/>
      <w:r w:rsidRPr="00F504C8">
        <w:t>Mirgaux</w:t>
      </w:r>
      <w:proofErr w:type="spellEnd"/>
      <w:r w:rsidRPr="00F504C8">
        <w:t xml:space="preserve"> S. en Van </w:t>
      </w:r>
      <w:proofErr w:type="spellStart"/>
      <w:r w:rsidRPr="00F504C8">
        <w:t>Laethem</w:t>
      </w:r>
      <w:proofErr w:type="spellEnd"/>
      <w:r w:rsidRPr="00F504C8">
        <w:t xml:space="preserve"> K., </w:t>
      </w:r>
      <w:r w:rsidRPr="00F504C8">
        <w:rPr>
          <w:i/>
        </w:rPr>
        <w:t>Handboek Mensenrechten</w:t>
      </w:r>
      <w:r w:rsidRPr="00F504C8">
        <w:t>, Antw</w:t>
      </w:r>
      <w:r>
        <w:t xml:space="preserve">erpen, </w:t>
      </w:r>
      <w:proofErr w:type="spellStart"/>
      <w:r>
        <w:t>Intersentia</w:t>
      </w:r>
      <w:proofErr w:type="spellEnd"/>
      <w:r>
        <w:t xml:space="preserve">, 2011, 309; </w:t>
      </w:r>
      <w:proofErr w:type="spellStart"/>
      <w:r w:rsidRPr="00D233CF">
        <w:t>Tridimas</w:t>
      </w:r>
      <w:proofErr w:type="spellEnd"/>
      <w:r w:rsidRPr="00D233CF">
        <w:t xml:space="preserve"> T.,</w:t>
      </w:r>
      <w:r>
        <w:t xml:space="preserve"> op. </w:t>
      </w:r>
      <w:proofErr w:type="spellStart"/>
      <w:r>
        <w:t>cit</w:t>
      </w:r>
      <w:proofErr w:type="spellEnd"/>
      <w:r>
        <w:t xml:space="preserve">., 300. </w:t>
      </w:r>
    </w:p>
  </w:footnote>
  <w:footnote w:id="16">
    <w:p w:rsidR="00551E68" w:rsidRPr="004524F1" w:rsidRDefault="00551E68" w:rsidP="005869B3">
      <w:pPr>
        <w:pStyle w:val="Voetnoottekst"/>
        <w:jc w:val="both"/>
        <w:rPr>
          <w:i/>
          <w:lang w:val="en-GB"/>
        </w:rPr>
      </w:pPr>
      <w:r>
        <w:rPr>
          <w:rStyle w:val="Voetnootmarkering"/>
        </w:rPr>
        <w:footnoteRef/>
      </w:r>
      <w:r w:rsidRPr="000E7200">
        <w:rPr>
          <w:lang w:val="en-US"/>
        </w:rPr>
        <w:t xml:space="preserve"> </w:t>
      </w:r>
      <w:r w:rsidRPr="006F4175">
        <w:rPr>
          <w:lang w:val="en-US"/>
        </w:rPr>
        <w:t xml:space="preserve">ECJ C-29/69, </w:t>
      </w:r>
      <w:proofErr w:type="spellStart"/>
      <w:r w:rsidRPr="006F4175">
        <w:rPr>
          <w:i/>
          <w:lang w:val="en-US"/>
        </w:rPr>
        <w:t>Stauder</w:t>
      </w:r>
      <w:proofErr w:type="spellEnd"/>
      <w:r w:rsidRPr="006F4175">
        <w:rPr>
          <w:i/>
          <w:lang w:val="en-US"/>
        </w:rPr>
        <w:t xml:space="preserve"> v. City of Ulm</w:t>
      </w:r>
      <w:r>
        <w:rPr>
          <w:lang w:val="en-US"/>
        </w:rPr>
        <w:t>, 1969, para. 7;</w:t>
      </w:r>
      <w:r>
        <w:rPr>
          <w:sz w:val="24"/>
          <w:szCs w:val="24"/>
          <w:lang w:val="en-US"/>
        </w:rPr>
        <w:t xml:space="preserve"> </w:t>
      </w:r>
      <w:proofErr w:type="spellStart"/>
      <w:r w:rsidRPr="004024F9">
        <w:rPr>
          <w:lang w:val="en-US"/>
        </w:rPr>
        <w:t>Betten</w:t>
      </w:r>
      <w:proofErr w:type="spellEnd"/>
      <w:r w:rsidRPr="004024F9">
        <w:rPr>
          <w:lang w:val="en-US"/>
        </w:rPr>
        <w:t xml:space="preserve"> L. and Grief N., </w:t>
      </w:r>
      <w:r w:rsidRPr="004024F9">
        <w:rPr>
          <w:i/>
          <w:lang w:val="en-US"/>
        </w:rPr>
        <w:t>EU Law and Human Rights</w:t>
      </w:r>
      <w:r w:rsidRPr="004024F9">
        <w:rPr>
          <w:lang w:val="en-US"/>
        </w:rPr>
        <w:t xml:space="preserve">, London and </w:t>
      </w:r>
      <w:r>
        <w:rPr>
          <w:lang w:val="en-US"/>
        </w:rPr>
        <w:t xml:space="preserve">New York, Longman, 1998, 56-57; </w:t>
      </w:r>
      <w:r w:rsidRPr="005A4460">
        <w:rPr>
          <w:lang w:val="en-US"/>
        </w:rPr>
        <w:t xml:space="preserve">Craig P. and de </w:t>
      </w:r>
      <w:proofErr w:type="spellStart"/>
      <w:r w:rsidRPr="005A4460">
        <w:rPr>
          <w:lang w:val="en-US"/>
        </w:rPr>
        <w:t>Burca</w:t>
      </w:r>
      <w:proofErr w:type="spellEnd"/>
      <w:r w:rsidRPr="005A4460">
        <w:rPr>
          <w:lang w:val="en-US"/>
        </w:rPr>
        <w:t xml:space="preserve"> G. (eds.), </w:t>
      </w:r>
      <w:r w:rsidRPr="005A4460">
        <w:rPr>
          <w:i/>
          <w:lang w:val="en-US"/>
        </w:rPr>
        <w:t>The Evolution of EU Law</w:t>
      </w:r>
      <w:r w:rsidRPr="005A4460">
        <w:rPr>
          <w:lang w:val="en-US"/>
        </w:rPr>
        <w:t>, Oxford, Oxfor</w:t>
      </w:r>
      <w:r>
        <w:rPr>
          <w:lang w:val="en-US"/>
        </w:rPr>
        <w:t xml:space="preserve">d University Press, 2011, 478; </w:t>
      </w:r>
      <w:r w:rsidRPr="004524F1">
        <w:rPr>
          <w:lang w:val="en-GB"/>
        </w:rPr>
        <w:t xml:space="preserve">Jacobs F., “Human Rights in the European Union: the role of the Court of Justice”, </w:t>
      </w:r>
      <w:r w:rsidRPr="004524F1">
        <w:rPr>
          <w:i/>
          <w:lang w:val="en-GB"/>
        </w:rPr>
        <w:t xml:space="preserve">E. L. Rev. </w:t>
      </w:r>
      <w:r>
        <w:rPr>
          <w:lang w:val="en-GB"/>
        </w:rPr>
        <w:t xml:space="preserve">2001, 332. </w:t>
      </w:r>
    </w:p>
  </w:footnote>
  <w:footnote w:id="17">
    <w:p w:rsidR="00551E68" w:rsidRPr="005A56F8" w:rsidRDefault="00551E68" w:rsidP="005869B3">
      <w:pPr>
        <w:pStyle w:val="Voetnoottekst"/>
        <w:jc w:val="both"/>
        <w:rPr>
          <w:lang w:val="en-US"/>
        </w:rPr>
      </w:pPr>
      <w:r>
        <w:rPr>
          <w:rStyle w:val="Voetnootmarkering"/>
        </w:rPr>
        <w:footnoteRef/>
      </w:r>
      <w:r w:rsidRPr="005A56F8">
        <w:rPr>
          <w:lang w:val="en-US"/>
        </w:rPr>
        <w:t xml:space="preserve"> </w:t>
      </w:r>
      <w:r w:rsidRPr="00F93A35">
        <w:rPr>
          <w:lang w:val="en-US"/>
        </w:rPr>
        <w:t xml:space="preserve">ECJ C-29/69, </w:t>
      </w:r>
      <w:proofErr w:type="spellStart"/>
      <w:r w:rsidRPr="00F93A35">
        <w:rPr>
          <w:i/>
          <w:lang w:val="en-US"/>
        </w:rPr>
        <w:t>Stauder</w:t>
      </w:r>
      <w:proofErr w:type="spellEnd"/>
      <w:r w:rsidRPr="00F93A35">
        <w:rPr>
          <w:i/>
          <w:lang w:val="en-US"/>
        </w:rPr>
        <w:t xml:space="preserve"> v. City of Ulm</w:t>
      </w:r>
      <w:r>
        <w:rPr>
          <w:lang w:val="en-US"/>
        </w:rPr>
        <w:t xml:space="preserve">, 1969, para. 7. </w:t>
      </w:r>
    </w:p>
  </w:footnote>
  <w:footnote w:id="18">
    <w:p w:rsidR="00551E68" w:rsidRPr="00FD5781" w:rsidRDefault="00551E68" w:rsidP="005869B3">
      <w:pPr>
        <w:pStyle w:val="Voetnoottekst"/>
        <w:jc w:val="both"/>
        <w:rPr>
          <w:b/>
          <w:u w:val="single"/>
          <w:lang w:val="en-GB"/>
        </w:rPr>
      </w:pPr>
      <w:r>
        <w:rPr>
          <w:rStyle w:val="Voetnootmarkering"/>
        </w:rPr>
        <w:footnoteRef/>
      </w:r>
      <w:r>
        <w:rPr>
          <w:lang w:val="en-GB"/>
        </w:rPr>
        <w:t xml:space="preserve"> </w:t>
      </w:r>
      <w:proofErr w:type="spellStart"/>
      <w:r w:rsidRPr="00FD5781">
        <w:rPr>
          <w:lang w:val="en-GB"/>
        </w:rPr>
        <w:t>Meenan</w:t>
      </w:r>
      <w:proofErr w:type="spellEnd"/>
      <w:r w:rsidRPr="00FD5781">
        <w:rPr>
          <w:lang w:val="en-GB"/>
        </w:rPr>
        <w:t xml:space="preserve"> H., </w:t>
      </w:r>
      <w:r w:rsidRPr="00FD5781">
        <w:rPr>
          <w:i/>
          <w:lang w:val="en-GB"/>
        </w:rPr>
        <w:t>Equality Law in an Enlarged European Union</w:t>
      </w:r>
      <w:r w:rsidRPr="00FD5781">
        <w:rPr>
          <w:lang w:val="en-GB"/>
        </w:rPr>
        <w:t>, Cambridge, Cambridg</w:t>
      </w:r>
      <w:r>
        <w:rPr>
          <w:lang w:val="en-GB"/>
        </w:rPr>
        <w:t xml:space="preserve">e University Press, 2007, 88; </w:t>
      </w:r>
      <w:proofErr w:type="spellStart"/>
      <w:r w:rsidRPr="003779DE">
        <w:rPr>
          <w:lang w:val="en-US"/>
        </w:rPr>
        <w:t>Tridimas</w:t>
      </w:r>
      <w:proofErr w:type="spellEnd"/>
      <w:r w:rsidRPr="003779DE">
        <w:rPr>
          <w:lang w:val="en-US"/>
        </w:rPr>
        <w:t xml:space="preserve"> T., op. cit., 1</w:t>
      </w:r>
      <w:r>
        <w:rPr>
          <w:lang w:val="en-US"/>
        </w:rPr>
        <w:t xml:space="preserve">. </w:t>
      </w:r>
    </w:p>
  </w:footnote>
  <w:footnote w:id="19">
    <w:p w:rsidR="00551E68" w:rsidRPr="006F0BF9" w:rsidRDefault="00551E68" w:rsidP="005869B3">
      <w:pPr>
        <w:pStyle w:val="Voetnoottekst"/>
        <w:jc w:val="both"/>
        <w:rPr>
          <w:lang w:val="en-GB"/>
        </w:rPr>
      </w:pPr>
      <w:r>
        <w:rPr>
          <w:rStyle w:val="Voetnootmarkering"/>
        </w:rPr>
        <w:footnoteRef/>
      </w:r>
      <w:r w:rsidRPr="006042BF">
        <w:rPr>
          <w:lang w:val="en-US"/>
        </w:rPr>
        <w:t xml:space="preserve"> Article 263 </w:t>
      </w:r>
      <w:r w:rsidRPr="006F0BF9">
        <w:rPr>
          <w:lang w:val="en-GB"/>
        </w:rPr>
        <w:t>Consolidated Version of the Treaty on the Functioning of the Eur</w:t>
      </w:r>
      <w:r>
        <w:rPr>
          <w:lang w:val="en-GB"/>
        </w:rPr>
        <w:t xml:space="preserve">opean Union, Rome 25 March 1957 (TFEU). </w:t>
      </w:r>
    </w:p>
  </w:footnote>
  <w:footnote w:id="20">
    <w:p w:rsidR="00551E68" w:rsidRPr="00C35787" w:rsidRDefault="00551E68" w:rsidP="005869B3">
      <w:pPr>
        <w:pStyle w:val="Voetnoottekst"/>
        <w:jc w:val="both"/>
        <w:rPr>
          <w:lang w:val="fr-FR"/>
        </w:rPr>
      </w:pPr>
      <w:r>
        <w:rPr>
          <w:rStyle w:val="Voetnootmarkering"/>
        </w:rPr>
        <w:footnoteRef/>
      </w:r>
      <w:r>
        <w:rPr>
          <w:lang w:val="fr-FR"/>
        </w:rPr>
        <w:t xml:space="preserve"> Art</w:t>
      </w:r>
      <w:r w:rsidRPr="00C35787">
        <w:rPr>
          <w:lang w:val="fr-FR"/>
        </w:rPr>
        <w:t xml:space="preserve">icle 267 TFEU. </w:t>
      </w:r>
    </w:p>
  </w:footnote>
  <w:footnote w:id="21">
    <w:p w:rsidR="00551E68" w:rsidRPr="00F11443" w:rsidRDefault="00551E68" w:rsidP="005869B3">
      <w:pPr>
        <w:pStyle w:val="Voetnoottekst"/>
        <w:jc w:val="both"/>
        <w:rPr>
          <w:lang w:val="fr-FR"/>
        </w:rPr>
      </w:pPr>
      <w:r>
        <w:rPr>
          <w:rStyle w:val="Voetnootmarkering"/>
        </w:rPr>
        <w:footnoteRef/>
      </w:r>
      <w:r w:rsidRPr="00F11443">
        <w:rPr>
          <w:lang w:val="fr-FR"/>
        </w:rPr>
        <w:t xml:space="preserve"> Article 340 TFEU; </w:t>
      </w:r>
      <w:proofErr w:type="spellStart"/>
      <w:r w:rsidRPr="00F11443">
        <w:rPr>
          <w:lang w:val="fr-FR"/>
        </w:rPr>
        <w:t>Tridimas</w:t>
      </w:r>
      <w:proofErr w:type="spellEnd"/>
      <w:r w:rsidRPr="00F11443">
        <w:rPr>
          <w:lang w:val="fr-FR"/>
        </w:rPr>
        <w:t xml:space="preserve"> T., op.</w:t>
      </w:r>
      <w:r>
        <w:rPr>
          <w:lang w:val="fr-FR"/>
        </w:rPr>
        <w:t xml:space="preserve"> </w:t>
      </w:r>
      <w:proofErr w:type="spellStart"/>
      <w:r w:rsidRPr="00F11443">
        <w:rPr>
          <w:lang w:val="fr-FR"/>
        </w:rPr>
        <w:t>cit</w:t>
      </w:r>
      <w:proofErr w:type="spellEnd"/>
      <w:r w:rsidRPr="00F11443">
        <w:rPr>
          <w:lang w:val="fr-FR"/>
        </w:rPr>
        <w:t>., 29-31 and 35.</w:t>
      </w:r>
    </w:p>
  </w:footnote>
  <w:footnote w:id="22">
    <w:p w:rsidR="00551E68" w:rsidRPr="0063481A" w:rsidRDefault="00551E68" w:rsidP="005869B3">
      <w:pPr>
        <w:pStyle w:val="Voetnoottekst"/>
        <w:jc w:val="both"/>
        <w:rPr>
          <w:i/>
          <w:lang w:val="en-GB"/>
        </w:rPr>
      </w:pPr>
      <w:r>
        <w:rPr>
          <w:rStyle w:val="Voetnootmarkering"/>
        </w:rPr>
        <w:footnoteRef/>
      </w:r>
      <w:r w:rsidRPr="00D9721B">
        <w:rPr>
          <w:lang w:val="en-US"/>
        </w:rPr>
        <w:t xml:space="preserve"> </w:t>
      </w:r>
      <w:r>
        <w:rPr>
          <w:lang w:val="en-US"/>
        </w:rPr>
        <w:t xml:space="preserve">In particular </w:t>
      </w:r>
      <w:r w:rsidRPr="00D9721B">
        <w:rPr>
          <w:lang w:val="en-US"/>
        </w:rPr>
        <w:t>the German and t</w:t>
      </w:r>
      <w:r>
        <w:rPr>
          <w:lang w:val="en-US"/>
        </w:rPr>
        <w:t>he Italian Constitutional Courts.</w:t>
      </w:r>
      <w:r w:rsidRPr="0063481A">
        <w:rPr>
          <w:lang w:val="en-GB"/>
        </w:rPr>
        <w:t xml:space="preserve"> </w:t>
      </w:r>
      <w:proofErr w:type="spellStart"/>
      <w:r w:rsidRPr="0063481A">
        <w:rPr>
          <w:lang w:val="en-GB"/>
        </w:rPr>
        <w:t>Lenaerts</w:t>
      </w:r>
      <w:proofErr w:type="spellEnd"/>
      <w:r w:rsidRPr="0063481A">
        <w:rPr>
          <w:lang w:val="en-GB"/>
        </w:rPr>
        <w:t xml:space="preserve"> K. and De </w:t>
      </w:r>
      <w:proofErr w:type="spellStart"/>
      <w:r w:rsidRPr="0063481A">
        <w:rPr>
          <w:lang w:val="en-GB"/>
        </w:rPr>
        <w:t>Smijter</w:t>
      </w:r>
      <w:proofErr w:type="spellEnd"/>
      <w:r w:rsidRPr="0063481A">
        <w:rPr>
          <w:lang w:val="en-GB"/>
        </w:rPr>
        <w:t xml:space="preserve"> E., “A ‘Bill of Rights’ for the European Union”, </w:t>
      </w:r>
      <w:r w:rsidRPr="0063481A">
        <w:rPr>
          <w:i/>
          <w:lang w:val="en-GB"/>
        </w:rPr>
        <w:t>CMLR</w:t>
      </w:r>
      <w:r>
        <w:rPr>
          <w:lang w:val="en-GB"/>
        </w:rPr>
        <w:t xml:space="preserve"> 2001, 276; </w:t>
      </w:r>
      <w:proofErr w:type="spellStart"/>
      <w:r>
        <w:rPr>
          <w:lang w:val="en-GB"/>
        </w:rPr>
        <w:t>Meenan</w:t>
      </w:r>
      <w:proofErr w:type="spellEnd"/>
      <w:r>
        <w:rPr>
          <w:lang w:val="en-GB"/>
        </w:rPr>
        <w:t xml:space="preserve"> H., op. cit., 87; </w:t>
      </w:r>
      <w:proofErr w:type="spellStart"/>
      <w:r w:rsidRPr="00F175D1">
        <w:rPr>
          <w:lang w:val="en-US"/>
        </w:rPr>
        <w:t>Senden</w:t>
      </w:r>
      <w:proofErr w:type="spellEnd"/>
      <w:r w:rsidRPr="00F175D1">
        <w:rPr>
          <w:lang w:val="en-US"/>
        </w:rPr>
        <w:t xml:space="preserve"> H., </w:t>
      </w:r>
      <w:r w:rsidRPr="00F175D1">
        <w:rPr>
          <w:i/>
          <w:lang w:val="en-US"/>
        </w:rPr>
        <w:t>Interpretation of Fundamental Rights in a Multilevel Legal System</w:t>
      </w:r>
      <w:r w:rsidRPr="00F175D1">
        <w:rPr>
          <w:lang w:val="en-US"/>
        </w:rPr>
        <w:t xml:space="preserve">, Antwerp-Portland, </w:t>
      </w:r>
      <w:proofErr w:type="spellStart"/>
      <w:r w:rsidRPr="00F175D1">
        <w:rPr>
          <w:lang w:val="en-US"/>
        </w:rPr>
        <w:t>Intersentia</w:t>
      </w:r>
      <w:proofErr w:type="spellEnd"/>
      <w:r w:rsidRPr="00F175D1">
        <w:rPr>
          <w:lang w:val="en-US"/>
        </w:rPr>
        <w:t>, 2011,</w:t>
      </w:r>
      <w:r>
        <w:rPr>
          <w:lang w:val="en-US"/>
        </w:rPr>
        <w:t xml:space="preserve"> 27. </w:t>
      </w:r>
    </w:p>
  </w:footnote>
  <w:footnote w:id="23">
    <w:p w:rsidR="00551E68" w:rsidRPr="009A1ED3" w:rsidRDefault="00551E68" w:rsidP="005869B3">
      <w:pPr>
        <w:pStyle w:val="Voetnoottekst"/>
        <w:jc w:val="both"/>
        <w:rPr>
          <w:lang w:val="fr-FR"/>
        </w:rPr>
      </w:pPr>
      <w:r>
        <w:rPr>
          <w:rStyle w:val="Voetnootmarkering"/>
        </w:rPr>
        <w:footnoteRef/>
      </w:r>
      <w:r>
        <w:rPr>
          <w:lang w:val="de-DE"/>
        </w:rPr>
        <w:t xml:space="preserve"> </w:t>
      </w:r>
      <w:r w:rsidRPr="00FF3636">
        <w:rPr>
          <w:lang w:val="de-DE"/>
        </w:rPr>
        <w:t xml:space="preserve">ECJ C-11/70, </w:t>
      </w:r>
      <w:r w:rsidRPr="00FF3636">
        <w:rPr>
          <w:i/>
          <w:lang w:val="de-DE"/>
        </w:rPr>
        <w:t>Internationale Handelsgesellschaft mbH</w:t>
      </w:r>
      <w:r w:rsidRPr="00FF3636">
        <w:rPr>
          <w:bCs/>
          <w:i/>
          <w:lang w:val="de-DE"/>
        </w:rPr>
        <w:t xml:space="preserve"> v. Einfuhr- und Vorratsstelle für Getreide und Futtermittel</w:t>
      </w:r>
      <w:r>
        <w:rPr>
          <w:lang w:val="de-DE"/>
        </w:rPr>
        <w:t xml:space="preserve">, 1970, </w:t>
      </w:r>
      <w:proofErr w:type="spellStart"/>
      <w:r>
        <w:rPr>
          <w:lang w:val="de-DE"/>
        </w:rPr>
        <w:t>para</w:t>
      </w:r>
      <w:proofErr w:type="spellEnd"/>
      <w:r>
        <w:rPr>
          <w:lang w:val="de-DE"/>
        </w:rPr>
        <w:t xml:space="preserve">. </w:t>
      </w:r>
      <w:r w:rsidRPr="001A0401">
        <w:rPr>
          <w:lang w:val="en-US"/>
        </w:rPr>
        <w:t xml:space="preserve">4; ECJ C-4/73, </w:t>
      </w:r>
      <w:r w:rsidRPr="001A0401">
        <w:rPr>
          <w:i/>
          <w:lang w:val="en-US"/>
        </w:rPr>
        <w:t xml:space="preserve">J. </w:t>
      </w:r>
      <w:proofErr w:type="spellStart"/>
      <w:r w:rsidRPr="001A0401">
        <w:rPr>
          <w:i/>
          <w:lang w:val="en-US"/>
        </w:rPr>
        <w:t>Nold</w:t>
      </w:r>
      <w:proofErr w:type="spellEnd"/>
      <w:r w:rsidRPr="001A0401">
        <w:rPr>
          <w:i/>
          <w:lang w:val="en-US"/>
        </w:rPr>
        <w:t xml:space="preserve"> v. Commission of the European Communities</w:t>
      </w:r>
      <w:r w:rsidRPr="001A0401">
        <w:rPr>
          <w:lang w:val="en-US"/>
        </w:rPr>
        <w:t xml:space="preserve">, 1974, para. </w:t>
      </w:r>
      <w:r>
        <w:rPr>
          <w:lang w:val="de-DE"/>
        </w:rPr>
        <w:t xml:space="preserve">13; </w:t>
      </w:r>
      <w:r w:rsidRPr="00F92637">
        <w:rPr>
          <w:lang w:val="de-DE"/>
        </w:rPr>
        <w:t xml:space="preserve">ECJ C-5/88, </w:t>
      </w:r>
      <w:r w:rsidRPr="00F92637">
        <w:rPr>
          <w:i/>
          <w:lang w:val="de-DE"/>
        </w:rPr>
        <w:t xml:space="preserve">Hubert </w:t>
      </w:r>
      <w:proofErr w:type="spellStart"/>
      <w:r w:rsidRPr="00F92637">
        <w:rPr>
          <w:i/>
          <w:lang w:val="de-DE"/>
        </w:rPr>
        <w:t>Wachauf</w:t>
      </w:r>
      <w:proofErr w:type="spellEnd"/>
      <w:r w:rsidRPr="00F92637">
        <w:rPr>
          <w:i/>
          <w:lang w:val="de-DE"/>
        </w:rPr>
        <w:t xml:space="preserve"> v. Bundesamt </w:t>
      </w:r>
      <w:proofErr w:type="spellStart"/>
      <w:r w:rsidRPr="00F92637">
        <w:rPr>
          <w:i/>
          <w:lang w:val="de-DE"/>
        </w:rPr>
        <w:t>fur</w:t>
      </w:r>
      <w:proofErr w:type="spellEnd"/>
      <w:r w:rsidRPr="00F92637">
        <w:rPr>
          <w:i/>
          <w:lang w:val="de-DE"/>
        </w:rPr>
        <w:t xml:space="preserve"> </w:t>
      </w:r>
      <w:proofErr w:type="spellStart"/>
      <w:r w:rsidRPr="00F92637">
        <w:rPr>
          <w:i/>
          <w:lang w:val="de-DE"/>
        </w:rPr>
        <w:t>Ernahrung</w:t>
      </w:r>
      <w:proofErr w:type="spellEnd"/>
      <w:r w:rsidRPr="00F92637">
        <w:rPr>
          <w:i/>
          <w:lang w:val="de-DE"/>
        </w:rPr>
        <w:t xml:space="preserve"> und Forstwirtschaft</w:t>
      </w:r>
      <w:r>
        <w:rPr>
          <w:lang w:val="de-DE"/>
        </w:rPr>
        <w:t xml:space="preserve">, 1989, </w:t>
      </w:r>
      <w:proofErr w:type="spellStart"/>
      <w:r>
        <w:rPr>
          <w:lang w:val="de-DE"/>
        </w:rPr>
        <w:t>para</w:t>
      </w:r>
      <w:proofErr w:type="spellEnd"/>
      <w:r>
        <w:rPr>
          <w:lang w:val="de-DE"/>
        </w:rPr>
        <w:t xml:space="preserve">. </w:t>
      </w:r>
      <w:r w:rsidRPr="00F92637">
        <w:rPr>
          <w:lang w:val="en-US"/>
        </w:rPr>
        <w:t xml:space="preserve">17; </w:t>
      </w:r>
      <w:r w:rsidRPr="00F35D31">
        <w:rPr>
          <w:lang w:val="en-US"/>
        </w:rPr>
        <w:t xml:space="preserve">ECJ C-227/88, </w:t>
      </w:r>
      <w:r w:rsidRPr="00F35D31">
        <w:rPr>
          <w:i/>
          <w:lang w:val="en-US"/>
        </w:rPr>
        <w:t>Hoechst AG v. Commission of the European Communities</w:t>
      </w:r>
      <w:r w:rsidRPr="00F35D31">
        <w:rPr>
          <w:lang w:val="en-US"/>
        </w:rPr>
        <w:t>, 1</w:t>
      </w:r>
      <w:r>
        <w:rPr>
          <w:lang w:val="en-US"/>
        </w:rPr>
        <w:t xml:space="preserve">989, para. </w:t>
      </w:r>
      <w:r w:rsidRPr="001A0401">
        <w:rPr>
          <w:lang w:val="fr-FR"/>
        </w:rPr>
        <w:t xml:space="preserve">13. </w:t>
      </w:r>
    </w:p>
  </w:footnote>
  <w:footnote w:id="24">
    <w:p w:rsidR="00551E68" w:rsidRPr="001A0401" w:rsidRDefault="00551E68" w:rsidP="005869B3">
      <w:pPr>
        <w:pStyle w:val="Voetnoottekst"/>
        <w:jc w:val="both"/>
        <w:rPr>
          <w:lang w:val="en-US"/>
        </w:rPr>
      </w:pPr>
      <w:r>
        <w:rPr>
          <w:rStyle w:val="Voetnootmarkering"/>
        </w:rPr>
        <w:footnoteRef/>
      </w:r>
      <w:r w:rsidRPr="00EF5F9D">
        <w:rPr>
          <w:lang w:val="fr-FR"/>
        </w:rPr>
        <w:t xml:space="preserve"> </w:t>
      </w:r>
      <w:proofErr w:type="spellStart"/>
      <w:r w:rsidRPr="00EF5F9D">
        <w:rPr>
          <w:lang w:val="fr-FR"/>
        </w:rPr>
        <w:t>See</w:t>
      </w:r>
      <w:proofErr w:type="spellEnd"/>
      <w:r w:rsidRPr="00EF5F9D">
        <w:rPr>
          <w:lang w:val="fr-FR"/>
        </w:rPr>
        <w:t xml:space="preserve"> for </w:t>
      </w:r>
      <w:proofErr w:type="spellStart"/>
      <w:r w:rsidRPr="00EF5F9D">
        <w:rPr>
          <w:lang w:val="fr-FR"/>
        </w:rPr>
        <w:t>example</w:t>
      </w:r>
      <w:proofErr w:type="spellEnd"/>
      <w:r w:rsidRPr="00EF5F9D">
        <w:rPr>
          <w:lang w:val="fr-FR"/>
        </w:rPr>
        <w:t xml:space="preserve">: ECJ C-36/75, </w:t>
      </w:r>
      <w:proofErr w:type="spellStart"/>
      <w:r w:rsidRPr="00EF5F9D">
        <w:rPr>
          <w:i/>
          <w:lang w:val="fr-FR"/>
        </w:rPr>
        <w:t>Rutili</w:t>
      </w:r>
      <w:proofErr w:type="spellEnd"/>
      <w:r w:rsidRPr="00EF5F9D">
        <w:rPr>
          <w:i/>
          <w:lang w:val="fr-FR"/>
        </w:rPr>
        <w:t xml:space="preserve"> v. Ministre de l’intérieur</w:t>
      </w:r>
      <w:r w:rsidRPr="00EF5F9D">
        <w:rPr>
          <w:lang w:val="fr-FR"/>
        </w:rPr>
        <w:t xml:space="preserve">, 1975, para. </w:t>
      </w:r>
      <w:r w:rsidRPr="00675B4D">
        <w:rPr>
          <w:lang w:val="en-US"/>
        </w:rPr>
        <w:t>32;</w:t>
      </w:r>
      <w:r>
        <w:rPr>
          <w:lang w:val="en-US"/>
        </w:rPr>
        <w:t xml:space="preserve"> </w:t>
      </w:r>
      <w:r w:rsidRPr="004E0FF2">
        <w:rPr>
          <w:lang w:val="en-US"/>
        </w:rPr>
        <w:t xml:space="preserve">ECJ C-44/79, </w:t>
      </w:r>
      <w:proofErr w:type="spellStart"/>
      <w:r w:rsidRPr="004E0FF2">
        <w:rPr>
          <w:i/>
          <w:lang w:val="en-US"/>
        </w:rPr>
        <w:t>Hauer</w:t>
      </w:r>
      <w:proofErr w:type="spellEnd"/>
      <w:r w:rsidRPr="004E0FF2">
        <w:rPr>
          <w:i/>
          <w:lang w:val="en-US"/>
        </w:rPr>
        <w:t xml:space="preserve"> v. Land </w:t>
      </w:r>
      <w:proofErr w:type="spellStart"/>
      <w:r w:rsidRPr="004E0FF2">
        <w:rPr>
          <w:i/>
          <w:lang w:val="en-US"/>
        </w:rPr>
        <w:t>Rheinland-Pfalz</w:t>
      </w:r>
      <w:proofErr w:type="spellEnd"/>
      <w:r w:rsidRPr="004E0FF2">
        <w:rPr>
          <w:lang w:val="en-US"/>
        </w:rPr>
        <w:t xml:space="preserve">, 1979, </w:t>
      </w:r>
      <w:r>
        <w:rPr>
          <w:lang w:val="en-US"/>
        </w:rPr>
        <w:t>paras 4-5</w:t>
      </w:r>
      <w:r w:rsidRPr="004E0FF2">
        <w:rPr>
          <w:lang w:val="en-US"/>
        </w:rPr>
        <w:t>;</w:t>
      </w:r>
      <w:r>
        <w:rPr>
          <w:lang w:val="en-US"/>
        </w:rPr>
        <w:t xml:space="preserve"> </w:t>
      </w:r>
      <w:r w:rsidRPr="00312982">
        <w:rPr>
          <w:lang w:val="en-US"/>
        </w:rPr>
        <w:t xml:space="preserve">ECJ C-136/79, </w:t>
      </w:r>
      <w:r w:rsidRPr="00312982">
        <w:rPr>
          <w:i/>
          <w:lang w:val="en-US"/>
        </w:rPr>
        <w:t>National Panasonic Ltd v. Commission of the European Communities</w:t>
      </w:r>
      <w:r>
        <w:rPr>
          <w:lang w:val="en-US"/>
        </w:rPr>
        <w:t xml:space="preserve">, 1980, paras 18-20; </w:t>
      </w:r>
      <w:r w:rsidRPr="00312982">
        <w:rPr>
          <w:lang w:val="en-US"/>
        </w:rPr>
        <w:t xml:space="preserve">ECJ C-222/84, </w:t>
      </w:r>
      <w:r w:rsidRPr="00312982">
        <w:rPr>
          <w:i/>
          <w:lang w:val="en-US"/>
        </w:rPr>
        <w:t>Johnston v. Chief Constable of the Royal Ulster Constabulary</w:t>
      </w:r>
      <w:r w:rsidRPr="00312982">
        <w:rPr>
          <w:lang w:val="en-US"/>
        </w:rPr>
        <w:t>, 1986, para</w:t>
      </w:r>
      <w:r>
        <w:rPr>
          <w:lang w:val="en-US"/>
        </w:rPr>
        <w:t xml:space="preserve">. 18; </w:t>
      </w:r>
      <w:r w:rsidRPr="001A0401">
        <w:rPr>
          <w:lang w:val="en-US"/>
        </w:rPr>
        <w:t xml:space="preserve">ECJ C-17/98, </w:t>
      </w:r>
      <w:proofErr w:type="spellStart"/>
      <w:r w:rsidRPr="001A0401">
        <w:rPr>
          <w:i/>
          <w:lang w:val="en-US"/>
        </w:rPr>
        <w:t>Emesa</w:t>
      </w:r>
      <w:proofErr w:type="spellEnd"/>
      <w:r w:rsidRPr="001A0401">
        <w:rPr>
          <w:i/>
          <w:lang w:val="en-US"/>
        </w:rPr>
        <w:t xml:space="preserve"> Sugar NV v. Aruba</w:t>
      </w:r>
      <w:r>
        <w:rPr>
          <w:lang w:val="en-US"/>
        </w:rPr>
        <w:t xml:space="preserve">, 2000, para. 8; </w:t>
      </w:r>
      <w:r w:rsidRPr="00F11443">
        <w:rPr>
          <w:lang w:val="en-US"/>
        </w:rPr>
        <w:t xml:space="preserve">ECJ C-7/98, </w:t>
      </w:r>
      <w:r w:rsidRPr="00F11443">
        <w:rPr>
          <w:i/>
          <w:lang w:val="en-US"/>
        </w:rPr>
        <w:t xml:space="preserve">Dieter </w:t>
      </w:r>
      <w:proofErr w:type="spellStart"/>
      <w:r w:rsidRPr="00F11443">
        <w:rPr>
          <w:i/>
          <w:lang w:val="en-US"/>
        </w:rPr>
        <w:t>Krombach</w:t>
      </w:r>
      <w:proofErr w:type="spellEnd"/>
      <w:r w:rsidRPr="00F11443">
        <w:rPr>
          <w:i/>
          <w:lang w:val="en-US"/>
        </w:rPr>
        <w:t xml:space="preserve"> v. Andre </w:t>
      </w:r>
      <w:proofErr w:type="spellStart"/>
      <w:r w:rsidRPr="00F11443">
        <w:rPr>
          <w:i/>
          <w:lang w:val="en-US"/>
        </w:rPr>
        <w:t>Bamberski</w:t>
      </w:r>
      <w:proofErr w:type="spellEnd"/>
      <w:r>
        <w:rPr>
          <w:lang w:val="en-US"/>
        </w:rPr>
        <w:t xml:space="preserve">, 2000, para. 25. </w:t>
      </w:r>
    </w:p>
  </w:footnote>
  <w:footnote w:id="25">
    <w:p w:rsidR="00551E68" w:rsidRPr="001C5C43" w:rsidRDefault="00551E68" w:rsidP="005869B3">
      <w:pPr>
        <w:pStyle w:val="Voetnoottekst"/>
        <w:jc w:val="both"/>
        <w:rPr>
          <w:lang w:val="en-US"/>
        </w:rPr>
      </w:pPr>
      <w:r>
        <w:rPr>
          <w:rStyle w:val="Voetnootmarkering"/>
        </w:rPr>
        <w:footnoteRef/>
      </w:r>
      <w:r w:rsidRPr="001C5C43">
        <w:rPr>
          <w:lang w:val="en-US"/>
        </w:rPr>
        <w:t xml:space="preserve"> </w:t>
      </w:r>
      <w:r>
        <w:rPr>
          <w:lang w:val="en-US"/>
        </w:rPr>
        <w:t xml:space="preserve">Joint Declaration by the European Parliament, the Council and the Commission concerning the protection of Fundamental Rights &amp; the European Convention for the Protection of Human Rights and Fundamental Freedoms, 5 April 1977. </w:t>
      </w:r>
    </w:p>
  </w:footnote>
  <w:footnote w:id="26">
    <w:p w:rsidR="00551E68" w:rsidRPr="0097260F" w:rsidRDefault="00551E68" w:rsidP="005869B3">
      <w:pPr>
        <w:pStyle w:val="Voetnoottekst"/>
        <w:jc w:val="both"/>
        <w:rPr>
          <w:lang w:val="en-US"/>
        </w:rPr>
      </w:pPr>
      <w:r>
        <w:rPr>
          <w:rStyle w:val="Voetnootmarkering"/>
        </w:rPr>
        <w:footnoteRef/>
      </w:r>
      <w:r w:rsidRPr="009166D4">
        <w:rPr>
          <w:lang w:val="en-US"/>
        </w:rPr>
        <w:t xml:space="preserve"> R</w:t>
      </w:r>
      <w:r>
        <w:rPr>
          <w:lang w:val="en-US"/>
        </w:rPr>
        <w:t xml:space="preserve">ecital 3 </w:t>
      </w:r>
      <w:r w:rsidRPr="009166D4">
        <w:rPr>
          <w:lang w:val="en-GB"/>
        </w:rPr>
        <w:t>Single European Act, 17 February 1986</w:t>
      </w:r>
      <w:r>
        <w:rPr>
          <w:lang w:val="en-GB"/>
        </w:rPr>
        <w:t xml:space="preserve">. </w:t>
      </w:r>
      <w:r>
        <w:rPr>
          <w:lang w:val="en-US"/>
        </w:rPr>
        <w:t xml:space="preserve">It is stated that ‘the member states are determined to work together to promote democracy on the basis of fundamental rights’. Reference is also made to the European Convention on Human Rights and the European Social Charter. </w:t>
      </w:r>
      <w:proofErr w:type="spellStart"/>
      <w:r w:rsidRPr="0097260F">
        <w:rPr>
          <w:lang w:val="en-US"/>
        </w:rPr>
        <w:t>Defeis</w:t>
      </w:r>
      <w:proofErr w:type="spellEnd"/>
      <w:r w:rsidRPr="0097260F">
        <w:rPr>
          <w:lang w:val="en-US"/>
        </w:rPr>
        <w:t xml:space="preserve"> E., “Human Rights and the European Court of Justice</w:t>
      </w:r>
      <w:r>
        <w:rPr>
          <w:lang w:val="en-US"/>
        </w:rPr>
        <w:t>: An Appraisal</w:t>
      </w:r>
      <w:r w:rsidRPr="0097260F">
        <w:rPr>
          <w:lang w:val="en-US"/>
        </w:rPr>
        <w:t xml:space="preserve">”, </w:t>
      </w:r>
      <w:r w:rsidRPr="0097260F">
        <w:rPr>
          <w:i/>
          <w:lang w:val="en-US"/>
        </w:rPr>
        <w:t xml:space="preserve">Fordham Int’l L. J. </w:t>
      </w:r>
      <w:r w:rsidRPr="0097260F">
        <w:rPr>
          <w:lang w:val="en-US"/>
        </w:rPr>
        <w:t xml:space="preserve">2008, </w:t>
      </w:r>
      <w:r>
        <w:rPr>
          <w:lang w:val="en-US"/>
        </w:rPr>
        <w:t xml:space="preserve">1110. </w:t>
      </w:r>
    </w:p>
  </w:footnote>
  <w:footnote w:id="27">
    <w:p w:rsidR="00551E68" w:rsidRPr="00E8698D" w:rsidRDefault="00551E68" w:rsidP="005869B3">
      <w:pPr>
        <w:pStyle w:val="Voetnoottekst"/>
        <w:jc w:val="both"/>
        <w:rPr>
          <w:lang w:val="en-GB"/>
        </w:rPr>
      </w:pPr>
      <w:r>
        <w:rPr>
          <w:rStyle w:val="Voetnootmarkering"/>
        </w:rPr>
        <w:footnoteRef/>
      </w:r>
      <w:r w:rsidRPr="00E8698D">
        <w:rPr>
          <w:lang w:val="en-US"/>
        </w:rPr>
        <w:t xml:space="preserve"> </w:t>
      </w:r>
      <w:r w:rsidRPr="00E8698D">
        <w:rPr>
          <w:lang w:val="en-GB"/>
        </w:rPr>
        <w:t>Treaty on the European Union, Maastricht 7 February 1992</w:t>
      </w:r>
      <w:r>
        <w:rPr>
          <w:lang w:val="en-GB"/>
        </w:rPr>
        <w:t xml:space="preserve">. </w:t>
      </w:r>
    </w:p>
  </w:footnote>
  <w:footnote w:id="28">
    <w:p w:rsidR="00551E68" w:rsidRPr="00AA7B0C" w:rsidRDefault="00551E68" w:rsidP="005869B3">
      <w:pPr>
        <w:pStyle w:val="Voetnoottekst"/>
        <w:jc w:val="both"/>
        <w:rPr>
          <w:lang w:val="en-GB"/>
        </w:rPr>
      </w:pPr>
      <w:r>
        <w:rPr>
          <w:rStyle w:val="Voetnootmarkering"/>
        </w:rPr>
        <w:footnoteRef/>
      </w:r>
      <w:r w:rsidRPr="000578A7">
        <w:rPr>
          <w:lang w:val="en-US"/>
        </w:rPr>
        <w:t xml:space="preserve"> </w:t>
      </w:r>
      <w:r>
        <w:rPr>
          <w:lang w:val="en-US"/>
        </w:rPr>
        <w:t xml:space="preserve">Article F.2 </w:t>
      </w:r>
      <w:r w:rsidRPr="00AA7B0C">
        <w:rPr>
          <w:lang w:val="en-GB"/>
        </w:rPr>
        <w:t>Treaty on the European Union, Maastricht 7 February 1992.</w:t>
      </w:r>
    </w:p>
  </w:footnote>
  <w:footnote w:id="29">
    <w:p w:rsidR="00551E68" w:rsidRPr="00972973" w:rsidRDefault="00551E68" w:rsidP="005869B3">
      <w:pPr>
        <w:pStyle w:val="Voetnoottekst"/>
        <w:jc w:val="both"/>
        <w:rPr>
          <w:lang w:val="en-GB"/>
        </w:rPr>
      </w:pPr>
      <w:r>
        <w:rPr>
          <w:rStyle w:val="Voetnootmarkering"/>
        </w:rPr>
        <w:footnoteRef/>
      </w:r>
      <w:r w:rsidRPr="005726E6">
        <w:rPr>
          <w:lang w:val="en-US"/>
        </w:rPr>
        <w:t xml:space="preserve"> </w:t>
      </w:r>
      <w:r>
        <w:rPr>
          <w:lang w:val="en-US"/>
        </w:rPr>
        <w:t xml:space="preserve">Article E </w:t>
      </w:r>
      <w:r w:rsidRPr="00972973">
        <w:rPr>
          <w:lang w:val="en-GB"/>
        </w:rPr>
        <w:t xml:space="preserve">Treaty of Amsterdam, 2 October 1997. </w:t>
      </w:r>
    </w:p>
  </w:footnote>
  <w:footnote w:id="30">
    <w:p w:rsidR="00551E68" w:rsidRPr="00D02CA0" w:rsidRDefault="00551E68" w:rsidP="005869B3">
      <w:pPr>
        <w:pStyle w:val="Voetnoottekst"/>
        <w:jc w:val="both"/>
        <w:rPr>
          <w:b/>
          <w:u w:val="single"/>
          <w:lang w:val="en-GB"/>
        </w:rPr>
      </w:pPr>
      <w:r>
        <w:rPr>
          <w:rStyle w:val="Voetnootmarkering"/>
        </w:rPr>
        <w:footnoteRef/>
      </w:r>
      <w:r>
        <w:rPr>
          <w:lang w:val="en-US"/>
        </w:rPr>
        <w:t xml:space="preserve"> </w:t>
      </w:r>
      <w:r w:rsidRPr="000F1951">
        <w:rPr>
          <w:lang w:val="en-US"/>
        </w:rPr>
        <w:t>Art</w:t>
      </w:r>
      <w:r>
        <w:rPr>
          <w:lang w:val="en-US"/>
        </w:rPr>
        <w:t xml:space="preserve">icle F.2 Treaty of Amsterdam. Today the elaborated provision can be found in article 7 </w:t>
      </w:r>
      <w:r w:rsidRPr="003D6A11">
        <w:rPr>
          <w:lang w:val="en-GB"/>
        </w:rPr>
        <w:t>Consolidated Version of the Treaty on European Uni</w:t>
      </w:r>
      <w:r>
        <w:rPr>
          <w:lang w:val="en-GB"/>
        </w:rPr>
        <w:t xml:space="preserve">on, Maastricht 7 February 1992 (TEU). </w:t>
      </w:r>
      <w:r w:rsidRPr="00D02CA0">
        <w:rPr>
          <w:lang w:val="en-GB"/>
        </w:rPr>
        <w:t xml:space="preserve">Hartley T., </w:t>
      </w:r>
      <w:r w:rsidRPr="00D02CA0">
        <w:rPr>
          <w:i/>
          <w:lang w:val="en-GB"/>
        </w:rPr>
        <w:t>The Foundations of European Union Law</w:t>
      </w:r>
      <w:r w:rsidRPr="00D02CA0">
        <w:rPr>
          <w:lang w:val="en-GB"/>
        </w:rPr>
        <w:t xml:space="preserve">, Oxford, Oxford </w:t>
      </w:r>
      <w:r>
        <w:rPr>
          <w:lang w:val="en-GB"/>
        </w:rPr>
        <w:t xml:space="preserve">University Press, 2010, 151; </w:t>
      </w:r>
      <w:proofErr w:type="spellStart"/>
      <w:r>
        <w:rPr>
          <w:lang w:val="en-US"/>
        </w:rPr>
        <w:t>Maes</w:t>
      </w:r>
      <w:proofErr w:type="spellEnd"/>
      <w:r>
        <w:rPr>
          <w:lang w:val="en-US"/>
        </w:rPr>
        <w:t xml:space="preserve"> G., op. cit., 369. </w:t>
      </w:r>
    </w:p>
  </w:footnote>
  <w:footnote w:id="31">
    <w:p w:rsidR="00551E68" w:rsidRPr="001A0401" w:rsidRDefault="00551E68" w:rsidP="005869B3">
      <w:pPr>
        <w:pStyle w:val="Voetnoottekst"/>
        <w:jc w:val="both"/>
        <w:rPr>
          <w:lang w:val="en-US"/>
        </w:rPr>
      </w:pPr>
      <w:r>
        <w:rPr>
          <w:rStyle w:val="Voetnootmarkering"/>
        </w:rPr>
        <w:footnoteRef/>
      </w:r>
      <w:r w:rsidRPr="001A0401">
        <w:rPr>
          <w:lang w:val="en-US"/>
        </w:rPr>
        <w:t xml:space="preserve"> </w:t>
      </w:r>
      <w:r>
        <w:rPr>
          <w:lang w:val="en-US"/>
        </w:rPr>
        <w:t xml:space="preserve">Article F.1 Amsterdam Treaty; de </w:t>
      </w:r>
      <w:proofErr w:type="spellStart"/>
      <w:r>
        <w:rPr>
          <w:lang w:val="en-US"/>
        </w:rPr>
        <w:t>Burca</w:t>
      </w:r>
      <w:proofErr w:type="spellEnd"/>
      <w:r>
        <w:rPr>
          <w:lang w:val="en-US"/>
        </w:rPr>
        <w:t xml:space="preserve"> G., “Beyond the Charter: How enlargement has enlarged the human rights policy of the EU” in </w:t>
      </w:r>
      <w:r w:rsidRPr="00F973C7">
        <w:rPr>
          <w:lang w:val="en-US"/>
        </w:rPr>
        <w:t xml:space="preserve">De </w:t>
      </w:r>
      <w:proofErr w:type="spellStart"/>
      <w:r w:rsidRPr="00F973C7">
        <w:rPr>
          <w:lang w:val="en-US"/>
        </w:rPr>
        <w:t>Schutter</w:t>
      </w:r>
      <w:proofErr w:type="spellEnd"/>
      <w:r w:rsidRPr="00F973C7">
        <w:rPr>
          <w:lang w:val="en-US"/>
        </w:rPr>
        <w:t xml:space="preserve"> O. and </w:t>
      </w:r>
      <w:proofErr w:type="spellStart"/>
      <w:r w:rsidRPr="00F973C7">
        <w:rPr>
          <w:lang w:val="en-US"/>
        </w:rPr>
        <w:t>Deakin</w:t>
      </w:r>
      <w:proofErr w:type="spellEnd"/>
      <w:r w:rsidRPr="00F973C7">
        <w:rPr>
          <w:lang w:val="en-US"/>
        </w:rPr>
        <w:t xml:space="preserve"> S. (eds.), </w:t>
      </w:r>
      <w:r w:rsidRPr="00F973C7">
        <w:rPr>
          <w:i/>
          <w:lang w:val="en-US"/>
        </w:rPr>
        <w:t xml:space="preserve">Social Rights and Market Forces, </w:t>
      </w:r>
      <w:r w:rsidRPr="00F973C7">
        <w:rPr>
          <w:lang w:val="en-US"/>
        </w:rPr>
        <w:t xml:space="preserve">Brussels, </w:t>
      </w:r>
      <w:proofErr w:type="spellStart"/>
      <w:r>
        <w:rPr>
          <w:lang w:val="en-US"/>
        </w:rPr>
        <w:t>Bruylant</w:t>
      </w:r>
      <w:proofErr w:type="spellEnd"/>
      <w:r>
        <w:rPr>
          <w:lang w:val="en-US"/>
        </w:rPr>
        <w:t xml:space="preserve">, 2005, 259. </w:t>
      </w:r>
    </w:p>
  </w:footnote>
  <w:footnote w:id="32">
    <w:p w:rsidR="00551E68" w:rsidRPr="009C1FC0" w:rsidRDefault="00551E68" w:rsidP="005869B3">
      <w:pPr>
        <w:pStyle w:val="Voetnoottekst"/>
        <w:jc w:val="both"/>
        <w:rPr>
          <w:lang w:val="en-GB"/>
        </w:rPr>
      </w:pPr>
      <w:r>
        <w:rPr>
          <w:rStyle w:val="Voetnootmarkering"/>
        </w:rPr>
        <w:footnoteRef/>
      </w:r>
      <w:r w:rsidRPr="009C1FC0">
        <w:rPr>
          <w:lang w:val="en-US"/>
        </w:rPr>
        <w:t xml:space="preserve"> </w:t>
      </w:r>
      <w:r w:rsidRPr="009C1FC0">
        <w:rPr>
          <w:lang w:val="en-GB"/>
        </w:rPr>
        <w:t>Charter of Fundamental Rights of the Europe</w:t>
      </w:r>
      <w:r>
        <w:rPr>
          <w:lang w:val="en-GB"/>
        </w:rPr>
        <w:t xml:space="preserve">an Union, Nice 7 December 2000 (EU Charter). </w:t>
      </w:r>
    </w:p>
  </w:footnote>
  <w:footnote w:id="33">
    <w:p w:rsidR="00551E68" w:rsidRPr="00BC4CD6" w:rsidRDefault="00551E68" w:rsidP="005869B3">
      <w:pPr>
        <w:pStyle w:val="Voetnoottekst"/>
        <w:jc w:val="both"/>
        <w:rPr>
          <w:lang w:val="en-US"/>
        </w:rPr>
      </w:pPr>
      <w:r>
        <w:rPr>
          <w:rStyle w:val="Voetnootmarkering"/>
        </w:rPr>
        <w:footnoteRef/>
      </w:r>
      <w:r w:rsidRPr="00BC4CD6">
        <w:rPr>
          <w:lang w:val="en-US"/>
        </w:rPr>
        <w:t xml:space="preserve"> </w:t>
      </w:r>
      <w:r>
        <w:rPr>
          <w:lang w:val="en-US"/>
        </w:rPr>
        <w:t xml:space="preserve">Article 6(1) TFEU. </w:t>
      </w:r>
    </w:p>
  </w:footnote>
  <w:footnote w:id="34">
    <w:p w:rsidR="00551E68" w:rsidRPr="00621558" w:rsidRDefault="00551E68" w:rsidP="005869B3">
      <w:pPr>
        <w:pStyle w:val="Voetnoottekst"/>
        <w:jc w:val="both"/>
        <w:rPr>
          <w:i/>
          <w:lang w:val="en-GB"/>
        </w:rPr>
      </w:pPr>
      <w:r>
        <w:rPr>
          <w:rStyle w:val="Voetnootmarkering"/>
        </w:rPr>
        <w:footnoteRef/>
      </w:r>
      <w:r>
        <w:rPr>
          <w:lang w:val="en-US"/>
        </w:rPr>
        <w:t xml:space="preserve"> </w:t>
      </w:r>
      <w:r w:rsidRPr="007D6C31">
        <w:rPr>
          <w:lang w:val="en-US"/>
        </w:rPr>
        <w:t xml:space="preserve">Douglas-Scott S., “The European Union and Human Rights after the Treaty of Lisbon”, </w:t>
      </w:r>
      <w:r w:rsidRPr="007D6C31">
        <w:rPr>
          <w:i/>
          <w:lang w:val="en-US"/>
        </w:rPr>
        <w:t>HRLR</w:t>
      </w:r>
      <w:r w:rsidRPr="007D6C31">
        <w:rPr>
          <w:lang w:val="en-US"/>
        </w:rPr>
        <w:t xml:space="preserve"> 2011, 6</w:t>
      </w:r>
      <w:r>
        <w:rPr>
          <w:lang w:val="en-US"/>
        </w:rPr>
        <w:t xml:space="preserve">51; </w:t>
      </w:r>
      <w:proofErr w:type="spellStart"/>
      <w:r w:rsidRPr="007D6C31">
        <w:rPr>
          <w:lang w:val="en-US"/>
        </w:rPr>
        <w:t>Lenaerts</w:t>
      </w:r>
      <w:proofErr w:type="spellEnd"/>
      <w:r w:rsidRPr="007D6C31">
        <w:rPr>
          <w:lang w:val="en-US"/>
        </w:rPr>
        <w:t xml:space="preserve"> K. and De </w:t>
      </w:r>
      <w:proofErr w:type="spellStart"/>
      <w:r w:rsidRPr="007D6C31">
        <w:rPr>
          <w:lang w:val="en-US"/>
        </w:rPr>
        <w:t>Smijter</w:t>
      </w:r>
      <w:proofErr w:type="spellEnd"/>
      <w:r w:rsidRPr="007D6C31">
        <w:rPr>
          <w:lang w:val="en-US"/>
        </w:rPr>
        <w:t xml:space="preserve"> E., op. cit., 279</w:t>
      </w:r>
      <w:r>
        <w:rPr>
          <w:lang w:val="en-US"/>
        </w:rPr>
        <w:t xml:space="preserve">; </w:t>
      </w:r>
      <w:proofErr w:type="spellStart"/>
      <w:r w:rsidRPr="00621558">
        <w:rPr>
          <w:lang w:val="en-GB"/>
        </w:rPr>
        <w:t>Nanopoulos</w:t>
      </w:r>
      <w:proofErr w:type="spellEnd"/>
      <w:r w:rsidRPr="00621558">
        <w:rPr>
          <w:lang w:val="en-GB"/>
        </w:rPr>
        <w:t xml:space="preserve"> E., “It is time, Charter, rise and shine”, </w:t>
      </w:r>
      <w:r w:rsidRPr="00621558">
        <w:rPr>
          <w:i/>
          <w:lang w:val="en-GB"/>
        </w:rPr>
        <w:t>Cambridge L. J.</w:t>
      </w:r>
      <w:r w:rsidRPr="00621558">
        <w:rPr>
          <w:lang w:val="en-GB"/>
        </w:rPr>
        <w:t xml:space="preserve"> 2011, 306-3</w:t>
      </w:r>
      <w:r>
        <w:rPr>
          <w:lang w:val="en-GB"/>
        </w:rPr>
        <w:t xml:space="preserve">07. </w:t>
      </w:r>
    </w:p>
  </w:footnote>
  <w:footnote w:id="35">
    <w:p w:rsidR="00551E68" w:rsidRPr="0089241C" w:rsidRDefault="00551E68" w:rsidP="005869B3">
      <w:pPr>
        <w:pStyle w:val="Voetnoottekst"/>
        <w:jc w:val="both"/>
      </w:pPr>
      <w:r>
        <w:rPr>
          <w:rStyle w:val="Voetnootmarkering"/>
        </w:rPr>
        <w:footnoteRef/>
      </w:r>
      <w:r>
        <w:t xml:space="preserve"> </w:t>
      </w:r>
      <w:r w:rsidRPr="00285812">
        <w:t xml:space="preserve">Lenaerts K. </w:t>
      </w:r>
      <w:proofErr w:type="spellStart"/>
      <w:r w:rsidRPr="00285812">
        <w:t>and</w:t>
      </w:r>
      <w:proofErr w:type="spellEnd"/>
      <w:r w:rsidRPr="00285812">
        <w:t xml:space="preserve"> De Smijter E., op. </w:t>
      </w:r>
      <w:proofErr w:type="spellStart"/>
      <w:r w:rsidRPr="00285812">
        <w:t>cit</w:t>
      </w:r>
      <w:proofErr w:type="spellEnd"/>
      <w:r w:rsidRPr="00285812">
        <w:t>., 28</w:t>
      </w:r>
      <w:r>
        <w:t xml:space="preserve">0-281; </w:t>
      </w:r>
      <w:proofErr w:type="spellStart"/>
      <w:r w:rsidRPr="0089241C">
        <w:t>Meenan</w:t>
      </w:r>
      <w:proofErr w:type="spellEnd"/>
      <w:r w:rsidRPr="0089241C">
        <w:t xml:space="preserve"> H.,</w:t>
      </w:r>
      <w:r>
        <w:t xml:space="preserve"> op. </w:t>
      </w:r>
      <w:proofErr w:type="spellStart"/>
      <w:r>
        <w:t>cit</w:t>
      </w:r>
      <w:proofErr w:type="spellEnd"/>
      <w:r>
        <w:t xml:space="preserve">., 100. </w:t>
      </w:r>
      <w:r w:rsidRPr="0089241C">
        <w:t xml:space="preserve"> </w:t>
      </w:r>
    </w:p>
  </w:footnote>
  <w:footnote w:id="36">
    <w:p w:rsidR="00551E68" w:rsidRPr="00D429CF" w:rsidRDefault="00551E68" w:rsidP="005869B3">
      <w:pPr>
        <w:pStyle w:val="Voetnoottekst"/>
        <w:jc w:val="both"/>
        <w:rPr>
          <w:u w:val="single"/>
          <w:lang w:val="en-US"/>
        </w:rPr>
      </w:pPr>
      <w:r>
        <w:rPr>
          <w:rStyle w:val="Voetnootmarkering"/>
        </w:rPr>
        <w:footnoteRef/>
      </w:r>
      <w:r w:rsidRPr="006A7950">
        <w:rPr>
          <w:lang w:val="en-US"/>
        </w:rPr>
        <w:t xml:space="preserve"> Article 51(2) EU Charter;</w:t>
      </w:r>
      <w:r w:rsidRPr="002107E2">
        <w:rPr>
          <w:lang w:val="en-US"/>
        </w:rPr>
        <w:t xml:space="preserve"> Text of the explanations relating to the complete text of the Charter of Fundamental Rights of the European Union, </w:t>
      </w:r>
      <w:proofErr w:type="spellStart"/>
      <w:r w:rsidRPr="002107E2">
        <w:rPr>
          <w:lang w:val="en-US"/>
        </w:rPr>
        <w:t>Charte</w:t>
      </w:r>
      <w:proofErr w:type="spellEnd"/>
      <w:r w:rsidRPr="002107E2">
        <w:rPr>
          <w:lang w:val="en-US"/>
        </w:rPr>
        <w:t xml:space="preserve"> 4473</w:t>
      </w:r>
      <w:r>
        <w:rPr>
          <w:lang w:val="en-US"/>
        </w:rPr>
        <w:t xml:space="preserve">/00 Convent 49, 11 October 2000, 46-47. </w:t>
      </w:r>
    </w:p>
  </w:footnote>
  <w:footnote w:id="37">
    <w:p w:rsidR="00551E68" w:rsidRPr="00870814" w:rsidRDefault="00551E68" w:rsidP="005869B3">
      <w:pPr>
        <w:pStyle w:val="Voetnoottekst"/>
        <w:jc w:val="both"/>
        <w:rPr>
          <w:i/>
          <w:lang w:val="en-US"/>
        </w:rPr>
      </w:pPr>
      <w:r>
        <w:rPr>
          <w:rStyle w:val="Voetnootmarkering"/>
        </w:rPr>
        <w:footnoteRef/>
      </w:r>
      <w:r>
        <w:rPr>
          <w:lang w:val="en-US"/>
        </w:rPr>
        <w:t xml:space="preserve"> Recital 4 Preamble EU Charter;</w:t>
      </w:r>
      <w:r>
        <w:rPr>
          <w:sz w:val="24"/>
          <w:szCs w:val="24"/>
          <w:lang w:val="en-US"/>
        </w:rPr>
        <w:t xml:space="preserve"> </w:t>
      </w:r>
      <w:r w:rsidRPr="00406903">
        <w:rPr>
          <w:lang w:val="en-US"/>
        </w:rPr>
        <w:t>Douglas-Scott S.,</w:t>
      </w:r>
      <w:r>
        <w:rPr>
          <w:lang w:val="en-US"/>
        </w:rPr>
        <w:t xml:space="preserve"> op. cit., 651; </w:t>
      </w:r>
      <w:proofErr w:type="spellStart"/>
      <w:r w:rsidRPr="006A7950">
        <w:rPr>
          <w:lang w:val="en-US"/>
        </w:rPr>
        <w:t>Lenaerts</w:t>
      </w:r>
      <w:proofErr w:type="spellEnd"/>
      <w:r w:rsidRPr="006A7950">
        <w:rPr>
          <w:lang w:val="en-US"/>
        </w:rPr>
        <w:t xml:space="preserve"> K. </w:t>
      </w:r>
      <w:r>
        <w:rPr>
          <w:lang w:val="en-US"/>
        </w:rPr>
        <w:t xml:space="preserve">and De </w:t>
      </w:r>
      <w:proofErr w:type="spellStart"/>
      <w:r>
        <w:rPr>
          <w:lang w:val="en-US"/>
        </w:rPr>
        <w:t>Smijter</w:t>
      </w:r>
      <w:proofErr w:type="spellEnd"/>
      <w:r>
        <w:rPr>
          <w:lang w:val="en-US"/>
        </w:rPr>
        <w:t xml:space="preserve"> E., op. cit., 281; </w:t>
      </w:r>
      <w:proofErr w:type="spellStart"/>
      <w:r w:rsidRPr="00621558">
        <w:rPr>
          <w:lang w:val="en-GB"/>
        </w:rPr>
        <w:t>Nanopoulos</w:t>
      </w:r>
      <w:proofErr w:type="spellEnd"/>
      <w:r w:rsidRPr="00621558">
        <w:rPr>
          <w:lang w:val="en-GB"/>
        </w:rPr>
        <w:t xml:space="preserve"> E.,</w:t>
      </w:r>
      <w:r>
        <w:rPr>
          <w:lang w:val="en-GB"/>
        </w:rPr>
        <w:t xml:space="preserve"> op. cit., 307; </w:t>
      </w:r>
      <w:r w:rsidRPr="00BE54E8">
        <w:rPr>
          <w:lang w:val="en-US"/>
        </w:rPr>
        <w:t xml:space="preserve">Von </w:t>
      </w:r>
      <w:proofErr w:type="spellStart"/>
      <w:r w:rsidRPr="00BE54E8">
        <w:rPr>
          <w:lang w:val="en-US"/>
        </w:rPr>
        <w:t>Bogdandy</w:t>
      </w:r>
      <w:proofErr w:type="spellEnd"/>
      <w:r w:rsidRPr="00BE54E8">
        <w:rPr>
          <w:lang w:val="en-US"/>
        </w:rPr>
        <w:t xml:space="preserve"> A., “The European Union as a Human Rights Organization? Human Rights and the Core of the European Union”, </w:t>
      </w:r>
      <w:r w:rsidRPr="00BE54E8">
        <w:rPr>
          <w:i/>
          <w:lang w:val="en-US"/>
        </w:rPr>
        <w:t>CMLR</w:t>
      </w:r>
      <w:r w:rsidRPr="00BE54E8">
        <w:rPr>
          <w:lang w:val="en-US"/>
        </w:rPr>
        <w:t xml:space="preserve"> 2000, 13</w:t>
      </w:r>
      <w:r>
        <w:rPr>
          <w:lang w:val="en-US"/>
        </w:rPr>
        <w:t xml:space="preserve">32. </w:t>
      </w:r>
    </w:p>
  </w:footnote>
  <w:footnote w:id="38">
    <w:p w:rsidR="00551E68" w:rsidRPr="00870814" w:rsidRDefault="00551E68" w:rsidP="005869B3">
      <w:pPr>
        <w:pStyle w:val="Voetnoottekst"/>
        <w:jc w:val="both"/>
        <w:rPr>
          <w:u w:val="single"/>
          <w:lang w:val="en-US"/>
        </w:rPr>
      </w:pPr>
      <w:r>
        <w:rPr>
          <w:rStyle w:val="Voetnootmarkering"/>
        </w:rPr>
        <w:footnoteRef/>
      </w:r>
      <w:r w:rsidRPr="00FE29FE">
        <w:rPr>
          <w:lang w:val="en-US"/>
        </w:rPr>
        <w:t xml:space="preserve"> </w:t>
      </w:r>
      <w:r>
        <w:rPr>
          <w:lang w:val="en-US"/>
        </w:rPr>
        <w:t>Article 51(1) EU Charter;</w:t>
      </w:r>
      <w:r w:rsidRPr="00870814">
        <w:rPr>
          <w:lang w:val="en-US"/>
        </w:rPr>
        <w:t xml:space="preserve"> Text of the explanations relating to the complete text of the Charter of Fundamental Rights of the European Union, </w:t>
      </w:r>
      <w:proofErr w:type="spellStart"/>
      <w:r w:rsidRPr="00870814">
        <w:rPr>
          <w:lang w:val="en-US"/>
        </w:rPr>
        <w:t>Charte</w:t>
      </w:r>
      <w:proofErr w:type="spellEnd"/>
      <w:r w:rsidRPr="00870814">
        <w:rPr>
          <w:lang w:val="en-US"/>
        </w:rPr>
        <w:t xml:space="preserve"> 4473</w:t>
      </w:r>
      <w:r>
        <w:rPr>
          <w:lang w:val="en-US"/>
        </w:rPr>
        <w:t xml:space="preserve">/00 Convent 49, 11 October 2000, 46; </w:t>
      </w:r>
      <w:r w:rsidRPr="008A2128">
        <w:rPr>
          <w:lang w:val="en-US"/>
        </w:rPr>
        <w:t xml:space="preserve">Craig P., </w:t>
      </w:r>
      <w:r w:rsidRPr="008A2128">
        <w:rPr>
          <w:i/>
          <w:lang w:val="en-US"/>
        </w:rPr>
        <w:t>The Lisbon Treaty: Law, Politics and Treaty Reform</w:t>
      </w:r>
      <w:r w:rsidRPr="008A2128">
        <w:rPr>
          <w:lang w:val="en-US"/>
        </w:rPr>
        <w:t>, Oxford, Oxford</w:t>
      </w:r>
      <w:r>
        <w:rPr>
          <w:lang w:val="en-US"/>
        </w:rPr>
        <w:t xml:space="preserve"> University Press, 2010, 206-207;</w:t>
      </w:r>
      <w:r w:rsidRPr="004E356D">
        <w:rPr>
          <w:sz w:val="24"/>
          <w:szCs w:val="24"/>
          <w:lang w:val="en-US"/>
        </w:rPr>
        <w:t xml:space="preserve"> </w:t>
      </w:r>
      <w:r w:rsidRPr="004E356D">
        <w:rPr>
          <w:lang w:val="en-US"/>
        </w:rPr>
        <w:t xml:space="preserve">Ellis E. and Watson P., </w:t>
      </w:r>
      <w:r w:rsidRPr="004E356D">
        <w:rPr>
          <w:i/>
          <w:lang w:val="en-US"/>
        </w:rPr>
        <w:t>EU Anti-Discrimination Law</w:t>
      </w:r>
      <w:r w:rsidRPr="004E356D">
        <w:rPr>
          <w:lang w:val="en-US"/>
        </w:rPr>
        <w:t>, Oxford, Oxford University Press, 2012,</w:t>
      </w:r>
      <w:r>
        <w:rPr>
          <w:lang w:val="en-US"/>
        </w:rPr>
        <w:t xml:space="preserve"> 120. </w:t>
      </w:r>
    </w:p>
  </w:footnote>
  <w:footnote w:id="39">
    <w:p w:rsidR="00551E68" w:rsidRPr="001E2014" w:rsidRDefault="00551E68" w:rsidP="005869B3">
      <w:pPr>
        <w:pStyle w:val="Voetnoottekst"/>
        <w:jc w:val="both"/>
        <w:rPr>
          <w:lang w:val="en-GB"/>
        </w:rPr>
      </w:pPr>
      <w:r>
        <w:rPr>
          <w:rStyle w:val="Voetnootmarkering"/>
        </w:rPr>
        <w:footnoteRef/>
      </w:r>
      <w:r>
        <w:rPr>
          <w:lang w:val="en-US"/>
        </w:rPr>
        <w:t xml:space="preserve"> Craig P.</w:t>
      </w:r>
      <w:r w:rsidRPr="00315002">
        <w:rPr>
          <w:lang w:val="en-US"/>
        </w:rPr>
        <w:t xml:space="preserve"> and de </w:t>
      </w:r>
      <w:proofErr w:type="spellStart"/>
      <w:r w:rsidRPr="00315002">
        <w:rPr>
          <w:lang w:val="en-US"/>
        </w:rPr>
        <w:t>Burca</w:t>
      </w:r>
      <w:proofErr w:type="spellEnd"/>
      <w:r w:rsidRPr="00315002">
        <w:rPr>
          <w:lang w:val="en-US"/>
        </w:rPr>
        <w:t xml:space="preserve"> G., </w:t>
      </w:r>
      <w:r w:rsidRPr="00315002">
        <w:rPr>
          <w:i/>
          <w:lang w:val="en-US"/>
        </w:rPr>
        <w:t>EU Law</w:t>
      </w:r>
      <w:r w:rsidRPr="00315002">
        <w:rPr>
          <w:lang w:val="en-US"/>
        </w:rPr>
        <w:t xml:space="preserve">, Oxford, Oxford </w:t>
      </w:r>
      <w:r>
        <w:rPr>
          <w:lang w:val="en-US"/>
        </w:rPr>
        <w:t>University Press, 2011, 854;</w:t>
      </w:r>
      <w:r w:rsidRPr="00EC1F91">
        <w:rPr>
          <w:sz w:val="24"/>
          <w:szCs w:val="24"/>
          <w:lang w:val="en-GB"/>
        </w:rPr>
        <w:t xml:space="preserve"> </w:t>
      </w:r>
      <w:proofErr w:type="spellStart"/>
      <w:r>
        <w:rPr>
          <w:lang w:val="en-GB"/>
        </w:rPr>
        <w:t>Meenan</w:t>
      </w:r>
      <w:proofErr w:type="spellEnd"/>
      <w:r>
        <w:rPr>
          <w:lang w:val="en-GB"/>
        </w:rPr>
        <w:t xml:space="preserve"> H., op. cit., 108;</w:t>
      </w:r>
      <w:r>
        <w:rPr>
          <w:lang w:val="en-US"/>
        </w:rPr>
        <w:t xml:space="preserve"> </w:t>
      </w:r>
      <w:r w:rsidRPr="00315002">
        <w:rPr>
          <w:lang w:val="en-US"/>
        </w:rPr>
        <w:t xml:space="preserve">Website of the Agency for Fundamental Rights: </w:t>
      </w:r>
      <w:hyperlink r:id="rId2" w:history="1">
        <w:r w:rsidRPr="00315002">
          <w:rPr>
            <w:rStyle w:val="Hyperlink"/>
            <w:lang w:val="en-US"/>
          </w:rPr>
          <w:t>http://fra.europa.eu/en/about-fra/what-we-do</w:t>
        </w:r>
      </w:hyperlink>
      <w:r>
        <w:rPr>
          <w:lang w:val="en-US"/>
        </w:rPr>
        <w:t xml:space="preserve">.                              </w:t>
      </w:r>
    </w:p>
  </w:footnote>
  <w:footnote w:id="40">
    <w:p w:rsidR="00551E68" w:rsidRPr="00D35EDB" w:rsidRDefault="00551E68" w:rsidP="005869B3">
      <w:pPr>
        <w:pStyle w:val="Voetnoottekst"/>
        <w:jc w:val="both"/>
        <w:rPr>
          <w:i/>
          <w:lang w:val="en-GB"/>
        </w:rPr>
      </w:pPr>
      <w:r>
        <w:rPr>
          <w:rStyle w:val="Voetnootmarkering"/>
        </w:rPr>
        <w:footnoteRef/>
      </w:r>
      <w:r w:rsidRPr="00D35EDB">
        <w:rPr>
          <w:lang w:val="en-US"/>
        </w:rPr>
        <w:t xml:space="preserve"> </w:t>
      </w:r>
      <w:proofErr w:type="spellStart"/>
      <w:r w:rsidRPr="00D35EDB">
        <w:rPr>
          <w:lang w:val="en-GB"/>
        </w:rPr>
        <w:t>Bercusson</w:t>
      </w:r>
      <w:proofErr w:type="spellEnd"/>
      <w:r w:rsidRPr="00D35EDB">
        <w:rPr>
          <w:lang w:val="en-GB"/>
        </w:rPr>
        <w:t xml:space="preserve"> B., “The Lisbon Treaty and Social Europe”, </w:t>
      </w:r>
      <w:r w:rsidRPr="00D35EDB">
        <w:rPr>
          <w:i/>
          <w:lang w:val="en-GB"/>
        </w:rPr>
        <w:t>ERA Forum</w:t>
      </w:r>
      <w:r w:rsidRPr="00D35EDB">
        <w:rPr>
          <w:lang w:val="en-GB"/>
        </w:rPr>
        <w:t xml:space="preserve"> 2</w:t>
      </w:r>
      <w:r>
        <w:rPr>
          <w:lang w:val="en-GB"/>
        </w:rPr>
        <w:t>009, 104;</w:t>
      </w:r>
      <w:r w:rsidRPr="009C2A4F">
        <w:rPr>
          <w:lang w:val="en-GB"/>
        </w:rPr>
        <w:t xml:space="preserve"> </w:t>
      </w:r>
      <w:proofErr w:type="spellStart"/>
      <w:r w:rsidRPr="009C2A4F">
        <w:rPr>
          <w:lang w:val="en-GB"/>
        </w:rPr>
        <w:t>Lucarelli</w:t>
      </w:r>
      <w:proofErr w:type="spellEnd"/>
      <w:r w:rsidRPr="009C2A4F">
        <w:rPr>
          <w:lang w:val="en-GB"/>
        </w:rPr>
        <w:t xml:space="preserve"> S., “Seen From the Outside: The State of the Art on the External Image of the EU”, </w:t>
      </w:r>
      <w:r w:rsidRPr="009C2A4F">
        <w:rPr>
          <w:i/>
          <w:lang w:val="en-GB"/>
        </w:rPr>
        <w:t xml:space="preserve">J. </w:t>
      </w:r>
      <w:proofErr w:type="spellStart"/>
      <w:r w:rsidRPr="009C2A4F">
        <w:rPr>
          <w:i/>
          <w:lang w:val="en-GB"/>
        </w:rPr>
        <w:t>Europ</w:t>
      </w:r>
      <w:proofErr w:type="spellEnd"/>
      <w:r w:rsidRPr="009C2A4F">
        <w:rPr>
          <w:i/>
          <w:lang w:val="en-GB"/>
        </w:rPr>
        <w:t>. Integration</w:t>
      </w:r>
      <w:r w:rsidRPr="009C2A4F">
        <w:rPr>
          <w:lang w:val="en-GB"/>
        </w:rPr>
        <w:t xml:space="preserve"> 2013, 1</w:t>
      </w:r>
      <w:r>
        <w:rPr>
          <w:lang w:val="en-GB"/>
        </w:rPr>
        <w:t xml:space="preserve">0; Website of Amnesty International: </w:t>
      </w:r>
      <w:hyperlink r:id="rId3" w:history="1">
        <w:r w:rsidRPr="00AC0C6C">
          <w:rPr>
            <w:rStyle w:val="Hyperlink"/>
            <w:lang w:val="en-US"/>
          </w:rPr>
          <w:t>http://www.amnesty.eu/en/press-releases/all/amnesty-criticizes-eu-double-standards-on-human-rights-european-parliament-public-hearing-0114/</w:t>
        </w:r>
      </w:hyperlink>
      <w:r>
        <w:rPr>
          <w:lang w:val="en-GB"/>
        </w:rPr>
        <w:t xml:space="preserve">. </w:t>
      </w:r>
    </w:p>
  </w:footnote>
  <w:footnote w:id="41">
    <w:p w:rsidR="00551E68" w:rsidRPr="009A1ED3" w:rsidRDefault="00551E68" w:rsidP="005869B3">
      <w:pPr>
        <w:pStyle w:val="Voetnoottekst"/>
        <w:jc w:val="both"/>
        <w:rPr>
          <w:lang w:val="en-US"/>
        </w:rPr>
      </w:pPr>
      <w:r>
        <w:rPr>
          <w:rStyle w:val="Voetnootmarkering"/>
        </w:rPr>
        <w:footnoteRef/>
      </w:r>
      <w:r>
        <w:rPr>
          <w:lang w:val="de-DE"/>
        </w:rPr>
        <w:t xml:space="preserve"> </w:t>
      </w:r>
      <w:r w:rsidRPr="00050447">
        <w:rPr>
          <w:lang w:val="de-DE"/>
        </w:rPr>
        <w:t xml:space="preserve">ECJ C-11/70, </w:t>
      </w:r>
      <w:r w:rsidRPr="00050447">
        <w:rPr>
          <w:i/>
          <w:lang w:val="de-DE"/>
        </w:rPr>
        <w:t>Internationale Handelsgesellschaft mbH</w:t>
      </w:r>
      <w:r w:rsidRPr="00050447">
        <w:rPr>
          <w:bCs/>
          <w:i/>
          <w:lang w:val="de-DE"/>
        </w:rPr>
        <w:t xml:space="preserve"> v. Einfuhr- und Vorratsstelle für Getreide und Futtermittel</w:t>
      </w:r>
      <w:r>
        <w:rPr>
          <w:lang w:val="de-DE"/>
        </w:rPr>
        <w:t xml:space="preserve">, 1970, </w:t>
      </w:r>
      <w:proofErr w:type="spellStart"/>
      <w:r>
        <w:rPr>
          <w:lang w:val="de-DE"/>
        </w:rPr>
        <w:t>para</w:t>
      </w:r>
      <w:proofErr w:type="spellEnd"/>
      <w:r>
        <w:rPr>
          <w:lang w:val="de-DE"/>
        </w:rPr>
        <w:t xml:space="preserve">. </w:t>
      </w:r>
      <w:r w:rsidRPr="009A1ED3">
        <w:rPr>
          <w:lang w:val="en-US"/>
        </w:rPr>
        <w:t xml:space="preserve">4. </w:t>
      </w:r>
    </w:p>
  </w:footnote>
  <w:footnote w:id="42">
    <w:p w:rsidR="00551E68" w:rsidRPr="00675FE3" w:rsidRDefault="00551E68" w:rsidP="005869B3">
      <w:pPr>
        <w:pStyle w:val="Voetnoottekst"/>
        <w:jc w:val="both"/>
        <w:rPr>
          <w:lang w:val="en-US"/>
        </w:rPr>
      </w:pPr>
      <w:r>
        <w:rPr>
          <w:rStyle w:val="Voetnootmarkering"/>
        </w:rPr>
        <w:footnoteRef/>
      </w:r>
      <w:r w:rsidRPr="00675FE3">
        <w:rPr>
          <w:lang w:val="en-US"/>
        </w:rPr>
        <w:t xml:space="preserve"> </w:t>
      </w:r>
      <w:r>
        <w:rPr>
          <w:lang w:val="en-US"/>
        </w:rPr>
        <w:t xml:space="preserve">Article 5(2) TEU. </w:t>
      </w:r>
    </w:p>
  </w:footnote>
  <w:footnote w:id="43">
    <w:p w:rsidR="00551E68" w:rsidRPr="003F7C7B" w:rsidRDefault="00551E68" w:rsidP="005869B3">
      <w:pPr>
        <w:pStyle w:val="Voetnoottekst"/>
        <w:jc w:val="both"/>
        <w:rPr>
          <w:lang w:val="en-GB"/>
        </w:rPr>
      </w:pPr>
      <w:r>
        <w:rPr>
          <w:rStyle w:val="Voetnootmarkering"/>
        </w:rPr>
        <w:footnoteRef/>
      </w:r>
      <w:r>
        <w:rPr>
          <w:lang w:val="en-US"/>
        </w:rPr>
        <w:t xml:space="preserve"> Article 7 and 48(2) </w:t>
      </w:r>
      <w:r w:rsidRPr="003F7C7B">
        <w:rPr>
          <w:lang w:val="en-GB"/>
        </w:rPr>
        <w:t>Treaty establishing the European Economic Community</w:t>
      </w:r>
      <w:r>
        <w:rPr>
          <w:lang w:val="en-GB"/>
        </w:rPr>
        <w:t xml:space="preserve"> (TEEC)</w:t>
      </w:r>
      <w:r w:rsidRPr="003F7C7B">
        <w:rPr>
          <w:lang w:val="en-GB"/>
        </w:rPr>
        <w:t xml:space="preserve">, Rome 25 March 1957. </w:t>
      </w:r>
    </w:p>
  </w:footnote>
  <w:footnote w:id="44">
    <w:p w:rsidR="00551E68" w:rsidRPr="00830F7E" w:rsidRDefault="00551E68" w:rsidP="005869B3">
      <w:pPr>
        <w:pStyle w:val="Voetnoottekst"/>
        <w:jc w:val="both"/>
        <w:rPr>
          <w:lang w:val="en-US"/>
        </w:rPr>
      </w:pPr>
      <w:r>
        <w:rPr>
          <w:rStyle w:val="Voetnootmarkering"/>
        </w:rPr>
        <w:footnoteRef/>
      </w:r>
      <w:r>
        <w:rPr>
          <w:lang w:val="en-US"/>
        </w:rPr>
        <w:t xml:space="preserve"> Article 119 TEEC. </w:t>
      </w:r>
    </w:p>
  </w:footnote>
  <w:footnote w:id="45">
    <w:p w:rsidR="00551E68" w:rsidRPr="00785C24" w:rsidRDefault="00551E68" w:rsidP="005869B3">
      <w:pPr>
        <w:pStyle w:val="Voetnoottekst"/>
        <w:jc w:val="both"/>
        <w:rPr>
          <w:i/>
          <w:u w:val="single"/>
          <w:lang w:val="en-US"/>
        </w:rPr>
      </w:pPr>
      <w:r>
        <w:rPr>
          <w:rStyle w:val="Voetnootmarkering"/>
        </w:rPr>
        <w:footnoteRef/>
      </w:r>
      <w:r w:rsidRPr="0008094B">
        <w:rPr>
          <w:lang w:val="en-US"/>
        </w:rPr>
        <w:t xml:space="preserve"> </w:t>
      </w:r>
      <w:r w:rsidRPr="0046001E">
        <w:rPr>
          <w:lang w:val="en-US"/>
        </w:rPr>
        <w:t xml:space="preserve">Bell M., </w:t>
      </w:r>
      <w:r w:rsidRPr="0046001E">
        <w:rPr>
          <w:i/>
          <w:lang w:val="en-US"/>
        </w:rPr>
        <w:t>Anti-</w:t>
      </w:r>
      <w:proofErr w:type="spellStart"/>
      <w:r w:rsidRPr="0046001E">
        <w:rPr>
          <w:i/>
          <w:lang w:val="en-US"/>
        </w:rPr>
        <w:t>Discimination</w:t>
      </w:r>
      <w:proofErr w:type="spellEnd"/>
      <w:r w:rsidRPr="0046001E">
        <w:rPr>
          <w:i/>
          <w:lang w:val="en-US"/>
        </w:rPr>
        <w:t xml:space="preserve"> Law and the European Union</w:t>
      </w:r>
      <w:r w:rsidRPr="0046001E">
        <w:rPr>
          <w:lang w:val="en-US"/>
        </w:rPr>
        <w:t xml:space="preserve">, Oxford, Oxford University Press, 2002, </w:t>
      </w:r>
      <w:r>
        <w:rPr>
          <w:lang w:val="en-US"/>
        </w:rPr>
        <w:t xml:space="preserve">43; </w:t>
      </w:r>
      <w:r w:rsidRPr="00785C24">
        <w:rPr>
          <w:lang w:val="en-US"/>
        </w:rPr>
        <w:t xml:space="preserve">Burrows N. and </w:t>
      </w:r>
      <w:proofErr w:type="spellStart"/>
      <w:r w:rsidRPr="00785C24">
        <w:rPr>
          <w:lang w:val="en-US"/>
        </w:rPr>
        <w:t>Mair</w:t>
      </w:r>
      <w:proofErr w:type="spellEnd"/>
      <w:r w:rsidRPr="00785C24">
        <w:rPr>
          <w:lang w:val="en-US"/>
        </w:rPr>
        <w:t xml:space="preserve"> J., </w:t>
      </w:r>
      <w:r w:rsidRPr="00785C24">
        <w:rPr>
          <w:i/>
          <w:lang w:val="en-US"/>
        </w:rPr>
        <w:t>European Social Law</w:t>
      </w:r>
      <w:r w:rsidRPr="00785C24">
        <w:rPr>
          <w:lang w:val="en-US"/>
        </w:rPr>
        <w:t xml:space="preserve">, </w:t>
      </w:r>
      <w:proofErr w:type="spellStart"/>
      <w:r w:rsidRPr="00785C24">
        <w:rPr>
          <w:lang w:val="en-US"/>
        </w:rPr>
        <w:t>Chichester</w:t>
      </w:r>
      <w:proofErr w:type="spellEnd"/>
      <w:r w:rsidRPr="00785C24">
        <w:rPr>
          <w:lang w:val="en-US"/>
        </w:rPr>
        <w:t>, Jo</w:t>
      </w:r>
      <w:r>
        <w:rPr>
          <w:lang w:val="en-US"/>
        </w:rPr>
        <w:t xml:space="preserve">hn Wiley and Sons, 1996, 15; Foster </w:t>
      </w:r>
      <w:r w:rsidRPr="009E75DF">
        <w:rPr>
          <w:lang w:val="en-US"/>
        </w:rPr>
        <w:t xml:space="preserve">N., </w:t>
      </w:r>
      <w:r w:rsidRPr="009E75DF">
        <w:rPr>
          <w:i/>
          <w:lang w:val="en-US"/>
        </w:rPr>
        <w:t>Foster on EU Law</w:t>
      </w:r>
      <w:r w:rsidRPr="009E75DF">
        <w:rPr>
          <w:lang w:val="en-US"/>
        </w:rPr>
        <w:t xml:space="preserve">, Oxford, Oxford University Press, 2011, </w:t>
      </w:r>
      <w:r>
        <w:rPr>
          <w:lang w:val="en-US"/>
        </w:rPr>
        <w:t xml:space="preserve">378; </w:t>
      </w:r>
      <w:proofErr w:type="spellStart"/>
      <w:r w:rsidRPr="00733A37">
        <w:rPr>
          <w:lang w:val="en-US"/>
        </w:rPr>
        <w:t>Honeyball</w:t>
      </w:r>
      <w:proofErr w:type="spellEnd"/>
      <w:r w:rsidRPr="00733A37">
        <w:rPr>
          <w:lang w:val="en-US"/>
        </w:rPr>
        <w:t xml:space="preserve"> S., </w:t>
      </w:r>
      <w:r w:rsidRPr="00733A37">
        <w:rPr>
          <w:i/>
          <w:lang w:val="en-US"/>
        </w:rPr>
        <w:t xml:space="preserve">Textbook on </w:t>
      </w:r>
      <w:proofErr w:type="spellStart"/>
      <w:r w:rsidRPr="00733A37">
        <w:rPr>
          <w:i/>
          <w:lang w:val="en-US"/>
        </w:rPr>
        <w:t>Labour</w:t>
      </w:r>
      <w:proofErr w:type="spellEnd"/>
      <w:r w:rsidRPr="00733A37">
        <w:rPr>
          <w:i/>
          <w:lang w:val="en-US"/>
        </w:rPr>
        <w:t xml:space="preserve"> Law</w:t>
      </w:r>
      <w:r w:rsidRPr="00733A37">
        <w:rPr>
          <w:lang w:val="en-US"/>
        </w:rPr>
        <w:t xml:space="preserve">, Oxford, Oxford University Press, 2006, </w:t>
      </w:r>
      <w:r>
        <w:rPr>
          <w:lang w:val="en-US"/>
        </w:rPr>
        <w:t xml:space="preserve">285. </w:t>
      </w:r>
    </w:p>
  </w:footnote>
  <w:footnote w:id="46">
    <w:p w:rsidR="00551E68" w:rsidRPr="00830F7E" w:rsidRDefault="00551E68" w:rsidP="005869B3">
      <w:pPr>
        <w:pStyle w:val="Voetnoottekst"/>
        <w:jc w:val="both"/>
        <w:rPr>
          <w:lang w:val="en-US"/>
        </w:rPr>
      </w:pPr>
      <w:r>
        <w:rPr>
          <w:rStyle w:val="Voetnootmarkering"/>
        </w:rPr>
        <w:footnoteRef/>
      </w:r>
      <w:r w:rsidRPr="00830F7E">
        <w:rPr>
          <w:lang w:val="en-US"/>
        </w:rPr>
        <w:t xml:space="preserve"> </w:t>
      </w:r>
      <w:r>
        <w:rPr>
          <w:lang w:val="en-US"/>
        </w:rPr>
        <w:t xml:space="preserve">Article 2 TEEC. </w:t>
      </w:r>
    </w:p>
  </w:footnote>
  <w:footnote w:id="47">
    <w:p w:rsidR="00551E68" w:rsidRPr="007307BD" w:rsidRDefault="00551E68" w:rsidP="005869B3">
      <w:pPr>
        <w:pStyle w:val="Voetnoottekst"/>
        <w:jc w:val="both"/>
        <w:rPr>
          <w:b/>
          <w:u w:val="single"/>
          <w:lang w:val="en-US"/>
        </w:rPr>
      </w:pPr>
      <w:r>
        <w:rPr>
          <w:rStyle w:val="Voetnootmarkering"/>
        </w:rPr>
        <w:footnoteRef/>
      </w:r>
      <w:r w:rsidRPr="005D34ED">
        <w:rPr>
          <w:lang w:val="en-US"/>
        </w:rPr>
        <w:t xml:space="preserve"> </w:t>
      </w:r>
      <w:proofErr w:type="spellStart"/>
      <w:r w:rsidRPr="00F4289A">
        <w:rPr>
          <w:lang w:val="en-GB"/>
        </w:rPr>
        <w:t>Charpentier</w:t>
      </w:r>
      <w:proofErr w:type="spellEnd"/>
      <w:r w:rsidRPr="00F4289A">
        <w:rPr>
          <w:lang w:val="en-GB"/>
        </w:rPr>
        <w:t xml:space="preserve"> L., “The European Court of Justice and the Rhetoric of Affirmative Action”, </w:t>
      </w:r>
      <w:r w:rsidRPr="00F4289A">
        <w:rPr>
          <w:i/>
          <w:lang w:val="en-GB"/>
        </w:rPr>
        <w:t>ELJ</w:t>
      </w:r>
      <w:r>
        <w:rPr>
          <w:lang w:val="en-GB"/>
        </w:rPr>
        <w:t xml:space="preserve"> 1998, 169</w:t>
      </w:r>
      <w:r>
        <w:rPr>
          <w:lang w:val="en-US"/>
        </w:rPr>
        <w:t xml:space="preserve">; </w:t>
      </w:r>
      <w:proofErr w:type="spellStart"/>
      <w:r w:rsidRPr="0079024C">
        <w:rPr>
          <w:lang w:val="en-GB"/>
        </w:rPr>
        <w:t>Lenaerts</w:t>
      </w:r>
      <w:proofErr w:type="spellEnd"/>
      <w:r w:rsidRPr="0079024C">
        <w:rPr>
          <w:lang w:val="en-GB"/>
        </w:rPr>
        <w:t xml:space="preserve"> K. and </w:t>
      </w:r>
      <w:proofErr w:type="spellStart"/>
      <w:r w:rsidRPr="0079024C">
        <w:rPr>
          <w:lang w:val="en-GB"/>
        </w:rPr>
        <w:t>Foubert</w:t>
      </w:r>
      <w:proofErr w:type="spellEnd"/>
      <w:r w:rsidRPr="0079024C">
        <w:rPr>
          <w:lang w:val="en-GB"/>
        </w:rPr>
        <w:t xml:space="preserve"> P., “Social Rights in the Case-Law of the European Court of Justice”, </w:t>
      </w:r>
      <w:r w:rsidRPr="0079024C">
        <w:rPr>
          <w:i/>
          <w:lang w:val="en-GB"/>
        </w:rPr>
        <w:t xml:space="preserve">LIEI </w:t>
      </w:r>
      <w:r>
        <w:rPr>
          <w:lang w:val="en-GB"/>
        </w:rPr>
        <w:t xml:space="preserve">2001, 286; </w:t>
      </w:r>
      <w:r w:rsidRPr="007A501E">
        <w:rPr>
          <w:lang w:val="en-GB"/>
        </w:rPr>
        <w:t>Monaghan K., “Eq</w:t>
      </w:r>
      <w:r>
        <w:rPr>
          <w:lang w:val="en-GB"/>
        </w:rPr>
        <w:t>uality and Non-Discri</w:t>
      </w:r>
      <w:r w:rsidRPr="007A501E">
        <w:rPr>
          <w:lang w:val="en-GB"/>
        </w:rPr>
        <w:t xml:space="preserve">mination”, </w:t>
      </w:r>
      <w:r w:rsidRPr="007A501E">
        <w:rPr>
          <w:i/>
          <w:lang w:val="en-GB"/>
        </w:rPr>
        <w:t>JR</w:t>
      </w:r>
      <w:r w:rsidRPr="007A501E">
        <w:rPr>
          <w:lang w:val="en-GB"/>
        </w:rPr>
        <w:t xml:space="preserve"> </w:t>
      </w:r>
      <w:r>
        <w:rPr>
          <w:lang w:val="en-GB"/>
        </w:rPr>
        <w:t xml:space="preserve">2011, 419; </w:t>
      </w:r>
      <w:proofErr w:type="spellStart"/>
      <w:r>
        <w:rPr>
          <w:lang w:val="en-GB"/>
        </w:rPr>
        <w:t>Kapuy</w:t>
      </w:r>
      <w:proofErr w:type="spellEnd"/>
      <w:r>
        <w:rPr>
          <w:lang w:val="en-GB"/>
        </w:rPr>
        <w:t xml:space="preserve"> K., “Equal treatment of men and women” in </w:t>
      </w:r>
      <w:proofErr w:type="spellStart"/>
      <w:r w:rsidRPr="007307BD">
        <w:rPr>
          <w:lang w:val="en-US"/>
        </w:rPr>
        <w:t>Pieters</w:t>
      </w:r>
      <w:proofErr w:type="spellEnd"/>
      <w:r w:rsidRPr="007307BD">
        <w:rPr>
          <w:lang w:val="en-US"/>
        </w:rPr>
        <w:t xml:space="preserve"> D. (ed.), </w:t>
      </w:r>
      <w:r w:rsidRPr="007307BD">
        <w:rPr>
          <w:i/>
          <w:lang w:val="en-US"/>
        </w:rPr>
        <w:t>European and International Social Security Law</w:t>
      </w:r>
      <w:r>
        <w:rPr>
          <w:lang w:val="en-US"/>
        </w:rPr>
        <w:t>, Leuven, University of Leuven, 2012, 161-162.</w:t>
      </w:r>
    </w:p>
  </w:footnote>
  <w:footnote w:id="48">
    <w:p w:rsidR="00551E68" w:rsidRPr="00105172" w:rsidRDefault="00551E68" w:rsidP="005869B3">
      <w:pPr>
        <w:pStyle w:val="Voetnoottekst"/>
        <w:jc w:val="both"/>
        <w:rPr>
          <w:lang w:val="en-US"/>
        </w:rPr>
      </w:pPr>
      <w:r>
        <w:rPr>
          <w:rStyle w:val="Voetnootmarkering"/>
        </w:rPr>
        <w:footnoteRef/>
      </w:r>
      <w:r w:rsidRPr="00105172">
        <w:rPr>
          <w:lang w:val="en-US"/>
        </w:rPr>
        <w:t xml:space="preserve"> Article 119 TEEC. </w:t>
      </w:r>
    </w:p>
  </w:footnote>
  <w:footnote w:id="49">
    <w:p w:rsidR="00551E68" w:rsidRPr="0058318F" w:rsidRDefault="00551E68" w:rsidP="005869B3">
      <w:pPr>
        <w:pStyle w:val="Voetnoottekst"/>
        <w:jc w:val="both"/>
        <w:rPr>
          <w:lang w:val="en-GB"/>
        </w:rPr>
      </w:pPr>
      <w:r>
        <w:rPr>
          <w:rStyle w:val="Voetnootmarkering"/>
        </w:rPr>
        <w:footnoteRef/>
      </w:r>
      <w:r w:rsidRPr="00075CB3">
        <w:rPr>
          <w:lang w:val="en-US"/>
        </w:rPr>
        <w:t xml:space="preserve"> </w:t>
      </w:r>
      <w:r w:rsidRPr="0058318F">
        <w:rPr>
          <w:lang w:val="en-GB"/>
        </w:rPr>
        <w:t>See for example</w:t>
      </w:r>
      <w:r>
        <w:rPr>
          <w:lang w:val="en-GB"/>
        </w:rPr>
        <w:t xml:space="preserve">: </w:t>
      </w:r>
      <w:r w:rsidRPr="00AB7B2A">
        <w:rPr>
          <w:bCs/>
          <w:lang w:val="en-US"/>
        </w:rPr>
        <w:t>Council Directive 1975/117/EEC of 10 February 1975 on the approximation of the laws of the Member States relating to the application of the principle</w:t>
      </w:r>
      <w:r>
        <w:rPr>
          <w:bCs/>
          <w:lang w:val="en-US"/>
        </w:rPr>
        <w:t xml:space="preserve"> of equal pay for men and women (Directive 1975/117/EEC); </w:t>
      </w:r>
      <w:r w:rsidRPr="0058318F">
        <w:rPr>
          <w:lang w:val="en-GB"/>
        </w:rPr>
        <w:t>Council Directive 1976/207/EEC of 9 February 1976 on the implementation of the principle of equal treatment for men and women as regards access to employment, vocational training, promotion and working conditions (Directive 1976/207</w:t>
      </w:r>
      <w:r>
        <w:rPr>
          <w:lang w:val="en-GB"/>
        </w:rPr>
        <w:t xml:space="preserve">/EEC); </w:t>
      </w:r>
      <w:r w:rsidRPr="0058318F">
        <w:rPr>
          <w:lang w:val="en-US"/>
        </w:rPr>
        <w:t>Council Directive 1979/7/EEC of 19 December 1978 on the progressive implementation of the principle of equal treatment for men and women in matters of s</w:t>
      </w:r>
      <w:r>
        <w:rPr>
          <w:lang w:val="en-US"/>
        </w:rPr>
        <w:t xml:space="preserve">ocial security. </w:t>
      </w:r>
    </w:p>
  </w:footnote>
  <w:footnote w:id="50">
    <w:p w:rsidR="00551E68" w:rsidRPr="0079099E" w:rsidRDefault="00551E68" w:rsidP="005869B3">
      <w:pPr>
        <w:pStyle w:val="Voetnoottekst"/>
        <w:jc w:val="both"/>
        <w:rPr>
          <w:lang w:val="en-US"/>
        </w:rPr>
      </w:pPr>
      <w:r>
        <w:rPr>
          <w:rStyle w:val="Voetnootmarkering"/>
        </w:rPr>
        <w:footnoteRef/>
      </w:r>
      <w:r w:rsidRPr="0079099E">
        <w:rPr>
          <w:lang w:val="en-US"/>
        </w:rPr>
        <w:t xml:space="preserve"> ECJ C-149/77, </w:t>
      </w:r>
      <w:proofErr w:type="spellStart"/>
      <w:r w:rsidRPr="0079099E">
        <w:rPr>
          <w:i/>
          <w:lang w:val="en-US"/>
        </w:rPr>
        <w:t>Defrenne</w:t>
      </w:r>
      <w:proofErr w:type="spellEnd"/>
      <w:r w:rsidRPr="0079099E">
        <w:rPr>
          <w:i/>
          <w:lang w:val="en-US"/>
        </w:rPr>
        <w:t xml:space="preserve"> III</w:t>
      </w:r>
      <w:r w:rsidRPr="0079099E">
        <w:rPr>
          <w:lang w:val="en-US"/>
        </w:rPr>
        <w:t xml:space="preserve">, 1978, paras 26-27; ECJ C-75/82 and 117/82, </w:t>
      </w:r>
      <w:r w:rsidRPr="0079099E">
        <w:rPr>
          <w:i/>
          <w:lang w:val="en-US"/>
        </w:rPr>
        <w:t xml:space="preserve">C. </w:t>
      </w:r>
      <w:proofErr w:type="spellStart"/>
      <w:r w:rsidRPr="0079099E">
        <w:rPr>
          <w:i/>
          <w:lang w:val="en-US"/>
        </w:rPr>
        <w:t>Razzouk</w:t>
      </w:r>
      <w:proofErr w:type="spellEnd"/>
      <w:r w:rsidRPr="0079099E">
        <w:rPr>
          <w:i/>
          <w:lang w:val="en-US"/>
        </w:rPr>
        <w:t xml:space="preserve"> and A. </w:t>
      </w:r>
      <w:proofErr w:type="spellStart"/>
      <w:r w:rsidRPr="0079099E">
        <w:rPr>
          <w:i/>
          <w:lang w:val="en-US"/>
        </w:rPr>
        <w:t>Beydoun</w:t>
      </w:r>
      <w:proofErr w:type="spellEnd"/>
      <w:r w:rsidRPr="0079099E">
        <w:rPr>
          <w:i/>
          <w:lang w:val="en-US"/>
        </w:rPr>
        <w:t xml:space="preserve"> v. Commission of the European Communities</w:t>
      </w:r>
      <w:r w:rsidRPr="0079099E">
        <w:rPr>
          <w:lang w:val="en-US"/>
        </w:rPr>
        <w:t xml:space="preserve">, 1984, para. 16; ECJ C-185/97, </w:t>
      </w:r>
      <w:r w:rsidRPr="0079099E">
        <w:rPr>
          <w:i/>
          <w:lang w:val="en-US"/>
        </w:rPr>
        <w:t xml:space="preserve">Belinda Jane </w:t>
      </w:r>
      <w:proofErr w:type="spellStart"/>
      <w:r w:rsidRPr="0079099E">
        <w:rPr>
          <w:i/>
          <w:lang w:val="en-US"/>
        </w:rPr>
        <w:t>Coote</w:t>
      </w:r>
      <w:proofErr w:type="spellEnd"/>
      <w:r w:rsidRPr="0079099E">
        <w:rPr>
          <w:i/>
          <w:lang w:val="en-US"/>
        </w:rPr>
        <w:t xml:space="preserve"> v. Granada Hospitality Ltd</w:t>
      </w:r>
      <w:r w:rsidRPr="0079099E">
        <w:rPr>
          <w:lang w:val="en-US"/>
        </w:rPr>
        <w:t xml:space="preserve">, 1998, para. </w:t>
      </w:r>
      <w:r w:rsidRPr="0079099E">
        <w:rPr>
          <w:lang w:val="en-GB"/>
        </w:rPr>
        <w:t xml:space="preserve">23; </w:t>
      </w:r>
      <w:r w:rsidRPr="0079099E">
        <w:rPr>
          <w:lang w:val="en-US"/>
        </w:rPr>
        <w:t xml:space="preserve">ECJ C-270/97, </w:t>
      </w:r>
      <w:r w:rsidRPr="0079099E">
        <w:rPr>
          <w:i/>
          <w:lang w:val="en-US"/>
        </w:rPr>
        <w:t xml:space="preserve">Deutsche Post AG v. Elisabeth </w:t>
      </w:r>
      <w:proofErr w:type="spellStart"/>
      <w:r w:rsidRPr="0079099E">
        <w:rPr>
          <w:i/>
          <w:lang w:val="en-US"/>
        </w:rPr>
        <w:t>Sievers</w:t>
      </w:r>
      <w:proofErr w:type="spellEnd"/>
      <w:r>
        <w:rPr>
          <w:lang w:val="en-US"/>
        </w:rPr>
        <w:t xml:space="preserve">, 2000, para. 56. </w:t>
      </w:r>
    </w:p>
  </w:footnote>
  <w:footnote w:id="51">
    <w:p w:rsidR="00551E68" w:rsidRPr="000A4A4C" w:rsidRDefault="00551E68" w:rsidP="005869B3">
      <w:pPr>
        <w:pStyle w:val="Voetnoottekst"/>
        <w:jc w:val="both"/>
        <w:rPr>
          <w:lang w:val="en-GB"/>
        </w:rPr>
      </w:pPr>
      <w:r>
        <w:rPr>
          <w:rStyle w:val="Voetnootmarkering"/>
        </w:rPr>
        <w:footnoteRef/>
      </w:r>
      <w:r w:rsidRPr="00416DA9">
        <w:rPr>
          <w:lang w:val="en-US"/>
        </w:rPr>
        <w:t xml:space="preserve"> </w:t>
      </w:r>
      <w:r>
        <w:rPr>
          <w:lang w:val="en-US"/>
        </w:rPr>
        <w:t xml:space="preserve">Articles 2(2) and 2(3) Amsterdam Treaty; Barnard C., “Gender Equality in the EU: A Balance Sheet” in </w:t>
      </w:r>
      <w:proofErr w:type="spellStart"/>
      <w:r w:rsidRPr="00AB7B2A">
        <w:rPr>
          <w:lang w:val="en-US"/>
        </w:rPr>
        <w:t>Als</w:t>
      </w:r>
      <w:proofErr w:type="spellEnd"/>
      <w:r w:rsidRPr="00AB7B2A">
        <w:rPr>
          <w:lang w:val="en-GB"/>
        </w:rPr>
        <w:t>ton P. (ed.),</w:t>
      </w:r>
      <w:r w:rsidRPr="00AB7B2A">
        <w:rPr>
          <w:i/>
          <w:lang w:val="en-GB"/>
        </w:rPr>
        <w:t xml:space="preserve"> The EU and Human Rights</w:t>
      </w:r>
      <w:r w:rsidRPr="00AB7B2A">
        <w:rPr>
          <w:lang w:val="en-GB"/>
        </w:rPr>
        <w:t>, Oxford, Oxford</w:t>
      </w:r>
      <w:r>
        <w:rPr>
          <w:lang w:val="en-GB"/>
        </w:rPr>
        <w:t xml:space="preserve"> University Press, 1999, 220; </w:t>
      </w:r>
      <w:proofErr w:type="spellStart"/>
      <w:r w:rsidRPr="000A4A4C">
        <w:rPr>
          <w:lang w:val="en-GB"/>
        </w:rPr>
        <w:t>Mazey</w:t>
      </w:r>
      <w:proofErr w:type="spellEnd"/>
      <w:r w:rsidRPr="000A4A4C">
        <w:rPr>
          <w:lang w:val="en-GB"/>
        </w:rPr>
        <w:t xml:space="preserve"> S., “The European Union and women’s rights: from the Europeanization of national agendas to the nationalization of a European agenda”, </w:t>
      </w:r>
      <w:r w:rsidRPr="000A4A4C">
        <w:rPr>
          <w:i/>
          <w:lang w:val="en-GB"/>
        </w:rPr>
        <w:t>J. E. P. P.</w:t>
      </w:r>
      <w:r w:rsidRPr="000A4A4C">
        <w:rPr>
          <w:lang w:val="en-GB"/>
        </w:rPr>
        <w:t xml:space="preserve"> 1998,</w:t>
      </w:r>
      <w:r>
        <w:rPr>
          <w:lang w:val="en-GB"/>
        </w:rPr>
        <w:t xml:space="preserve"> 149. </w:t>
      </w:r>
    </w:p>
  </w:footnote>
  <w:footnote w:id="52">
    <w:p w:rsidR="00551E68" w:rsidRPr="00C50596" w:rsidRDefault="00551E68" w:rsidP="005869B3">
      <w:pPr>
        <w:pStyle w:val="Voetnoottekst"/>
        <w:jc w:val="both"/>
        <w:rPr>
          <w:lang w:val="en-GB"/>
        </w:rPr>
      </w:pPr>
      <w:r>
        <w:rPr>
          <w:rStyle w:val="Voetnootmarkering"/>
        </w:rPr>
        <w:footnoteRef/>
      </w:r>
      <w:r>
        <w:rPr>
          <w:lang w:val="en-GB"/>
        </w:rPr>
        <w:t xml:space="preserve"> </w:t>
      </w:r>
      <w:r w:rsidRPr="00C50596">
        <w:rPr>
          <w:lang w:val="en-GB"/>
        </w:rPr>
        <w:t>Directive 2002/73/EC of the European Parliament and of the Council of 23 September 2002 amending Council Directive 76/207/EEC on the implementation of the principle of equal treatment for men and women as regards access to employment, vocational training and promotion, and working conditions</w:t>
      </w:r>
      <w:r>
        <w:rPr>
          <w:lang w:val="en-GB"/>
        </w:rPr>
        <w:t xml:space="preserve"> (Directive 2002/73/EC); </w:t>
      </w:r>
      <w:r w:rsidRPr="00C50596">
        <w:rPr>
          <w:bCs/>
          <w:lang w:val="en-US"/>
        </w:rPr>
        <w:t>Council Directive 2004/113/EC of 13 December 2004 implementing the principle of equal treatment between men and women in the access to and supply of goods and services</w:t>
      </w:r>
      <w:r>
        <w:rPr>
          <w:bCs/>
          <w:lang w:val="en-US"/>
        </w:rPr>
        <w:t xml:space="preserve"> (Directive 2004/113/EC)</w:t>
      </w:r>
      <w:r>
        <w:rPr>
          <w:lang w:val="en-GB"/>
        </w:rPr>
        <w:t xml:space="preserve">; </w:t>
      </w:r>
      <w:r w:rsidRPr="00C50596">
        <w:rPr>
          <w:bCs/>
          <w:lang w:val="en-US"/>
        </w:rPr>
        <w:t>Directive 2006/54/EC of the European Parliament and of the Council of 5 July 2006 on the implementation of the principle of equal opportunities and equal treatment of men and women in matters of emp</w:t>
      </w:r>
      <w:r>
        <w:rPr>
          <w:bCs/>
          <w:lang w:val="en-US"/>
        </w:rPr>
        <w:t xml:space="preserve">loyment and occupation (recast) (Directive 200654/EC). </w:t>
      </w:r>
      <w:r w:rsidRPr="00C50596">
        <w:rPr>
          <w:bCs/>
          <w:lang w:val="en-US"/>
        </w:rPr>
        <w:t xml:space="preserve"> </w:t>
      </w:r>
    </w:p>
  </w:footnote>
  <w:footnote w:id="53">
    <w:p w:rsidR="00551E68" w:rsidRPr="00FB792B" w:rsidRDefault="00551E68" w:rsidP="005869B3">
      <w:pPr>
        <w:pStyle w:val="Voetnoottekst"/>
        <w:jc w:val="both"/>
        <w:rPr>
          <w:bCs/>
          <w:lang w:val="en-GB"/>
        </w:rPr>
      </w:pPr>
      <w:r>
        <w:rPr>
          <w:rStyle w:val="Voetnootmarkering"/>
        </w:rPr>
        <w:footnoteRef/>
      </w:r>
      <w:r>
        <w:rPr>
          <w:lang w:val="en-US"/>
        </w:rPr>
        <w:t xml:space="preserve"> Recitals 1 and 2 Preamble</w:t>
      </w:r>
      <w:r w:rsidRPr="00416DA9">
        <w:rPr>
          <w:lang w:val="en-US"/>
        </w:rPr>
        <w:t xml:space="preserve"> </w:t>
      </w:r>
      <w:r w:rsidRPr="0085193D">
        <w:rPr>
          <w:lang w:val="en-GB"/>
        </w:rPr>
        <w:t>Directive 2002/73/EC</w:t>
      </w:r>
      <w:r>
        <w:rPr>
          <w:lang w:val="en-GB"/>
        </w:rPr>
        <w:t xml:space="preserve">; recitals 1 and 2 Preamble </w:t>
      </w:r>
      <w:r w:rsidRPr="00FB792B">
        <w:rPr>
          <w:bCs/>
          <w:lang w:val="en-US"/>
        </w:rPr>
        <w:t>Directive 2004/113/EC</w:t>
      </w:r>
      <w:r>
        <w:rPr>
          <w:bCs/>
          <w:lang w:val="en-US"/>
        </w:rPr>
        <w:t xml:space="preserve">. See also recitals 2 and 3 Preamble </w:t>
      </w:r>
      <w:r w:rsidRPr="00FB792B">
        <w:rPr>
          <w:bCs/>
          <w:lang w:val="en-GB"/>
        </w:rPr>
        <w:t>Directive 2000/43/EC of 29 June 2000 implementing the principle of equal treatment between persons irrespective of racial or ethnic origin</w:t>
      </w:r>
      <w:r>
        <w:rPr>
          <w:bCs/>
          <w:lang w:val="en-GB"/>
        </w:rPr>
        <w:t xml:space="preserve"> (Directive 2000/43/EC) and recitals 1 and 4 Preamble </w:t>
      </w:r>
      <w:r w:rsidRPr="00FB792B">
        <w:rPr>
          <w:bCs/>
          <w:lang w:val="en-GB"/>
        </w:rPr>
        <w:t>Council Directive 2000/78/EC of 27 November 2000 establishing a general framework for equal treatme</w:t>
      </w:r>
      <w:r>
        <w:rPr>
          <w:bCs/>
          <w:lang w:val="en-GB"/>
        </w:rPr>
        <w:t xml:space="preserve">nt in employment and occupation (Directive 2000/78/EC). </w:t>
      </w:r>
    </w:p>
  </w:footnote>
  <w:footnote w:id="54">
    <w:p w:rsidR="00551E68" w:rsidRPr="00416DA9" w:rsidRDefault="00551E68" w:rsidP="005869B3">
      <w:pPr>
        <w:pStyle w:val="Voetnoottekst"/>
        <w:jc w:val="both"/>
        <w:rPr>
          <w:lang w:val="en-GB"/>
        </w:rPr>
      </w:pPr>
      <w:r>
        <w:rPr>
          <w:rStyle w:val="Voetnootmarkering"/>
        </w:rPr>
        <w:footnoteRef/>
      </w:r>
      <w:r w:rsidRPr="00416DA9">
        <w:rPr>
          <w:lang w:val="en-US"/>
        </w:rPr>
        <w:t xml:space="preserve"> See</w:t>
      </w:r>
      <w:r>
        <w:rPr>
          <w:lang w:val="en-US"/>
        </w:rPr>
        <w:t xml:space="preserve"> </w:t>
      </w:r>
      <w:r w:rsidRPr="00416DA9">
        <w:rPr>
          <w:lang w:val="en-GB"/>
        </w:rPr>
        <w:t>Directive 2000/</w:t>
      </w:r>
      <w:r>
        <w:rPr>
          <w:lang w:val="en-GB"/>
        </w:rPr>
        <w:t xml:space="preserve">43/EC and Directive 2000/78/EC. </w:t>
      </w:r>
    </w:p>
  </w:footnote>
  <w:footnote w:id="55">
    <w:p w:rsidR="00551E68" w:rsidRPr="004173BE" w:rsidRDefault="00551E68" w:rsidP="005869B3">
      <w:pPr>
        <w:pStyle w:val="Voetnoottekst"/>
        <w:jc w:val="both"/>
        <w:rPr>
          <w:u w:val="single"/>
          <w:lang w:val="en-US"/>
        </w:rPr>
      </w:pPr>
      <w:r>
        <w:rPr>
          <w:rStyle w:val="Voetnootmarkering"/>
        </w:rPr>
        <w:footnoteRef/>
      </w:r>
      <w:r w:rsidRPr="004173BE">
        <w:rPr>
          <w:lang w:val="en-US"/>
        </w:rPr>
        <w:t xml:space="preserve"> Text of the explanations relating to the complete text of the Charter of Fundamental Rights of the European Union, </w:t>
      </w:r>
      <w:proofErr w:type="spellStart"/>
      <w:r w:rsidRPr="004173BE">
        <w:rPr>
          <w:lang w:val="en-US"/>
        </w:rPr>
        <w:t>Charte</w:t>
      </w:r>
      <w:proofErr w:type="spellEnd"/>
      <w:r w:rsidRPr="004173BE">
        <w:rPr>
          <w:lang w:val="en-US"/>
        </w:rPr>
        <w:t xml:space="preserve"> 4473/</w:t>
      </w:r>
      <w:r>
        <w:rPr>
          <w:lang w:val="en-US"/>
        </w:rPr>
        <w:t xml:space="preserve">00 Convent 49, 11 October 2000, 24. </w:t>
      </w:r>
    </w:p>
  </w:footnote>
  <w:footnote w:id="56">
    <w:p w:rsidR="00551E68" w:rsidRPr="002C2FDC" w:rsidRDefault="00551E68" w:rsidP="005869B3">
      <w:pPr>
        <w:pStyle w:val="Voetnoottekst"/>
        <w:jc w:val="both"/>
        <w:rPr>
          <w:lang w:val="en-US"/>
        </w:rPr>
      </w:pPr>
      <w:r>
        <w:rPr>
          <w:rStyle w:val="Voetnootmarkering"/>
        </w:rPr>
        <w:footnoteRef/>
      </w:r>
      <w:r w:rsidRPr="00CE227F">
        <w:rPr>
          <w:lang w:val="en-US"/>
        </w:rPr>
        <w:t xml:space="preserve"> </w:t>
      </w:r>
      <w:r>
        <w:rPr>
          <w:lang w:val="en-US"/>
        </w:rPr>
        <w:t>Craig P., op. cit.</w:t>
      </w:r>
      <w:r w:rsidRPr="002C2FDC">
        <w:rPr>
          <w:lang w:val="en-US"/>
        </w:rPr>
        <w:t xml:space="preserve">, </w:t>
      </w:r>
      <w:r>
        <w:rPr>
          <w:lang w:val="en-US"/>
        </w:rPr>
        <w:t xml:space="preserve">207. </w:t>
      </w:r>
    </w:p>
  </w:footnote>
  <w:footnote w:id="57">
    <w:p w:rsidR="00551E68" w:rsidRPr="003C58A3" w:rsidRDefault="00551E68" w:rsidP="005869B3">
      <w:pPr>
        <w:pStyle w:val="Voetnoottekst"/>
        <w:jc w:val="both"/>
        <w:rPr>
          <w:b/>
          <w:lang w:val="en-GB"/>
        </w:rPr>
      </w:pPr>
      <w:r>
        <w:rPr>
          <w:rStyle w:val="Voetnootmarkering"/>
        </w:rPr>
        <w:footnoteRef/>
      </w:r>
      <w:r>
        <w:rPr>
          <w:lang w:val="en-US"/>
        </w:rPr>
        <w:t xml:space="preserve"> </w:t>
      </w:r>
      <w:r w:rsidRPr="00F64E90">
        <w:rPr>
          <w:lang w:val="en-US"/>
        </w:rPr>
        <w:t xml:space="preserve">Bell M., </w:t>
      </w:r>
      <w:r w:rsidRPr="00F64E90">
        <w:rPr>
          <w:i/>
          <w:lang w:val="en-US"/>
        </w:rPr>
        <w:t>Anti-Discrimination Law and the European Union</w:t>
      </w:r>
      <w:r w:rsidRPr="00F64E90">
        <w:rPr>
          <w:lang w:val="en-US"/>
        </w:rPr>
        <w:t>, Oxford, Oxford</w:t>
      </w:r>
      <w:r>
        <w:rPr>
          <w:lang w:val="en-US"/>
        </w:rPr>
        <w:t xml:space="preserve"> University Press, 2002, 154-152; </w:t>
      </w:r>
      <w:proofErr w:type="spellStart"/>
      <w:r w:rsidRPr="006870FC">
        <w:rPr>
          <w:lang w:val="en-GB"/>
        </w:rPr>
        <w:t>Prechal</w:t>
      </w:r>
      <w:proofErr w:type="spellEnd"/>
      <w:r w:rsidRPr="006870FC">
        <w:rPr>
          <w:lang w:val="en-GB"/>
        </w:rPr>
        <w:t xml:space="preserve"> S., “Equality of Treatment, Non-Discrimination and Social Policy: Achievements in three themes”, </w:t>
      </w:r>
      <w:r w:rsidRPr="006870FC">
        <w:rPr>
          <w:i/>
          <w:lang w:val="en-GB"/>
        </w:rPr>
        <w:t xml:space="preserve">CMLR </w:t>
      </w:r>
      <w:r>
        <w:rPr>
          <w:lang w:val="en-GB"/>
        </w:rPr>
        <w:t xml:space="preserve">2004, 537; </w:t>
      </w:r>
      <w:r w:rsidRPr="003C58A3">
        <w:rPr>
          <w:lang w:val="en-GB"/>
        </w:rPr>
        <w:t xml:space="preserve">Smith R., </w:t>
      </w:r>
      <w:r w:rsidRPr="003C58A3">
        <w:rPr>
          <w:i/>
          <w:lang w:val="en-GB"/>
        </w:rPr>
        <w:t xml:space="preserve">Textbook on International Human Rights, </w:t>
      </w:r>
      <w:r w:rsidRPr="003C58A3">
        <w:rPr>
          <w:lang w:val="en-GB"/>
        </w:rPr>
        <w:t>Oxford, Oxford</w:t>
      </w:r>
      <w:r>
        <w:rPr>
          <w:lang w:val="en-GB"/>
        </w:rPr>
        <w:t xml:space="preserve"> University Press, 2012, 195. </w:t>
      </w:r>
    </w:p>
  </w:footnote>
  <w:footnote w:id="58">
    <w:p w:rsidR="00551E68" w:rsidRPr="00C44789" w:rsidRDefault="00551E68" w:rsidP="005869B3">
      <w:pPr>
        <w:pStyle w:val="Voetnoottekst"/>
        <w:jc w:val="both"/>
        <w:rPr>
          <w:b/>
          <w:i/>
        </w:rPr>
      </w:pPr>
      <w:r>
        <w:rPr>
          <w:rStyle w:val="Voetnootmarkering"/>
        </w:rPr>
        <w:footnoteRef/>
      </w:r>
      <w:r w:rsidRPr="00C44789">
        <w:t xml:space="preserve"> Lemmens P., “Synthese” in Alen A. en Lemmens P. (</w:t>
      </w:r>
      <w:proofErr w:type="spellStart"/>
      <w:r w:rsidRPr="00C44789">
        <w:t>eds</w:t>
      </w:r>
      <w:proofErr w:type="spellEnd"/>
      <w:r w:rsidRPr="00C44789">
        <w:t xml:space="preserve">.), </w:t>
      </w:r>
      <w:r w:rsidRPr="00C44789">
        <w:rPr>
          <w:i/>
        </w:rPr>
        <w:t>Gelijkheid en Non-Discriminatie</w:t>
      </w:r>
      <w:r w:rsidRPr="00C44789">
        <w:t xml:space="preserve">, Antwerpen, Kluwer Rechtswetenschappen, 1991, 89; </w:t>
      </w:r>
      <w:proofErr w:type="spellStart"/>
      <w:r w:rsidRPr="00C44789">
        <w:t>Moeckli</w:t>
      </w:r>
      <w:proofErr w:type="spellEnd"/>
      <w:r w:rsidRPr="00C44789">
        <w:t xml:space="preserve"> D., “</w:t>
      </w:r>
      <w:proofErr w:type="spellStart"/>
      <w:r w:rsidRPr="00C44789">
        <w:t>Equality</w:t>
      </w:r>
      <w:proofErr w:type="spellEnd"/>
      <w:r w:rsidRPr="00C44789">
        <w:t xml:space="preserve"> </w:t>
      </w:r>
      <w:proofErr w:type="spellStart"/>
      <w:r w:rsidRPr="00C44789">
        <w:t>and</w:t>
      </w:r>
      <w:proofErr w:type="spellEnd"/>
      <w:r w:rsidRPr="00C44789">
        <w:t xml:space="preserve"> Non-</w:t>
      </w:r>
      <w:proofErr w:type="spellStart"/>
      <w:r w:rsidRPr="00C44789">
        <w:t>Discrimination</w:t>
      </w:r>
      <w:proofErr w:type="spellEnd"/>
      <w:r w:rsidRPr="00C44789">
        <w:t xml:space="preserve">” in </w:t>
      </w:r>
      <w:proofErr w:type="spellStart"/>
      <w:r w:rsidRPr="00C44789">
        <w:t>Moeckli</w:t>
      </w:r>
      <w:proofErr w:type="spellEnd"/>
      <w:r w:rsidRPr="00C44789">
        <w:t xml:space="preserve"> D., </w:t>
      </w:r>
      <w:proofErr w:type="spellStart"/>
      <w:r w:rsidRPr="00C44789">
        <w:t>Shah</w:t>
      </w:r>
      <w:proofErr w:type="spellEnd"/>
      <w:r w:rsidRPr="00C44789">
        <w:t xml:space="preserve"> S. </w:t>
      </w:r>
      <w:proofErr w:type="spellStart"/>
      <w:r w:rsidRPr="00C44789">
        <w:t>and</w:t>
      </w:r>
      <w:proofErr w:type="spellEnd"/>
      <w:r w:rsidRPr="00C44789">
        <w:t xml:space="preserve"> </w:t>
      </w:r>
      <w:proofErr w:type="spellStart"/>
      <w:r w:rsidRPr="00C44789">
        <w:t>Sivakumaran</w:t>
      </w:r>
      <w:proofErr w:type="spellEnd"/>
      <w:r w:rsidRPr="00C44789">
        <w:t xml:space="preserve"> S. (</w:t>
      </w:r>
      <w:proofErr w:type="spellStart"/>
      <w:r w:rsidRPr="00C44789">
        <w:t>eds</w:t>
      </w:r>
      <w:proofErr w:type="spellEnd"/>
      <w:r w:rsidRPr="00C44789">
        <w:t xml:space="preserve">.), op. </w:t>
      </w:r>
      <w:proofErr w:type="spellStart"/>
      <w:r w:rsidRPr="00C44789">
        <w:t>cit</w:t>
      </w:r>
      <w:proofErr w:type="spellEnd"/>
      <w:r w:rsidRPr="00C44789">
        <w:t xml:space="preserve">., 190-191; </w:t>
      </w:r>
      <w:proofErr w:type="spellStart"/>
      <w:r w:rsidRPr="00C44789">
        <w:t>O’Hare</w:t>
      </w:r>
      <w:proofErr w:type="spellEnd"/>
      <w:r w:rsidRPr="00C44789">
        <w:t xml:space="preserve"> U., op. </w:t>
      </w:r>
      <w:proofErr w:type="spellStart"/>
      <w:r w:rsidRPr="00C44789">
        <w:t>cit</w:t>
      </w:r>
      <w:proofErr w:type="spellEnd"/>
      <w:r w:rsidRPr="00C44789">
        <w:t xml:space="preserve">., 10; Smis S., Janssens C., </w:t>
      </w:r>
      <w:proofErr w:type="spellStart"/>
      <w:r w:rsidRPr="00C44789">
        <w:t>Mirgaux</w:t>
      </w:r>
      <w:proofErr w:type="spellEnd"/>
      <w:r w:rsidRPr="00C44789">
        <w:t xml:space="preserve"> S. en Van </w:t>
      </w:r>
      <w:proofErr w:type="spellStart"/>
      <w:r w:rsidRPr="00C44789">
        <w:t>Laethem</w:t>
      </w:r>
      <w:proofErr w:type="spellEnd"/>
      <w:r w:rsidRPr="00C44789">
        <w:t xml:space="preserve"> K., op. </w:t>
      </w:r>
      <w:proofErr w:type="spellStart"/>
      <w:r w:rsidRPr="00C44789">
        <w:t>cit</w:t>
      </w:r>
      <w:proofErr w:type="spellEnd"/>
      <w:r w:rsidRPr="00C44789">
        <w:t>., 528.</w:t>
      </w:r>
    </w:p>
  </w:footnote>
  <w:footnote w:id="59">
    <w:p w:rsidR="00551E68" w:rsidRPr="00DF0CC4" w:rsidRDefault="00551E68" w:rsidP="005869B3">
      <w:pPr>
        <w:pStyle w:val="Voetnoottekst"/>
        <w:jc w:val="both"/>
        <w:rPr>
          <w:i/>
          <w:lang w:val="en-GB"/>
        </w:rPr>
      </w:pPr>
      <w:r>
        <w:rPr>
          <w:rStyle w:val="Voetnootmarkering"/>
        </w:rPr>
        <w:footnoteRef/>
      </w:r>
      <w:r>
        <w:rPr>
          <w:lang w:val="en-GB"/>
        </w:rPr>
        <w:t xml:space="preserve"> </w:t>
      </w:r>
      <w:r w:rsidRPr="00DF0CC4">
        <w:rPr>
          <w:lang w:val="en-GB"/>
        </w:rPr>
        <w:t xml:space="preserve">Barnard C. and </w:t>
      </w:r>
      <w:proofErr w:type="spellStart"/>
      <w:r w:rsidRPr="00DF0CC4">
        <w:rPr>
          <w:lang w:val="en-GB"/>
        </w:rPr>
        <w:t>Hepple</w:t>
      </w:r>
      <w:proofErr w:type="spellEnd"/>
      <w:r w:rsidRPr="00DF0CC4">
        <w:rPr>
          <w:lang w:val="en-GB"/>
        </w:rPr>
        <w:t xml:space="preserve"> B., “Substantive Equality”, </w:t>
      </w:r>
      <w:r w:rsidRPr="00DF0CC4">
        <w:rPr>
          <w:i/>
          <w:lang w:val="en-GB"/>
        </w:rPr>
        <w:t>Cambridge L. J.</w:t>
      </w:r>
      <w:r>
        <w:rPr>
          <w:lang w:val="en-GB"/>
        </w:rPr>
        <w:t xml:space="preserve"> 2000, 562;</w:t>
      </w:r>
      <w:r>
        <w:rPr>
          <w:i/>
          <w:lang w:val="en-GB"/>
        </w:rPr>
        <w:t xml:space="preserve"> </w:t>
      </w:r>
      <w:r w:rsidRPr="00E72D67">
        <w:rPr>
          <w:lang w:val="en-US"/>
        </w:rPr>
        <w:t xml:space="preserve">Chalmers D., Davies G. and </w:t>
      </w:r>
      <w:proofErr w:type="spellStart"/>
      <w:r w:rsidRPr="00E72D67">
        <w:rPr>
          <w:lang w:val="en-US"/>
        </w:rPr>
        <w:t>Monti</w:t>
      </w:r>
      <w:proofErr w:type="spellEnd"/>
      <w:r w:rsidRPr="00E72D67">
        <w:rPr>
          <w:lang w:val="en-US"/>
        </w:rPr>
        <w:t xml:space="preserve"> G., </w:t>
      </w:r>
      <w:r w:rsidRPr="00E72D67">
        <w:rPr>
          <w:i/>
          <w:lang w:val="en-US"/>
        </w:rPr>
        <w:t>European Union Law</w:t>
      </w:r>
      <w:r w:rsidRPr="00E72D67">
        <w:rPr>
          <w:lang w:val="en-US"/>
        </w:rPr>
        <w:t xml:space="preserve">, Cambridge, Cambridge University Press, 2010, 542; </w:t>
      </w:r>
      <w:r w:rsidRPr="00325FED">
        <w:rPr>
          <w:lang w:val="en-US"/>
        </w:rPr>
        <w:t xml:space="preserve">Connolly M., </w:t>
      </w:r>
      <w:r w:rsidRPr="00325FED">
        <w:rPr>
          <w:i/>
          <w:lang w:val="en-US"/>
        </w:rPr>
        <w:t>Discrimination Law</w:t>
      </w:r>
      <w:r w:rsidRPr="00325FED">
        <w:rPr>
          <w:lang w:val="en-US"/>
        </w:rPr>
        <w:t>, London, Sweet &amp; Maxwell, 2011,</w:t>
      </w:r>
      <w:r>
        <w:rPr>
          <w:lang w:val="en-US"/>
        </w:rPr>
        <w:t xml:space="preserve"> 5; </w:t>
      </w:r>
      <w:proofErr w:type="spellStart"/>
      <w:r w:rsidRPr="008466AD">
        <w:rPr>
          <w:lang w:val="en-US"/>
        </w:rPr>
        <w:t>Gijzen</w:t>
      </w:r>
      <w:proofErr w:type="spellEnd"/>
      <w:r w:rsidRPr="008466AD">
        <w:rPr>
          <w:lang w:val="en-US"/>
        </w:rPr>
        <w:t xml:space="preserve"> M., </w:t>
      </w:r>
      <w:r w:rsidRPr="008466AD">
        <w:rPr>
          <w:i/>
          <w:lang w:val="en-US"/>
        </w:rPr>
        <w:t>Selected Issues in Equal Treatment Law: a Multi-Layered Comparison of European, English and Dutch Law</w:t>
      </w:r>
      <w:r w:rsidRPr="008466AD">
        <w:rPr>
          <w:lang w:val="en-US"/>
        </w:rPr>
        <w:t>, Antwerp-Ox</w:t>
      </w:r>
      <w:r>
        <w:rPr>
          <w:lang w:val="en-US"/>
        </w:rPr>
        <w:t xml:space="preserve">ford, </w:t>
      </w:r>
      <w:proofErr w:type="spellStart"/>
      <w:r>
        <w:rPr>
          <w:lang w:val="en-US"/>
        </w:rPr>
        <w:t>Intersentia</w:t>
      </w:r>
      <w:proofErr w:type="spellEnd"/>
      <w:r>
        <w:rPr>
          <w:lang w:val="en-US"/>
        </w:rPr>
        <w:t xml:space="preserve">, 2006, </w:t>
      </w:r>
      <w:r w:rsidRPr="008466AD">
        <w:rPr>
          <w:lang w:val="en-US"/>
        </w:rPr>
        <w:t>61;</w:t>
      </w:r>
      <w:r w:rsidRPr="00E42B10">
        <w:rPr>
          <w:lang w:val="en-US"/>
        </w:rPr>
        <w:t xml:space="preserve"> Shaw J., Hunt J. and Wallace C., </w:t>
      </w:r>
      <w:r w:rsidRPr="00E42B10">
        <w:rPr>
          <w:i/>
          <w:lang w:val="en-US"/>
        </w:rPr>
        <w:t>Economic and Social Law of the European Union</w:t>
      </w:r>
      <w:r w:rsidRPr="00E42B10">
        <w:rPr>
          <w:lang w:val="en-US"/>
        </w:rPr>
        <w:t>, New York, P</w:t>
      </w:r>
      <w:r>
        <w:rPr>
          <w:lang w:val="en-US"/>
        </w:rPr>
        <w:t xml:space="preserve">algrave </w:t>
      </w:r>
      <w:proofErr w:type="spellStart"/>
      <w:r>
        <w:rPr>
          <w:lang w:val="en-US"/>
        </w:rPr>
        <w:t>Mcmillan</w:t>
      </w:r>
      <w:proofErr w:type="spellEnd"/>
      <w:r>
        <w:rPr>
          <w:lang w:val="en-US"/>
        </w:rPr>
        <w:t>, 2007, 367.</w:t>
      </w:r>
    </w:p>
  </w:footnote>
  <w:footnote w:id="60">
    <w:p w:rsidR="00551E68" w:rsidRPr="000725FB" w:rsidRDefault="00551E68" w:rsidP="005869B3">
      <w:pPr>
        <w:pStyle w:val="Voetnoottekst"/>
        <w:jc w:val="both"/>
        <w:rPr>
          <w:b/>
          <w:u w:val="single"/>
        </w:rPr>
      </w:pPr>
      <w:r>
        <w:rPr>
          <w:rStyle w:val="Voetnootmarkering"/>
        </w:rPr>
        <w:footnoteRef/>
      </w:r>
      <w:r w:rsidRPr="00EE6BC2">
        <w:t xml:space="preserve"> </w:t>
      </w:r>
      <w:proofErr w:type="spellStart"/>
      <w:r w:rsidRPr="00EE6BC2">
        <w:t>Fredman</w:t>
      </w:r>
      <w:proofErr w:type="spellEnd"/>
      <w:r w:rsidRPr="00EE6BC2">
        <w:t xml:space="preserve"> S., </w:t>
      </w:r>
      <w:proofErr w:type="spellStart"/>
      <w:r w:rsidRPr="00EE6BC2">
        <w:rPr>
          <w:i/>
        </w:rPr>
        <w:t>Women</w:t>
      </w:r>
      <w:proofErr w:type="spellEnd"/>
      <w:r w:rsidRPr="00EE6BC2">
        <w:rPr>
          <w:i/>
        </w:rPr>
        <w:t xml:space="preserve"> </w:t>
      </w:r>
      <w:proofErr w:type="spellStart"/>
      <w:r w:rsidRPr="00EE6BC2">
        <w:rPr>
          <w:i/>
        </w:rPr>
        <w:t>and</w:t>
      </w:r>
      <w:proofErr w:type="spellEnd"/>
      <w:r w:rsidRPr="00EE6BC2">
        <w:rPr>
          <w:i/>
        </w:rPr>
        <w:t xml:space="preserve"> the </w:t>
      </w:r>
      <w:proofErr w:type="spellStart"/>
      <w:r w:rsidRPr="00EE6BC2">
        <w:rPr>
          <w:i/>
        </w:rPr>
        <w:t>Law</w:t>
      </w:r>
      <w:proofErr w:type="spellEnd"/>
      <w:r w:rsidRPr="00EE6BC2">
        <w:t xml:space="preserve">, Oxford, </w:t>
      </w:r>
      <w:proofErr w:type="spellStart"/>
      <w:r w:rsidRPr="00EE6BC2">
        <w:t>Clarendon</w:t>
      </w:r>
      <w:proofErr w:type="spellEnd"/>
      <w:r w:rsidRPr="00EE6BC2">
        <w:t xml:space="preserve"> Press, 1997, 15;</w:t>
      </w:r>
      <w:r w:rsidRPr="000725FB">
        <w:t xml:space="preserve"> Gerards J</w:t>
      </w:r>
      <w:r>
        <w:t>.</w:t>
      </w:r>
      <w:r w:rsidRPr="000725FB">
        <w:t xml:space="preserve">, </w:t>
      </w:r>
      <w:r w:rsidRPr="000725FB">
        <w:rPr>
          <w:i/>
        </w:rPr>
        <w:t>Rechterlijke toetsing aan het gelijkheidsbeginsel</w:t>
      </w:r>
      <w:r w:rsidRPr="000725FB">
        <w:t xml:space="preserve">, Den Haag, </w:t>
      </w:r>
      <w:proofErr w:type="spellStart"/>
      <w:r>
        <w:t>Sdu</w:t>
      </w:r>
      <w:proofErr w:type="spellEnd"/>
      <w:r>
        <w:t xml:space="preserve"> Uitgevers BV, 2002, 9. </w:t>
      </w:r>
    </w:p>
  </w:footnote>
  <w:footnote w:id="61">
    <w:p w:rsidR="00551E68" w:rsidRPr="00DE5EC1" w:rsidRDefault="00551E68" w:rsidP="005869B3">
      <w:pPr>
        <w:pStyle w:val="Voetnoottekst"/>
        <w:jc w:val="both"/>
        <w:rPr>
          <w:i/>
          <w:lang w:val="en-GB"/>
        </w:rPr>
      </w:pPr>
      <w:r>
        <w:rPr>
          <w:rStyle w:val="Voetnootmarkering"/>
        </w:rPr>
        <w:footnoteRef/>
      </w:r>
      <w:r w:rsidRPr="002C43F0">
        <w:rPr>
          <w:lang w:val="en-US"/>
        </w:rPr>
        <w:t xml:space="preserve"> </w:t>
      </w:r>
      <w:proofErr w:type="spellStart"/>
      <w:r w:rsidRPr="00EE6BC2">
        <w:rPr>
          <w:lang w:val="en-US"/>
        </w:rPr>
        <w:t>Gerards</w:t>
      </w:r>
      <w:proofErr w:type="spellEnd"/>
      <w:r w:rsidRPr="00EE6BC2">
        <w:rPr>
          <w:lang w:val="en-US"/>
        </w:rPr>
        <w:t xml:space="preserve"> J., op. cit., 9; </w:t>
      </w:r>
      <w:proofErr w:type="spellStart"/>
      <w:r w:rsidRPr="00DE5EC1">
        <w:rPr>
          <w:lang w:val="en-GB"/>
        </w:rPr>
        <w:t>Westen</w:t>
      </w:r>
      <w:proofErr w:type="spellEnd"/>
      <w:r w:rsidRPr="00DE5EC1">
        <w:rPr>
          <w:lang w:val="en-GB"/>
        </w:rPr>
        <w:t xml:space="preserve"> P., “The Empty Idea of Equality”, </w:t>
      </w:r>
      <w:proofErr w:type="spellStart"/>
      <w:r w:rsidRPr="00DE5EC1">
        <w:rPr>
          <w:i/>
          <w:lang w:val="en-GB"/>
        </w:rPr>
        <w:t>Harv</w:t>
      </w:r>
      <w:proofErr w:type="spellEnd"/>
      <w:r w:rsidRPr="00DE5EC1">
        <w:rPr>
          <w:i/>
          <w:lang w:val="en-GB"/>
        </w:rPr>
        <w:t>. L. Rev.</w:t>
      </w:r>
      <w:r w:rsidRPr="00DE5EC1">
        <w:rPr>
          <w:lang w:val="en-GB"/>
        </w:rPr>
        <w:t xml:space="preserve"> 1982,</w:t>
      </w:r>
      <w:r>
        <w:rPr>
          <w:lang w:val="en-GB"/>
        </w:rPr>
        <w:t xml:space="preserve"> 596. </w:t>
      </w:r>
    </w:p>
  </w:footnote>
  <w:footnote w:id="62">
    <w:p w:rsidR="00551E68" w:rsidRPr="003A55E2" w:rsidRDefault="00551E68" w:rsidP="005869B3">
      <w:pPr>
        <w:pStyle w:val="Voetnoottekst"/>
        <w:jc w:val="both"/>
        <w:rPr>
          <w:lang w:val="en-GB"/>
        </w:rPr>
      </w:pPr>
      <w:r>
        <w:rPr>
          <w:rStyle w:val="Voetnootmarkering"/>
        </w:rPr>
        <w:footnoteRef/>
      </w:r>
      <w:r>
        <w:rPr>
          <w:lang w:val="en-US"/>
        </w:rPr>
        <w:t xml:space="preserve"> </w:t>
      </w:r>
      <w:r w:rsidRPr="001A72DC">
        <w:rPr>
          <w:lang w:val="en-US"/>
        </w:rPr>
        <w:t xml:space="preserve">Fenwick H., “From Formal to Substantive Equality: The Place of Affirmative Action in European Union Sex Equality Law”, </w:t>
      </w:r>
      <w:r w:rsidRPr="001A72DC">
        <w:rPr>
          <w:i/>
          <w:lang w:val="en-US"/>
        </w:rPr>
        <w:t>EPL</w:t>
      </w:r>
      <w:r w:rsidRPr="001A72DC">
        <w:rPr>
          <w:lang w:val="en-US"/>
        </w:rPr>
        <w:t xml:space="preserve"> 1998</w:t>
      </w:r>
      <w:r>
        <w:rPr>
          <w:lang w:val="en-US"/>
        </w:rPr>
        <w:t xml:space="preserve">, 507; </w:t>
      </w:r>
      <w:proofErr w:type="spellStart"/>
      <w:r w:rsidRPr="00F95DDD">
        <w:rPr>
          <w:lang w:val="en-GB"/>
        </w:rPr>
        <w:t>Foubert</w:t>
      </w:r>
      <w:proofErr w:type="spellEnd"/>
      <w:r w:rsidRPr="00F95DDD">
        <w:rPr>
          <w:lang w:val="en-GB"/>
        </w:rPr>
        <w:t xml:space="preserve"> P., </w:t>
      </w:r>
      <w:r w:rsidRPr="00F95DDD">
        <w:rPr>
          <w:i/>
          <w:lang w:val="en-GB"/>
        </w:rPr>
        <w:t xml:space="preserve">The legal protection of the pregnant worker in the European Community, </w:t>
      </w:r>
      <w:r w:rsidRPr="00F95DDD">
        <w:rPr>
          <w:lang w:val="en-GB"/>
        </w:rPr>
        <w:t>The Hague, Kluwer Law International, 2002</w:t>
      </w:r>
      <w:r>
        <w:rPr>
          <w:lang w:val="en-GB"/>
        </w:rPr>
        <w:t xml:space="preserve">, 21; </w:t>
      </w:r>
      <w:proofErr w:type="spellStart"/>
      <w:r w:rsidRPr="003A55E2">
        <w:rPr>
          <w:lang w:val="en-GB"/>
        </w:rPr>
        <w:t>Lacey</w:t>
      </w:r>
      <w:proofErr w:type="spellEnd"/>
      <w:r w:rsidRPr="003A55E2">
        <w:rPr>
          <w:lang w:val="en-GB"/>
        </w:rPr>
        <w:t xml:space="preserve"> N., “Legislation Against Sex Discrimination: Questions From a Feminist Perspective”, </w:t>
      </w:r>
      <w:r w:rsidRPr="003A55E2">
        <w:rPr>
          <w:i/>
          <w:lang w:val="en-GB"/>
        </w:rPr>
        <w:t xml:space="preserve">Brit. J. L. &amp; </w:t>
      </w:r>
      <w:proofErr w:type="spellStart"/>
      <w:r w:rsidRPr="003A55E2">
        <w:rPr>
          <w:i/>
          <w:lang w:val="en-GB"/>
        </w:rPr>
        <w:t>Soc’y</w:t>
      </w:r>
      <w:proofErr w:type="spellEnd"/>
      <w:r w:rsidRPr="003A55E2">
        <w:rPr>
          <w:lang w:val="en-GB"/>
        </w:rPr>
        <w:t xml:space="preserve"> 1987,</w:t>
      </w:r>
      <w:r>
        <w:rPr>
          <w:lang w:val="en-GB"/>
        </w:rPr>
        <w:t xml:space="preserve"> 415. </w:t>
      </w:r>
    </w:p>
  </w:footnote>
  <w:footnote w:id="63">
    <w:p w:rsidR="00551E68" w:rsidRPr="0041027E" w:rsidRDefault="00551E68" w:rsidP="005869B3">
      <w:pPr>
        <w:pStyle w:val="Voetnoottekst"/>
        <w:jc w:val="both"/>
        <w:rPr>
          <w:i/>
          <w:lang w:val="en-GB"/>
        </w:rPr>
      </w:pPr>
      <w:r>
        <w:rPr>
          <w:rStyle w:val="Voetnootmarkering"/>
        </w:rPr>
        <w:footnoteRef/>
      </w:r>
      <w:r>
        <w:rPr>
          <w:lang w:val="en-GB"/>
        </w:rPr>
        <w:t xml:space="preserve"> </w:t>
      </w:r>
      <w:proofErr w:type="spellStart"/>
      <w:r w:rsidRPr="0041027E">
        <w:rPr>
          <w:lang w:val="en-GB"/>
        </w:rPr>
        <w:t>Bamforth</w:t>
      </w:r>
      <w:proofErr w:type="spellEnd"/>
      <w:r w:rsidRPr="0041027E">
        <w:rPr>
          <w:lang w:val="en-GB"/>
        </w:rPr>
        <w:t xml:space="preserve"> N., “Conceptions of Anti-Discrimination Law”, </w:t>
      </w:r>
      <w:r w:rsidRPr="0041027E">
        <w:rPr>
          <w:i/>
          <w:lang w:val="en-GB"/>
        </w:rPr>
        <w:t>O. J. L. S.</w:t>
      </w:r>
      <w:r w:rsidRPr="0041027E">
        <w:rPr>
          <w:lang w:val="en-GB"/>
        </w:rPr>
        <w:t xml:space="preserve"> 2004,</w:t>
      </w:r>
      <w:r>
        <w:rPr>
          <w:lang w:val="en-GB"/>
        </w:rPr>
        <w:t xml:space="preserve"> 708;</w:t>
      </w:r>
      <w:r w:rsidRPr="00BE22B9">
        <w:rPr>
          <w:sz w:val="24"/>
          <w:szCs w:val="24"/>
          <w:lang w:val="en-GB"/>
        </w:rPr>
        <w:t xml:space="preserve"> </w:t>
      </w:r>
      <w:proofErr w:type="spellStart"/>
      <w:r w:rsidRPr="00BE22B9">
        <w:rPr>
          <w:lang w:val="en-GB"/>
        </w:rPr>
        <w:t>Mair</w:t>
      </w:r>
      <w:proofErr w:type="spellEnd"/>
      <w:r w:rsidRPr="00BE22B9">
        <w:rPr>
          <w:lang w:val="en-GB"/>
        </w:rPr>
        <w:t xml:space="preserve"> J., “Direct Discrimination: Limited by Definition?”, </w:t>
      </w:r>
      <w:r w:rsidRPr="00BE22B9">
        <w:rPr>
          <w:i/>
          <w:lang w:val="en-GB"/>
        </w:rPr>
        <w:t xml:space="preserve">I. J. D. L. </w:t>
      </w:r>
      <w:r>
        <w:rPr>
          <w:lang w:val="en-GB"/>
        </w:rPr>
        <w:t>2009, 3;</w:t>
      </w:r>
      <w:r>
        <w:rPr>
          <w:sz w:val="24"/>
          <w:szCs w:val="24"/>
          <w:lang w:val="en-GB"/>
        </w:rPr>
        <w:t xml:space="preserve"> </w:t>
      </w:r>
      <w:proofErr w:type="spellStart"/>
      <w:r w:rsidRPr="00721D0E">
        <w:rPr>
          <w:lang w:val="en-GB"/>
        </w:rPr>
        <w:t>Moeckli</w:t>
      </w:r>
      <w:proofErr w:type="spellEnd"/>
      <w:r w:rsidRPr="00721D0E">
        <w:rPr>
          <w:lang w:val="en-GB"/>
        </w:rPr>
        <w:t xml:space="preserve"> D., “Equality and Non-Discrimination” in</w:t>
      </w:r>
      <w:r>
        <w:rPr>
          <w:lang w:val="en-GB"/>
        </w:rPr>
        <w:t xml:space="preserve"> </w:t>
      </w:r>
      <w:proofErr w:type="spellStart"/>
      <w:r w:rsidRPr="002C43F0">
        <w:rPr>
          <w:lang w:val="en-GB"/>
        </w:rPr>
        <w:t>Moeckli</w:t>
      </w:r>
      <w:proofErr w:type="spellEnd"/>
      <w:r w:rsidRPr="002C43F0">
        <w:rPr>
          <w:lang w:val="en-GB"/>
        </w:rPr>
        <w:t xml:space="preserve"> D., Shah</w:t>
      </w:r>
      <w:r>
        <w:rPr>
          <w:lang w:val="en-GB"/>
        </w:rPr>
        <w:t xml:space="preserve"> S. and </w:t>
      </w:r>
      <w:proofErr w:type="spellStart"/>
      <w:r>
        <w:rPr>
          <w:lang w:val="en-GB"/>
        </w:rPr>
        <w:t>Sivakumaran</w:t>
      </w:r>
      <w:proofErr w:type="spellEnd"/>
      <w:r>
        <w:rPr>
          <w:lang w:val="en-GB"/>
        </w:rPr>
        <w:t xml:space="preserve"> S. (eds.), op. cit., 192. </w:t>
      </w:r>
    </w:p>
  </w:footnote>
  <w:footnote w:id="64">
    <w:p w:rsidR="00551E68" w:rsidRPr="007E6611" w:rsidRDefault="00551E68" w:rsidP="005869B3">
      <w:pPr>
        <w:pStyle w:val="Voetnoottekst"/>
        <w:jc w:val="both"/>
        <w:rPr>
          <w:lang w:val="en-GB"/>
        </w:rPr>
      </w:pPr>
      <w:r>
        <w:rPr>
          <w:rStyle w:val="Voetnootmarkering"/>
        </w:rPr>
        <w:footnoteRef/>
      </w:r>
      <w:r w:rsidRPr="002B5768">
        <w:rPr>
          <w:lang w:val="en-US"/>
        </w:rPr>
        <w:t xml:space="preserve"> </w:t>
      </w:r>
      <w:proofErr w:type="spellStart"/>
      <w:r>
        <w:rPr>
          <w:lang w:val="en-GB"/>
        </w:rPr>
        <w:t>Foubert</w:t>
      </w:r>
      <w:proofErr w:type="spellEnd"/>
      <w:r>
        <w:rPr>
          <w:lang w:val="en-GB"/>
        </w:rPr>
        <w:t xml:space="preserve"> P., op. cit., 24; </w:t>
      </w:r>
      <w:r w:rsidRPr="002B5768">
        <w:rPr>
          <w:lang w:val="en-US"/>
        </w:rPr>
        <w:t xml:space="preserve">Peters A., </w:t>
      </w:r>
      <w:r w:rsidRPr="002B5768">
        <w:rPr>
          <w:i/>
          <w:lang w:val="en-US"/>
        </w:rPr>
        <w:t>Women, Quotas and Constitutions</w:t>
      </w:r>
      <w:r w:rsidRPr="002B5768">
        <w:rPr>
          <w:lang w:val="en-US"/>
        </w:rPr>
        <w:t xml:space="preserve">, The Hague, Kluwer </w:t>
      </w:r>
      <w:r>
        <w:rPr>
          <w:lang w:val="en-US"/>
        </w:rPr>
        <w:t xml:space="preserve">Law International, 1999, 247; </w:t>
      </w:r>
      <w:proofErr w:type="spellStart"/>
      <w:r w:rsidRPr="00DA5246">
        <w:rPr>
          <w:lang w:val="en-US"/>
        </w:rPr>
        <w:t>Tobler</w:t>
      </w:r>
      <w:proofErr w:type="spellEnd"/>
      <w:r w:rsidRPr="00DA5246">
        <w:rPr>
          <w:lang w:val="en-US"/>
        </w:rPr>
        <w:t xml:space="preserve"> C., </w:t>
      </w:r>
      <w:r w:rsidRPr="00F20EA5">
        <w:rPr>
          <w:i/>
          <w:lang w:val="en-US"/>
        </w:rPr>
        <w:t>Indirect Discrimination</w:t>
      </w:r>
      <w:r w:rsidRPr="00DA5246">
        <w:rPr>
          <w:lang w:val="en-US"/>
        </w:rPr>
        <w:t>, Ant</w:t>
      </w:r>
      <w:r>
        <w:rPr>
          <w:lang w:val="en-US"/>
        </w:rPr>
        <w:t xml:space="preserve">werp, </w:t>
      </w:r>
      <w:proofErr w:type="spellStart"/>
      <w:r>
        <w:rPr>
          <w:lang w:val="en-US"/>
        </w:rPr>
        <w:t>Intersentia</w:t>
      </w:r>
      <w:proofErr w:type="spellEnd"/>
      <w:r>
        <w:rPr>
          <w:lang w:val="en-US"/>
        </w:rPr>
        <w:t xml:space="preserve">, 2005, 25. </w:t>
      </w:r>
    </w:p>
  </w:footnote>
  <w:footnote w:id="65">
    <w:p w:rsidR="00551E68" w:rsidRPr="00253091" w:rsidRDefault="00551E68" w:rsidP="005869B3">
      <w:pPr>
        <w:pStyle w:val="Voetnoottekst"/>
        <w:jc w:val="both"/>
        <w:rPr>
          <w:b/>
          <w:u w:val="single"/>
          <w:lang w:val="en-US"/>
        </w:rPr>
      </w:pPr>
      <w:r>
        <w:rPr>
          <w:rStyle w:val="Voetnootmarkering"/>
        </w:rPr>
        <w:footnoteRef/>
      </w:r>
      <w:r w:rsidRPr="002C77F7">
        <w:rPr>
          <w:lang w:val="en-US"/>
        </w:rPr>
        <w:t xml:space="preserve"> </w:t>
      </w:r>
      <w:proofErr w:type="spellStart"/>
      <w:r w:rsidRPr="007C014D">
        <w:rPr>
          <w:lang w:val="en-GB"/>
        </w:rPr>
        <w:t>Foubert</w:t>
      </w:r>
      <w:proofErr w:type="spellEnd"/>
      <w:r w:rsidRPr="007C014D">
        <w:rPr>
          <w:lang w:val="en-GB"/>
        </w:rPr>
        <w:t xml:space="preserve"> P.,</w:t>
      </w:r>
      <w:r>
        <w:rPr>
          <w:lang w:val="en-GB"/>
        </w:rPr>
        <w:t xml:space="preserve"> op. cit., 23;</w:t>
      </w:r>
      <w:r w:rsidRPr="00253091">
        <w:rPr>
          <w:lang w:val="en-US"/>
        </w:rPr>
        <w:t xml:space="preserve"> </w:t>
      </w:r>
      <w:proofErr w:type="spellStart"/>
      <w:r w:rsidRPr="00253091">
        <w:rPr>
          <w:lang w:val="en-US"/>
        </w:rPr>
        <w:t>Schiek</w:t>
      </w:r>
      <w:proofErr w:type="spellEnd"/>
      <w:r w:rsidRPr="00253091">
        <w:rPr>
          <w:lang w:val="en-US"/>
        </w:rPr>
        <w:t xml:space="preserve"> D.</w:t>
      </w:r>
      <w:r>
        <w:rPr>
          <w:lang w:val="en-US"/>
        </w:rPr>
        <w:t>, Waddington L. and Bell M., “Introductory Chapter” in</w:t>
      </w:r>
      <w:r>
        <w:rPr>
          <w:lang w:val="en-GB"/>
        </w:rPr>
        <w:t xml:space="preserve"> </w:t>
      </w:r>
      <w:proofErr w:type="spellStart"/>
      <w:r w:rsidRPr="00253091">
        <w:rPr>
          <w:lang w:val="en-US"/>
        </w:rPr>
        <w:t>Schiek</w:t>
      </w:r>
      <w:proofErr w:type="spellEnd"/>
      <w:r w:rsidRPr="00253091">
        <w:rPr>
          <w:lang w:val="en-US"/>
        </w:rPr>
        <w:t xml:space="preserve"> D., Wa</w:t>
      </w:r>
      <w:r>
        <w:rPr>
          <w:lang w:val="en-US"/>
        </w:rPr>
        <w:t>ddington L. and Bell M. (eds.), op. cit., 28;</w:t>
      </w:r>
      <w:r w:rsidRPr="00506768">
        <w:rPr>
          <w:sz w:val="24"/>
          <w:szCs w:val="24"/>
          <w:lang w:val="en-US"/>
        </w:rPr>
        <w:t xml:space="preserve"> </w:t>
      </w:r>
      <w:proofErr w:type="spellStart"/>
      <w:r w:rsidRPr="00506768">
        <w:rPr>
          <w:lang w:val="en-US"/>
        </w:rPr>
        <w:t>Tobler</w:t>
      </w:r>
      <w:proofErr w:type="spellEnd"/>
      <w:r w:rsidRPr="00506768">
        <w:rPr>
          <w:lang w:val="en-US"/>
        </w:rPr>
        <w:t xml:space="preserve"> C., </w:t>
      </w:r>
      <w:r w:rsidRPr="005C2135">
        <w:rPr>
          <w:i/>
          <w:lang w:val="en-US"/>
        </w:rPr>
        <w:t>Indirect Discrimination</w:t>
      </w:r>
      <w:r w:rsidRPr="00506768">
        <w:rPr>
          <w:lang w:val="en-US"/>
        </w:rPr>
        <w:t xml:space="preserve">, Antwerp, </w:t>
      </w:r>
      <w:proofErr w:type="spellStart"/>
      <w:r>
        <w:rPr>
          <w:lang w:val="en-US"/>
        </w:rPr>
        <w:t>Intersentia</w:t>
      </w:r>
      <w:proofErr w:type="spellEnd"/>
      <w:r>
        <w:rPr>
          <w:lang w:val="en-US"/>
        </w:rPr>
        <w:t xml:space="preserve">, 2005, 26. </w:t>
      </w:r>
    </w:p>
  </w:footnote>
  <w:footnote w:id="66">
    <w:p w:rsidR="00551E68" w:rsidRPr="00DB79A4" w:rsidRDefault="00551E68" w:rsidP="005869B3">
      <w:pPr>
        <w:pStyle w:val="Voetnoottekst"/>
        <w:jc w:val="both"/>
        <w:rPr>
          <w:lang w:val="en-GB"/>
        </w:rPr>
      </w:pPr>
      <w:r>
        <w:rPr>
          <w:rStyle w:val="Voetnootmarkering"/>
        </w:rPr>
        <w:footnoteRef/>
      </w:r>
      <w:r w:rsidRPr="002C77F7">
        <w:rPr>
          <w:lang w:val="en-US"/>
        </w:rPr>
        <w:t xml:space="preserve"> </w:t>
      </w:r>
      <w:proofErr w:type="spellStart"/>
      <w:r w:rsidRPr="00E22FBE">
        <w:rPr>
          <w:lang w:val="en-GB"/>
        </w:rPr>
        <w:t>Arnardottir</w:t>
      </w:r>
      <w:proofErr w:type="spellEnd"/>
      <w:r w:rsidRPr="00E22FBE">
        <w:rPr>
          <w:lang w:val="en-GB"/>
        </w:rPr>
        <w:t xml:space="preserve"> O., </w:t>
      </w:r>
      <w:r w:rsidRPr="00E22FBE">
        <w:rPr>
          <w:i/>
          <w:lang w:val="en-GB"/>
        </w:rPr>
        <w:t>Equality and Non-Discrimination under the European Convention on Human Rights</w:t>
      </w:r>
      <w:r w:rsidRPr="00E22FBE">
        <w:rPr>
          <w:lang w:val="en-GB"/>
        </w:rPr>
        <w:t xml:space="preserve">, The Hague, </w:t>
      </w:r>
      <w:proofErr w:type="spellStart"/>
      <w:r w:rsidRPr="00E22FBE">
        <w:rPr>
          <w:lang w:val="en-GB"/>
        </w:rPr>
        <w:t>Martinus</w:t>
      </w:r>
      <w:proofErr w:type="spellEnd"/>
      <w:r w:rsidRPr="00E22FBE">
        <w:rPr>
          <w:lang w:val="en-GB"/>
        </w:rPr>
        <w:t xml:space="preserve"> </w:t>
      </w:r>
      <w:proofErr w:type="spellStart"/>
      <w:r w:rsidRPr="00E22FBE">
        <w:rPr>
          <w:lang w:val="en-GB"/>
        </w:rPr>
        <w:t>N</w:t>
      </w:r>
      <w:r>
        <w:rPr>
          <w:lang w:val="en-GB"/>
        </w:rPr>
        <w:t>ijhoff</w:t>
      </w:r>
      <w:proofErr w:type="spellEnd"/>
      <w:r>
        <w:rPr>
          <w:lang w:val="en-GB"/>
        </w:rPr>
        <w:t xml:space="preserve"> Publishers, 2003, 5;</w:t>
      </w:r>
      <w:r w:rsidRPr="00DB79A4">
        <w:rPr>
          <w:lang w:val="en-GB"/>
        </w:rPr>
        <w:t xml:space="preserve"> Howard E., “The European Year of Equal Opportunities for All – 2007: Is the EU Moving Away From a Formal Idea of Equality?”, </w:t>
      </w:r>
      <w:r w:rsidRPr="00DB79A4">
        <w:rPr>
          <w:i/>
          <w:lang w:val="en-GB"/>
        </w:rPr>
        <w:t>ELJ</w:t>
      </w:r>
      <w:r>
        <w:rPr>
          <w:lang w:val="en-GB"/>
        </w:rPr>
        <w:t xml:space="preserve"> 2008, 170; </w:t>
      </w:r>
      <w:proofErr w:type="spellStart"/>
      <w:r w:rsidRPr="0009546D">
        <w:rPr>
          <w:lang w:val="en-GB"/>
        </w:rPr>
        <w:t>Fredman</w:t>
      </w:r>
      <w:proofErr w:type="spellEnd"/>
      <w:r w:rsidRPr="0009546D">
        <w:rPr>
          <w:lang w:val="en-GB"/>
        </w:rPr>
        <w:t xml:space="preserve"> S., “Reversing Discrimination”, </w:t>
      </w:r>
      <w:r w:rsidRPr="0009546D">
        <w:rPr>
          <w:i/>
          <w:lang w:val="en-GB"/>
        </w:rPr>
        <w:t>L.Q.R.</w:t>
      </w:r>
      <w:r>
        <w:rPr>
          <w:lang w:val="en-GB"/>
        </w:rPr>
        <w:t xml:space="preserve"> 1997, 578.  </w:t>
      </w:r>
    </w:p>
  </w:footnote>
  <w:footnote w:id="67">
    <w:p w:rsidR="00551E68" w:rsidRPr="00577165" w:rsidRDefault="00551E68" w:rsidP="005869B3">
      <w:pPr>
        <w:pStyle w:val="Voetnoottekst"/>
        <w:jc w:val="both"/>
        <w:rPr>
          <w:b/>
          <w:u w:val="single"/>
          <w:lang w:val="en-US"/>
        </w:rPr>
      </w:pPr>
      <w:r>
        <w:rPr>
          <w:rStyle w:val="Voetnootmarkering"/>
        </w:rPr>
        <w:footnoteRef/>
      </w:r>
      <w:r w:rsidRPr="00577165">
        <w:rPr>
          <w:lang w:val="en-US"/>
        </w:rPr>
        <w:t xml:space="preserve"> </w:t>
      </w:r>
      <w:proofErr w:type="spellStart"/>
      <w:r w:rsidRPr="00577165">
        <w:rPr>
          <w:lang w:val="en-US"/>
        </w:rPr>
        <w:t>Arnardottir</w:t>
      </w:r>
      <w:proofErr w:type="spellEnd"/>
      <w:r w:rsidRPr="00577165">
        <w:rPr>
          <w:lang w:val="en-US"/>
        </w:rPr>
        <w:t xml:space="preserve"> O., op. cit., 18; </w:t>
      </w:r>
      <w:proofErr w:type="spellStart"/>
      <w:r>
        <w:rPr>
          <w:lang w:val="en-US"/>
        </w:rPr>
        <w:t>Loenen</w:t>
      </w:r>
      <w:proofErr w:type="spellEnd"/>
      <w:r>
        <w:rPr>
          <w:lang w:val="en-US"/>
        </w:rPr>
        <w:t xml:space="preserve"> T., “Indirect Discrimination: Oscillating Between Containment and Revolution” in </w:t>
      </w:r>
      <w:proofErr w:type="spellStart"/>
      <w:r w:rsidRPr="00577165">
        <w:rPr>
          <w:lang w:val="en-US"/>
        </w:rPr>
        <w:t>Loenen</w:t>
      </w:r>
      <w:proofErr w:type="spellEnd"/>
      <w:r w:rsidRPr="00577165">
        <w:rPr>
          <w:lang w:val="en-US"/>
        </w:rPr>
        <w:t xml:space="preserve"> T. and Rodriquez P. (eds.), </w:t>
      </w:r>
      <w:r w:rsidRPr="00577165">
        <w:rPr>
          <w:i/>
          <w:lang w:val="en-US"/>
        </w:rPr>
        <w:t>Non-Discrimination Law: Comparative Perspectives</w:t>
      </w:r>
      <w:r w:rsidRPr="00577165">
        <w:rPr>
          <w:lang w:val="en-US"/>
        </w:rPr>
        <w:t>, The Hague, Kluwer Law International, 1999,</w:t>
      </w:r>
      <w:r>
        <w:rPr>
          <w:lang w:val="en-US"/>
        </w:rPr>
        <w:t xml:space="preserve"> 198; Fenwick H., op. cit., 508-509. </w:t>
      </w:r>
      <w:r w:rsidRPr="00577165">
        <w:rPr>
          <w:lang w:val="en-US"/>
        </w:rPr>
        <w:t xml:space="preserve">  </w:t>
      </w:r>
    </w:p>
  </w:footnote>
  <w:footnote w:id="68">
    <w:p w:rsidR="00551E68" w:rsidRPr="00787957" w:rsidRDefault="00551E68" w:rsidP="005869B3">
      <w:pPr>
        <w:pStyle w:val="Voetnoottekst"/>
        <w:jc w:val="both"/>
        <w:rPr>
          <w:lang w:val="en-US"/>
        </w:rPr>
      </w:pPr>
      <w:r>
        <w:rPr>
          <w:rStyle w:val="Voetnootmarkering"/>
        </w:rPr>
        <w:footnoteRef/>
      </w:r>
      <w:r w:rsidRPr="00787957">
        <w:rPr>
          <w:lang w:val="en-US"/>
        </w:rPr>
        <w:t xml:space="preserve"> Barnard C. and </w:t>
      </w:r>
      <w:proofErr w:type="spellStart"/>
      <w:r w:rsidRPr="00787957">
        <w:rPr>
          <w:lang w:val="en-US"/>
        </w:rPr>
        <w:t>Hepple</w:t>
      </w:r>
      <w:proofErr w:type="spellEnd"/>
      <w:r w:rsidRPr="00787957">
        <w:rPr>
          <w:lang w:val="en-US"/>
        </w:rPr>
        <w:t xml:space="preserve"> B., op. cit., 565; De </w:t>
      </w:r>
      <w:proofErr w:type="spellStart"/>
      <w:r w:rsidRPr="00787957">
        <w:rPr>
          <w:lang w:val="en-US"/>
        </w:rPr>
        <w:t>Prins</w:t>
      </w:r>
      <w:proofErr w:type="spellEnd"/>
      <w:r w:rsidRPr="00787957">
        <w:rPr>
          <w:lang w:val="en-US"/>
        </w:rPr>
        <w:t xml:space="preserve"> D., </w:t>
      </w:r>
      <w:proofErr w:type="spellStart"/>
      <w:r w:rsidRPr="00787957">
        <w:rPr>
          <w:lang w:val="en-US"/>
        </w:rPr>
        <w:t>Sottiaux</w:t>
      </w:r>
      <w:proofErr w:type="spellEnd"/>
      <w:r w:rsidRPr="00787957">
        <w:rPr>
          <w:lang w:val="en-US"/>
        </w:rPr>
        <w:t xml:space="preserve"> S. en </w:t>
      </w:r>
      <w:proofErr w:type="spellStart"/>
      <w:r w:rsidRPr="00787957">
        <w:rPr>
          <w:lang w:val="en-US"/>
        </w:rPr>
        <w:t>Vrielink</w:t>
      </w:r>
      <w:proofErr w:type="spellEnd"/>
      <w:r w:rsidRPr="00787957">
        <w:rPr>
          <w:lang w:val="en-US"/>
        </w:rPr>
        <w:t xml:space="preserve"> J., </w:t>
      </w:r>
      <w:proofErr w:type="spellStart"/>
      <w:r w:rsidRPr="00787957">
        <w:rPr>
          <w:i/>
          <w:lang w:val="en-US"/>
        </w:rPr>
        <w:t>Handboek</w:t>
      </w:r>
      <w:proofErr w:type="spellEnd"/>
      <w:r w:rsidRPr="00787957">
        <w:rPr>
          <w:i/>
          <w:lang w:val="en-US"/>
        </w:rPr>
        <w:t xml:space="preserve"> </w:t>
      </w:r>
      <w:proofErr w:type="spellStart"/>
      <w:r w:rsidRPr="00787957">
        <w:rPr>
          <w:i/>
          <w:lang w:val="en-US"/>
        </w:rPr>
        <w:t>Discriminatierecht</w:t>
      </w:r>
      <w:proofErr w:type="spellEnd"/>
      <w:r w:rsidRPr="00787957">
        <w:rPr>
          <w:lang w:val="en-US"/>
        </w:rPr>
        <w:t xml:space="preserve">, </w:t>
      </w:r>
      <w:proofErr w:type="spellStart"/>
      <w:r w:rsidRPr="00787957">
        <w:rPr>
          <w:lang w:val="en-US"/>
        </w:rPr>
        <w:t>Mechelen</w:t>
      </w:r>
      <w:proofErr w:type="spellEnd"/>
      <w:r w:rsidRPr="00787957">
        <w:rPr>
          <w:lang w:val="en-US"/>
        </w:rPr>
        <w:t>, Kluwer, 2005, 2;</w:t>
      </w:r>
      <w:r>
        <w:rPr>
          <w:sz w:val="24"/>
          <w:szCs w:val="24"/>
          <w:lang w:val="en-GB"/>
        </w:rPr>
        <w:t xml:space="preserve"> </w:t>
      </w:r>
      <w:proofErr w:type="spellStart"/>
      <w:r w:rsidRPr="002532FE">
        <w:rPr>
          <w:lang w:val="en-GB"/>
        </w:rPr>
        <w:t>Moeckli</w:t>
      </w:r>
      <w:proofErr w:type="spellEnd"/>
      <w:r w:rsidRPr="002532FE">
        <w:rPr>
          <w:lang w:val="en-GB"/>
        </w:rPr>
        <w:t xml:space="preserve"> D., “Equality and Non-Discrimination” in</w:t>
      </w:r>
      <w:r>
        <w:rPr>
          <w:lang w:val="en-US"/>
        </w:rPr>
        <w:t xml:space="preserve"> </w:t>
      </w:r>
      <w:proofErr w:type="spellStart"/>
      <w:r w:rsidRPr="0006105A">
        <w:rPr>
          <w:lang w:val="en-GB"/>
        </w:rPr>
        <w:t>Moeckli</w:t>
      </w:r>
      <w:proofErr w:type="spellEnd"/>
      <w:r w:rsidRPr="0006105A">
        <w:rPr>
          <w:lang w:val="en-GB"/>
        </w:rPr>
        <w:t xml:space="preserve"> D., Shah </w:t>
      </w:r>
      <w:r>
        <w:rPr>
          <w:lang w:val="en-GB"/>
        </w:rPr>
        <w:t xml:space="preserve">S. and </w:t>
      </w:r>
      <w:proofErr w:type="spellStart"/>
      <w:r>
        <w:rPr>
          <w:lang w:val="en-GB"/>
        </w:rPr>
        <w:t>and</w:t>
      </w:r>
      <w:proofErr w:type="spellEnd"/>
      <w:r>
        <w:rPr>
          <w:lang w:val="en-GB"/>
        </w:rPr>
        <w:t xml:space="preserve"> </w:t>
      </w:r>
      <w:proofErr w:type="spellStart"/>
      <w:r>
        <w:rPr>
          <w:lang w:val="en-GB"/>
        </w:rPr>
        <w:t>Sivakumaran</w:t>
      </w:r>
      <w:proofErr w:type="spellEnd"/>
      <w:r>
        <w:rPr>
          <w:lang w:val="en-GB"/>
        </w:rPr>
        <w:t xml:space="preserve"> S. (eds.)</w:t>
      </w:r>
      <w:r w:rsidRPr="0006105A">
        <w:rPr>
          <w:lang w:val="en-GB"/>
        </w:rPr>
        <w:t>, op. cit., 192</w:t>
      </w:r>
      <w:r>
        <w:rPr>
          <w:lang w:val="en-GB"/>
        </w:rPr>
        <w:t xml:space="preserve">; </w:t>
      </w:r>
      <w:r w:rsidRPr="002D181F">
        <w:rPr>
          <w:lang w:val="en-US"/>
        </w:rPr>
        <w:t>Connolly M., op. cit.,</w:t>
      </w:r>
      <w:r>
        <w:rPr>
          <w:lang w:val="en-US"/>
        </w:rPr>
        <w:t xml:space="preserve"> 11. </w:t>
      </w:r>
    </w:p>
  </w:footnote>
  <w:footnote w:id="69">
    <w:p w:rsidR="00551E68" w:rsidRPr="00706BB4" w:rsidRDefault="00551E68" w:rsidP="005869B3">
      <w:pPr>
        <w:pStyle w:val="Voetnoottekst"/>
        <w:jc w:val="both"/>
        <w:rPr>
          <w:b/>
          <w:u w:val="single"/>
          <w:lang w:val="en-GB"/>
        </w:rPr>
      </w:pPr>
      <w:r>
        <w:rPr>
          <w:rStyle w:val="Voetnootmarkering"/>
        </w:rPr>
        <w:footnoteRef/>
      </w:r>
      <w:r w:rsidRPr="00773A0C">
        <w:rPr>
          <w:lang w:val="en-US"/>
        </w:rPr>
        <w:t xml:space="preserve"> </w:t>
      </w:r>
      <w:proofErr w:type="spellStart"/>
      <w:r w:rsidRPr="00706BB4">
        <w:rPr>
          <w:lang w:val="en-GB"/>
        </w:rPr>
        <w:t>Fredman</w:t>
      </w:r>
      <w:proofErr w:type="spellEnd"/>
      <w:r w:rsidRPr="00706BB4">
        <w:rPr>
          <w:lang w:val="en-GB"/>
        </w:rPr>
        <w:t xml:space="preserve"> S., </w:t>
      </w:r>
      <w:r w:rsidRPr="00706BB4">
        <w:rPr>
          <w:i/>
          <w:lang w:val="en-GB"/>
        </w:rPr>
        <w:t>Discrimination Law</w:t>
      </w:r>
      <w:r w:rsidRPr="00706BB4">
        <w:rPr>
          <w:lang w:val="en-GB"/>
        </w:rPr>
        <w:t>, Oxford, Oxford University Press, 2002,</w:t>
      </w:r>
      <w:r>
        <w:rPr>
          <w:lang w:val="en-GB"/>
        </w:rPr>
        <w:t xml:space="preserve"> 14;</w:t>
      </w:r>
      <w:r w:rsidRPr="00603E72">
        <w:rPr>
          <w:lang w:val="en-GB"/>
        </w:rPr>
        <w:t xml:space="preserve"> </w:t>
      </w:r>
      <w:proofErr w:type="spellStart"/>
      <w:r w:rsidRPr="00603E72">
        <w:rPr>
          <w:lang w:val="en-GB"/>
        </w:rPr>
        <w:t>Lacey</w:t>
      </w:r>
      <w:proofErr w:type="spellEnd"/>
      <w:r w:rsidRPr="00603E72">
        <w:rPr>
          <w:lang w:val="en-GB"/>
        </w:rPr>
        <w:t xml:space="preserve"> N., op. cit.,</w:t>
      </w:r>
      <w:r>
        <w:rPr>
          <w:lang w:val="en-GB"/>
        </w:rPr>
        <w:t xml:space="preserve"> 414.  </w:t>
      </w:r>
    </w:p>
  </w:footnote>
  <w:footnote w:id="70">
    <w:p w:rsidR="00551E68" w:rsidRPr="00F57E08" w:rsidRDefault="00551E68" w:rsidP="005869B3">
      <w:pPr>
        <w:pStyle w:val="Voetnoottekst"/>
        <w:jc w:val="both"/>
        <w:rPr>
          <w:b/>
          <w:u w:val="single"/>
          <w:lang w:val="en-US"/>
        </w:rPr>
      </w:pPr>
      <w:r>
        <w:rPr>
          <w:rStyle w:val="Voetnootmarkering"/>
        </w:rPr>
        <w:footnoteRef/>
      </w:r>
      <w:r w:rsidRPr="00906B13">
        <w:rPr>
          <w:lang w:val="en-US"/>
        </w:rPr>
        <w:t xml:space="preserve"> </w:t>
      </w:r>
      <w:r w:rsidRPr="004120BF">
        <w:rPr>
          <w:lang w:val="en-US"/>
        </w:rPr>
        <w:t xml:space="preserve">Byrnes A., “Article 1” in  Freeman M., </w:t>
      </w:r>
      <w:proofErr w:type="spellStart"/>
      <w:r w:rsidRPr="004120BF">
        <w:rPr>
          <w:lang w:val="en-US"/>
        </w:rPr>
        <w:t>Chinkin</w:t>
      </w:r>
      <w:proofErr w:type="spellEnd"/>
      <w:r w:rsidRPr="004120BF">
        <w:rPr>
          <w:lang w:val="en-US"/>
        </w:rPr>
        <w:t xml:space="preserve"> C. and </w:t>
      </w:r>
      <w:proofErr w:type="spellStart"/>
      <w:r w:rsidRPr="004120BF">
        <w:rPr>
          <w:lang w:val="en-US"/>
        </w:rPr>
        <w:t>Beate</w:t>
      </w:r>
      <w:proofErr w:type="spellEnd"/>
      <w:r w:rsidRPr="004120BF">
        <w:rPr>
          <w:lang w:val="en-US"/>
        </w:rPr>
        <w:t xml:space="preserve"> R. (eds.), </w:t>
      </w:r>
      <w:r w:rsidRPr="004120BF">
        <w:rPr>
          <w:i/>
          <w:lang w:val="en-US"/>
        </w:rPr>
        <w:t xml:space="preserve">The Un Convention on the Elimination of All Forms of Discrimination against Women: A Commentary, </w:t>
      </w:r>
      <w:r w:rsidRPr="004120BF">
        <w:rPr>
          <w:lang w:val="en-US"/>
        </w:rPr>
        <w:t>Oxford, Oxford University Press, 2012, 56;</w:t>
      </w:r>
      <w:r w:rsidRPr="00F57E08">
        <w:rPr>
          <w:lang w:val="en-US"/>
        </w:rPr>
        <w:t xml:space="preserve"> </w:t>
      </w:r>
      <w:proofErr w:type="spellStart"/>
      <w:r w:rsidRPr="00F57E08">
        <w:rPr>
          <w:lang w:val="en-US"/>
        </w:rPr>
        <w:t>Tobler</w:t>
      </w:r>
      <w:proofErr w:type="spellEnd"/>
      <w:r w:rsidRPr="00F57E08">
        <w:rPr>
          <w:lang w:val="en-US"/>
        </w:rPr>
        <w:t xml:space="preserve"> C., </w:t>
      </w:r>
      <w:r w:rsidRPr="00253091">
        <w:rPr>
          <w:i/>
          <w:lang w:val="en-US"/>
        </w:rPr>
        <w:t>Indirect Discrimination</w:t>
      </w:r>
      <w:r w:rsidRPr="00F57E08">
        <w:rPr>
          <w:lang w:val="en-US"/>
        </w:rPr>
        <w:t>, Ant</w:t>
      </w:r>
      <w:r>
        <w:rPr>
          <w:lang w:val="en-US"/>
        </w:rPr>
        <w:t xml:space="preserve">werp, </w:t>
      </w:r>
      <w:proofErr w:type="spellStart"/>
      <w:r>
        <w:rPr>
          <w:lang w:val="en-US"/>
        </w:rPr>
        <w:t>Intersentia</w:t>
      </w:r>
      <w:proofErr w:type="spellEnd"/>
      <w:r>
        <w:rPr>
          <w:lang w:val="en-US"/>
        </w:rPr>
        <w:t xml:space="preserve">, 2005, 32. </w:t>
      </w:r>
    </w:p>
  </w:footnote>
  <w:footnote w:id="71">
    <w:p w:rsidR="00551E68" w:rsidRPr="0075458E" w:rsidRDefault="00551E68" w:rsidP="005869B3">
      <w:pPr>
        <w:pStyle w:val="Voetnoottekst"/>
        <w:jc w:val="both"/>
        <w:rPr>
          <w:lang w:val="en-GB"/>
        </w:rPr>
      </w:pPr>
      <w:r>
        <w:rPr>
          <w:rStyle w:val="Voetnootmarkering"/>
        </w:rPr>
        <w:footnoteRef/>
      </w:r>
      <w:r>
        <w:rPr>
          <w:lang w:val="en-GB"/>
        </w:rPr>
        <w:t xml:space="preserve"> </w:t>
      </w:r>
      <w:proofErr w:type="spellStart"/>
      <w:r>
        <w:rPr>
          <w:lang w:val="en-GB"/>
        </w:rPr>
        <w:t>Bamforth</w:t>
      </w:r>
      <w:proofErr w:type="spellEnd"/>
      <w:r>
        <w:rPr>
          <w:lang w:val="en-GB"/>
        </w:rPr>
        <w:t xml:space="preserve"> N., op. cit.</w:t>
      </w:r>
      <w:r w:rsidRPr="00172103">
        <w:rPr>
          <w:lang w:val="en-GB"/>
        </w:rPr>
        <w:t>,</w:t>
      </w:r>
      <w:r>
        <w:rPr>
          <w:lang w:val="en-GB"/>
        </w:rPr>
        <w:t xml:space="preserve"> 709; </w:t>
      </w:r>
      <w:r w:rsidRPr="004120BF">
        <w:rPr>
          <w:lang w:val="en-GB"/>
        </w:rPr>
        <w:t xml:space="preserve">Barnard C., </w:t>
      </w:r>
      <w:r w:rsidRPr="004120BF">
        <w:rPr>
          <w:i/>
          <w:lang w:val="en-GB"/>
        </w:rPr>
        <w:t>EC Employment Law</w:t>
      </w:r>
      <w:r w:rsidRPr="004120BF">
        <w:rPr>
          <w:lang w:val="en-GB"/>
        </w:rPr>
        <w:t>, Oxford, Oxford</w:t>
      </w:r>
      <w:r>
        <w:rPr>
          <w:lang w:val="en-GB"/>
        </w:rPr>
        <w:t xml:space="preserve"> University Press, 2006, 338;</w:t>
      </w:r>
      <w:r w:rsidRPr="00D25986">
        <w:rPr>
          <w:sz w:val="24"/>
          <w:szCs w:val="24"/>
          <w:lang w:val="en-US"/>
        </w:rPr>
        <w:t xml:space="preserve"> </w:t>
      </w:r>
      <w:r w:rsidRPr="00D25986">
        <w:rPr>
          <w:lang w:val="en-US"/>
        </w:rPr>
        <w:t>Connolly M.,</w:t>
      </w:r>
      <w:r>
        <w:rPr>
          <w:lang w:val="en-US"/>
        </w:rPr>
        <w:t xml:space="preserve"> op. cit., 12;</w:t>
      </w:r>
      <w:r w:rsidRPr="0075458E">
        <w:rPr>
          <w:lang w:val="en-GB"/>
        </w:rPr>
        <w:t xml:space="preserve"> </w:t>
      </w:r>
      <w:proofErr w:type="spellStart"/>
      <w:r w:rsidRPr="0075458E">
        <w:rPr>
          <w:lang w:val="en-GB"/>
        </w:rPr>
        <w:t>Lacey</w:t>
      </w:r>
      <w:proofErr w:type="spellEnd"/>
      <w:r w:rsidRPr="0075458E">
        <w:rPr>
          <w:lang w:val="en-GB"/>
        </w:rPr>
        <w:t xml:space="preserve"> N.,</w:t>
      </w:r>
      <w:r>
        <w:rPr>
          <w:lang w:val="en-GB"/>
        </w:rPr>
        <w:t xml:space="preserve"> op. cit., 415; </w:t>
      </w:r>
      <w:r w:rsidRPr="00437CB2">
        <w:rPr>
          <w:lang w:val="en-US"/>
        </w:rPr>
        <w:t>Vogel-</w:t>
      </w:r>
      <w:proofErr w:type="spellStart"/>
      <w:r w:rsidRPr="00437CB2">
        <w:rPr>
          <w:lang w:val="en-US"/>
        </w:rPr>
        <w:t>Polsky</w:t>
      </w:r>
      <w:proofErr w:type="spellEnd"/>
      <w:r w:rsidRPr="00437CB2">
        <w:rPr>
          <w:lang w:val="en-US"/>
        </w:rPr>
        <w:t xml:space="preserve"> E., “Unlawful Discrimination in Employment – International Law and Community Law: Their Interrelationship with Domestic Law”, </w:t>
      </w:r>
      <w:r w:rsidRPr="00437CB2">
        <w:rPr>
          <w:i/>
          <w:lang w:val="en-US"/>
        </w:rPr>
        <w:t>Ga. J. Int’l &amp; Comp. L.</w:t>
      </w:r>
      <w:r w:rsidRPr="00437CB2">
        <w:rPr>
          <w:lang w:val="en-US"/>
        </w:rPr>
        <w:t xml:space="preserve"> 1990,</w:t>
      </w:r>
      <w:r>
        <w:rPr>
          <w:lang w:val="en-US"/>
        </w:rPr>
        <w:t xml:space="preserve"> 4. </w:t>
      </w:r>
    </w:p>
  </w:footnote>
  <w:footnote w:id="72">
    <w:p w:rsidR="00551E68" w:rsidRPr="00B95737" w:rsidRDefault="00551E68" w:rsidP="005869B3">
      <w:pPr>
        <w:pStyle w:val="Voetnoottekst"/>
        <w:jc w:val="both"/>
        <w:rPr>
          <w:b/>
          <w:u w:val="single"/>
          <w:lang w:val="en-US"/>
        </w:rPr>
      </w:pPr>
      <w:r>
        <w:rPr>
          <w:rStyle w:val="Voetnootmarkering"/>
        </w:rPr>
        <w:footnoteRef/>
      </w:r>
      <w:r>
        <w:rPr>
          <w:lang w:val="en-US"/>
        </w:rPr>
        <w:t xml:space="preserve"> Ellis E. and Watson P., op. cit., </w:t>
      </w:r>
      <w:r w:rsidRPr="00E266C5">
        <w:rPr>
          <w:lang w:val="en-US"/>
        </w:rPr>
        <w:t>2;</w:t>
      </w:r>
      <w:r>
        <w:rPr>
          <w:lang w:val="en-US"/>
        </w:rPr>
        <w:t xml:space="preserve"> </w:t>
      </w:r>
      <w:proofErr w:type="spellStart"/>
      <w:r>
        <w:rPr>
          <w:lang w:val="en-US"/>
        </w:rPr>
        <w:t>Gerards</w:t>
      </w:r>
      <w:proofErr w:type="spellEnd"/>
      <w:r>
        <w:rPr>
          <w:lang w:val="en-US"/>
        </w:rPr>
        <w:t xml:space="preserve"> J., op. cit.</w:t>
      </w:r>
      <w:r w:rsidRPr="00931362">
        <w:rPr>
          <w:lang w:val="en-US"/>
        </w:rPr>
        <w:t>, 2002, 11;</w:t>
      </w:r>
      <w:r>
        <w:rPr>
          <w:lang w:val="en-US"/>
        </w:rPr>
        <w:t xml:space="preserve"> </w:t>
      </w:r>
      <w:r w:rsidRPr="00271547">
        <w:rPr>
          <w:lang w:val="en-GB"/>
        </w:rPr>
        <w:t xml:space="preserve">Prevention of Discrimination; the concept and practice of affirmative action, Final report submitted by </w:t>
      </w:r>
      <w:proofErr w:type="spellStart"/>
      <w:r w:rsidRPr="00271547">
        <w:rPr>
          <w:lang w:val="en-GB"/>
        </w:rPr>
        <w:t>Mr.</w:t>
      </w:r>
      <w:proofErr w:type="spellEnd"/>
      <w:r w:rsidRPr="00271547">
        <w:rPr>
          <w:lang w:val="en-GB"/>
        </w:rPr>
        <w:t xml:space="preserve"> Marc </w:t>
      </w:r>
      <w:proofErr w:type="spellStart"/>
      <w:r w:rsidRPr="00271547">
        <w:rPr>
          <w:lang w:val="en-GB"/>
        </w:rPr>
        <w:t>Bossuyt</w:t>
      </w:r>
      <w:proofErr w:type="spellEnd"/>
      <w:r w:rsidRPr="00271547">
        <w:rPr>
          <w:lang w:val="en-GB"/>
        </w:rPr>
        <w:t>, Special Rapporteur, in accordance with Sub-Commissions resolution 1998/5, E/CN.4/Sub.2/2002/21, 17 June 200</w:t>
      </w:r>
      <w:r>
        <w:rPr>
          <w:lang w:val="en-GB"/>
        </w:rPr>
        <w:t xml:space="preserve">2, para. </w:t>
      </w:r>
      <w:r w:rsidRPr="00B95737">
        <w:rPr>
          <w:lang w:val="en-US"/>
        </w:rPr>
        <w:t>91.</w:t>
      </w:r>
    </w:p>
  </w:footnote>
  <w:footnote w:id="73">
    <w:p w:rsidR="00551E68" w:rsidRPr="00B50163" w:rsidRDefault="00551E68" w:rsidP="005869B3">
      <w:pPr>
        <w:pStyle w:val="Voetnoottekst"/>
        <w:jc w:val="both"/>
        <w:rPr>
          <w:bCs/>
          <w:i/>
          <w:lang w:val="en-US"/>
        </w:rPr>
      </w:pPr>
      <w:r>
        <w:rPr>
          <w:rStyle w:val="Voetnootmarkering"/>
        </w:rPr>
        <w:footnoteRef/>
      </w:r>
      <w:r w:rsidRPr="005F6A71">
        <w:rPr>
          <w:lang w:val="en-US"/>
        </w:rPr>
        <w:t xml:space="preserve"> </w:t>
      </w:r>
      <w:r w:rsidRPr="00B50163">
        <w:rPr>
          <w:bCs/>
          <w:lang w:val="en-US"/>
        </w:rPr>
        <w:t xml:space="preserve">Opinion of Advocate General </w:t>
      </w:r>
      <w:proofErr w:type="spellStart"/>
      <w:r w:rsidRPr="00B50163">
        <w:rPr>
          <w:bCs/>
          <w:lang w:val="en-US"/>
        </w:rPr>
        <w:t>Poiares</w:t>
      </w:r>
      <w:proofErr w:type="spellEnd"/>
      <w:r w:rsidRPr="00B50163">
        <w:rPr>
          <w:bCs/>
          <w:lang w:val="en-US"/>
        </w:rPr>
        <w:t xml:space="preserve"> </w:t>
      </w:r>
      <w:proofErr w:type="spellStart"/>
      <w:r w:rsidRPr="00B50163">
        <w:rPr>
          <w:bCs/>
          <w:lang w:val="en-US"/>
        </w:rPr>
        <w:t>Maduro</w:t>
      </w:r>
      <w:proofErr w:type="spellEnd"/>
      <w:r w:rsidRPr="00B50163">
        <w:rPr>
          <w:b/>
          <w:bCs/>
          <w:lang w:val="en-US"/>
        </w:rPr>
        <w:t xml:space="preserve">, </w:t>
      </w:r>
      <w:r w:rsidRPr="00B50163">
        <w:rPr>
          <w:bCs/>
          <w:i/>
          <w:lang w:val="en-US"/>
        </w:rPr>
        <w:t xml:space="preserve">S. Coleman v. </w:t>
      </w:r>
      <w:proofErr w:type="spellStart"/>
      <w:r w:rsidRPr="00B50163">
        <w:rPr>
          <w:bCs/>
          <w:i/>
          <w:lang w:val="en-US"/>
        </w:rPr>
        <w:t>Attridge</w:t>
      </w:r>
      <w:proofErr w:type="spellEnd"/>
      <w:r w:rsidRPr="00B50163">
        <w:rPr>
          <w:bCs/>
          <w:i/>
          <w:lang w:val="en-US"/>
        </w:rPr>
        <w:t xml:space="preserve"> Law and Steve </w:t>
      </w:r>
      <w:r w:rsidRPr="00B50163">
        <w:rPr>
          <w:bCs/>
          <w:lang w:val="en-US"/>
        </w:rPr>
        <w:t>Law, 31 January 2008</w:t>
      </w:r>
      <w:r>
        <w:rPr>
          <w:bCs/>
          <w:lang w:val="en-US"/>
        </w:rPr>
        <w:t xml:space="preserve">, para. 19; </w:t>
      </w:r>
      <w:r w:rsidRPr="005F6A71">
        <w:rPr>
          <w:lang w:val="en-GB"/>
        </w:rPr>
        <w:t xml:space="preserve">Ellis E., </w:t>
      </w:r>
      <w:r w:rsidRPr="005F6A71">
        <w:rPr>
          <w:i/>
          <w:lang w:val="en-GB"/>
        </w:rPr>
        <w:t>EU Anti-Discrimination Law</w:t>
      </w:r>
      <w:r w:rsidRPr="005F6A71">
        <w:rPr>
          <w:lang w:val="en-GB"/>
        </w:rPr>
        <w:t>, Oxford, Oxford University Press, 2005</w:t>
      </w:r>
      <w:r>
        <w:rPr>
          <w:lang w:val="en-GB"/>
        </w:rPr>
        <w:t>, 103;</w:t>
      </w:r>
      <w:r w:rsidRPr="00874167">
        <w:rPr>
          <w:sz w:val="24"/>
          <w:szCs w:val="24"/>
          <w:lang w:val="en-GB"/>
        </w:rPr>
        <w:t xml:space="preserve"> </w:t>
      </w:r>
      <w:proofErr w:type="spellStart"/>
      <w:r>
        <w:rPr>
          <w:lang w:val="en-GB"/>
        </w:rPr>
        <w:t>Mair</w:t>
      </w:r>
      <w:proofErr w:type="spellEnd"/>
      <w:r>
        <w:rPr>
          <w:lang w:val="en-GB"/>
        </w:rPr>
        <w:t xml:space="preserve"> J., op. cit., 13; </w:t>
      </w:r>
      <w:proofErr w:type="spellStart"/>
      <w:r w:rsidRPr="00F67775">
        <w:rPr>
          <w:lang w:val="en-US"/>
        </w:rPr>
        <w:t>Rabe</w:t>
      </w:r>
      <w:proofErr w:type="spellEnd"/>
      <w:r w:rsidRPr="00F67775">
        <w:rPr>
          <w:lang w:val="en-US"/>
        </w:rPr>
        <w:t xml:space="preserve"> J., </w:t>
      </w:r>
      <w:r w:rsidRPr="00F67775">
        <w:rPr>
          <w:i/>
          <w:lang w:val="en-US"/>
        </w:rPr>
        <w:t>Equality, Affirmative Action and Justice</w:t>
      </w:r>
      <w:r w:rsidRPr="00F67775">
        <w:rPr>
          <w:lang w:val="en-US"/>
        </w:rPr>
        <w:t>, Norderstedt, Books on Demand, 2001, 323</w:t>
      </w:r>
      <w:r>
        <w:rPr>
          <w:lang w:val="en-US"/>
        </w:rPr>
        <w:t xml:space="preserve">; </w:t>
      </w:r>
      <w:proofErr w:type="spellStart"/>
      <w:r w:rsidRPr="006471EB">
        <w:rPr>
          <w:lang w:val="en-GB"/>
        </w:rPr>
        <w:t>Tobler</w:t>
      </w:r>
      <w:proofErr w:type="spellEnd"/>
      <w:r w:rsidRPr="006471EB">
        <w:rPr>
          <w:lang w:val="en-GB"/>
        </w:rPr>
        <w:t xml:space="preserve"> C., </w:t>
      </w:r>
      <w:r w:rsidRPr="006471EB">
        <w:rPr>
          <w:i/>
          <w:lang w:val="en-GB"/>
        </w:rPr>
        <w:t>Limits and potential of the concept of indirect discrimination</w:t>
      </w:r>
      <w:r w:rsidRPr="006471EB">
        <w:rPr>
          <w:lang w:val="en-GB"/>
        </w:rPr>
        <w:t xml:space="preserve">, Luxembourg, Office for Official Publications of the </w:t>
      </w:r>
      <w:r>
        <w:rPr>
          <w:lang w:val="en-GB"/>
        </w:rPr>
        <w:t xml:space="preserve">European Communities, 2008, 31. </w:t>
      </w:r>
    </w:p>
  </w:footnote>
  <w:footnote w:id="74">
    <w:p w:rsidR="00551E68" w:rsidRPr="00473AC6" w:rsidRDefault="00551E68" w:rsidP="005869B3">
      <w:pPr>
        <w:pStyle w:val="Voetnoottekst"/>
        <w:jc w:val="both"/>
        <w:rPr>
          <w:i/>
          <w:lang w:val="en-GB"/>
        </w:rPr>
      </w:pPr>
      <w:r>
        <w:rPr>
          <w:rStyle w:val="Voetnootmarkering"/>
        </w:rPr>
        <w:footnoteRef/>
      </w:r>
      <w:r>
        <w:rPr>
          <w:lang w:val="en-US"/>
        </w:rPr>
        <w:t xml:space="preserve"> </w:t>
      </w:r>
      <w:proofErr w:type="spellStart"/>
      <w:r w:rsidRPr="00473AC6">
        <w:rPr>
          <w:lang w:val="en-GB"/>
        </w:rPr>
        <w:t>Bayefsky</w:t>
      </w:r>
      <w:proofErr w:type="spellEnd"/>
      <w:r w:rsidRPr="00473AC6">
        <w:rPr>
          <w:lang w:val="en-GB"/>
        </w:rPr>
        <w:t xml:space="preserve"> A.</w:t>
      </w:r>
      <w:r>
        <w:rPr>
          <w:lang w:val="en-GB"/>
        </w:rPr>
        <w:t>, op. cit., 8-9;</w:t>
      </w:r>
      <w:r>
        <w:rPr>
          <w:i/>
          <w:lang w:val="en-GB"/>
        </w:rPr>
        <w:t xml:space="preserve"> </w:t>
      </w:r>
      <w:r w:rsidRPr="00245398">
        <w:rPr>
          <w:lang w:val="en-US"/>
        </w:rPr>
        <w:t xml:space="preserve">Byrnes A., “Article 1” in  Freeman M., </w:t>
      </w:r>
      <w:proofErr w:type="spellStart"/>
      <w:r w:rsidRPr="00245398">
        <w:rPr>
          <w:lang w:val="en-US"/>
        </w:rPr>
        <w:t>Chinkin</w:t>
      </w:r>
      <w:proofErr w:type="spellEnd"/>
      <w:r w:rsidRPr="00245398">
        <w:rPr>
          <w:lang w:val="en-US"/>
        </w:rPr>
        <w:t xml:space="preserve"> C. and </w:t>
      </w:r>
      <w:proofErr w:type="spellStart"/>
      <w:r w:rsidRPr="00245398">
        <w:rPr>
          <w:lang w:val="en-US"/>
        </w:rPr>
        <w:t>Beate</w:t>
      </w:r>
      <w:proofErr w:type="spellEnd"/>
      <w:r w:rsidRPr="00245398">
        <w:rPr>
          <w:lang w:val="en-US"/>
        </w:rPr>
        <w:t xml:space="preserve"> R. (eds.),</w:t>
      </w:r>
      <w:r>
        <w:rPr>
          <w:lang w:val="en-US"/>
        </w:rPr>
        <w:t xml:space="preserve"> op. cit., 60; </w:t>
      </w:r>
      <w:r w:rsidRPr="00F67775">
        <w:rPr>
          <w:lang w:val="en-GB"/>
        </w:rPr>
        <w:t>International Labour Conference, Equality in Employment and Occupation: General Survey by the Committee of Experts on the Application of Conventions and Rec</w:t>
      </w:r>
      <w:r>
        <w:rPr>
          <w:lang w:val="en-GB"/>
        </w:rPr>
        <w:t>ommendations, Gen</w:t>
      </w:r>
      <w:r w:rsidRPr="00F67775">
        <w:rPr>
          <w:lang w:val="en-GB"/>
        </w:rPr>
        <w:t>eva, International Labour Office, 75</w:t>
      </w:r>
      <w:r w:rsidRPr="00F67775">
        <w:rPr>
          <w:vertAlign w:val="superscript"/>
          <w:lang w:val="en-GB"/>
        </w:rPr>
        <w:t>th</w:t>
      </w:r>
      <w:r w:rsidRPr="00F67775">
        <w:rPr>
          <w:lang w:val="en-GB"/>
        </w:rPr>
        <w:t xml:space="preserve"> Session, 1988, 22</w:t>
      </w:r>
      <w:r>
        <w:rPr>
          <w:lang w:val="en-GB"/>
        </w:rPr>
        <w:t xml:space="preserve">; </w:t>
      </w:r>
      <w:proofErr w:type="spellStart"/>
      <w:r w:rsidRPr="00F67775">
        <w:rPr>
          <w:lang w:val="en-US"/>
        </w:rPr>
        <w:t>Vandenhole</w:t>
      </w:r>
      <w:proofErr w:type="spellEnd"/>
      <w:r w:rsidRPr="00F67775">
        <w:rPr>
          <w:lang w:val="en-US"/>
        </w:rPr>
        <w:t xml:space="preserve"> W., </w:t>
      </w:r>
      <w:r w:rsidRPr="00F67775">
        <w:rPr>
          <w:i/>
          <w:lang w:val="en-US"/>
        </w:rPr>
        <w:t xml:space="preserve">Non-Discrimination and Equality in the view of the UN Human Rights Treaty Bodies, </w:t>
      </w:r>
      <w:r w:rsidRPr="00F67775">
        <w:rPr>
          <w:lang w:val="en-US"/>
        </w:rPr>
        <w:t>Antwerp</w:t>
      </w:r>
      <w:r>
        <w:rPr>
          <w:lang w:val="en-US"/>
        </w:rPr>
        <w:t xml:space="preserve">-Oxford, </w:t>
      </w:r>
      <w:proofErr w:type="spellStart"/>
      <w:r>
        <w:rPr>
          <w:lang w:val="en-US"/>
        </w:rPr>
        <w:t>Intersentia</w:t>
      </w:r>
      <w:proofErr w:type="spellEnd"/>
      <w:r>
        <w:rPr>
          <w:lang w:val="en-US"/>
        </w:rPr>
        <w:t>, 2005, 35.</w:t>
      </w:r>
    </w:p>
  </w:footnote>
  <w:footnote w:id="75">
    <w:p w:rsidR="00551E68" w:rsidRPr="006D5CB2" w:rsidRDefault="00551E68" w:rsidP="005869B3">
      <w:pPr>
        <w:pStyle w:val="Voetnoottekst"/>
        <w:jc w:val="both"/>
        <w:rPr>
          <w:lang w:val="en-US"/>
        </w:rPr>
      </w:pPr>
      <w:r>
        <w:rPr>
          <w:rStyle w:val="Voetnootmarkering"/>
        </w:rPr>
        <w:footnoteRef/>
      </w:r>
      <w:r>
        <w:rPr>
          <w:lang w:val="en-US"/>
        </w:rPr>
        <w:t xml:space="preserve"> </w:t>
      </w:r>
      <w:r w:rsidRPr="001A6804">
        <w:rPr>
          <w:lang w:val="en-US"/>
        </w:rPr>
        <w:t xml:space="preserve">Chalmers D., Davies G. and </w:t>
      </w:r>
      <w:proofErr w:type="spellStart"/>
      <w:r w:rsidRPr="001A6804">
        <w:rPr>
          <w:lang w:val="en-US"/>
        </w:rPr>
        <w:t>Monti</w:t>
      </w:r>
      <w:proofErr w:type="spellEnd"/>
      <w:r w:rsidRPr="001A6804">
        <w:rPr>
          <w:lang w:val="en-US"/>
        </w:rPr>
        <w:t xml:space="preserve"> G.,</w:t>
      </w:r>
      <w:r>
        <w:rPr>
          <w:lang w:val="en-US"/>
        </w:rPr>
        <w:t xml:space="preserve"> op. cit., 546; </w:t>
      </w:r>
      <w:r w:rsidRPr="00FF1E07">
        <w:rPr>
          <w:lang w:val="en-GB"/>
        </w:rPr>
        <w:t xml:space="preserve">Monaghan K., “Equality and Non-Discrimination”, </w:t>
      </w:r>
      <w:r w:rsidRPr="00FF1E07">
        <w:rPr>
          <w:i/>
          <w:lang w:val="en-GB"/>
        </w:rPr>
        <w:t>JR</w:t>
      </w:r>
      <w:r w:rsidRPr="00FF1E07">
        <w:rPr>
          <w:lang w:val="en-GB"/>
        </w:rPr>
        <w:t xml:space="preserve"> </w:t>
      </w:r>
      <w:r>
        <w:rPr>
          <w:lang w:val="en-GB"/>
        </w:rPr>
        <w:t xml:space="preserve">2011, 427. </w:t>
      </w:r>
    </w:p>
  </w:footnote>
  <w:footnote w:id="76">
    <w:p w:rsidR="00551E68" w:rsidRPr="00BB4870" w:rsidRDefault="00551E68" w:rsidP="005869B3">
      <w:pPr>
        <w:pStyle w:val="Voetnoottekst"/>
        <w:jc w:val="both"/>
        <w:rPr>
          <w:lang w:val="en-US"/>
        </w:rPr>
      </w:pPr>
      <w:r>
        <w:rPr>
          <w:rStyle w:val="Voetnootmarkering"/>
        </w:rPr>
        <w:footnoteRef/>
      </w:r>
      <w:r w:rsidRPr="00BB4870">
        <w:rPr>
          <w:lang w:val="en-US"/>
        </w:rPr>
        <w:t xml:space="preserve"> </w:t>
      </w:r>
      <w:r>
        <w:rPr>
          <w:lang w:val="en-US"/>
        </w:rPr>
        <w:t xml:space="preserve">Connolly M., op. cit., 55; </w:t>
      </w:r>
      <w:r w:rsidRPr="00CC7238">
        <w:rPr>
          <w:lang w:val="en-GB"/>
        </w:rPr>
        <w:t xml:space="preserve">O’Connell R., “Cinderella comes to the ball: Article 14 and the right to non-discrimination in the ECHR”, </w:t>
      </w:r>
      <w:r w:rsidRPr="00CC7238">
        <w:rPr>
          <w:i/>
          <w:lang w:val="en-GB"/>
        </w:rPr>
        <w:t xml:space="preserve">LS </w:t>
      </w:r>
      <w:r w:rsidRPr="00CC7238">
        <w:rPr>
          <w:lang w:val="en-GB"/>
        </w:rPr>
        <w:t>2009, 22</w:t>
      </w:r>
      <w:r>
        <w:rPr>
          <w:lang w:val="en-GB"/>
        </w:rPr>
        <w:t xml:space="preserve">3-224.  </w:t>
      </w:r>
    </w:p>
  </w:footnote>
  <w:footnote w:id="77">
    <w:p w:rsidR="00551E68" w:rsidRPr="00A227A6" w:rsidRDefault="00551E68" w:rsidP="005869B3">
      <w:pPr>
        <w:pStyle w:val="Voetnoottekst"/>
        <w:jc w:val="both"/>
        <w:rPr>
          <w:b/>
          <w:lang w:val="en-GB"/>
        </w:rPr>
      </w:pPr>
      <w:r>
        <w:rPr>
          <w:rStyle w:val="Voetnootmarkering"/>
        </w:rPr>
        <w:footnoteRef/>
      </w:r>
      <w:r>
        <w:rPr>
          <w:lang w:val="en-GB"/>
        </w:rPr>
        <w:t xml:space="preserve"> </w:t>
      </w:r>
      <w:proofErr w:type="spellStart"/>
      <w:r w:rsidRPr="00662C88">
        <w:rPr>
          <w:lang w:val="en-GB"/>
        </w:rPr>
        <w:t>Moeckli</w:t>
      </w:r>
      <w:proofErr w:type="spellEnd"/>
      <w:r w:rsidRPr="00662C88">
        <w:rPr>
          <w:lang w:val="en-GB"/>
        </w:rPr>
        <w:t xml:space="preserve"> D., “Equality and Non-Discrimination” in</w:t>
      </w:r>
      <w:r>
        <w:rPr>
          <w:lang w:val="en-US"/>
        </w:rPr>
        <w:t xml:space="preserve"> </w:t>
      </w:r>
      <w:proofErr w:type="spellStart"/>
      <w:r w:rsidRPr="00A853C0">
        <w:rPr>
          <w:lang w:val="en-US"/>
        </w:rPr>
        <w:t>Moeckli</w:t>
      </w:r>
      <w:proofErr w:type="spellEnd"/>
      <w:r w:rsidRPr="00A853C0">
        <w:rPr>
          <w:lang w:val="en-US"/>
        </w:rPr>
        <w:t xml:space="preserve"> D</w:t>
      </w:r>
      <w:r>
        <w:rPr>
          <w:lang w:val="en-US"/>
        </w:rPr>
        <w:t xml:space="preserve">., Shah S. and </w:t>
      </w:r>
      <w:proofErr w:type="spellStart"/>
      <w:r>
        <w:rPr>
          <w:lang w:val="en-US"/>
        </w:rPr>
        <w:t>Sivakumaran</w:t>
      </w:r>
      <w:proofErr w:type="spellEnd"/>
      <w:r>
        <w:rPr>
          <w:lang w:val="en-US"/>
        </w:rPr>
        <w:t xml:space="preserve"> S. (eds.)</w:t>
      </w:r>
      <w:r w:rsidRPr="00A853C0">
        <w:rPr>
          <w:lang w:val="en-US"/>
        </w:rPr>
        <w:t>,</w:t>
      </w:r>
      <w:r>
        <w:rPr>
          <w:lang w:val="en-US"/>
        </w:rPr>
        <w:t xml:space="preserve"> op. cit., 196; </w:t>
      </w:r>
      <w:r>
        <w:rPr>
          <w:lang w:val="en-GB"/>
        </w:rPr>
        <w:t xml:space="preserve">Smith R., op. cit., 197. </w:t>
      </w:r>
    </w:p>
  </w:footnote>
  <w:footnote w:id="78">
    <w:p w:rsidR="00551E68" w:rsidRPr="00D339F2" w:rsidRDefault="00551E68" w:rsidP="005869B3">
      <w:pPr>
        <w:pStyle w:val="Voetnoottekst"/>
        <w:jc w:val="both"/>
      </w:pPr>
      <w:r>
        <w:rPr>
          <w:rStyle w:val="Voetnootmarkering"/>
        </w:rPr>
        <w:footnoteRef/>
      </w:r>
      <w:r>
        <w:t xml:space="preserve"> </w:t>
      </w:r>
      <w:r w:rsidRPr="00E13788">
        <w:t xml:space="preserve">De Prins D., </w:t>
      </w:r>
      <w:proofErr w:type="spellStart"/>
      <w:r w:rsidRPr="00E13788">
        <w:t>Sottiaux</w:t>
      </w:r>
      <w:proofErr w:type="spellEnd"/>
      <w:r w:rsidRPr="00E13788">
        <w:t xml:space="preserve"> S. en </w:t>
      </w:r>
      <w:proofErr w:type="spellStart"/>
      <w:r w:rsidRPr="00E13788">
        <w:t>Vrielink</w:t>
      </w:r>
      <w:proofErr w:type="spellEnd"/>
      <w:r>
        <w:t xml:space="preserve"> J., op. </w:t>
      </w:r>
      <w:proofErr w:type="spellStart"/>
      <w:r>
        <w:t>cit</w:t>
      </w:r>
      <w:proofErr w:type="spellEnd"/>
      <w:r>
        <w:t>.</w:t>
      </w:r>
      <w:r w:rsidRPr="00E13788">
        <w:t xml:space="preserve">, </w:t>
      </w:r>
      <w:r>
        <w:t xml:space="preserve">5; </w:t>
      </w:r>
      <w:r w:rsidRPr="00AA1EC2">
        <w:t xml:space="preserve">Gerards J., op. </w:t>
      </w:r>
      <w:proofErr w:type="spellStart"/>
      <w:r w:rsidRPr="00AA1EC2">
        <w:t>cit</w:t>
      </w:r>
      <w:proofErr w:type="spellEnd"/>
      <w:r w:rsidRPr="00AA1EC2">
        <w:t>.,</w:t>
      </w:r>
      <w:r>
        <w:t xml:space="preserve"> 16.   </w:t>
      </w:r>
    </w:p>
  </w:footnote>
  <w:footnote w:id="79">
    <w:p w:rsidR="00551E68" w:rsidRPr="00062273" w:rsidRDefault="00551E68" w:rsidP="005869B3">
      <w:pPr>
        <w:pStyle w:val="Voetnoottekst"/>
        <w:jc w:val="both"/>
        <w:rPr>
          <w:b/>
          <w:bCs/>
          <w:u w:val="single"/>
          <w:lang w:val="en-US"/>
        </w:rPr>
      </w:pPr>
      <w:r>
        <w:rPr>
          <w:rStyle w:val="Voetnootmarkering"/>
        </w:rPr>
        <w:footnoteRef/>
      </w:r>
      <w:r w:rsidRPr="00B953EC">
        <w:rPr>
          <w:lang w:val="en-US"/>
        </w:rPr>
        <w:t xml:space="preserve"> Close</w:t>
      </w:r>
      <w:r>
        <w:rPr>
          <w:lang w:val="en-US"/>
        </w:rPr>
        <w:t xml:space="preserve">d provisions are for example: articles 18 and 19 TFEU and article 2 </w:t>
      </w:r>
      <w:r w:rsidRPr="00B953EC">
        <w:rPr>
          <w:bCs/>
          <w:lang w:val="en-US"/>
        </w:rPr>
        <w:t>Directive 2006/54</w:t>
      </w:r>
      <w:r>
        <w:rPr>
          <w:bCs/>
          <w:lang w:val="en-US"/>
        </w:rPr>
        <w:t>. An open provision is for example: article 21 EU Charter</w:t>
      </w:r>
      <w:r>
        <w:rPr>
          <w:bCs/>
          <w:lang w:val="en-GB"/>
        </w:rPr>
        <w:t xml:space="preserve">. </w:t>
      </w:r>
      <w:r>
        <w:rPr>
          <w:bCs/>
          <w:lang w:val="en-US"/>
        </w:rPr>
        <w:t xml:space="preserve">Craig P. and de </w:t>
      </w:r>
      <w:proofErr w:type="spellStart"/>
      <w:r>
        <w:rPr>
          <w:bCs/>
          <w:lang w:val="en-US"/>
        </w:rPr>
        <w:t>Burca</w:t>
      </w:r>
      <w:proofErr w:type="spellEnd"/>
      <w:r>
        <w:rPr>
          <w:bCs/>
          <w:lang w:val="en-US"/>
        </w:rPr>
        <w:t xml:space="preserve"> G., </w:t>
      </w:r>
      <w:r w:rsidRPr="005A4460">
        <w:rPr>
          <w:bCs/>
          <w:i/>
          <w:lang w:val="en-US"/>
        </w:rPr>
        <w:t>EU Law</w:t>
      </w:r>
      <w:r w:rsidRPr="005A4460">
        <w:rPr>
          <w:bCs/>
          <w:lang w:val="en-US"/>
        </w:rPr>
        <w:t>, Oxford, Oxford University Press, 2011</w:t>
      </w:r>
      <w:r>
        <w:rPr>
          <w:bCs/>
          <w:lang w:val="en-US"/>
        </w:rPr>
        <w:t>, 855;</w:t>
      </w:r>
      <w:r>
        <w:rPr>
          <w:rFonts w:eastAsia="Calibri"/>
          <w:lang w:val="en-GB"/>
        </w:rPr>
        <w:t xml:space="preserve"> </w:t>
      </w:r>
      <w:r w:rsidRPr="00BE35D3">
        <w:rPr>
          <w:bCs/>
          <w:lang w:val="en-GB"/>
        </w:rPr>
        <w:t xml:space="preserve">Howard E., “Equality: A fundamental right in the European Union?”, </w:t>
      </w:r>
      <w:r w:rsidRPr="00BE35D3">
        <w:rPr>
          <w:bCs/>
          <w:i/>
          <w:lang w:val="en-GB"/>
        </w:rPr>
        <w:t>I.J.D.L.</w:t>
      </w:r>
      <w:r w:rsidRPr="00BE35D3">
        <w:rPr>
          <w:bCs/>
          <w:lang w:val="en-GB"/>
        </w:rPr>
        <w:t xml:space="preserve"> 2</w:t>
      </w:r>
      <w:r>
        <w:rPr>
          <w:bCs/>
          <w:lang w:val="en-GB"/>
        </w:rPr>
        <w:t>009, 28.</w:t>
      </w:r>
    </w:p>
  </w:footnote>
  <w:footnote w:id="80">
    <w:p w:rsidR="00551E68" w:rsidRPr="005A341C" w:rsidRDefault="00551E68" w:rsidP="005869B3">
      <w:pPr>
        <w:pStyle w:val="Voetnoottekst"/>
        <w:jc w:val="both"/>
        <w:rPr>
          <w:lang w:val="en-US"/>
        </w:rPr>
      </w:pPr>
      <w:r>
        <w:rPr>
          <w:rStyle w:val="Voetnootmarkering"/>
        </w:rPr>
        <w:footnoteRef/>
      </w:r>
      <w:r>
        <w:rPr>
          <w:lang w:val="en-US"/>
        </w:rPr>
        <w:t xml:space="preserve"> Article E </w:t>
      </w:r>
      <w:r w:rsidRPr="005A341C">
        <w:rPr>
          <w:lang w:val="en-US"/>
        </w:rPr>
        <w:t>R</w:t>
      </w:r>
      <w:r>
        <w:rPr>
          <w:lang w:val="en-US"/>
        </w:rPr>
        <w:t xml:space="preserve">ESC. </w:t>
      </w:r>
    </w:p>
  </w:footnote>
  <w:footnote w:id="81">
    <w:p w:rsidR="00551E68" w:rsidRPr="004A40CB" w:rsidRDefault="00551E68" w:rsidP="005869B3">
      <w:pPr>
        <w:pStyle w:val="Voetnoottekst"/>
        <w:jc w:val="both"/>
        <w:rPr>
          <w:lang w:val="en-US"/>
        </w:rPr>
      </w:pPr>
      <w:r>
        <w:rPr>
          <w:rStyle w:val="Voetnootmarkering"/>
        </w:rPr>
        <w:footnoteRef/>
      </w:r>
      <w:r w:rsidRPr="00BB0279">
        <w:rPr>
          <w:lang w:val="en-US"/>
        </w:rPr>
        <w:t xml:space="preserve"> </w:t>
      </w:r>
      <w:proofErr w:type="spellStart"/>
      <w:r w:rsidRPr="00BB0279">
        <w:rPr>
          <w:lang w:val="en-GB"/>
        </w:rPr>
        <w:t>Besson</w:t>
      </w:r>
      <w:proofErr w:type="spellEnd"/>
      <w:r w:rsidRPr="00BB0279">
        <w:rPr>
          <w:lang w:val="en-GB"/>
        </w:rPr>
        <w:t xml:space="preserve"> S., “Evolutions in Non-Discrimination Law within the ECHR and the ESC Systems: It Takes Two Tango in the Council of Europe”, </w:t>
      </w:r>
      <w:r w:rsidRPr="00BB0279">
        <w:rPr>
          <w:i/>
          <w:lang w:val="en-GB"/>
        </w:rPr>
        <w:t>Am. J. Comp. L.</w:t>
      </w:r>
      <w:r>
        <w:rPr>
          <w:lang w:val="en-GB"/>
        </w:rPr>
        <w:t xml:space="preserve"> 2012, 166; </w:t>
      </w:r>
      <w:r w:rsidRPr="00526B65">
        <w:rPr>
          <w:lang w:val="en-US"/>
        </w:rPr>
        <w:t xml:space="preserve">Janis M., Kay R., Bradley A., </w:t>
      </w:r>
      <w:proofErr w:type="spellStart"/>
      <w:r w:rsidRPr="00526B65">
        <w:rPr>
          <w:lang w:val="en-US"/>
        </w:rPr>
        <w:t>McColgan</w:t>
      </w:r>
      <w:proofErr w:type="spellEnd"/>
      <w:r w:rsidRPr="00526B65">
        <w:rPr>
          <w:lang w:val="en-US"/>
        </w:rPr>
        <w:t xml:space="preserve"> A., Murdoch J., </w:t>
      </w:r>
      <w:r w:rsidRPr="00526B65">
        <w:rPr>
          <w:i/>
          <w:lang w:val="en-US"/>
        </w:rPr>
        <w:t xml:space="preserve">European Human Rights Law, </w:t>
      </w:r>
      <w:r w:rsidRPr="00526B65">
        <w:rPr>
          <w:lang w:val="en-US"/>
        </w:rPr>
        <w:t>Oxford, Oxford</w:t>
      </w:r>
      <w:r>
        <w:rPr>
          <w:lang w:val="en-US"/>
        </w:rPr>
        <w:t xml:space="preserve"> University Press, 2008, 471-472;</w:t>
      </w:r>
      <w:r>
        <w:rPr>
          <w:b/>
          <w:lang w:val="en-US"/>
        </w:rPr>
        <w:t xml:space="preserve"> </w:t>
      </w:r>
      <w:r w:rsidRPr="00A8116E">
        <w:rPr>
          <w:lang w:val="en-US"/>
        </w:rPr>
        <w:t>O’Con</w:t>
      </w:r>
      <w:r>
        <w:rPr>
          <w:lang w:val="en-US"/>
        </w:rPr>
        <w:t xml:space="preserve">nell R., op. cit., 222; </w:t>
      </w:r>
      <w:proofErr w:type="spellStart"/>
      <w:r>
        <w:rPr>
          <w:lang w:val="en-US"/>
        </w:rPr>
        <w:t>Vandenhole</w:t>
      </w:r>
      <w:proofErr w:type="spellEnd"/>
      <w:r>
        <w:rPr>
          <w:lang w:val="en-US"/>
        </w:rPr>
        <w:t xml:space="preserve"> W., op. cit., 87-88.</w:t>
      </w:r>
    </w:p>
  </w:footnote>
  <w:footnote w:id="82">
    <w:p w:rsidR="00551E68" w:rsidRPr="00F11443" w:rsidRDefault="00551E68" w:rsidP="005869B3">
      <w:pPr>
        <w:pStyle w:val="Voetnoottekst"/>
        <w:jc w:val="both"/>
        <w:rPr>
          <w:lang w:val="en-US"/>
        </w:rPr>
      </w:pPr>
      <w:r>
        <w:rPr>
          <w:rStyle w:val="Voetnootmarkering"/>
        </w:rPr>
        <w:footnoteRef/>
      </w:r>
      <w:r w:rsidRPr="00F11443">
        <w:rPr>
          <w:lang w:val="en-US"/>
        </w:rPr>
        <w:t xml:space="preserve"> Article 1 CEDAW. </w:t>
      </w:r>
    </w:p>
  </w:footnote>
  <w:footnote w:id="83">
    <w:p w:rsidR="00551E68" w:rsidRPr="003A5D52" w:rsidRDefault="00551E68" w:rsidP="005869B3">
      <w:pPr>
        <w:pStyle w:val="Voetnoottekst"/>
        <w:jc w:val="both"/>
        <w:rPr>
          <w:lang w:val="en-GB"/>
        </w:rPr>
      </w:pPr>
      <w:r>
        <w:rPr>
          <w:rStyle w:val="Voetnootmarkering"/>
        </w:rPr>
        <w:footnoteRef/>
      </w:r>
      <w:r w:rsidRPr="003A5D52">
        <w:rPr>
          <w:lang w:val="en-US"/>
        </w:rPr>
        <w:t xml:space="preserve"> Article 1(a) ILO </w:t>
      </w:r>
      <w:r w:rsidRPr="003A5D52">
        <w:rPr>
          <w:lang w:val="en-GB"/>
        </w:rPr>
        <w:t>Conventi</w:t>
      </w:r>
      <w:r>
        <w:rPr>
          <w:lang w:val="en-GB"/>
        </w:rPr>
        <w:t xml:space="preserve">on no. 111. </w:t>
      </w:r>
    </w:p>
  </w:footnote>
  <w:footnote w:id="84">
    <w:p w:rsidR="00551E68" w:rsidRPr="003A5D52" w:rsidRDefault="00551E68" w:rsidP="005869B3">
      <w:pPr>
        <w:pStyle w:val="Voetnoottekst"/>
        <w:jc w:val="both"/>
        <w:rPr>
          <w:u w:val="single"/>
          <w:lang w:val="en-GB"/>
        </w:rPr>
      </w:pPr>
      <w:r>
        <w:rPr>
          <w:rStyle w:val="Voetnootmarkering"/>
        </w:rPr>
        <w:footnoteRef/>
      </w:r>
      <w:r w:rsidRPr="003A5D52">
        <w:rPr>
          <w:lang w:val="en-US"/>
        </w:rPr>
        <w:t xml:space="preserve"> </w:t>
      </w:r>
      <w:proofErr w:type="spellStart"/>
      <w:r w:rsidRPr="003A5D52">
        <w:rPr>
          <w:lang w:val="en-US"/>
        </w:rPr>
        <w:t>Vandenhole</w:t>
      </w:r>
      <w:proofErr w:type="spellEnd"/>
      <w:r w:rsidRPr="003A5D52">
        <w:rPr>
          <w:lang w:val="en-US"/>
        </w:rPr>
        <w:t xml:space="preserve"> W., op. cit., 87;</w:t>
      </w:r>
      <w:r w:rsidRPr="003A5D52">
        <w:rPr>
          <w:rFonts w:eastAsia="Calibri"/>
          <w:lang w:val="en-GB"/>
        </w:rPr>
        <w:t xml:space="preserve"> </w:t>
      </w:r>
      <w:r w:rsidRPr="003A5D52">
        <w:rPr>
          <w:lang w:val="en-GB"/>
        </w:rPr>
        <w:t>International Labour Conference, Equality in Employment and Occupation: General Survey by the Committee of Experts on the Application of Conventions and Recommendations, Geneva, International Labour Office, 75</w:t>
      </w:r>
      <w:r w:rsidRPr="003A5D52">
        <w:rPr>
          <w:vertAlign w:val="superscript"/>
          <w:lang w:val="en-GB"/>
        </w:rPr>
        <w:t>th</w:t>
      </w:r>
      <w:r w:rsidRPr="003A5D52">
        <w:rPr>
          <w:lang w:val="en-GB"/>
        </w:rPr>
        <w:t xml:space="preserve"> Session, 1988, 2</w:t>
      </w:r>
      <w:r>
        <w:rPr>
          <w:lang w:val="en-GB"/>
        </w:rPr>
        <w:t xml:space="preserve">4. </w:t>
      </w:r>
    </w:p>
  </w:footnote>
  <w:footnote w:id="85">
    <w:p w:rsidR="00551E68" w:rsidRPr="00823281" w:rsidRDefault="00551E68" w:rsidP="005869B3">
      <w:pPr>
        <w:pStyle w:val="Voetnoottekst"/>
        <w:jc w:val="both"/>
        <w:rPr>
          <w:b/>
          <w:u w:val="single"/>
          <w:lang w:val="en-GB"/>
        </w:rPr>
      </w:pPr>
      <w:r>
        <w:rPr>
          <w:rStyle w:val="Voetnootmarkering"/>
        </w:rPr>
        <w:footnoteRef/>
      </w:r>
      <w:proofErr w:type="spellStart"/>
      <w:r w:rsidRPr="00823281">
        <w:rPr>
          <w:lang w:val="en-GB"/>
        </w:rPr>
        <w:t>Arnardottir</w:t>
      </w:r>
      <w:proofErr w:type="spellEnd"/>
      <w:r w:rsidRPr="00823281">
        <w:rPr>
          <w:lang w:val="en-GB"/>
        </w:rPr>
        <w:t xml:space="preserve"> O., op. cit., 23; </w:t>
      </w:r>
      <w:proofErr w:type="spellStart"/>
      <w:r w:rsidRPr="00823281">
        <w:rPr>
          <w:lang w:val="en-GB"/>
        </w:rPr>
        <w:t>Banton</w:t>
      </w:r>
      <w:proofErr w:type="spellEnd"/>
      <w:r w:rsidRPr="00823281">
        <w:rPr>
          <w:lang w:val="en-GB"/>
        </w:rPr>
        <w:t xml:space="preserve"> M., “Discrimination Entails Comparison” in </w:t>
      </w:r>
      <w:proofErr w:type="spellStart"/>
      <w:r w:rsidRPr="00823281">
        <w:rPr>
          <w:lang w:val="en-GB"/>
        </w:rPr>
        <w:t>Loenen</w:t>
      </w:r>
      <w:proofErr w:type="spellEnd"/>
      <w:r w:rsidRPr="00823281">
        <w:rPr>
          <w:lang w:val="en-GB"/>
        </w:rPr>
        <w:t xml:space="preserve"> T. and Rodriquez P. (eds.), </w:t>
      </w:r>
      <w:r w:rsidRPr="00823281">
        <w:rPr>
          <w:i/>
          <w:lang w:val="en-GB"/>
        </w:rPr>
        <w:t>Non-Discrimination Law: Comparative Perspectives</w:t>
      </w:r>
      <w:r w:rsidRPr="00823281">
        <w:rPr>
          <w:lang w:val="en-GB"/>
        </w:rPr>
        <w:t xml:space="preserve">, The Hague, Kluwer Law International, 1999, 107. </w:t>
      </w:r>
    </w:p>
  </w:footnote>
  <w:footnote w:id="86">
    <w:p w:rsidR="00551E68" w:rsidRPr="00663BAE" w:rsidRDefault="00551E68" w:rsidP="005869B3">
      <w:pPr>
        <w:pStyle w:val="Voetnoottekst"/>
        <w:jc w:val="both"/>
        <w:rPr>
          <w:lang w:val="en-GB"/>
        </w:rPr>
      </w:pPr>
      <w:r>
        <w:rPr>
          <w:rStyle w:val="Voetnootmarkering"/>
        </w:rPr>
        <w:footnoteRef/>
      </w:r>
      <w:r w:rsidRPr="00D62A6C">
        <w:rPr>
          <w:lang w:val="en-US"/>
        </w:rPr>
        <w:t xml:space="preserve"> </w:t>
      </w:r>
      <w:proofErr w:type="spellStart"/>
      <w:r w:rsidRPr="00710869">
        <w:rPr>
          <w:lang w:val="en-GB"/>
        </w:rPr>
        <w:t>Lenaerts</w:t>
      </w:r>
      <w:proofErr w:type="spellEnd"/>
      <w:r w:rsidRPr="00710869">
        <w:rPr>
          <w:lang w:val="en-GB"/>
        </w:rPr>
        <w:t xml:space="preserve"> K. and Van </w:t>
      </w:r>
      <w:proofErr w:type="spellStart"/>
      <w:r w:rsidRPr="00710869">
        <w:rPr>
          <w:lang w:val="en-GB"/>
        </w:rPr>
        <w:t>Nuffel</w:t>
      </w:r>
      <w:proofErr w:type="spellEnd"/>
      <w:r w:rsidRPr="00710869">
        <w:rPr>
          <w:lang w:val="en-GB"/>
        </w:rPr>
        <w:t xml:space="preserve"> P., </w:t>
      </w:r>
      <w:r w:rsidRPr="00710869">
        <w:rPr>
          <w:i/>
          <w:lang w:val="en-GB"/>
        </w:rPr>
        <w:t>European Union Law</w:t>
      </w:r>
      <w:r w:rsidRPr="00710869">
        <w:rPr>
          <w:lang w:val="en-GB"/>
        </w:rPr>
        <w:t>, London, Sweet &amp; Maxwell, 2011</w:t>
      </w:r>
      <w:r>
        <w:rPr>
          <w:lang w:val="en-GB"/>
        </w:rPr>
        <w:t xml:space="preserve">, 172; </w:t>
      </w:r>
      <w:proofErr w:type="spellStart"/>
      <w:r w:rsidRPr="00663BAE">
        <w:rPr>
          <w:lang w:val="en-GB"/>
        </w:rPr>
        <w:t>Smis</w:t>
      </w:r>
      <w:proofErr w:type="spellEnd"/>
      <w:r w:rsidRPr="00663BAE">
        <w:rPr>
          <w:lang w:val="en-GB"/>
        </w:rPr>
        <w:t xml:space="preserve"> S., </w:t>
      </w:r>
      <w:proofErr w:type="spellStart"/>
      <w:r w:rsidRPr="00663BAE">
        <w:rPr>
          <w:lang w:val="en-GB"/>
        </w:rPr>
        <w:t>Janssens</w:t>
      </w:r>
      <w:proofErr w:type="spellEnd"/>
      <w:r w:rsidRPr="00663BAE">
        <w:rPr>
          <w:lang w:val="en-GB"/>
        </w:rPr>
        <w:t xml:space="preserve"> C., </w:t>
      </w:r>
      <w:proofErr w:type="spellStart"/>
      <w:r w:rsidRPr="00663BAE">
        <w:rPr>
          <w:lang w:val="en-GB"/>
        </w:rPr>
        <w:t>Mirgaux</w:t>
      </w:r>
      <w:proofErr w:type="spellEnd"/>
      <w:r w:rsidRPr="00663BAE">
        <w:rPr>
          <w:lang w:val="en-GB"/>
        </w:rPr>
        <w:t xml:space="preserve"> S. en Van </w:t>
      </w:r>
      <w:proofErr w:type="spellStart"/>
      <w:r w:rsidRPr="00663BAE">
        <w:rPr>
          <w:lang w:val="en-GB"/>
        </w:rPr>
        <w:t>Laethem</w:t>
      </w:r>
      <w:proofErr w:type="spellEnd"/>
      <w:r w:rsidRPr="00663BAE">
        <w:rPr>
          <w:lang w:val="en-GB"/>
        </w:rPr>
        <w:t xml:space="preserve"> K., op. cit.,</w:t>
      </w:r>
      <w:r>
        <w:rPr>
          <w:lang w:val="en-GB"/>
        </w:rPr>
        <w:t xml:space="preserve"> 526. </w:t>
      </w:r>
    </w:p>
  </w:footnote>
  <w:footnote w:id="87">
    <w:p w:rsidR="00551E68" w:rsidRPr="00C1534F" w:rsidRDefault="00551E68" w:rsidP="005869B3">
      <w:pPr>
        <w:pStyle w:val="Voetnoottekst"/>
        <w:jc w:val="both"/>
        <w:rPr>
          <w:i/>
          <w:lang w:val="en-GB"/>
        </w:rPr>
      </w:pPr>
      <w:r>
        <w:rPr>
          <w:rStyle w:val="Voetnootmarkering"/>
        </w:rPr>
        <w:footnoteRef/>
      </w:r>
      <w:r>
        <w:rPr>
          <w:lang w:val="en-US"/>
        </w:rPr>
        <w:t xml:space="preserve"> </w:t>
      </w:r>
      <w:proofErr w:type="spellStart"/>
      <w:r w:rsidRPr="00C1534F">
        <w:rPr>
          <w:lang w:val="en-GB"/>
        </w:rPr>
        <w:t>Besson</w:t>
      </w:r>
      <w:proofErr w:type="spellEnd"/>
      <w:r w:rsidRPr="00C1534F">
        <w:rPr>
          <w:lang w:val="en-GB"/>
        </w:rPr>
        <w:t xml:space="preserve"> S., “Gender Discrimination under EU and ECHR Law: Never Shall the Twain Meet?”, </w:t>
      </w:r>
      <w:r w:rsidRPr="00C1534F">
        <w:rPr>
          <w:i/>
          <w:lang w:val="en-GB"/>
        </w:rPr>
        <w:t>H. R. L. Rev.</w:t>
      </w:r>
      <w:r w:rsidRPr="00C1534F">
        <w:rPr>
          <w:lang w:val="en-GB"/>
        </w:rPr>
        <w:t xml:space="preserve"> </w:t>
      </w:r>
      <w:r>
        <w:rPr>
          <w:lang w:val="en-GB"/>
        </w:rPr>
        <w:t xml:space="preserve">2008, 661; </w:t>
      </w:r>
      <w:proofErr w:type="spellStart"/>
      <w:r w:rsidRPr="00C1534F">
        <w:rPr>
          <w:lang w:val="en-US"/>
        </w:rPr>
        <w:t>Foubert</w:t>
      </w:r>
      <w:proofErr w:type="spellEnd"/>
      <w:r w:rsidRPr="00C1534F">
        <w:rPr>
          <w:lang w:val="en-US"/>
        </w:rPr>
        <w:t xml:space="preserve"> P., op. cit., 33</w:t>
      </w:r>
      <w:r>
        <w:rPr>
          <w:lang w:val="en-US"/>
        </w:rPr>
        <w:t xml:space="preserve">. </w:t>
      </w:r>
    </w:p>
  </w:footnote>
  <w:footnote w:id="88">
    <w:p w:rsidR="00551E68" w:rsidRPr="007602D9" w:rsidRDefault="00551E68" w:rsidP="005869B3">
      <w:pPr>
        <w:pStyle w:val="Voetnoottekst"/>
        <w:jc w:val="both"/>
        <w:rPr>
          <w:lang w:val="en-US"/>
        </w:rPr>
      </w:pPr>
      <w:r>
        <w:rPr>
          <w:rStyle w:val="Voetnootmarkering"/>
        </w:rPr>
        <w:footnoteRef/>
      </w:r>
      <w:r w:rsidRPr="007602D9">
        <w:rPr>
          <w:lang w:val="en-US"/>
        </w:rPr>
        <w:t xml:space="preserve"> Bell M., “Dir</w:t>
      </w:r>
      <w:r>
        <w:rPr>
          <w:lang w:val="en-US"/>
        </w:rPr>
        <w:t>ect Discrimination” in</w:t>
      </w:r>
      <w:r w:rsidRPr="007602D9">
        <w:rPr>
          <w:sz w:val="24"/>
          <w:szCs w:val="24"/>
          <w:lang w:val="en-US"/>
        </w:rPr>
        <w:t xml:space="preserve"> </w:t>
      </w:r>
      <w:proofErr w:type="spellStart"/>
      <w:r w:rsidRPr="007602D9">
        <w:rPr>
          <w:lang w:val="en-US"/>
        </w:rPr>
        <w:t>Schiek</w:t>
      </w:r>
      <w:proofErr w:type="spellEnd"/>
      <w:r w:rsidRPr="007602D9">
        <w:rPr>
          <w:lang w:val="en-US"/>
        </w:rPr>
        <w:t xml:space="preserve"> D., Waddington L. and Bell M. (eds.), op. cit.,</w:t>
      </w:r>
      <w:r>
        <w:rPr>
          <w:lang w:val="en-US"/>
        </w:rPr>
        <w:t xml:space="preserve"> 229; </w:t>
      </w:r>
      <w:proofErr w:type="spellStart"/>
      <w:r w:rsidRPr="007602D9">
        <w:rPr>
          <w:lang w:val="en-US"/>
        </w:rPr>
        <w:t>Mair</w:t>
      </w:r>
      <w:proofErr w:type="spellEnd"/>
      <w:r w:rsidRPr="007602D9">
        <w:rPr>
          <w:lang w:val="en-US"/>
        </w:rPr>
        <w:t xml:space="preserve"> J.,</w:t>
      </w:r>
      <w:r>
        <w:rPr>
          <w:lang w:val="en-US"/>
        </w:rPr>
        <w:t xml:space="preserve"> op. cit., 13. </w:t>
      </w:r>
    </w:p>
  </w:footnote>
  <w:footnote w:id="89">
    <w:p w:rsidR="00551E68" w:rsidRPr="008B3C24" w:rsidRDefault="00551E68" w:rsidP="005869B3">
      <w:pPr>
        <w:pStyle w:val="Voetnoottekst"/>
        <w:jc w:val="both"/>
        <w:rPr>
          <w:lang w:val="en-US"/>
        </w:rPr>
      </w:pPr>
      <w:r>
        <w:rPr>
          <w:rStyle w:val="Voetnootmarkering"/>
        </w:rPr>
        <w:footnoteRef/>
      </w:r>
      <w:r w:rsidRPr="00D62A6C">
        <w:rPr>
          <w:lang w:val="en-US"/>
        </w:rPr>
        <w:t xml:space="preserve"> </w:t>
      </w:r>
      <w:r>
        <w:rPr>
          <w:lang w:val="en-US"/>
        </w:rPr>
        <w:t xml:space="preserve">See for example </w:t>
      </w:r>
      <w:r w:rsidRPr="00DB4DBF">
        <w:rPr>
          <w:lang w:val="en-US"/>
        </w:rPr>
        <w:t xml:space="preserve">; </w:t>
      </w:r>
      <w:r w:rsidRPr="00B13EE2">
        <w:rPr>
          <w:lang w:val="en-US"/>
        </w:rPr>
        <w:t xml:space="preserve">ECJ C-43/75, </w:t>
      </w:r>
      <w:proofErr w:type="spellStart"/>
      <w:r w:rsidRPr="00B13EE2">
        <w:rPr>
          <w:i/>
          <w:lang w:val="en-US"/>
        </w:rPr>
        <w:t>Defrenne</w:t>
      </w:r>
      <w:proofErr w:type="spellEnd"/>
      <w:r w:rsidRPr="00B13EE2">
        <w:rPr>
          <w:i/>
          <w:lang w:val="en-US"/>
        </w:rPr>
        <w:t xml:space="preserve"> II</w:t>
      </w:r>
      <w:r>
        <w:rPr>
          <w:lang w:val="en-US"/>
        </w:rPr>
        <w:t xml:space="preserve">, 1976, paras 18-19; </w:t>
      </w:r>
      <w:r w:rsidRPr="00824528">
        <w:rPr>
          <w:lang w:val="en-US"/>
        </w:rPr>
        <w:t xml:space="preserve">ECJ C- 129/79, </w:t>
      </w:r>
      <w:proofErr w:type="spellStart"/>
      <w:r w:rsidRPr="00824528">
        <w:rPr>
          <w:i/>
          <w:lang w:val="en-US"/>
        </w:rPr>
        <w:t>Macarthys</w:t>
      </w:r>
      <w:proofErr w:type="spellEnd"/>
      <w:r w:rsidRPr="00824528">
        <w:rPr>
          <w:i/>
          <w:lang w:val="en-US"/>
        </w:rPr>
        <w:t xml:space="preserve"> Ltd v. Wendy Smith</w:t>
      </w:r>
      <w:r w:rsidRPr="00824528">
        <w:rPr>
          <w:lang w:val="en-US"/>
        </w:rPr>
        <w:t>, 1980</w:t>
      </w:r>
      <w:r>
        <w:rPr>
          <w:lang w:val="en-US"/>
        </w:rPr>
        <w:t xml:space="preserve">, para. 15; </w:t>
      </w:r>
      <w:proofErr w:type="spellStart"/>
      <w:r w:rsidRPr="00DB4DBF">
        <w:rPr>
          <w:lang w:val="en-GB"/>
        </w:rPr>
        <w:t>Tobler</w:t>
      </w:r>
      <w:proofErr w:type="spellEnd"/>
      <w:r w:rsidRPr="00DB4DBF">
        <w:rPr>
          <w:lang w:val="en-GB"/>
        </w:rPr>
        <w:t xml:space="preserve"> C., </w:t>
      </w:r>
      <w:r w:rsidRPr="00DB4DBF">
        <w:rPr>
          <w:i/>
          <w:lang w:val="en-GB"/>
        </w:rPr>
        <w:t>Limits and potential of the concept of indirect discrimination</w:t>
      </w:r>
      <w:r w:rsidRPr="00DB4DBF">
        <w:rPr>
          <w:lang w:val="en-GB"/>
        </w:rPr>
        <w:t>, L</w:t>
      </w:r>
      <w:r>
        <w:rPr>
          <w:lang w:val="en-GB"/>
        </w:rPr>
        <w:t>uxembourg, Office for Official P</w:t>
      </w:r>
      <w:r w:rsidRPr="00DB4DBF">
        <w:rPr>
          <w:lang w:val="en-GB"/>
        </w:rPr>
        <w:t xml:space="preserve">ublications of the </w:t>
      </w:r>
      <w:r>
        <w:rPr>
          <w:lang w:val="en-GB"/>
        </w:rPr>
        <w:t xml:space="preserve">European Communities, 2008, 23. </w:t>
      </w:r>
    </w:p>
  </w:footnote>
  <w:footnote w:id="90">
    <w:p w:rsidR="00551E68" w:rsidRPr="004D49B2" w:rsidRDefault="00551E68" w:rsidP="005869B3">
      <w:pPr>
        <w:pStyle w:val="Voetnoottekst"/>
        <w:jc w:val="both"/>
        <w:rPr>
          <w:lang w:val="en-GB"/>
        </w:rPr>
      </w:pPr>
      <w:r>
        <w:rPr>
          <w:rStyle w:val="Voetnootmarkering"/>
        </w:rPr>
        <w:footnoteRef/>
      </w:r>
      <w:r w:rsidRPr="00D62A6C">
        <w:rPr>
          <w:lang w:val="en-US"/>
        </w:rPr>
        <w:t xml:space="preserve"> </w:t>
      </w:r>
      <w:r>
        <w:rPr>
          <w:lang w:val="en-US"/>
        </w:rPr>
        <w:t xml:space="preserve">Article 2(2) </w:t>
      </w:r>
      <w:r w:rsidRPr="004D49B2">
        <w:rPr>
          <w:lang w:val="en-GB"/>
        </w:rPr>
        <w:t>Directive 2002/73/EC</w:t>
      </w:r>
      <w:r>
        <w:rPr>
          <w:lang w:val="en-GB"/>
        </w:rPr>
        <w:t xml:space="preserve"> and article 2(1) a) </w:t>
      </w:r>
      <w:r w:rsidRPr="004D49B2">
        <w:rPr>
          <w:bCs/>
          <w:lang w:val="en-US"/>
        </w:rPr>
        <w:t>Directive 2006/54/EC</w:t>
      </w:r>
      <w:r>
        <w:rPr>
          <w:bCs/>
          <w:lang w:val="en-US"/>
        </w:rPr>
        <w:t xml:space="preserve">. </w:t>
      </w:r>
    </w:p>
  </w:footnote>
  <w:footnote w:id="91">
    <w:p w:rsidR="00551E68" w:rsidRPr="007D24E9" w:rsidRDefault="00551E68" w:rsidP="005869B3">
      <w:pPr>
        <w:pStyle w:val="Voetnoottekst"/>
        <w:jc w:val="both"/>
        <w:rPr>
          <w:lang w:val="en-US"/>
        </w:rPr>
      </w:pPr>
      <w:r>
        <w:rPr>
          <w:rStyle w:val="Voetnootmarkering"/>
        </w:rPr>
        <w:footnoteRef/>
      </w:r>
      <w:r w:rsidRPr="00D90C3B">
        <w:rPr>
          <w:lang w:val="en-US"/>
        </w:rPr>
        <w:t xml:space="preserve"> See for example: CEDAW CO Repu</w:t>
      </w:r>
      <w:r>
        <w:rPr>
          <w:lang w:val="en-US"/>
        </w:rPr>
        <w:t xml:space="preserve">blic of Moldova, A/55/38 (2000), para. </w:t>
      </w:r>
      <w:r w:rsidRPr="007D24E9">
        <w:rPr>
          <w:lang w:val="en-US"/>
        </w:rPr>
        <w:t xml:space="preserve">91;  RESC Conclusions, Netherlands (2008), 565; </w:t>
      </w:r>
      <w:r w:rsidRPr="007D24E9">
        <w:rPr>
          <w:lang w:val="en-GB"/>
        </w:rPr>
        <w:t>International Labour Conference, Equality in Employment and Occupation: Special Survey in respect of Convention no. 111, Geneva, International Labour Office, 83</w:t>
      </w:r>
      <w:r w:rsidRPr="007D24E9">
        <w:rPr>
          <w:vertAlign w:val="superscript"/>
          <w:lang w:val="en-GB"/>
        </w:rPr>
        <w:t>rd</w:t>
      </w:r>
      <w:r w:rsidRPr="007D24E9">
        <w:rPr>
          <w:lang w:val="en-GB"/>
        </w:rPr>
        <w:t xml:space="preserve"> Session, 1996</w:t>
      </w:r>
      <w:r>
        <w:rPr>
          <w:lang w:val="en-GB"/>
        </w:rPr>
        <w:t xml:space="preserve">, 12; </w:t>
      </w:r>
      <w:proofErr w:type="spellStart"/>
      <w:r w:rsidRPr="007D24E9">
        <w:rPr>
          <w:lang w:val="en-US"/>
        </w:rPr>
        <w:t>Smis</w:t>
      </w:r>
      <w:proofErr w:type="spellEnd"/>
      <w:r w:rsidRPr="007D24E9">
        <w:rPr>
          <w:lang w:val="en-US"/>
        </w:rPr>
        <w:t xml:space="preserve"> S., </w:t>
      </w:r>
      <w:proofErr w:type="spellStart"/>
      <w:r w:rsidRPr="007D24E9">
        <w:rPr>
          <w:lang w:val="en-US"/>
        </w:rPr>
        <w:t>Janssens</w:t>
      </w:r>
      <w:proofErr w:type="spellEnd"/>
      <w:r w:rsidRPr="007D24E9">
        <w:rPr>
          <w:lang w:val="en-US"/>
        </w:rPr>
        <w:t xml:space="preserve"> C., </w:t>
      </w:r>
      <w:proofErr w:type="spellStart"/>
      <w:r w:rsidRPr="007D24E9">
        <w:rPr>
          <w:lang w:val="en-US"/>
        </w:rPr>
        <w:t>Mirgaux</w:t>
      </w:r>
      <w:proofErr w:type="spellEnd"/>
      <w:r w:rsidRPr="007D24E9">
        <w:rPr>
          <w:lang w:val="en-US"/>
        </w:rPr>
        <w:t xml:space="preserve"> S. en Van </w:t>
      </w:r>
      <w:proofErr w:type="spellStart"/>
      <w:r w:rsidRPr="007D24E9">
        <w:rPr>
          <w:lang w:val="en-US"/>
        </w:rPr>
        <w:t>Laethem</w:t>
      </w:r>
      <w:proofErr w:type="spellEnd"/>
      <w:r w:rsidRPr="007D24E9">
        <w:rPr>
          <w:lang w:val="en-US"/>
        </w:rPr>
        <w:t xml:space="preserve"> K., op. cit., 526-527.</w:t>
      </w:r>
    </w:p>
  </w:footnote>
  <w:footnote w:id="92">
    <w:p w:rsidR="00551E68" w:rsidRPr="00C811DC" w:rsidRDefault="00551E68" w:rsidP="005869B3">
      <w:pPr>
        <w:pStyle w:val="Voetnoottekst"/>
        <w:jc w:val="both"/>
        <w:rPr>
          <w:b/>
          <w:lang w:val="en-US"/>
        </w:rPr>
      </w:pPr>
      <w:r>
        <w:rPr>
          <w:rStyle w:val="Voetnootmarkering"/>
        </w:rPr>
        <w:footnoteRef/>
      </w:r>
      <w:r w:rsidRPr="00C811DC">
        <w:rPr>
          <w:lang w:val="en-US"/>
        </w:rPr>
        <w:t xml:space="preserve"> </w:t>
      </w:r>
      <w:proofErr w:type="spellStart"/>
      <w:r w:rsidRPr="00C811DC">
        <w:rPr>
          <w:lang w:val="en-US"/>
        </w:rPr>
        <w:t>Borghs</w:t>
      </w:r>
      <w:proofErr w:type="spellEnd"/>
      <w:r w:rsidRPr="00C811DC">
        <w:rPr>
          <w:lang w:val="en-US"/>
        </w:rPr>
        <w:t xml:space="preserve"> P., </w:t>
      </w:r>
      <w:r w:rsidRPr="00C811DC">
        <w:rPr>
          <w:i/>
          <w:lang w:val="en-US"/>
        </w:rPr>
        <w:t xml:space="preserve">De </w:t>
      </w:r>
      <w:proofErr w:type="spellStart"/>
      <w:r w:rsidRPr="00C811DC">
        <w:rPr>
          <w:i/>
          <w:lang w:val="en-US"/>
        </w:rPr>
        <w:t>Antidiscriminatiewet</w:t>
      </w:r>
      <w:proofErr w:type="spellEnd"/>
      <w:r w:rsidRPr="00C811DC">
        <w:rPr>
          <w:lang w:val="en-US"/>
        </w:rPr>
        <w:t xml:space="preserve">, </w:t>
      </w:r>
      <w:proofErr w:type="spellStart"/>
      <w:r w:rsidRPr="00C811DC">
        <w:rPr>
          <w:lang w:val="en-US"/>
        </w:rPr>
        <w:t>Antwerpen</w:t>
      </w:r>
      <w:proofErr w:type="spellEnd"/>
      <w:r w:rsidRPr="00C811DC">
        <w:rPr>
          <w:lang w:val="en-US"/>
        </w:rPr>
        <w:t xml:space="preserve">-Apeldoorn, </w:t>
      </w:r>
      <w:proofErr w:type="spellStart"/>
      <w:r w:rsidRPr="00C811DC">
        <w:rPr>
          <w:lang w:val="en-US"/>
        </w:rPr>
        <w:t>Garant</w:t>
      </w:r>
      <w:proofErr w:type="spellEnd"/>
      <w:r w:rsidRPr="00C811DC">
        <w:rPr>
          <w:lang w:val="en-US"/>
        </w:rPr>
        <w:t xml:space="preserve">, 2003, 18; </w:t>
      </w:r>
      <w:proofErr w:type="spellStart"/>
      <w:r w:rsidRPr="00C811DC">
        <w:rPr>
          <w:lang w:val="en-US"/>
        </w:rPr>
        <w:t>Servais</w:t>
      </w:r>
      <w:proofErr w:type="spellEnd"/>
      <w:r w:rsidRPr="00C811DC">
        <w:rPr>
          <w:lang w:val="en-US"/>
        </w:rPr>
        <w:t xml:space="preserve"> J., </w:t>
      </w:r>
      <w:proofErr w:type="spellStart"/>
      <w:r w:rsidRPr="00C811DC">
        <w:rPr>
          <w:i/>
          <w:lang w:val="en-US"/>
        </w:rPr>
        <w:t>Droit</w:t>
      </w:r>
      <w:proofErr w:type="spellEnd"/>
      <w:r w:rsidRPr="00C811DC">
        <w:rPr>
          <w:i/>
          <w:lang w:val="en-US"/>
        </w:rPr>
        <w:t xml:space="preserve"> social de </w:t>
      </w:r>
      <w:proofErr w:type="spellStart"/>
      <w:r w:rsidRPr="00C811DC">
        <w:rPr>
          <w:i/>
          <w:lang w:val="en-US"/>
        </w:rPr>
        <w:t>l’Union</w:t>
      </w:r>
      <w:proofErr w:type="spellEnd"/>
      <w:r w:rsidRPr="00C811DC">
        <w:rPr>
          <w:i/>
          <w:lang w:val="en-US"/>
        </w:rPr>
        <w:t xml:space="preserve"> </w:t>
      </w:r>
      <w:proofErr w:type="spellStart"/>
      <w:r w:rsidRPr="00C811DC">
        <w:rPr>
          <w:i/>
          <w:lang w:val="en-US"/>
        </w:rPr>
        <w:t>Européenne</w:t>
      </w:r>
      <w:proofErr w:type="spellEnd"/>
      <w:r w:rsidRPr="00C811DC">
        <w:rPr>
          <w:lang w:val="en-US"/>
        </w:rPr>
        <w:t xml:space="preserve">, </w:t>
      </w:r>
      <w:proofErr w:type="spellStart"/>
      <w:r w:rsidRPr="00C811DC">
        <w:rPr>
          <w:lang w:val="en-US"/>
        </w:rPr>
        <w:t>Bruxelles</w:t>
      </w:r>
      <w:proofErr w:type="spellEnd"/>
      <w:r w:rsidRPr="00C811DC">
        <w:rPr>
          <w:lang w:val="en-US"/>
        </w:rPr>
        <w:t xml:space="preserve">, </w:t>
      </w:r>
      <w:proofErr w:type="spellStart"/>
      <w:r w:rsidRPr="00C811DC">
        <w:rPr>
          <w:lang w:val="en-US"/>
        </w:rPr>
        <w:t>Bruylant</w:t>
      </w:r>
      <w:proofErr w:type="spellEnd"/>
      <w:r w:rsidRPr="00C811DC">
        <w:rPr>
          <w:lang w:val="en-US"/>
        </w:rPr>
        <w:t xml:space="preserve">, 2011, 90; </w:t>
      </w:r>
      <w:proofErr w:type="spellStart"/>
      <w:r w:rsidRPr="00C811DC">
        <w:rPr>
          <w:lang w:val="en-US"/>
        </w:rPr>
        <w:t>Twigg-Flesner</w:t>
      </w:r>
      <w:proofErr w:type="spellEnd"/>
      <w:r w:rsidRPr="00C811DC">
        <w:rPr>
          <w:lang w:val="en-US"/>
        </w:rPr>
        <w:t xml:space="preserve"> C., </w:t>
      </w:r>
      <w:r w:rsidRPr="00C811DC">
        <w:rPr>
          <w:i/>
          <w:lang w:val="en-US"/>
        </w:rPr>
        <w:t>The Cambridge Companion to European Union Private Law</w:t>
      </w:r>
      <w:r w:rsidRPr="00C811DC">
        <w:rPr>
          <w:lang w:val="en-US"/>
        </w:rPr>
        <w:t xml:space="preserve">, Cambridge, Cambridge University Press, 2010, 306. </w:t>
      </w:r>
    </w:p>
  </w:footnote>
  <w:footnote w:id="93">
    <w:p w:rsidR="00551E68" w:rsidRPr="00C44789" w:rsidRDefault="00551E68" w:rsidP="005869B3">
      <w:pPr>
        <w:pStyle w:val="Voetnoottekst"/>
        <w:jc w:val="both"/>
        <w:rPr>
          <w:lang w:val="en-US"/>
        </w:rPr>
      </w:pPr>
      <w:r>
        <w:rPr>
          <w:rStyle w:val="Voetnootmarkering"/>
        </w:rPr>
        <w:footnoteRef/>
      </w:r>
      <w:r w:rsidRPr="00C44789">
        <w:rPr>
          <w:lang w:val="en-US"/>
        </w:rPr>
        <w:t xml:space="preserve"> </w:t>
      </w:r>
      <w:proofErr w:type="spellStart"/>
      <w:r w:rsidRPr="00C44789">
        <w:rPr>
          <w:lang w:val="en-US"/>
        </w:rPr>
        <w:t>Arnardottir</w:t>
      </w:r>
      <w:proofErr w:type="spellEnd"/>
      <w:r w:rsidRPr="00C44789">
        <w:rPr>
          <w:lang w:val="en-US"/>
        </w:rPr>
        <w:t xml:space="preserve"> O., op. cit., 123; Ellis E. and Watson P., op. cit., 148.   </w:t>
      </w:r>
    </w:p>
  </w:footnote>
  <w:footnote w:id="94">
    <w:p w:rsidR="00551E68" w:rsidRPr="003F6DD7" w:rsidRDefault="00551E68" w:rsidP="005869B3">
      <w:pPr>
        <w:pStyle w:val="Voetnoottekst"/>
        <w:jc w:val="both"/>
        <w:rPr>
          <w:lang w:val="en-US"/>
        </w:rPr>
      </w:pPr>
      <w:r>
        <w:rPr>
          <w:rStyle w:val="Voetnootmarkering"/>
        </w:rPr>
        <w:footnoteRef/>
      </w:r>
      <w:r w:rsidRPr="003F6DD7">
        <w:rPr>
          <w:lang w:val="en-US"/>
        </w:rPr>
        <w:t xml:space="preserve"> </w:t>
      </w:r>
      <w:proofErr w:type="spellStart"/>
      <w:r w:rsidRPr="003F6DD7">
        <w:rPr>
          <w:lang w:val="en-US"/>
        </w:rPr>
        <w:t>Burri</w:t>
      </w:r>
      <w:proofErr w:type="spellEnd"/>
      <w:r w:rsidRPr="003F6DD7">
        <w:rPr>
          <w:lang w:val="en-US"/>
        </w:rPr>
        <w:t xml:space="preserve"> S. and </w:t>
      </w:r>
      <w:proofErr w:type="spellStart"/>
      <w:r w:rsidRPr="003F6DD7">
        <w:rPr>
          <w:lang w:val="en-US"/>
        </w:rPr>
        <w:t>Prechal</w:t>
      </w:r>
      <w:proofErr w:type="spellEnd"/>
      <w:r w:rsidRPr="003F6DD7">
        <w:rPr>
          <w:lang w:val="en-US"/>
        </w:rPr>
        <w:t xml:space="preserve"> S., </w:t>
      </w:r>
      <w:r w:rsidRPr="003F6DD7">
        <w:rPr>
          <w:i/>
          <w:lang w:val="en-US"/>
        </w:rPr>
        <w:t>EU Gender Equality Law</w:t>
      </w:r>
      <w:r w:rsidRPr="003F6DD7">
        <w:rPr>
          <w:lang w:val="en-US"/>
        </w:rPr>
        <w:t>, Luxembourg, Office for Official Publications of the European Communities, 2008,</w:t>
      </w:r>
      <w:r>
        <w:rPr>
          <w:lang w:val="en-US"/>
        </w:rPr>
        <w:t xml:space="preserve"> 16;</w:t>
      </w:r>
      <w:r w:rsidRPr="006103D6">
        <w:rPr>
          <w:sz w:val="24"/>
          <w:szCs w:val="24"/>
          <w:lang w:val="en-GB"/>
        </w:rPr>
        <w:t xml:space="preserve"> </w:t>
      </w:r>
      <w:proofErr w:type="spellStart"/>
      <w:r w:rsidRPr="006103D6">
        <w:rPr>
          <w:lang w:val="en-GB"/>
        </w:rPr>
        <w:t>Foubert</w:t>
      </w:r>
      <w:proofErr w:type="spellEnd"/>
      <w:r w:rsidRPr="006103D6">
        <w:rPr>
          <w:lang w:val="en-GB"/>
        </w:rPr>
        <w:t xml:space="preserve"> P.,</w:t>
      </w:r>
      <w:r>
        <w:rPr>
          <w:lang w:val="en-GB"/>
        </w:rPr>
        <w:t xml:space="preserve"> op. cit. 38. </w:t>
      </w:r>
    </w:p>
  </w:footnote>
  <w:footnote w:id="95">
    <w:p w:rsidR="00551E68" w:rsidRPr="00EF09CF" w:rsidRDefault="00551E68" w:rsidP="005869B3">
      <w:pPr>
        <w:pStyle w:val="Voetnoottekst"/>
        <w:jc w:val="both"/>
        <w:rPr>
          <w:b/>
          <w:u w:val="single"/>
          <w:lang w:val="en-GB"/>
        </w:rPr>
      </w:pPr>
      <w:r>
        <w:rPr>
          <w:rStyle w:val="Voetnootmarkering"/>
        </w:rPr>
        <w:footnoteRef/>
      </w:r>
      <w:r w:rsidRPr="00EF09CF">
        <w:rPr>
          <w:lang w:val="en-US"/>
        </w:rPr>
        <w:t xml:space="preserve"> Chalmers D., Davies G. and </w:t>
      </w:r>
      <w:proofErr w:type="spellStart"/>
      <w:r w:rsidRPr="00EF09CF">
        <w:rPr>
          <w:lang w:val="en-US"/>
        </w:rPr>
        <w:t>Monti</w:t>
      </w:r>
      <w:proofErr w:type="spellEnd"/>
      <w:r w:rsidRPr="00EF09CF">
        <w:rPr>
          <w:lang w:val="en-US"/>
        </w:rPr>
        <w:t xml:space="preserve"> G., op. cit., 559;</w:t>
      </w:r>
      <w:r w:rsidRPr="00EF09CF">
        <w:rPr>
          <w:lang w:val="en-GB"/>
        </w:rPr>
        <w:t xml:space="preserve"> </w:t>
      </w:r>
      <w:proofErr w:type="spellStart"/>
      <w:r w:rsidRPr="00EF09CF">
        <w:rPr>
          <w:lang w:val="en-GB"/>
        </w:rPr>
        <w:t>Fredman</w:t>
      </w:r>
      <w:proofErr w:type="spellEnd"/>
      <w:r w:rsidRPr="00EF09CF">
        <w:rPr>
          <w:lang w:val="en-GB"/>
        </w:rPr>
        <w:t xml:space="preserve"> S., </w:t>
      </w:r>
      <w:r w:rsidRPr="00EF09CF">
        <w:rPr>
          <w:i/>
          <w:lang w:val="en-GB"/>
        </w:rPr>
        <w:t>Discrimination Law</w:t>
      </w:r>
      <w:r w:rsidRPr="00EF09CF">
        <w:rPr>
          <w:lang w:val="en-GB"/>
        </w:rPr>
        <w:t>, Oxford, Oxford University Press, 2011,</w:t>
      </w:r>
      <w:r>
        <w:rPr>
          <w:lang w:val="en-GB"/>
        </w:rPr>
        <w:t xml:space="preserve"> 183; </w:t>
      </w:r>
      <w:proofErr w:type="spellStart"/>
      <w:r w:rsidRPr="00EF09CF">
        <w:rPr>
          <w:lang w:val="en-US"/>
        </w:rPr>
        <w:t>Gijzen</w:t>
      </w:r>
      <w:proofErr w:type="spellEnd"/>
      <w:r w:rsidRPr="00EF09CF">
        <w:rPr>
          <w:lang w:val="en-US"/>
        </w:rPr>
        <w:t xml:space="preserve"> M., op. cit.,</w:t>
      </w:r>
      <w:r>
        <w:rPr>
          <w:lang w:val="en-US"/>
        </w:rPr>
        <w:t xml:space="preserve"> 62. </w:t>
      </w:r>
    </w:p>
  </w:footnote>
  <w:footnote w:id="96">
    <w:p w:rsidR="00551E68" w:rsidRPr="00C44789" w:rsidRDefault="00551E68" w:rsidP="005869B3">
      <w:pPr>
        <w:pStyle w:val="Voetnoottekst"/>
        <w:jc w:val="both"/>
        <w:rPr>
          <w:b/>
        </w:rPr>
      </w:pPr>
      <w:r>
        <w:rPr>
          <w:rStyle w:val="Voetnootmarkering"/>
        </w:rPr>
        <w:footnoteRef/>
      </w:r>
      <w:r w:rsidRPr="00C44789">
        <w:t xml:space="preserve"> De Prins D., </w:t>
      </w:r>
      <w:proofErr w:type="spellStart"/>
      <w:r w:rsidRPr="00C44789">
        <w:t>Sottiaux</w:t>
      </w:r>
      <w:proofErr w:type="spellEnd"/>
      <w:r w:rsidRPr="00C44789">
        <w:t xml:space="preserve"> S. en </w:t>
      </w:r>
      <w:proofErr w:type="spellStart"/>
      <w:r w:rsidRPr="00C44789">
        <w:t>Vrielink</w:t>
      </w:r>
      <w:proofErr w:type="spellEnd"/>
      <w:r w:rsidRPr="00C44789">
        <w:t xml:space="preserve"> J., op. </w:t>
      </w:r>
      <w:proofErr w:type="spellStart"/>
      <w:r w:rsidRPr="00C44789">
        <w:t>cit</w:t>
      </w:r>
      <w:proofErr w:type="spellEnd"/>
      <w:r w:rsidRPr="00C44789">
        <w:t xml:space="preserve">., 3;  Janis M., Kay R., </w:t>
      </w:r>
      <w:proofErr w:type="spellStart"/>
      <w:r w:rsidRPr="00C44789">
        <w:t>Bradley</w:t>
      </w:r>
      <w:proofErr w:type="spellEnd"/>
      <w:r w:rsidRPr="00C44789">
        <w:t xml:space="preserve"> A., </w:t>
      </w:r>
      <w:proofErr w:type="spellStart"/>
      <w:r w:rsidRPr="00C44789">
        <w:t>McColgan</w:t>
      </w:r>
      <w:proofErr w:type="spellEnd"/>
      <w:r w:rsidRPr="00C44789">
        <w:t xml:space="preserve"> A., Murdoch J., op. </w:t>
      </w:r>
      <w:proofErr w:type="spellStart"/>
      <w:r w:rsidRPr="00C44789">
        <w:t>cit</w:t>
      </w:r>
      <w:proofErr w:type="spellEnd"/>
      <w:r w:rsidRPr="00C44789">
        <w:t xml:space="preserve">., 486; </w:t>
      </w:r>
      <w:proofErr w:type="spellStart"/>
      <w:r w:rsidRPr="00C44789">
        <w:t>Tobler</w:t>
      </w:r>
      <w:proofErr w:type="spellEnd"/>
      <w:r w:rsidRPr="00C44789">
        <w:t xml:space="preserve"> C., </w:t>
      </w:r>
      <w:r w:rsidRPr="00C44789">
        <w:rPr>
          <w:i/>
        </w:rPr>
        <w:t xml:space="preserve">Indirect </w:t>
      </w:r>
      <w:proofErr w:type="spellStart"/>
      <w:r w:rsidRPr="00C44789">
        <w:rPr>
          <w:i/>
        </w:rPr>
        <w:t>Discrimination</w:t>
      </w:r>
      <w:proofErr w:type="spellEnd"/>
      <w:r w:rsidRPr="00C44789">
        <w:t xml:space="preserve">, </w:t>
      </w:r>
      <w:proofErr w:type="spellStart"/>
      <w:r w:rsidRPr="00C44789">
        <w:t>Antwerp</w:t>
      </w:r>
      <w:proofErr w:type="spellEnd"/>
      <w:r w:rsidRPr="00C44789">
        <w:t xml:space="preserve">, </w:t>
      </w:r>
      <w:proofErr w:type="spellStart"/>
      <w:r w:rsidRPr="00C44789">
        <w:t>Intersentia</w:t>
      </w:r>
      <w:proofErr w:type="spellEnd"/>
      <w:r w:rsidRPr="00C44789">
        <w:t xml:space="preserve">, 2005, 214. </w:t>
      </w:r>
    </w:p>
  </w:footnote>
  <w:footnote w:id="97">
    <w:p w:rsidR="00551E68" w:rsidRPr="00B93FF7" w:rsidRDefault="00551E68" w:rsidP="005869B3">
      <w:pPr>
        <w:pStyle w:val="Voetnoottekst"/>
        <w:jc w:val="both"/>
        <w:rPr>
          <w:lang w:val="en-US"/>
        </w:rPr>
      </w:pPr>
      <w:r w:rsidRPr="00B93FF7">
        <w:rPr>
          <w:rStyle w:val="Voetnootmarkering"/>
        </w:rPr>
        <w:footnoteRef/>
      </w:r>
      <w:r w:rsidRPr="00B93FF7">
        <w:rPr>
          <w:lang w:val="en-US"/>
        </w:rPr>
        <w:t xml:space="preserve"> De </w:t>
      </w:r>
      <w:proofErr w:type="spellStart"/>
      <w:r w:rsidRPr="00B93FF7">
        <w:rPr>
          <w:lang w:val="en-US"/>
        </w:rPr>
        <w:t>Schutter</w:t>
      </w:r>
      <w:proofErr w:type="spellEnd"/>
      <w:r w:rsidRPr="00B93FF7">
        <w:rPr>
          <w:lang w:val="en-US"/>
        </w:rPr>
        <w:t xml:space="preserve"> O., “Three Models of Equality and European Anti-Discrimination Law”, </w:t>
      </w:r>
      <w:r w:rsidRPr="00B93FF7">
        <w:rPr>
          <w:i/>
          <w:lang w:val="en-US"/>
        </w:rPr>
        <w:t>NILQ</w:t>
      </w:r>
      <w:r w:rsidRPr="00B93FF7">
        <w:rPr>
          <w:lang w:val="en-US"/>
        </w:rPr>
        <w:t xml:space="preserve"> 2006, 8-9; </w:t>
      </w:r>
      <w:proofErr w:type="spellStart"/>
      <w:r w:rsidRPr="00B93FF7">
        <w:rPr>
          <w:lang w:val="en-US"/>
        </w:rPr>
        <w:t>Tobler</w:t>
      </w:r>
      <w:proofErr w:type="spellEnd"/>
      <w:r w:rsidRPr="00B93FF7">
        <w:rPr>
          <w:lang w:val="en-US"/>
        </w:rPr>
        <w:t xml:space="preserve"> C., </w:t>
      </w:r>
      <w:r w:rsidRPr="00B93FF7">
        <w:rPr>
          <w:i/>
          <w:lang w:val="en-US"/>
        </w:rPr>
        <w:t>Indirect Discrimination</w:t>
      </w:r>
      <w:r w:rsidRPr="00B93FF7">
        <w:rPr>
          <w:lang w:val="en-US"/>
        </w:rPr>
        <w:t xml:space="preserve">, Antwerp, </w:t>
      </w:r>
      <w:proofErr w:type="spellStart"/>
      <w:r w:rsidRPr="00B93FF7">
        <w:rPr>
          <w:lang w:val="en-US"/>
        </w:rPr>
        <w:t>Intersentia</w:t>
      </w:r>
      <w:proofErr w:type="spellEnd"/>
      <w:r w:rsidRPr="00B93FF7">
        <w:rPr>
          <w:lang w:val="en-US"/>
        </w:rPr>
        <w:t xml:space="preserve">, 2005, 214. </w:t>
      </w:r>
    </w:p>
  </w:footnote>
  <w:footnote w:id="98">
    <w:p w:rsidR="00551E68" w:rsidRPr="00FF217A" w:rsidRDefault="00551E68" w:rsidP="005869B3">
      <w:pPr>
        <w:pStyle w:val="Voetnoottekst"/>
        <w:jc w:val="both"/>
        <w:rPr>
          <w:b/>
          <w:u w:val="single"/>
          <w:lang w:val="en-US"/>
        </w:rPr>
      </w:pPr>
      <w:r w:rsidRPr="00B461B4">
        <w:rPr>
          <w:rStyle w:val="Voetnootmarkering"/>
        </w:rPr>
        <w:footnoteRef/>
      </w:r>
      <w:r w:rsidRPr="00B461B4">
        <w:rPr>
          <w:lang w:val="en-US"/>
        </w:rPr>
        <w:t xml:space="preserve"> Permanent Court of International Justice, Advisory Opinion on German settlers in Pola</w:t>
      </w:r>
      <w:r>
        <w:rPr>
          <w:lang w:val="en-US"/>
        </w:rPr>
        <w:t xml:space="preserve">nd, 1923, </w:t>
      </w:r>
      <w:proofErr w:type="spellStart"/>
      <w:r>
        <w:rPr>
          <w:lang w:val="en-US"/>
        </w:rPr>
        <w:t>serie</w:t>
      </w:r>
      <w:proofErr w:type="spellEnd"/>
      <w:r>
        <w:rPr>
          <w:lang w:val="en-US"/>
        </w:rPr>
        <w:t xml:space="preserve"> B no. 6</w:t>
      </w:r>
      <w:r w:rsidRPr="00B461B4">
        <w:rPr>
          <w:lang w:val="en-US"/>
        </w:rPr>
        <w:t>; Permanent Court of International Justice, Advisory Opinion on the treatment of Polish nationals and other persons of Polish origin or speech in the Danzig territory,</w:t>
      </w:r>
      <w:r>
        <w:rPr>
          <w:lang w:val="en-US"/>
        </w:rPr>
        <w:t xml:space="preserve"> 1932, </w:t>
      </w:r>
      <w:proofErr w:type="spellStart"/>
      <w:r>
        <w:rPr>
          <w:lang w:val="en-US"/>
        </w:rPr>
        <w:t>serie</w:t>
      </w:r>
      <w:proofErr w:type="spellEnd"/>
      <w:r>
        <w:rPr>
          <w:lang w:val="en-US"/>
        </w:rPr>
        <w:t xml:space="preserve"> A/B no. 44</w:t>
      </w:r>
      <w:r w:rsidRPr="00B461B4">
        <w:rPr>
          <w:lang w:val="en-US"/>
        </w:rPr>
        <w:t xml:space="preserve">; Permanent Court of International Justice, Advisory Opinion on minority schools in Albania, </w:t>
      </w:r>
      <w:r>
        <w:rPr>
          <w:lang w:val="en-US"/>
        </w:rPr>
        <w:t xml:space="preserve">1935, </w:t>
      </w:r>
      <w:proofErr w:type="spellStart"/>
      <w:r>
        <w:rPr>
          <w:lang w:val="en-US"/>
        </w:rPr>
        <w:t>serie</w:t>
      </w:r>
      <w:proofErr w:type="spellEnd"/>
      <w:r>
        <w:rPr>
          <w:lang w:val="en-US"/>
        </w:rPr>
        <w:t xml:space="preserve"> A/B no. 64; </w:t>
      </w:r>
      <w:proofErr w:type="spellStart"/>
      <w:r w:rsidRPr="00FF217A">
        <w:rPr>
          <w:lang w:val="en-US"/>
        </w:rPr>
        <w:t>Tobler</w:t>
      </w:r>
      <w:proofErr w:type="spellEnd"/>
      <w:r w:rsidRPr="00FF217A">
        <w:rPr>
          <w:lang w:val="en-US"/>
        </w:rPr>
        <w:t xml:space="preserve"> C., </w:t>
      </w:r>
      <w:r w:rsidRPr="00FF217A">
        <w:rPr>
          <w:i/>
          <w:lang w:val="en-US"/>
        </w:rPr>
        <w:t>Indirect Discrimination</w:t>
      </w:r>
      <w:r w:rsidRPr="00FF217A">
        <w:rPr>
          <w:lang w:val="en-US"/>
        </w:rPr>
        <w:t>, Ant</w:t>
      </w:r>
      <w:r>
        <w:rPr>
          <w:lang w:val="en-US"/>
        </w:rPr>
        <w:t xml:space="preserve">werp, </w:t>
      </w:r>
      <w:proofErr w:type="spellStart"/>
      <w:r>
        <w:rPr>
          <w:lang w:val="en-US"/>
        </w:rPr>
        <w:t>Intersentia</w:t>
      </w:r>
      <w:proofErr w:type="spellEnd"/>
      <w:r>
        <w:rPr>
          <w:lang w:val="en-US"/>
        </w:rPr>
        <w:t xml:space="preserve">, 2005, 89-90. </w:t>
      </w:r>
      <w:r w:rsidRPr="00B461B4">
        <w:rPr>
          <w:lang w:val="en-US"/>
        </w:rPr>
        <w:t xml:space="preserve"> </w:t>
      </w:r>
    </w:p>
  </w:footnote>
  <w:footnote w:id="99">
    <w:p w:rsidR="00551E68" w:rsidRPr="00C879FE" w:rsidRDefault="00551E68" w:rsidP="005869B3">
      <w:pPr>
        <w:pStyle w:val="Voetnoottekst"/>
        <w:jc w:val="both"/>
        <w:rPr>
          <w:lang w:val="en-US"/>
        </w:rPr>
      </w:pPr>
      <w:r>
        <w:rPr>
          <w:rStyle w:val="Voetnootmarkering"/>
        </w:rPr>
        <w:footnoteRef/>
      </w:r>
      <w:r w:rsidRPr="00834E2B">
        <w:rPr>
          <w:lang w:val="en-US"/>
        </w:rPr>
        <w:t xml:space="preserve"> </w:t>
      </w:r>
      <w:r w:rsidRPr="00C879FE">
        <w:rPr>
          <w:lang w:val="en-US"/>
        </w:rPr>
        <w:t xml:space="preserve">ECJ C-2/56, </w:t>
      </w:r>
      <w:proofErr w:type="spellStart"/>
      <w:r w:rsidRPr="00C879FE">
        <w:rPr>
          <w:i/>
          <w:lang w:val="en-US"/>
        </w:rPr>
        <w:t>Geitling</w:t>
      </w:r>
      <w:proofErr w:type="spellEnd"/>
      <w:r w:rsidRPr="00C879FE">
        <w:rPr>
          <w:i/>
          <w:lang w:val="en-US"/>
        </w:rPr>
        <w:t xml:space="preserve"> selling agency for Ruhr coal v. High Authority of the European Coal and Steel Community</w:t>
      </w:r>
      <w:r w:rsidRPr="00C879FE">
        <w:rPr>
          <w:lang w:val="en-US"/>
        </w:rPr>
        <w:t xml:space="preserve">, </w:t>
      </w:r>
      <w:r>
        <w:rPr>
          <w:lang w:val="en-US"/>
        </w:rPr>
        <w:t xml:space="preserve">1957, </w:t>
      </w:r>
      <w:proofErr w:type="spellStart"/>
      <w:r>
        <w:rPr>
          <w:lang w:val="en-US"/>
        </w:rPr>
        <w:t>pag</w:t>
      </w:r>
      <w:proofErr w:type="spellEnd"/>
      <w:r>
        <w:rPr>
          <w:lang w:val="en-US"/>
        </w:rPr>
        <w:t xml:space="preserve">. 21. </w:t>
      </w:r>
    </w:p>
  </w:footnote>
  <w:footnote w:id="100">
    <w:p w:rsidR="00551E68" w:rsidRPr="00862828" w:rsidRDefault="00551E68" w:rsidP="005869B3">
      <w:pPr>
        <w:pStyle w:val="Voetnoottekst"/>
        <w:jc w:val="both"/>
        <w:rPr>
          <w:lang w:val="en-US"/>
        </w:rPr>
      </w:pPr>
      <w:r>
        <w:rPr>
          <w:rStyle w:val="Voetnootmarkering"/>
        </w:rPr>
        <w:footnoteRef/>
      </w:r>
      <w:r>
        <w:rPr>
          <w:lang w:val="en-US"/>
        </w:rPr>
        <w:t xml:space="preserve"> </w:t>
      </w:r>
      <w:r w:rsidRPr="00862828">
        <w:rPr>
          <w:lang w:val="en-US"/>
        </w:rPr>
        <w:t xml:space="preserve">ECJ C-15/69, </w:t>
      </w:r>
      <w:proofErr w:type="spellStart"/>
      <w:r w:rsidRPr="00E23363">
        <w:rPr>
          <w:i/>
          <w:lang w:val="en-US"/>
        </w:rPr>
        <w:t>Wurttembergische</w:t>
      </w:r>
      <w:proofErr w:type="spellEnd"/>
      <w:r w:rsidRPr="00E23363">
        <w:rPr>
          <w:i/>
          <w:lang w:val="en-US"/>
        </w:rPr>
        <w:t xml:space="preserve"> </w:t>
      </w:r>
      <w:proofErr w:type="spellStart"/>
      <w:r w:rsidRPr="00E23363">
        <w:rPr>
          <w:i/>
          <w:lang w:val="en-US"/>
        </w:rPr>
        <w:t>Milchverwertung-Sudmilch</w:t>
      </w:r>
      <w:proofErr w:type="spellEnd"/>
      <w:r w:rsidRPr="00E23363">
        <w:rPr>
          <w:i/>
          <w:lang w:val="en-US"/>
        </w:rPr>
        <w:t xml:space="preserve"> AG v. Salvatore </w:t>
      </w:r>
      <w:proofErr w:type="spellStart"/>
      <w:r w:rsidRPr="00E23363">
        <w:rPr>
          <w:i/>
          <w:lang w:val="en-US"/>
        </w:rPr>
        <w:t>Ugliola</w:t>
      </w:r>
      <w:proofErr w:type="spellEnd"/>
      <w:r w:rsidRPr="00862828">
        <w:rPr>
          <w:lang w:val="en-US"/>
        </w:rPr>
        <w:t>, 1969, p</w:t>
      </w:r>
      <w:r>
        <w:rPr>
          <w:lang w:val="en-US"/>
        </w:rPr>
        <w:t xml:space="preserve">aras 6-7; </w:t>
      </w:r>
      <w:r w:rsidRPr="00862828">
        <w:rPr>
          <w:lang w:val="en-US"/>
        </w:rPr>
        <w:t xml:space="preserve">ECJ C-20/71, </w:t>
      </w:r>
      <w:r w:rsidRPr="00862828">
        <w:rPr>
          <w:i/>
          <w:lang w:val="en-US"/>
        </w:rPr>
        <w:t xml:space="preserve">Luisa </w:t>
      </w:r>
      <w:proofErr w:type="spellStart"/>
      <w:r w:rsidRPr="00862828">
        <w:rPr>
          <w:i/>
          <w:lang w:val="en-US"/>
        </w:rPr>
        <w:t>Sabbatini</w:t>
      </w:r>
      <w:proofErr w:type="spellEnd"/>
      <w:r w:rsidRPr="00862828">
        <w:rPr>
          <w:i/>
          <w:lang w:val="en-US"/>
        </w:rPr>
        <w:t xml:space="preserve"> v. European Parliament</w:t>
      </w:r>
      <w:r>
        <w:rPr>
          <w:lang w:val="en-US"/>
        </w:rPr>
        <w:t>, 1972, paras 5-</w:t>
      </w:r>
      <w:r w:rsidRPr="00862828">
        <w:rPr>
          <w:lang w:val="en-US"/>
        </w:rPr>
        <w:t xml:space="preserve">6 and 12.  </w:t>
      </w:r>
    </w:p>
  </w:footnote>
  <w:footnote w:id="101">
    <w:p w:rsidR="00551E68" w:rsidRPr="00E44F14" w:rsidRDefault="00551E68" w:rsidP="005869B3">
      <w:pPr>
        <w:pStyle w:val="Voetnoottekst"/>
        <w:jc w:val="both"/>
        <w:rPr>
          <w:bCs/>
          <w:lang w:val="en-US"/>
        </w:rPr>
      </w:pPr>
      <w:r>
        <w:rPr>
          <w:rStyle w:val="Voetnootmarkering"/>
        </w:rPr>
        <w:footnoteRef/>
      </w:r>
      <w:r>
        <w:rPr>
          <w:lang w:val="en-US"/>
        </w:rPr>
        <w:t xml:space="preserve"> </w:t>
      </w:r>
      <w:r w:rsidRPr="00842D24">
        <w:rPr>
          <w:lang w:val="en-US"/>
        </w:rPr>
        <w:t xml:space="preserve">In the US, the term ‘disparate impact’ is used instead of ‘indirect discrimination’. </w:t>
      </w:r>
      <w:r>
        <w:rPr>
          <w:lang w:val="en-US"/>
        </w:rPr>
        <w:t xml:space="preserve">                                        </w:t>
      </w:r>
      <w:r w:rsidRPr="00842D24">
        <w:rPr>
          <w:bCs/>
          <w:lang w:val="en-US"/>
        </w:rPr>
        <w:t>Griggs et al v. Duke Power, 401 U.S. 424 (1971)</w:t>
      </w:r>
      <w:r>
        <w:rPr>
          <w:bCs/>
          <w:lang w:val="en-US"/>
        </w:rPr>
        <w:t>;</w:t>
      </w:r>
      <w:r>
        <w:rPr>
          <w:lang w:val="en-US"/>
        </w:rPr>
        <w:t xml:space="preserve"> </w:t>
      </w:r>
      <w:r w:rsidRPr="009C220F">
        <w:rPr>
          <w:bCs/>
          <w:lang w:val="en-US"/>
        </w:rPr>
        <w:t xml:space="preserve">Davis A. and Graham B., </w:t>
      </w:r>
      <w:r w:rsidRPr="009C220F">
        <w:rPr>
          <w:bCs/>
          <w:i/>
          <w:lang w:val="en-US"/>
        </w:rPr>
        <w:t>The Supreme Court, Race and Civil Rights</w:t>
      </w:r>
      <w:r w:rsidRPr="009C220F">
        <w:rPr>
          <w:bCs/>
          <w:lang w:val="en-US"/>
        </w:rPr>
        <w:t xml:space="preserve">, Thousand Oaks, SAGE </w:t>
      </w:r>
      <w:r>
        <w:rPr>
          <w:bCs/>
          <w:lang w:val="en-US"/>
        </w:rPr>
        <w:t xml:space="preserve">publications Inc., 1995, 304-305; </w:t>
      </w:r>
      <w:proofErr w:type="spellStart"/>
      <w:r w:rsidRPr="00323AC2">
        <w:rPr>
          <w:bCs/>
          <w:lang w:val="en-US"/>
        </w:rPr>
        <w:t>Loenen</w:t>
      </w:r>
      <w:proofErr w:type="spellEnd"/>
      <w:r w:rsidRPr="00323AC2">
        <w:rPr>
          <w:bCs/>
          <w:lang w:val="en-US"/>
        </w:rPr>
        <w:t xml:space="preserve"> T., “Indirect Discrimination: Oscillating Between Containment and Revolution” in </w:t>
      </w:r>
      <w:proofErr w:type="spellStart"/>
      <w:r w:rsidRPr="00323AC2">
        <w:rPr>
          <w:bCs/>
          <w:lang w:val="en-US"/>
        </w:rPr>
        <w:t>Loenen</w:t>
      </w:r>
      <w:proofErr w:type="spellEnd"/>
      <w:r w:rsidRPr="00323AC2">
        <w:rPr>
          <w:bCs/>
          <w:lang w:val="en-US"/>
        </w:rPr>
        <w:t xml:space="preserve"> T. and Rodriquez P. (eds.),</w:t>
      </w:r>
      <w:r>
        <w:rPr>
          <w:bCs/>
          <w:lang w:val="en-US"/>
        </w:rPr>
        <w:t xml:space="preserve"> op. cit., 195-196; </w:t>
      </w:r>
      <w:r w:rsidRPr="00E44F14">
        <w:rPr>
          <w:bCs/>
          <w:lang w:val="en-US"/>
        </w:rPr>
        <w:t xml:space="preserve">Peters A., </w:t>
      </w:r>
      <w:r w:rsidRPr="00E44F14">
        <w:rPr>
          <w:bCs/>
          <w:i/>
          <w:lang w:val="en-US"/>
        </w:rPr>
        <w:t>Women, Quotas and Constitutions</w:t>
      </w:r>
      <w:r w:rsidRPr="00E44F14">
        <w:rPr>
          <w:bCs/>
          <w:lang w:val="en-US"/>
        </w:rPr>
        <w:t xml:space="preserve">, The Hague, Kluwer </w:t>
      </w:r>
      <w:r>
        <w:rPr>
          <w:bCs/>
          <w:lang w:val="en-US"/>
        </w:rPr>
        <w:t xml:space="preserve">Law International, 1999, 251-252. </w:t>
      </w:r>
    </w:p>
  </w:footnote>
  <w:footnote w:id="102">
    <w:p w:rsidR="00551E68" w:rsidRPr="00263905" w:rsidRDefault="00551E68" w:rsidP="005869B3">
      <w:pPr>
        <w:pStyle w:val="Voetnoottekst"/>
        <w:jc w:val="both"/>
        <w:rPr>
          <w:lang w:val="en-US"/>
        </w:rPr>
      </w:pPr>
      <w:r>
        <w:rPr>
          <w:rStyle w:val="Voetnootmarkering"/>
        </w:rPr>
        <w:footnoteRef/>
      </w:r>
      <w:r w:rsidRPr="00263905">
        <w:rPr>
          <w:lang w:val="en-US"/>
        </w:rPr>
        <w:t xml:space="preserve"> </w:t>
      </w:r>
      <w:r>
        <w:rPr>
          <w:lang w:val="en-US"/>
        </w:rPr>
        <w:t xml:space="preserve">The US Supreme Court applied the Civil Rights Act of 1964. Section 703(a) of this Act qualifies discrimination of employees on the basis of race, </w:t>
      </w:r>
      <w:proofErr w:type="spellStart"/>
      <w:r>
        <w:rPr>
          <w:lang w:val="en-US"/>
        </w:rPr>
        <w:t>colour</w:t>
      </w:r>
      <w:proofErr w:type="spellEnd"/>
      <w:r>
        <w:rPr>
          <w:lang w:val="en-US"/>
        </w:rPr>
        <w:t xml:space="preserve">, religion, sex or national origin as an unlawful employment practice.  </w:t>
      </w:r>
    </w:p>
  </w:footnote>
  <w:footnote w:id="103">
    <w:p w:rsidR="00551E68" w:rsidRPr="00D16600" w:rsidRDefault="00551E68" w:rsidP="005869B3">
      <w:pPr>
        <w:pStyle w:val="Voetnoottekst"/>
        <w:jc w:val="both"/>
        <w:rPr>
          <w:b/>
          <w:u w:val="single"/>
          <w:lang w:val="en-US"/>
        </w:rPr>
      </w:pPr>
      <w:r>
        <w:rPr>
          <w:rStyle w:val="Voetnootmarkering"/>
        </w:rPr>
        <w:footnoteRef/>
      </w:r>
      <w:r>
        <w:rPr>
          <w:lang w:val="en-US"/>
        </w:rPr>
        <w:t xml:space="preserve"> Article 1(1) b of the Sex Discrimination Act of 1975; </w:t>
      </w:r>
      <w:proofErr w:type="spellStart"/>
      <w:r>
        <w:rPr>
          <w:lang w:val="en-US"/>
        </w:rPr>
        <w:t>Schiek</w:t>
      </w:r>
      <w:proofErr w:type="spellEnd"/>
      <w:r>
        <w:rPr>
          <w:lang w:val="en-US"/>
        </w:rPr>
        <w:t xml:space="preserve"> D., “Indirect Discrimination” in </w:t>
      </w:r>
      <w:proofErr w:type="spellStart"/>
      <w:r w:rsidRPr="00D16600">
        <w:rPr>
          <w:lang w:val="en-US"/>
        </w:rPr>
        <w:t>Schiek</w:t>
      </w:r>
      <w:proofErr w:type="spellEnd"/>
      <w:r w:rsidRPr="00D16600">
        <w:rPr>
          <w:lang w:val="en-US"/>
        </w:rPr>
        <w:t xml:space="preserve"> D</w:t>
      </w:r>
      <w:r>
        <w:rPr>
          <w:lang w:val="en-US"/>
        </w:rPr>
        <w:t>.</w:t>
      </w:r>
      <w:r w:rsidRPr="00D16600">
        <w:rPr>
          <w:lang w:val="en-US"/>
        </w:rPr>
        <w:t>, Wa</w:t>
      </w:r>
      <w:r>
        <w:rPr>
          <w:lang w:val="en-US"/>
        </w:rPr>
        <w:t xml:space="preserve">ddington L. and Bell M. (eds.), op. cit., 324 and 333.  </w:t>
      </w:r>
    </w:p>
  </w:footnote>
  <w:footnote w:id="104">
    <w:p w:rsidR="00551E68" w:rsidRPr="00015F4C" w:rsidRDefault="00551E68" w:rsidP="005869B3">
      <w:pPr>
        <w:pStyle w:val="Voetnoottekst"/>
        <w:jc w:val="both"/>
        <w:rPr>
          <w:lang w:val="fr-FR"/>
        </w:rPr>
      </w:pPr>
      <w:r>
        <w:rPr>
          <w:rStyle w:val="Voetnootmarkering"/>
        </w:rPr>
        <w:footnoteRef/>
      </w:r>
      <w:r w:rsidRPr="00015F4C">
        <w:rPr>
          <w:lang w:val="fr-FR"/>
        </w:rPr>
        <w:t xml:space="preserve"> </w:t>
      </w:r>
      <w:r w:rsidRPr="00015F4C">
        <w:rPr>
          <w:bCs/>
          <w:lang w:val="fr-FR"/>
        </w:rPr>
        <w:t xml:space="preserve">Directive 1975/117/EEC.  </w:t>
      </w:r>
    </w:p>
  </w:footnote>
  <w:footnote w:id="105">
    <w:p w:rsidR="00551E68" w:rsidRPr="00015F4C" w:rsidRDefault="00551E68" w:rsidP="005869B3">
      <w:pPr>
        <w:pStyle w:val="Voetnoottekst"/>
        <w:jc w:val="both"/>
        <w:rPr>
          <w:lang w:val="fr-FR"/>
        </w:rPr>
      </w:pPr>
      <w:r>
        <w:rPr>
          <w:rStyle w:val="Voetnootmarkering"/>
        </w:rPr>
        <w:footnoteRef/>
      </w:r>
      <w:r w:rsidRPr="00015F4C">
        <w:rPr>
          <w:lang w:val="fr-FR"/>
        </w:rPr>
        <w:t xml:space="preserve"> </w:t>
      </w:r>
      <w:r>
        <w:rPr>
          <w:lang w:val="fr-FR"/>
        </w:rPr>
        <w:t xml:space="preserve">Article 2(1) </w:t>
      </w:r>
      <w:r w:rsidRPr="00015F4C">
        <w:rPr>
          <w:lang w:val="fr-FR"/>
        </w:rPr>
        <w:t>Directive 1976/207/</w:t>
      </w:r>
      <w:r>
        <w:rPr>
          <w:lang w:val="fr-FR"/>
        </w:rPr>
        <w:t xml:space="preserve">EEC. </w:t>
      </w:r>
    </w:p>
  </w:footnote>
  <w:footnote w:id="106">
    <w:p w:rsidR="00551E68" w:rsidRPr="00C811DC" w:rsidRDefault="00551E68" w:rsidP="005869B3">
      <w:pPr>
        <w:pStyle w:val="Voetnoottekst"/>
        <w:jc w:val="both"/>
        <w:rPr>
          <w:lang w:val="fr-FR"/>
        </w:rPr>
      </w:pPr>
      <w:r>
        <w:rPr>
          <w:rStyle w:val="Voetnootmarkering"/>
        </w:rPr>
        <w:footnoteRef/>
      </w:r>
      <w:r w:rsidRPr="00015F4C">
        <w:rPr>
          <w:lang w:val="fr-FR"/>
        </w:rPr>
        <w:t xml:space="preserve"> ECJ C-152/73, </w:t>
      </w:r>
      <w:r w:rsidRPr="00015F4C">
        <w:rPr>
          <w:i/>
          <w:lang w:val="fr-FR"/>
        </w:rPr>
        <w:t xml:space="preserve">Maria </w:t>
      </w:r>
      <w:proofErr w:type="spellStart"/>
      <w:r w:rsidRPr="00015F4C">
        <w:rPr>
          <w:i/>
          <w:lang w:val="fr-FR"/>
        </w:rPr>
        <w:t>Sotgui</w:t>
      </w:r>
      <w:proofErr w:type="spellEnd"/>
      <w:r w:rsidRPr="00015F4C">
        <w:rPr>
          <w:i/>
          <w:lang w:val="fr-FR"/>
        </w:rPr>
        <w:t xml:space="preserve"> v. Deutsche Bundespost</w:t>
      </w:r>
      <w:r w:rsidRPr="00015F4C">
        <w:rPr>
          <w:lang w:val="fr-FR"/>
        </w:rPr>
        <w:t xml:space="preserve">, 1974, para. </w:t>
      </w:r>
      <w:r w:rsidRPr="00C811DC">
        <w:rPr>
          <w:lang w:val="fr-FR"/>
        </w:rPr>
        <w:t xml:space="preserve">11.  </w:t>
      </w:r>
    </w:p>
  </w:footnote>
  <w:footnote w:id="107">
    <w:p w:rsidR="00551E68" w:rsidRPr="00C811DC" w:rsidRDefault="00551E68" w:rsidP="005869B3">
      <w:pPr>
        <w:pStyle w:val="Voetnoottekst"/>
        <w:jc w:val="both"/>
        <w:rPr>
          <w:lang w:val="fr-FR"/>
        </w:rPr>
      </w:pPr>
      <w:r>
        <w:rPr>
          <w:rStyle w:val="Voetnootmarkering"/>
        </w:rPr>
        <w:footnoteRef/>
      </w:r>
      <w:r w:rsidRPr="00C811DC">
        <w:rPr>
          <w:lang w:val="fr-FR"/>
        </w:rPr>
        <w:t xml:space="preserve"> ECJ C-96/80, </w:t>
      </w:r>
      <w:r w:rsidRPr="00C811DC">
        <w:rPr>
          <w:i/>
          <w:lang w:val="fr-FR"/>
        </w:rPr>
        <w:t xml:space="preserve">J.P. Jenkins v. </w:t>
      </w:r>
      <w:proofErr w:type="spellStart"/>
      <w:r w:rsidRPr="00C811DC">
        <w:rPr>
          <w:i/>
          <w:lang w:val="fr-FR"/>
        </w:rPr>
        <w:t>Kingsgate</w:t>
      </w:r>
      <w:proofErr w:type="spellEnd"/>
      <w:r w:rsidRPr="00C811DC">
        <w:rPr>
          <w:i/>
          <w:lang w:val="fr-FR"/>
        </w:rPr>
        <w:t xml:space="preserve"> (</w:t>
      </w:r>
      <w:proofErr w:type="spellStart"/>
      <w:r w:rsidRPr="00C811DC">
        <w:rPr>
          <w:i/>
          <w:lang w:val="fr-FR"/>
        </w:rPr>
        <w:t>Clothing</w:t>
      </w:r>
      <w:proofErr w:type="spellEnd"/>
      <w:r w:rsidRPr="00C811DC">
        <w:rPr>
          <w:i/>
          <w:lang w:val="fr-FR"/>
        </w:rPr>
        <w:t xml:space="preserve"> Productions) Ltd</w:t>
      </w:r>
      <w:r w:rsidRPr="00C811DC">
        <w:rPr>
          <w:lang w:val="fr-FR"/>
        </w:rPr>
        <w:t xml:space="preserve">, 1981. </w:t>
      </w:r>
    </w:p>
  </w:footnote>
  <w:footnote w:id="108">
    <w:p w:rsidR="00551E68" w:rsidRPr="00F56CE6" w:rsidRDefault="00551E68" w:rsidP="005869B3">
      <w:pPr>
        <w:pStyle w:val="Voetnoottekst"/>
        <w:jc w:val="both"/>
        <w:rPr>
          <w:lang w:val="en-GB"/>
        </w:rPr>
      </w:pPr>
      <w:r>
        <w:rPr>
          <w:rStyle w:val="Voetnootmarkering"/>
        </w:rPr>
        <w:footnoteRef/>
      </w:r>
      <w:r w:rsidRPr="00CC28E7">
        <w:rPr>
          <w:lang w:val="en-US"/>
        </w:rPr>
        <w:t xml:space="preserve"> </w:t>
      </w:r>
      <w:r>
        <w:rPr>
          <w:lang w:val="en-US"/>
        </w:rPr>
        <w:t xml:space="preserve">Article 2(2) </w:t>
      </w:r>
      <w:r w:rsidRPr="00F56CE6">
        <w:rPr>
          <w:lang w:val="en-GB"/>
        </w:rPr>
        <w:t xml:space="preserve">Council Directive 1997/80/EC of 15 December 1997 on the burden of proof in cases </w:t>
      </w:r>
      <w:r>
        <w:rPr>
          <w:lang w:val="en-GB"/>
        </w:rPr>
        <w:t>of discrimination based on sex (Directive 1997/80).</w:t>
      </w:r>
    </w:p>
  </w:footnote>
  <w:footnote w:id="109">
    <w:p w:rsidR="00551E68" w:rsidRPr="00753F97" w:rsidRDefault="00551E68" w:rsidP="005869B3">
      <w:pPr>
        <w:pStyle w:val="Voetnoottekst"/>
        <w:jc w:val="both"/>
        <w:rPr>
          <w:lang w:val="en-GB"/>
        </w:rPr>
      </w:pPr>
      <w:r>
        <w:rPr>
          <w:rStyle w:val="Voetnootmarkering"/>
        </w:rPr>
        <w:footnoteRef/>
      </w:r>
      <w:r w:rsidRPr="00753F97">
        <w:rPr>
          <w:lang w:val="en-GB"/>
        </w:rPr>
        <w:t xml:space="preserve"> </w:t>
      </w:r>
      <w:r>
        <w:rPr>
          <w:lang w:val="en-GB"/>
        </w:rPr>
        <w:t xml:space="preserve">Article 2(1) b) </w:t>
      </w:r>
      <w:r w:rsidRPr="008E2D6F">
        <w:rPr>
          <w:bCs/>
          <w:lang w:val="en-US"/>
        </w:rPr>
        <w:t>Directive 2006/54</w:t>
      </w:r>
      <w:r>
        <w:rPr>
          <w:bCs/>
          <w:lang w:val="en-US"/>
        </w:rPr>
        <w:t xml:space="preserve">/EC. </w:t>
      </w:r>
    </w:p>
  </w:footnote>
  <w:footnote w:id="110">
    <w:p w:rsidR="00551E68" w:rsidRPr="0087025C" w:rsidRDefault="00551E68" w:rsidP="005869B3">
      <w:pPr>
        <w:pStyle w:val="Voetnoottekst"/>
        <w:jc w:val="both"/>
        <w:rPr>
          <w:u w:val="single"/>
          <w:lang w:val="en-US"/>
        </w:rPr>
      </w:pPr>
      <w:r>
        <w:rPr>
          <w:rStyle w:val="Voetnootmarkering"/>
        </w:rPr>
        <w:footnoteRef/>
      </w:r>
      <w:r w:rsidRPr="00FE3594">
        <w:rPr>
          <w:lang w:val="en-GB"/>
        </w:rPr>
        <w:t xml:space="preserve"> </w:t>
      </w:r>
      <w:r w:rsidRPr="0087025C">
        <w:rPr>
          <w:lang w:val="en-US"/>
        </w:rPr>
        <w:t>Europea</w:t>
      </w:r>
      <w:r>
        <w:rPr>
          <w:lang w:val="en-US"/>
        </w:rPr>
        <w:t>n Committee of Social Rights, Collective Complaint (CC)</w:t>
      </w:r>
      <w:r w:rsidRPr="0087025C">
        <w:rPr>
          <w:lang w:val="en-US"/>
        </w:rPr>
        <w:t xml:space="preserve"> 13/2002, </w:t>
      </w:r>
      <w:r w:rsidRPr="0087025C">
        <w:rPr>
          <w:i/>
          <w:lang w:val="en-US"/>
        </w:rPr>
        <w:t>Autism-Europe v. France</w:t>
      </w:r>
      <w:r w:rsidRPr="0087025C">
        <w:rPr>
          <w:lang w:val="en-US"/>
        </w:rPr>
        <w:t xml:space="preserve"> (2003), para. 52; European Committee of Social Rights, CC 27/2004, </w:t>
      </w:r>
      <w:r w:rsidRPr="0087025C">
        <w:rPr>
          <w:i/>
          <w:lang w:val="en-US"/>
        </w:rPr>
        <w:t>European Roma Rights Centre v. Italy</w:t>
      </w:r>
      <w:r w:rsidRPr="0087025C">
        <w:rPr>
          <w:lang w:val="en-US"/>
        </w:rPr>
        <w:t xml:space="preserve"> </w:t>
      </w:r>
      <w:r>
        <w:rPr>
          <w:lang w:val="en-US"/>
        </w:rPr>
        <w:t xml:space="preserve">(2005), para. </w:t>
      </w:r>
      <w:r w:rsidRPr="0087025C">
        <w:rPr>
          <w:lang w:val="en-US"/>
        </w:rPr>
        <w:t xml:space="preserve">46; European Committee of Social Rights, CC 64/2011, </w:t>
      </w:r>
      <w:r w:rsidRPr="00105605">
        <w:rPr>
          <w:i/>
          <w:lang w:val="en-US"/>
        </w:rPr>
        <w:t xml:space="preserve">European Roma and </w:t>
      </w:r>
      <w:proofErr w:type="spellStart"/>
      <w:r w:rsidRPr="00105605">
        <w:rPr>
          <w:i/>
          <w:lang w:val="en-US"/>
        </w:rPr>
        <w:t>Travellers</w:t>
      </w:r>
      <w:proofErr w:type="spellEnd"/>
      <w:r w:rsidRPr="00105605">
        <w:rPr>
          <w:i/>
          <w:lang w:val="en-US"/>
        </w:rPr>
        <w:t xml:space="preserve"> Forum v. France</w:t>
      </w:r>
      <w:r w:rsidRPr="0087025C">
        <w:rPr>
          <w:lang w:val="en-US"/>
        </w:rPr>
        <w:t xml:space="preserve"> (2012), para. 41.</w:t>
      </w:r>
    </w:p>
  </w:footnote>
  <w:footnote w:id="111">
    <w:p w:rsidR="00551E68" w:rsidRPr="00EF3035" w:rsidRDefault="00551E68" w:rsidP="005869B3">
      <w:pPr>
        <w:pStyle w:val="Voetnoottekst"/>
        <w:jc w:val="both"/>
        <w:rPr>
          <w:lang w:val="en-GB"/>
        </w:rPr>
      </w:pPr>
      <w:r>
        <w:rPr>
          <w:rStyle w:val="Voetnootmarkering"/>
        </w:rPr>
        <w:footnoteRef/>
      </w:r>
      <w:r w:rsidRPr="00EF3035">
        <w:rPr>
          <w:lang w:val="en-US"/>
        </w:rPr>
        <w:t xml:space="preserve"> </w:t>
      </w:r>
      <w:r w:rsidRPr="00EF3035">
        <w:rPr>
          <w:lang w:val="en-GB"/>
        </w:rPr>
        <w:t>Convention no. 111 on Discrimination in Employment and Occupation, 1958.</w:t>
      </w:r>
    </w:p>
  </w:footnote>
  <w:footnote w:id="112">
    <w:p w:rsidR="00551E68" w:rsidRPr="00732F99" w:rsidRDefault="00551E68" w:rsidP="005869B3">
      <w:pPr>
        <w:pStyle w:val="Voetnoottekst"/>
        <w:jc w:val="both"/>
        <w:rPr>
          <w:lang w:val="en-US"/>
        </w:rPr>
      </w:pPr>
      <w:r>
        <w:rPr>
          <w:rStyle w:val="Voetnootmarkering"/>
        </w:rPr>
        <w:footnoteRef/>
      </w:r>
      <w:r>
        <w:rPr>
          <w:lang w:val="en-US"/>
        </w:rPr>
        <w:t xml:space="preserve"> Article 1(1) a) Convention no. 111 defines discrimination as ‘</w:t>
      </w:r>
      <w:r w:rsidRPr="00732F99">
        <w:rPr>
          <w:lang w:val="en-US"/>
        </w:rPr>
        <w:t xml:space="preserve">any distinction, exclusion or preference made on the basis of race, </w:t>
      </w:r>
      <w:proofErr w:type="spellStart"/>
      <w:r w:rsidRPr="00732F99">
        <w:rPr>
          <w:lang w:val="en-US"/>
        </w:rPr>
        <w:t>colour</w:t>
      </w:r>
      <w:proofErr w:type="spellEnd"/>
      <w:r w:rsidRPr="00732F99">
        <w:rPr>
          <w:lang w:val="en-US"/>
        </w:rPr>
        <w:t>, sex, religion, political opinion, national extraction or social origin, which has the effect of nullifying or impairing equality of opportunity or treatm</w:t>
      </w:r>
      <w:r>
        <w:rPr>
          <w:lang w:val="en-US"/>
        </w:rPr>
        <w:t xml:space="preserve">ent in employment or occupation’. </w:t>
      </w:r>
      <w:r w:rsidRPr="00732F99">
        <w:rPr>
          <w:lang w:val="en-GB"/>
        </w:rPr>
        <w:t>International Labour Conference, Equality in Employment and Occupation: Special Survey in respect of Convention no. 111, Geneva, International Labour Office, 83</w:t>
      </w:r>
      <w:r w:rsidRPr="00732F99">
        <w:rPr>
          <w:vertAlign w:val="superscript"/>
          <w:lang w:val="en-GB"/>
        </w:rPr>
        <w:t>rd</w:t>
      </w:r>
      <w:r w:rsidRPr="00732F99">
        <w:rPr>
          <w:lang w:val="en-GB"/>
        </w:rPr>
        <w:t xml:space="preserve"> Session, 1996, 12.</w:t>
      </w:r>
    </w:p>
  </w:footnote>
  <w:footnote w:id="113">
    <w:p w:rsidR="00551E68" w:rsidRPr="00376A48" w:rsidRDefault="00551E68" w:rsidP="005869B3">
      <w:pPr>
        <w:pStyle w:val="Voetnoottekst"/>
        <w:jc w:val="both"/>
        <w:rPr>
          <w:lang w:val="en-GB"/>
        </w:rPr>
      </w:pPr>
      <w:r>
        <w:rPr>
          <w:rStyle w:val="Voetnootmarkering"/>
        </w:rPr>
        <w:footnoteRef/>
      </w:r>
      <w:r w:rsidRPr="00EF3035">
        <w:rPr>
          <w:lang w:val="en-US"/>
        </w:rPr>
        <w:t xml:space="preserve"> </w:t>
      </w:r>
      <w:r>
        <w:rPr>
          <w:lang w:val="en-US"/>
        </w:rPr>
        <w:t xml:space="preserve">Article 1 CEDAW; </w:t>
      </w:r>
      <w:r w:rsidRPr="009655CD">
        <w:rPr>
          <w:lang w:val="en-GB"/>
        </w:rPr>
        <w:t>CEDAW General Recommendation no. 25 on tem</w:t>
      </w:r>
      <w:r>
        <w:rPr>
          <w:lang w:val="en-GB"/>
        </w:rPr>
        <w:t xml:space="preserve">porary special measures (2004), para. 7; </w:t>
      </w:r>
      <w:r w:rsidRPr="009655CD">
        <w:rPr>
          <w:lang w:val="en-GB"/>
        </w:rPr>
        <w:t>CEDAW General Recommendation no. 28 on the core obligations of state parties under the Convention on the Elimination of All Forms of Discr</w:t>
      </w:r>
      <w:r>
        <w:rPr>
          <w:lang w:val="en-GB"/>
        </w:rPr>
        <w:t xml:space="preserve">imination against Women (2010), para. 16. </w:t>
      </w:r>
    </w:p>
  </w:footnote>
  <w:footnote w:id="114">
    <w:p w:rsidR="00551E68" w:rsidRPr="00456528" w:rsidRDefault="00551E68" w:rsidP="005869B3">
      <w:pPr>
        <w:pStyle w:val="Voetnoottekst"/>
        <w:jc w:val="both"/>
        <w:rPr>
          <w:lang w:val="en-GB"/>
        </w:rPr>
      </w:pPr>
      <w:r>
        <w:rPr>
          <w:rStyle w:val="Voetnootmarkering"/>
        </w:rPr>
        <w:footnoteRef/>
      </w:r>
      <w:r>
        <w:rPr>
          <w:lang w:val="en-US"/>
        </w:rPr>
        <w:t xml:space="preserve"> </w:t>
      </w:r>
      <w:r w:rsidRPr="002518FC">
        <w:rPr>
          <w:lang w:val="en-GB"/>
        </w:rPr>
        <w:t xml:space="preserve">Barnard C., </w:t>
      </w:r>
      <w:r w:rsidRPr="002518FC">
        <w:rPr>
          <w:i/>
          <w:lang w:val="en-GB"/>
        </w:rPr>
        <w:t>EC Employment Law</w:t>
      </w:r>
      <w:r w:rsidRPr="002518FC">
        <w:rPr>
          <w:lang w:val="en-GB"/>
        </w:rPr>
        <w:t>, Oxford, Oxford</w:t>
      </w:r>
      <w:r>
        <w:rPr>
          <w:lang w:val="en-GB"/>
        </w:rPr>
        <w:t xml:space="preserve"> University Press, 2006, 322; </w:t>
      </w:r>
      <w:proofErr w:type="spellStart"/>
      <w:r w:rsidRPr="00456528">
        <w:rPr>
          <w:lang w:val="en-GB"/>
        </w:rPr>
        <w:t>McCrudden</w:t>
      </w:r>
      <w:proofErr w:type="spellEnd"/>
      <w:r w:rsidRPr="00456528">
        <w:rPr>
          <w:lang w:val="en-GB"/>
        </w:rPr>
        <w:t xml:space="preserve"> C. and </w:t>
      </w:r>
      <w:proofErr w:type="spellStart"/>
      <w:r w:rsidRPr="00456528">
        <w:rPr>
          <w:lang w:val="en-GB"/>
        </w:rPr>
        <w:t>Prechal</w:t>
      </w:r>
      <w:proofErr w:type="spellEnd"/>
      <w:r w:rsidRPr="00456528">
        <w:rPr>
          <w:lang w:val="en-GB"/>
        </w:rPr>
        <w:t xml:space="preserve"> S., </w:t>
      </w:r>
      <w:r w:rsidRPr="00456528">
        <w:rPr>
          <w:i/>
          <w:lang w:val="en-GB"/>
        </w:rPr>
        <w:t>The Concepts of Equality and Non-Discrimination in Europe: A practical approach</w:t>
      </w:r>
      <w:r w:rsidRPr="00456528">
        <w:rPr>
          <w:lang w:val="en-GB"/>
        </w:rPr>
        <w:t>, Brussels, the Directorate-General for Employment, Social Affairs and E</w:t>
      </w:r>
      <w:r>
        <w:rPr>
          <w:lang w:val="en-GB"/>
        </w:rPr>
        <w:t>qual Opportunities, 2009, 31.</w:t>
      </w:r>
    </w:p>
  </w:footnote>
  <w:footnote w:id="115">
    <w:p w:rsidR="00551E68" w:rsidRPr="00C811DC" w:rsidRDefault="00551E68" w:rsidP="005869B3">
      <w:pPr>
        <w:pStyle w:val="Voetnoottekst"/>
        <w:jc w:val="both"/>
        <w:rPr>
          <w:lang w:val="fr-FR"/>
        </w:rPr>
      </w:pPr>
      <w:r>
        <w:rPr>
          <w:rStyle w:val="Voetnootmarkering"/>
        </w:rPr>
        <w:footnoteRef/>
      </w:r>
      <w:r w:rsidRPr="00C811DC">
        <w:rPr>
          <w:lang w:val="fr-FR"/>
        </w:rPr>
        <w:t xml:space="preserve"> Article 2(2) Directive 1976/207/EEC.  </w:t>
      </w:r>
    </w:p>
  </w:footnote>
  <w:footnote w:id="116">
    <w:p w:rsidR="00551E68" w:rsidRPr="00C811DC" w:rsidRDefault="00551E68" w:rsidP="005869B3">
      <w:pPr>
        <w:pStyle w:val="Voetnoottekst"/>
        <w:jc w:val="both"/>
        <w:rPr>
          <w:lang w:val="fr-FR"/>
        </w:rPr>
      </w:pPr>
      <w:r>
        <w:rPr>
          <w:rStyle w:val="Voetnootmarkering"/>
        </w:rPr>
        <w:footnoteRef/>
      </w:r>
      <w:r w:rsidRPr="00C811DC">
        <w:rPr>
          <w:lang w:val="fr-FR"/>
        </w:rPr>
        <w:t xml:space="preserve"> Article 14(2) </w:t>
      </w:r>
      <w:r w:rsidRPr="00C811DC">
        <w:rPr>
          <w:bCs/>
          <w:lang w:val="fr-FR"/>
        </w:rPr>
        <w:t xml:space="preserve">Directive 2006/54/EC. </w:t>
      </w:r>
    </w:p>
  </w:footnote>
  <w:footnote w:id="117">
    <w:p w:rsidR="00551E68" w:rsidRPr="00F53885" w:rsidRDefault="00551E68" w:rsidP="005869B3">
      <w:pPr>
        <w:pStyle w:val="Voetnoottekst"/>
        <w:jc w:val="both"/>
        <w:rPr>
          <w:b/>
          <w:u w:val="single"/>
          <w:lang w:val="en-US"/>
        </w:rPr>
      </w:pPr>
      <w:r>
        <w:rPr>
          <w:rStyle w:val="Voetnootmarkering"/>
        </w:rPr>
        <w:footnoteRef/>
      </w:r>
      <w:r w:rsidRPr="00EE41DE">
        <w:rPr>
          <w:lang w:val="en-US"/>
        </w:rPr>
        <w:t xml:space="preserve"> </w:t>
      </w:r>
      <w:r w:rsidRPr="00EB29E1">
        <w:rPr>
          <w:lang w:val="en-US"/>
        </w:rPr>
        <w:t>European Union Agency for Fundamental Rights,</w:t>
      </w:r>
      <w:r>
        <w:rPr>
          <w:lang w:val="en-US"/>
        </w:rPr>
        <w:t xml:space="preserve"> op. cit., 46-47; </w:t>
      </w:r>
      <w:proofErr w:type="spellStart"/>
      <w:r w:rsidRPr="00F53885">
        <w:rPr>
          <w:lang w:val="en-GB"/>
        </w:rPr>
        <w:t>Kapuy</w:t>
      </w:r>
      <w:proofErr w:type="spellEnd"/>
      <w:r w:rsidRPr="00F53885">
        <w:rPr>
          <w:lang w:val="en-GB"/>
        </w:rPr>
        <w:t xml:space="preserve"> K., “Equal treatment of men and women” in </w:t>
      </w:r>
      <w:proofErr w:type="spellStart"/>
      <w:r w:rsidRPr="00F53885">
        <w:rPr>
          <w:lang w:val="en-US"/>
        </w:rPr>
        <w:t>Pieters</w:t>
      </w:r>
      <w:proofErr w:type="spellEnd"/>
      <w:r w:rsidRPr="00F53885">
        <w:rPr>
          <w:lang w:val="en-US"/>
        </w:rPr>
        <w:t xml:space="preserve"> D. (ed.),</w:t>
      </w:r>
      <w:r>
        <w:rPr>
          <w:lang w:val="en-US"/>
        </w:rPr>
        <w:t xml:space="preserve"> op. </w:t>
      </w:r>
      <w:proofErr w:type="spellStart"/>
      <w:r>
        <w:rPr>
          <w:lang w:val="en-US"/>
        </w:rPr>
        <w:t>cit</w:t>
      </w:r>
      <w:proofErr w:type="spellEnd"/>
      <w:r>
        <w:rPr>
          <w:lang w:val="en-US"/>
        </w:rPr>
        <w:t xml:space="preserve">, 170-171. </w:t>
      </w:r>
    </w:p>
  </w:footnote>
  <w:footnote w:id="118">
    <w:p w:rsidR="00551E68" w:rsidRPr="0040217D" w:rsidRDefault="00551E68" w:rsidP="005869B3">
      <w:pPr>
        <w:pStyle w:val="Voetnoottekst"/>
        <w:jc w:val="both"/>
        <w:rPr>
          <w:lang w:val="en-GB"/>
        </w:rPr>
      </w:pPr>
      <w:r>
        <w:rPr>
          <w:rStyle w:val="Voetnootmarkering"/>
        </w:rPr>
        <w:footnoteRef/>
      </w:r>
      <w:r>
        <w:rPr>
          <w:lang w:val="en-US"/>
        </w:rPr>
        <w:t xml:space="preserve"> Article 4(2) </w:t>
      </w:r>
      <w:r w:rsidRPr="00723038">
        <w:rPr>
          <w:lang w:val="en-GB"/>
        </w:rPr>
        <w:t>Council Directive 20</w:t>
      </w:r>
      <w:r>
        <w:rPr>
          <w:lang w:val="en-GB"/>
        </w:rPr>
        <w:t>00/78; Emmanuelle B. a</w:t>
      </w:r>
      <w:r w:rsidRPr="0040217D">
        <w:rPr>
          <w:lang w:val="en-GB"/>
        </w:rPr>
        <w:t xml:space="preserve">nd </w:t>
      </w:r>
      <w:proofErr w:type="spellStart"/>
      <w:r w:rsidRPr="0040217D">
        <w:rPr>
          <w:lang w:val="en-GB"/>
        </w:rPr>
        <w:t>Rorive</w:t>
      </w:r>
      <w:proofErr w:type="spellEnd"/>
      <w:r w:rsidRPr="0040217D">
        <w:rPr>
          <w:lang w:val="en-GB"/>
        </w:rPr>
        <w:t xml:space="preserve"> I., </w:t>
      </w:r>
      <w:r w:rsidRPr="0040217D">
        <w:rPr>
          <w:i/>
          <w:lang w:val="en-GB"/>
        </w:rPr>
        <w:t>In search of a balance between the right to equality and other fundamental rights</w:t>
      </w:r>
      <w:r w:rsidRPr="0040217D">
        <w:rPr>
          <w:lang w:val="en-GB"/>
        </w:rPr>
        <w:t>, Luxembourg, Publications Offi</w:t>
      </w:r>
      <w:r>
        <w:rPr>
          <w:lang w:val="en-GB"/>
        </w:rPr>
        <w:t xml:space="preserve">ce of the European Union, 2010, 48. </w:t>
      </w:r>
    </w:p>
  </w:footnote>
  <w:footnote w:id="119">
    <w:p w:rsidR="00551E68" w:rsidRPr="004A5571" w:rsidRDefault="00551E68" w:rsidP="005869B3">
      <w:pPr>
        <w:pStyle w:val="Voetnoottekst"/>
        <w:jc w:val="both"/>
        <w:rPr>
          <w:b/>
          <w:bCs/>
          <w:lang w:val="en-GB"/>
        </w:rPr>
      </w:pPr>
      <w:r>
        <w:rPr>
          <w:rStyle w:val="Voetnootmarkering"/>
        </w:rPr>
        <w:footnoteRef/>
      </w:r>
      <w:r w:rsidRPr="004A5571">
        <w:rPr>
          <w:lang w:val="en-GB"/>
        </w:rPr>
        <w:t xml:space="preserve"> </w:t>
      </w:r>
      <w:r w:rsidRPr="004A5571">
        <w:rPr>
          <w:lang w:val="en-US"/>
        </w:rPr>
        <w:t xml:space="preserve">ECJ C-96/80, </w:t>
      </w:r>
      <w:r w:rsidRPr="004A5571">
        <w:rPr>
          <w:i/>
          <w:lang w:val="en-US"/>
        </w:rPr>
        <w:t>J.P. Jenkins v. Kingsgate (Clothing Productions) Ltd</w:t>
      </w:r>
      <w:r>
        <w:rPr>
          <w:lang w:val="en-US"/>
        </w:rPr>
        <w:t xml:space="preserve">, 1981; </w:t>
      </w:r>
      <w:r w:rsidRPr="004A5571">
        <w:rPr>
          <w:lang w:val="en-GB"/>
        </w:rPr>
        <w:t xml:space="preserve">ECJ C-170/84, </w:t>
      </w:r>
      <w:proofErr w:type="spellStart"/>
      <w:r w:rsidRPr="004A5571">
        <w:rPr>
          <w:i/>
          <w:lang w:val="en-GB"/>
        </w:rPr>
        <w:t>Bilka</w:t>
      </w:r>
      <w:proofErr w:type="spellEnd"/>
      <w:r w:rsidRPr="004A5571">
        <w:rPr>
          <w:i/>
          <w:lang w:val="en-GB"/>
        </w:rPr>
        <w:t xml:space="preserve"> </w:t>
      </w:r>
      <w:proofErr w:type="spellStart"/>
      <w:r w:rsidRPr="004A5571">
        <w:rPr>
          <w:i/>
          <w:lang w:val="en-GB"/>
        </w:rPr>
        <w:t>Kaufhaus</w:t>
      </w:r>
      <w:proofErr w:type="spellEnd"/>
      <w:r w:rsidRPr="004A5571">
        <w:rPr>
          <w:i/>
          <w:lang w:val="en-GB"/>
        </w:rPr>
        <w:t xml:space="preserve"> GmbH v. Karin Weber Von </w:t>
      </w:r>
      <w:proofErr w:type="spellStart"/>
      <w:r w:rsidRPr="004A5571">
        <w:rPr>
          <w:i/>
          <w:lang w:val="en-GB"/>
        </w:rPr>
        <w:t>Hartz</w:t>
      </w:r>
      <w:proofErr w:type="spellEnd"/>
      <w:r w:rsidRPr="004A5571">
        <w:rPr>
          <w:lang w:val="en-GB"/>
        </w:rPr>
        <w:t xml:space="preserve">, 1986; ECJ C-300/06, </w:t>
      </w:r>
      <w:r w:rsidRPr="004A5571">
        <w:rPr>
          <w:i/>
          <w:lang w:val="en-GB"/>
        </w:rPr>
        <w:t>Ursula Voss v. Land Berlin</w:t>
      </w:r>
      <w:r w:rsidRPr="004A5571">
        <w:rPr>
          <w:lang w:val="en-GB"/>
        </w:rPr>
        <w:t>, 2007.</w:t>
      </w:r>
    </w:p>
  </w:footnote>
  <w:footnote w:id="120">
    <w:p w:rsidR="00551E68" w:rsidRPr="007606CA" w:rsidRDefault="00551E68" w:rsidP="005869B3">
      <w:pPr>
        <w:pStyle w:val="Voetnoottekst"/>
        <w:jc w:val="both"/>
        <w:rPr>
          <w:u w:val="single"/>
          <w:lang w:val="de-DE"/>
        </w:rPr>
      </w:pPr>
      <w:r>
        <w:rPr>
          <w:rStyle w:val="Voetnootmarkering"/>
        </w:rPr>
        <w:footnoteRef/>
      </w:r>
      <w:r w:rsidRPr="007606CA">
        <w:rPr>
          <w:lang w:val="de-DE"/>
        </w:rPr>
        <w:t xml:space="preserve"> ECJ C-170/84, </w:t>
      </w:r>
      <w:proofErr w:type="spellStart"/>
      <w:r w:rsidRPr="007606CA">
        <w:rPr>
          <w:i/>
          <w:lang w:val="de-DE"/>
        </w:rPr>
        <w:t>Bilka</w:t>
      </w:r>
      <w:proofErr w:type="spellEnd"/>
      <w:r w:rsidRPr="007606CA">
        <w:rPr>
          <w:i/>
          <w:lang w:val="de-DE"/>
        </w:rPr>
        <w:t xml:space="preserve"> Kaufhaus GmbH v. Karin Weber Von Hartz</w:t>
      </w:r>
      <w:r>
        <w:rPr>
          <w:lang w:val="de-DE"/>
        </w:rPr>
        <w:t xml:space="preserve">, 1986, </w:t>
      </w:r>
      <w:proofErr w:type="spellStart"/>
      <w:r>
        <w:rPr>
          <w:lang w:val="de-DE"/>
        </w:rPr>
        <w:t>paras</w:t>
      </w:r>
      <w:proofErr w:type="spellEnd"/>
      <w:r>
        <w:rPr>
          <w:lang w:val="de-DE"/>
        </w:rPr>
        <w:t xml:space="preserve"> 30-31. </w:t>
      </w:r>
    </w:p>
  </w:footnote>
  <w:footnote w:id="121">
    <w:p w:rsidR="00551E68" w:rsidRPr="00C811DC" w:rsidRDefault="00551E68" w:rsidP="005869B3">
      <w:pPr>
        <w:pStyle w:val="Voetnoottekst"/>
        <w:jc w:val="both"/>
        <w:rPr>
          <w:lang w:val="de-DE"/>
        </w:rPr>
      </w:pPr>
      <w:r>
        <w:rPr>
          <w:rStyle w:val="Voetnootmarkering"/>
        </w:rPr>
        <w:footnoteRef/>
      </w:r>
      <w:r w:rsidRPr="009D4C49">
        <w:rPr>
          <w:lang w:val="de-DE"/>
        </w:rPr>
        <w:t xml:space="preserve"> </w:t>
      </w:r>
      <w:r w:rsidRPr="00856631">
        <w:rPr>
          <w:lang w:val="de-DE"/>
        </w:rPr>
        <w:t xml:space="preserve">ECJ C-171/88, </w:t>
      </w:r>
      <w:r w:rsidRPr="00856631">
        <w:rPr>
          <w:i/>
          <w:lang w:val="de-DE"/>
        </w:rPr>
        <w:t xml:space="preserve">Ingrid </w:t>
      </w:r>
      <w:proofErr w:type="spellStart"/>
      <w:r w:rsidRPr="00856631">
        <w:rPr>
          <w:i/>
          <w:lang w:val="de-DE"/>
        </w:rPr>
        <w:t>Rinner</w:t>
      </w:r>
      <w:proofErr w:type="spellEnd"/>
      <w:r w:rsidRPr="00856631">
        <w:rPr>
          <w:i/>
          <w:lang w:val="de-DE"/>
        </w:rPr>
        <w:t>-Kuhn v. FWW spezial-</w:t>
      </w:r>
      <w:proofErr w:type="spellStart"/>
      <w:r w:rsidRPr="00856631">
        <w:rPr>
          <w:i/>
          <w:lang w:val="de-DE"/>
        </w:rPr>
        <w:t>gebaudereinigung</w:t>
      </w:r>
      <w:proofErr w:type="spellEnd"/>
      <w:r w:rsidRPr="00856631">
        <w:rPr>
          <w:i/>
          <w:lang w:val="de-DE"/>
        </w:rPr>
        <w:t xml:space="preserve"> GmbH &amp; Co. </w:t>
      </w:r>
      <w:r w:rsidRPr="00C811DC">
        <w:rPr>
          <w:i/>
          <w:lang w:val="de-DE"/>
        </w:rPr>
        <w:t>KG</w:t>
      </w:r>
      <w:r w:rsidRPr="00C811DC">
        <w:rPr>
          <w:lang w:val="de-DE"/>
        </w:rPr>
        <w:t xml:space="preserve">, 1989, </w:t>
      </w:r>
      <w:proofErr w:type="spellStart"/>
      <w:r w:rsidRPr="00C811DC">
        <w:rPr>
          <w:lang w:val="de-DE"/>
        </w:rPr>
        <w:t>paras</w:t>
      </w:r>
      <w:proofErr w:type="spellEnd"/>
      <w:r w:rsidRPr="00C811DC">
        <w:rPr>
          <w:lang w:val="de-DE"/>
        </w:rPr>
        <w:t xml:space="preserve"> 12-16. </w:t>
      </w:r>
    </w:p>
  </w:footnote>
  <w:footnote w:id="122">
    <w:p w:rsidR="00551E68" w:rsidRPr="00777DC6" w:rsidRDefault="00551E68" w:rsidP="005869B3">
      <w:pPr>
        <w:pStyle w:val="Voetnoottekst"/>
        <w:jc w:val="both"/>
        <w:rPr>
          <w:lang w:val="de-DE"/>
        </w:rPr>
      </w:pPr>
      <w:r>
        <w:rPr>
          <w:rStyle w:val="Voetnootmarkering"/>
        </w:rPr>
        <w:footnoteRef/>
      </w:r>
      <w:r>
        <w:rPr>
          <w:lang w:val="de-DE"/>
        </w:rPr>
        <w:t xml:space="preserve"> </w:t>
      </w:r>
      <w:r w:rsidRPr="000701E6">
        <w:rPr>
          <w:lang w:val="de-DE"/>
        </w:rPr>
        <w:t xml:space="preserve">ECJ C-317/93, </w:t>
      </w:r>
      <w:r w:rsidRPr="000701E6">
        <w:rPr>
          <w:i/>
          <w:lang w:val="de-DE"/>
        </w:rPr>
        <w:t>Inge Nolte v. Landesversicherungsanstalt Hannover</w:t>
      </w:r>
      <w:r w:rsidRPr="000701E6">
        <w:rPr>
          <w:lang w:val="de-DE"/>
        </w:rPr>
        <w:t>, 1995</w:t>
      </w:r>
      <w:r>
        <w:rPr>
          <w:lang w:val="de-DE"/>
        </w:rPr>
        <w:t xml:space="preserve">, </w:t>
      </w:r>
      <w:proofErr w:type="spellStart"/>
      <w:r>
        <w:rPr>
          <w:lang w:val="de-DE"/>
        </w:rPr>
        <w:t>para</w:t>
      </w:r>
      <w:proofErr w:type="spellEnd"/>
      <w:r>
        <w:rPr>
          <w:lang w:val="de-DE"/>
        </w:rPr>
        <w:t xml:space="preserve">. </w:t>
      </w:r>
      <w:r w:rsidRPr="000701E6">
        <w:rPr>
          <w:lang w:val="en-US"/>
        </w:rPr>
        <w:t>28;</w:t>
      </w:r>
      <w:r>
        <w:rPr>
          <w:lang w:val="en-US"/>
        </w:rPr>
        <w:t xml:space="preserve"> </w:t>
      </w:r>
      <w:proofErr w:type="spellStart"/>
      <w:r w:rsidRPr="00AC5F61">
        <w:rPr>
          <w:lang w:val="en-GB"/>
        </w:rPr>
        <w:t>Farkas</w:t>
      </w:r>
      <w:proofErr w:type="spellEnd"/>
      <w:r w:rsidRPr="00AC5F61">
        <w:rPr>
          <w:lang w:val="en-GB"/>
        </w:rPr>
        <w:t xml:space="preserve"> L., </w:t>
      </w:r>
      <w:r w:rsidRPr="00AC5F61">
        <w:rPr>
          <w:i/>
          <w:lang w:val="en-GB"/>
        </w:rPr>
        <w:t>How to Present a Discrimination Claim</w:t>
      </w:r>
      <w:r w:rsidRPr="00AC5F61">
        <w:rPr>
          <w:lang w:val="en-GB"/>
        </w:rPr>
        <w:t>, Luxembourg, Office for Official Publications of the European Communities, 2011,</w:t>
      </w:r>
      <w:r>
        <w:rPr>
          <w:lang w:val="en-GB"/>
        </w:rPr>
        <w:t xml:space="preserve"> 36-37</w:t>
      </w:r>
      <w:r>
        <w:rPr>
          <w:lang w:val="en-US"/>
        </w:rPr>
        <w:t xml:space="preserve">; </w:t>
      </w:r>
      <w:proofErr w:type="spellStart"/>
      <w:r>
        <w:rPr>
          <w:lang w:val="en-US"/>
        </w:rPr>
        <w:t>Schiek</w:t>
      </w:r>
      <w:proofErr w:type="spellEnd"/>
      <w:r>
        <w:rPr>
          <w:lang w:val="en-US"/>
        </w:rPr>
        <w:t xml:space="preserve"> D., “Indirect Discrimination”, </w:t>
      </w:r>
      <w:proofErr w:type="spellStart"/>
      <w:r w:rsidRPr="00A24D05">
        <w:rPr>
          <w:lang w:val="en-US"/>
        </w:rPr>
        <w:t>Schiek</w:t>
      </w:r>
      <w:proofErr w:type="spellEnd"/>
      <w:r w:rsidRPr="00A24D05">
        <w:rPr>
          <w:lang w:val="en-US"/>
        </w:rPr>
        <w:t xml:space="preserve"> D., Waddington L. and Bell</w:t>
      </w:r>
      <w:r>
        <w:rPr>
          <w:lang w:val="en-US"/>
        </w:rPr>
        <w:t xml:space="preserve"> M.  </w:t>
      </w:r>
      <w:r w:rsidRPr="00777DC6">
        <w:rPr>
          <w:lang w:val="de-DE"/>
        </w:rPr>
        <w:t>(</w:t>
      </w:r>
      <w:proofErr w:type="spellStart"/>
      <w:r w:rsidRPr="00777DC6">
        <w:rPr>
          <w:lang w:val="de-DE"/>
        </w:rPr>
        <w:t>eds</w:t>
      </w:r>
      <w:proofErr w:type="spellEnd"/>
      <w:r w:rsidRPr="00777DC6">
        <w:rPr>
          <w:lang w:val="de-DE"/>
        </w:rPr>
        <w:t xml:space="preserve">.), op. </w:t>
      </w:r>
      <w:proofErr w:type="spellStart"/>
      <w:r w:rsidRPr="00777DC6">
        <w:rPr>
          <w:lang w:val="de-DE"/>
        </w:rPr>
        <w:t>cit</w:t>
      </w:r>
      <w:proofErr w:type="spellEnd"/>
      <w:r w:rsidRPr="00777DC6">
        <w:rPr>
          <w:lang w:val="de-DE"/>
        </w:rPr>
        <w:t xml:space="preserve">., 444. </w:t>
      </w:r>
    </w:p>
  </w:footnote>
  <w:footnote w:id="123">
    <w:p w:rsidR="00551E68" w:rsidRPr="004009B5" w:rsidRDefault="00551E68" w:rsidP="005869B3">
      <w:pPr>
        <w:pStyle w:val="Voetnoottekst"/>
        <w:jc w:val="both"/>
        <w:rPr>
          <w:lang w:val="en-US"/>
        </w:rPr>
      </w:pPr>
      <w:r>
        <w:rPr>
          <w:rStyle w:val="Voetnootmarkering"/>
        </w:rPr>
        <w:footnoteRef/>
      </w:r>
      <w:r>
        <w:rPr>
          <w:bCs/>
          <w:lang w:val="de-DE"/>
        </w:rPr>
        <w:t xml:space="preserve"> </w:t>
      </w:r>
      <w:r w:rsidRPr="004009B5">
        <w:rPr>
          <w:bCs/>
          <w:lang w:val="de-DE"/>
        </w:rPr>
        <w:t>ECJ C-381/99,</w:t>
      </w:r>
      <w:r w:rsidRPr="004009B5">
        <w:rPr>
          <w:b/>
          <w:bCs/>
          <w:lang w:val="de-DE"/>
        </w:rPr>
        <w:t xml:space="preserve"> </w:t>
      </w:r>
      <w:r w:rsidRPr="004009B5">
        <w:rPr>
          <w:bCs/>
          <w:i/>
          <w:lang w:val="de-DE"/>
        </w:rPr>
        <w:t xml:space="preserve">Susanna </w:t>
      </w:r>
      <w:proofErr w:type="spellStart"/>
      <w:r w:rsidRPr="004009B5">
        <w:rPr>
          <w:bCs/>
          <w:i/>
          <w:lang w:val="de-DE"/>
        </w:rPr>
        <w:t>Brunnhofer</w:t>
      </w:r>
      <w:proofErr w:type="spellEnd"/>
      <w:r w:rsidRPr="004009B5">
        <w:rPr>
          <w:bCs/>
          <w:i/>
          <w:lang w:val="de-DE"/>
        </w:rPr>
        <w:t xml:space="preserve"> v. Bank der österreichischen Postsparkasse AG</w:t>
      </w:r>
      <w:r>
        <w:rPr>
          <w:bCs/>
          <w:lang w:val="de-DE"/>
        </w:rPr>
        <w:t xml:space="preserve">, 2001, </w:t>
      </w:r>
      <w:proofErr w:type="spellStart"/>
      <w:r>
        <w:rPr>
          <w:bCs/>
          <w:lang w:val="de-DE"/>
        </w:rPr>
        <w:t>para</w:t>
      </w:r>
      <w:proofErr w:type="spellEnd"/>
      <w:r>
        <w:rPr>
          <w:bCs/>
          <w:lang w:val="de-DE"/>
        </w:rPr>
        <w:t xml:space="preserve">. </w:t>
      </w:r>
      <w:r w:rsidRPr="004009B5">
        <w:rPr>
          <w:bCs/>
          <w:lang w:val="en-US"/>
        </w:rPr>
        <w:t>67;</w:t>
      </w:r>
      <w:r>
        <w:rPr>
          <w:bCs/>
          <w:lang w:val="en-US"/>
        </w:rPr>
        <w:t xml:space="preserve"> </w:t>
      </w:r>
      <w:proofErr w:type="spellStart"/>
      <w:r>
        <w:rPr>
          <w:lang w:val="en-US"/>
        </w:rPr>
        <w:t>Gijzen</w:t>
      </w:r>
      <w:proofErr w:type="spellEnd"/>
      <w:r>
        <w:rPr>
          <w:lang w:val="en-US"/>
        </w:rPr>
        <w:t xml:space="preserve"> M., op. cit., 89;</w:t>
      </w:r>
      <w:r w:rsidRPr="006B3BE8">
        <w:rPr>
          <w:lang w:val="en-GB"/>
        </w:rPr>
        <w:t xml:space="preserve"> Hervey T., </w:t>
      </w:r>
      <w:r w:rsidRPr="006B3BE8">
        <w:rPr>
          <w:i/>
          <w:lang w:val="en-GB"/>
        </w:rPr>
        <w:t>Justifications for Sex Discrimination in Employment</w:t>
      </w:r>
      <w:r w:rsidRPr="006B3BE8">
        <w:rPr>
          <w:lang w:val="en-GB"/>
        </w:rPr>
        <w:t>, Lond</w:t>
      </w:r>
      <w:r>
        <w:rPr>
          <w:lang w:val="en-GB"/>
        </w:rPr>
        <w:t xml:space="preserve">on, </w:t>
      </w:r>
      <w:proofErr w:type="spellStart"/>
      <w:r>
        <w:rPr>
          <w:lang w:val="en-GB"/>
        </w:rPr>
        <w:t>Butterworths</w:t>
      </w:r>
      <w:proofErr w:type="spellEnd"/>
      <w:r>
        <w:rPr>
          <w:lang w:val="en-GB"/>
        </w:rPr>
        <w:t xml:space="preserve">, 1993, 60; </w:t>
      </w:r>
      <w:r w:rsidRPr="00290132">
        <w:rPr>
          <w:lang w:val="en-US"/>
        </w:rPr>
        <w:t>S</w:t>
      </w:r>
      <w:r>
        <w:rPr>
          <w:lang w:val="en-US"/>
        </w:rPr>
        <w:t xml:space="preserve">haw J., Hunt J. and Wallace C., op. cit., 377. </w:t>
      </w:r>
    </w:p>
  </w:footnote>
  <w:footnote w:id="124">
    <w:p w:rsidR="00551E68" w:rsidRPr="002855AD" w:rsidRDefault="00551E68" w:rsidP="005869B3">
      <w:pPr>
        <w:pStyle w:val="Voetnoottekst"/>
        <w:jc w:val="both"/>
        <w:rPr>
          <w:lang w:val="en-US"/>
        </w:rPr>
      </w:pPr>
      <w:r>
        <w:rPr>
          <w:rStyle w:val="Voetnootmarkering"/>
        </w:rPr>
        <w:footnoteRef/>
      </w:r>
      <w:r w:rsidRPr="002855AD">
        <w:rPr>
          <w:lang w:val="en-US"/>
        </w:rPr>
        <w:t xml:space="preserve"> ECJ C-167/97, </w:t>
      </w:r>
      <w:r w:rsidRPr="002855AD">
        <w:rPr>
          <w:i/>
          <w:lang w:val="en-US"/>
        </w:rPr>
        <w:t>Regina v. Secretary of State for employment, ex parte Seymour-Smith</w:t>
      </w:r>
      <w:r>
        <w:rPr>
          <w:lang w:val="en-US"/>
        </w:rPr>
        <w:t xml:space="preserve">, 1999, para. 69; </w:t>
      </w:r>
    </w:p>
  </w:footnote>
  <w:footnote w:id="125">
    <w:p w:rsidR="00551E68" w:rsidRPr="002F0CAB" w:rsidRDefault="00551E68" w:rsidP="005869B3">
      <w:pPr>
        <w:pStyle w:val="Voetnoottekst"/>
        <w:jc w:val="both"/>
        <w:rPr>
          <w:lang w:val="en-GB"/>
        </w:rPr>
      </w:pPr>
      <w:r>
        <w:rPr>
          <w:rStyle w:val="Voetnootmarkering"/>
        </w:rPr>
        <w:footnoteRef/>
      </w:r>
      <w:r>
        <w:rPr>
          <w:lang w:val="en-US"/>
        </w:rPr>
        <w:t xml:space="preserve"> </w:t>
      </w:r>
      <w:r w:rsidRPr="006B3BE8">
        <w:rPr>
          <w:lang w:val="en-US"/>
        </w:rPr>
        <w:t xml:space="preserve">De </w:t>
      </w:r>
      <w:proofErr w:type="spellStart"/>
      <w:r w:rsidRPr="006B3BE8">
        <w:rPr>
          <w:lang w:val="en-US"/>
        </w:rPr>
        <w:t>Prins</w:t>
      </w:r>
      <w:proofErr w:type="spellEnd"/>
      <w:r w:rsidRPr="006B3BE8">
        <w:rPr>
          <w:lang w:val="en-US"/>
        </w:rPr>
        <w:t xml:space="preserve"> </w:t>
      </w:r>
      <w:r>
        <w:rPr>
          <w:lang w:val="en-US"/>
        </w:rPr>
        <w:t xml:space="preserve">D., </w:t>
      </w:r>
      <w:proofErr w:type="spellStart"/>
      <w:r>
        <w:rPr>
          <w:lang w:val="en-US"/>
        </w:rPr>
        <w:t>Sottiaux</w:t>
      </w:r>
      <w:proofErr w:type="spellEnd"/>
      <w:r>
        <w:rPr>
          <w:lang w:val="en-US"/>
        </w:rPr>
        <w:t xml:space="preserve"> S. en </w:t>
      </w:r>
      <w:proofErr w:type="spellStart"/>
      <w:r>
        <w:rPr>
          <w:lang w:val="en-US"/>
        </w:rPr>
        <w:t>Vrielink</w:t>
      </w:r>
      <w:proofErr w:type="spellEnd"/>
      <w:r>
        <w:rPr>
          <w:lang w:val="en-US"/>
        </w:rPr>
        <w:t xml:space="preserve"> J., op. cit., 100; </w:t>
      </w:r>
      <w:r w:rsidRPr="00BD001C">
        <w:rPr>
          <w:lang w:val="en-GB"/>
        </w:rPr>
        <w:t xml:space="preserve">Hervey T., </w:t>
      </w:r>
      <w:r w:rsidRPr="00BD001C">
        <w:rPr>
          <w:i/>
          <w:lang w:val="en-GB"/>
        </w:rPr>
        <w:t>Justifications for Sex Discrimination in Employment</w:t>
      </w:r>
      <w:r w:rsidRPr="00BD001C">
        <w:rPr>
          <w:lang w:val="en-GB"/>
        </w:rPr>
        <w:t>, Lon</w:t>
      </w:r>
      <w:r>
        <w:rPr>
          <w:lang w:val="en-GB"/>
        </w:rPr>
        <w:t xml:space="preserve">don, </w:t>
      </w:r>
      <w:proofErr w:type="spellStart"/>
      <w:r>
        <w:rPr>
          <w:lang w:val="en-GB"/>
        </w:rPr>
        <w:t>Butterworths</w:t>
      </w:r>
      <w:proofErr w:type="spellEnd"/>
      <w:r>
        <w:rPr>
          <w:lang w:val="en-GB"/>
        </w:rPr>
        <w:t xml:space="preserve">, 1993, 61; </w:t>
      </w:r>
      <w:proofErr w:type="spellStart"/>
      <w:r w:rsidRPr="002F0CAB">
        <w:rPr>
          <w:lang w:val="en-US"/>
        </w:rPr>
        <w:t>Schiek</w:t>
      </w:r>
      <w:proofErr w:type="spellEnd"/>
      <w:r w:rsidRPr="002F0CAB">
        <w:rPr>
          <w:lang w:val="en-US"/>
        </w:rPr>
        <w:t xml:space="preserve"> D., “Indirect Discrimination”, </w:t>
      </w:r>
      <w:proofErr w:type="spellStart"/>
      <w:r w:rsidRPr="002F0CAB">
        <w:rPr>
          <w:lang w:val="en-US"/>
        </w:rPr>
        <w:t>Schiek</w:t>
      </w:r>
      <w:proofErr w:type="spellEnd"/>
      <w:r w:rsidRPr="002F0CAB">
        <w:rPr>
          <w:lang w:val="en-US"/>
        </w:rPr>
        <w:t xml:space="preserve"> D., Waddington L. and Bell M.  (eds.), op. cit., 4</w:t>
      </w:r>
      <w:r>
        <w:rPr>
          <w:lang w:val="en-US"/>
        </w:rPr>
        <w:t xml:space="preserve">43. </w:t>
      </w:r>
    </w:p>
  </w:footnote>
  <w:footnote w:id="126">
    <w:p w:rsidR="00551E68" w:rsidRPr="00C51FF1" w:rsidRDefault="00551E68" w:rsidP="005869B3">
      <w:pPr>
        <w:pStyle w:val="Voetnoottekst"/>
        <w:jc w:val="both"/>
        <w:rPr>
          <w:lang w:val="en-US"/>
        </w:rPr>
      </w:pPr>
      <w:r>
        <w:rPr>
          <w:rStyle w:val="Voetnootmarkering"/>
        </w:rPr>
        <w:footnoteRef/>
      </w:r>
      <w:r w:rsidRPr="00C51FF1">
        <w:rPr>
          <w:lang w:val="en-US"/>
        </w:rPr>
        <w:t xml:space="preserve"> Article 2(1) b </w:t>
      </w:r>
      <w:r w:rsidRPr="00C51FF1">
        <w:rPr>
          <w:bCs/>
          <w:lang w:val="en-US"/>
        </w:rPr>
        <w:t xml:space="preserve">Directive 2006/54/EC. </w:t>
      </w:r>
    </w:p>
  </w:footnote>
  <w:footnote w:id="127">
    <w:p w:rsidR="00551E68" w:rsidRPr="008714E5" w:rsidRDefault="00551E68" w:rsidP="005869B3">
      <w:pPr>
        <w:pStyle w:val="Voetnoottekst"/>
        <w:jc w:val="both"/>
        <w:rPr>
          <w:lang w:val="en-US"/>
        </w:rPr>
      </w:pPr>
      <w:r>
        <w:rPr>
          <w:rStyle w:val="Voetnootmarkering"/>
        </w:rPr>
        <w:footnoteRef/>
      </w:r>
      <w:r w:rsidRPr="00C811DC">
        <w:rPr>
          <w:lang w:val="en-US"/>
        </w:rPr>
        <w:t xml:space="preserve"> ECJ C-444/93, </w:t>
      </w:r>
      <w:r w:rsidRPr="00C811DC">
        <w:rPr>
          <w:bCs/>
          <w:i/>
          <w:lang w:val="en-US"/>
        </w:rPr>
        <w:t xml:space="preserve">Ursula </w:t>
      </w:r>
      <w:proofErr w:type="spellStart"/>
      <w:r w:rsidRPr="00C811DC">
        <w:rPr>
          <w:bCs/>
          <w:i/>
          <w:lang w:val="en-US"/>
        </w:rPr>
        <w:t>Megner</w:t>
      </w:r>
      <w:proofErr w:type="spellEnd"/>
      <w:r w:rsidRPr="00C811DC">
        <w:rPr>
          <w:bCs/>
          <w:i/>
          <w:lang w:val="en-US"/>
        </w:rPr>
        <w:t xml:space="preserve"> and Hildegard </w:t>
      </w:r>
      <w:proofErr w:type="spellStart"/>
      <w:r w:rsidRPr="00C811DC">
        <w:rPr>
          <w:bCs/>
          <w:i/>
          <w:lang w:val="en-US"/>
        </w:rPr>
        <w:t>Scheffel</w:t>
      </w:r>
      <w:proofErr w:type="spellEnd"/>
      <w:r w:rsidRPr="00C811DC">
        <w:rPr>
          <w:bCs/>
          <w:i/>
          <w:lang w:val="en-US"/>
        </w:rPr>
        <w:t xml:space="preserve"> v. </w:t>
      </w:r>
      <w:proofErr w:type="spellStart"/>
      <w:r w:rsidRPr="00C811DC">
        <w:rPr>
          <w:bCs/>
          <w:i/>
          <w:lang w:val="en-US"/>
        </w:rPr>
        <w:t>Innungskrankenkasse</w:t>
      </w:r>
      <w:proofErr w:type="spellEnd"/>
      <w:r w:rsidRPr="00C811DC">
        <w:rPr>
          <w:bCs/>
          <w:i/>
          <w:lang w:val="en-US"/>
        </w:rPr>
        <w:t xml:space="preserve"> </w:t>
      </w:r>
      <w:proofErr w:type="spellStart"/>
      <w:r w:rsidRPr="00C811DC">
        <w:rPr>
          <w:bCs/>
          <w:i/>
          <w:lang w:val="en-US"/>
        </w:rPr>
        <w:t>Vorderpfalz</w:t>
      </w:r>
      <w:proofErr w:type="spellEnd"/>
      <w:r w:rsidRPr="00C811DC">
        <w:rPr>
          <w:bCs/>
          <w:lang w:val="en-US"/>
        </w:rPr>
        <w:t xml:space="preserve">, 1995, para. </w:t>
      </w:r>
      <w:r w:rsidRPr="008714E5">
        <w:rPr>
          <w:bCs/>
          <w:lang w:val="en-US"/>
        </w:rPr>
        <w:t xml:space="preserve">29.  </w:t>
      </w:r>
    </w:p>
  </w:footnote>
  <w:footnote w:id="128">
    <w:p w:rsidR="00551E68" w:rsidRPr="00C10EF4" w:rsidRDefault="00551E68" w:rsidP="005869B3">
      <w:pPr>
        <w:pStyle w:val="Voetnoottekst"/>
        <w:jc w:val="both"/>
        <w:rPr>
          <w:lang w:val="en-US"/>
        </w:rPr>
      </w:pPr>
      <w:r>
        <w:rPr>
          <w:rStyle w:val="Voetnootmarkering"/>
        </w:rPr>
        <w:footnoteRef/>
      </w:r>
      <w:r w:rsidRPr="00C10EF4">
        <w:rPr>
          <w:lang w:val="en-US"/>
        </w:rPr>
        <w:t xml:space="preserve"> </w:t>
      </w:r>
      <w:proofErr w:type="spellStart"/>
      <w:r w:rsidRPr="004C632E">
        <w:rPr>
          <w:lang w:val="en-US"/>
        </w:rPr>
        <w:t>ECtHR</w:t>
      </w:r>
      <w:proofErr w:type="spellEnd"/>
      <w:r w:rsidRPr="004C632E">
        <w:rPr>
          <w:lang w:val="en-US"/>
        </w:rPr>
        <w:t xml:space="preserve">, </w:t>
      </w:r>
      <w:r w:rsidRPr="004C632E">
        <w:rPr>
          <w:i/>
          <w:lang w:val="en-US"/>
        </w:rPr>
        <w:t>Case relating to certain aspects of the laws on the use of languages in education in Belgium v. Belgium</w:t>
      </w:r>
      <w:r w:rsidRPr="004C632E">
        <w:rPr>
          <w:lang w:val="en-US"/>
        </w:rPr>
        <w:t xml:space="preserve">, 1968, para. </w:t>
      </w:r>
      <w:r w:rsidRPr="004C632E">
        <w:rPr>
          <w:lang w:val="de-DE"/>
        </w:rPr>
        <w:t xml:space="preserve">10; </w:t>
      </w:r>
      <w:proofErr w:type="spellStart"/>
      <w:r w:rsidRPr="004C632E">
        <w:rPr>
          <w:lang w:val="de-DE"/>
        </w:rPr>
        <w:t>ECtHR</w:t>
      </w:r>
      <w:proofErr w:type="spellEnd"/>
      <w:r w:rsidRPr="004C632E">
        <w:rPr>
          <w:lang w:val="de-DE"/>
        </w:rPr>
        <w:t xml:space="preserve">, </w:t>
      </w:r>
      <w:proofErr w:type="spellStart"/>
      <w:r w:rsidRPr="004C632E">
        <w:rPr>
          <w:i/>
          <w:lang w:val="de-DE"/>
        </w:rPr>
        <w:t>Burden</w:t>
      </w:r>
      <w:proofErr w:type="spellEnd"/>
      <w:r w:rsidRPr="004C632E">
        <w:rPr>
          <w:i/>
          <w:lang w:val="de-DE"/>
        </w:rPr>
        <w:t xml:space="preserve"> v. UK</w:t>
      </w:r>
      <w:r w:rsidRPr="004C632E">
        <w:rPr>
          <w:lang w:val="de-DE"/>
        </w:rPr>
        <w:t xml:space="preserve">, 2008, </w:t>
      </w:r>
      <w:proofErr w:type="spellStart"/>
      <w:r w:rsidRPr="004C632E">
        <w:rPr>
          <w:lang w:val="de-DE"/>
        </w:rPr>
        <w:t>para</w:t>
      </w:r>
      <w:proofErr w:type="spellEnd"/>
      <w:r w:rsidRPr="004C632E">
        <w:rPr>
          <w:lang w:val="de-DE"/>
        </w:rPr>
        <w:t xml:space="preserve">. 60; </w:t>
      </w:r>
      <w:proofErr w:type="spellStart"/>
      <w:r w:rsidRPr="004C632E">
        <w:rPr>
          <w:lang w:val="de-DE"/>
        </w:rPr>
        <w:t>ECtHR</w:t>
      </w:r>
      <w:proofErr w:type="spellEnd"/>
      <w:r w:rsidRPr="004C632E">
        <w:rPr>
          <w:lang w:val="de-DE"/>
        </w:rPr>
        <w:t xml:space="preserve">, </w:t>
      </w:r>
      <w:r w:rsidRPr="004C632E">
        <w:rPr>
          <w:i/>
          <w:lang w:val="de-DE"/>
        </w:rPr>
        <w:t>Religionsgemeinschaft der Zeugen Jehovas v. Austria</w:t>
      </w:r>
      <w:r w:rsidRPr="004C632E">
        <w:rPr>
          <w:lang w:val="de-DE"/>
        </w:rPr>
        <w:t xml:space="preserve">, 2008, </w:t>
      </w:r>
      <w:proofErr w:type="spellStart"/>
      <w:r w:rsidRPr="004C632E">
        <w:rPr>
          <w:lang w:val="de-DE"/>
        </w:rPr>
        <w:t>para</w:t>
      </w:r>
      <w:proofErr w:type="spellEnd"/>
      <w:r w:rsidRPr="004C632E">
        <w:rPr>
          <w:lang w:val="de-DE"/>
        </w:rPr>
        <w:t xml:space="preserve">. </w:t>
      </w:r>
      <w:r w:rsidRPr="004C632E">
        <w:rPr>
          <w:lang w:val="en-US"/>
        </w:rPr>
        <w:t>87</w:t>
      </w:r>
      <w:r>
        <w:rPr>
          <w:lang w:val="en-US"/>
        </w:rPr>
        <w:t xml:space="preserve">. </w:t>
      </w:r>
    </w:p>
  </w:footnote>
  <w:footnote w:id="129">
    <w:p w:rsidR="00551E68" w:rsidRPr="00DF1FB9" w:rsidRDefault="00551E68" w:rsidP="005869B3">
      <w:pPr>
        <w:pStyle w:val="Voetnoottekst"/>
        <w:jc w:val="both"/>
        <w:rPr>
          <w:lang w:val="en-US"/>
        </w:rPr>
      </w:pPr>
      <w:r>
        <w:rPr>
          <w:rStyle w:val="Voetnootmarkering"/>
        </w:rPr>
        <w:footnoteRef/>
      </w:r>
      <w:r>
        <w:rPr>
          <w:lang w:val="en-US"/>
        </w:rPr>
        <w:t xml:space="preserve"> Article E </w:t>
      </w:r>
      <w:r w:rsidRPr="00DD31E7">
        <w:rPr>
          <w:lang w:val="en-US"/>
        </w:rPr>
        <w:t>Appendix to</w:t>
      </w:r>
      <w:r>
        <w:rPr>
          <w:lang w:val="en-US"/>
        </w:rPr>
        <w:t xml:space="preserve"> the RESC; </w:t>
      </w:r>
      <w:r w:rsidRPr="006B094B">
        <w:rPr>
          <w:lang w:val="en-US"/>
        </w:rPr>
        <w:t xml:space="preserve">European Committee of Social Rights, CC 58/2009, </w:t>
      </w:r>
      <w:r w:rsidRPr="00FE1B4E">
        <w:rPr>
          <w:i/>
          <w:lang w:val="en-US"/>
        </w:rPr>
        <w:t>Centre on housing Rights and Evictions v. Italy</w:t>
      </w:r>
      <w:r w:rsidRPr="006B094B">
        <w:rPr>
          <w:lang w:val="en-US"/>
        </w:rPr>
        <w:t xml:space="preserve"> (2010), para. 35.</w:t>
      </w:r>
    </w:p>
  </w:footnote>
  <w:footnote w:id="130">
    <w:p w:rsidR="00551E68" w:rsidRPr="00C811DC" w:rsidRDefault="00551E68" w:rsidP="005869B3">
      <w:pPr>
        <w:pStyle w:val="Voetnoottekst"/>
        <w:jc w:val="both"/>
        <w:rPr>
          <w:lang w:val="en-US"/>
        </w:rPr>
      </w:pPr>
      <w:r>
        <w:rPr>
          <w:rStyle w:val="Voetnootmarkering"/>
        </w:rPr>
        <w:footnoteRef/>
      </w:r>
      <w:r>
        <w:rPr>
          <w:lang w:val="en-US"/>
        </w:rPr>
        <w:t xml:space="preserve"> </w:t>
      </w:r>
      <w:r w:rsidRPr="00285521">
        <w:rPr>
          <w:lang w:val="en-US"/>
        </w:rPr>
        <w:t>European Commi</w:t>
      </w:r>
      <w:r>
        <w:rPr>
          <w:lang w:val="en-US"/>
        </w:rPr>
        <w:t>ttee of Social Rights, CC</w:t>
      </w:r>
      <w:r w:rsidRPr="00285521">
        <w:rPr>
          <w:lang w:val="en-US"/>
        </w:rPr>
        <w:t xml:space="preserve"> 31/2005, </w:t>
      </w:r>
      <w:r w:rsidRPr="00A57EE5">
        <w:rPr>
          <w:i/>
          <w:lang w:val="en-US"/>
        </w:rPr>
        <w:t>European Roma Rights Centre v. Bulgaria</w:t>
      </w:r>
      <w:r>
        <w:rPr>
          <w:lang w:val="en-US"/>
        </w:rPr>
        <w:t xml:space="preserve"> (2006), para. 35; </w:t>
      </w:r>
      <w:r w:rsidRPr="00285521">
        <w:rPr>
          <w:lang w:val="en-US"/>
        </w:rPr>
        <w:t>European Committee of Soc</w:t>
      </w:r>
      <w:r>
        <w:rPr>
          <w:lang w:val="en-US"/>
        </w:rPr>
        <w:t>ial Rights, CC</w:t>
      </w:r>
      <w:r w:rsidRPr="00285521">
        <w:rPr>
          <w:lang w:val="en-US"/>
        </w:rPr>
        <w:t xml:space="preserve"> 41/2007, </w:t>
      </w:r>
      <w:r w:rsidRPr="00E804BF">
        <w:rPr>
          <w:i/>
          <w:lang w:val="en-US"/>
        </w:rPr>
        <w:t>Disability Advocacy Center v. Bulgaria</w:t>
      </w:r>
      <w:r>
        <w:rPr>
          <w:lang w:val="en-US"/>
        </w:rPr>
        <w:t xml:space="preserve"> (2008), para. </w:t>
      </w:r>
      <w:r w:rsidRPr="00285521">
        <w:rPr>
          <w:lang w:val="fr-FR"/>
        </w:rPr>
        <w:t>39</w:t>
      </w:r>
      <w:r>
        <w:rPr>
          <w:lang w:val="fr-FR"/>
        </w:rPr>
        <w:t xml:space="preserve">; </w:t>
      </w:r>
      <w:proofErr w:type="spellStart"/>
      <w:r w:rsidRPr="005F3737">
        <w:rPr>
          <w:lang w:val="fr-FR"/>
        </w:rPr>
        <w:t>European</w:t>
      </w:r>
      <w:proofErr w:type="spellEnd"/>
      <w:r w:rsidRPr="005F3737">
        <w:rPr>
          <w:lang w:val="fr-FR"/>
        </w:rPr>
        <w:t xml:space="preserve"> </w:t>
      </w:r>
      <w:proofErr w:type="spellStart"/>
      <w:r w:rsidRPr="005F3737">
        <w:rPr>
          <w:lang w:val="fr-FR"/>
        </w:rPr>
        <w:t>Committee</w:t>
      </w:r>
      <w:proofErr w:type="spellEnd"/>
      <w:r w:rsidRPr="005F3737">
        <w:rPr>
          <w:lang w:val="fr-FR"/>
        </w:rPr>
        <w:t xml:space="preserve"> of Soc</w:t>
      </w:r>
      <w:r>
        <w:rPr>
          <w:lang w:val="fr-FR"/>
        </w:rPr>
        <w:t xml:space="preserve">ial </w:t>
      </w:r>
      <w:proofErr w:type="spellStart"/>
      <w:r>
        <w:rPr>
          <w:lang w:val="fr-FR"/>
        </w:rPr>
        <w:t>Rights</w:t>
      </w:r>
      <w:proofErr w:type="spellEnd"/>
      <w:r>
        <w:rPr>
          <w:lang w:val="fr-FR"/>
        </w:rPr>
        <w:t>, CC</w:t>
      </w:r>
      <w:r w:rsidRPr="005F3737">
        <w:rPr>
          <w:lang w:val="fr-FR"/>
        </w:rPr>
        <w:t xml:space="preserve"> 50/2008, </w:t>
      </w:r>
      <w:proofErr w:type="spellStart"/>
      <w:r w:rsidRPr="00E804BF">
        <w:rPr>
          <w:i/>
          <w:lang w:val="fr-FR"/>
        </w:rPr>
        <w:t>Conféderation</w:t>
      </w:r>
      <w:proofErr w:type="spellEnd"/>
      <w:r w:rsidRPr="00E804BF">
        <w:rPr>
          <w:i/>
          <w:lang w:val="fr-FR"/>
        </w:rPr>
        <w:t xml:space="preserve"> </w:t>
      </w:r>
      <w:proofErr w:type="spellStart"/>
      <w:r w:rsidRPr="00E804BF">
        <w:rPr>
          <w:i/>
          <w:lang w:val="fr-FR"/>
        </w:rPr>
        <w:t>Francaise</w:t>
      </w:r>
      <w:proofErr w:type="spellEnd"/>
      <w:r w:rsidRPr="00E804BF">
        <w:rPr>
          <w:i/>
          <w:lang w:val="fr-FR"/>
        </w:rPr>
        <w:t xml:space="preserve"> Démocratique du Travail v. France</w:t>
      </w:r>
      <w:r>
        <w:rPr>
          <w:lang w:val="fr-FR"/>
        </w:rPr>
        <w:t xml:space="preserve"> (2009), para. </w:t>
      </w:r>
      <w:r w:rsidRPr="00C811DC">
        <w:rPr>
          <w:lang w:val="en-US"/>
        </w:rPr>
        <w:t xml:space="preserve">39. </w:t>
      </w:r>
    </w:p>
  </w:footnote>
  <w:footnote w:id="131">
    <w:p w:rsidR="00551E68" w:rsidRPr="00925694" w:rsidRDefault="00551E68" w:rsidP="005869B3">
      <w:pPr>
        <w:pStyle w:val="Voetnoottekst"/>
        <w:jc w:val="both"/>
        <w:rPr>
          <w:lang w:val="en-US"/>
        </w:rPr>
      </w:pPr>
      <w:r>
        <w:rPr>
          <w:rStyle w:val="Voetnootmarkering"/>
        </w:rPr>
        <w:footnoteRef/>
      </w:r>
      <w:r w:rsidRPr="00925694">
        <w:rPr>
          <w:lang w:val="en-US"/>
        </w:rPr>
        <w:t xml:space="preserve"> </w:t>
      </w:r>
      <w:r w:rsidRPr="00ED2ABC">
        <w:rPr>
          <w:lang w:val="en-GB"/>
        </w:rPr>
        <w:t>Convention no. 111.</w:t>
      </w:r>
    </w:p>
  </w:footnote>
  <w:footnote w:id="132">
    <w:p w:rsidR="00551E68" w:rsidRPr="00925694" w:rsidRDefault="00551E68" w:rsidP="005869B3">
      <w:pPr>
        <w:pStyle w:val="Voetnoottekst"/>
        <w:jc w:val="both"/>
        <w:rPr>
          <w:lang w:val="en-GB"/>
        </w:rPr>
      </w:pPr>
      <w:r>
        <w:rPr>
          <w:rStyle w:val="Voetnootmarkering"/>
        </w:rPr>
        <w:footnoteRef/>
      </w:r>
      <w:r w:rsidRPr="00925694">
        <w:rPr>
          <w:lang w:val="en-US"/>
        </w:rPr>
        <w:t xml:space="preserve"> </w:t>
      </w:r>
      <w:r w:rsidRPr="00925694">
        <w:rPr>
          <w:lang w:val="en-GB"/>
        </w:rPr>
        <w:t xml:space="preserve">International Labour Office, </w:t>
      </w:r>
      <w:r w:rsidRPr="00925694">
        <w:rPr>
          <w:i/>
          <w:lang w:val="en-GB"/>
        </w:rPr>
        <w:t>Achieving Equal Employment Opportunities for People with Disabilities through Legislation: Guidelines</w:t>
      </w:r>
      <w:r w:rsidRPr="00925694">
        <w:rPr>
          <w:lang w:val="en-GB"/>
        </w:rPr>
        <w:t>, Geneva, International Labour Organization, 2004,</w:t>
      </w:r>
      <w:r>
        <w:rPr>
          <w:lang w:val="en-GB"/>
        </w:rPr>
        <w:t xml:space="preserve"> 28; </w:t>
      </w:r>
      <w:r w:rsidRPr="00925694">
        <w:rPr>
          <w:lang w:val="en-US"/>
        </w:rPr>
        <w:t xml:space="preserve">International </w:t>
      </w:r>
      <w:proofErr w:type="spellStart"/>
      <w:r w:rsidRPr="00925694">
        <w:rPr>
          <w:lang w:val="en-US"/>
        </w:rPr>
        <w:t>Labour</w:t>
      </w:r>
      <w:proofErr w:type="spellEnd"/>
      <w:r w:rsidRPr="00925694">
        <w:rPr>
          <w:lang w:val="en-US"/>
        </w:rPr>
        <w:t xml:space="preserve"> Standards Department,</w:t>
      </w:r>
      <w:r w:rsidRPr="00925694">
        <w:rPr>
          <w:i/>
          <w:lang w:val="en-US"/>
        </w:rPr>
        <w:t xml:space="preserve"> Eliminating discrimination against indigenous and tribal peoples in employment and occupation: A Guide to ILO Convention No. 111</w:t>
      </w:r>
      <w:r w:rsidRPr="00925694">
        <w:rPr>
          <w:lang w:val="en-US"/>
        </w:rPr>
        <w:t xml:space="preserve">, Geneva, International </w:t>
      </w:r>
      <w:proofErr w:type="spellStart"/>
      <w:r w:rsidRPr="00925694">
        <w:rPr>
          <w:lang w:val="en-US"/>
        </w:rPr>
        <w:t>Labour</w:t>
      </w:r>
      <w:proofErr w:type="spellEnd"/>
      <w:r w:rsidRPr="00925694">
        <w:rPr>
          <w:lang w:val="en-US"/>
        </w:rPr>
        <w:t xml:space="preserve"> Organization, 2007,</w:t>
      </w:r>
      <w:r>
        <w:rPr>
          <w:lang w:val="en-US"/>
        </w:rPr>
        <w:t xml:space="preserve"> 12. </w:t>
      </w:r>
    </w:p>
  </w:footnote>
  <w:footnote w:id="133">
    <w:p w:rsidR="00551E68" w:rsidRPr="00274AE4" w:rsidRDefault="00551E68" w:rsidP="005869B3">
      <w:pPr>
        <w:pStyle w:val="Voetnoottekst"/>
        <w:jc w:val="both"/>
        <w:rPr>
          <w:lang w:val="en-US"/>
        </w:rPr>
      </w:pPr>
      <w:r>
        <w:rPr>
          <w:rStyle w:val="Voetnootmarkering"/>
        </w:rPr>
        <w:footnoteRef/>
      </w:r>
      <w:r>
        <w:rPr>
          <w:lang w:val="en-US"/>
        </w:rPr>
        <w:t xml:space="preserve"> ICCPR, </w:t>
      </w:r>
      <w:proofErr w:type="spellStart"/>
      <w:r w:rsidRPr="005F6899">
        <w:rPr>
          <w:i/>
          <w:lang w:val="en-GB"/>
        </w:rPr>
        <w:t>Althammer</w:t>
      </w:r>
      <w:proofErr w:type="spellEnd"/>
      <w:r w:rsidRPr="005F6899">
        <w:rPr>
          <w:i/>
          <w:lang w:val="en-GB"/>
        </w:rPr>
        <w:t xml:space="preserve"> v. Austria</w:t>
      </w:r>
      <w:r w:rsidRPr="00274AE4">
        <w:rPr>
          <w:lang w:val="en-GB"/>
        </w:rPr>
        <w:t>, Communication no. 998/2001, U.N. Doc. CCPR/C/78/D/998/2001 (2003), para. 10.2;</w:t>
      </w:r>
      <w:r w:rsidRPr="00274AE4">
        <w:rPr>
          <w:b/>
          <w:lang w:val="en-GB"/>
        </w:rPr>
        <w:t xml:space="preserve"> </w:t>
      </w:r>
      <w:r>
        <w:rPr>
          <w:lang w:val="en-GB"/>
        </w:rPr>
        <w:t xml:space="preserve">ICCPR, </w:t>
      </w:r>
      <w:proofErr w:type="spellStart"/>
      <w:r w:rsidRPr="005F6899">
        <w:rPr>
          <w:i/>
          <w:lang w:val="en-GB"/>
        </w:rPr>
        <w:t>Derksen</w:t>
      </w:r>
      <w:proofErr w:type="spellEnd"/>
      <w:r w:rsidRPr="005F6899">
        <w:rPr>
          <w:i/>
          <w:lang w:val="en-GB"/>
        </w:rPr>
        <w:t xml:space="preserve"> v. The Netherlands</w:t>
      </w:r>
      <w:r w:rsidRPr="00274AE4">
        <w:rPr>
          <w:lang w:val="en-GB"/>
        </w:rPr>
        <w:t>, Communication no. 976/2001, U.N. Doc. CCPR/C/80/D/976/2001 (2004), para. 9.3</w:t>
      </w:r>
      <w:r>
        <w:rPr>
          <w:lang w:val="en-GB"/>
        </w:rPr>
        <w:t xml:space="preserve">. </w:t>
      </w:r>
    </w:p>
  </w:footnote>
  <w:footnote w:id="134">
    <w:p w:rsidR="00551E68" w:rsidRPr="00274AE4" w:rsidRDefault="00551E68" w:rsidP="005869B3">
      <w:pPr>
        <w:pStyle w:val="Voetnoottekst"/>
        <w:jc w:val="both"/>
        <w:rPr>
          <w:lang w:val="en-US"/>
        </w:rPr>
      </w:pPr>
      <w:r>
        <w:rPr>
          <w:rStyle w:val="Voetnootmarkering"/>
        </w:rPr>
        <w:footnoteRef/>
      </w:r>
      <w:r>
        <w:rPr>
          <w:lang w:val="en-US"/>
        </w:rPr>
        <w:t xml:space="preserve"> </w:t>
      </w:r>
      <w:r w:rsidRPr="00370425">
        <w:rPr>
          <w:lang w:val="en-GB"/>
        </w:rPr>
        <w:t xml:space="preserve">CESCR General Comment no. 20 on </w:t>
      </w:r>
      <w:proofErr w:type="spellStart"/>
      <w:r w:rsidRPr="00370425">
        <w:rPr>
          <w:lang w:val="en-GB"/>
        </w:rPr>
        <w:t>non discrimination</w:t>
      </w:r>
      <w:proofErr w:type="spellEnd"/>
      <w:r w:rsidRPr="00370425">
        <w:rPr>
          <w:lang w:val="en-GB"/>
        </w:rPr>
        <w:t xml:space="preserve"> in economic, social and cultural rights (2009), para. 13.</w:t>
      </w:r>
    </w:p>
  </w:footnote>
  <w:footnote w:id="135">
    <w:p w:rsidR="00551E68" w:rsidRPr="00BC3002" w:rsidRDefault="00551E68" w:rsidP="005869B3">
      <w:pPr>
        <w:pStyle w:val="Voetnoottekst"/>
        <w:jc w:val="both"/>
        <w:rPr>
          <w:lang w:val="en-US"/>
        </w:rPr>
      </w:pPr>
      <w:r>
        <w:rPr>
          <w:rStyle w:val="Voetnootmarkering"/>
        </w:rPr>
        <w:footnoteRef/>
      </w:r>
      <w:r w:rsidRPr="00BC3002">
        <w:rPr>
          <w:lang w:val="en-US"/>
        </w:rPr>
        <w:t xml:space="preserve"> </w:t>
      </w:r>
      <w:r w:rsidRPr="00B22205">
        <w:rPr>
          <w:lang w:val="en-US"/>
        </w:rPr>
        <w:t>European Union</w:t>
      </w:r>
      <w:r>
        <w:rPr>
          <w:lang w:val="en-US"/>
        </w:rPr>
        <w:t xml:space="preserve"> Agency for Fundamental Rights, op. cit., 37; </w:t>
      </w:r>
      <w:proofErr w:type="spellStart"/>
      <w:r w:rsidRPr="00103AF9">
        <w:rPr>
          <w:lang w:val="en-US"/>
        </w:rPr>
        <w:t>Schopp</w:t>
      </w:r>
      <w:proofErr w:type="spellEnd"/>
      <w:r w:rsidRPr="00103AF9">
        <w:rPr>
          <w:lang w:val="en-US"/>
        </w:rPr>
        <w:t xml:space="preserve">-Schilling H., “Reflections on a General Recommendation on Article 4(1) of the Convention on the Elimination of All Forms of Discrimination Against Women” in </w:t>
      </w:r>
      <w:proofErr w:type="spellStart"/>
      <w:r w:rsidRPr="00103AF9">
        <w:rPr>
          <w:lang w:val="en-US"/>
        </w:rPr>
        <w:t>Boerefijn</w:t>
      </w:r>
      <w:proofErr w:type="spellEnd"/>
      <w:r w:rsidRPr="00103AF9">
        <w:rPr>
          <w:lang w:val="en-US"/>
        </w:rPr>
        <w:t xml:space="preserve"> I.</w:t>
      </w:r>
      <w:r>
        <w:rPr>
          <w:lang w:val="en-US"/>
        </w:rPr>
        <w:t xml:space="preserve"> and </w:t>
      </w:r>
      <w:proofErr w:type="spellStart"/>
      <w:r>
        <w:rPr>
          <w:lang w:val="en-US"/>
        </w:rPr>
        <w:t>Coomans</w:t>
      </w:r>
      <w:proofErr w:type="spellEnd"/>
      <w:r>
        <w:rPr>
          <w:lang w:val="en-US"/>
        </w:rPr>
        <w:t xml:space="preserve"> F. </w:t>
      </w:r>
      <w:r w:rsidRPr="00103AF9">
        <w:rPr>
          <w:lang w:val="en-US"/>
        </w:rPr>
        <w:t xml:space="preserve">(eds.), </w:t>
      </w:r>
      <w:r w:rsidRPr="00103AF9">
        <w:rPr>
          <w:i/>
          <w:lang w:val="en-US"/>
        </w:rPr>
        <w:t>Temporary Special Measures: Accelerating de facto equality of women under article 4(1) UN Convention on the Elimination of All Forms of Discrimination Against Women</w:t>
      </w:r>
      <w:r w:rsidRPr="00103AF9">
        <w:rPr>
          <w:lang w:val="en-US"/>
        </w:rPr>
        <w:t xml:space="preserve">, Antwerp, </w:t>
      </w:r>
      <w:proofErr w:type="spellStart"/>
      <w:r w:rsidRPr="00103AF9">
        <w:rPr>
          <w:lang w:val="en-US"/>
        </w:rPr>
        <w:t>Intersentia</w:t>
      </w:r>
      <w:proofErr w:type="spellEnd"/>
      <w:r w:rsidRPr="00103AF9">
        <w:rPr>
          <w:lang w:val="en-US"/>
        </w:rPr>
        <w:t>, 2003, 22</w:t>
      </w:r>
      <w:r>
        <w:rPr>
          <w:lang w:val="en-US"/>
        </w:rPr>
        <w:t xml:space="preserve">. </w:t>
      </w:r>
    </w:p>
  </w:footnote>
  <w:footnote w:id="136">
    <w:p w:rsidR="00551E68" w:rsidRPr="00DC0D9A" w:rsidRDefault="00551E68" w:rsidP="005869B3">
      <w:pPr>
        <w:pStyle w:val="Voetnoottekst"/>
        <w:jc w:val="both"/>
        <w:rPr>
          <w:lang w:val="en-GB"/>
        </w:rPr>
      </w:pPr>
      <w:r>
        <w:rPr>
          <w:rStyle w:val="Voetnootmarkering"/>
        </w:rPr>
        <w:footnoteRef/>
      </w:r>
      <w:r w:rsidRPr="00944304">
        <w:rPr>
          <w:lang w:val="en-US"/>
        </w:rPr>
        <w:t xml:space="preserve"> De </w:t>
      </w:r>
      <w:proofErr w:type="spellStart"/>
      <w:r w:rsidRPr="00944304">
        <w:rPr>
          <w:lang w:val="en-US"/>
        </w:rPr>
        <w:t>Prins</w:t>
      </w:r>
      <w:proofErr w:type="spellEnd"/>
      <w:r w:rsidRPr="00944304">
        <w:rPr>
          <w:lang w:val="en-US"/>
        </w:rPr>
        <w:t xml:space="preserve"> D., </w:t>
      </w:r>
      <w:proofErr w:type="spellStart"/>
      <w:r w:rsidRPr="00944304">
        <w:rPr>
          <w:lang w:val="en-US"/>
        </w:rPr>
        <w:t>Sottiaux</w:t>
      </w:r>
      <w:proofErr w:type="spellEnd"/>
      <w:r w:rsidRPr="00944304">
        <w:rPr>
          <w:lang w:val="en-US"/>
        </w:rPr>
        <w:t xml:space="preserve"> S. en </w:t>
      </w:r>
      <w:proofErr w:type="spellStart"/>
      <w:r>
        <w:rPr>
          <w:lang w:val="en-US"/>
        </w:rPr>
        <w:t>Vrielink</w:t>
      </w:r>
      <w:proofErr w:type="spellEnd"/>
      <w:r>
        <w:rPr>
          <w:lang w:val="en-US"/>
        </w:rPr>
        <w:t xml:space="preserve"> J.</w:t>
      </w:r>
      <w:r w:rsidRPr="008266CB">
        <w:rPr>
          <w:lang w:val="en-US"/>
        </w:rPr>
        <w:t>,</w:t>
      </w:r>
      <w:r>
        <w:rPr>
          <w:lang w:val="en-US"/>
        </w:rPr>
        <w:t xml:space="preserve"> op. cit., </w:t>
      </w:r>
      <w:r w:rsidRPr="008266CB">
        <w:rPr>
          <w:lang w:val="en-US"/>
        </w:rPr>
        <w:t>4;</w:t>
      </w:r>
      <w:r>
        <w:rPr>
          <w:lang w:val="en-US"/>
        </w:rPr>
        <w:t xml:space="preserve"> </w:t>
      </w:r>
      <w:proofErr w:type="spellStart"/>
      <w:r w:rsidRPr="00E67759">
        <w:rPr>
          <w:lang w:val="en-GB"/>
        </w:rPr>
        <w:t>Koukoulis-Spiliotopoulos</w:t>
      </w:r>
      <w:proofErr w:type="spellEnd"/>
      <w:r w:rsidRPr="00E67759">
        <w:rPr>
          <w:lang w:val="en-GB"/>
        </w:rPr>
        <w:t xml:space="preserve"> S., </w:t>
      </w:r>
      <w:r w:rsidRPr="00E67759">
        <w:rPr>
          <w:i/>
          <w:lang w:val="en-GB"/>
        </w:rPr>
        <w:t>From formal to substantive gender equality</w:t>
      </w:r>
      <w:r w:rsidRPr="00E67759">
        <w:rPr>
          <w:lang w:val="en-GB"/>
        </w:rPr>
        <w:t>, B</w:t>
      </w:r>
      <w:r>
        <w:rPr>
          <w:lang w:val="en-GB"/>
        </w:rPr>
        <w:t xml:space="preserve">russels, </w:t>
      </w:r>
      <w:proofErr w:type="spellStart"/>
      <w:r>
        <w:rPr>
          <w:lang w:val="en-GB"/>
        </w:rPr>
        <w:t>Bruylant</w:t>
      </w:r>
      <w:proofErr w:type="spellEnd"/>
      <w:r>
        <w:rPr>
          <w:lang w:val="en-GB"/>
        </w:rPr>
        <w:t>, 2001, 59;</w:t>
      </w:r>
      <w:r w:rsidRPr="00DC0D9A">
        <w:rPr>
          <w:lang w:val="en-GB"/>
        </w:rPr>
        <w:t xml:space="preserve"> </w:t>
      </w:r>
      <w:proofErr w:type="spellStart"/>
      <w:r w:rsidRPr="00DC0D9A">
        <w:rPr>
          <w:lang w:val="en-GB"/>
        </w:rPr>
        <w:t>McHarg</w:t>
      </w:r>
      <w:proofErr w:type="spellEnd"/>
      <w:r w:rsidRPr="00DC0D9A">
        <w:rPr>
          <w:lang w:val="en-GB"/>
        </w:rPr>
        <w:t xml:space="preserve"> A. and Nicolson D., “Justifying Affirmative Action: Perception and Reality”, </w:t>
      </w:r>
      <w:r w:rsidRPr="00DC0D9A">
        <w:rPr>
          <w:i/>
          <w:lang w:val="en-GB"/>
        </w:rPr>
        <w:t>Brit. J. Law &amp; Soc.</w:t>
      </w:r>
      <w:r>
        <w:rPr>
          <w:lang w:val="en-GB"/>
        </w:rPr>
        <w:t xml:space="preserve"> 2006, 2. </w:t>
      </w:r>
    </w:p>
  </w:footnote>
  <w:footnote w:id="137">
    <w:p w:rsidR="00551E68" w:rsidRPr="003A2A5E" w:rsidRDefault="00551E68" w:rsidP="005869B3">
      <w:pPr>
        <w:pStyle w:val="Voetnoottekst"/>
        <w:jc w:val="both"/>
        <w:rPr>
          <w:lang w:val="en-US"/>
        </w:rPr>
      </w:pPr>
      <w:r>
        <w:rPr>
          <w:rStyle w:val="Voetnootmarkering"/>
        </w:rPr>
        <w:footnoteRef/>
      </w:r>
      <w:r>
        <w:rPr>
          <w:lang w:val="en-US"/>
        </w:rPr>
        <w:t xml:space="preserve"> </w:t>
      </w:r>
      <w:proofErr w:type="spellStart"/>
      <w:r w:rsidRPr="008F7615">
        <w:rPr>
          <w:lang w:val="en-GB"/>
        </w:rPr>
        <w:t>Archibong</w:t>
      </w:r>
      <w:proofErr w:type="spellEnd"/>
      <w:r w:rsidRPr="008F7615">
        <w:rPr>
          <w:lang w:val="en-GB"/>
        </w:rPr>
        <w:t xml:space="preserve"> U. and </w:t>
      </w:r>
      <w:proofErr w:type="spellStart"/>
      <w:r w:rsidRPr="008F7615">
        <w:rPr>
          <w:lang w:val="en-GB"/>
        </w:rPr>
        <w:t>Eferakorho</w:t>
      </w:r>
      <w:proofErr w:type="spellEnd"/>
      <w:r w:rsidRPr="008F7615">
        <w:rPr>
          <w:lang w:val="en-GB"/>
        </w:rPr>
        <w:t xml:space="preserve"> J., </w:t>
      </w:r>
      <w:r w:rsidRPr="008F7615">
        <w:rPr>
          <w:i/>
          <w:lang w:val="en-GB"/>
        </w:rPr>
        <w:t>International perspectives on positive action measures</w:t>
      </w:r>
      <w:r w:rsidRPr="008F7615">
        <w:rPr>
          <w:lang w:val="en-GB"/>
        </w:rPr>
        <w:t>, Luxembourg, Office for Official Publications of the European Communities,</w:t>
      </w:r>
      <w:r>
        <w:rPr>
          <w:lang w:val="en-GB"/>
        </w:rPr>
        <w:t xml:space="preserve"> 2009, 24;</w:t>
      </w:r>
      <w:r>
        <w:rPr>
          <w:sz w:val="24"/>
          <w:szCs w:val="24"/>
          <w:vertAlign w:val="superscript"/>
          <w:lang w:val="en-US"/>
        </w:rPr>
        <w:t xml:space="preserve"> </w:t>
      </w:r>
      <w:r w:rsidRPr="00E62193">
        <w:rPr>
          <w:lang w:val="en-US"/>
        </w:rPr>
        <w:t xml:space="preserve">Chalmers D., Davies G. and </w:t>
      </w:r>
      <w:proofErr w:type="spellStart"/>
      <w:r w:rsidRPr="00E62193">
        <w:rPr>
          <w:lang w:val="en-US"/>
        </w:rPr>
        <w:t>Monti</w:t>
      </w:r>
      <w:proofErr w:type="spellEnd"/>
      <w:r w:rsidRPr="00E62193">
        <w:rPr>
          <w:lang w:val="en-US"/>
        </w:rPr>
        <w:t xml:space="preserve"> G., op. cit., 57</w:t>
      </w:r>
      <w:r>
        <w:rPr>
          <w:lang w:val="en-US"/>
        </w:rPr>
        <w:t>2</w:t>
      </w:r>
      <w:r w:rsidRPr="00E62193">
        <w:rPr>
          <w:lang w:val="en-US"/>
        </w:rPr>
        <w:t>;</w:t>
      </w:r>
      <w:r>
        <w:rPr>
          <w:lang w:val="en-US"/>
        </w:rPr>
        <w:t xml:space="preserve"> </w:t>
      </w:r>
      <w:proofErr w:type="spellStart"/>
      <w:r w:rsidRPr="00A52701">
        <w:rPr>
          <w:lang w:val="en-GB"/>
        </w:rPr>
        <w:t>Chemerinsky</w:t>
      </w:r>
      <w:proofErr w:type="spellEnd"/>
      <w:r w:rsidRPr="00A52701">
        <w:rPr>
          <w:lang w:val="en-GB"/>
        </w:rPr>
        <w:t xml:space="preserve"> E., “Making Sense of the Affirmative Action Debate”, </w:t>
      </w:r>
      <w:r w:rsidRPr="00A52701">
        <w:rPr>
          <w:i/>
          <w:lang w:val="en-GB"/>
        </w:rPr>
        <w:t>Ohio N.</w:t>
      </w:r>
      <w:r>
        <w:rPr>
          <w:i/>
          <w:lang w:val="en-GB"/>
        </w:rPr>
        <w:t xml:space="preserve"> </w:t>
      </w:r>
      <w:r w:rsidRPr="00A52701">
        <w:rPr>
          <w:i/>
          <w:lang w:val="en-GB"/>
        </w:rPr>
        <w:t>U.</w:t>
      </w:r>
      <w:r>
        <w:rPr>
          <w:i/>
          <w:lang w:val="en-GB"/>
        </w:rPr>
        <w:t xml:space="preserve"> </w:t>
      </w:r>
      <w:r w:rsidRPr="00A52701">
        <w:rPr>
          <w:i/>
          <w:lang w:val="en-GB"/>
        </w:rPr>
        <w:t>L.</w:t>
      </w:r>
      <w:r>
        <w:rPr>
          <w:i/>
          <w:lang w:val="en-GB"/>
        </w:rPr>
        <w:t xml:space="preserve"> </w:t>
      </w:r>
      <w:r w:rsidRPr="00A52701">
        <w:rPr>
          <w:i/>
          <w:lang w:val="en-GB"/>
        </w:rPr>
        <w:t>Rev.</w:t>
      </w:r>
      <w:r w:rsidRPr="00A52701">
        <w:rPr>
          <w:lang w:val="en-GB"/>
        </w:rPr>
        <w:t xml:space="preserve"> </w:t>
      </w:r>
      <w:r>
        <w:rPr>
          <w:lang w:val="en-GB"/>
        </w:rPr>
        <w:t xml:space="preserve">1995-1996, 1161; </w:t>
      </w:r>
      <w:proofErr w:type="spellStart"/>
      <w:r w:rsidRPr="00E20AD3">
        <w:rPr>
          <w:lang w:val="en-GB"/>
        </w:rPr>
        <w:t>Fredman</w:t>
      </w:r>
      <w:proofErr w:type="spellEnd"/>
      <w:r w:rsidRPr="00E20AD3">
        <w:rPr>
          <w:lang w:val="en-GB"/>
        </w:rPr>
        <w:t xml:space="preserve"> S., “Reversing Discrimination”, </w:t>
      </w:r>
      <w:r w:rsidRPr="00E20AD3">
        <w:rPr>
          <w:i/>
          <w:lang w:val="en-GB"/>
        </w:rPr>
        <w:t>L.Q.R.</w:t>
      </w:r>
      <w:r>
        <w:rPr>
          <w:lang w:val="en-GB"/>
        </w:rPr>
        <w:t xml:space="preserve"> 1997, 596; O’Hare U., op. cit., 22; </w:t>
      </w:r>
      <w:r w:rsidRPr="006D152D">
        <w:rPr>
          <w:lang w:val="en-US"/>
        </w:rPr>
        <w:t>Peters A</w:t>
      </w:r>
      <w:r>
        <w:rPr>
          <w:lang w:val="en-US"/>
        </w:rPr>
        <w:t>.</w:t>
      </w:r>
      <w:r w:rsidRPr="006D152D">
        <w:rPr>
          <w:lang w:val="en-US"/>
        </w:rPr>
        <w:t xml:space="preserve">, </w:t>
      </w:r>
      <w:r w:rsidRPr="006D152D">
        <w:rPr>
          <w:i/>
          <w:lang w:val="en-US"/>
        </w:rPr>
        <w:t>Women, Quotas and Constitutions</w:t>
      </w:r>
      <w:r w:rsidRPr="006D152D">
        <w:rPr>
          <w:lang w:val="en-US"/>
        </w:rPr>
        <w:t xml:space="preserve">, The Hague, Kluwer </w:t>
      </w:r>
      <w:r>
        <w:rPr>
          <w:lang w:val="en-US"/>
        </w:rPr>
        <w:t xml:space="preserve">Law International, 1999, 296. </w:t>
      </w:r>
    </w:p>
  </w:footnote>
  <w:footnote w:id="138">
    <w:p w:rsidR="00551E68" w:rsidRPr="002832CB" w:rsidRDefault="00551E68" w:rsidP="005869B3">
      <w:pPr>
        <w:pStyle w:val="Voetnoottekst"/>
        <w:jc w:val="both"/>
        <w:rPr>
          <w:lang w:val="en-GB"/>
        </w:rPr>
      </w:pPr>
      <w:r>
        <w:rPr>
          <w:rStyle w:val="Voetnootmarkering"/>
        </w:rPr>
        <w:footnoteRef/>
      </w:r>
      <w:r w:rsidRPr="00E94184">
        <w:rPr>
          <w:lang w:val="en-US"/>
        </w:rPr>
        <w:t xml:space="preserve"> </w:t>
      </w:r>
      <w:proofErr w:type="spellStart"/>
      <w:r w:rsidRPr="00AF2298">
        <w:rPr>
          <w:lang w:val="en-US"/>
        </w:rPr>
        <w:t>Chemerinsky</w:t>
      </w:r>
      <w:proofErr w:type="spellEnd"/>
      <w:r w:rsidRPr="00AF2298">
        <w:rPr>
          <w:lang w:val="en-US"/>
        </w:rPr>
        <w:t xml:space="preserve"> E., op. cit., 1163;</w:t>
      </w:r>
      <w:r>
        <w:rPr>
          <w:lang w:val="en-US"/>
        </w:rPr>
        <w:t xml:space="preserve"> De </w:t>
      </w:r>
      <w:proofErr w:type="spellStart"/>
      <w:r>
        <w:rPr>
          <w:lang w:val="en-US"/>
        </w:rPr>
        <w:t>Schutter</w:t>
      </w:r>
      <w:proofErr w:type="spellEnd"/>
      <w:r>
        <w:rPr>
          <w:lang w:val="en-US"/>
        </w:rPr>
        <w:t xml:space="preserve"> O., “Positive Action” in</w:t>
      </w:r>
      <w:r>
        <w:rPr>
          <w:sz w:val="24"/>
          <w:szCs w:val="24"/>
          <w:lang w:val="en-US"/>
        </w:rPr>
        <w:t xml:space="preserve"> </w:t>
      </w:r>
      <w:proofErr w:type="spellStart"/>
      <w:r>
        <w:rPr>
          <w:lang w:val="en-US"/>
        </w:rPr>
        <w:t>Schiek</w:t>
      </w:r>
      <w:proofErr w:type="spellEnd"/>
      <w:r>
        <w:rPr>
          <w:lang w:val="en-US"/>
        </w:rPr>
        <w:t xml:space="preserve"> D., </w:t>
      </w:r>
      <w:r w:rsidRPr="00E94184">
        <w:rPr>
          <w:lang w:val="en-US"/>
        </w:rPr>
        <w:t>Waddington</w:t>
      </w:r>
      <w:r>
        <w:rPr>
          <w:lang w:val="en-US"/>
        </w:rPr>
        <w:t xml:space="preserve"> L. and </w:t>
      </w:r>
      <w:r w:rsidRPr="00E94184">
        <w:rPr>
          <w:lang w:val="en-US"/>
        </w:rPr>
        <w:t>Bell</w:t>
      </w:r>
      <w:r>
        <w:rPr>
          <w:lang w:val="en-US"/>
        </w:rPr>
        <w:t xml:space="preserve"> M.  (eds.), op. cit., 759;</w:t>
      </w:r>
      <w:r w:rsidRPr="002832CB">
        <w:rPr>
          <w:lang w:val="en-GB"/>
        </w:rPr>
        <w:t xml:space="preserve"> </w:t>
      </w:r>
      <w:proofErr w:type="spellStart"/>
      <w:r>
        <w:rPr>
          <w:lang w:val="en-GB"/>
        </w:rPr>
        <w:t>Foubert</w:t>
      </w:r>
      <w:proofErr w:type="spellEnd"/>
      <w:r>
        <w:rPr>
          <w:lang w:val="en-GB"/>
        </w:rPr>
        <w:t xml:space="preserve"> P., op. cit., 26; </w:t>
      </w:r>
      <w:proofErr w:type="spellStart"/>
      <w:r w:rsidRPr="00153F50">
        <w:rPr>
          <w:rFonts w:eastAsia="Calibri"/>
          <w:lang w:val="en-GB"/>
        </w:rPr>
        <w:t>Fredman</w:t>
      </w:r>
      <w:proofErr w:type="spellEnd"/>
      <w:r w:rsidRPr="00153F50">
        <w:rPr>
          <w:rFonts w:eastAsia="Calibri"/>
          <w:lang w:val="en-GB"/>
        </w:rPr>
        <w:t xml:space="preserve"> S., “Reversing Discrimination”, </w:t>
      </w:r>
      <w:r w:rsidRPr="00153F50">
        <w:rPr>
          <w:rFonts w:eastAsia="Calibri"/>
          <w:i/>
          <w:lang w:val="en-GB"/>
        </w:rPr>
        <w:t>L.Q.R.</w:t>
      </w:r>
      <w:r w:rsidRPr="00153F50">
        <w:rPr>
          <w:rFonts w:eastAsia="Calibri"/>
          <w:lang w:val="en-GB"/>
        </w:rPr>
        <w:t xml:space="preserve"> 1997,</w:t>
      </w:r>
      <w:r>
        <w:rPr>
          <w:lang w:val="en-US"/>
        </w:rPr>
        <w:t xml:space="preserve"> 597; </w:t>
      </w:r>
      <w:proofErr w:type="spellStart"/>
      <w:r w:rsidRPr="00E94184">
        <w:rPr>
          <w:lang w:val="en-US"/>
        </w:rPr>
        <w:t>Schopp</w:t>
      </w:r>
      <w:proofErr w:type="spellEnd"/>
      <w:r w:rsidRPr="00E94184">
        <w:rPr>
          <w:lang w:val="en-US"/>
        </w:rPr>
        <w:t xml:space="preserve">-Schilling H., “Reflections on a General Recommendation on Article 4(1) of the Convention on the Elimination of All Forms of Discrimination </w:t>
      </w:r>
      <w:r>
        <w:rPr>
          <w:lang w:val="en-US"/>
        </w:rPr>
        <w:t xml:space="preserve">Against Women” in </w:t>
      </w:r>
      <w:proofErr w:type="spellStart"/>
      <w:r>
        <w:rPr>
          <w:lang w:val="en-US"/>
        </w:rPr>
        <w:t>Boerefijn</w:t>
      </w:r>
      <w:proofErr w:type="spellEnd"/>
      <w:r>
        <w:rPr>
          <w:lang w:val="en-US"/>
        </w:rPr>
        <w:t xml:space="preserve"> I. and </w:t>
      </w:r>
      <w:proofErr w:type="spellStart"/>
      <w:r w:rsidRPr="00E94184">
        <w:rPr>
          <w:lang w:val="en-US"/>
        </w:rPr>
        <w:t>Coomans</w:t>
      </w:r>
      <w:proofErr w:type="spellEnd"/>
      <w:r w:rsidRPr="00E94184">
        <w:rPr>
          <w:lang w:val="en-US"/>
        </w:rPr>
        <w:t xml:space="preserve"> F. (eds.), op. cit., 18</w:t>
      </w:r>
      <w:r>
        <w:rPr>
          <w:lang w:val="en-US"/>
        </w:rPr>
        <w:t xml:space="preserve">. </w:t>
      </w:r>
    </w:p>
  </w:footnote>
  <w:footnote w:id="139">
    <w:p w:rsidR="00551E68" w:rsidRPr="00EA1E95" w:rsidRDefault="00551E68" w:rsidP="005869B3">
      <w:pPr>
        <w:pStyle w:val="Voetnoottekst"/>
        <w:jc w:val="both"/>
        <w:rPr>
          <w:lang w:val="en-GB"/>
        </w:rPr>
      </w:pPr>
      <w:r>
        <w:rPr>
          <w:rStyle w:val="Voetnootmarkering"/>
        </w:rPr>
        <w:footnoteRef/>
      </w:r>
      <w:r>
        <w:rPr>
          <w:lang w:val="en-GB"/>
        </w:rPr>
        <w:t xml:space="preserve"> </w:t>
      </w:r>
      <w:r w:rsidRPr="0099401B">
        <w:rPr>
          <w:lang w:val="en-GB"/>
        </w:rPr>
        <w:t>CEDAW General Recommendation no. 25 on temporary special measures (2004), para. 22;</w:t>
      </w:r>
      <w:r>
        <w:rPr>
          <w:lang w:val="en-GB"/>
        </w:rPr>
        <w:t xml:space="preserve"> </w:t>
      </w:r>
      <w:r w:rsidRPr="0099401B">
        <w:rPr>
          <w:lang w:val="en-GB"/>
        </w:rPr>
        <w:t xml:space="preserve">Burrows N. and Robison M., “Positive Action for Women in Employment: Time to Align with Europe?”, </w:t>
      </w:r>
      <w:r w:rsidRPr="0099401B">
        <w:rPr>
          <w:i/>
          <w:lang w:val="en-GB"/>
        </w:rPr>
        <w:t>Brit. J. Law &amp; Soc.</w:t>
      </w:r>
      <w:r>
        <w:rPr>
          <w:lang w:val="en-GB"/>
        </w:rPr>
        <w:t xml:space="preserve"> 2006, 26; </w:t>
      </w:r>
      <w:r w:rsidRPr="0099401B">
        <w:rPr>
          <w:lang w:val="en-US"/>
        </w:rPr>
        <w:t xml:space="preserve">De </w:t>
      </w:r>
      <w:proofErr w:type="spellStart"/>
      <w:r w:rsidRPr="0099401B">
        <w:rPr>
          <w:lang w:val="en-US"/>
        </w:rPr>
        <w:t>Schutter</w:t>
      </w:r>
      <w:proofErr w:type="spellEnd"/>
      <w:r w:rsidRPr="0099401B">
        <w:rPr>
          <w:lang w:val="en-US"/>
        </w:rPr>
        <w:t xml:space="preserve"> O., “Positive Action” in </w:t>
      </w:r>
      <w:proofErr w:type="spellStart"/>
      <w:r w:rsidRPr="0099401B">
        <w:rPr>
          <w:lang w:val="en-US"/>
        </w:rPr>
        <w:t>Schiek</w:t>
      </w:r>
      <w:proofErr w:type="spellEnd"/>
      <w:r w:rsidRPr="0099401B">
        <w:rPr>
          <w:lang w:val="en-US"/>
        </w:rPr>
        <w:t xml:space="preserve"> D., Waddington L. and Bell M. (eds.), op. cit., 758; </w:t>
      </w:r>
      <w:proofErr w:type="spellStart"/>
      <w:r w:rsidRPr="0099401B">
        <w:rPr>
          <w:lang w:val="en-GB"/>
        </w:rPr>
        <w:t>McHarg</w:t>
      </w:r>
      <w:proofErr w:type="spellEnd"/>
      <w:r w:rsidRPr="0099401B">
        <w:rPr>
          <w:lang w:val="en-GB"/>
        </w:rPr>
        <w:t xml:space="preserve"> A. and Nicolson D., op. cit., 2;</w:t>
      </w:r>
      <w:r>
        <w:rPr>
          <w:lang w:val="en-GB"/>
        </w:rPr>
        <w:t xml:space="preserve"> </w:t>
      </w:r>
      <w:r w:rsidRPr="000515B9">
        <w:rPr>
          <w:lang w:val="en-GB"/>
        </w:rPr>
        <w:t xml:space="preserve">Prevention of Discrimination; the concept and practice of affirmative action, Final report submitted by </w:t>
      </w:r>
      <w:proofErr w:type="spellStart"/>
      <w:r w:rsidRPr="000515B9">
        <w:rPr>
          <w:lang w:val="en-GB"/>
        </w:rPr>
        <w:t>Mr.</w:t>
      </w:r>
      <w:proofErr w:type="spellEnd"/>
      <w:r w:rsidRPr="000515B9">
        <w:rPr>
          <w:lang w:val="en-GB"/>
        </w:rPr>
        <w:t xml:space="preserve"> Marc </w:t>
      </w:r>
      <w:proofErr w:type="spellStart"/>
      <w:r w:rsidRPr="000515B9">
        <w:rPr>
          <w:lang w:val="en-GB"/>
        </w:rPr>
        <w:t>Bossuyt</w:t>
      </w:r>
      <w:proofErr w:type="spellEnd"/>
      <w:r w:rsidRPr="000515B9">
        <w:rPr>
          <w:lang w:val="en-GB"/>
        </w:rPr>
        <w:t xml:space="preserve">, Special Rapporteur, in accordance with Sub-Commissions resolution 1998/5, E/CN.4/Sub.2/2002/21, 17 June 2002, para. </w:t>
      </w:r>
      <w:r>
        <w:rPr>
          <w:lang w:val="en-US"/>
        </w:rPr>
        <w:t xml:space="preserve">72. </w:t>
      </w:r>
    </w:p>
  </w:footnote>
  <w:footnote w:id="140">
    <w:p w:rsidR="00551E68" w:rsidRPr="00EC1631" w:rsidRDefault="00551E68" w:rsidP="005869B3">
      <w:pPr>
        <w:pStyle w:val="Voetnoottekst"/>
        <w:jc w:val="both"/>
        <w:rPr>
          <w:lang w:val="en-US"/>
        </w:rPr>
      </w:pPr>
      <w:r>
        <w:rPr>
          <w:rStyle w:val="Voetnootmarkering"/>
        </w:rPr>
        <w:footnoteRef/>
      </w:r>
      <w:r w:rsidRPr="00521D96">
        <w:rPr>
          <w:lang w:val="en-US"/>
        </w:rPr>
        <w:t xml:space="preserve"> Opinion of advocate general </w:t>
      </w:r>
      <w:proofErr w:type="spellStart"/>
      <w:r w:rsidRPr="00521D96">
        <w:rPr>
          <w:lang w:val="en-US"/>
        </w:rPr>
        <w:t>Tesauro</w:t>
      </w:r>
      <w:proofErr w:type="spellEnd"/>
      <w:r w:rsidRPr="00521D96">
        <w:rPr>
          <w:lang w:val="en-US"/>
        </w:rPr>
        <w:t xml:space="preserve">, </w:t>
      </w:r>
      <w:proofErr w:type="spellStart"/>
      <w:r w:rsidRPr="00521D96">
        <w:rPr>
          <w:lang w:val="en-US"/>
        </w:rPr>
        <w:t>Kalanke</w:t>
      </w:r>
      <w:proofErr w:type="spellEnd"/>
      <w:r w:rsidRPr="00521D96">
        <w:rPr>
          <w:lang w:val="en-US"/>
        </w:rPr>
        <w:t xml:space="preserve"> v. Bremen</w:t>
      </w:r>
      <w:r>
        <w:rPr>
          <w:lang w:val="en-US"/>
        </w:rPr>
        <w:t xml:space="preserve">, 6 April 1995, para. 10; </w:t>
      </w:r>
      <w:r w:rsidRPr="00EC1631">
        <w:rPr>
          <w:lang w:val="en-US"/>
        </w:rPr>
        <w:t xml:space="preserve">Barnard C., </w:t>
      </w:r>
      <w:r w:rsidRPr="00EC1631">
        <w:rPr>
          <w:i/>
          <w:lang w:val="en-US"/>
        </w:rPr>
        <w:t xml:space="preserve">EU Employment Law, </w:t>
      </w:r>
      <w:r w:rsidRPr="00EC1631">
        <w:rPr>
          <w:lang w:val="en-US"/>
        </w:rPr>
        <w:t xml:space="preserve">Oxford, Oxford University Press, 2012, </w:t>
      </w:r>
      <w:r>
        <w:rPr>
          <w:lang w:val="en-US"/>
        </w:rPr>
        <w:t xml:space="preserve">376; </w:t>
      </w:r>
      <w:r w:rsidRPr="00EC1631">
        <w:rPr>
          <w:lang w:val="en-US"/>
        </w:rPr>
        <w:t xml:space="preserve">De </w:t>
      </w:r>
      <w:proofErr w:type="spellStart"/>
      <w:r w:rsidRPr="00EC1631">
        <w:rPr>
          <w:lang w:val="en-US"/>
        </w:rPr>
        <w:t>Schutter</w:t>
      </w:r>
      <w:proofErr w:type="spellEnd"/>
      <w:r>
        <w:rPr>
          <w:lang w:val="en-US"/>
        </w:rPr>
        <w:t xml:space="preserve"> O., “Positive Action” in </w:t>
      </w:r>
      <w:proofErr w:type="spellStart"/>
      <w:r>
        <w:rPr>
          <w:lang w:val="en-US"/>
        </w:rPr>
        <w:t>Schiek</w:t>
      </w:r>
      <w:proofErr w:type="spellEnd"/>
      <w:r>
        <w:rPr>
          <w:lang w:val="en-US"/>
        </w:rPr>
        <w:t xml:space="preserve"> D., </w:t>
      </w:r>
      <w:r w:rsidRPr="00EC1631">
        <w:rPr>
          <w:lang w:val="en-US"/>
        </w:rPr>
        <w:t>Waddington</w:t>
      </w:r>
      <w:r>
        <w:rPr>
          <w:lang w:val="en-US"/>
        </w:rPr>
        <w:t xml:space="preserve"> L. and </w:t>
      </w:r>
      <w:r w:rsidRPr="00514761">
        <w:rPr>
          <w:lang w:val="en-US"/>
        </w:rPr>
        <w:t>Bell</w:t>
      </w:r>
      <w:r>
        <w:rPr>
          <w:lang w:val="en-US"/>
        </w:rPr>
        <w:t xml:space="preserve"> M. (eds.), op. cit., 758. </w:t>
      </w:r>
    </w:p>
  </w:footnote>
  <w:footnote w:id="141">
    <w:p w:rsidR="00551E68" w:rsidRPr="00514761" w:rsidRDefault="00551E68" w:rsidP="005869B3">
      <w:pPr>
        <w:pStyle w:val="Voetnoottekst"/>
        <w:jc w:val="both"/>
        <w:rPr>
          <w:lang w:val="en-US"/>
        </w:rPr>
      </w:pPr>
      <w:r>
        <w:rPr>
          <w:rStyle w:val="Voetnootmarkering"/>
        </w:rPr>
        <w:footnoteRef/>
      </w:r>
      <w:r>
        <w:rPr>
          <w:lang w:val="en-US"/>
        </w:rPr>
        <w:t xml:space="preserve"> </w:t>
      </w:r>
      <w:r w:rsidRPr="005870B9">
        <w:rPr>
          <w:lang w:val="en-GB"/>
        </w:rPr>
        <w:t xml:space="preserve">De </w:t>
      </w:r>
      <w:proofErr w:type="spellStart"/>
      <w:r w:rsidRPr="005870B9">
        <w:rPr>
          <w:lang w:val="en-GB"/>
        </w:rPr>
        <w:t>Vos</w:t>
      </w:r>
      <w:proofErr w:type="spellEnd"/>
      <w:r w:rsidRPr="005870B9">
        <w:rPr>
          <w:lang w:val="en-GB"/>
        </w:rPr>
        <w:t xml:space="preserve"> M., </w:t>
      </w:r>
      <w:r w:rsidRPr="005870B9">
        <w:rPr>
          <w:i/>
          <w:lang w:val="en-GB"/>
        </w:rPr>
        <w:t>Beyond Formal Equality</w:t>
      </w:r>
      <w:r w:rsidRPr="005870B9">
        <w:rPr>
          <w:lang w:val="en-GB"/>
        </w:rPr>
        <w:t xml:space="preserve">, Luxembourg, Office for Official Publications of the </w:t>
      </w:r>
      <w:r>
        <w:rPr>
          <w:lang w:val="en-GB"/>
        </w:rPr>
        <w:t xml:space="preserve">European Communities, 2007, 11; Prevention of Discrimination; </w:t>
      </w:r>
      <w:r w:rsidRPr="006A384F">
        <w:rPr>
          <w:lang w:val="en-GB"/>
        </w:rPr>
        <w:t xml:space="preserve">the concept and practice of affirmative action, Final report submitted by </w:t>
      </w:r>
      <w:proofErr w:type="spellStart"/>
      <w:r w:rsidRPr="006A384F">
        <w:rPr>
          <w:lang w:val="en-GB"/>
        </w:rPr>
        <w:t>Mr.</w:t>
      </w:r>
      <w:proofErr w:type="spellEnd"/>
      <w:r w:rsidRPr="006A384F">
        <w:rPr>
          <w:lang w:val="en-GB"/>
        </w:rPr>
        <w:t xml:space="preserve"> Marc </w:t>
      </w:r>
      <w:proofErr w:type="spellStart"/>
      <w:r w:rsidRPr="006A384F">
        <w:rPr>
          <w:lang w:val="en-GB"/>
        </w:rPr>
        <w:t>Bossuyt</w:t>
      </w:r>
      <w:proofErr w:type="spellEnd"/>
      <w:r w:rsidRPr="006A384F">
        <w:rPr>
          <w:lang w:val="en-GB"/>
        </w:rPr>
        <w:t>, Special Rapporteur, in accordance with Sub-Commissions resolution 1998/5, E/CN.4/Sub.2/2002/21, 17 June 200</w:t>
      </w:r>
      <w:r>
        <w:rPr>
          <w:lang w:val="en-GB"/>
        </w:rPr>
        <w:t xml:space="preserve">2, para. </w:t>
      </w:r>
      <w:r>
        <w:rPr>
          <w:lang w:val="en-US"/>
        </w:rPr>
        <w:t xml:space="preserve">73. </w:t>
      </w:r>
    </w:p>
  </w:footnote>
  <w:footnote w:id="142">
    <w:p w:rsidR="00551E68" w:rsidRPr="00514761" w:rsidRDefault="00551E68" w:rsidP="005869B3">
      <w:pPr>
        <w:pStyle w:val="Voetnoottekst"/>
        <w:jc w:val="both"/>
        <w:rPr>
          <w:lang w:val="en-US"/>
        </w:rPr>
      </w:pPr>
      <w:r>
        <w:rPr>
          <w:rStyle w:val="Voetnootmarkering"/>
        </w:rPr>
        <w:footnoteRef/>
      </w:r>
      <w:r w:rsidRPr="00514761">
        <w:rPr>
          <w:lang w:val="en-US"/>
        </w:rPr>
        <w:t xml:space="preserve"> </w:t>
      </w:r>
      <w:r w:rsidRPr="00150021">
        <w:rPr>
          <w:lang w:val="en-GB"/>
        </w:rPr>
        <w:t xml:space="preserve">Prevention of Discrimination; the concept and practice of affirmative action, Final report submitted by </w:t>
      </w:r>
      <w:proofErr w:type="spellStart"/>
      <w:r w:rsidRPr="00150021">
        <w:rPr>
          <w:lang w:val="en-GB"/>
        </w:rPr>
        <w:t>Mr.</w:t>
      </w:r>
      <w:proofErr w:type="spellEnd"/>
      <w:r w:rsidRPr="00150021">
        <w:rPr>
          <w:lang w:val="en-GB"/>
        </w:rPr>
        <w:t xml:space="preserve"> Marc </w:t>
      </w:r>
      <w:proofErr w:type="spellStart"/>
      <w:r w:rsidRPr="00150021">
        <w:rPr>
          <w:lang w:val="en-GB"/>
        </w:rPr>
        <w:t>Bossuyt</w:t>
      </w:r>
      <w:proofErr w:type="spellEnd"/>
      <w:r w:rsidRPr="00150021">
        <w:rPr>
          <w:lang w:val="en-GB"/>
        </w:rPr>
        <w:t>, Special Rapporteur, in accordance with Sub-Commissions resolution 1998/5, E/CN.4/Sub.2/2002/21, 17 June 2002, para.</w:t>
      </w:r>
      <w:r>
        <w:rPr>
          <w:lang w:val="en-GB"/>
        </w:rPr>
        <w:t xml:space="preserve"> 73. </w:t>
      </w:r>
    </w:p>
  </w:footnote>
  <w:footnote w:id="143">
    <w:p w:rsidR="00551E68" w:rsidRPr="008D6DF7" w:rsidRDefault="00551E68" w:rsidP="005869B3">
      <w:pPr>
        <w:pStyle w:val="Voetnoottekst"/>
        <w:jc w:val="both"/>
        <w:rPr>
          <w:lang w:val="en-US"/>
        </w:rPr>
      </w:pPr>
      <w:r>
        <w:rPr>
          <w:rStyle w:val="Voetnootmarkering"/>
        </w:rPr>
        <w:footnoteRef/>
      </w:r>
      <w:r>
        <w:rPr>
          <w:lang w:val="en-US"/>
        </w:rPr>
        <w:t xml:space="preserve"> </w:t>
      </w:r>
      <w:proofErr w:type="spellStart"/>
      <w:r w:rsidRPr="00442C73">
        <w:rPr>
          <w:lang w:val="en-GB"/>
        </w:rPr>
        <w:t>McCrudden</w:t>
      </w:r>
      <w:proofErr w:type="spellEnd"/>
      <w:r w:rsidRPr="00442C73">
        <w:rPr>
          <w:lang w:val="en-GB"/>
        </w:rPr>
        <w:t xml:space="preserve"> C., “Rethinking Positive Action”, </w:t>
      </w:r>
      <w:r w:rsidRPr="00442C73">
        <w:rPr>
          <w:i/>
          <w:lang w:val="en-GB"/>
        </w:rPr>
        <w:t>I</w:t>
      </w:r>
      <w:r>
        <w:rPr>
          <w:i/>
          <w:lang w:val="en-GB"/>
        </w:rPr>
        <w:t xml:space="preserve">nd. </w:t>
      </w:r>
      <w:r w:rsidRPr="00442C73">
        <w:rPr>
          <w:i/>
          <w:lang w:val="en-GB"/>
        </w:rPr>
        <w:t>L</w:t>
      </w:r>
      <w:r>
        <w:rPr>
          <w:i/>
          <w:lang w:val="en-GB"/>
        </w:rPr>
        <w:t xml:space="preserve">. </w:t>
      </w:r>
      <w:r w:rsidRPr="00442C73">
        <w:rPr>
          <w:i/>
          <w:lang w:val="en-GB"/>
        </w:rPr>
        <w:t>J</w:t>
      </w:r>
      <w:r>
        <w:rPr>
          <w:i/>
          <w:lang w:val="en-GB"/>
        </w:rPr>
        <w:t xml:space="preserve">. </w:t>
      </w:r>
      <w:r w:rsidRPr="00442C73">
        <w:rPr>
          <w:lang w:val="en-GB"/>
        </w:rPr>
        <w:t>1986,</w:t>
      </w:r>
      <w:r>
        <w:rPr>
          <w:lang w:val="en-GB"/>
        </w:rPr>
        <w:t xml:space="preserve"> 224; </w:t>
      </w:r>
      <w:proofErr w:type="spellStart"/>
      <w:r w:rsidRPr="008D6DF7">
        <w:rPr>
          <w:lang w:val="en-US"/>
        </w:rPr>
        <w:t>Raday</w:t>
      </w:r>
      <w:proofErr w:type="spellEnd"/>
      <w:r w:rsidRPr="008D6DF7">
        <w:rPr>
          <w:lang w:val="en-US"/>
        </w:rPr>
        <w:t xml:space="preserve"> F., “Systematizing th</w:t>
      </w:r>
      <w:r>
        <w:rPr>
          <w:lang w:val="en-US"/>
        </w:rPr>
        <w:t xml:space="preserve">e application of different types of temporary special measures under article 4 of CEDAW” in </w:t>
      </w:r>
      <w:proofErr w:type="spellStart"/>
      <w:r>
        <w:rPr>
          <w:lang w:val="en-US"/>
        </w:rPr>
        <w:t>Boerefijn</w:t>
      </w:r>
      <w:proofErr w:type="spellEnd"/>
      <w:r>
        <w:rPr>
          <w:lang w:val="en-US"/>
        </w:rPr>
        <w:t xml:space="preserve"> I. and</w:t>
      </w:r>
      <w:r w:rsidRPr="008D6DF7">
        <w:rPr>
          <w:lang w:val="en-US"/>
        </w:rPr>
        <w:t xml:space="preserve"> </w:t>
      </w:r>
      <w:proofErr w:type="spellStart"/>
      <w:r w:rsidRPr="008D6DF7">
        <w:rPr>
          <w:lang w:val="en-US"/>
        </w:rPr>
        <w:t>Coomans</w:t>
      </w:r>
      <w:proofErr w:type="spellEnd"/>
      <w:r>
        <w:rPr>
          <w:lang w:val="en-US"/>
        </w:rPr>
        <w:t xml:space="preserve"> F. (eds.), op. cit., 41-42. </w:t>
      </w:r>
    </w:p>
  </w:footnote>
  <w:footnote w:id="144">
    <w:p w:rsidR="00551E68" w:rsidRPr="006A1884" w:rsidRDefault="00551E68" w:rsidP="005869B3">
      <w:pPr>
        <w:pStyle w:val="Voetnoottekst"/>
        <w:jc w:val="both"/>
        <w:rPr>
          <w:lang w:val="en-US"/>
        </w:rPr>
      </w:pPr>
      <w:r>
        <w:rPr>
          <w:rStyle w:val="Voetnootmarkering"/>
        </w:rPr>
        <w:footnoteRef/>
      </w:r>
      <w:r w:rsidRPr="006A1884">
        <w:rPr>
          <w:lang w:val="en-US"/>
        </w:rPr>
        <w:t xml:space="preserve"> Squires J., </w:t>
      </w:r>
      <w:r w:rsidRPr="006A1884">
        <w:rPr>
          <w:i/>
          <w:lang w:val="en-US"/>
        </w:rPr>
        <w:t>The New Politics of Gender Equality</w:t>
      </w:r>
      <w:r w:rsidRPr="006A1884">
        <w:rPr>
          <w:lang w:val="en-US"/>
        </w:rPr>
        <w:t xml:space="preserve">, New York, </w:t>
      </w:r>
      <w:r>
        <w:rPr>
          <w:lang w:val="en-US"/>
        </w:rPr>
        <w:t xml:space="preserve">Palgrave McMillan, 2007, 24 and 27-28. </w:t>
      </w:r>
    </w:p>
  </w:footnote>
  <w:footnote w:id="145">
    <w:p w:rsidR="00551E68" w:rsidRPr="009B19F1" w:rsidRDefault="00551E68" w:rsidP="005869B3">
      <w:pPr>
        <w:pStyle w:val="Voetnoottekst"/>
        <w:jc w:val="both"/>
        <w:rPr>
          <w:lang w:val="en-GB"/>
        </w:rPr>
      </w:pPr>
      <w:r>
        <w:rPr>
          <w:rStyle w:val="Voetnootmarkering"/>
        </w:rPr>
        <w:footnoteRef/>
      </w:r>
      <w:r w:rsidRPr="009B19F1">
        <w:rPr>
          <w:lang w:val="en-US"/>
        </w:rPr>
        <w:t xml:space="preserve"> </w:t>
      </w:r>
      <w:proofErr w:type="spellStart"/>
      <w:r w:rsidRPr="009B19F1">
        <w:rPr>
          <w:lang w:val="en-US"/>
        </w:rPr>
        <w:t>McCrudden</w:t>
      </w:r>
      <w:proofErr w:type="spellEnd"/>
      <w:r w:rsidRPr="009B19F1">
        <w:rPr>
          <w:lang w:val="en-US"/>
        </w:rPr>
        <w:t xml:space="preserve"> C., op. cit., 226; </w:t>
      </w:r>
      <w:proofErr w:type="spellStart"/>
      <w:r w:rsidRPr="009B19F1">
        <w:rPr>
          <w:lang w:val="en-US"/>
        </w:rPr>
        <w:t>Popelier</w:t>
      </w:r>
      <w:proofErr w:type="spellEnd"/>
      <w:r w:rsidRPr="009B19F1">
        <w:rPr>
          <w:lang w:val="en-US"/>
        </w:rPr>
        <w:t xml:space="preserve"> P., “</w:t>
      </w:r>
      <w:proofErr w:type="spellStart"/>
      <w:r w:rsidRPr="009B19F1">
        <w:rPr>
          <w:lang w:val="en-US"/>
        </w:rPr>
        <w:t>Geslachtsquota</w:t>
      </w:r>
      <w:proofErr w:type="spellEnd"/>
      <w:r w:rsidRPr="009B19F1">
        <w:rPr>
          <w:lang w:val="en-US"/>
        </w:rPr>
        <w:t xml:space="preserve"> in de </w:t>
      </w:r>
      <w:proofErr w:type="spellStart"/>
      <w:r w:rsidRPr="009B19F1">
        <w:rPr>
          <w:lang w:val="en-US"/>
        </w:rPr>
        <w:t>besluitvormingsorganen</w:t>
      </w:r>
      <w:proofErr w:type="spellEnd"/>
      <w:r w:rsidRPr="009B19F1">
        <w:rPr>
          <w:lang w:val="en-US"/>
        </w:rPr>
        <w:t xml:space="preserve"> van </w:t>
      </w:r>
      <w:proofErr w:type="spellStart"/>
      <w:r w:rsidRPr="009B19F1">
        <w:rPr>
          <w:lang w:val="en-US"/>
        </w:rPr>
        <w:t>publieke</w:t>
      </w:r>
      <w:proofErr w:type="spellEnd"/>
      <w:r w:rsidRPr="009B19F1">
        <w:rPr>
          <w:lang w:val="en-US"/>
        </w:rPr>
        <w:t xml:space="preserve"> </w:t>
      </w:r>
      <w:proofErr w:type="spellStart"/>
      <w:r w:rsidRPr="009B19F1">
        <w:rPr>
          <w:lang w:val="en-US"/>
        </w:rPr>
        <w:t>instellingen</w:t>
      </w:r>
      <w:proofErr w:type="spellEnd"/>
      <w:r w:rsidRPr="009B19F1">
        <w:rPr>
          <w:lang w:val="en-US"/>
        </w:rPr>
        <w:t xml:space="preserve"> </w:t>
      </w:r>
      <w:proofErr w:type="spellStart"/>
      <w:r w:rsidRPr="009B19F1">
        <w:rPr>
          <w:lang w:val="en-US"/>
        </w:rPr>
        <w:t>vanuit</w:t>
      </w:r>
      <w:proofErr w:type="spellEnd"/>
      <w:r w:rsidRPr="009B19F1">
        <w:rPr>
          <w:lang w:val="en-US"/>
        </w:rPr>
        <w:t xml:space="preserve"> </w:t>
      </w:r>
      <w:proofErr w:type="spellStart"/>
      <w:r w:rsidRPr="009B19F1">
        <w:rPr>
          <w:lang w:val="en-US"/>
        </w:rPr>
        <w:t>juridische</w:t>
      </w:r>
      <w:proofErr w:type="spellEnd"/>
      <w:r w:rsidRPr="009B19F1">
        <w:rPr>
          <w:lang w:val="en-US"/>
        </w:rPr>
        <w:t xml:space="preserve"> </w:t>
      </w:r>
      <w:proofErr w:type="spellStart"/>
      <w:r w:rsidRPr="009B19F1">
        <w:rPr>
          <w:lang w:val="en-US"/>
        </w:rPr>
        <w:t>perspectief</w:t>
      </w:r>
      <w:proofErr w:type="spellEnd"/>
      <w:r w:rsidRPr="009B19F1">
        <w:rPr>
          <w:lang w:val="en-US"/>
        </w:rPr>
        <w:t xml:space="preserve">” in </w:t>
      </w:r>
      <w:proofErr w:type="spellStart"/>
      <w:r w:rsidRPr="009B19F1">
        <w:rPr>
          <w:lang w:val="en-US"/>
        </w:rPr>
        <w:t>Brems</w:t>
      </w:r>
      <w:proofErr w:type="spellEnd"/>
      <w:r w:rsidRPr="009B19F1">
        <w:rPr>
          <w:lang w:val="en-US"/>
        </w:rPr>
        <w:t xml:space="preserve"> E. en Stevens L. (eds.), </w:t>
      </w:r>
      <w:proofErr w:type="spellStart"/>
      <w:r w:rsidRPr="009B19F1">
        <w:rPr>
          <w:i/>
          <w:lang w:val="en-US"/>
        </w:rPr>
        <w:t>Recht</w:t>
      </w:r>
      <w:proofErr w:type="spellEnd"/>
      <w:r w:rsidRPr="009B19F1">
        <w:rPr>
          <w:i/>
          <w:lang w:val="en-US"/>
        </w:rPr>
        <w:t xml:space="preserve"> en Gender in </w:t>
      </w:r>
      <w:proofErr w:type="spellStart"/>
      <w:r w:rsidRPr="009B19F1">
        <w:rPr>
          <w:i/>
          <w:lang w:val="en-US"/>
        </w:rPr>
        <w:t>België</w:t>
      </w:r>
      <w:proofErr w:type="spellEnd"/>
      <w:r w:rsidRPr="009B19F1">
        <w:rPr>
          <w:lang w:val="en-US"/>
        </w:rPr>
        <w:t xml:space="preserve">, </w:t>
      </w:r>
      <w:proofErr w:type="spellStart"/>
      <w:r w:rsidRPr="009B19F1">
        <w:rPr>
          <w:lang w:val="en-US"/>
        </w:rPr>
        <w:t>Brugge</w:t>
      </w:r>
      <w:proofErr w:type="spellEnd"/>
      <w:r w:rsidRPr="009B19F1">
        <w:rPr>
          <w:lang w:val="en-US"/>
        </w:rPr>
        <w:t xml:space="preserve">, die </w:t>
      </w:r>
      <w:proofErr w:type="spellStart"/>
      <w:r w:rsidRPr="009B19F1">
        <w:rPr>
          <w:lang w:val="en-US"/>
        </w:rPr>
        <w:t>Keure</w:t>
      </w:r>
      <w:proofErr w:type="spellEnd"/>
      <w:r w:rsidRPr="009B19F1">
        <w:rPr>
          <w:lang w:val="en-US"/>
        </w:rPr>
        <w:t xml:space="preserve">, 2011, 147-150; </w:t>
      </w:r>
      <w:proofErr w:type="spellStart"/>
      <w:r w:rsidRPr="009B19F1">
        <w:rPr>
          <w:lang w:val="en-GB"/>
        </w:rPr>
        <w:t>Selanec</w:t>
      </w:r>
      <w:proofErr w:type="spellEnd"/>
      <w:r w:rsidRPr="009B19F1">
        <w:rPr>
          <w:lang w:val="en-GB"/>
        </w:rPr>
        <w:t xml:space="preserve"> G. and </w:t>
      </w:r>
      <w:proofErr w:type="spellStart"/>
      <w:r w:rsidRPr="009B19F1">
        <w:rPr>
          <w:lang w:val="en-GB"/>
        </w:rPr>
        <w:t>Senden</w:t>
      </w:r>
      <w:proofErr w:type="spellEnd"/>
      <w:r w:rsidRPr="009B19F1">
        <w:rPr>
          <w:lang w:val="en-GB"/>
        </w:rPr>
        <w:t xml:space="preserve"> L., Gender Quotas and Other Positive Action Measures to Ensure Full Equality in Practice between Men and Women, Luxembourg, Publications Office of the European Union, 2011,</w:t>
      </w:r>
      <w:r>
        <w:rPr>
          <w:lang w:val="en-GB"/>
        </w:rPr>
        <w:t xml:space="preserve"> 6. </w:t>
      </w:r>
    </w:p>
  </w:footnote>
  <w:footnote w:id="146">
    <w:p w:rsidR="00551E68" w:rsidRPr="00B33D2F" w:rsidRDefault="00551E68" w:rsidP="005869B3">
      <w:pPr>
        <w:pStyle w:val="Voetnoottekst"/>
        <w:jc w:val="both"/>
        <w:rPr>
          <w:b/>
          <w:u w:val="single"/>
          <w:lang w:val="en-US"/>
        </w:rPr>
      </w:pPr>
      <w:r>
        <w:rPr>
          <w:rStyle w:val="Voetnootmarkering"/>
        </w:rPr>
        <w:footnoteRef/>
      </w:r>
      <w:r w:rsidRPr="000B3C76">
        <w:rPr>
          <w:lang w:val="en-US"/>
        </w:rPr>
        <w:t xml:space="preserve"> </w:t>
      </w:r>
      <w:r w:rsidRPr="009E4843">
        <w:rPr>
          <w:lang w:val="en-GB"/>
        </w:rPr>
        <w:t xml:space="preserve">Ellis E., </w:t>
      </w:r>
      <w:r w:rsidRPr="009E4843">
        <w:rPr>
          <w:i/>
          <w:lang w:val="en-GB"/>
        </w:rPr>
        <w:t>EU Anti-Discrimination Law</w:t>
      </w:r>
      <w:r w:rsidRPr="009E4843">
        <w:rPr>
          <w:lang w:val="en-GB"/>
        </w:rPr>
        <w:t>, Oxford, Oxfor</w:t>
      </w:r>
      <w:r>
        <w:rPr>
          <w:lang w:val="en-GB"/>
        </w:rPr>
        <w:t xml:space="preserve">d University Press, 2005, 297; </w:t>
      </w:r>
      <w:r w:rsidRPr="000B3C76">
        <w:rPr>
          <w:lang w:val="en-US"/>
        </w:rPr>
        <w:t xml:space="preserve">Peters A., </w:t>
      </w:r>
      <w:r w:rsidRPr="000B3C76">
        <w:rPr>
          <w:i/>
          <w:lang w:val="en-US"/>
        </w:rPr>
        <w:t>Women, Quotas and Constitutions</w:t>
      </w:r>
      <w:r w:rsidRPr="000B3C76">
        <w:rPr>
          <w:lang w:val="en-US"/>
        </w:rPr>
        <w:t xml:space="preserve">, The Hague, Kluwer </w:t>
      </w:r>
      <w:r>
        <w:rPr>
          <w:lang w:val="en-US"/>
        </w:rPr>
        <w:t xml:space="preserve">Law International, 1999, 311; </w:t>
      </w:r>
      <w:proofErr w:type="spellStart"/>
      <w:r w:rsidRPr="007D724E">
        <w:rPr>
          <w:lang w:val="en-US"/>
        </w:rPr>
        <w:t>Schopp</w:t>
      </w:r>
      <w:proofErr w:type="spellEnd"/>
      <w:r w:rsidRPr="007D724E">
        <w:rPr>
          <w:lang w:val="en-US"/>
        </w:rPr>
        <w:t xml:space="preserve">-Schilling H., “Reflections on a General Recommendation on Article 4(1) of the Convention on the Elimination of All Forms of Discrimination </w:t>
      </w:r>
      <w:r>
        <w:rPr>
          <w:lang w:val="en-US"/>
        </w:rPr>
        <w:t xml:space="preserve">Against Women” in </w:t>
      </w:r>
      <w:proofErr w:type="spellStart"/>
      <w:r>
        <w:rPr>
          <w:lang w:val="en-US"/>
        </w:rPr>
        <w:t>Boerefijn</w:t>
      </w:r>
      <w:proofErr w:type="spellEnd"/>
      <w:r>
        <w:rPr>
          <w:lang w:val="en-US"/>
        </w:rPr>
        <w:t xml:space="preserve"> I. and </w:t>
      </w:r>
      <w:proofErr w:type="spellStart"/>
      <w:r w:rsidRPr="007D724E">
        <w:rPr>
          <w:lang w:val="en-US"/>
        </w:rPr>
        <w:t>Cooman</w:t>
      </w:r>
      <w:r>
        <w:rPr>
          <w:lang w:val="en-US"/>
        </w:rPr>
        <w:t>s</w:t>
      </w:r>
      <w:proofErr w:type="spellEnd"/>
      <w:r>
        <w:rPr>
          <w:lang w:val="en-US"/>
        </w:rPr>
        <w:t xml:space="preserve"> F. (eds.), op. cit., 30;</w:t>
      </w:r>
      <w:r w:rsidRPr="00B33D2F">
        <w:rPr>
          <w:lang w:val="en-US"/>
        </w:rPr>
        <w:t xml:space="preserve"> Young I., </w:t>
      </w:r>
      <w:r w:rsidRPr="00B33D2F">
        <w:rPr>
          <w:i/>
          <w:lang w:val="en-US"/>
        </w:rPr>
        <w:t>Justice and the Politics of Difference</w:t>
      </w:r>
      <w:r w:rsidRPr="00B33D2F">
        <w:rPr>
          <w:lang w:val="en-US"/>
        </w:rPr>
        <w:t>, New Jersey, Princeton University Press, 1990,</w:t>
      </w:r>
      <w:r>
        <w:rPr>
          <w:lang w:val="en-US"/>
        </w:rPr>
        <w:t xml:space="preserve"> 193. </w:t>
      </w:r>
    </w:p>
  </w:footnote>
  <w:footnote w:id="147">
    <w:p w:rsidR="00551E68" w:rsidRPr="006351BF" w:rsidRDefault="00551E68" w:rsidP="005869B3">
      <w:pPr>
        <w:pStyle w:val="Voetnoottekst"/>
        <w:jc w:val="both"/>
        <w:rPr>
          <w:b/>
          <w:u w:val="single"/>
          <w:lang w:val="en-US"/>
        </w:rPr>
      </w:pPr>
      <w:r>
        <w:rPr>
          <w:rStyle w:val="Voetnootmarkering"/>
        </w:rPr>
        <w:footnoteRef/>
      </w:r>
      <w:r>
        <w:rPr>
          <w:lang w:val="en-US"/>
        </w:rPr>
        <w:t xml:space="preserve"> </w:t>
      </w:r>
      <w:proofErr w:type="spellStart"/>
      <w:r>
        <w:rPr>
          <w:lang w:val="en-US"/>
        </w:rPr>
        <w:t>Bacchi</w:t>
      </w:r>
      <w:proofErr w:type="spellEnd"/>
      <w:r>
        <w:rPr>
          <w:lang w:val="en-US"/>
        </w:rPr>
        <w:t xml:space="preserve"> C., “The Practice of Affirmative Action Policies: Explaining Resistances and How These Affect Results” in</w:t>
      </w:r>
      <w:r w:rsidRPr="001A478F">
        <w:rPr>
          <w:sz w:val="24"/>
          <w:szCs w:val="24"/>
          <w:lang w:val="en-US"/>
        </w:rPr>
        <w:t xml:space="preserve"> </w:t>
      </w:r>
      <w:proofErr w:type="spellStart"/>
      <w:r>
        <w:rPr>
          <w:lang w:val="en-US"/>
        </w:rPr>
        <w:t>Boerefijn</w:t>
      </w:r>
      <w:proofErr w:type="spellEnd"/>
      <w:r>
        <w:rPr>
          <w:lang w:val="en-US"/>
        </w:rPr>
        <w:t xml:space="preserve"> I. and </w:t>
      </w:r>
      <w:proofErr w:type="spellStart"/>
      <w:r w:rsidRPr="001A478F">
        <w:rPr>
          <w:lang w:val="en-US"/>
        </w:rPr>
        <w:t>Cooman</w:t>
      </w:r>
      <w:r>
        <w:rPr>
          <w:lang w:val="en-US"/>
        </w:rPr>
        <w:t>s</w:t>
      </w:r>
      <w:proofErr w:type="spellEnd"/>
      <w:r>
        <w:rPr>
          <w:lang w:val="en-US"/>
        </w:rPr>
        <w:t xml:space="preserve"> F. (eds.), op. cit., 86; </w:t>
      </w:r>
      <w:r w:rsidRPr="000641F2">
        <w:rPr>
          <w:lang w:val="en-GB"/>
        </w:rPr>
        <w:t xml:space="preserve">Pager S., “Strictness vs. Discretion: The European Court of Justice’s Variable Vision of Gender Equality”, </w:t>
      </w:r>
      <w:r w:rsidRPr="000641F2">
        <w:rPr>
          <w:i/>
          <w:lang w:val="en-GB"/>
        </w:rPr>
        <w:t>Am. J. Comp. L.</w:t>
      </w:r>
      <w:r>
        <w:rPr>
          <w:lang w:val="en-GB"/>
        </w:rPr>
        <w:t xml:space="preserve"> 2003, 588;</w:t>
      </w:r>
      <w:r>
        <w:rPr>
          <w:i/>
          <w:lang w:val="en-GB"/>
        </w:rPr>
        <w:t xml:space="preserve"> </w:t>
      </w:r>
      <w:r w:rsidRPr="00531927">
        <w:rPr>
          <w:lang w:val="en-GB"/>
        </w:rPr>
        <w:t xml:space="preserve">Peters A., “The Many Meanings of Equality and Positive Action in Favour of Women under European Community Law – A Conceptual Analysis”, </w:t>
      </w:r>
      <w:r w:rsidRPr="00531927">
        <w:rPr>
          <w:i/>
          <w:lang w:val="en-GB"/>
        </w:rPr>
        <w:t xml:space="preserve">ELJ </w:t>
      </w:r>
      <w:r w:rsidRPr="00531927">
        <w:rPr>
          <w:lang w:val="en-GB"/>
        </w:rPr>
        <w:t xml:space="preserve">1996, </w:t>
      </w:r>
      <w:r>
        <w:rPr>
          <w:lang w:val="en-GB"/>
        </w:rPr>
        <w:t xml:space="preserve">193; </w:t>
      </w:r>
      <w:proofErr w:type="spellStart"/>
      <w:r w:rsidRPr="009D57BA">
        <w:rPr>
          <w:lang w:val="en-US"/>
        </w:rPr>
        <w:t>Smis</w:t>
      </w:r>
      <w:proofErr w:type="spellEnd"/>
      <w:r w:rsidRPr="009D57BA">
        <w:rPr>
          <w:lang w:val="en-US"/>
        </w:rPr>
        <w:t xml:space="preserve"> S., </w:t>
      </w:r>
      <w:proofErr w:type="spellStart"/>
      <w:r w:rsidRPr="009D57BA">
        <w:rPr>
          <w:lang w:val="en-US"/>
        </w:rPr>
        <w:t>Janssens</w:t>
      </w:r>
      <w:proofErr w:type="spellEnd"/>
      <w:r w:rsidRPr="009D57BA">
        <w:rPr>
          <w:lang w:val="en-US"/>
        </w:rPr>
        <w:t xml:space="preserve"> C., </w:t>
      </w:r>
      <w:proofErr w:type="spellStart"/>
      <w:r w:rsidRPr="009D57BA">
        <w:rPr>
          <w:lang w:val="en-US"/>
        </w:rPr>
        <w:t>Mirgaux</w:t>
      </w:r>
      <w:proofErr w:type="spellEnd"/>
      <w:r w:rsidRPr="009D57BA">
        <w:rPr>
          <w:lang w:val="en-US"/>
        </w:rPr>
        <w:t xml:space="preserve"> S. en Van </w:t>
      </w:r>
      <w:proofErr w:type="spellStart"/>
      <w:r w:rsidRPr="009D57BA">
        <w:rPr>
          <w:lang w:val="en-US"/>
        </w:rPr>
        <w:t>Lae</w:t>
      </w:r>
      <w:r>
        <w:rPr>
          <w:lang w:val="en-US"/>
        </w:rPr>
        <w:t>them</w:t>
      </w:r>
      <w:proofErr w:type="spellEnd"/>
      <w:r>
        <w:rPr>
          <w:lang w:val="en-US"/>
        </w:rPr>
        <w:t xml:space="preserve"> K., op. cit., 527-528; Squires J., op. cit., 28. </w:t>
      </w:r>
    </w:p>
  </w:footnote>
  <w:footnote w:id="148">
    <w:p w:rsidR="00551E68" w:rsidRPr="006A0436" w:rsidRDefault="00551E68" w:rsidP="005869B3">
      <w:pPr>
        <w:pStyle w:val="Voetnoottekst"/>
        <w:jc w:val="both"/>
      </w:pPr>
      <w:r>
        <w:rPr>
          <w:rStyle w:val="Voetnootmarkering"/>
        </w:rPr>
        <w:footnoteRef/>
      </w:r>
      <w:r w:rsidRPr="006A0436">
        <w:t xml:space="preserve"> van Boven T., “</w:t>
      </w:r>
      <w:proofErr w:type="spellStart"/>
      <w:r w:rsidRPr="006A0436">
        <w:t>Categories</w:t>
      </w:r>
      <w:proofErr w:type="spellEnd"/>
      <w:r w:rsidRPr="006A0436">
        <w:t xml:space="preserve"> of </w:t>
      </w:r>
      <w:proofErr w:type="spellStart"/>
      <w:r w:rsidRPr="006A0436">
        <w:t>Rights</w:t>
      </w:r>
      <w:proofErr w:type="spellEnd"/>
      <w:r w:rsidRPr="006A0436">
        <w:t>” in</w:t>
      </w:r>
      <w:r w:rsidRPr="006A0436">
        <w:rPr>
          <w:sz w:val="24"/>
          <w:szCs w:val="24"/>
        </w:rPr>
        <w:t xml:space="preserve"> </w:t>
      </w:r>
      <w:proofErr w:type="spellStart"/>
      <w:r w:rsidRPr="006A0436">
        <w:t>Moeckli</w:t>
      </w:r>
      <w:proofErr w:type="spellEnd"/>
      <w:r w:rsidRPr="006A0436">
        <w:t xml:space="preserve"> D., </w:t>
      </w:r>
      <w:proofErr w:type="spellStart"/>
      <w:r w:rsidRPr="006A0436">
        <w:t>Shah</w:t>
      </w:r>
      <w:proofErr w:type="spellEnd"/>
      <w:r w:rsidRPr="006A0436">
        <w:t xml:space="preserve"> S. </w:t>
      </w:r>
      <w:proofErr w:type="spellStart"/>
      <w:r w:rsidRPr="006A0436">
        <w:t>and</w:t>
      </w:r>
      <w:proofErr w:type="spellEnd"/>
      <w:r w:rsidRPr="006A0436">
        <w:t xml:space="preserve"> </w:t>
      </w:r>
      <w:proofErr w:type="spellStart"/>
      <w:r w:rsidRPr="006A0436">
        <w:t>Sivakumaran</w:t>
      </w:r>
      <w:proofErr w:type="spellEnd"/>
      <w:r w:rsidRPr="006A0436">
        <w:t xml:space="preserve"> S. (</w:t>
      </w:r>
      <w:proofErr w:type="spellStart"/>
      <w:r w:rsidRPr="006A0436">
        <w:t>eds</w:t>
      </w:r>
      <w:proofErr w:type="spellEnd"/>
      <w:r w:rsidRPr="006A0436">
        <w:t xml:space="preserve">.), op. </w:t>
      </w:r>
      <w:proofErr w:type="spellStart"/>
      <w:r w:rsidRPr="006A0436">
        <w:t>cit</w:t>
      </w:r>
      <w:proofErr w:type="spellEnd"/>
      <w:r w:rsidRPr="006A0436">
        <w:t xml:space="preserve">., </w:t>
      </w:r>
      <w:r>
        <w:t xml:space="preserve">173-175; </w:t>
      </w:r>
      <w:r w:rsidRPr="006A0436">
        <w:t xml:space="preserve">Smis S., Janssens C., </w:t>
      </w:r>
      <w:proofErr w:type="spellStart"/>
      <w:r w:rsidRPr="006A0436">
        <w:t>Mirgaux</w:t>
      </w:r>
      <w:proofErr w:type="spellEnd"/>
      <w:r w:rsidRPr="006A0436">
        <w:t xml:space="preserve"> S. e</w:t>
      </w:r>
      <w:r>
        <w:t xml:space="preserve">n Van </w:t>
      </w:r>
      <w:proofErr w:type="spellStart"/>
      <w:r>
        <w:t>Laethem</w:t>
      </w:r>
      <w:proofErr w:type="spellEnd"/>
      <w:r>
        <w:t xml:space="preserve"> K., op. </w:t>
      </w:r>
      <w:proofErr w:type="spellStart"/>
      <w:r>
        <w:t>cit</w:t>
      </w:r>
      <w:proofErr w:type="spellEnd"/>
      <w:r>
        <w:t xml:space="preserve">., 18. </w:t>
      </w:r>
    </w:p>
  </w:footnote>
  <w:footnote w:id="149">
    <w:p w:rsidR="00551E68" w:rsidRPr="003D41C2" w:rsidRDefault="00551E68" w:rsidP="005869B3">
      <w:pPr>
        <w:pStyle w:val="Voetnoottekst"/>
        <w:jc w:val="both"/>
        <w:rPr>
          <w:b/>
          <w:u w:val="single"/>
          <w:lang w:val="en-US"/>
        </w:rPr>
      </w:pPr>
      <w:r>
        <w:rPr>
          <w:rStyle w:val="Voetnootmarkering"/>
        </w:rPr>
        <w:footnoteRef/>
      </w:r>
      <w:r>
        <w:rPr>
          <w:lang w:val="en-US"/>
        </w:rPr>
        <w:t xml:space="preserve"> Gomez </w:t>
      </w:r>
      <w:r w:rsidRPr="003D41C2">
        <w:rPr>
          <w:lang w:val="en-US"/>
        </w:rPr>
        <w:t xml:space="preserve">I., “The Convention on the Elimination of All Forms of Discrimination Against Women and its Optional Protocol” </w:t>
      </w:r>
      <w:r w:rsidRPr="003D41C2">
        <w:rPr>
          <w:lang w:val="en-GB"/>
        </w:rPr>
        <w:t xml:space="preserve">in Gomez I. and de </w:t>
      </w:r>
      <w:proofErr w:type="spellStart"/>
      <w:r w:rsidRPr="003D41C2">
        <w:rPr>
          <w:lang w:val="en-GB"/>
        </w:rPr>
        <w:t>Feyter</w:t>
      </w:r>
      <w:proofErr w:type="spellEnd"/>
      <w:r w:rsidRPr="003D41C2">
        <w:rPr>
          <w:lang w:val="en-GB"/>
        </w:rPr>
        <w:t xml:space="preserve"> K. (eds.), </w:t>
      </w:r>
      <w:r w:rsidRPr="003D41C2">
        <w:rPr>
          <w:i/>
          <w:lang w:val="en-GB"/>
        </w:rPr>
        <w:t>International Protection of Human Rights: Achievements and Challenges</w:t>
      </w:r>
      <w:r w:rsidRPr="003D41C2">
        <w:rPr>
          <w:lang w:val="en-GB"/>
        </w:rPr>
        <w:t xml:space="preserve">, Bilbao, </w:t>
      </w:r>
      <w:proofErr w:type="spellStart"/>
      <w:r w:rsidRPr="003D41C2">
        <w:rPr>
          <w:lang w:val="en-GB"/>
        </w:rPr>
        <w:t>Publicaciones</w:t>
      </w:r>
      <w:proofErr w:type="spellEnd"/>
      <w:r w:rsidRPr="003D41C2">
        <w:rPr>
          <w:lang w:val="en-GB"/>
        </w:rPr>
        <w:t xml:space="preserve"> d</w:t>
      </w:r>
      <w:r>
        <w:rPr>
          <w:lang w:val="en-GB"/>
        </w:rPr>
        <w:t xml:space="preserve">e la Universidad de </w:t>
      </w:r>
      <w:proofErr w:type="spellStart"/>
      <w:r>
        <w:rPr>
          <w:lang w:val="en-GB"/>
        </w:rPr>
        <w:t>Deusto</w:t>
      </w:r>
      <w:proofErr w:type="spellEnd"/>
      <w:r w:rsidRPr="003D41C2">
        <w:rPr>
          <w:lang w:val="en-GB"/>
        </w:rPr>
        <w:t>,</w:t>
      </w:r>
      <w:r>
        <w:rPr>
          <w:lang w:val="en-GB"/>
        </w:rPr>
        <w:t xml:space="preserve"> 2006,</w:t>
      </w:r>
      <w:r w:rsidRPr="003D41C2">
        <w:rPr>
          <w:lang w:val="en-GB"/>
        </w:rPr>
        <w:t xml:space="preserve"> 218-219; </w:t>
      </w:r>
      <w:proofErr w:type="spellStart"/>
      <w:r w:rsidRPr="003D41C2">
        <w:rPr>
          <w:lang w:val="en-US"/>
        </w:rPr>
        <w:t>Rehman</w:t>
      </w:r>
      <w:proofErr w:type="spellEnd"/>
      <w:r w:rsidRPr="003D41C2">
        <w:rPr>
          <w:lang w:val="en-US"/>
        </w:rPr>
        <w:t xml:space="preserve"> J., </w:t>
      </w:r>
      <w:r w:rsidRPr="003D41C2">
        <w:rPr>
          <w:i/>
          <w:lang w:val="en-US"/>
        </w:rPr>
        <w:t>International Human Rights Law: A Practical Approach</w:t>
      </w:r>
      <w:r w:rsidRPr="003D41C2">
        <w:rPr>
          <w:lang w:val="en-US"/>
        </w:rPr>
        <w:t>, Essex, Pearson Education Limited, 2003, 55.</w:t>
      </w:r>
    </w:p>
  </w:footnote>
  <w:footnote w:id="150">
    <w:p w:rsidR="00551E68" w:rsidRPr="009E7696" w:rsidRDefault="00551E68" w:rsidP="005869B3">
      <w:pPr>
        <w:pStyle w:val="Voetnoottekst"/>
        <w:jc w:val="both"/>
        <w:rPr>
          <w:lang w:val="en-US"/>
        </w:rPr>
      </w:pPr>
      <w:r>
        <w:rPr>
          <w:rStyle w:val="Voetnootmarkering"/>
        </w:rPr>
        <w:footnoteRef/>
      </w:r>
      <w:r w:rsidRPr="009E7696">
        <w:rPr>
          <w:lang w:val="en-US"/>
        </w:rPr>
        <w:t xml:space="preserve"> </w:t>
      </w:r>
      <w:r>
        <w:rPr>
          <w:lang w:val="en-US"/>
        </w:rPr>
        <w:t xml:space="preserve">See for example: articles 5, 6, 10, 9 and 3 ECHR. </w:t>
      </w:r>
    </w:p>
  </w:footnote>
  <w:footnote w:id="151">
    <w:p w:rsidR="00551E68" w:rsidRPr="00FD44CB" w:rsidRDefault="00551E68" w:rsidP="005869B3">
      <w:pPr>
        <w:pStyle w:val="Voetnoottekst"/>
        <w:jc w:val="both"/>
        <w:rPr>
          <w:b/>
          <w:i/>
          <w:lang w:val="en-US"/>
        </w:rPr>
      </w:pPr>
      <w:r>
        <w:rPr>
          <w:rStyle w:val="Voetnootmarkering"/>
        </w:rPr>
        <w:footnoteRef/>
      </w:r>
      <w:r>
        <w:rPr>
          <w:lang w:val="en-US"/>
        </w:rPr>
        <w:t xml:space="preserve"> </w:t>
      </w:r>
      <w:r w:rsidRPr="00FD44CB">
        <w:rPr>
          <w:lang w:val="en-US"/>
        </w:rPr>
        <w:t xml:space="preserve">Alston P. and Goodman R., </w:t>
      </w:r>
      <w:r w:rsidRPr="00FD44CB">
        <w:rPr>
          <w:i/>
          <w:lang w:val="en-US"/>
        </w:rPr>
        <w:t>International Human Rights</w:t>
      </w:r>
      <w:r w:rsidRPr="00FD44CB">
        <w:rPr>
          <w:lang w:val="en-US"/>
        </w:rPr>
        <w:t xml:space="preserve">, Oxford, Oxford </w:t>
      </w:r>
      <w:r>
        <w:rPr>
          <w:lang w:val="en-US"/>
        </w:rPr>
        <w:t xml:space="preserve">University Press, 2013, 285; </w:t>
      </w:r>
      <w:proofErr w:type="spellStart"/>
      <w:r w:rsidRPr="000F763D">
        <w:rPr>
          <w:lang w:val="en-GB"/>
        </w:rPr>
        <w:t>Mikkola</w:t>
      </w:r>
      <w:proofErr w:type="spellEnd"/>
      <w:r w:rsidRPr="000F763D">
        <w:rPr>
          <w:lang w:val="en-GB"/>
        </w:rPr>
        <w:t xml:space="preserve"> M., </w:t>
      </w:r>
      <w:r w:rsidRPr="000F763D">
        <w:rPr>
          <w:i/>
          <w:lang w:val="en-GB"/>
        </w:rPr>
        <w:t xml:space="preserve">Social Human Rights of Europe, </w:t>
      </w:r>
      <w:proofErr w:type="spellStart"/>
      <w:r w:rsidRPr="000F763D">
        <w:rPr>
          <w:lang w:val="en-GB"/>
        </w:rPr>
        <w:t>P</w:t>
      </w:r>
      <w:r>
        <w:rPr>
          <w:lang w:val="en-GB"/>
        </w:rPr>
        <w:t>orvoo</w:t>
      </w:r>
      <w:proofErr w:type="spellEnd"/>
      <w:r>
        <w:rPr>
          <w:lang w:val="en-GB"/>
        </w:rPr>
        <w:t xml:space="preserve">, </w:t>
      </w:r>
      <w:proofErr w:type="spellStart"/>
      <w:r>
        <w:rPr>
          <w:lang w:val="en-GB"/>
        </w:rPr>
        <w:t>Karelactio</w:t>
      </w:r>
      <w:proofErr w:type="spellEnd"/>
      <w:r>
        <w:rPr>
          <w:lang w:val="en-GB"/>
        </w:rPr>
        <w:t xml:space="preserve">, 2010, 3; </w:t>
      </w:r>
      <w:r w:rsidRPr="0003211D">
        <w:rPr>
          <w:lang w:val="en-GB"/>
        </w:rPr>
        <w:t xml:space="preserve">United Nations, </w:t>
      </w:r>
      <w:r w:rsidRPr="0003211D">
        <w:rPr>
          <w:i/>
          <w:lang w:val="en-GB"/>
        </w:rPr>
        <w:t>Manual on Human Rights Reporting</w:t>
      </w:r>
      <w:r w:rsidRPr="0003211D">
        <w:rPr>
          <w:lang w:val="en-GB"/>
        </w:rPr>
        <w:t xml:space="preserve">, Geneva, United Nations Publications, </w:t>
      </w:r>
      <w:r>
        <w:rPr>
          <w:lang w:val="en-GB"/>
        </w:rPr>
        <w:t xml:space="preserve">1997, 5. </w:t>
      </w:r>
    </w:p>
  </w:footnote>
  <w:footnote w:id="152">
    <w:p w:rsidR="00551E68" w:rsidRPr="009F5652" w:rsidRDefault="00551E68" w:rsidP="005869B3">
      <w:pPr>
        <w:pStyle w:val="Voetnoottekst"/>
        <w:jc w:val="both"/>
        <w:rPr>
          <w:lang w:val="en-US"/>
        </w:rPr>
      </w:pPr>
      <w:r>
        <w:rPr>
          <w:rStyle w:val="Voetnootmarkering"/>
        </w:rPr>
        <w:footnoteRef/>
      </w:r>
      <w:r>
        <w:rPr>
          <w:lang w:val="en-US"/>
        </w:rPr>
        <w:t xml:space="preserve"> </w:t>
      </w:r>
      <w:proofErr w:type="spellStart"/>
      <w:r>
        <w:rPr>
          <w:lang w:val="en-US"/>
        </w:rPr>
        <w:t>Kravaritou</w:t>
      </w:r>
      <w:proofErr w:type="spellEnd"/>
      <w:r>
        <w:rPr>
          <w:lang w:val="en-US"/>
        </w:rPr>
        <w:t xml:space="preserve"> Y., “European Union Charters and Social Rights”</w:t>
      </w:r>
      <w:r w:rsidRPr="009F5652">
        <w:rPr>
          <w:lang w:val="en-US"/>
        </w:rPr>
        <w:t xml:space="preserve"> </w:t>
      </w:r>
      <w:r w:rsidRPr="00CE4C28">
        <w:rPr>
          <w:lang w:val="en-US"/>
        </w:rPr>
        <w:t xml:space="preserve">in </w:t>
      </w:r>
      <w:proofErr w:type="spellStart"/>
      <w:r w:rsidRPr="00CE4C28">
        <w:rPr>
          <w:lang w:val="en-US"/>
        </w:rPr>
        <w:t>Aliprantis</w:t>
      </w:r>
      <w:proofErr w:type="spellEnd"/>
      <w:r w:rsidRPr="00CE4C28">
        <w:rPr>
          <w:lang w:val="en-US"/>
        </w:rPr>
        <w:t xml:space="preserve"> N. and </w:t>
      </w:r>
      <w:proofErr w:type="spellStart"/>
      <w:r w:rsidRPr="00CE4C28">
        <w:rPr>
          <w:lang w:val="en-US"/>
        </w:rPr>
        <w:t>Papageorgiou</w:t>
      </w:r>
      <w:proofErr w:type="spellEnd"/>
      <w:r w:rsidRPr="00CE4C28">
        <w:rPr>
          <w:lang w:val="en-US"/>
        </w:rPr>
        <w:t xml:space="preserve"> I. (eds.), </w:t>
      </w:r>
      <w:r w:rsidRPr="00CE4C28">
        <w:rPr>
          <w:i/>
          <w:lang w:val="en-US"/>
        </w:rPr>
        <w:t>Social Rights – Challenges at European, Regional and International Level</w:t>
      </w:r>
      <w:r w:rsidRPr="00CE4C28">
        <w:rPr>
          <w:lang w:val="en-US"/>
        </w:rPr>
        <w:t>, B</w:t>
      </w:r>
      <w:r>
        <w:rPr>
          <w:lang w:val="en-US"/>
        </w:rPr>
        <w:t xml:space="preserve">russels, </w:t>
      </w:r>
      <w:proofErr w:type="spellStart"/>
      <w:r>
        <w:rPr>
          <w:lang w:val="en-US"/>
        </w:rPr>
        <w:t>Bruylant</w:t>
      </w:r>
      <w:proofErr w:type="spellEnd"/>
      <w:r>
        <w:rPr>
          <w:lang w:val="en-US"/>
        </w:rPr>
        <w:t xml:space="preserve">, 2010, 61; </w:t>
      </w:r>
      <w:proofErr w:type="spellStart"/>
      <w:r w:rsidRPr="00E02869">
        <w:rPr>
          <w:lang w:val="en-GB"/>
        </w:rPr>
        <w:t>Mikkola</w:t>
      </w:r>
      <w:proofErr w:type="spellEnd"/>
      <w:r w:rsidRPr="00E02869">
        <w:rPr>
          <w:lang w:val="en-GB"/>
        </w:rPr>
        <w:t xml:space="preserve"> M.,</w:t>
      </w:r>
      <w:r>
        <w:rPr>
          <w:lang w:val="en-GB"/>
        </w:rPr>
        <w:t xml:space="preserve"> op. cit., 3-4. </w:t>
      </w:r>
    </w:p>
  </w:footnote>
  <w:footnote w:id="153">
    <w:p w:rsidR="00551E68" w:rsidRPr="001B52F5" w:rsidRDefault="00551E68" w:rsidP="005869B3">
      <w:pPr>
        <w:pStyle w:val="Voetnoottekst"/>
        <w:jc w:val="both"/>
        <w:rPr>
          <w:lang w:val="en-US"/>
        </w:rPr>
      </w:pPr>
      <w:r>
        <w:rPr>
          <w:rStyle w:val="Voetnootmarkering"/>
        </w:rPr>
        <w:footnoteRef/>
      </w:r>
      <w:r w:rsidRPr="001B52F5">
        <w:rPr>
          <w:lang w:val="en-US"/>
        </w:rPr>
        <w:t xml:space="preserve"> See for example: </w:t>
      </w:r>
      <w:r>
        <w:rPr>
          <w:lang w:val="en-US"/>
        </w:rPr>
        <w:t xml:space="preserve">articles 11 and 13 ICESCR and article 12 RESC. </w:t>
      </w:r>
    </w:p>
  </w:footnote>
  <w:footnote w:id="154">
    <w:p w:rsidR="00551E68" w:rsidRPr="00187587" w:rsidRDefault="00551E68" w:rsidP="005869B3">
      <w:pPr>
        <w:pStyle w:val="Voetnoottekst"/>
        <w:jc w:val="both"/>
        <w:rPr>
          <w:lang w:val="en-US"/>
        </w:rPr>
      </w:pPr>
      <w:r>
        <w:rPr>
          <w:rStyle w:val="Voetnootmarkering"/>
        </w:rPr>
        <w:footnoteRef/>
      </w:r>
      <w:r w:rsidRPr="00187587">
        <w:rPr>
          <w:lang w:val="en-US"/>
        </w:rPr>
        <w:t xml:space="preserve"> </w:t>
      </w:r>
      <w:r>
        <w:rPr>
          <w:lang w:val="en-US"/>
        </w:rPr>
        <w:t xml:space="preserve">See for example: articles 8(1) a) and d) ICESCR and articles 5 and 6(4) RESC. </w:t>
      </w:r>
    </w:p>
  </w:footnote>
  <w:footnote w:id="155">
    <w:p w:rsidR="00551E68" w:rsidRPr="00187587" w:rsidRDefault="00551E68" w:rsidP="005869B3">
      <w:pPr>
        <w:pStyle w:val="Voetnoottekst"/>
        <w:jc w:val="both"/>
        <w:rPr>
          <w:lang w:val="en-US"/>
        </w:rPr>
      </w:pPr>
      <w:r>
        <w:rPr>
          <w:rStyle w:val="Voetnootmarkering"/>
        </w:rPr>
        <w:footnoteRef/>
      </w:r>
      <w:r w:rsidRPr="00187587">
        <w:rPr>
          <w:lang w:val="en-US"/>
        </w:rPr>
        <w:t xml:space="preserve"> </w:t>
      </w:r>
      <w:r>
        <w:rPr>
          <w:lang w:val="en-US"/>
        </w:rPr>
        <w:t xml:space="preserve">See for example: articles 6, 7(a) </w:t>
      </w:r>
      <w:proofErr w:type="spellStart"/>
      <w:r>
        <w:rPr>
          <w:lang w:val="en-US"/>
        </w:rPr>
        <w:t>i</w:t>
      </w:r>
      <w:proofErr w:type="spellEnd"/>
      <w:r>
        <w:rPr>
          <w:lang w:val="en-US"/>
        </w:rPr>
        <w:t xml:space="preserve">) – (b) ICESCR and articles 1, 3 and 4 RESC.  </w:t>
      </w:r>
    </w:p>
  </w:footnote>
  <w:footnote w:id="156">
    <w:p w:rsidR="00551E68" w:rsidRPr="00CB0BA0" w:rsidRDefault="00551E68" w:rsidP="005869B3">
      <w:pPr>
        <w:pStyle w:val="Voetnoottekst"/>
        <w:jc w:val="both"/>
        <w:rPr>
          <w:b/>
          <w:lang w:val="en-US"/>
        </w:rPr>
      </w:pPr>
      <w:r>
        <w:rPr>
          <w:rStyle w:val="Voetnootmarkering"/>
        </w:rPr>
        <w:footnoteRef/>
      </w:r>
      <w:r w:rsidRPr="00F54DD3">
        <w:rPr>
          <w:lang w:val="en-US"/>
        </w:rPr>
        <w:t xml:space="preserve"> </w:t>
      </w:r>
      <w:proofErr w:type="spellStart"/>
      <w:r w:rsidRPr="002349CF">
        <w:rPr>
          <w:lang w:val="en-US"/>
        </w:rPr>
        <w:t>Kalin</w:t>
      </w:r>
      <w:proofErr w:type="spellEnd"/>
      <w:r w:rsidRPr="002349CF">
        <w:rPr>
          <w:lang w:val="en-US"/>
        </w:rPr>
        <w:t xml:space="preserve"> W. and </w:t>
      </w:r>
      <w:proofErr w:type="spellStart"/>
      <w:r w:rsidRPr="002349CF">
        <w:rPr>
          <w:lang w:val="en-US"/>
        </w:rPr>
        <w:t>Kunzli</w:t>
      </w:r>
      <w:proofErr w:type="spellEnd"/>
      <w:r w:rsidRPr="002349CF">
        <w:rPr>
          <w:lang w:val="en-US"/>
        </w:rPr>
        <w:t xml:space="preserve"> J., </w:t>
      </w:r>
      <w:r w:rsidRPr="002349CF">
        <w:rPr>
          <w:i/>
          <w:lang w:val="en-US"/>
        </w:rPr>
        <w:t>The Law of International Human Rights Protection</w:t>
      </w:r>
      <w:r w:rsidRPr="002349CF">
        <w:rPr>
          <w:lang w:val="en-US"/>
        </w:rPr>
        <w:t>, Oxford, Oxford University Press, 2009, 12</w:t>
      </w:r>
      <w:r>
        <w:rPr>
          <w:lang w:val="en-US"/>
        </w:rPr>
        <w:t>;</w:t>
      </w:r>
      <w:r w:rsidRPr="00CB0BA0">
        <w:rPr>
          <w:lang w:val="en-US"/>
        </w:rPr>
        <w:t xml:space="preserve"> Nowak M., </w:t>
      </w:r>
      <w:r w:rsidRPr="00CB0BA0">
        <w:rPr>
          <w:i/>
          <w:lang w:val="en-US"/>
        </w:rPr>
        <w:t>Introduction to the International Human Rights Regime</w:t>
      </w:r>
      <w:r w:rsidRPr="00CB0BA0">
        <w:rPr>
          <w:lang w:val="en-US"/>
        </w:rPr>
        <w:t xml:space="preserve">, Leiden, </w:t>
      </w:r>
      <w:proofErr w:type="spellStart"/>
      <w:r w:rsidRPr="00CB0BA0">
        <w:rPr>
          <w:lang w:val="en-US"/>
        </w:rPr>
        <w:t>Martinus</w:t>
      </w:r>
      <w:proofErr w:type="spellEnd"/>
      <w:r w:rsidRPr="00CB0BA0">
        <w:rPr>
          <w:lang w:val="en-US"/>
        </w:rPr>
        <w:t xml:space="preserve"> </w:t>
      </w:r>
      <w:proofErr w:type="spellStart"/>
      <w:r w:rsidRPr="00CB0BA0">
        <w:rPr>
          <w:lang w:val="en-US"/>
        </w:rPr>
        <w:t>N</w:t>
      </w:r>
      <w:r>
        <w:rPr>
          <w:lang w:val="en-US"/>
        </w:rPr>
        <w:t>ijhoff</w:t>
      </w:r>
      <w:proofErr w:type="spellEnd"/>
      <w:r>
        <w:rPr>
          <w:lang w:val="en-US"/>
        </w:rPr>
        <w:t xml:space="preserve"> Publishers, 2003, 19. </w:t>
      </w:r>
    </w:p>
  </w:footnote>
  <w:footnote w:id="157">
    <w:p w:rsidR="00551E68" w:rsidRPr="00EC4D15" w:rsidRDefault="00551E68" w:rsidP="005869B3">
      <w:pPr>
        <w:pStyle w:val="Voetnoottekst"/>
        <w:jc w:val="both"/>
        <w:rPr>
          <w:lang w:val="en-US"/>
        </w:rPr>
      </w:pPr>
      <w:r>
        <w:rPr>
          <w:rStyle w:val="Voetnootmarkering"/>
        </w:rPr>
        <w:footnoteRef/>
      </w:r>
      <w:r>
        <w:rPr>
          <w:lang w:val="en-US"/>
        </w:rPr>
        <w:t xml:space="preserve"> </w:t>
      </w:r>
      <w:proofErr w:type="spellStart"/>
      <w:r w:rsidRPr="007E5FF5">
        <w:rPr>
          <w:lang w:val="en-US"/>
        </w:rPr>
        <w:t>Buergenthal</w:t>
      </w:r>
      <w:proofErr w:type="spellEnd"/>
      <w:r w:rsidRPr="007E5FF5">
        <w:rPr>
          <w:lang w:val="en-US"/>
        </w:rPr>
        <w:t xml:space="preserve"> T., Shelton D. and Stewart D., </w:t>
      </w:r>
      <w:r w:rsidRPr="007E5FF5">
        <w:rPr>
          <w:i/>
          <w:lang w:val="en-US"/>
        </w:rPr>
        <w:t>International Human Rights in a nutshell</w:t>
      </w:r>
      <w:r w:rsidRPr="007E5FF5">
        <w:rPr>
          <w:lang w:val="en-US"/>
        </w:rPr>
        <w:t>, St. Paul</w:t>
      </w:r>
      <w:r>
        <w:rPr>
          <w:lang w:val="en-US"/>
        </w:rPr>
        <w:t xml:space="preserve">, Thomson Reuters, 2009, 10; </w:t>
      </w:r>
      <w:proofErr w:type="spellStart"/>
      <w:r w:rsidRPr="00CB0BA0">
        <w:rPr>
          <w:lang w:val="en-GB"/>
        </w:rPr>
        <w:t>Schiavone</w:t>
      </w:r>
      <w:proofErr w:type="spellEnd"/>
      <w:r w:rsidRPr="00CB0BA0">
        <w:rPr>
          <w:lang w:val="en-GB"/>
        </w:rPr>
        <w:t xml:space="preserve"> G., </w:t>
      </w:r>
      <w:r w:rsidRPr="00CB0BA0">
        <w:rPr>
          <w:i/>
          <w:lang w:val="en-GB"/>
        </w:rPr>
        <w:t>International Organizations: A dictionary and directory</w:t>
      </w:r>
      <w:r w:rsidRPr="00CB0BA0">
        <w:rPr>
          <w:lang w:val="en-GB"/>
        </w:rPr>
        <w:t>, Hampshire, Palgrave Macmillan, 2008,</w:t>
      </w:r>
      <w:r>
        <w:rPr>
          <w:lang w:val="en-GB"/>
        </w:rPr>
        <w:t xml:space="preserve"> 206. </w:t>
      </w:r>
    </w:p>
  </w:footnote>
  <w:footnote w:id="158">
    <w:p w:rsidR="00551E68" w:rsidRPr="00E25C1D" w:rsidRDefault="00551E68" w:rsidP="005869B3">
      <w:pPr>
        <w:pStyle w:val="Voetnoottekst"/>
        <w:jc w:val="both"/>
        <w:rPr>
          <w:b/>
          <w:u w:val="single"/>
          <w:lang w:val="en-US"/>
        </w:rPr>
      </w:pPr>
      <w:r>
        <w:rPr>
          <w:rStyle w:val="Voetnootmarkering"/>
        </w:rPr>
        <w:footnoteRef/>
      </w:r>
      <w:r w:rsidRPr="00D608F7">
        <w:rPr>
          <w:lang w:val="en-US"/>
        </w:rPr>
        <w:t xml:space="preserve"> </w:t>
      </w:r>
      <w:proofErr w:type="spellStart"/>
      <w:r w:rsidRPr="0018555B">
        <w:rPr>
          <w:lang w:val="en-US"/>
        </w:rPr>
        <w:t>Fashoyin</w:t>
      </w:r>
      <w:proofErr w:type="spellEnd"/>
      <w:r w:rsidRPr="0018555B">
        <w:rPr>
          <w:lang w:val="en-US"/>
        </w:rPr>
        <w:t xml:space="preserve"> T., “</w:t>
      </w:r>
      <w:proofErr w:type="spellStart"/>
      <w:r w:rsidRPr="0018555B">
        <w:rPr>
          <w:lang w:val="en-US"/>
        </w:rPr>
        <w:t>Tripartism</w:t>
      </w:r>
      <w:proofErr w:type="spellEnd"/>
      <w:r w:rsidRPr="0018555B">
        <w:rPr>
          <w:lang w:val="en-US"/>
        </w:rPr>
        <w:t xml:space="preserve"> and Other Actors in Social Dialogue”, </w:t>
      </w:r>
      <w:r w:rsidRPr="0018555B">
        <w:rPr>
          <w:i/>
          <w:lang w:val="en-GB"/>
        </w:rPr>
        <w:t>Int. J. Comp. Lab. Law &amp; Ind. Rel.</w:t>
      </w:r>
      <w:r w:rsidRPr="0018555B">
        <w:rPr>
          <w:lang w:val="en-GB"/>
        </w:rPr>
        <w:t xml:space="preserve"> 2005, </w:t>
      </w:r>
      <w:r>
        <w:rPr>
          <w:lang w:val="en-GB"/>
        </w:rPr>
        <w:t xml:space="preserve">38-40; </w:t>
      </w:r>
      <w:r w:rsidRPr="00E25C1D">
        <w:rPr>
          <w:lang w:val="en-US"/>
        </w:rPr>
        <w:t xml:space="preserve">Hughes S. and Haworth N., </w:t>
      </w:r>
      <w:r w:rsidRPr="00E25C1D">
        <w:rPr>
          <w:i/>
          <w:lang w:val="en-US"/>
        </w:rPr>
        <w:t xml:space="preserve">The International </w:t>
      </w:r>
      <w:proofErr w:type="spellStart"/>
      <w:r w:rsidRPr="00E25C1D">
        <w:rPr>
          <w:i/>
          <w:lang w:val="en-US"/>
        </w:rPr>
        <w:t>Labour</w:t>
      </w:r>
      <w:proofErr w:type="spellEnd"/>
      <w:r w:rsidRPr="00E25C1D">
        <w:rPr>
          <w:i/>
          <w:lang w:val="en-US"/>
        </w:rPr>
        <w:t xml:space="preserve"> Organization</w:t>
      </w:r>
      <w:r w:rsidRPr="00E25C1D">
        <w:rPr>
          <w:lang w:val="en-US"/>
        </w:rPr>
        <w:t xml:space="preserve">, </w:t>
      </w:r>
      <w:r>
        <w:rPr>
          <w:lang w:val="en-US"/>
        </w:rPr>
        <w:t xml:space="preserve">London, Routledge, 2011, 5. </w:t>
      </w:r>
    </w:p>
  </w:footnote>
  <w:footnote w:id="159">
    <w:p w:rsidR="00551E68" w:rsidRPr="00A1134D" w:rsidRDefault="00551E68" w:rsidP="00991C38">
      <w:pPr>
        <w:pStyle w:val="Voetnoottekst"/>
        <w:rPr>
          <w:b/>
          <w:u w:val="single"/>
          <w:lang w:val="en-US"/>
        </w:rPr>
      </w:pPr>
      <w:r>
        <w:rPr>
          <w:rStyle w:val="Voetnootmarkering"/>
        </w:rPr>
        <w:footnoteRef/>
      </w:r>
      <w:r>
        <w:rPr>
          <w:lang w:val="en-US"/>
        </w:rPr>
        <w:t xml:space="preserve"> </w:t>
      </w:r>
      <w:r w:rsidRPr="00D7414E">
        <w:rPr>
          <w:lang w:val="en-US"/>
        </w:rPr>
        <w:t xml:space="preserve">Landau E. and </w:t>
      </w:r>
      <w:proofErr w:type="spellStart"/>
      <w:r w:rsidRPr="00D7414E">
        <w:rPr>
          <w:lang w:val="en-US"/>
        </w:rPr>
        <w:t>Beigbeder</w:t>
      </w:r>
      <w:proofErr w:type="spellEnd"/>
      <w:r w:rsidRPr="00D7414E">
        <w:rPr>
          <w:lang w:val="en-US"/>
        </w:rPr>
        <w:t xml:space="preserve"> Y., </w:t>
      </w:r>
      <w:r w:rsidRPr="00D7414E">
        <w:rPr>
          <w:i/>
          <w:lang w:val="en-US"/>
        </w:rPr>
        <w:t>From ILO Standards to EU Law</w:t>
      </w:r>
      <w:r w:rsidRPr="00D7414E">
        <w:rPr>
          <w:lang w:val="en-US"/>
        </w:rPr>
        <w:t xml:space="preserve">, Leyden and Boston, </w:t>
      </w:r>
      <w:proofErr w:type="spellStart"/>
      <w:r w:rsidRPr="00D7414E">
        <w:rPr>
          <w:lang w:val="en-US"/>
        </w:rPr>
        <w:t>Martinus</w:t>
      </w:r>
      <w:proofErr w:type="spellEnd"/>
      <w:r w:rsidRPr="00D7414E">
        <w:rPr>
          <w:lang w:val="en-US"/>
        </w:rPr>
        <w:t xml:space="preserve"> </w:t>
      </w:r>
      <w:proofErr w:type="spellStart"/>
      <w:r w:rsidRPr="00D7414E">
        <w:rPr>
          <w:lang w:val="en-US"/>
        </w:rPr>
        <w:t>Nijhoff</w:t>
      </w:r>
      <w:proofErr w:type="spellEnd"/>
      <w:r w:rsidRPr="00D7414E">
        <w:rPr>
          <w:lang w:val="en-US"/>
        </w:rPr>
        <w:t xml:space="preserve"> Publishers, 2008, 13;</w:t>
      </w:r>
      <w:r>
        <w:rPr>
          <w:lang w:val="en-US"/>
        </w:rPr>
        <w:t xml:space="preserve"> </w:t>
      </w:r>
      <w:proofErr w:type="spellStart"/>
      <w:r w:rsidRPr="00A1134D">
        <w:rPr>
          <w:lang w:val="en-US"/>
        </w:rPr>
        <w:t>Servais</w:t>
      </w:r>
      <w:proofErr w:type="spellEnd"/>
      <w:r w:rsidRPr="00A1134D">
        <w:rPr>
          <w:lang w:val="en-US"/>
        </w:rPr>
        <w:t xml:space="preserve"> J., </w:t>
      </w:r>
      <w:r w:rsidRPr="00A1134D">
        <w:rPr>
          <w:i/>
          <w:lang w:val="en-US"/>
        </w:rPr>
        <w:t xml:space="preserve">International </w:t>
      </w:r>
      <w:proofErr w:type="spellStart"/>
      <w:r w:rsidRPr="00A1134D">
        <w:rPr>
          <w:i/>
          <w:lang w:val="en-US"/>
        </w:rPr>
        <w:t>Labour</w:t>
      </w:r>
      <w:proofErr w:type="spellEnd"/>
      <w:r w:rsidRPr="00A1134D">
        <w:rPr>
          <w:i/>
          <w:lang w:val="en-US"/>
        </w:rPr>
        <w:t xml:space="preserve"> Law</w:t>
      </w:r>
      <w:r w:rsidRPr="00A1134D">
        <w:rPr>
          <w:lang w:val="en-US"/>
        </w:rPr>
        <w:t>, The Hague, Kluwer Law I</w:t>
      </w:r>
      <w:r>
        <w:rPr>
          <w:lang w:val="en-US"/>
        </w:rPr>
        <w:t xml:space="preserve">nternational, 2005, 75-76; Website of the ILO: </w:t>
      </w:r>
      <w:hyperlink r:id="rId4" w:history="1">
        <w:r w:rsidRPr="00D24B22">
          <w:rPr>
            <w:rStyle w:val="Hyperlink"/>
            <w:lang w:val="en-US"/>
          </w:rPr>
          <w:t>http://www.ilo.org/global/standards/introduction-to-international-labour-standards/conventions-and-recommendations/lang--en/index.htm</w:t>
        </w:r>
      </w:hyperlink>
      <w:r>
        <w:rPr>
          <w:lang w:val="en-US"/>
        </w:rPr>
        <w:t xml:space="preserve">. </w:t>
      </w:r>
    </w:p>
  </w:footnote>
  <w:footnote w:id="160">
    <w:p w:rsidR="00551E68" w:rsidRPr="00B5567E" w:rsidRDefault="00551E68" w:rsidP="005869B3">
      <w:pPr>
        <w:pStyle w:val="Voetnoottekst"/>
        <w:jc w:val="both"/>
        <w:rPr>
          <w:lang w:val="en-US"/>
        </w:rPr>
      </w:pPr>
      <w:r>
        <w:rPr>
          <w:rStyle w:val="Voetnootmarkering"/>
        </w:rPr>
        <w:footnoteRef/>
      </w:r>
      <w:r w:rsidRPr="00B5567E">
        <w:rPr>
          <w:lang w:val="en-US"/>
        </w:rPr>
        <w:t xml:space="preserve"> </w:t>
      </w:r>
      <w:r w:rsidRPr="009A4850">
        <w:rPr>
          <w:lang w:val="en-US"/>
        </w:rPr>
        <w:t>See for example: Convention no. 95 on the Protection of Wages, 1949; Convention no. 131 on Minimum Wage Fixing, 1970.</w:t>
      </w:r>
    </w:p>
  </w:footnote>
  <w:footnote w:id="161">
    <w:p w:rsidR="00551E68" w:rsidRPr="00B5567E" w:rsidRDefault="00551E68" w:rsidP="005869B3">
      <w:pPr>
        <w:pStyle w:val="Voetnoottekst"/>
        <w:jc w:val="both"/>
        <w:rPr>
          <w:lang w:val="en-US"/>
        </w:rPr>
      </w:pPr>
      <w:r>
        <w:rPr>
          <w:rStyle w:val="Voetnootmarkering"/>
        </w:rPr>
        <w:footnoteRef/>
      </w:r>
      <w:r w:rsidRPr="00B5567E">
        <w:rPr>
          <w:lang w:val="en-US"/>
        </w:rPr>
        <w:t xml:space="preserve"> </w:t>
      </w:r>
      <w:r w:rsidRPr="0034560B">
        <w:rPr>
          <w:lang w:val="en-US"/>
        </w:rPr>
        <w:t>See for example: Convention no. 132 on Hol</w:t>
      </w:r>
      <w:r>
        <w:rPr>
          <w:lang w:val="en-US"/>
        </w:rPr>
        <w:t>idays with Pay (Revised), 1970.</w:t>
      </w:r>
    </w:p>
  </w:footnote>
  <w:footnote w:id="162">
    <w:p w:rsidR="00551E68" w:rsidRPr="00B5567E" w:rsidRDefault="00551E68" w:rsidP="005869B3">
      <w:pPr>
        <w:pStyle w:val="Voetnoottekst"/>
        <w:jc w:val="both"/>
        <w:rPr>
          <w:lang w:val="en-US"/>
        </w:rPr>
      </w:pPr>
      <w:r>
        <w:rPr>
          <w:rStyle w:val="Voetnootmarkering"/>
        </w:rPr>
        <w:footnoteRef/>
      </w:r>
      <w:r>
        <w:rPr>
          <w:lang w:val="en-US"/>
        </w:rPr>
        <w:t xml:space="preserve"> </w:t>
      </w:r>
      <w:r w:rsidRPr="00E92DF9">
        <w:rPr>
          <w:lang w:val="en-US"/>
        </w:rPr>
        <w:t>See for example: Convention no. 158 on the Termination of Employment, 1982.</w:t>
      </w:r>
    </w:p>
  </w:footnote>
  <w:footnote w:id="163">
    <w:p w:rsidR="00551E68" w:rsidRPr="00B5567E" w:rsidRDefault="00551E68" w:rsidP="005869B3">
      <w:pPr>
        <w:pStyle w:val="Voetnoottekst"/>
        <w:jc w:val="both"/>
        <w:rPr>
          <w:lang w:val="en-US"/>
        </w:rPr>
      </w:pPr>
      <w:r>
        <w:rPr>
          <w:rStyle w:val="Voetnootmarkering"/>
        </w:rPr>
        <w:footnoteRef/>
      </w:r>
      <w:r w:rsidRPr="00B5567E">
        <w:rPr>
          <w:lang w:val="en-US"/>
        </w:rPr>
        <w:t xml:space="preserve"> </w:t>
      </w:r>
      <w:r w:rsidRPr="00DA551D">
        <w:rPr>
          <w:lang w:val="en-US"/>
        </w:rPr>
        <w:t>See for example: Convention no.155 on Occupational Safety and Health, 1981;</w:t>
      </w:r>
      <w:r>
        <w:rPr>
          <w:lang w:val="en-US"/>
        </w:rPr>
        <w:t xml:space="preserve"> Convention no. 120 on Hygiene, 1964; Convention no. 167 on </w:t>
      </w:r>
      <w:r w:rsidRPr="00DA551D">
        <w:rPr>
          <w:lang w:val="en-US"/>
        </w:rPr>
        <w:t>Safety and He</w:t>
      </w:r>
      <w:r>
        <w:rPr>
          <w:lang w:val="en-US"/>
        </w:rPr>
        <w:t xml:space="preserve">alth in Construction, 1988.  </w:t>
      </w:r>
    </w:p>
  </w:footnote>
  <w:footnote w:id="164">
    <w:p w:rsidR="00551E68" w:rsidRPr="00B5567E" w:rsidRDefault="00551E68" w:rsidP="005869B3">
      <w:pPr>
        <w:pStyle w:val="Voetnoottekst"/>
        <w:jc w:val="both"/>
        <w:rPr>
          <w:lang w:val="en-US"/>
        </w:rPr>
      </w:pPr>
      <w:r>
        <w:rPr>
          <w:rStyle w:val="Voetnootmarkering"/>
        </w:rPr>
        <w:footnoteRef/>
      </w:r>
      <w:r w:rsidRPr="00B5567E">
        <w:rPr>
          <w:lang w:val="en-US"/>
        </w:rPr>
        <w:t xml:space="preserve"> </w:t>
      </w:r>
      <w:r w:rsidRPr="008D566B">
        <w:rPr>
          <w:lang w:val="en-US"/>
        </w:rPr>
        <w:t>See for example: Convention no. 1 on the Hours of Work (Industry), 1919; Convention no. 14 on Weekly Rest (Industry), 1921.</w:t>
      </w:r>
    </w:p>
  </w:footnote>
  <w:footnote w:id="165">
    <w:p w:rsidR="00551E68" w:rsidRPr="00B5567E" w:rsidRDefault="00551E68" w:rsidP="005869B3">
      <w:pPr>
        <w:pStyle w:val="Voetnoottekst"/>
        <w:jc w:val="both"/>
        <w:rPr>
          <w:lang w:val="en-US"/>
        </w:rPr>
      </w:pPr>
      <w:r>
        <w:rPr>
          <w:rStyle w:val="Voetnootmarkering"/>
        </w:rPr>
        <w:footnoteRef/>
      </w:r>
      <w:r w:rsidRPr="00B5567E">
        <w:rPr>
          <w:lang w:val="en-US"/>
        </w:rPr>
        <w:t xml:space="preserve"> See for example: Convention no. 102 on Social Security (Minimum Standards), 1952; Convention no. 118 on Equal Treatment in Social Security, 1962. </w:t>
      </w:r>
    </w:p>
  </w:footnote>
  <w:footnote w:id="166">
    <w:p w:rsidR="00551E68" w:rsidRPr="00F20BE0" w:rsidRDefault="00551E68" w:rsidP="005869B3">
      <w:pPr>
        <w:pStyle w:val="Voetnoottekst"/>
        <w:jc w:val="both"/>
        <w:rPr>
          <w:b/>
          <w:lang w:val="en-US"/>
        </w:rPr>
      </w:pPr>
      <w:r>
        <w:rPr>
          <w:rStyle w:val="Voetnootmarkering"/>
        </w:rPr>
        <w:footnoteRef/>
      </w:r>
      <w:r>
        <w:rPr>
          <w:lang w:val="en-US"/>
        </w:rPr>
        <w:t xml:space="preserve"> </w:t>
      </w:r>
      <w:r w:rsidRPr="00F20BE0">
        <w:rPr>
          <w:lang w:val="en-US"/>
        </w:rPr>
        <w:t xml:space="preserve">National Research Council, </w:t>
      </w:r>
      <w:r w:rsidRPr="00F20BE0">
        <w:rPr>
          <w:i/>
          <w:lang w:val="en-US"/>
        </w:rPr>
        <w:t xml:space="preserve">Monitoring International </w:t>
      </w:r>
      <w:proofErr w:type="spellStart"/>
      <w:r w:rsidRPr="00F20BE0">
        <w:rPr>
          <w:i/>
          <w:lang w:val="en-US"/>
        </w:rPr>
        <w:t>Labour</w:t>
      </w:r>
      <w:proofErr w:type="spellEnd"/>
      <w:r w:rsidRPr="00F20BE0">
        <w:rPr>
          <w:i/>
          <w:lang w:val="en-US"/>
        </w:rPr>
        <w:t xml:space="preserve"> Standards: Techniques and Sources of Information</w:t>
      </w:r>
      <w:r w:rsidRPr="00F20BE0">
        <w:rPr>
          <w:lang w:val="en-US"/>
        </w:rPr>
        <w:t>, Washington DC, National Academic Press, 2004,</w:t>
      </w:r>
      <w:r>
        <w:rPr>
          <w:lang w:val="en-US"/>
        </w:rPr>
        <w:t xml:space="preserve"> 38-39; </w:t>
      </w:r>
      <w:proofErr w:type="spellStart"/>
      <w:r w:rsidRPr="00A1134D">
        <w:rPr>
          <w:lang w:val="en-US"/>
        </w:rPr>
        <w:t>Servais</w:t>
      </w:r>
      <w:proofErr w:type="spellEnd"/>
      <w:r w:rsidRPr="00A1134D">
        <w:rPr>
          <w:lang w:val="en-US"/>
        </w:rPr>
        <w:t xml:space="preserve"> J., </w:t>
      </w:r>
      <w:r w:rsidRPr="00A1134D">
        <w:rPr>
          <w:i/>
          <w:lang w:val="en-US"/>
        </w:rPr>
        <w:t xml:space="preserve">International </w:t>
      </w:r>
      <w:proofErr w:type="spellStart"/>
      <w:r w:rsidRPr="00A1134D">
        <w:rPr>
          <w:i/>
          <w:lang w:val="en-US"/>
        </w:rPr>
        <w:t>Labour</w:t>
      </w:r>
      <w:proofErr w:type="spellEnd"/>
      <w:r w:rsidRPr="00A1134D">
        <w:rPr>
          <w:i/>
          <w:lang w:val="en-US"/>
        </w:rPr>
        <w:t xml:space="preserve"> Law</w:t>
      </w:r>
      <w:r w:rsidRPr="00A1134D">
        <w:rPr>
          <w:lang w:val="en-US"/>
        </w:rPr>
        <w:t>, The Hague, Kluwer Law I</w:t>
      </w:r>
      <w:r>
        <w:rPr>
          <w:lang w:val="en-US"/>
        </w:rPr>
        <w:t xml:space="preserve">nternational, 2005, 85. </w:t>
      </w:r>
    </w:p>
  </w:footnote>
  <w:footnote w:id="167">
    <w:p w:rsidR="00551E68" w:rsidRPr="00A03EDE" w:rsidRDefault="00551E68" w:rsidP="005869B3">
      <w:pPr>
        <w:pStyle w:val="Voetnoottekst"/>
        <w:jc w:val="both"/>
        <w:rPr>
          <w:lang w:val="en-US"/>
        </w:rPr>
      </w:pPr>
      <w:r>
        <w:rPr>
          <w:rStyle w:val="Voetnootmarkering"/>
        </w:rPr>
        <w:footnoteRef/>
      </w:r>
      <w:r>
        <w:rPr>
          <w:lang w:val="en-US"/>
        </w:rPr>
        <w:t xml:space="preserve"> Alston P. and Goodman R., op. cit.</w:t>
      </w:r>
      <w:r w:rsidRPr="00A03EDE">
        <w:rPr>
          <w:lang w:val="en-US"/>
        </w:rPr>
        <w:t>,</w:t>
      </w:r>
      <w:r>
        <w:rPr>
          <w:lang w:val="en-US"/>
        </w:rPr>
        <w:t xml:space="preserve"> 845; </w:t>
      </w:r>
      <w:r w:rsidRPr="00B137E1">
        <w:rPr>
          <w:lang w:val="en-US"/>
        </w:rPr>
        <w:t>National Research Council,</w:t>
      </w:r>
      <w:r>
        <w:rPr>
          <w:lang w:val="en-US"/>
        </w:rPr>
        <w:t xml:space="preserve"> op. cit., 40-41. </w:t>
      </w:r>
    </w:p>
  </w:footnote>
  <w:footnote w:id="168">
    <w:p w:rsidR="00551E68" w:rsidRPr="00DF4826" w:rsidRDefault="00551E68" w:rsidP="005869B3">
      <w:pPr>
        <w:pStyle w:val="Voetnoottekst"/>
        <w:jc w:val="both"/>
        <w:rPr>
          <w:lang w:val="en-US"/>
        </w:rPr>
      </w:pPr>
      <w:r>
        <w:rPr>
          <w:rStyle w:val="Voetnootmarkering"/>
        </w:rPr>
        <w:footnoteRef/>
      </w:r>
      <w:r w:rsidRPr="007E16C0">
        <w:rPr>
          <w:lang w:val="en-US"/>
        </w:rPr>
        <w:t xml:space="preserve"> </w:t>
      </w:r>
      <w:r>
        <w:rPr>
          <w:lang w:val="en-US"/>
        </w:rPr>
        <w:t xml:space="preserve">Adams R., “Labor Rights” in </w:t>
      </w:r>
      <w:r w:rsidRPr="000D14FC">
        <w:rPr>
          <w:lang w:val="en-GB"/>
        </w:rPr>
        <w:t xml:space="preserve">Forsythe D. (ed.), </w:t>
      </w:r>
      <w:proofErr w:type="spellStart"/>
      <w:r w:rsidRPr="000D14FC">
        <w:rPr>
          <w:i/>
          <w:lang w:val="en-GB"/>
        </w:rPr>
        <w:t>Encyclopedia</w:t>
      </w:r>
      <w:proofErr w:type="spellEnd"/>
      <w:r w:rsidRPr="000D14FC">
        <w:rPr>
          <w:i/>
          <w:lang w:val="en-GB"/>
        </w:rPr>
        <w:t xml:space="preserve"> of Human Rights</w:t>
      </w:r>
      <w:r w:rsidRPr="000D14FC">
        <w:rPr>
          <w:lang w:val="en-GB"/>
        </w:rPr>
        <w:t>, III, Oxford, Oxford</w:t>
      </w:r>
      <w:r>
        <w:rPr>
          <w:lang w:val="en-GB"/>
        </w:rPr>
        <w:t xml:space="preserve"> University Press, 2009, 388; </w:t>
      </w:r>
      <w:proofErr w:type="spellStart"/>
      <w:r w:rsidRPr="00DF4826">
        <w:rPr>
          <w:lang w:val="en-US"/>
        </w:rPr>
        <w:t>Kombos</w:t>
      </w:r>
      <w:proofErr w:type="spellEnd"/>
      <w:r w:rsidRPr="00DF4826">
        <w:rPr>
          <w:lang w:val="en-US"/>
        </w:rPr>
        <w:t xml:space="preserve"> C. and </w:t>
      </w:r>
      <w:proofErr w:type="spellStart"/>
      <w:r w:rsidRPr="00DF4826">
        <w:rPr>
          <w:lang w:val="en-US"/>
        </w:rPr>
        <w:t>Hadjisolomou</w:t>
      </w:r>
      <w:proofErr w:type="spellEnd"/>
      <w:r w:rsidRPr="00DF4826">
        <w:rPr>
          <w:lang w:val="en-US"/>
        </w:rPr>
        <w:t xml:space="preserve"> M., “The Mechanisms Used by the ILO and the EU in Combating Employment Discrimination in Pay: Converging Divergence?”, </w:t>
      </w:r>
      <w:r w:rsidRPr="00DF4826">
        <w:rPr>
          <w:i/>
          <w:lang w:val="en-US"/>
        </w:rPr>
        <w:t>E.J.C.L.</w:t>
      </w:r>
      <w:r>
        <w:rPr>
          <w:lang w:val="en-US"/>
        </w:rPr>
        <w:t xml:space="preserve"> 2007, 3; </w:t>
      </w:r>
      <w:proofErr w:type="spellStart"/>
      <w:r w:rsidRPr="0039577A">
        <w:rPr>
          <w:lang w:val="en-US"/>
        </w:rPr>
        <w:t>Langille</w:t>
      </w:r>
      <w:proofErr w:type="spellEnd"/>
      <w:r w:rsidRPr="0039577A">
        <w:rPr>
          <w:lang w:val="en-US"/>
        </w:rPr>
        <w:t xml:space="preserve"> B., “Core </w:t>
      </w:r>
      <w:proofErr w:type="spellStart"/>
      <w:r w:rsidRPr="0039577A">
        <w:rPr>
          <w:lang w:val="en-US"/>
        </w:rPr>
        <w:t>Labour</w:t>
      </w:r>
      <w:proofErr w:type="spellEnd"/>
      <w:r w:rsidRPr="0039577A">
        <w:rPr>
          <w:lang w:val="en-US"/>
        </w:rPr>
        <w:t xml:space="preserve"> Rights – The True Story”, </w:t>
      </w:r>
      <w:r w:rsidRPr="0039577A">
        <w:rPr>
          <w:i/>
          <w:lang w:val="en-US"/>
        </w:rPr>
        <w:t>EJIL</w:t>
      </w:r>
      <w:r w:rsidRPr="0039577A">
        <w:rPr>
          <w:lang w:val="en-US"/>
        </w:rPr>
        <w:t xml:space="preserve"> 2005, 4</w:t>
      </w:r>
      <w:r>
        <w:rPr>
          <w:lang w:val="en-US"/>
        </w:rPr>
        <w:t xml:space="preserve">20. </w:t>
      </w:r>
    </w:p>
  </w:footnote>
  <w:footnote w:id="169">
    <w:p w:rsidR="00551E68" w:rsidRPr="00997859" w:rsidRDefault="00551E68" w:rsidP="005869B3">
      <w:pPr>
        <w:pStyle w:val="Voetnoottekst"/>
        <w:jc w:val="both"/>
        <w:rPr>
          <w:b/>
          <w:u w:val="single"/>
          <w:lang w:val="en-GB"/>
        </w:rPr>
      </w:pPr>
      <w:r>
        <w:rPr>
          <w:rStyle w:val="Voetnootmarkering"/>
        </w:rPr>
        <w:footnoteRef/>
      </w:r>
      <w:r>
        <w:rPr>
          <w:lang w:val="en-US"/>
        </w:rPr>
        <w:t xml:space="preserve"> Gomez I., “The Convention on the Elimination of All Forms of Discrimination Against Women and Its Optional Protocol” in</w:t>
      </w:r>
      <w:r w:rsidRPr="00997859">
        <w:rPr>
          <w:lang w:val="en-US"/>
        </w:rPr>
        <w:t xml:space="preserve"> </w:t>
      </w:r>
      <w:r w:rsidRPr="00997859">
        <w:rPr>
          <w:lang w:val="en-GB"/>
        </w:rPr>
        <w:t>Go</w:t>
      </w:r>
      <w:r>
        <w:rPr>
          <w:lang w:val="en-GB"/>
        </w:rPr>
        <w:t xml:space="preserve">mez I. and de </w:t>
      </w:r>
      <w:proofErr w:type="spellStart"/>
      <w:r>
        <w:rPr>
          <w:lang w:val="en-GB"/>
        </w:rPr>
        <w:t>Feyter</w:t>
      </w:r>
      <w:proofErr w:type="spellEnd"/>
      <w:r>
        <w:rPr>
          <w:lang w:val="en-GB"/>
        </w:rPr>
        <w:t xml:space="preserve"> K. (eds.), op. cit.</w:t>
      </w:r>
      <w:r w:rsidRPr="00997859">
        <w:rPr>
          <w:lang w:val="en-GB"/>
        </w:rPr>
        <w:t>,</w:t>
      </w:r>
      <w:r>
        <w:rPr>
          <w:lang w:val="en-GB"/>
        </w:rPr>
        <w:t xml:space="preserve"> 223. </w:t>
      </w:r>
    </w:p>
  </w:footnote>
  <w:footnote w:id="170">
    <w:p w:rsidR="00551E68" w:rsidRPr="005548EE" w:rsidRDefault="00551E68" w:rsidP="005869B3">
      <w:pPr>
        <w:pStyle w:val="Voetnoottekst"/>
        <w:jc w:val="both"/>
        <w:rPr>
          <w:lang w:val="en-US"/>
        </w:rPr>
      </w:pPr>
      <w:r>
        <w:rPr>
          <w:rStyle w:val="Voetnootmarkering"/>
        </w:rPr>
        <w:footnoteRef/>
      </w:r>
      <w:r w:rsidRPr="005548EE">
        <w:rPr>
          <w:lang w:val="en-US"/>
        </w:rPr>
        <w:t xml:space="preserve"> </w:t>
      </w:r>
      <w:r>
        <w:rPr>
          <w:lang w:val="en-US"/>
        </w:rPr>
        <w:t xml:space="preserve">For example: </w:t>
      </w:r>
      <w:r w:rsidRPr="005548EE">
        <w:rPr>
          <w:lang w:val="en-GB"/>
        </w:rPr>
        <w:t>Convention no. 3 on Maternity Protection, 1919</w:t>
      </w:r>
      <w:r>
        <w:rPr>
          <w:lang w:val="en-GB"/>
        </w:rPr>
        <w:t xml:space="preserve">; </w:t>
      </w:r>
      <w:r w:rsidRPr="005548EE">
        <w:rPr>
          <w:lang w:val="en-GB"/>
        </w:rPr>
        <w:t>Convention no. 4 on Night Work (Women), 1919</w:t>
      </w:r>
      <w:r>
        <w:rPr>
          <w:lang w:val="en-GB"/>
        </w:rPr>
        <w:t xml:space="preserve">; </w:t>
      </w:r>
      <w:r w:rsidRPr="005548EE">
        <w:rPr>
          <w:lang w:val="en-US"/>
        </w:rPr>
        <w:t>Convention no. 45 on Underground Work (Women), 1935</w:t>
      </w:r>
      <w:r>
        <w:rPr>
          <w:lang w:val="en-US"/>
        </w:rPr>
        <w:t xml:space="preserve">. </w:t>
      </w:r>
    </w:p>
  </w:footnote>
  <w:footnote w:id="171">
    <w:p w:rsidR="00551E68" w:rsidRPr="00EA21B4" w:rsidRDefault="00551E68" w:rsidP="005869B3">
      <w:pPr>
        <w:pStyle w:val="Voetnoottekst"/>
        <w:jc w:val="both"/>
        <w:rPr>
          <w:i/>
          <w:lang w:val="en-GB"/>
        </w:rPr>
      </w:pPr>
      <w:r>
        <w:rPr>
          <w:rStyle w:val="Voetnootmarkering"/>
        </w:rPr>
        <w:footnoteRef/>
      </w:r>
      <w:r>
        <w:rPr>
          <w:lang w:val="en-US"/>
        </w:rPr>
        <w:t xml:space="preserve"> </w:t>
      </w:r>
      <w:proofErr w:type="spellStart"/>
      <w:r>
        <w:rPr>
          <w:lang w:val="en-US"/>
        </w:rPr>
        <w:t>Brems</w:t>
      </w:r>
      <w:proofErr w:type="spellEnd"/>
      <w:r>
        <w:rPr>
          <w:lang w:val="en-US"/>
        </w:rPr>
        <w:t xml:space="preserve"> E., “Protecting the Human Rights of Women” in</w:t>
      </w:r>
      <w:r w:rsidRPr="00406AC8">
        <w:rPr>
          <w:lang w:val="en-US"/>
        </w:rPr>
        <w:t xml:space="preserve"> </w:t>
      </w:r>
      <w:r w:rsidRPr="00DD5451">
        <w:rPr>
          <w:lang w:val="en-US"/>
        </w:rPr>
        <w:t xml:space="preserve">Lyons G. and </w:t>
      </w:r>
      <w:proofErr w:type="spellStart"/>
      <w:r w:rsidRPr="00DD5451">
        <w:rPr>
          <w:lang w:val="en-US"/>
        </w:rPr>
        <w:t>Mayall</w:t>
      </w:r>
      <w:proofErr w:type="spellEnd"/>
      <w:r w:rsidRPr="00DD5451">
        <w:rPr>
          <w:lang w:val="en-US"/>
        </w:rPr>
        <w:t xml:space="preserve"> J. (eds.), </w:t>
      </w:r>
      <w:r w:rsidRPr="00DD5451">
        <w:rPr>
          <w:i/>
          <w:lang w:val="en-US"/>
        </w:rPr>
        <w:t>International Human Rights in the 21</w:t>
      </w:r>
      <w:r w:rsidRPr="00DD5451">
        <w:rPr>
          <w:i/>
          <w:vertAlign w:val="superscript"/>
          <w:lang w:val="en-US"/>
        </w:rPr>
        <w:t>st</w:t>
      </w:r>
      <w:r w:rsidRPr="00DD5451">
        <w:rPr>
          <w:i/>
          <w:lang w:val="en-US"/>
        </w:rPr>
        <w:t xml:space="preserve"> Century</w:t>
      </w:r>
      <w:r w:rsidRPr="00DD5451">
        <w:rPr>
          <w:lang w:val="en-US"/>
        </w:rPr>
        <w:t xml:space="preserve">, Lanham, </w:t>
      </w:r>
      <w:proofErr w:type="spellStart"/>
      <w:r w:rsidRPr="00DD5451">
        <w:rPr>
          <w:lang w:val="en-US"/>
        </w:rPr>
        <w:t>Rowman</w:t>
      </w:r>
      <w:proofErr w:type="spellEnd"/>
      <w:r w:rsidRPr="00DD5451">
        <w:rPr>
          <w:lang w:val="en-US"/>
        </w:rPr>
        <w:t xml:space="preserve"> &amp; Littlefield Publishers, 2003, </w:t>
      </w:r>
      <w:r>
        <w:rPr>
          <w:lang w:val="en-US"/>
        </w:rPr>
        <w:t xml:space="preserve">108; </w:t>
      </w:r>
      <w:proofErr w:type="spellStart"/>
      <w:r w:rsidRPr="00F52EF1">
        <w:rPr>
          <w:lang w:val="en-GB"/>
        </w:rPr>
        <w:t>Charlesworth</w:t>
      </w:r>
      <w:proofErr w:type="spellEnd"/>
      <w:r w:rsidRPr="00F52EF1">
        <w:rPr>
          <w:lang w:val="en-GB"/>
        </w:rPr>
        <w:t xml:space="preserve"> H., </w:t>
      </w:r>
      <w:proofErr w:type="spellStart"/>
      <w:r w:rsidRPr="00F52EF1">
        <w:rPr>
          <w:lang w:val="en-GB"/>
        </w:rPr>
        <w:t>Chinkin</w:t>
      </w:r>
      <w:proofErr w:type="spellEnd"/>
      <w:r w:rsidRPr="00F52EF1">
        <w:rPr>
          <w:lang w:val="en-GB"/>
        </w:rPr>
        <w:t xml:space="preserve"> C. and Wright S., “Feminist Approaches to International Law”, </w:t>
      </w:r>
      <w:r w:rsidRPr="00F52EF1">
        <w:rPr>
          <w:i/>
          <w:lang w:val="en-GB"/>
        </w:rPr>
        <w:t>Am. J. Int’l L.</w:t>
      </w:r>
      <w:r>
        <w:rPr>
          <w:lang w:val="en-GB"/>
        </w:rPr>
        <w:t xml:space="preserve"> 1991, 631; </w:t>
      </w:r>
      <w:proofErr w:type="spellStart"/>
      <w:r w:rsidRPr="00C33D48">
        <w:rPr>
          <w:lang w:val="en-GB"/>
        </w:rPr>
        <w:t>Henever</w:t>
      </w:r>
      <w:proofErr w:type="spellEnd"/>
      <w:r w:rsidRPr="00C33D48">
        <w:rPr>
          <w:lang w:val="en-GB"/>
        </w:rPr>
        <w:t xml:space="preserve"> N., “An Analysis of Gender Based Treaty Law: Contemporary Developments in Historical Perspective”, </w:t>
      </w:r>
      <w:r w:rsidRPr="00C33D48">
        <w:rPr>
          <w:i/>
          <w:lang w:val="en-GB"/>
        </w:rPr>
        <w:t xml:space="preserve">Hum. </w:t>
      </w:r>
      <w:proofErr w:type="spellStart"/>
      <w:r w:rsidRPr="00C33D48">
        <w:rPr>
          <w:i/>
          <w:lang w:val="en-GB"/>
        </w:rPr>
        <w:t>Rts</w:t>
      </w:r>
      <w:proofErr w:type="spellEnd"/>
      <w:r w:rsidRPr="00C33D48">
        <w:rPr>
          <w:i/>
          <w:lang w:val="en-GB"/>
        </w:rPr>
        <w:t>. Q.</w:t>
      </w:r>
      <w:r w:rsidRPr="00C33D48">
        <w:rPr>
          <w:lang w:val="en-GB"/>
        </w:rPr>
        <w:t xml:space="preserve"> 1986, 7</w:t>
      </w:r>
      <w:r>
        <w:rPr>
          <w:lang w:val="en-GB"/>
        </w:rPr>
        <w:t xml:space="preserve">1-73; </w:t>
      </w:r>
      <w:proofErr w:type="spellStart"/>
      <w:r>
        <w:rPr>
          <w:lang w:val="en-GB"/>
        </w:rPr>
        <w:t>Oosterveld</w:t>
      </w:r>
      <w:proofErr w:type="spellEnd"/>
      <w:r>
        <w:rPr>
          <w:lang w:val="en-GB"/>
        </w:rPr>
        <w:t xml:space="preserve"> V., “Women and Employment” in</w:t>
      </w:r>
      <w:r w:rsidRPr="00210860">
        <w:rPr>
          <w:lang w:val="en-US"/>
        </w:rPr>
        <w:t xml:space="preserve"> </w:t>
      </w:r>
      <w:proofErr w:type="spellStart"/>
      <w:r w:rsidRPr="00210860">
        <w:rPr>
          <w:lang w:val="en-US"/>
        </w:rPr>
        <w:t>Askin</w:t>
      </w:r>
      <w:proofErr w:type="spellEnd"/>
      <w:r w:rsidRPr="00210860">
        <w:rPr>
          <w:lang w:val="en-US"/>
        </w:rPr>
        <w:t xml:space="preserve"> K. and Koenig D. (eds.), </w:t>
      </w:r>
      <w:r w:rsidRPr="00210860">
        <w:rPr>
          <w:i/>
          <w:lang w:val="en-US"/>
        </w:rPr>
        <w:t>Women and International Human Rights Law</w:t>
      </w:r>
      <w:r w:rsidRPr="00210860">
        <w:rPr>
          <w:lang w:val="en-US"/>
        </w:rPr>
        <w:t>, I, New York, Tra</w:t>
      </w:r>
      <w:r>
        <w:rPr>
          <w:lang w:val="en-US"/>
        </w:rPr>
        <w:t xml:space="preserve">nsnational Publishers, 2000, 367; </w:t>
      </w:r>
      <w:r w:rsidRPr="00720879">
        <w:rPr>
          <w:lang w:val="en-US"/>
        </w:rPr>
        <w:t xml:space="preserve">Van </w:t>
      </w:r>
      <w:proofErr w:type="spellStart"/>
      <w:r w:rsidRPr="00720879">
        <w:rPr>
          <w:lang w:val="en-US"/>
        </w:rPr>
        <w:t>Daele</w:t>
      </w:r>
      <w:proofErr w:type="spellEnd"/>
      <w:r w:rsidRPr="00720879">
        <w:rPr>
          <w:lang w:val="en-US"/>
        </w:rPr>
        <w:t xml:space="preserve"> J. and Rodriguez M. (eds.), </w:t>
      </w:r>
      <w:r w:rsidRPr="00720879">
        <w:rPr>
          <w:i/>
          <w:lang w:val="en-US"/>
        </w:rPr>
        <w:t xml:space="preserve">ILO Histories: Essays on the International </w:t>
      </w:r>
      <w:proofErr w:type="spellStart"/>
      <w:r w:rsidRPr="00720879">
        <w:rPr>
          <w:i/>
          <w:lang w:val="en-US"/>
        </w:rPr>
        <w:t>Labour</w:t>
      </w:r>
      <w:proofErr w:type="spellEnd"/>
      <w:r w:rsidRPr="00720879">
        <w:rPr>
          <w:i/>
          <w:lang w:val="en-US"/>
        </w:rPr>
        <w:t xml:space="preserve"> Organization and Its Impact on the World During the Twentieth Century</w:t>
      </w:r>
      <w:r w:rsidRPr="00720879">
        <w:rPr>
          <w:lang w:val="en-US"/>
        </w:rPr>
        <w:t>, Bern, Peter Lang AG, 2010,</w:t>
      </w:r>
      <w:r>
        <w:rPr>
          <w:lang w:val="en-US"/>
        </w:rPr>
        <w:t xml:space="preserve"> 73-74; </w:t>
      </w:r>
      <w:r w:rsidRPr="00EA21B4">
        <w:rPr>
          <w:lang w:val="en-GB"/>
        </w:rPr>
        <w:t xml:space="preserve">Whitworth S., “Gender, International Relations and the Case of the ILO”, </w:t>
      </w:r>
      <w:r w:rsidRPr="00EA21B4">
        <w:rPr>
          <w:i/>
          <w:lang w:val="en-GB"/>
        </w:rPr>
        <w:t>Rev. Int’l Stud.</w:t>
      </w:r>
      <w:r w:rsidRPr="00EA21B4">
        <w:rPr>
          <w:lang w:val="en-GB"/>
        </w:rPr>
        <w:t xml:space="preserve"> 1994, 3</w:t>
      </w:r>
      <w:r>
        <w:rPr>
          <w:lang w:val="en-GB"/>
        </w:rPr>
        <w:t xml:space="preserve">93. </w:t>
      </w:r>
    </w:p>
  </w:footnote>
  <w:footnote w:id="172">
    <w:p w:rsidR="00551E68" w:rsidRPr="00B179F8" w:rsidRDefault="00551E68" w:rsidP="005869B3">
      <w:pPr>
        <w:pStyle w:val="Voetnoottekst"/>
        <w:jc w:val="both"/>
        <w:rPr>
          <w:i/>
          <w:lang w:val="en-GB"/>
        </w:rPr>
      </w:pPr>
      <w:r>
        <w:rPr>
          <w:rStyle w:val="Voetnootmarkering"/>
        </w:rPr>
        <w:footnoteRef/>
      </w:r>
      <w:r w:rsidRPr="00560B34">
        <w:rPr>
          <w:lang w:val="en-US"/>
        </w:rPr>
        <w:t xml:space="preserve"> </w:t>
      </w:r>
      <w:r w:rsidRPr="00B179F8">
        <w:rPr>
          <w:lang w:val="en-GB"/>
        </w:rPr>
        <w:t>Whitworth</w:t>
      </w:r>
      <w:r>
        <w:rPr>
          <w:lang w:val="en-GB"/>
        </w:rPr>
        <w:t xml:space="preserve"> S., op. cit.</w:t>
      </w:r>
      <w:r w:rsidRPr="00B179F8">
        <w:rPr>
          <w:lang w:val="en-GB"/>
        </w:rPr>
        <w:t xml:space="preserve">, </w:t>
      </w:r>
      <w:r>
        <w:rPr>
          <w:lang w:val="en-GB"/>
        </w:rPr>
        <w:t xml:space="preserve">400-401. </w:t>
      </w:r>
    </w:p>
  </w:footnote>
  <w:footnote w:id="173">
    <w:p w:rsidR="00551E68" w:rsidRPr="002813F7" w:rsidRDefault="00551E68" w:rsidP="005869B3">
      <w:pPr>
        <w:pStyle w:val="Voetnoottekst"/>
        <w:jc w:val="both"/>
        <w:rPr>
          <w:lang w:val="en-GB"/>
        </w:rPr>
      </w:pPr>
      <w:r>
        <w:rPr>
          <w:rStyle w:val="Voetnootmarkering"/>
        </w:rPr>
        <w:footnoteRef/>
      </w:r>
      <w:r w:rsidRPr="001B6995">
        <w:rPr>
          <w:lang w:val="en-US"/>
        </w:rPr>
        <w:t xml:space="preserve"> </w:t>
      </w:r>
      <w:r w:rsidRPr="002813F7">
        <w:rPr>
          <w:lang w:val="en-US"/>
        </w:rPr>
        <w:t xml:space="preserve">Article II (a) of the </w:t>
      </w:r>
      <w:r w:rsidRPr="002813F7">
        <w:rPr>
          <w:lang w:val="en-GB"/>
        </w:rPr>
        <w:t>Declaration concerning the aims and purposes of the International Labour Organization (Declaration of Philadelphia), 19</w:t>
      </w:r>
      <w:r>
        <w:rPr>
          <w:lang w:val="en-GB"/>
        </w:rPr>
        <w:t>44.</w:t>
      </w:r>
    </w:p>
  </w:footnote>
  <w:footnote w:id="174">
    <w:p w:rsidR="00551E68" w:rsidRPr="001B2AEF" w:rsidRDefault="00551E68" w:rsidP="005869B3">
      <w:pPr>
        <w:pStyle w:val="Voetnoottekst"/>
        <w:jc w:val="both"/>
        <w:rPr>
          <w:lang w:val="en-GB"/>
        </w:rPr>
      </w:pPr>
      <w:r>
        <w:rPr>
          <w:rStyle w:val="Voetnootmarkering"/>
        </w:rPr>
        <w:footnoteRef/>
      </w:r>
      <w:r w:rsidRPr="0082258D">
        <w:rPr>
          <w:lang w:val="en-US"/>
        </w:rPr>
        <w:t xml:space="preserve"> </w:t>
      </w:r>
      <w:r w:rsidRPr="001B2AEF">
        <w:rPr>
          <w:lang w:val="en-GB"/>
        </w:rPr>
        <w:t>Convention no. 100 on Equal Remuneration, 1951.</w:t>
      </w:r>
    </w:p>
  </w:footnote>
  <w:footnote w:id="175">
    <w:p w:rsidR="00551E68" w:rsidRPr="004D7A0C" w:rsidRDefault="00551E68" w:rsidP="005869B3">
      <w:pPr>
        <w:pStyle w:val="Voetnoottekst"/>
        <w:jc w:val="both"/>
        <w:rPr>
          <w:lang w:val="en-GB"/>
        </w:rPr>
      </w:pPr>
      <w:r>
        <w:rPr>
          <w:rStyle w:val="Voetnootmarkering"/>
        </w:rPr>
        <w:footnoteRef/>
      </w:r>
      <w:r w:rsidRPr="00B104F9">
        <w:rPr>
          <w:lang w:val="en-US"/>
        </w:rPr>
        <w:t xml:space="preserve"> </w:t>
      </w:r>
      <w:r w:rsidRPr="004D7A0C">
        <w:rPr>
          <w:lang w:val="en-GB"/>
        </w:rPr>
        <w:t>Convention no. 111 on Discrimination in Employment and Occupation, 1958.</w:t>
      </w:r>
    </w:p>
  </w:footnote>
  <w:footnote w:id="176">
    <w:p w:rsidR="00551E68" w:rsidRPr="00EE65D8" w:rsidRDefault="00551E68" w:rsidP="005869B3">
      <w:pPr>
        <w:pStyle w:val="Voetnoottekst"/>
        <w:jc w:val="both"/>
        <w:rPr>
          <w:lang w:val="en-US"/>
        </w:rPr>
      </w:pPr>
      <w:r>
        <w:rPr>
          <w:rStyle w:val="Voetnootmarkering"/>
        </w:rPr>
        <w:footnoteRef/>
      </w:r>
      <w:r w:rsidRPr="00EE65D8">
        <w:rPr>
          <w:lang w:val="en-US"/>
        </w:rPr>
        <w:t xml:space="preserve"> </w:t>
      </w:r>
      <w:r w:rsidRPr="00323AAA">
        <w:rPr>
          <w:lang w:val="en-GB"/>
        </w:rPr>
        <w:t>Convention no. 156 on Workers with Family Responsibilities, 1981.</w:t>
      </w:r>
      <w:r w:rsidRPr="00323AAA">
        <w:rPr>
          <w:lang w:val="en-US"/>
        </w:rPr>
        <w:t>Convention no. 158 on the Termination of Employment, 1982.</w:t>
      </w:r>
    </w:p>
  </w:footnote>
  <w:footnote w:id="177">
    <w:p w:rsidR="00551E68" w:rsidRPr="00E25443" w:rsidRDefault="00551E68" w:rsidP="005869B3">
      <w:pPr>
        <w:pStyle w:val="Voetnoottekst"/>
        <w:jc w:val="both"/>
        <w:rPr>
          <w:lang w:val="en-GB"/>
        </w:rPr>
      </w:pPr>
      <w:r>
        <w:rPr>
          <w:rStyle w:val="Voetnootmarkering"/>
        </w:rPr>
        <w:footnoteRef/>
      </w:r>
      <w:r w:rsidRPr="00EE65D8">
        <w:rPr>
          <w:lang w:val="en-US"/>
        </w:rPr>
        <w:t xml:space="preserve"> </w:t>
      </w:r>
      <w:r w:rsidRPr="00E25443">
        <w:rPr>
          <w:lang w:val="en-GB"/>
        </w:rPr>
        <w:t xml:space="preserve">Convention no. 175 on Part-time Work, 1994. </w:t>
      </w:r>
    </w:p>
  </w:footnote>
  <w:footnote w:id="178">
    <w:p w:rsidR="00551E68" w:rsidRPr="00800961" w:rsidRDefault="00551E68" w:rsidP="005869B3">
      <w:pPr>
        <w:pStyle w:val="Voetnoottekst"/>
        <w:jc w:val="both"/>
        <w:rPr>
          <w:lang w:val="en-GB"/>
        </w:rPr>
      </w:pPr>
      <w:r>
        <w:rPr>
          <w:rStyle w:val="Voetnootmarkering"/>
        </w:rPr>
        <w:footnoteRef/>
      </w:r>
      <w:r w:rsidRPr="00EE65D8">
        <w:rPr>
          <w:lang w:val="en-US"/>
        </w:rPr>
        <w:t xml:space="preserve"> </w:t>
      </w:r>
      <w:r w:rsidRPr="00800961">
        <w:rPr>
          <w:lang w:val="en-GB"/>
        </w:rPr>
        <w:t>Convention no. 183 on Maternity Protection, 2000.</w:t>
      </w:r>
    </w:p>
  </w:footnote>
  <w:footnote w:id="179">
    <w:p w:rsidR="00551E68" w:rsidRPr="00287E19" w:rsidRDefault="00551E68" w:rsidP="005869B3">
      <w:pPr>
        <w:pStyle w:val="Voetnoottekst"/>
        <w:jc w:val="both"/>
        <w:rPr>
          <w:lang w:val="en-US"/>
        </w:rPr>
      </w:pPr>
      <w:r>
        <w:rPr>
          <w:rStyle w:val="Voetnootmarkering"/>
        </w:rPr>
        <w:footnoteRef/>
      </w:r>
      <w:r w:rsidRPr="00EF630E">
        <w:rPr>
          <w:lang w:val="en-US"/>
        </w:rPr>
        <w:t xml:space="preserve"> </w:t>
      </w:r>
      <w:r>
        <w:rPr>
          <w:lang w:val="en-US"/>
        </w:rPr>
        <w:t xml:space="preserve">De </w:t>
      </w:r>
      <w:proofErr w:type="spellStart"/>
      <w:r>
        <w:rPr>
          <w:lang w:val="en-US"/>
        </w:rPr>
        <w:t>Feyter</w:t>
      </w:r>
      <w:proofErr w:type="spellEnd"/>
      <w:r>
        <w:rPr>
          <w:lang w:val="en-US"/>
        </w:rPr>
        <w:t xml:space="preserve"> K. and Espinosa U., “Right to Work” in </w:t>
      </w:r>
      <w:r w:rsidRPr="00F62E64">
        <w:rPr>
          <w:lang w:val="en-GB"/>
        </w:rPr>
        <w:t xml:space="preserve">Forsythe D. (ed.), </w:t>
      </w:r>
      <w:proofErr w:type="spellStart"/>
      <w:r w:rsidRPr="00F62E64">
        <w:rPr>
          <w:i/>
          <w:lang w:val="en-GB"/>
        </w:rPr>
        <w:t>Encyclopedia</w:t>
      </w:r>
      <w:proofErr w:type="spellEnd"/>
      <w:r w:rsidRPr="00F62E64">
        <w:rPr>
          <w:i/>
          <w:lang w:val="en-GB"/>
        </w:rPr>
        <w:t xml:space="preserve"> of Human Rights</w:t>
      </w:r>
      <w:r w:rsidRPr="00F62E64">
        <w:rPr>
          <w:lang w:val="en-GB"/>
        </w:rPr>
        <w:t>, V, Oxford, Oxfor</w:t>
      </w:r>
      <w:r>
        <w:rPr>
          <w:lang w:val="en-GB"/>
        </w:rPr>
        <w:t xml:space="preserve">d University Press, 2009, 366; </w:t>
      </w:r>
      <w:proofErr w:type="spellStart"/>
      <w:r w:rsidRPr="00287E19">
        <w:rPr>
          <w:lang w:val="en-US"/>
        </w:rPr>
        <w:t>Kellerson</w:t>
      </w:r>
      <w:proofErr w:type="spellEnd"/>
      <w:r w:rsidRPr="00287E19">
        <w:rPr>
          <w:lang w:val="en-US"/>
        </w:rPr>
        <w:t xml:space="preserve"> H., “The ILO Declaration of 1998 on fundamental principles and rights: A challenge for the future”, </w:t>
      </w:r>
      <w:r w:rsidRPr="00287E19">
        <w:rPr>
          <w:i/>
          <w:lang w:val="en-US"/>
        </w:rPr>
        <w:t>Int’l Lab. Rev.</w:t>
      </w:r>
      <w:r w:rsidRPr="00287E19">
        <w:rPr>
          <w:lang w:val="en-US"/>
        </w:rPr>
        <w:t xml:space="preserve"> 1998, 22</w:t>
      </w:r>
      <w:r>
        <w:rPr>
          <w:lang w:val="en-US"/>
        </w:rPr>
        <w:t xml:space="preserve">4-225. </w:t>
      </w:r>
    </w:p>
  </w:footnote>
  <w:footnote w:id="180">
    <w:p w:rsidR="00551E68" w:rsidRPr="00450499" w:rsidRDefault="00551E68" w:rsidP="005869B3">
      <w:pPr>
        <w:pStyle w:val="Voetnoottekst"/>
        <w:jc w:val="both"/>
        <w:rPr>
          <w:lang w:val="en-US"/>
        </w:rPr>
      </w:pPr>
      <w:r>
        <w:rPr>
          <w:rStyle w:val="Voetnootmarkering"/>
        </w:rPr>
        <w:footnoteRef/>
      </w:r>
      <w:r>
        <w:rPr>
          <w:lang w:val="en-US"/>
        </w:rPr>
        <w:t xml:space="preserve"> </w:t>
      </w:r>
      <w:proofErr w:type="spellStart"/>
      <w:r w:rsidRPr="0050292D">
        <w:rPr>
          <w:lang w:val="en-US"/>
        </w:rPr>
        <w:t>Kellerson</w:t>
      </w:r>
      <w:proofErr w:type="spellEnd"/>
      <w:r w:rsidRPr="0050292D">
        <w:rPr>
          <w:lang w:val="en-US"/>
        </w:rPr>
        <w:t xml:space="preserve"> H.,</w:t>
      </w:r>
      <w:r>
        <w:rPr>
          <w:lang w:val="en-US"/>
        </w:rPr>
        <w:t xml:space="preserve"> op. cit., 225; </w:t>
      </w:r>
      <w:proofErr w:type="spellStart"/>
      <w:r w:rsidRPr="00450499">
        <w:rPr>
          <w:lang w:val="en-US"/>
        </w:rPr>
        <w:t>Swepston</w:t>
      </w:r>
      <w:proofErr w:type="spellEnd"/>
      <w:r w:rsidRPr="00450499">
        <w:rPr>
          <w:lang w:val="en-US"/>
        </w:rPr>
        <w:t xml:space="preserve"> L., “International </w:t>
      </w:r>
      <w:proofErr w:type="spellStart"/>
      <w:r w:rsidRPr="00450499">
        <w:rPr>
          <w:lang w:val="en-US"/>
        </w:rPr>
        <w:t>Labour</w:t>
      </w:r>
      <w:proofErr w:type="spellEnd"/>
      <w:r w:rsidRPr="00450499">
        <w:rPr>
          <w:lang w:val="en-US"/>
        </w:rPr>
        <w:t xml:space="preserve"> Organization” in </w:t>
      </w:r>
      <w:r>
        <w:rPr>
          <w:lang w:val="en-GB"/>
        </w:rPr>
        <w:t>Forsythe D. (ed.), op. cit.</w:t>
      </w:r>
      <w:r w:rsidRPr="00450499">
        <w:rPr>
          <w:lang w:val="en-GB"/>
        </w:rPr>
        <w:t>,</w:t>
      </w:r>
      <w:r>
        <w:rPr>
          <w:lang w:val="en-GB"/>
        </w:rPr>
        <w:t xml:space="preserve"> 148. </w:t>
      </w:r>
    </w:p>
  </w:footnote>
  <w:footnote w:id="181">
    <w:p w:rsidR="00551E68" w:rsidRPr="00AD28D6" w:rsidRDefault="00551E68" w:rsidP="005869B3">
      <w:pPr>
        <w:pStyle w:val="Voetnoottekst"/>
        <w:jc w:val="both"/>
        <w:rPr>
          <w:lang w:val="en-US"/>
        </w:rPr>
      </w:pPr>
      <w:r>
        <w:rPr>
          <w:rStyle w:val="Voetnootmarkering"/>
        </w:rPr>
        <w:footnoteRef/>
      </w:r>
      <w:r w:rsidRPr="00AD28D6">
        <w:rPr>
          <w:lang w:val="en-US"/>
        </w:rPr>
        <w:t xml:space="preserve"> Convention no. 100. </w:t>
      </w:r>
    </w:p>
  </w:footnote>
  <w:footnote w:id="182">
    <w:p w:rsidR="00551E68" w:rsidRPr="00AD28D6" w:rsidRDefault="00551E68" w:rsidP="005869B3">
      <w:pPr>
        <w:pStyle w:val="Voetnoottekst"/>
        <w:jc w:val="both"/>
        <w:rPr>
          <w:lang w:val="en-US"/>
        </w:rPr>
      </w:pPr>
      <w:r>
        <w:rPr>
          <w:rStyle w:val="Voetnootmarkering"/>
        </w:rPr>
        <w:footnoteRef/>
      </w:r>
      <w:r w:rsidRPr="00AD28D6">
        <w:rPr>
          <w:lang w:val="en-US"/>
        </w:rPr>
        <w:t xml:space="preserve"> Convention no. 111. </w:t>
      </w:r>
    </w:p>
  </w:footnote>
  <w:footnote w:id="183">
    <w:p w:rsidR="00551E68" w:rsidRPr="00B86C8A" w:rsidRDefault="00551E68" w:rsidP="005869B3">
      <w:pPr>
        <w:pStyle w:val="Voetnoottekst"/>
        <w:jc w:val="both"/>
        <w:rPr>
          <w:lang w:val="en-US"/>
        </w:rPr>
      </w:pPr>
      <w:r>
        <w:rPr>
          <w:rStyle w:val="Voetnootmarkering"/>
        </w:rPr>
        <w:footnoteRef/>
      </w:r>
      <w:r>
        <w:rPr>
          <w:lang w:val="en-US"/>
        </w:rPr>
        <w:t xml:space="preserve"> </w:t>
      </w:r>
      <w:proofErr w:type="spellStart"/>
      <w:r>
        <w:rPr>
          <w:lang w:val="en-US"/>
        </w:rPr>
        <w:t>Schiavone</w:t>
      </w:r>
      <w:proofErr w:type="spellEnd"/>
      <w:r>
        <w:rPr>
          <w:lang w:val="en-US"/>
        </w:rPr>
        <w:t xml:space="preserve"> G., op. cit., 208; </w:t>
      </w:r>
      <w:r w:rsidRPr="00B86C8A">
        <w:rPr>
          <w:lang w:val="en-US"/>
        </w:rPr>
        <w:t>website of th</w:t>
      </w:r>
      <w:r>
        <w:rPr>
          <w:lang w:val="en-US"/>
        </w:rPr>
        <w:t xml:space="preserve">e ILO: </w:t>
      </w:r>
      <w:hyperlink r:id="rId5" w:history="1">
        <w:r w:rsidRPr="00B86C8A">
          <w:rPr>
            <w:rStyle w:val="Hyperlink"/>
            <w:lang w:val="en-US"/>
          </w:rPr>
          <w:t>http://www.ilo.org/global/standards/introduction-to-international-labour-standards/conventions-and-recommendations/lang--en/index.htm</w:t>
        </w:r>
      </w:hyperlink>
      <w:r>
        <w:rPr>
          <w:lang w:val="en-US"/>
        </w:rPr>
        <w:t xml:space="preserve">. </w:t>
      </w:r>
    </w:p>
  </w:footnote>
  <w:footnote w:id="184">
    <w:p w:rsidR="00551E68" w:rsidRPr="00F468E3" w:rsidRDefault="00551E68" w:rsidP="005869B3">
      <w:pPr>
        <w:pStyle w:val="Voetnoottekst"/>
        <w:jc w:val="both"/>
        <w:rPr>
          <w:i/>
          <w:lang w:val="en-GB"/>
        </w:rPr>
      </w:pPr>
      <w:r>
        <w:rPr>
          <w:rStyle w:val="Voetnootmarkering"/>
        </w:rPr>
        <w:footnoteRef/>
      </w:r>
      <w:r w:rsidRPr="00F468E3">
        <w:rPr>
          <w:lang w:val="en-US"/>
        </w:rPr>
        <w:t xml:space="preserve"> </w:t>
      </w:r>
      <w:proofErr w:type="spellStart"/>
      <w:r w:rsidRPr="007006D8">
        <w:rPr>
          <w:lang w:val="en-GB"/>
        </w:rPr>
        <w:t>Charlesworth</w:t>
      </w:r>
      <w:proofErr w:type="spellEnd"/>
      <w:r w:rsidRPr="007006D8">
        <w:rPr>
          <w:lang w:val="en-GB"/>
        </w:rPr>
        <w:t xml:space="preserve"> H., </w:t>
      </w:r>
      <w:proofErr w:type="spellStart"/>
      <w:r w:rsidRPr="007006D8">
        <w:rPr>
          <w:lang w:val="en-GB"/>
        </w:rPr>
        <w:t>Chinki</w:t>
      </w:r>
      <w:r>
        <w:rPr>
          <w:lang w:val="en-GB"/>
        </w:rPr>
        <w:t>n</w:t>
      </w:r>
      <w:proofErr w:type="spellEnd"/>
      <w:r>
        <w:rPr>
          <w:lang w:val="en-GB"/>
        </w:rPr>
        <w:t xml:space="preserve"> C. and Wright S., op. cit.</w:t>
      </w:r>
      <w:r w:rsidRPr="007006D8">
        <w:rPr>
          <w:lang w:val="en-GB"/>
        </w:rPr>
        <w:t>, 6</w:t>
      </w:r>
      <w:r>
        <w:rPr>
          <w:lang w:val="en-GB"/>
        </w:rPr>
        <w:t xml:space="preserve">31; </w:t>
      </w:r>
      <w:r w:rsidRPr="00F468E3">
        <w:rPr>
          <w:lang w:val="en-GB"/>
        </w:rPr>
        <w:t xml:space="preserve">Stark B., “The Women’s Convention, Reproductive Rights, and the Reproduction of Gender”, </w:t>
      </w:r>
      <w:r w:rsidRPr="00F468E3">
        <w:rPr>
          <w:i/>
          <w:lang w:val="en-GB"/>
        </w:rPr>
        <w:t xml:space="preserve">Duke J. Gender L. &amp; </w:t>
      </w:r>
      <w:proofErr w:type="spellStart"/>
      <w:r w:rsidRPr="00F468E3">
        <w:rPr>
          <w:i/>
          <w:lang w:val="en-GB"/>
        </w:rPr>
        <w:t>Pol’y</w:t>
      </w:r>
      <w:proofErr w:type="spellEnd"/>
      <w:r w:rsidRPr="00F468E3">
        <w:rPr>
          <w:lang w:val="en-GB"/>
        </w:rPr>
        <w:t xml:space="preserve"> 2010-2011, 26</w:t>
      </w:r>
      <w:r>
        <w:rPr>
          <w:lang w:val="en-GB"/>
        </w:rPr>
        <w:t xml:space="preserve">7. </w:t>
      </w:r>
    </w:p>
  </w:footnote>
  <w:footnote w:id="185">
    <w:p w:rsidR="00551E68" w:rsidRPr="00C21A40" w:rsidRDefault="00551E68" w:rsidP="005869B3">
      <w:pPr>
        <w:pStyle w:val="Voetnoottekst"/>
        <w:jc w:val="both"/>
        <w:rPr>
          <w:lang w:val="en-GB"/>
        </w:rPr>
      </w:pPr>
      <w:r>
        <w:rPr>
          <w:rStyle w:val="Voetnootmarkering"/>
        </w:rPr>
        <w:footnoteRef/>
      </w:r>
      <w:r w:rsidRPr="00662763">
        <w:rPr>
          <w:lang w:val="en-US"/>
        </w:rPr>
        <w:t xml:space="preserve"> </w:t>
      </w:r>
      <w:proofErr w:type="spellStart"/>
      <w:r w:rsidRPr="00C21A40">
        <w:rPr>
          <w:lang w:val="en-GB"/>
        </w:rPr>
        <w:t>Evatt</w:t>
      </w:r>
      <w:proofErr w:type="spellEnd"/>
      <w:r w:rsidRPr="00C21A40">
        <w:rPr>
          <w:lang w:val="en-GB"/>
        </w:rPr>
        <w:t xml:space="preserve"> E., “Eliminating Discrimination against Women: The Impact of the UN Convention”, </w:t>
      </w:r>
      <w:proofErr w:type="spellStart"/>
      <w:r w:rsidRPr="00C21A40">
        <w:rPr>
          <w:i/>
          <w:lang w:val="en-GB"/>
        </w:rPr>
        <w:t>Melb</w:t>
      </w:r>
      <w:proofErr w:type="spellEnd"/>
      <w:r w:rsidRPr="00C21A40">
        <w:rPr>
          <w:i/>
          <w:lang w:val="en-GB"/>
        </w:rPr>
        <w:t>. U. L. Rev.</w:t>
      </w:r>
      <w:r w:rsidRPr="00C21A40">
        <w:rPr>
          <w:lang w:val="en-GB"/>
        </w:rPr>
        <w:t xml:space="preserve"> 1991-1992,</w:t>
      </w:r>
      <w:r>
        <w:rPr>
          <w:lang w:val="en-GB"/>
        </w:rPr>
        <w:t xml:space="preserve"> </w:t>
      </w:r>
      <w:r w:rsidRPr="00C21A40">
        <w:rPr>
          <w:lang w:val="en-GB"/>
        </w:rPr>
        <w:t>43</w:t>
      </w:r>
      <w:r>
        <w:rPr>
          <w:lang w:val="en-GB"/>
        </w:rPr>
        <w:t xml:space="preserve">5; </w:t>
      </w:r>
      <w:proofErr w:type="spellStart"/>
      <w:r w:rsidRPr="00662763">
        <w:rPr>
          <w:lang w:val="en-US"/>
        </w:rPr>
        <w:t>Koh</w:t>
      </w:r>
      <w:proofErr w:type="spellEnd"/>
      <w:r w:rsidRPr="00662763">
        <w:rPr>
          <w:lang w:val="en-US"/>
        </w:rPr>
        <w:t xml:space="preserve"> H., “Why America Should Ratify the Women’s Rights Treaty”, </w:t>
      </w:r>
      <w:r w:rsidRPr="00662763">
        <w:rPr>
          <w:i/>
          <w:lang w:val="en-US"/>
        </w:rPr>
        <w:t>Case W. Res. J. Int’l L.</w:t>
      </w:r>
      <w:r w:rsidRPr="00662763">
        <w:rPr>
          <w:lang w:val="en-US"/>
        </w:rPr>
        <w:t xml:space="preserve"> 2002, 26</w:t>
      </w:r>
      <w:r>
        <w:rPr>
          <w:lang w:val="en-US"/>
        </w:rPr>
        <w:t xml:space="preserve">6. </w:t>
      </w:r>
    </w:p>
  </w:footnote>
  <w:footnote w:id="186">
    <w:p w:rsidR="00551E68" w:rsidRPr="00FC7967" w:rsidRDefault="00551E68" w:rsidP="005869B3">
      <w:pPr>
        <w:pStyle w:val="Voetnoottekst"/>
        <w:jc w:val="both"/>
      </w:pPr>
      <w:r>
        <w:rPr>
          <w:rStyle w:val="Voetnootmarkering"/>
        </w:rPr>
        <w:footnoteRef/>
      </w:r>
      <w:r>
        <w:rPr>
          <w:lang w:val="en-GB"/>
        </w:rPr>
        <w:t xml:space="preserve"> </w:t>
      </w:r>
      <w:r w:rsidRPr="00FC7967">
        <w:rPr>
          <w:lang w:val="en-GB"/>
        </w:rPr>
        <w:t>CEDAW General Recommendation no. 25 on temp</w:t>
      </w:r>
      <w:r>
        <w:rPr>
          <w:lang w:val="en-GB"/>
        </w:rPr>
        <w:t xml:space="preserve">orary special measures (2004), para. </w:t>
      </w:r>
      <w:r w:rsidRPr="00FC7967">
        <w:t>5;</w:t>
      </w:r>
      <w:r>
        <w:t xml:space="preserve"> </w:t>
      </w:r>
      <w:proofErr w:type="spellStart"/>
      <w:r w:rsidRPr="002C7D19">
        <w:t>Burri</w:t>
      </w:r>
      <w:proofErr w:type="spellEnd"/>
      <w:r w:rsidRPr="002C7D19">
        <w:t xml:space="preserve"> S., </w:t>
      </w:r>
      <w:r w:rsidRPr="002C7D19">
        <w:rPr>
          <w:i/>
        </w:rPr>
        <w:t>Tijd delen: Deeltijd, gelijkheid en gender in Europees- en nationaalrechtelijk perspectief,</w:t>
      </w:r>
      <w:r w:rsidRPr="002C7D19">
        <w:t xml:space="preserve"> </w:t>
      </w:r>
      <w:r>
        <w:t xml:space="preserve">Antwerpen, Kluwer, 2000, 177-178; </w:t>
      </w:r>
      <w:proofErr w:type="spellStart"/>
      <w:r w:rsidRPr="002C7D19">
        <w:t>Holtmaat</w:t>
      </w:r>
      <w:proofErr w:type="spellEnd"/>
      <w:r w:rsidRPr="002C7D19">
        <w:t xml:space="preserve"> R. </w:t>
      </w:r>
      <w:proofErr w:type="spellStart"/>
      <w:r w:rsidRPr="002C7D19">
        <w:t>and</w:t>
      </w:r>
      <w:proofErr w:type="spellEnd"/>
      <w:r w:rsidRPr="002C7D19">
        <w:t xml:space="preserve"> </w:t>
      </w:r>
      <w:proofErr w:type="spellStart"/>
      <w:r w:rsidRPr="002C7D19">
        <w:t>Tobler</w:t>
      </w:r>
      <w:proofErr w:type="spellEnd"/>
      <w:r w:rsidRPr="002C7D19">
        <w:t xml:space="preserve"> C., “CEDAW </w:t>
      </w:r>
      <w:proofErr w:type="spellStart"/>
      <w:r w:rsidRPr="002C7D19">
        <w:t>and</w:t>
      </w:r>
      <w:proofErr w:type="spellEnd"/>
      <w:r w:rsidRPr="002C7D19">
        <w:t xml:space="preserve"> the European </w:t>
      </w:r>
      <w:proofErr w:type="spellStart"/>
      <w:r w:rsidRPr="002C7D19">
        <w:t>Union’s</w:t>
      </w:r>
      <w:proofErr w:type="spellEnd"/>
      <w:r w:rsidRPr="002C7D19">
        <w:t xml:space="preserve"> policy in the field of </w:t>
      </w:r>
      <w:proofErr w:type="spellStart"/>
      <w:r w:rsidRPr="002C7D19">
        <w:t>combating</w:t>
      </w:r>
      <w:proofErr w:type="spellEnd"/>
      <w:r w:rsidRPr="002C7D19">
        <w:t xml:space="preserve"> gender </w:t>
      </w:r>
      <w:proofErr w:type="spellStart"/>
      <w:r w:rsidRPr="002C7D19">
        <w:t>discrimination</w:t>
      </w:r>
      <w:proofErr w:type="spellEnd"/>
      <w:r w:rsidRPr="002C7D19">
        <w:t xml:space="preserve">”, </w:t>
      </w:r>
      <w:r w:rsidRPr="002C7D19">
        <w:rPr>
          <w:i/>
        </w:rPr>
        <w:t>MJ</w:t>
      </w:r>
      <w:r w:rsidRPr="002C7D19">
        <w:t xml:space="preserve"> 2005, </w:t>
      </w:r>
      <w:r>
        <w:t xml:space="preserve">403. </w:t>
      </w:r>
    </w:p>
  </w:footnote>
  <w:footnote w:id="187">
    <w:p w:rsidR="00551E68" w:rsidRPr="002A025E" w:rsidRDefault="00551E68" w:rsidP="005869B3">
      <w:pPr>
        <w:pStyle w:val="Voetnoottekst"/>
        <w:jc w:val="both"/>
        <w:rPr>
          <w:lang w:val="en-US"/>
        </w:rPr>
      </w:pPr>
      <w:r>
        <w:rPr>
          <w:rStyle w:val="Voetnootmarkering"/>
        </w:rPr>
        <w:footnoteRef/>
      </w:r>
      <w:r w:rsidRPr="002A025E">
        <w:rPr>
          <w:lang w:val="en-US"/>
        </w:rPr>
        <w:t xml:space="preserve"> </w:t>
      </w:r>
      <w:r w:rsidRPr="002605A3">
        <w:rPr>
          <w:lang w:val="en-US"/>
        </w:rPr>
        <w:t xml:space="preserve">The Washington Times, “Feminists accused of pushing agenda at U.N.”, Friday 11 August 2006, available at: </w:t>
      </w:r>
      <w:hyperlink r:id="rId6" w:history="1">
        <w:r w:rsidRPr="002605A3">
          <w:rPr>
            <w:rStyle w:val="Hyperlink"/>
            <w:lang w:val="en-US"/>
          </w:rPr>
          <w:t>http://www.washingtontimes.com/news/2006/aug/11/20060811-123451-2280r/</w:t>
        </w:r>
      </w:hyperlink>
      <w:r>
        <w:rPr>
          <w:lang w:val="en-US"/>
        </w:rPr>
        <w:t xml:space="preserve">. </w:t>
      </w:r>
    </w:p>
  </w:footnote>
  <w:footnote w:id="188">
    <w:p w:rsidR="00551E68" w:rsidRPr="00CC1FB0" w:rsidRDefault="00551E68" w:rsidP="005869B3">
      <w:pPr>
        <w:pStyle w:val="Voetnoottekst"/>
        <w:jc w:val="both"/>
        <w:rPr>
          <w:i/>
          <w:lang w:val="en-US"/>
        </w:rPr>
      </w:pPr>
      <w:r>
        <w:rPr>
          <w:rStyle w:val="Voetnootmarkering"/>
        </w:rPr>
        <w:footnoteRef/>
      </w:r>
      <w:r w:rsidRPr="002A025E">
        <w:rPr>
          <w:lang w:val="en-US"/>
        </w:rPr>
        <w:t xml:space="preserve"> </w:t>
      </w:r>
      <w:r w:rsidRPr="00CC1FB0">
        <w:rPr>
          <w:lang w:val="en-US"/>
        </w:rPr>
        <w:t xml:space="preserve">Munson L., “CEDAW: It’s Old, It Doesn’t Work, and We Don’t Need It”, </w:t>
      </w:r>
      <w:r w:rsidRPr="00CC1FB0">
        <w:rPr>
          <w:i/>
          <w:lang w:val="en-US"/>
        </w:rPr>
        <w:t>Human Rights Brief</w:t>
      </w:r>
      <w:r w:rsidRPr="00CC1FB0">
        <w:rPr>
          <w:lang w:val="en-US"/>
        </w:rPr>
        <w:t xml:space="preserve"> 2003, 23</w:t>
      </w:r>
      <w:r>
        <w:rPr>
          <w:lang w:val="en-US"/>
        </w:rPr>
        <w:t xml:space="preserve">. </w:t>
      </w:r>
    </w:p>
  </w:footnote>
  <w:footnote w:id="189">
    <w:p w:rsidR="00551E68" w:rsidRPr="002A025E" w:rsidRDefault="00551E68" w:rsidP="005869B3">
      <w:pPr>
        <w:pStyle w:val="Voetnoottekst"/>
        <w:jc w:val="both"/>
        <w:rPr>
          <w:i/>
          <w:lang w:val="en-GB"/>
        </w:rPr>
      </w:pPr>
      <w:r>
        <w:rPr>
          <w:rStyle w:val="Voetnootmarkering"/>
        </w:rPr>
        <w:footnoteRef/>
      </w:r>
      <w:r>
        <w:rPr>
          <w:lang w:val="en-US"/>
        </w:rPr>
        <w:t xml:space="preserve"> </w:t>
      </w:r>
      <w:proofErr w:type="spellStart"/>
      <w:r w:rsidRPr="002A025E">
        <w:rPr>
          <w:lang w:val="en-GB"/>
        </w:rPr>
        <w:t>Sommers</w:t>
      </w:r>
      <w:proofErr w:type="spellEnd"/>
      <w:r w:rsidRPr="002A025E">
        <w:rPr>
          <w:lang w:val="en-GB"/>
        </w:rPr>
        <w:t xml:space="preserve"> C., “Feminism by Treaty”, </w:t>
      </w:r>
      <w:r w:rsidRPr="002A025E">
        <w:rPr>
          <w:i/>
          <w:lang w:val="en-GB"/>
        </w:rPr>
        <w:t>Policy Review</w:t>
      </w:r>
      <w:r w:rsidRPr="002A025E">
        <w:rPr>
          <w:lang w:val="en-GB"/>
        </w:rPr>
        <w:t xml:space="preserve"> 2011, </w:t>
      </w:r>
      <w:r>
        <w:rPr>
          <w:lang w:val="en-GB"/>
        </w:rPr>
        <w:t xml:space="preserve">43-46. </w:t>
      </w:r>
    </w:p>
  </w:footnote>
  <w:footnote w:id="190">
    <w:p w:rsidR="00551E68" w:rsidRPr="0095516E" w:rsidRDefault="00551E68" w:rsidP="005869B3">
      <w:pPr>
        <w:pStyle w:val="Voetnoottekst"/>
        <w:jc w:val="both"/>
        <w:rPr>
          <w:b/>
          <w:i/>
          <w:lang w:val="en-US"/>
        </w:rPr>
      </w:pPr>
      <w:r>
        <w:rPr>
          <w:rStyle w:val="Voetnootmarkering"/>
        </w:rPr>
        <w:footnoteRef/>
      </w:r>
      <w:r>
        <w:rPr>
          <w:lang w:val="en-US"/>
        </w:rPr>
        <w:t xml:space="preserve"> Alston P. and Goodman R., op. cit., 166. </w:t>
      </w:r>
    </w:p>
  </w:footnote>
  <w:footnote w:id="191">
    <w:p w:rsidR="00551E68" w:rsidRPr="00B15B54" w:rsidRDefault="00551E68" w:rsidP="005869B3">
      <w:pPr>
        <w:pStyle w:val="Voetnoottekst"/>
        <w:jc w:val="both"/>
        <w:rPr>
          <w:lang w:val="en-US"/>
        </w:rPr>
      </w:pPr>
      <w:r>
        <w:rPr>
          <w:rStyle w:val="Voetnootmarkering"/>
        </w:rPr>
        <w:footnoteRef/>
      </w:r>
      <w:r w:rsidRPr="00B15B54">
        <w:rPr>
          <w:lang w:val="en-US"/>
        </w:rPr>
        <w:t xml:space="preserve"> </w:t>
      </w:r>
      <w:proofErr w:type="spellStart"/>
      <w:r w:rsidRPr="00B15B54">
        <w:rPr>
          <w:lang w:val="en-US"/>
        </w:rPr>
        <w:t>Meron</w:t>
      </w:r>
      <w:proofErr w:type="spellEnd"/>
      <w:r w:rsidRPr="00B15B54">
        <w:rPr>
          <w:lang w:val="en-US"/>
        </w:rPr>
        <w:t xml:space="preserve"> T., </w:t>
      </w:r>
      <w:r w:rsidRPr="00B15B54">
        <w:rPr>
          <w:i/>
          <w:lang w:val="en-US"/>
        </w:rPr>
        <w:t>Human Rights Law-Making in the United Nations</w:t>
      </w:r>
      <w:r w:rsidRPr="00B15B54">
        <w:rPr>
          <w:lang w:val="en-US"/>
        </w:rPr>
        <w:t>, Oxford, Clarendon Press, 1986</w:t>
      </w:r>
      <w:r>
        <w:rPr>
          <w:lang w:val="en-US"/>
        </w:rPr>
        <w:t xml:space="preserve">, 56. </w:t>
      </w:r>
    </w:p>
  </w:footnote>
  <w:footnote w:id="192">
    <w:p w:rsidR="00551E68" w:rsidRPr="009B4170" w:rsidRDefault="00551E68" w:rsidP="005869B3">
      <w:pPr>
        <w:pStyle w:val="Voetnoottekst"/>
        <w:jc w:val="both"/>
        <w:rPr>
          <w:lang w:val="en-US"/>
        </w:rPr>
      </w:pPr>
      <w:r>
        <w:rPr>
          <w:rStyle w:val="Voetnootmarkering"/>
        </w:rPr>
        <w:footnoteRef/>
      </w:r>
      <w:r w:rsidRPr="009B4170">
        <w:rPr>
          <w:lang w:val="en-US"/>
        </w:rPr>
        <w:t xml:space="preserve"> </w:t>
      </w:r>
      <w:proofErr w:type="spellStart"/>
      <w:r w:rsidRPr="009B4170">
        <w:rPr>
          <w:lang w:val="en-US"/>
        </w:rPr>
        <w:t>Zearfoss</w:t>
      </w:r>
      <w:proofErr w:type="spellEnd"/>
      <w:r w:rsidRPr="009B4170">
        <w:rPr>
          <w:lang w:val="en-US"/>
        </w:rPr>
        <w:t xml:space="preserve"> S., “Note, the Convention for the Elimination of All Forms of Discrimination against Women: Radical, Reasonable, or Reactionary?”, </w:t>
      </w:r>
      <w:r w:rsidRPr="009B4170">
        <w:rPr>
          <w:i/>
          <w:lang w:val="en-US"/>
        </w:rPr>
        <w:t>Mich. J. Int’l L.</w:t>
      </w:r>
      <w:r w:rsidRPr="009B4170">
        <w:rPr>
          <w:lang w:val="en-US"/>
        </w:rPr>
        <w:t xml:space="preserve"> 1990-1991, 90</w:t>
      </w:r>
      <w:r>
        <w:rPr>
          <w:lang w:val="en-US"/>
        </w:rPr>
        <w:t xml:space="preserve">7 and 912. </w:t>
      </w:r>
    </w:p>
  </w:footnote>
  <w:footnote w:id="193">
    <w:p w:rsidR="00551E68" w:rsidRPr="00A54158" w:rsidRDefault="00551E68" w:rsidP="005869B3">
      <w:pPr>
        <w:pStyle w:val="Voetnoottekst"/>
        <w:jc w:val="both"/>
        <w:rPr>
          <w:lang w:val="en-US"/>
        </w:rPr>
      </w:pPr>
      <w:r>
        <w:rPr>
          <w:rStyle w:val="Voetnootmarkering"/>
        </w:rPr>
        <w:footnoteRef/>
      </w:r>
      <w:r w:rsidRPr="004558F7">
        <w:rPr>
          <w:lang w:val="en-US"/>
        </w:rPr>
        <w:t xml:space="preserve"> </w:t>
      </w:r>
      <w:r w:rsidRPr="00A54158">
        <w:rPr>
          <w:lang w:val="en-US"/>
        </w:rPr>
        <w:t>CEDAW CO Grenada, CEDAW/C/GRD/CO/1-5 (2012)</w:t>
      </w:r>
      <w:r>
        <w:rPr>
          <w:lang w:val="en-US"/>
        </w:rPr>
        <w:t xml:space="preserve">, paras 9-10; </w:t>
      </w:r>
      <w:r w:rsidRPr="008143E8">
        <w:rPr>
          <w:lang w:val="en-US"/>
        </w:rPr>
        <w:t>CEDAW CO Russian Federation, CEDAW/C/USR/CO/7 (2010)</w:t>
      </w:r>
      <w:r>
        <w:rPr>
          <w:lang w:val="en-US"/>
        </w:rPr>
        <w:t xml:space="preserve">, para. 13. </w:t>
      </w:r>
    </w:p>
  </w:footnote>
  <w:footnote w:id="194">
    <w:p w:rsidR="00551E68" w:rsidRPr="003F1673" w:rsidRDefault="00551E68" w:rsidP="005869B3">
      <w:pPr>
        <w:pStyle w:val="Voetnoottekst"/>
        <w:jc w:val="both"/>
        <w:rPr>
          <w:lang w:val="en-US"/>
        </w:rPr>
      </w:pPr>
      <w:r>
        <w:rPr>
          <w:rStyle w:val="Voetnootmarkering"/>
        </w:rPr>
        <w:footnoteRef/>
      </w:r>
      <w:r>
        <w:rPr>
          <w:lang w:val="en-US"/>
        </w:rPr>
        <w:t xml:space="preserve"> </w:t>
      </w:r>
      <w:r w:rsidRPr="009A36F1">
        <w:rPr>
          <w:lang w:val="en-US"/>
        </w:rPr>
        <w:t>CEDAW CO Kyrgyzstan, A/54/38 (1999)</w:t>
      </w:r>
      <w:r>
        <w:rPr>
          <w:lang w:val="en-US"/>
        </w:rPr>
        <w:t xml:space="preserve">, para. 113; </w:t>
      </w:r>
      <w:r w:rsidRPr="003F1673">
        <w:rPr>
          <w:lang w:val="en-US"/>
        </w:rPr>
        <w:t>CEDAW CO Ukraine, A/57/38 (2002)</w:t>
      </w:r>
      <w:r>
        <w:rPr>
          <w:lang w:val="en-US"/>
        </w:rPr>
        <w:t xml:space="preserve">, para. 279; </w:t>
      </w:r>
    </w:p>
    <w:p w:rsidR="00551E68" w:rsidRPr="00E04675" w:rsidRDefault="00551E68" w:rsidP="005869B3">
      <w:pPr>
        <w:pStyle w:val="Voetnoottekst"/>
        <w:jc w:val="both"/>
        <w:rPr>
          <w:lang w:val="en-GB"/>
        </w:rPr>
      </w:pPr>
      <w:r w:rsidRPr="00E04675">
        <w:rPr>
          <w:lang w:val="en-US"/>
        </w:rPr>
        <w:t xml:space="preserve"> </w:t>
      </w:r>
      <w:proofErr w:type="spellStart"/>
      <w:r w:rsidRPr="00E04675">
        <w:rPr>
          <w:lang w:val="en-GB"/>
        </w:rPr>
        <w:t>Facio</w:t>
      </w:r>
      <w:proofErr w:type="spellEnd"/>
      <w:r>
        <w:rPr>
          <w:lang w:val="en-GB"/>
        </w:rPr>
        <w:t xml:space="preserve"> A. and </w:t>
      </w:r>
      <w:r w:rsidRPr="00E04675">
        <w:rPr>
          <w:lang w:val="en-GB"/>
        </w:rPr>
        <w:t>Morgan</w:t>
      </w:r>
      <w:r>
        <w:rPr>
          <w:lang w:val="en-GB"/>
        </w:rPr>
        <w:t xml:space="preserve"> M.</w:t>
      </w:r>
      <w:r w:rsidRPr="00E04675">
        <w:rPr>
          <w:lang w:val="en-GB"/>
        </w:rPr>
        <w:t xml:space="preserve">, “Equity or Equality for Women? Understanding CEDAW’s Equality Principles”, </w:t>
      </w:r>
      <w:r w:rsidRPr="00E04675">
        <w:rPr>
          <w:i/>
          <w:lang w:val="en-GB"/>
        </w:rPr>
        <w:t>Ala.</w:t>
      </w:r>
      <w:r>
        <w:rPr>
          <w:i/>
          <w:lang w:val="en-GB"/>
        </w:rPr>
        <w:t xml:space="preserve"> </w:t>
      </w:r>
      <w:r w:rsidRPr="00E04675">
        <w:rPr>
          <w:i/>
          <w:lang w:val="en-GB"/>
        </w:rPr>
        <w:t>L.</w:t>
      </w:r>
      <w:r>
        <w:rPr>
          <w:i/>
          <w:lang w:val="en-GB"/>
        </w:rPr>
        <w:t xml:space="preserve"> </w:t>
      </w:r>
      <w:r w:rsidRPr="00E04675">
        <w:rPr>
          <w:i/>
          <w:lang w:val="en-GB"/>
        </w:rPr>
        <w:t>Rev.</w:t>
      </w:r>
      <w:r>
        <w:rPr>
          <w:lang w:val="en-GB"/>
        </w:rPr>
        <w:t xml:space="preserve"> 2009, 1143. </w:t>
      </w:r>
    </w:p>
  </w:footnote>
  <w:footnote w:id="195">
    <w:p w:rsidR="00551E68" w:rsidRPr="00E32002" w:rsidRDefault="00551E68" w:rsidP="005869B3">
      <w:pPr>
        <w:pStyle w:val="Voetnoottekst"/>
        <w:jc w:val="both"/>
        <w:rPr>
          <w:lang w:val="en-US"/>
        </w:rPr>
      </w:pPr>
      <w:r>
        <w:rPr>
          <w:rStyle w:val="Voetnootmarkering"/>
        </w:rPr>
        <w:footnoteRef/>
      </w:r>
      <w:r>
        <w:rPr>
          <w:lang w:val="en-US"/>
        </w:rPr>
        <w:t xml:space="preserve"> </w:t>
      </w:r>
      <w:proofErr w:type="spellStart"/>
      <w:r>
        <w:rPr>
          <w:lang w:val="en-US"/>
        </w:rPr>
        <w:t>Facio</w:t>
      </w:r>
      <w:proofErr w:type="spellEnd"/>
      <w:r>
        <w:rPr>
          <w:lang w:val="en-US"/>
        </w:rPr>
        <w:t xml:space="preserve"> A. and </w:t>
      </w:r>
      <w:r w:rsidRPr="00E32002">
        <w:rPr>
          <w:lang w:val="en-US"/>
        </w:rPr>
        <w:t>Morgan</w:t>
      </w:r>
      <w:r>
        <w:rPr>
          <w:lang w:val="en-US"/>
        </w:rPr>
        <w:t xml:space="preserve"> M.</w:t>
      </w:r>
      <w:r w:rsidRPr="00E32002">
        <w:rPr>
          <w:lang w:val="en-US"/>
        </w:rPr>
        <w:t xml:space="preserve">, op. cit., 1144; </w:t>
      </w:r>
      <w:proofErr w:type="spellStart"/>
      <w:r w:rsidRPr="00E32002">
        <w:rPr>
          <w:lang w:val="en-US"/>
        </w:rPr>
        <w:t>Meron</w:t>
      </w:r>
      <w:proofErr w:type="spellEnd"/>
      <w:r w:rsidRPr="00E32002">
        <w:rPr>
          <w:lang w:val="en-US"/>
        </w:rPr>
        <w:t xml:space="preserve"> T., op. cit. 60.</w:t>
      </w:r>
      <w:r>
        <w:rPr>
          <w:lang w:val="en-US"/>
        </w:rPr>
        <w:t xml:space="preserve"> </w:t>
      </w:r>
    </w:p>
  </w:footnote>
  <w:footnote w:id="196">
    <w:p w:rsidR="00551E68" w:rsidRPr="004F25FA" w:rsidRDefault="00551E68" w:rsidP="005869B3">
      <w:pPr>
        <w:pStyle w:val="Voetnoottekst"/>
        <w:jc w:val="both"/>
        <w:rPr>
          <w:b/>
          <w:u w:val="single"/>
          <w:lang w:val="en-GB"/>
        </w:rPr>
      </w:pPr>
      <w:r>
        <w:rPr>
          <w:rStyle w:val="Voetnootmarkering"/>
        </w:rPr>
        <w:footnoteRef/>
      </w:r>
      <w:r>
        <w:rPr>
          <w:lang w:val="en-US"/>
        </w:rPr>
        <w:t xml:space="preserve"> </w:t>
      </w:r>
      <w:r w:rsidRPr="00501153">
        <w:rPr>
          <w:lang w:val="en-US"/>
        </w:rPr>
        <w:t>CEDAW CO Jamaica, CEDAW/C/JAM/CO/6-7 (2012)</w:t>
      </w:r>
      <w:r>
        <w:rPr>
          <w:lang w:val="en-US"/>
        </w:rPr>
        <w:t xml:space="preserve">, para. 12; </w:t>
      </w:r>
      <w:r w:rsidRPr="00501153">
        <w:rPr>
          <w:lang w:val="en-US"/>
        </w:rPr>
        <w:t>CEDAW CO Myanmar, CEDAW/C/MMR/CO/3 (2008)</w:t>
      </w:r>
      <w:r>
        <w:rPr>
          <w:lang w:val="en-US"/>
        </w:rPr>
        <w:t xml:space="preserve">, paras 8-9; </w:t>
      </w:r>
      <w:proofErr w:type="spellStart"/>
      <w:r w:rsidRPr="00B4115A">
        <w:rPr>
          <w:lang w:val="en-GB"/>
        </w:rPr>
        <w:t>McBeth</w:t>
      </w:r>
      <w:proofErr w:type="spellEnd"/>
      <w:r w:rsidRPr="00B4115A">
        <w:rPr>
          <w:lang w:val="en-GB"/>
        </w:rPr>
        <w:t xml:space="preserve"> A., Nolan J. and Rice S., </w:t>
      </w:r>
      <w:r w:rsidRPr="00B4115A">
        <w:rPr>
          <w:i/>
          <w:lang w:val="en-GB"/>
        </w:rPr>
        <w:t>The International Law of Human Rights</w:t>
      </w:r>
      <w:r w:rsidRPr="00B4115A">
        <w:rPr>
          <w:lang w:val="en-GB"/>
        </w:rPr>
        <w:t>, Oxford, Oxford</w:t>
      </w:r>
      <w:r>
        <w:rPr>
          <w:lang w:val="en-GB"/>
        </w:rPr>
        <w:t xml:space="preserve"> University Press, 2011, 543. </w:t>
      </w:r>
    </w:p>
  </w:footnote>
  <w:footnote w:id="197">
    <w:p w:rsidR="00551E68" w:rsidRPr="005544FF" w:rsidRDefault="00551E68" w:rsidP="005869B3">
      <w:pPr>
        <w:pStyle w:val="Voetnoottekst"/>
        <w:jc w:val="both"/>
        <w:rPr>
          <w:i/>
          <w:lang w:val="en-US"/>
        </w:rPr>
      </w:pPr>
      <w:r>
        <w:rPr>
          <w:rStyle w:val="Voetnootmarkering"/>
        </w:rPr>
        <w:footnoteRef/>
      </w:r>
      <w:r w:rsidRPr="005544FF">
        <w:rPr>
          <w:lang w:val="en-US"/>
        </w:rPr>
        <w:t xml:space="preserve"> See for example: CEDAW CO Netherlands, CEDAW/C/NLD/CO/5 (2010), paras 24-25; CEDAW CO Togo, CEDAW/C/TGO/CO/6-7 (2012), paras 20-21; </w:t>
      </w:r>
      <w:proofErr w:type="spellStart"/>
      <w:r w:rsidRPr="005544FF">
        <w:rPr>
          <w:lang w:val="en-US"/>
        </w:rPr>
        <w:t>Bribosia</w:t>
      </w:r>
      <w:proofErr w:type="spellEnd"/>
      <w:r w:rsidRPr="005544FF">
        <w:rPr>
          <w:lang w:val="en-US"/>
        </w:rPr>
        <w:t xml:space="preserve"> E. et </w:t>
      </w:r>
      <w:proofErr w:type="spellStart"/>
      <w:r w:rsidRPr="005544FF">
        <w:rPr>
          <w:lang w:val="en-US"/>
        </w:rPr>
        <w:t>Rorive</w:t>
      </w:r>
      <w:proofErr w:type="spellEnd"/>
      <w:r w:rsidRPr="005544FF">
        <w:rPr>
          <w:lang w:val="en-US"/>
        </w:rPr>
        <w:t xml:space="preserve"> I., “</w:t>
      </w:r>
      <w:proofErr w:type="spellStart"/>
      <w:r w:rsidRPr="005544FF">
        <w:rPr>
          <w:lang w:val="en-US"/>
        </w:rPr>
        <w:t>Droit</w:t>
      </w:r>
      <w:proofErr w:type="spellEnd"/>
      <w:r w:rsidRPr="005544FF">
        <w:rPr>
          <w:lang w:val="en-US"/>
        </w:rPr>
        <w:t xml:space="preserve"> de </w:t>
      </w:r>
      <w:proofErr w:type="spellStart"/>
      <w:r w:rsidRPr="005544FF">
        <w:rPr>
          <w:lang w:val="en-US"/>
        </w:rPr>
        <w:t>l’égalité</w:t>
      </w:r>
      <w:proofErr w:type="spellEnd"/>
      <w:r w:rsidRPr="005544FF">
        <w:rPr>
          <w:lang w:val="en-US"/>
        </w:rPr>
        <w:t xml:space="preserve"> et de la non-discrimination”, </w:t>
      </w:r>
      <w:r w:rsidRPr="005544FF">
        <w:rPr>
          <w:i/>
          <w:lang w:val="en-US"/>
        </w:rPr>
        <w:t xml:space="preserve">Journal </w:t>
      </w:r>
      <w:proofErr w:type="spellStart"/>
      <w:r w:rsidRPr="005544FF">
        <w:rPr>
          <w:i/>
          <w:lang w:val="en-US"/>
        </w:rPr>
        <w:t>européen</w:t>
      </w:r>
      <w:proofErr w:type="spellEnd"/>
      <w:r w:rsidRPr="005544FF">
        <w:rPr>
          <w:i/>
          <w:lang w:val="en-US"/>
        </w:rPr>
        <w:t xml:space="preserve"> des </w:t>
      </w:r>
      <w:proofErr w:type="spellStart"/>
      <w:r w:rsidRPr="005544FF">
        <w:rPr>
          <w:i/>
          <w:lang w:val="en-US"/>
        </w:rPr>
        <w:t>droits</w:t>
      </w:r>
      <w:proofErr w:type="spellEnd"/>
      <w:r w:rsidRPr="005544FF">
        <w:rPr>
          <w:i/>
          <w:lang w:val="en-US"/>
        </w:rPr>
        <w:t xml:space="preserve"> de </w:t>
      </w:r>
      <w:proofErr w:type="spellStart"/>
      <w:r w:rsidRPr="005544FF">
        <w:rPr>
          <w:i/>
          <w:lang w:val="en-US"/>
        </w:rPr>
        <w:t>l’homme</w:t>
      </w:r>
      <w:proofErr w:type="spellEnd"/>
      <w:r w:rsidRPr="005544FF">
        <w:rPr>
          <w:lang w:val="en-US"/>
        </w:rPr>
        <w:t xml:space="preserve"> 2013, 153-154;</w:t>
      </w:r>
      <w:r>
        <w:rPr>
          <w:lang w:val="en-US"/>
        </w:rPr>
        <w:t xml:space="preserve"> </w:t>
      </w:r>
      <w:proofErr w:type="spellStart"/>
      <w:r w:rsidRPr="005544FF">
        <w:rPr>
          <w:lang w:val="en-US"/>
        </w:rPr>
        <w:t>Holtmaat</w:t>
      </w:r>
      <w:proofErr w:type="spellEnd"/>
      <w:r w:rsidRPr="005544FF">
        <w:rPr>
          <w:lang w:val="en-US"/>
        </w:rPr>
        <w:t xml:space="preserve"> R., “Article 5” in Freeman M., </w:t>
      </w:r>
      <w:proofErr w:type="spellStart"/>
      <w:r w:rsidRPr="005544FF">
        <w:rPr>
          <w:lang w:val="en-US"/>
        </w:rPr>
        <w:t>Chinkin</w:t>
      </w:r>
      <w:proofErr w:type="spellEnd"/>
      <w:r w:rsidRPr="005544FF">
        <w:rPr>
          <w:lang w:val="en-US"/>
        </w:rPr>
        <w:t xml:space="preserve"> C. and </w:t>
      </w:r>
      <w:proofErr w:type="spellStart"/>
      <w:r w:rsidRPr="005544FF">
        <w:rPr>
          <w:lang w:val="en-US"/>
        </w:rPr>
        <w:t>Beate</w:t>
      </w:r>
      <w:proofErr w:type="spellEnd"/>
      <w:r w:rsidRPr="005544FF">
        <w:rPr>
          <w:lang w:val="en-US"/>
        </w:rPr>
        <w:t xml:space="preserve"> R. (eds.), op. cit., 143; </w:t>
      </w:r>
      <w:proofErr w:type="spellStart"/>
      <w:r w:rsidRPr="005544FF">
        <w:rPr>
          <w:lang w:val="en-US"/>
        </w:rPr>
        <w:t>Lijnzaad</w:t>
      </w:r>
      <w:proofErr w:type="spellEnd"/>
      <w:r w:rsidRPr="005544FF">
        <w:rPr>
          <w:lang w:val="en-US"/>
        </w:rPr>
        <w:t xml:space="preserve"> E., “Over </w:t>
      </w:r>
      <w:proofErr w:type="spellStart"/>
      <w:r w:rsidRPr="005544FF">
        <w:rPr>
          <w:lang w:val="en-US"/>
        </w:rPr>
        <w:t>rollenpatronen</w:t>
      </w:r>
      <w:proofErr w:type="spellEnd"/>
      <w:r w:rsidRPr="005544FF">
        <w:rPr>
          <w:lang w:val="en-US"/>
        </w:rPr>
        <w:t xml:space="preserve"> en de </w:t>
      </w:r>
      <w:proofErr w:type="spellStart"/>
      <w:r w:rsidRPr="005544FF">
        <w:rPr>
          <w:lang w:val="en-US"/>
        </w:rPr>
        <w:t>rol</w:t>
      </w:r>
      <w:proofErr w:type="spellEnd"/>
      <w:r w:rsidRPr="005544FF">
        <w:rPr>
          <w:lang w:val="en-US"/>
        </w:rPr>
        <w:t xml:space="preserve"> van het </w:t>
      </w:r>
      <w:proofErr w:type="spellStart"/>
      <w:r w:rsidRPr="005544FF">
        <w:rPr>
          <w:lang w:val="en-US"/>
        </w:rPr>
        <w:t>Verdrag</w:t>
      </w:r>
      <w:proofErr w:type="spellEnd"/>
      <w:r w:rsidRPr="005544FF">
        <w:rPr>
          <w:lang w:val="en-US"/>
        </w:rPr>
        <w:t xml:space="preserve">” in </w:t>
      </w:r>
      <w:proofErr w:type="spellStart"/>
      <w:r w:rsidRPr="005544FF">
        <w:rPr>
          <w:lang w:val="en-US"/>
        </w:rPr>
        <w:t>Heringa</w:t>
      </w:r>
      <w:proofErr w:type="spellEnd"/>
      <w:r w:rsidRPr="005544FF">
        <w:rPr>
          <w:lang w:val="en-US"/>
        </w:rPr>
        <w:t xml:space="preserve"> A., </w:t>
      </w:r>
      <w:proofErr w:type="spellStart"/>
      <w:r w:rsidRPr="005544FF">
        <w:rPr>
          <w:lang w:val="en-US"/>
        </w:rPr>
        <w:t>Hes</w:t>
      </w:r>
      <w:proofErr w:type="spellEnd"/>
      <w:r w:rsidRPr="005544FF">
        <w:rPr>
          <w:lang w:val="en-US"/>
        </w:rPr>
        <w:t xml:space="preserve"> J. and </w:t>
      </w:r>
      <w:proofErr w:type="spellStart"/>
      <w:r w:rsidRPr="005544FF">
        <w:rPr>
          <w:lang w:val="en-US"/>
        </w:rPr>
        <w:t>Lijnzaad</w:t>
      </w:r>
      <w:proofErr w:type="spellEnd"/>
      <w:r w:rsidRPr="005544FF">
        <w:rPr>
          <w:lang w:val="en-US"/>
        </w:rPr>
        <w:t xml:space="preserve"> L. (eds.), </w:t>
      </w:r>
      <w:r w:rsidRPr="005544FF">
        <w:rPr>
          <w:i/>
          <w:lang w:val="en-US"/>
        </w:rPr>
        <w:t xml:space="preserve">Het </w:t>
      </w:r>
      <w:proofErr w:type="spellStart"/>
      <w:r w:rsidRPr="005544FF">
        <w:rPr>
          <w:i/>
          <w:lang w:val="en-US"/>
        </w:rPr>
        <w:t>Vrouwenverdrag</w:t>
      </w:r>
      <w:proofErr w:type="spellEnd"/>
      <w:r w:rsidRPr="005544FF">
        <w:rPr>
          <w:i/>
          <w:lang w:val="en-US"/>
        </w:rPr>
        <w:t xml:space="preserve">: </w:t>
      </w:r>
      <w:proofErr w:type="spellStart"/>
      <w:r w:rsidRPr="005544FF">
        <w:rPr>
          <w:i/>
          <w:lang w:val="en-US"/>
        </w:rPr>
        <w:t>een</w:t>
      </w:r>
      <w:proofErr w:type="spellEnd"/>
      <w:r w:rsidRPr="005544FF">
        <w:rPr>
          <w:i/>
          <w:lang w:val="en-US"/>
        </w:rPr>
        <w:t xml:space="preserve"> </w:t>
      </w:r>
      <w:proofErr w:type="spellStart"/>
      <w:r w:rsidRPr="005544FF">
        <w:rPr>
          <w:i/>
          <w:lang w:val="en-US"/>
        </w:rPr>
        <w:t>beeld</w:t>
      </w:r>
      <w:proofErr w:type="spellEnd"/>
      <w:r w:rsidRPr="005544FF">
        <w:rPr>
          <w:i/>
          <w:lang w:val="en-US"/>
        </w:rPr>
        <w:t xml:space="preserve"> van </w:t>
      </w:r>
      <w:proofErr w:type="spellStart"/>
      <w:r w:rsidRPr="005544FF">
        <w:rPr>
          <w:i/>
          <w:lang w:val="en-US"/>
        </w:rPr>
        <w:t>een</w:t>
      </w:r>
      <w:proofErr w:type="spellEnd"/>
      <w:r w:rsidRPr="005544FF">
        <w:rPr>
          <w:i/>
          <w:lang w:val="en-US"/>
        </w:rPr>
        <w:t xml:space="preserve"> </w:t>
      </w:r>
      <w:proofErr w:type="spellStart"/>
      <w:r w:rsidRPr="005544FF">
        <w:rPr>
          <w:i/>
          <w:lang w:val="en-US"/>
        </w:rPr>
        <w:t>verdrag</w:t>
      </w:r>
      <w:proofErr w:type="spellEnd"/>
      <w:r w:rsidRPr="005544FF">
        <w:rPr>
          <w:lang w:val="en-US"/>
        </w:rPr>
        <w:t xml:space="preserve">, </w:t>
      </w:r>
      <w:proofErr w:type="spellStart"/>
      <w:r w:rsidRPr="005544FF">
        <w:rPr>
          <w:lang w:val="en-US"/>
        </w:rPr>
        <w:t>Antwerpen</w:t>
      </w:r>
      <w:proofErr w:type="spellEnd"/>
      <w:r w:rsidRPr="005544FF">
        <w:rPr>
          <w:lang w:val="en-US"/>
        </w:rPr>
        <w:t xml:space="preserve"> – Apeldoorn, </w:t>
      </w:r>
      <w:proofErr w:type="spellStart"/>
      <w:r w:rsidRPr="005544FF">
        <w:rPr>
          <w:lang w:val="en-US"/>
        </w:rPr>
        <w:t>Maklu</w:t>
      </w:r>
      <w:proofErr w:type="spellEnd"/>
      <w:r w:rsidRPr="005544FF">
        <w:rPr>
          <w:lang w:val="en-US"/>
        </w:rPr>
        <w:t xml:space="preserve">, 1994, 43 and 46; </w:t>
      </w:r>
      <w:proofErr w:type="spellStart"/>
      <w:r w:rsidRPr="005544FF">
        <w:rPr>
          <w:lang w:val="en-US"/>
        </w:rPr>
        <w:t>Sepper</w:t>
      </w:r>
      <w:proofErr w:type="spellEnd"/>
      <w:r w:rsidRPr="005544FF">
        <w:rPr>
          <w:lang w:val="en-US"/>
        </w:rPr>
        <w:t xml:space="preserve"> E., “Confronting the “Sacred and Unchangeable”: The obligation to modify cultural Patterns under the Women’s Discrimination Treaty”, </w:t>
      </w:r>
      <w:r w:rsidRPr="005544FF">
        <w:rPr>
          <w:i/>
          <w:lang w:val="en-US"/>
        </w:rPr>
        <w:t xml:space="preserve">U. Pa. J. Int’l. L. </w:t>
      </w:r>
      <w:r w:rsidRPr="005544FF">
        <w:rPr>
          <w:lang w:val="en-US"/>
        </w:rPr>
        <w:t xml:space="preserve">2008, 598. </w:t>
      </w:r>
    </w:p>
  </w:footnote>
  <w:footnote w:id="198">
    <w:p w:rsidR="00551E68" w:rsidRPr="00787946" w:rsidRDefault="00551E68" w:rsidP="005869B3">
      <w:pPr>
        <w:pStyle w:val="Voetnoottekst"/>
        <w:jc w:val="both"/>
        <w:rPr>
          <w:lang w:val="en-GB"/>
        </w:rPr>
      </w:pPr>
      <w:r>
        <w:rPr>
          <w:rStyle w:val="Voetnootmarkering"/>
        </w:rPr>
        <w:footnoteRef/>
      </w:r>
      <w:r w:rsidRPr="00787946">
        <w:rPr>
          <w:lang w:val="it-IT"/>
        </w:rPr>
        <w:t xml:space="preserve"> </w:t>
      </w:r>
      <w:r w:rsidRPr="00787946">
        <w:rPr>
          <w:lang w:val="it-IT"/>
        </w:rPr>
        <w:t xml:space="preserve">CEDAW, </w:t>
      </w:r>
      <w:r w:rsidRPr="00787946">
        <w:rPr>
          <w:i/>
          <w:lang w:val="it-IT"/>
        </w:rPr>
        <w:t>Isatou Jallow v. Bulgaria</w:t>
      </w:r>
      <w:r w:rsidRPr="00787946">
        <w:rPr>
          <w:lang w:val="it-IT"/>
        </w:rPr>
        <w:t>, Communication no. 32/2011, CEDAW/C/52/D/32/2011 (2012)</w:t>
      </w:r>
      <w:r>
        <w:rPr>
          <w:lang w:val="it-IT"/>
        </w:rPr>
        <w:t xml:space="preserve">, para. </w:t>
      </w:r>
      <w:r w:rsidRPr="00787946">
        <w:rPr>
          <w:lang w:val="en-US"/>
        </w:rPr>
        <w:t xml:space="preserve">8.6; </w:t>
      </w:r>
      <w:r w:rsidRPr="00787946">
        <w:rPr>
          <w:lang w:val="en-GB"/>
        </w:rPr>
        <w:t xml:space="preserve">CEDAW, </w:t>
      </w:r>
      <w:r w:rsidRPr="00787946">
        <w:rPr>
          <w:i/>
          <w:lang w:val="en-GB"/>
        </w:rPr>
        <w:t>R.K.B. v. Turkey</w:t>
      </w:r>
      <w:r w:rsidRPr="00787946">
        <w:rPr>
          <w:lang w:val="en-GB"/>
        </w:rPr>
        <w:t>, Communication no. 28/201</w:t>
      </w:r>
      <w:r>
        <w:rPr>
          <w:lang w:val="en-GB"/>
        </w:rPr>
        <w:t xml:space="preserve">0, CEDAW/C/51/D/28/2010 (2012), paras 8.6-8.8; </w:t>
      </w:r>
      <w:r w:rsidRPr="007705FB">
        <w:rPr>
          <w:lang w:val="en-US"/>
        </w:rPr>
        <w:t>CEDAW CO Democratic People’s Republic of Korea, CEDAW/C/PRK/CO/1 (2005)</w:t>
      </w:r>
      <w:r>
        <w:rPr>
          <w:lang w:val="en-US"/>
        </w:rPr>
        <w:t xml:space="preserve">, paras 35-36. </w:t>
      </w:r>
    </w:p>
  </w:footnote>
  <w:footnote w:id="199">
    <w:p w:rsidR="00551E68" w:rsidRPr="006520AB" w:rsidRDefault="00551E68" w:rsidP="005869B3">
      <w:pPr>
        <w:pStyle w:val="Voetnoottekst"/>
        <w:jc w:val="both"/>
        <w:rPr>
          <w:b/>
          <w:u w:val="single"/>
          <w:lang w:val="en-GB"/>
        </w:rPr>
      </w:pPr>
      <w:r>
        <w:rPr>
          <w:rStyle w:val="Voetnootmarkering"/>
        </w:rPr>
        <w:footnoteRef/>
      </w:r>
      <w:r w:rsidRPr="006520AB">
        <w:rPr>
          <w:lang w:val="en-US"/>
        </w:rPr>
        <w:t xml:space="preserve"> Clark B., “The Vienna Convention Reservations Regime and the Convention on Discrimination against Women”, </w:t>
      </w:r>
      <w:r w:rsidRPr="006520AB">
        <w:rPr>
          <w:i/>
          <w:lang w:val="en-US"/>
        </w:rPr>
        <w:t>Am. J. Int’l L.</w:t>
      </w:r>
      <w:r w:rsidRPr="006520AB">
        <w:rPr>
          <w:lang w:val="en-US"/>
        </w:rPr>
        <w:t xml:space="preserve"> 1991, 283;</w:t>
      </w:r>
      <w:r>
        <w:rPr>
          <w:lang w:val="en-GB"/>
        </w:rPr>
        <w:t xml:space="preserve"> </w:t>
      </w:r>
      <w:r w:rsidRPr="006520AB">
        <w:rPr>
          <w:lang w:val="en-GB"/>
        </w:rPr>
        <w:t xml:space="preserve">Cook R., “Reservations to the Convention on the Elimination of All Forms of Discrimination Against Women”, </w:t>
      </w:r>
      <w:r w:rsidRPr="006520AB">
        <w:rPr>
          <w:i/>
          <w:lang w:val="en-GB"/>
        </w:rPr>
        <w:t>Va. J. Int’l L.</w:t>
      </w:r>
      <w:r w:rsidRPr="006520AB">
        <w:rPr>
          <w:lang w:val="en-GB"/>
        </w:rPr>
        <w:t xml:space="preserve"> 1989-1990, 644</w:t>
      </w:r>
      <w:r>
        <w:rPr>
          <w:lang w:val="en-US"/>
        </w:rPr>
        <w:t xml:space="preserve">; </w:t>
      </w:r>
      <w:proofErr w:type="spellStart"/>
      <w:r w:rsidRPr="006520AB">
        <w:rPr>
          <w:lang w:val="en-US"/>
        </w:rPr>
        <w:t>Defeis</w:t>
      </w:r>
      <w:proofErr w:type="spellEnd"/>
      <w:r w:rsidRPr="006520AB">
        <w:rPr>
          <w:lang w:val="en-US"/>
        </w:rPr>
        <w:t xml:space="preserve"> E., “Women’s Human Rights: The Twenty-First Century”, </w:t>
      </w:r>
      <w:r w:rsidRPr="006520AB">
        <w:rPr>
          <w:i/>
          <w:lang w:val="en-US"/>
        </w:rPr>
        <w:t>Fordham Int’l L. J.</w:t>
      </w:r>
      <w:r w:rsidRPr="006520AB">
        <w:rPr>
          <w:lang w:val="en-US"/>
        </w:rPr>
        <w:t xml:space="preserve"> 1994-1995, 1750-1751</w:t>
      </w:r>
      <w:r w:rsidRPr="006520AB">
        <w:rPr>
          <w:lang w:val="en-GB"/>
        </w:rPr>
        <w:t xml:space="preserve">; </w:t>
      </w:r>
      <w:r>
        <w:rPr>
          <w:lang w:val="en-GB"/>
        </w:rPr>
        <w:t>Freeman M., “Convention on the Elimination of Discrimination against Women” in</w:t>
      </w:r>
      <w:r w:rsidRPr="006520AB">
        <w:rPr>
          <w:lang w:val="en-US"/>
        </w:rPr>
        <w:t xml:space="preserve"> </w:t>
      </w:r>
      <w:r>
        <w:rPr>
          <w:lang w:val="en-GB"/>
        </w:rPr>
        <w:t>Forsythe D. (ed.), op. cit.</w:t>
      </w:r>
      <w:r w:rsidRPr="006520AB">
        <w:rPr>
          <w:lang w:val="en-GB"/>
        </w:rPr>
        <w:t>,</w:t>
      </w:r>
      <w:r>
        <w:rPr>
          <w:lang w:val="en-GB"/>
        </w:rPr>
        <w:t xml:space="preserve"> 336. </w:t>
      </w:r>
    </w:p>
  </w:footnote>
  <w:footnote w:id="200">
    <w:p w:rsidR="00551E68" w:rsidRPr="006C3ADF" w:rsidRDefault="00551E68" w:rsidP="005869B3">
      <w:pPr>
        <w:pStyle w:val="Voetnoottekst"/>
        <w:jc w:val="both"/>
        <w:rPr>
          <w:lang w:val="en-US"/>
        </w:rPr>
      </w:pPr>
      <w:r>
        <w:rPr>
          <w:rStyle w:val="Voetnootmarkering"/>
        </w:rPr>
        <w:footnoteRef/>
      </w:r>
      <w:r w:rsidRPr="00C047EA">
        <w:rPr>
          <w:lang w:val="it-IT"/>
        </w:rPr>
        <w:t xml:space="preserve"> </w:t>
      </w:r>
      <w:r w:rsidRPr="00C047EA">
        <w:rPr>
          <w:lang w:val="it-IT"/>
        </w:rPr>
        <w:t>CEDAW CO Algeria, CEDAW/C/DZA/CO/3-4</w:t>
      </w:r>
      <w:r>
        <w:rPr>
          <w:lang w:val="it-IT"/>
        </w:rPr>
        <w:t xml:space="preserve"> (2012), para. </w:t>
      </w:r>
      <w:r w:rsidRPr="00C047EA">
        <w:rPr>
          <w:lang w:val="en-US"/>
        </w:rPr>
        <w:t>13; CEDAW CO Jordan, CEDAW/C/JOR/CO/5</w:t>
      </w:r>
      <w:r>
        <w:rPr>
          <w:lang w:val="en-US"/>
        </w:rPr>
        <w:t xml:space="preserve"> (2012), para. 9; </w:t>
      </w:r>
      <w:r w:rsidRPr="00C047EA">
        <w:rPr>
          <w:lang w:val="en-US"/>
        </w:rPr>
        <w:t>CEDAW CO Kuwait, CEDAW/C/KWT/CO/3-4</w:t>
      </w:r>
      <w:r>
        <w:rPr>
          <w:lang w:val="en-US"/>
        </w:rPr>
        <w:t xml:space="preserve"> (2011), paras 13-14. </w:t>
      </w:r>
    </w:p>
  </w:footnote>
  <w:footnote w:id="201">
    <w:p w:rsidR="00551E68" w:rsidRPr="00205E10" w:rsidRDefault="00551E68" w:rsidP="005869B3">
      <w:pPr>
        <w:pStyle w:val="Voetnoottekst"/>
        <w:jc w:val="both"/>
        <w:rPr>
          <w:i/>
          <w:lang w:val="en-US"/>
        </w:rPr>
      </w:pPr>
      <w:r>
        <w:rPr>
          <w:rStyle w:val="Voetnootmarkering"/>
        </w:rPr>
        <w:footnoteRef/>
      </w:r>
      <w:r>
        <w:rPr>
          <w:lang w:val="en-US"/>
        </w:rPr>
        <w:t xml:space="preserve"> </w:t>
      </w:r>
      <w:r w:rsidRPr="00667219">
        <w:rPr>
          <w:lang w:val="en-US"/>
        </w:rPr>
        <w:t>Alston P. and Goodman R.</w:t>
      </w:r>
      <w:r>
        <w:rPr>
          <w:lang w:val="en-US"/>
        </w:rPr>
        <w:t xml:space="preserve">, op. cit., 187; </w:t>
      </w:r>
      <w:r w:rsidRPr="00205E10">
        <w:rPr>
          <w:lang w:val="en-US"/>
        </w:rPr>
        <w:t xml:space="preserve">Petersen C. and Samuels H., “The International Convention on the Elimination of All Forms of Discrimination Against Women: A Comparison of its Implementation and the Role of Non-Governmental Organizations in the United Kingdom and Hong Kong”, </w:t>
      </w:r>
      <w:r w:rsidRPr="00205E10">
        <w:rPr>
          <w:i/>
          <w:lang w:val="en-US"/>
        </w:rPr>
        <w:t>Hastings Int’l &amp; Comp. L. Rev.</w:t>
      </w:r>
      <w:r w:rsidRPr="00205E10">
        <w:rPr>
          <w:lang w:val="en-US"/>
        </w:rPr>
        <w:t xml:space="preserve"> 2002-2003, </w:t>
      </w:r>
      <w:r>
        <w:rPr>
          <w:lang w:val="en-US"/>
        </w:rPr>
        <w:t xml:space="preserve">4-5; </w:t>
      </w:r>
      <w:proofErr w:type="spellStart"/>
      <w:r w:rsidRPr="00084B2F">
        <w:rPr>
          <w:lang w:val="en-US"/>
        </w:rPr>
        <w:t>Zearfoss</w:t>
      </w:r>
      <w:proofErr w:type="spellEnd"/>
      <w:r w:rsidRPr="00084B2F">
        <w:rPr>
          <w:lang w:val="en-US"/>
        </w:rPr>
        <w:t xml:space="preserve"> S.,</w:t>
      </w:r>
      <w:r>
        <w:rPr>
          <w:lang w:val="en-US"/>
        </w:rPr>
        <w:t xml:space="preserve"> op. cit., 922. </w:t>
      </w:r>
    </w:p>
  </w:footnote>
  <w:footnote w:id="202">
    <w:p w:rsidR="00551E68" w:rsidRPr="00667219" w:rsidRDefault="00551E68" w:rsidP="005869B3">
      <w:pPr>
        <w:pStyle w:val="Voetnoottekst"/>
        <w:jc w:val="both"/>
        <w:rPr>
          <w:lang w:val="en-US"/>
        </w:rPr>
      </w:pPr>
      <w:r>
        <w:rPr>
          <w:rStyle w:val="Voetnootmarkering"/>
        </w:rPr>
        <w:footnoteRef/>
      </w:r>
      <w:r w:rsidRPr="00667219">
        <w:rPr>
          <w:lang w:val="en-US"/>
        </w:rPr>
        <w:t xml:space="preserve"> Article 18 CEDAW. </w:t>
      </w:r>
    </w:p>
  </w:footnote>
  <w:footnote w:id="203">
    <w:p w:rsidR="00551E68" w:rsidRPr="00667219" w:rsidRDefault="00551E68" w:rsidP="005869B3">
      <w:pPr>
        <w:pStyle w:val="Voetnoottekst"/>
        <w:jc w:val="both"/>
        <w:rPr>
          <w:lang w:val="en-US"/>
        </w:rPr>
      </w:pPr>
      <w:r>
        <w:rPr>
          <w:rStyle w:val="Voetnootmarkering"/>
        </w:rPr>
        <w:footnoteRef/>
      </w:r>
      <w:r w:rsidRPr="00667219">
        <w:rPr>
          <w:lang w:val="en-US"/>
        </w:rPr>
        <w:t xml:space="preserve"> Article 21(1) CEDAW. </w:t>
      </w:r>
    </w:p>
  </w:footnote>
  <w:footnote w:id="204">
    <w:p w:rsidR="00551E68" w:rsidRPr="00B47C83" w:rsidRDefault="00551E68" w:rsidP="005869B3">
      <w:pPr>
        <w:pStyle w:val="Voetnoottekst"/>
        <w:jc w:val="both"/>
        <w:rPr>
          <w:lang w:val="en-US"/>
        </w:rPr>
      </w:pPr>
      <w:r>
        <w:rPr>
          <w:rStyle w:val="Voetnootmarkering"/>
        </w:rPr>
        <w:footnoteRef/>
      </w:r>
      <w:r w:rsidRPr="00B47C83">
        <w:rPr>
          <w:lang w:val="en-US"/>
        </w:rPr>
        <w:t xml:space="preserve"> </w:t>
      </w:r>
      <w:proofErr w:type="spellStart"/>
      <w:r>
        <w:rPr>
          <w:lang w:val="en-GB"/>
        </w:rPr>
        <w:t>Sepper</w:t>
      </w:r>
      <w:proofErr w:type="spellEnd"/>
      <w:r>
        <w:rPr>
          <w:lang w:val="en-GB"/>
        </w:rPr>
        <w:t xml:space="preserve"> E., op. cit., 633. </w:t>
      </w:r>
    </w:p>
  </w:footnote>
  <w:footnote w:id="205">
    <w:p w:rsidR="00551E68" w:rsidRPr="007F713A" w:rsidRDefault="00551E68" w:rsidP="005869B3">
      <w:pPr>
        <w:pStyle w:val="Voetnoottekst"/>
        <w:jc w:val="both"/>
        <w:rPr>
          <w:lang w:val="en-GB"/>
        </w:rPr>
      </w:pPr>
      <w:r>
        <w:rPr>
          <w:rStyle w:val="Voetnootmarkering"/>
        </w:rPr>
        <w:footnoteRef/>
      </w:r>
      <w:r w:rsidRPr="005003D4">
        <w:rPr>
          <w:lang w:val="en-US"/>
        </w:rPr>
        <w:t xml:space="preserve"> </w:t>
      </w:r>
      <w:r>
        <w:rPr>
          <w:lang w:val="en-US"/>
        </w:rPr>
        <w:t xml:space="preserve">Articles 1, 2 and 8 </w:t>
      </w:r>
      <w:r w:rsidRPr="007F713A">
        <w:rPr>
          <w:lang w:val="en-GB"/>
        </w:rPr>
        <w:t>Optional Protocol to the Convention on the Elimination of All Forms of Discrimination</w:t>
      </w:r>
      <w:r>
        <w:rPr>
          <w:lang w:val="en-GB"/>
        </w:rPr>
        <w:t xml:space="preserve"> against Women, 6 October 1999.</w:t>
      </w:r>
    </w:p>
  </w:footnote>
  <w:footnote w:id="206">
    <w:p w:rsidR="00551E68" w:rsidRPr="00F17AB6" w:rsidRDefault="00551E68" w:rsidP="005869B3">
      <w:pPr>
        <w:pStyle w:val="Voetnoottekst"/>
        <w:jc w:val="both"/>
        <w:rPr>
          <w:b/>
          <w:lang w:val="en-US"/>
        </w:rPr>
      </w:pPr>
      <w:r>
        <w:rPr>
          <w:rStyle w:val="Voetnootmarkering"/>
        </w:rPr>
        <w:footnoteRef/>
      </w:r>
      <w:r>
        <w:rPr>
          <w:lang w:val="en-US"/>
        </w:rPr>
        <w:t xml:space="preserve"> </w:t>
      </w:r>
      <w:proofErr w:type="spellStart"/>
      <w:r w:rsidRPr="00F17AB6">
        <w:rPr>
          <w:lang w:val="en-US"/>
        </w:rPr>
        <w:t>Buergenthal</w:t>
      </w:r>
      <w:proofErr w:type="spellEnd"/>
      <w:r>
        <w:rPr>
          <w:lang w:val="en-US"/>
        </w:rPr>
        <w:t xml:space="preserve"> T., Shelton D. and Stewart D., op. cit., 96;</w:t>
      </w:r>
      <w:r>
        <w:rPr>
          <w:b/>
          <w:lang w:val="en-US"/>
        </w:rPr>
        <w:t xml:space="preserve"> </w:t>
      </w:r>
      <w:r w:rsidRPr="005003D4">
        <w:rPr>
          <w:lang w:val="en-GB"/>
        </w:rPr>
        <w:t xml:space="preserve">Byrnes A., “The ‘Other’ Human Rights Treaty Body: The Work of the Committee on the Elimination of Discrimination Against Women”, </w:t>
      </w:r>
      <w:r w:rsidRPr="005003D4">
        <w:rPr>
          <w:i/>
          <w:lang w:val="en-GB"/>
        </w:rPr>
        <w:t>Yale J. Int’l L.</w:t>
      </w:r>
      <w:r>
        <w:rPr>
          <w:lang w:val="en-GB"/>
        </w:rPr>
        <w:t xml:space="preserve"> 1989, 57. </w:t>
      </w:r>
    </w:p>
  </w:footnote>
  <w:footnote w:id="207">
    <w:p w:rsidR="00551E68" w:rsidRPr="00D2468E" w:rsidRDefault="00551E68" w:rsidP="005869B3">
      <w:pPr>
        <w:pStyle w:val="Voetnoottekst"/>
        <w:jc w:val="both"/>
        <w:rPr>
          <w:lang w:val="en-GB"/>
        </w:rPr>
      </w:pPr>
      <w:r>
        <w:rPr>
          <w:rStyle w:val="Voetnootmarkering"/>
        </w:rPr>
        <w:footnoteRef/>
      </w:r>
      <w:r w:rsidRPr="007A04D5">
        <w:rPr>
          <w:lang w:val="en-US"/>
        </w:rPr>
        <w:t xml:space="preserve"> </w:t>
      </w:r>
      <w:r w:rsidRPr="00D2468E">
        <w:rPr>
          <w:lang w:val="en-GB"/>
        </w:rPr>
        <w:t xml:space="preserve">Convention for the Protection of Human Rights and Fundamental </w:t>
      </w:r>
      <w:r>
        <w:rPr>
          <w:lang w:val="en-GB"/>
        </w:rPr>
        <w:t xml:space="preserve">Freedoms, Rome 4 November 1950 (ECHR). </w:t>
      </w:r>
    </w:p>
  </w:footnote>
  <w:footnote w:id="208">
    <w:p w:rsidR="00551E68" w:rsidRPr="00B17328" w:rsidRDefault="00551E68" w:rsidP="005869B3">
      <w:pPr>
        <w:pStyle w:val="Voetnoottekst"/>
        <w:jc w:val="both"/>
        <w:rPr>
          <w:lang w:val="en-GB"/>
        </w:rPr>
      </w:pPr>
      <w:r>
        <w:rPr>
          <w:rStyle w:val="Voetnootmarkering"/>
        </w:rPr>
        <w:footnoteRef/>
      </w:r>
      <w:r w:rsidRPr="00B17328">
        <w:rPr>
          <w:lang w:val="en-US"/>
        </w:rPr>
        <w:t xml:space="preserve"> </w:t>
      </w:r>
      <w:r w:rsidRPr="00B17328">
        <w:rPr>
          <w:lang w:val="en-GB"/>
        </w:rPr>
        <w:t>European Social</w:t>
      </w:r>
      <w:r>
        <w:rPr>
          <w:lang w:val="en-GB"/>
        </w:rPr>
        <w:t xml:space="preserve"> Charter, Turin 18 October 1961 (ESC). </w:t>
      </w:r>
    </w:p>
  </w:footnote>
  <w:footnote w:id="209">
    <w:p w:rsidR="00551E68" w:rsidRPr="003948A3" w:rsidRDefault="00551E68" w:rsidP="005869B3">
      <w:pPr>
        <w:pStyle w:val="Voetnoottekst"/>
        <w:jc w:val="both"/>
        <w:rPr>
          <w:lang w:val="en-US"/>
        </w:rPr>
      </w:pPr>
      <w:r>
        <w:rPr>
          <w:rStyle w:val="Voetnootmarkering"/>
        </w:rPr>
        <w:footnoteRef/>
      </w:r>
      <w:r>
        <w:rPr>
          <w:lang w:val="en-GB"/>
        </w:rPr>
        <w:t xml:space="preserve"> Churchill R., “European Social Charter” in </w:t>
      </w:r>
      <w:r w:rsidRPr="00202376">
        <w:rPr>
          <w:lang w:val="en-GB"/>
        </w:rPr>
        <w:t xml:space="preserve">Forsythe D. (ed.), </w:t>
      </w:r>
      <w:proofErr w:type="spellStart"/>
      <w:r w:rsidRPr="00202376">
        <w:rPr>
          <w:i/>
          <w:lang w:val="en-GB"/>
        </w:rPr>
        <w:t>Encyclopedia</w:t>
      </w:r>
      <w:proofErr w:type="spellEnd"/>
      <w:r w:rsidRPr="00202376">
        <w:rPr>
          <w:i/>
          <w:lang w:val="en-GB"/>
        </w:rPr>
        <w:t xml:space="preserve"> of Human Rights</w:t>
      </w:r>
      <w:r w:rsidRPr="00202376">
        <w:rPr>
          <w:lang w:val="en-GB"/>
        </w:rPr>
        <w:t>, II, Oxford, Oxford</w:t>
      </w:r>
      <w:r>
        <w:rPr>
          <w:lang w:val="en-GB"/>
        </w:rPr>
        <w:t xml:space="preserve"> University Press, 2009, 181; </w:t>
      </w:r>
      <w:r>
        <w:rPr>
          <w:lang w:val="en-US"/>
        </w:rPr>
        <w:t xml:space="preserve">Nowak M., op. cit., 173; </w:t>
      </w:r>
      <w:r w:rsidRPr="003133B3">
        <w:rPr>
          <w:lang w:val="en-US"/>
        </w:rPr>
        <w:t xml:space="preserve">Schmidt M., “A fresh impetus for the European Social Charter”, </w:t>
      </w:r>
      <w:r w:rsidRPr="003133B3">
        <w:rPr>
          <w:i/>
          <w:lang w:val="en-US"/>
        </w:rPr>
        <w:t xml:space="preserve">Int’l &amp; Comp. L. Q. </w:t>
      </w:r>
      <w:r w:rsidRPr="003133B3">
        <w:rPr>
          <w:lang w:val="en-US"/>
        </w:rPr>
        <w:t xml:space="preserve">1992, </w:t>
      </w:r>
      <w:r>
        <w:rPr>
          <w:lang w:val="en-US"/>
        </w:rPr>
        <w:t xml:space="preserve">659. </w:t>
      </w:r>
    </w:p>
  </w:footnote>
  <w:footnote w:id="210">
    <w:p w:rsidR="00551E68" w:rsidRPr="00D40FBE" w:rsidRDefault="00551E68" w:rsidP="005869B3">
      <w:pPr>
        <w:pStyle w:val="Voetnoottekst"/>
        <w:jc w:val="both"/>
        <w:rPr>
          <w:b/>
          <w:u w:val="single"/>
          <w:lang w:val="en-US"/>
        </w:rPr>
      </w:pPr>
      <w:r>
        <w:rPr>
          <w:rStyle w:val="Voetnootmarkering"/>
        </w:rPr>
        <w:footnoteRef/>
      </w:r>
      <w:r w:rsidRPr="001A0E11">
        <w:rPr>
          <w:lang w:val="en-US"/>
        </w:rPr>
        <w:t xml:space="preserve"> </w:t>
      </w:r>
      <w:proofErr w:type="spellStart"/>
      <w:r w:rsidRPr="001A0E11">
        <w:rPr>
          <w:lang w:val="en-US"/>
        </w:rPr>
        <w:t>Betten</w:t>
      </w:r>
      <w:proofErr w:type="spellEnd"/>
      <w:r w:rsidRPr="001A0E11">
        <w:rPr>
          <w:lang w:val="en-US"/>
        </w:rPr>
        <w:t xml:space="preserve"> L. and Grief N., op. ci</w:t>
      </w:r>
      <w:r>
        <w:rPr>
          <w:lang w:val="en-US"/>
        </w:rPr>
        <w:t xml:space="preserve">t., 44-45; </w:t>
      </w:r>
      <w:proofErr w:type="spellStart"/>
      <w:r>
        <w:rPr>
          <w:lang w:val="en-US"/>
        </w:rPr>
        <w:t>Brillat</w:t>
      </w:r>
      <w:proofErr w:type="spellEnd"/>
      <w:r>
        <w:rPr>
          <w:lang w:val="en-US"/>
        </w:rPr>
        <w:t xml:space="preserve"> R., “The European Social Charter and Monitoring Its Implementation” in </w:t>
      </w:r>
      <w:proofErr w:type="spellStart"/>
      <w:r w:rsidRPr="0014730D">
        <w:rPr>
          <w:lang w:val="en-US"/>
        </w:rPr>
        <w:t>Aliprantis</w:t>
      </w:r>
      <w:proofErr w:type="spellEnd"/>
      <w:r>
        <w:rPr>
          <w:lang w:val="en-US"/>
        </w:rPr>
        <w:t xml:space="preserve"> N. and </w:t>
      </w:r>
      <w:proofErr w:type="spellStart"/>
      <w:r>
        <w:rPr>
          <w:lang w:val="en-US"/>
        </w:rPr>
        <w:t>Papageorgiou</w:t>
      </w:r>
      <w:proofErr w:type="spellEnd"/>
      <w:r>
        <w:rPr>
          <w:lang w:val="en-US"/>
        </w:rPr>
        <w:t xml:space="preserve"> I. (eds.), op. cit., 43-44; Nowak M., op. cit., 174-175; </w:t>
      </w:r>
      <w:proofErr w:type="spellStart"/>
      <w:r w:rsidRPr="00BC4EBA">
        <w:rPr>
          <w:lang w:val="en-GB"/>
        </w:rPr>
        <w:t>VanDamme</w:t>
      </w:r>
      <w:proofErr w:type="spellEnd"/>
      <w:r w:rsidRPr="00BC4EBA">
        <w:rPr>
          <w:lang w:val="en-GB"/>
        </w:rPr>
        <w:t xml:space="preserve"> F., “The revision of the European Social Charter”, </w:t>
      </w:r>
      <w:r w:rsidRPr="00BC4EBA">
        <w:rPr>
          <w:i/>
          <w:lang w:val="en-GB"/>
        </w:rPr>
        <w:t xml:space="preserve">Int’l Lab. Rev. </w:t>
      </w:r>
      <w:r>
        <w:rPr>
          <w:lang w:val="en-GB"/>
        </w:rPr>
        <w:t xml:space="preserve">1994, 639. </w:t>
      </w:r>
    </w:p>
  </w:footnote>
  <w:footnote w:id="211">
    <w:p w:rsidR="00551E68" w:rsidRPr="00D40FBE" w:rsidRDefault="00551E68" w:rsidP="005869B3">
      <w:pPr>
        <w:pStyle w:val="Voetnoottekst"/>
        <w:jc w:val="both"/>
        <w:rPr>
          <w:lang w:val="en-US"/>
        </w:rPr>
      </w:pPr>
      <w:r>
        <w:rPr>
          <w:rStyle w:val="Voetnootmarkering"/>
        </w:rPr>
        <w:footnoteRef/>
      </w:r>
      <w:r w:rsidRPr="00D40FBE">
        <w:rPr>
          <w:lang w:val="en-US"/>
        </w:rPr>
        <w:t xml:space="preserve"> Article 25 ESC. </w:t>
      </w:r>
    </w:p>
  </w:footnote>
  <w:footnote w:id="212">
    <w:p w:rsidR="00551E68" w:rsidRPr="009A3633" w:rsidRDefault="00551E68" w:rsidP="005869B3">
      <w:pPr>
        <w:pStyle w:val="Voetnoottekst"/>
        <w:jc w:val="both"/>
        <w:rPr>
          <w:lang w:val="en-US"/>
        </w:rPr>
      </w:pPr>
      <w:r>
        <w:rPr>
          <w:rStyle w:val="Voetnootmarkering"/>
        </w:rPr>
        <w:footnoteRef/>
      </w:r>
      <w:r w:rsidRPr="009A3633">
        <w:rPr>
          <w:lang w:val="en-US"/>
        </w:rPr>
        <w:t xml:space="preserve"> </w:t>
      </w:r>
      <w:r>
        <w:rPr>
          <w:lang w:val="en-US"/>
        </w:rPr>
        <w:t xml:space="preserve">Article 21 and 24 ESC. </w:t>
      </w:r>
    </w:p>
  </w:footnote>
  <w:footnote w:id="213">
    <w:p w:rsidR="00551E68" w:rsidRPr="009A3633" w:rsidRDefault="00551E68" w:rsidP="005869B3">
      <w:pPr>
        <w:pStyle w:val="Voetnoottekst"/>
        <w:jc w:val="both"/>
        <w:rPr>
          <w:lang w:val="en-GB"/>
        </w:rPr>
      </w:pPr>
      <w:r>
        <w:rPr>
          <w:rStyle w:val="Voetnootmarkering"/>
        </w:rPr>
        <w:footnoteRef/>
      </w:r>
      <w:r w:rsidRPr="00F4724E">
        <w:rPr>
          <w:lang w:val="en-US"/>
        </w:rPr>
        <w:t xml:space="preserve"> </w:t>
      </w:r>
      <w:r w:rsidRPr="009A3633">
        <w:rPr>
          <w:lang w:val="en-GB"/>
        </w:rPr>
        <w:t>Additional Protocol to the European Social Charter Providing for a System of Collective Complaints, Strasbourg 9 November 1995.</w:t>
      </w:r>
    </w:p>
  </w:footnote>
  <w:footnote w:id="214">
    <w:p w:rsidR="00551E68" w:rsidRPr="00416DE7" w:rsidRDefault="00551E68" w:rsidP="005869B3">
      <w:pPr>
        <w:pStyle w:val="Voetnoottekst"/>
        <w:jc w:val="both"/>
        <w:rPr>
          <w:lang w:val="en-US"/>
        </w:rPr>
      </w:pPr>
      <w:r>
        <w:rPr>
          <w:rStyle w:val="Voetnootmarkering"/>
        </w:rPr>
        <w:footnoteRef/>
      </w:r>
      <w:r w:rsidRPr="00416DE7">
        <w:rPr>
          <w:lang w:val="en-US"/>
        </w:rPr>
        <w:t xml:space="preserve"> </w:t>
      </w:r>
      <w:r>
        <w:rPr>
          <w:lang w:val="en-US"/>
        </w:rPr>
        <w:t xml:space="preserve">Article 1 Additional Protocol to the ESC. </w:t>
      </w:r>
    </w:p>
  </w:footnote>
  <w:footnote w:id="215">
    <w:p w:rsidR="00551E68" w:rsidRPr="00323FFA" w:rsidRDefault="00551E68" w:rsidP="005869B3">
      <w:pPr>
        <w:pStyle w:val="Voetnoottekst"/>
        <w:jc w:val="both"/>
        <w:rPr>
          <w:b/>
          <w:u w:val="single"/>
          <w:lang w:val="en-US"/>
        </w:rPr>
      </w:pPr>
      <w:r>
        <w:rPr>
          <w:rStyle w:val="Voetnootmarkering"/>
        </w:rPr>
        <w:footnoteRef/>
      </w:r>
      <w:r w:rsidRPr="00964A58">
        <w:rPr>
          <w:lang w:val="en-US"/>
        </w:rPr>
        <w:t xml:space="preserve"> </w:t>
      </w:r>
      <w:r>
        <w:rPr>
          <w:lang w:val="en-US"/>
        </w:rPr>
        <w:t>Article 34 ECHR;</w:t>
      </w:r>
      <w:r w:rsidRPr="00323FFA">
        <w:rPr>
          <w:lang w:val="en-US"/>
        </w:rPr>
        <w:t xml:space="preserve"> Harris D., O’Boyle M., Bates E., Buckley C., </w:t>
      </w:r>
      <w:r w:rsidRPr="00323FFA">
        <w:rPr>
          <w:i/>
          <w:lang w:val="en-US"/>
        </w:rPr>
        <w:t>Law of the European Convention on Human Rights</w:t>
      </w:r>
      <w:r w:rsidRPr="00323FFA">
        <w:rPr>
          <w:lang w:val="en-US"/>
        </w:rPr>
        <w:t>, Oxford, Oxfor</w:t>
      </w:r>
      <w:r>
        <w:rPr>
          <w:lang w:val="en-US"/>
        </w:rPr>
        <w:t xml:space="preserve">d University Press, 2009, 4. </w:t>
      </w:r>
    </w:p>
  </w:footnote>
  <w:footnote w:id="216">
    <w:p w:rsidR="00551E68" w:rsidRPr="00CE35A6" w:rsidRDefault="00551E68" w:rsidP="005869B3">
      <w:pPr>
        <w:pStyle w:val="Voetnoottekst"/>
        <w:jc w:val="both"/>
        <w:rPr>
          <w:b/>
          <w:u w:val="single"/>
          <w:lang w:val="en-US"/>
        </w:rPr>
      </w:pPr>
      <w:r>
        <w:rPr>
          <w:rStyle w:val="Voetnootmarkering"/>
        </w:rPr>
        <w:footnoteRef/>
      </w:r>
      <w:r w:rsidRPr="00964A58">
        <w:rPr>
          <w:lang w:val="en-US"/>
        </w:rPr>
        <w:t xml:space="preserve"> </w:t>
      </w:r>
      <w:r>
        <w:rPr>
          <w:lang w:val="en-US"/>
        </w:rPr>
        <w:t xml:space="preserve">Article 41 ECHR; </w:t>
      </w:r>
      <w:r w:rsidRPr="00CE35A6">
        <w:rPr>
          <w:lang w:val="en-US"/>
        </w:rPr>
        <w:t>Harris D., O’Boyle M., Bates E., Buckley C.</w:t>
      </w:r>
      <w:r>
        <w:rPr>
          <w:lang w:val="en-US"/>
        </w:rPr>
        <w:t xml:space="preserve">, op. cit., 856-861. </w:t>
      </w:r>
    </w:p>
  </w:footnote>
  <w:footnote w:id="217">
    <w:p w:rsidR="00551E68" w:rsidRPr="00CC326B" w:rsidRDefault="00551E68" w:rsidP="005869B3">
      <w:pPr>
        <w:pStyle w:val="Voetnoottekst"/>
        <w:jc w:val="both"/>
        <w:rPr>
          <w:i/>
          <w:lang w:val="en-GB"/>
        </w:rPr>
      </w:pPr>
      <w:r>
        <w:rPr>
          <w:rStyle w:val="Voetnootmarkering"/>
        </w:rPr>
        <w:footnoteRef/>
      </w:r>
      <w:r w:rsidRPr="00F175FD">
        <w:rPr>
          <w:lang w:val="en-US"/>
        </w:rPr>
        <w:t xml:space="preserve"> </w:t>
      </w:r>
      <w:proofErr w:type="spellStart"/>
      <w:r w:rsidRPr="00A97640">
        <w:rPr>
          <w:lang w:val="en-GB"/>
        </w:rPr>
        <w:t>Besson</w:t>
      </w:r>
      <w:proofErr w:type="spellEnd"/>
      <w:r w:rsidRPr="00A97640">
        <w:rPr>
          <w:lang w:val="en-GB"/>
        </w:rPr>
        <w:t xml:space="preserve"> S., “Evolutions in Non-Discrimination Law within the ECHR and the ESC Systems: It Takes Two Tango in the Council of Europe”, </w:t>
      </w:r>
      <w:r w:rsidRPr="00A97640">
        <w:rPr>
          <w:i/>
          <w:lang w:val="en-GB"/>
        </w:rPr>
        <w:t>Am. J. Comp. L.</w:t>
      </w:r>
      <w:r>
        <w:rPr>
          <w:lang w:val="en-GB"/>
        </w:rPr>
        <w:t xml:space="preserve"> 2012, 152; </w:t>
      </w:r>
      <w:r w:rsidRPr="00CC326B">
        <w:rPr>
          <w:lang w:val="en-GB"/>
        </w:rPr>
        <w:t xml:space="preserve">Hart J., “The European Human Rights System”, </w:t>
      </w:r>
      <w:r w:rsidRPr="00CC326B">
        <w:rPr>
          <w:i/>
          <w:lang w:val="en-GB"/>
        </w:rPr>
        <w:t xml:space="preserve">L. </w:t>
      </w:r>
      <w:proofErr w:type="spellStart"/>
      <w:r w:rsidRPr="00CC326B">
        <w:rPr>
          <w:i/>
          <w:lang w:val="en-GB"/>
        </w:rPr>
        <w:t>Libr</w:t>
      </w:r>
      <w:proofErr w:type="spellEnd"/>
      <w:r w:rsidRPr="00CC326B">
        <w:rPr>
          <w:i/>
          <w:lang w:val="en-GB"/>
        </w:rPr>
        <w:t>. J.</w:t>
      </w:r>
      <w:r w:rsidRPr="00CC326B">
        <w:rPr>
          <w:lang w:val="en-GB"/>
        </w:rPr>
        <w:t xml:space="preserve"> 2010, 5</w:t>
      </w:r>
      <w:r>
        <w:rPr>
          <w:lang w:val="en-GB"/>
        </w:rPr>
        <w:t xml:space="preserve">56. </w:t>
      </w:r>
    </w:p>
  </w:footnote>
  <w:footnote w:id="218">
    <w:p w:rsidR="00551E68" w:rsidRPr="008F2D96" w:rsidRDefault="00551E68" w:rsidP="005869B3">
      <w:pPr>
        <w:pStyle w:val="Voetnoottekst"/>
        <w:jc w:val="both"/>
        <w:rPr>
          <w:i/>
          <w:lang w:val="en-GB"/>
        </w:rPr>
      </w:pPr>
      <w:r>
        <w:rPr>
          <w:rStyle w:val="Voetnootmarkering"/>
        </w:rPr>
        <w:footnoteRef/>
      </w:r>
      <w:r w:rsidRPr="00F17419">
        <w:rPr>
          <w:lang w:val="en-US"/>
        </w:rPr>
        <w:t xml:space="preserve"> </w:t>
      </w:r>
      <w:r w:rsidRPr="008F2D96">
        <w:rPr>
          <w:lang w:val="en-GB"/>
        </w:rPr>
        <w:t xml:space="preserve">Briggs A., “Waking Sleeping Beauty: The Revised European Social Charter”, </w:t>
      </w:r>
      <w:r w:rsidRPr="008F2D96">
        <w:rPr>
          <w:i/>
          <w:lang w:val="en-GB"/>
        </w:rPr>
        <w:t xml:space="preserve">Hum. </w:t>
      </w:r>
      <w:proofErr w:type="spellStart"/>
      <w:r w:rsidRPr="008F2D96">
        <w:rPr>
          <w:i/>
          <w:lang w:val="en-GB"/>
        </w:rPr>
        <w:t>Rts</w:t>
      </w:r>
      <w:proofErr w:type="spellEnd"/>
      <w:r w:rsidRPr="008F2D96">
        <w:rPr>
          <w:i/>
          <w:lang w:val="en-GB"/>
        </w:rPr>
        <w:t>. Brief</w:t>
      </w:r>
      <w:r w:rsidRPr="008F2D96">
        <w:rPr>
          <w:lang w:val="en-GB"/>
        </w:rPr>
        <w:t xml:space="preserve"> 2000,</w:t>
      </w:r>
      <w:r>
        <w:rPr>
          <w:lang w:val="en-GB"/>
        </w:rPr>
        <w:t xml:space="preserve"> 24; </w:t>
      </w:r>
      <w:r w:rsidRPr="008F2D96">
        <w:rPr>
          <w:lang w:val="en-GB"/>
        </w:rPr>
        <w:t xml:space="preserve"> </w:t>
      </w:r>
      <w:r w:rsidRPr="00CE194C">
        <w:rPr>
          <w:lang w:val="en-GB"/>
        </w:rPr>
        <w:t xml:space="preserve">Churchill R., “European Social Charter” in </w:t>
      </w:r>
      <w:r>
        <w:rPr>
          <w:lang w:val="en-GB"/>
        </w:rPr>
        <w:t>Forsythe D. (ed.), op. cit., 181.</w:t>
      </w:r>
    </w:p>
  </w:footnote>
  <w:footnote w:id="219">
    <w:p w:rsidR="00551E68" w:rsidRPr="00826BA5" w:rsidRDefault="00551E68" w:rsidP="005869B3">
      <w:pPr>
        <w:pStyle w:val="Voetnoottekst"/>
        <w:jc w:val="both"/>
        <w:rPr>
          <w:lang w:val="en-GB"/>
        </w:rPr>
      </w:pPr>
      <w:r>
        <w:rPr>
          <w:rStyle w:val="Voetnootmarkering"/>
        </w:rPr>
        <w:footnoteRef/>
      </w:r>
      <w:r w:rsidRPr="00F17419">
        <w:rPr>
          <w:lang w:val="en-US"/>
        </w:rPr>
        <w:t xml:space="preserve"> </w:t>
      </w:r>
      <w:r w:rsidRPr="00826BA5">
        <w:rPr>
          <w:lang w:val="en-GB"/>
        </w:rPr>
        <w:t xml:space="preserve">Revised European Social </w:t>
      </w:r>
      <w:r>
        <w:rPr>
          <w:lang w:val="en-GB"/>
        </w:rPr>
        <w:t xml:space="preserve">Charter, Strasbourg 3 May 1996 (RESC). </w:t>
      </w:r>
    </w:p>
  </w:footnote>
  <w:footnote w:id="220">
    <w:p w:rsidR="00551E68" w:rsidRPr="00AB2E5D" w:rsidRDefault="00551E68" w:rsidP="005869B3">
      <w:pPr>
        <w:pStyle w:val="Voetnoottekst"/>
        <w:jc w:val="both"/>
        <w:rPr>
          <w:b/>
          <w:u w:val="single"/>
          <w:lang w:val="en-US"/>
        </w:rPr>
      </w:pPr>
      <w:r>
        <w:rPr>
          <w:rStyle w:val="Voetnootmarkering"/>
        </w:rPr>
        <w:footnoteRef/>
      </w:r>
      <w:r w:rsidRPr="00B22943">
        <w:rPr>
          <w:lang w:val="en-GB"/>
        </w:rPr>
        <w:t xml:space="preserve"> Article B RESC;</w:t>
      </w:r>
      <w:r>
        <w:rPr>
          <w:lang w:val="en-GB"/>
        </w:rPr>
        <w:t xml:space="preserve"> </w:t>
      </w:r>
      <w:proofErr w:type="spellStart"/>
      <w:r w:rsidRPr="00AB2E5D">
        <w:rPr>
          <w:lang w:val="en-US"/>
        </w:rPr>
        <w:t>Swiatkowski</w:t>
      </w:r>
      <w:proofErr w:type="spellEnd"/>
      <w:r w:rsidRPr="00AB2E5D">
        <w:rPr>
          <w:lang w:val="en-US"/>
        </w:rPr>
        <w:t xml:space="preserve"> A., </w:t>
      </w:r>
      <w:r w:rsidRPr="00AB2E5D">
        <w:rPr>
          <w:i/>
          <w:lang w:val="en-US"/>
        </w:rPr>
        <w:t>Charter of Social Rights of the Council of Europe</w:t>
      </w:r>
      <w:r w:rsidRPr="00AB2E5D">
        <w:rPr>
          <w:lang w:val="en-US"/>
        </w:rPr>
        <w:t xml:space="preserve">, London, Kluwer </w:t>
      </w:r>
      <w:r>
        <w:rPr>
          <w:lang w:val="en-US"/>
        </w:rPr>
        <w:t xml:space="preserve">Law International, 2007, </w:t>
      </w:r>
      <w:r>
        <w:rPr>
          <w:lang w:val="en-GB"/>
        </w:rPr>
        <w:t xml:space="preserve">27. </w:t>
      </w:r>
    </w:p>
  </w:footnote>
  <w:footnote w:id="221">
    <w:p w:rsidR="00551E68" w:rsidRPr="00394C89" w:rsidRDefault="00551E68" w:rsidP="005869B3">
      <w:pPr>
        <w:pStyle w:val="Voetnoottekst"/>
        <w:jc w:val="both"/>
        <w:rPr>
          <w:u w:val="single"/>
          <w:lang w:val="en-US"/>
        </w:rPr>
      </w:pPr>
      <w:r>
        <w:rPr>
          <w:rStyle w:val="Voetnootmarkering"/>
        </w:rPr>
        <w:footnoteRef/>
      </w:r>
      <w:r w:rsidRPr="00394C89">
        <w:rPr>
          <w:lang w:val="en-US"/>
        </w:rPr>
        <w:t xml:space="preserve"> European Network of Legal Experts in the non-discrimination field, </w:t>
      </w:r>
      <w:r w:rsidRPr="00394C89">
        <w:rPr>
          <w:i/>
          <w:lang w:val="en-US"/>
        </w:rPr>
        <w:t>The Prohibition of Discrimination under European Human Rights Law</w:t>
      </w:r>
      <w:r w:rsidRPr="00394C89">
        <w:rPr>
          <w:lang w:val="en-US"/>
        </w:rPr>
        <w:t>, Luxembourg, Publications Office of the European Union, 2011,</w:t>
      </w:r>
      <w:r>
        <w:rPr>
          <w:lang w:val="en-US"/>
        </w:rPr>
        <w:t xml:space="preserve"> 40 and 45; </w:t>
      </w:r>
      <w:proofErr w:type="spellStart"/>
      <w:r w:rsidRPr="00D44BB1">
        <w:rPr>
          <w:lang w:val="en-US"/>
        </w:rPr>
        <w:t>Swiatkowski</w:t>
      </w:r>
      <w:proofErr w:type="spellEnd"/>
      <w:r w:rsidRPr="00D44BB1">
        <w:rPr>
          <w:lang w:val="en-US"/>
        </w:rPr>
        <w:t xml:space="preserve"> A.,</w:t>
      </w:r>
      <w:r>
        <w:rPr>
          <w:lang w:val="en-US"/>
        </w:rPr>
        <w:t xml:space="preserve"> op. cit., 32-35. </w:t>
      </w:r>
    </w:p>
  </w:footnote>
  <w:footnote w:id="222">
    <w:p w:rsidR="00551E68" w:rsidRPr="00454139" w:rsidRDefault="00551E68" w:rsidP="005869B3">
      <w:pPr>
        <w:pStyle w:val="Voetnoottekst"/>
        <w:jc w:val="both"/>
        <w:rPr>
          <w:lang w:val="en-US"/>
        </w:rPr>
      </w:pPr>
      <w:r>
        <w:rPr>
          <w:rStyle w:val="Voetnootmarkering"/>
        </w:rPr>
        <w:footnoteRef/>
      </w:r>
      <w:r w:rsidRPr="00454139">
        <w:rPr>
          <w:lang w:val="en-US"/>
        </w:rPr>
        <w:t xml:space="preserve"> Article A RESC. </w:t>
      </w:r>
    </w:p>
  </w:footnote>
  <w:footnote w:id="223">
    <w:p w:rsidR="00551E68" w:rsidRPr="00714E14" w:rsidRDefault="00551E68" w:rsidP="005869B3">
      <w:pPr>
        <w:pStyle w:val="Voetnoottekst"/>
        <w:jc w:val="both"/>
        <w:rPr>
          <w:b/>
          <w:i/>
          <w:lang w:val="en-US"/>
        </w:rPr>
      </w:pPr>
      <w:r>
        <w:rPr>
          <w:rStyle w:val="Voetnootmarkering"/>
        </w:rPr>
        <w:footnoteRef/>
      </w:r>
      <w:r>
        <w:rPr>
          <w:lang w:val="en-US"/>
        </w:rPr>
        <w:t xml:space="preserve"> </w:t>
      </w:r>
      <w:proofErr w:type="spellStart"/>
      <w:r w:rsidRPr="004C5168">
        <w:rPr>
          <w:lang w:val="en-US"/>
        </w:rPr>
        <w:t>Frostell</w:t>
      </w:r>
      <w:proofErr w:type="spellEnd"/>
      <w:r w:rsidRPr="004C5168">
        <w:rPr>
          <w:lang w:val="en-US"/>
        </w:rPr>
        <w:t xml:space="preserve"> K. and </w:t>
      </w:r>
      <w:proofErr w:type="spellStart"/>
      <w:r w:rsidRPr="004C5168">
        <w:rPr>
          <w:lang w:val="en-US"/>
        </w:rPr>
        <w:t>Scheinin</w:t>
      </w:r>
      <w:proofErr w:type="spellEnd"/>
      <w:r w:rsidRPr="004C5168">
        <w:rPr>
          <w:lang w:val="en-US"/>
        </w:rPr>
        <w:t xml:space="preserve"> M., “Women” in </w:t>
      </w:r>
      <w:proofErr w:type="spellStart"/>
      <w:r w:rsidRPr="004C5168">
        <w:rPr>
          <w:lang w:val="en-GB"/>
        </w:rPr>
        <w:t>Eide</w:t>
      </w:r>
      <w:proofErr w:type="spellEnd"/>
      <w:r w:rsidRPr="004C5168">
        <w:rPr>
          <w:lang w:val="en-GB"/>
        </w:rPr>
        <w:t xml:space="preserve"> A., Krause C. and Rosas A. (eds.), </w:t>
      </w:r>
      <w:r w:rsidRPr="004C5168">
        <w:rPr>
          <w:i/>
          <w:lang w:val="en-GB"/>
        </w:rPr>
        <w:t>Economic, social and cultural rights: a textbook</w:t>
      </w:r>
      <w:r w:rsidRPr="004C5168">
        <w:rPr>
          <w:lang w:val="en-GB"/>
        </w:rPr>
        <w:t xml:space="preserve">, The Hague, </w:t>
      </w:r>
      <w:proofErr w:type="spellStart"/>
      <w:r w:rsidRPr="004C5168">
        <w:rPr>
          <w:lang w:val="en-GB"/>
        </w:rPr>
        <w:t>Martinus</w:t>
      </w:r>
      <w:proofErr w:type="spellEnd"/>
      <w:r w:rsidRPr="004C5168">
        <w:rPr>
          <w:lang w:val="en-GB"/>
        </w:rPr>
        <w:t xml:space="preserve"> </w:t>
      </w:r>
      <w:proofErr w:type="spellStart"/>
      <w:r w:rsidRPr="004C5168">
        <w:rPr>
          <w:lang w:val="en-GB"/>
        </w:rPr>
        <w:t>Nijhoff</w:t>
      </w:r>
      <w:proofErr w:type="spellEnd"/>
      <w:r w:rsidRPr="004C5168">
        <w:rPr>
          <w:lang w:val="en-GB"/>
        </w:rPr>
        <w:t xml:space="preserve"> Publishers, 2001, 346</w:t>
      </w:r>
      <w:r>
        <w:rPr>
          <w:lang w:val="en-US"/>
        </w:rPr>
        <w:t xml:space="preserve">; </w:t>
      </w:r>
      <w:proofErr w:type="spellStart"/>
      <w:r w:rsidRPr="00714E14">
        <w:rPr>
          <w:lang w:val="en-GB"/>
        </w:rPr>
        <w:t>Va</w:t>
      </w:r>
      <w:r>
        <w:rPr>
          <w:lang w:val="en-GB"/>
        </w:rPr>
        <w:t>nDamme</w:t>
      </w:r>
      <w:proofErr w:type="spellEnd"/>
      <w:r>
        <w:rPr>
          <w:lang w:val="en-GB"/>
        </w:rPr>
        <w:t xml:space="preserve"> F., op. cit., 644-645. </w:t>
      </w:r>
    </w:p>
  </w:footnote>
  <w:footnote w:id="224">
    <w:p w:rsidR="00551E68" w:rsidRPr="003B7E4B" w:rsidRDefault="00551E68" w:rsidP="005869B3">
      <w:pPr>
        <w:pStyle w:val="Voetnoottekst"/>
        <w:jc w:val="both"/>
        <w:rPr>
          <w:lang w:val="en-US"/>
        </w:rPr>
      </w:pPr>
      <w:r>
        <w:rPr>
          <w:rStyle w:val="Voetnootmarkering"/>
        </w:rPr>
        <w:footnoteRef/>
      </w:r>
      <w:r w:rsidRPr="003B7E4B">
        <w:rPr>
          <w:lang w:val="en-US"/>
        </w:rPr>
        <w:t xml:space="preserve"> X, “The European Social Charter and International </w:t>
      </w:r>
      <w:proofErr w:type="spellStart"/>
      <w:r w:rsidRPr="003B7E4B">
        <w:rPr>
          <w:lang w:val="en-US"/>
        </w:rPr>
        <w:t>Labour</w:t>
      </w:r>
      <w:proofErr w:type="spellEnd"/>
      <w:r w:rsidRPr="003B7E4B">
        <w:rPr>
          <w:lang w:val="en-US"/>
        </w:rPr>
        <w:t xml:space="preserve"> Standards: I”, </w:t>
      </w:r>
      <w:r w:rsidRPr="003B7E4B">
        <w:rPr>
          <w:i/>
          <w:lang w:val="en-US"/>
        </w:rPr>
        <w:t xml:space="preserve">Int’l Lab. Rev. </w:t>
      </w:r>
      <w:r w:rsidRPr="003B7E4B">
        <w:rPr>
          <w:lang w:val="en-US"/>
        </w:rPr>
        <w:t xml:space="preserve">1961, </w:t>
      </w:r>
      <w:r>
        <w:rPr>
          <w:lang w:val="en-US"/>
        </w:rPr>
        <w:t xml:space="preserve">369. </w:t>
      </w:r>
    </w:p>
  </w:footnote>
  <w:footnote w:id="225">
    <w:p w:rsidR="00551E68" w:rsidRPr="001F0115" w:rsidRDefault="00551E68" w:rsidP="005869B3">
      <w:pPr>
        <w:pStyle w:val="Voetnoottekst"/>
        <w:jc w:val="both"/>
        <w:rPr>
          <w:lang w:val="en-GB"/>
        </w:rPr>
      </w:pPr>
      <w:r>
        <w:rPr>
          <w:rStyle w:val="Voetnootmarkering"/>
        </w:rPr>
        <w:footnoteRef/>
      </w:r>
      <w:r>
        <w:rPr>
          <w:lang w:val="en-US"/>
        </w:rPr>
        <w:t xml:space="preserve"> </w:t>
      </w:r>
      <w:proofErr w:type="spellStart"/>
      <w:r w:rsidRPr="008B0299">
        <w:rPr>
          <w:lang w:val="en-US"/>
        </w:rPr>
        <w:t>Frostell</w:t>
      </w:r>
      <w:proofErr w:type="spellEnd"/>
      <w:r w:rsidRPr="008B0299">
        <w:rPr>
          <w:lang w:val="en-US"/>
        </w:rPr>
        <w:t xml:space="preserve"> K. and </w:t>
      </w:r>
      <w:proofErr w:type="spellStart"/>
      <w:r w:rsidRPr="008B0299">
        <w:rPr>
          <w:lang w:val="en-US"/>
        </w:rPr>
        <w:t>Scheinin</w:t>
      </w:r>
      <w:proofErr w:type="spellEnd"/>
      <w:r w:rsidRPr="008B0299">
        <w:rPr>
          <w:lang w:val="en-US"/>
        </w:rPr>
        <w:t xml:space="preserve"> M., “Women” in </w:t>
      </w:r>
      <w:proofErr w:type="spellStart"/>
      <w:r w:rsidRPr="008B0299">
        <w:rPr>
          <w:lang w:val="en-GB"/>
        </w:rPr>
        <w:t>Eide</w:t>
      </w:r>
      <w:proofErr w:type="spellEnd"/>
      <w:r w:rsidRPr="008B0299">
        <w:rPr>
          <w:lang w:val="en-GB"/>
        </w:rPr>
        <w:t xml:space="preserve"> A., Krause C</w:t>
      </w:r>
      <w:r>
        <w:rPr>
          <w:lang w:val="en-GB"/>
        </w:rPr>
        <w:t xml:space="preserve">. and Rosas A. (eds.), op. cit., 346; </w:t>
      </w:r>
      <w:r w:rsidRPr="001F0115">
        <w:rPr>
          <w:lang w:val="en-GB"/>
        </w:rPr>
        <w:t xml:space="preserve">Secretariat of the European Social Charter, </w:t>
      </w:r>
      <w:r w:rsidRPr="001F0115">
        <w:rPr>
          <w:i/>
          <w:lang w:val="en-GB"/>
        </w:rPr>
        <w:t>Equality between Women and Men in the European Social Charter</w:t>
      </w:r>
      <w:r w:rsidRPr="001F0115">
        <w:rPr>
          <w:lang w:val="en-GB"/>
        </w:rPr>
        <w:t>, Strasbourg, Council of Europe Publishing, 2005,</w:t>
      </w:r>
      <w:r>
        <w:rPr>
          <w:lang w:val="en-GB"/>
        </w:rPr>
        <w:t xml:space="preserve"> 10. </w:t>
      </w:r>
    </w:p>
  </w:footnote>
  <w:footnote w:id="226">
    <w:p w:rsidR="00551E68" w:rsidRPr="00A00798" w:rsidRDefault="00551E68" w:rsidP="005869B3">
      <w:pPr>
        <w:pStyle w:val="Voetnoottekst"/>
        <w:jc w:val="both"/>
        <w:rPr>
          <w:lang w:val="en-US"/>
        </w:rPr>
      </w:pPr>
      <w:r>
        <w:rPr>
          <w:rStyle w:val="Voetnootmarkering"/>
        </w:rPr>
        <w:footnoteRef/>
      </w:r>
      <w:r w:rsidRPr="00A00798">
        <w:rPr>
          <w:lang w:val="en-US"/>
        </w:rPr>
        <w:t xml:space="preserve"> </w:t>
      </w:r>
      <w:r w:rsidRPr="00600F39">
        <w:rPr>
          <w:lang w:val="en-GB"/>
        </w:rPr>
        <w:t>Explanatory report to the RESC,</w:t>
      </w:r>
      <w:r>
        <w:rPr>
          <w:lang w:val="en-GB"/>
        </w:rPr>
        <w:t xml:space="preserve"> Introduction, para. 7. </w:t>
      </w:r>
      <w:r w:rsidRPr="00600F39">
        <w:rPr>
          <w:lang w:val="en-GB"/>
        </w:rPr>
        <w:t xml:space="preserve">   </w:t>
      </w:r>
    </w:p>
  </w:footnote>
  <w:footnote w:id="227">
    <w:p w:rsidR="00551E68" w:rsidRPr="00485185" w:rsidRDefault="00551E68" w:rsidP="005869B3">
      <w:pPr>
        <w:pStyle w:val="Voetnoottekst"/>
        <w:jc w:val="both"/>
        <w:rPr>
          <w:i/>
          <w:lang w:val="en-GB"/>
        </w:rPr>
      </w:pPr>
      <w:r>
        <w:rPr>
          <w:rStyle w:val="Voetnootmarkering"/>
        </w:rPr>
        <w:footnoteRef/>
      </w:r>
      <w:r>
        <w:rPr>
          <w:lang w:val="en-US"/>
        </w:rPr>
        <w:t xml:space="preserve"> Jacobs A., “The Social Janus Head of the European Union: The Social Market Economy Versus Ultraliberal Policies”</w:t>
      </w:r>
      <w:r w:rsidRPr="00AA0EBB">
        <w:rPr>
          <w:lang w:val="en-US"/>
        </w:rPr>
        <w:t xml:space="preserve"> </w:t>
      </w:r>
      <w:r>
        <w:rPr>
          <w:lang w:val="en-US"/>
        </w:rPr>
        <w:t>i</w:t>
      </w:r>
      <w:r w:rsidRPr="00AA0EBB">
        <w:rPr>
          <w:lang w:val="en-US"/>
        </w:rPr>
        <w:t>n</w:t>
      </w:r>
      <w:r>
        <w:rPr>
          <w:lang w:val="en-US"/>
        </w:rPr>
        <w:t xml:space="preserve"> </w:t>
      </w:r>
      <w:proofErr w:type="spellStart"/>
      <w:r w:rsidRPr="00423830">
        <w:rPr>
          <w:lang w:val="en-US"/>
        </w:rPr>
        <w:t>Wouters</w:t>
      </w:r>
      <w:proofErr w:type="spellEnd"/>
      <w:r w:rsidRPr="00423830">
        <w:rPr>
          <w:lang w:val="en-US"/>
        </w:rPr>
        <w:t xml:space="preserve"> J., </w:t>
      </w:r>
      <w:proofErr w:type="spellStart"/>
      <w:r w:rsidRPr="00423830">
        <w:rPr>
          <w:lang w:val="en-US"/>
        </w:rPr>
        <w:t>Verhey</w:t>
      </w:r>
      <w:proofErr w:type="spellEnd"/>
      <w:r w:rsidRPr="00423830">
        <w:rPr>
          <w:lang w:val="en-US"/>
        </w:rPr>
        <w:t xml:space="preserve"> L. and </w:t>
      </w:r>
      <w:proofErr w:type="spellStart"/>
      <w:r w:rsidRPr="00423830">
        <w:rPr>
          <w:lang w:val="en-US"/>
        </w:rPr>
        <w:t>Kiiver</w:t>
      </w:r>
      <w:proofErr w:type="spellEnd"/>
      <w:r w:rsidRPr="00423830">
        <w:rPr>
          <w:lang w:val="en-US"/>
        </w:rPr>
        <w:t xml:space="preserve"> P. (eds.), </w:t>
      </w:r>
      <w:r w:rsidRPr="00423830">
        <w:rPr>
          <w:i/>
          <w:lang w:val="en-US"/>
        </w:rPr>
        <w:t>European Constitutionalism Beyond Lisbon</w:t>
      </w:r>
      <w:r w:rsidRPr="00423830">
        <w:rPr>
          <w:lang w:val="en-US"/>
        </w:rPr>
        <w:t xml:space="preserve">, Antwerp, </w:t>
      </w:r>
      <w:proofErr w:type="spellStart"/>
      <w:r w:rsidRPr="00423830">
        <w:rPr>
          <w:lang w:val="en-US"/>
        </w:rPr>
        <w:t>Intersen</w:t>
      </w:r>
      <w:r>
        <w:rPr>
          <w:lang w:val="en-US"/>
        </w:rPr>
        <w:t>tia</w:t>
      </w:r>
      <w:proofErr w:type="spellEnd"/>
      <w:r>
        <w:rPr>
          <w:lang w:val="en-US"/>
        </w:rPr>
        <w:t>, 2009, 112-113;</w:t>
      </w:r>
      <w:r>
        <w:rPr>
          <w:lang w:val="en-GB"/>
        </w:rPr>
        <w:t xml:space="preserve"> </w:t>
      </w:r>
      <w:r w:rsidRPr="000C2C29">
        <w:rPr>
          <w:lang w:val="en-GB"/>
        </w:rPr>
        <w:t>O’Keeffe D., “The uneasy progress of European social policy</w:t>
      </w:r>
      <w:r w:rsidRPr="000C2C29">
        <w:rPr>
          <w:i/>
          <w:lang w:val="en-GB"/>
        </w:rPr>
        <w:t>”, Colum. J. Eur. L.</w:t>
      </w:r>
      <w:r>
        <w:rPr>
          <w:lang w:val="en-GB"/>
        </w:rPr>
        <w:t xml:space="preserve"> 1995-1996, 241; </w:t>
      </w:r>
      <w:proofErr w:type="spellStart"/>
      <w:r w:rsidRPr="00485185">
        <w:rPr>
          <w:lang w:val="en-GB"/>
        </w:rPr>
        <w:t>Vandenbroucke</w:t>
      </w:r>
      <w:proofErr w:type="spellEnd"/>
      <w:r w:rsidRPr="00485185">
        <w:rPr>
          <w:lang w:val="en-GB"/>
        </w:rPr>
        <w:t xml:space="preserve"> F., “Europe: The Social Challenge”, European Social Observatory Opinion Paper N</w:t>
      </w:r>
      <w:r>
        <w:rPr>
          <w:lang w:val="en-GB"/>
        </w:rPr>
        <w:t xml:space="preserve">o. 11, July 2012, 3-4. </w:t>
      </w:r>
    </w:p>
  </w:footnote>
  <w:footnote w:id="228">
    <w:p w:rsidR="00551E68" w:rsidRPr="00590F68" w:rsidRDefault="00551E68" w:rsidP="005869B3">
      <w:pPr>
        <w:pStyle w:val="Voetnoottekst"/>
        <w:jc w:val="both"/>
        <w:rPr>
          <w:b/>
          <w:u w:val="single"/>
          <w:lang w:val="en-US"/>
        </w:rPr>
      </w:pPr>
      <w:r>
        <w:rPr>
          <w:rStyle w:val="Voetnootmarkering"/>
        </w:rPr>
        <w:footnoteRef/>
      </w:r>
      <w:r w:rsidRPr="002414EC">
        <w:rPr>
          <w:lang w:val="en-US"/>
        </w:rPr>
        <w:t xml:space="preserve"> </w:t>
      </w:r>
      <w:proofErr w:type="spellStart"/>
      <w:r w:rsidRPr="00CF6742">
        <w:rPr>
          <w:lang w:val="en-GB"/>
        </w:rPr>
        <w:t>Goudappel</w:t>
      </w:r>
      <w:proofErr w:type="spellEnd"/>
      <w:r w:rsidRPr="00CF6742">
        <w:rPr>
          <w:lang w:val="en-GB"/>
        </w:rPr>
        <w:t xml:space="preserve"> F., </w:t>
      </w:r>
      <w:r w:rsidRPr="00CF6742">
        <w:rPr>
          <w:i/>
          <w:lang w:val="en-GB"/>
        </w:rPr>
        <w:t>The Effects of EU Citizenship</w:t>
      </w:r>
      <w:r w:rsidRPr="00CF6742">
        <w:rPr>
          <w:lang w:val="en-GB"/>
        </w:rPr>
        <w:t>, The Hague, T</w:t>
      </w:r>
      <w:r>
        <w:rPr>
          <w:lang w:val="en-GB"/>
        </w:rPr>
        <w:t xml:space="preserve">.M.C. Asser Press, 2010, 78; </w:t>
      </w:r>
      <w:proofErr w:type="spellStart"/>
      <w:r>
        <w:rPr>
          <w:lang w:val="en-GB"/>
        </w:rPr>
        <w:t>Liebfried</w:t>
      </w:r>
      <w:proofErr w:type="spellEnd"/>
      <w:r>
        <w:rPr>
          <w:lang w:val="en-GB"/>
        </w:rPr>
        <w:t xml:space="preserve"> S. and Pierson P., “Social Policy” in </w:t>
      </w:r>
      <w:r w:rsidRPr="006D0936">
        <w:rPr>
          <w:lang w:val="en-GB"/>
        </w:rPr>
        <w:t>Wallace H. and Wallace W. (eds.), Policy-Making in the European Union, Oxford, Oxford University Press, 2000,</w:t>
      </w:r>
      <w:r>
        <w:rPr>
          <w:lang w:val="en-GB"/>
        </w:rPr>
        <w:t xml:space="preserve"> 268; </w:t>
      </w:r>
      <w:r w:rsidRPr="00590F68">
        <w:rPr>
          <w:lang w:val="en-US"/>
        </w:rPr>
        <w:t xml:space="preserve">Roberts I. and Springer B., </w:t>
      </w:r>
      <w:r w:rsidRPr="00590F68">
        <w:rPr>
          <w:i/>
          <w:lang w:val="en-US"/>
        </w:rPr>
        <w:t>Social Policy in the European Union</w:t>
      </w:r>
      <w:r w:rsidRPr="00590F68">
        <w:rPr>
          <w:lang w:val="en-US"/>
        </w:rPr>
        <w:t xml:space="preserve">, Boulder, Lynne </w:t>
      </w:r>
      <w:proofErr w:type="spellStart"/>
      <w:r w:rsidRPr="00590F68">
        <w:rPr>
          <w:lang w:val="en-US"/>
        </w:rPr>
        <w:t>Rienner</w:t>
      </w:r>
      <w:proofErr w:type="spellEnd"/>
      <w:r w:rsidRPr="00590F68">
        <w:rPr>
          <w:lang w:val="en-US"/>
        </w:rPr>
        <w:t xml:space="preserve"> Publishers, 2001,</w:t>
      </w:r>
      <w:r>
        <w:rPr>
          <w:lang w:val="en-US"/>
        </w:rPr>
        <w:t xml:space="preserve"> 1-3. </w:t>
      </w:r>
    </w:p>
  </w:footnote>
  <w:footnote w:id="229">
    <w:p w:rsidR="00551E68" w:rsidRPr="00425A11" w:rsidRDefault="00551E68" w:rsidP="005869B3">
      <w:pPr>
        <w:pStyle w:val="Voetnoottekst"/>
        <w:jc w:val="both"/>
        <w:rPr>
          <w:b/>
          <w:i/>
          <w:lang w:val="en-US"/>
        </w:rPr>
      </w:pPr>
      <w:r>
        <w:rPr>
          <w:rStyle w:val="Voetnootmarkering"/>
        </w:rPr>
        <w:footnoteRef/>
      </w:r>
      <w:r>
        <w:rPr>
          <w:lang w:val="en-US"/>
        </w:rPr>
        <w:t xml:space="preserve"> </w:t>
      </w:r>
      <w:proofErr w:type="spellStart"/>
      <w:r w:rsidRPr="00425A11">
        <w:rPr>
          <w:lang w:val="en-US"/>
        </w:rPr>
        <w:t>Alcock</w:t>
      </w:r>
      <w:proofErr w:type="spellEnd"/>
      <w:r w:rsidRPr="00425A11">
        <w:rPr>
          <w:lang w:val="en-US"/>
        </w:rPr>
        <w:t xml:space="preserve"> C., Payne S. and Sullivan M., </w:t>
      </w:r>
      <w:r w:rsidRPr="00425A11">
        <w:rPr>
          <w:i/>
          <w:lang w:val="en-US"/>
        </w:rPr>
        <w:t>Introducing Social Policy</w:t>
      </w:r>
      <w:r w:rsidRPr="00425A11">
        <w:rPr>
          <w:lang w:val="en-US"/>
        </w:rPr>
        <w:t>, Prentic</w:t>
      </w:r>
      <w:r>
        <w:rPr>
          <w:lang w:val="en-US"/>
        </w:rPr>
        <w:t>e Hall, New Jersey, 2000, 1.</w:t>
      </w:r>
    </w:p>
  </w:footnote>
  <w:footnote w:id="230">
    <w:p w:rsidR="00551E68" w:rsidRPr="00A74E9E" w:rsidRDefault="00551E68" w:rsidP="005869B3">
      <w:pPr>
        <w:pStyle w:val="Voetnoottekst"/>
        <w:jc w:val="both"/>
        <w:rPr>
          <w:lang w:val="en-GB"/>
        </w:rPr>
      </w:pPr>
      <w:r>
        <w:rPr>
          <w:rStyle w:val="Voetnootmarkering"/>
        </w:rPr>
        <w:footnoteRef/>
      </w:r>
      <w:r w:rsidRPr="00FC6F52">
        <w:rPr>
          <w:lang w:val="en-US"/>
        </w:rPr>
        <w:t xml:space="preserve"> </w:t>
      </w:r>
      <w:proofErr w:type="spellStart"/>
      <w:r>
        <w:rPr>
          <w:lang w:val="en-GB"/>
        </w:rPr>
        <w:t>Goudappel</w:t>
      </w:r>
      <w:proofErr w:type="spellEnd"/>
      <w:r>
        <w:rPr>
          <w:lang w:val="en-GB"/>
        </w:rPr>
        <w:t xml:space="preserve"> F., op. cit., 78;</w:t>
      </w:r>
      <w:r>
        <w:rPr>
          <w:sz w:val="24"/>
          <w:szCs w:val="24"/>
          <w:lang w:val="en-GB"/>
        </w:rPr>
        <w:t xml:space="preserve"> </w:t>
      </w:r>
      <w:proofErr w:type="spellStart"/>
      <w:r w:rsidRPr="00A74E9E">
        <w:rPr>
          <w:lang w:val="en-GB"/>
        </w:rPr>
        <w:t>Liebfried</w:t>
      </w:r>
      <w:proofErr w:type="spellEnd"/>
      <w:r w:rsidRPr="00A74E9E">
        <w:rPr>
          <w:lang w:val="en-GB"/>
        </w:rPr>
        <w:t xml:space="preserve"> S. and Pierson P., “Social Policy” in</w:t>
      </w:r>
      <w:r>
        <w:rPr>
          <w:lang w:val="en-GB"/>
        </w:rPr>
        <w:t xml:space="preserve"> </w:t>
      </w:r>
      <w:r w:rsidRPr="00A74E9E">
        <w:rPr>
          <w:lang w:val="en-GB"/>
        </w:rPr>
        <w:t>Wallace H. and Wallace</w:t>
      </w:r>
      <w:r>
        <w:rPr>
          <w:lang w:val="en-GB"/>
        </w:rPr>
        <w:t xml:space="preserve"> W. (eds.), op. cit., 268. </w:t>
      </w:r>
    </w:p>
  </w:footnote>
  <w:footnote w:id="231">
    <w:p w:rsidR="00551E68" w:rsidRPr="008C7B0D" w:rsidRDefault="00551E68" w:rsidP="005869B3">
      <w:pPr>
        <w:pStyle w:val="Voetnoottekst"/>
        <w:jc w:val="both"/>
        <w:rPr>
          <w:lang w:val="en-US"/>
        </w:rPr>
      </w:pPr>
      <w:r>
        <w:rPr>
          <w:rStyle w:val="Voetnootmarkering"/>
        </w:rPr>
        <w:footnoteRef/>
      </w:r>
      <w:r w:rsidRPr="008C7B0D">
        <w:rPr>
          <w:lang w:val="en-US"/>
        </w:rPr>
        <w:t xml:space="preserve"> Articles 45 and 48 TFEU in particular. </w:t>
      </w:r>
    </w:p>
  </w:footnote>
  <w:footnote w:id="232">
    <w:p w:rsidR="00551E68" w:rsidRPr="008C7B0D" w:rsidRDefault="00551E68" w:rsidP="005869B3">
      <w:pPr>
        <w:pStyle w:val="Voetnoottekst"/>
        <w:jc w:val="both"/>
        <w:rPr>
          <w:lang w:val="en-US"/>
        </w:rPr>
      </w:pPr>
      <w:r>
        <w:rPr>
          <w:rStyle w:val="Voetnootmarkering"/>
        </w:rPr>
        <w:footnoteRef/>
      </w:r>
      <w:r w:rsidRPr="008C7B0D">
        <w:rPr>
          <w:lang w:val="en-US"/>
        </w:rPr>
        <w:t xml:space="preserve"> Article 50 TFEU. </w:t>
      </w:r>
    </w:p>
  </w:footnote>
  <w:footnote w:id="233">
    <w:p w:rsidR="00551E68" w:rsidRPr="002414EC" w:rsidRDefault="00551E68" w:rsidP="005869B3">
      <w:pPr>
        <w:pStyle w:val="Voetnoottekst"/>
        <w:jc w:val="both"/>
        <w:rPr>
          <w:lang w:val="en-US"/>
        </w:rPr>
      </w:pPr>
      <w:r>
        <w:rPr>
          <w:rStyle w:val="Voetnootmarkering"/>
        </w:rPr>
        <w:footnoteRef/>
      </w:r>
      <w:r w:rsidRPr="002414EC">
        <w:rPr>
          <w:lang w:val="en-US"/>
        </w:rPr>
        <w:t xml:space="preserve"> </w:t>
      </w:r>
      <w:r>
        <w:rPr>
          <w:lang w:val="en-US"/>
        </w:rPr>
        <w:t xml:space="preserve">Article 26(2) TFEU; </w:t>
      </w:r>
      <w:proofErr w:type="spellStart"/>
      <w:r w:rsidRPr="009F1C1B">
        <w:rPr>
          <w:lang w:val="en-GB"/>
        </w:rPr>
        <w:t>Lenaerts</w:t>
      </w:r>
      <w:proofErr w:type="spellEnd"/>
      <w:r w:rsidRPr="009F1C1B">
        <w:rPr>
          <w:lang w:val="en-GB"/>
        </w:rPr>
        <w:t xml:space="preserve"> K. and Van </w:t>
      </w:r>
      <w:proofErr w:type="spellStart"/>
      <w:r w:rsidRPr="009F1C1B">
        <w:rPr>
          <w:lang w:val="en-GB"/>
        </w:rPr>
        <w:t>Nuffel</w:t>
      </w:r>
      <w:proofErr w:type="spellEnd"/>
      <w:r w:rsidRPr="009F1C1B">
        <w:rPr>
          <w:lang w:val="en-GB"/>
        </w:rPr>
        <w:t xml:space="preserve"> P.,</w:t>
      </w:r>
      <w:r>
        <w:rPr>
          <w:lang w:val="en-GB"/>
        </w:rPr>
        <w:t xml:space="preserve"> op. cit., 195. </w:t>
      </w:r>
    </w:p>
  </w:footnote>
  <w:footnote w:id="234">
    <w:p w:rsidR="00551E68" w:rsidRPr="00730D00" w:rsidRDefault="00551E68" w:rsidP="005869B3">
      <w:pPr>
        <w:pStyle w:val="Voetnoottekst"/>
        <w:jc w:val="both"/>
        <w:rPr>
          <w:lang w:val="en-GB"/>
        </w:rPr>
      </w:pPr>
      <w:r>
        <w:rPr>
          <w:rStyle w:val="Voetnootmarkering"/>
        </w:rPr>
        <w:footnoteRef/>
      </w:r>
      <w:r w:rsidRPr="002A0219">
        <w:rPr>
          <w:lang w:val="en-US"/>
        </w:rPr>
        <w:t xml:space="preserve"> </w:t>
      </w:r>
      <w:r>
        <w:rPr>
          <w:lang w:val="en-US"/>
        </w:rPr>
        <w:t xml:space="preserve">See for example: </w:t>
      </w:r>
      <w:r w:rsidRPr="00730D00">
        <w:rPr>
          <w:lang w:val="en-GB"/>
        </w:rPr>
        <w:t>Regulation 883/2004 of the European Parliament and of the Council of 29 April 2004 on the coordination of social security systems</w:t>
      </w:r>
      <w:r>
        <w:rPr>
          <w:lang w:val="en-GB"/>
        </w:rPr>
        <w:t xml:space="preserve"> and </w:t>
      </w:r>
      <w:r w:rsidRPr="00730D00">
        <w:rPr>
          <w:lang w:val="en-GB"/>
        </w:rPr>
        <w:t xml:space="preserve">Regulation 987/2009 of the European Parliament and of the Council of 16 September 2009 laying down the procedure for implementing Regulation 883/2004 on the coordination of social security systems.  </w:t>
      </w:r>
    </w:p>
  </w:footnote>
  <w:footnote w:id="235">
    <w:p w:rsidR="00551E68" w:rsidRPr="004E2E4F" w:rsidRDefault="00551E68" w:rsidP="005869B3">
      <w:pPr>
        <w:pStyle w:val="Voetnoottekst"/>
        <w:jc w:val="both"/>
        <w:rPr>
          <w:lang w:val="fr-FR"/>
        </w:rPr>
      </w:pPr>
      <w:r>
        <w:rPr>
          <w:rStyle w:val="Voetnootmarkering"/>
        </w:rPr>
        <w:footnoteRef/>
      </w:r>
      <w:r w:rsidRPr="008C7B0D">
        <w:rPr>
          <w:lang w:val="fr-FR"/>
        </w:rPr>
        <w:t xml:space="preserve"> </w:t>
      </w:r>
      <w:proofErr w:type="spellStart"/>
      <w:r w:rsidRPr="008C7B0D">
        <w:rPr>
          <w:lang w:val="fr-FR"/>
        </w:rPr>
        <w:t>See</w:t>
      </w:r>
      <w:proofErr w:type="spellEnd"/>
      <w:r w:rsidRPr="008C7B0D">
        <w:rPr>
          <w:lang w:val="fr-FR"/>
        </w:rPr>
        <w:t xml:space="preserve"> for </w:t>
      </w:r>
      <w:proofErr w:type="spellStart"/>
      <w:r w:rsidRPr="008C7B0D">
        <w:rPr>
          <w:lang w:val="fr-FR"/>
        </w:rPr>
        <w:t>example</w:t>
      </w:r>
      <w:proofErr w:type="spellEnd"/>
      <w:r w:rsidRPr="008C7B0D">
        <w:rPr>
          <w:lang w:val="fr-FR"/>
        </w:rPr>
        <w:t xml:space="preserve">: </w:t>
      </w:r>
      <w:r w:rsidRPr="004E2E4F">
        <w:rPr>
          <w:lang w:val="fr-FR"/>
        </w:rPr>
        <w:t xml:space="preserve">ECJ C-120/95, </w:t>
      </w:r>
      <w:r w:rsidRPr="004E2E4F">
        <w:rPr>
          <w:i/>
          <w:lang w:val="fr-FR"/>
        </w:rPr>
        <w:t xml:space="preserve">Nicolas </w:t>
      </w:r>
      <w:proofErr w:type="spellStart"/>
      <w:r w:rsidRPr="004E2E4F">
        <w:rPr>
          <w:i/>
          <w:lang w:val="fr-FR"/>
        </w:rPr>
        <w:t>Decker</w:t>
      </w:r>
      <w:proofErr w:type="spellEnd"/>
      <w:r w:rsidRPr="004E2E4F">
        <w:rPr>
          <w:i/>
          <w:lang w:val="fr-FR"/>
        </w:rPr>
        <w:t xml:space="preserve"> v. Caisse de maladie des employés privés</w:t>
      </w:r>
      <w:r>
        <w:rPr>
          <w:lang w:val="fr-FR"/>
        </w:rPr>
        <w:t xml:space="preserve">, 1998 and </w:t>
      </w:r>
      <w:r w:rsidRPr="002D41AD">
        <w:rPr>
          <w:lang w:val="fr-FR"/>
        </w:rPr>
        <w:t xml:space="preserve">ECJ C-158/96, </w:t>
      </w:r>
      <w:r w:rsidRPr="002D41AD">
        <w:rPr>
          <w:i/>
          <w:lang w:val="fr-FR"/>
        </w:rPr>
        <w:t xml:space="preserve">Raymond </w:t>
      </w:r>
      <w:proofErr w:type="spellStart"/>
      <w:r w:rsidRPr="002D41AD">
        <w:rPr>
          <w:i/>
          <w:lang w:val="fr-FR"/>
        </w:rPr>
        <w:t>Kohll</w:t>
      </w:r>
      <w:proofErr w:type="spellEnd"/>
      <w:r w:rsidRPr="002D41AD">
        <w:rPr>
          <w:i/>
          <w:lang w:val="fr-FR"/>
        </w:rPr>
        <w:t xml:space="preserve"> v. Union des caisses de maladie</w:t>
      </w:r>
      <w:r w:rsidRPr="002D41AD">
        <w:rPr>
          <w:lang w:val="fr-FR"/>
        </w:rPr>
        <w:t>, 1998.</w:t>
      </w:r>
    </w:p>
  </w:footnote>
  <w:footnote w:id="236">
    <w:p w:rsidR="00551E68" w:rsidRPr="00D60C77" w:rsidRDefault="00551E68" w:rsidP="005869B3">
      <w:pPr>
        <w:pStyle w:val="Voetnoottekst"/>
        <w:jc w:val="both"/>
        <w:rPr>
          <w:lang w:val="en-US"/>
        </w:rPr>
      </w:pPr>
      <w:r>
        <w:rPr>
          <w:rStyle w:val="Voetnootmarkering"/>
        </w:rPr>
        <w:footnoteRef/>
      </w:r>
      <w:r w:rsidRPr="00D60C77">
        <w:rPr>
          <w:lang w:val="en-US"/>
        </w:rPr>
        <w:t xml:space="preserve"> </w:t>
      </w:r>
      <w:r>
        <w:rPr>
          <w:lang w:val="en-US"/>
        </w:rPr>
        <w:t xml:space="preserve">Articles 117-122 TEEC. </w:t>
      </w:r>
    </w:p>
  </w:footnote>
  <w:footnote w:id="237">
    <w:p w:rsidR="00551E68" w:rsidRPr="00457930" w:rsidRDefault="00551E68" w:rsidP="005869B3">
      <w:pPr>
        <w:pStyle w:val="Voetnoottekst"/>
        <w:jc w:val="both"/>
        <w:rPr>
          <w:i/>
          <w:lang w:val="en-GB"/>
        </w:rPr>
      </w:pPr>
      <w:r>
        <w:rPr>
          <w:rStyle w:val="Voetnootmarkering"/>
        </w:rPr>
        <w:footnoteRef/>
      </w:r>
      <w:r>
        <w:rPr>
          <w:lang w:val="en-GB"/>
        </w:rPr>
        <w:t xml:space="preserve"> </w:t>
      </w:r>
      <w:proofErr w:type="spellStart"/>
      <w:r w:rsidRPr="00457930">
        <w:rPr>
          <w:lang w:val="en-GB"/>
        </w:rPr>
        <w:t>Alber</w:t>
      </w:r>
      <w:proofErr w:type="spellEnd"/>
      <w:r w:rsidRPr="00457930">
        <w:rPr>
          <w:lang w:val="en-GB"/>
        </w:rPr>
        <w:t xml:space="preserve"> J. and Standing G., “Social Dumping, catch-up or convergence? Europe in a comparative global context”, </w:t>
      </w:r>
      <w:r w:rsidRPr="00457930">
        <w:rPr>
          <w:i/>
          <w:lang w:val="en-GB"/>
        </w:rPr>
        <w:t xml:space="preserve">J. of Eur. Soc. Policy </w:t>
      </w:r>
      <w:r>
        <w:rPr>
          <w:lang w:val="en-GB"/>
        </w:rPr>
        <w:t xml:space="preserve">2000, 99; </w:t>
      </w:r>
      <w:r w:rsidRPr="00BB5E9B">
        <w:rPr>
          <w:lang w:val="en-US"/>
        </w:rPr>
        <w:t xml:space="preserve">Burrows N. and </w:t>
      </w:r>
      <w:proofErr w:type="spellStart"/>
      <w:r w:rsidRPr="00BB5E9B">
        <w:rPr>
          <w:lang w:val="en-US"/>
        </w:rPr>
        <w:t>Mair</w:t>
      </w:r>
      <w:proofErr w:type="spellEnd"/>
      <w:r w:rsidRPr="00BB5E9B">
        <w:rPr>
          <w:lang w:val="en-US"/>
        </w:rPr>
        <w:t xml:space="preserve"> J., </w:t>
      </w:r>
      <w:r w:rsidRPr="00BB5E9B">
        <w:rPr>
          <w:i/>
          <w:lang w:val="en-US"/>
        </w:rPr>
        <w:t>European Social Law</w:t>
      </w:r>
      <w:r w:rsidRPr="00BB5E9B">
        <w:rPr>
          <w:lang w:val="en-US"/>
        </w:rPr>
        <w:t xml:space="preserve">, </w:t>
      </w:r>
      <w:proofErr w:type="spellStart"/>
      <w:r w:rsidRPr="00BB5E9B">
        <w:rPr>
          <w:lang w:val="en-US"/>
        </w:rPr>
        <w:t>Chichester</w:t>
      </w:r>
      <w:proofErr w:type="spellEnd"/>
      <w:r w:rsidRPr="00BB5E9B">
        <w:rPr>
          <w:lang w:val="en-US"/>
        </w:rPr>
        <w:t>, John Wiley and Sons, 1996,</w:t>
      </w:r>
      <w:r>
        <w:rPr>
          <w:lang w:val="en-US"/>
        </w:rPr>
        <w:t xml:space="preserve"> 4;</w:t>
      </w:r>
      <w:r w:rsidRPr="00A844BE">
        <w:rPr>
          <w:sz w:val="24"/>
          <w:szCs w:val="24"/>
          <w:lang w:val="en-US"/>
        </w:rPr>
        <w:t xml:space="preserve"> </w:t>
      </w:r>
      <w:proofErr w:type="spellStart"/>
      <w:r>
        <w:rPr>
          <w:lang w:val="en-US"/>
        </w:rPr>
        <w:t>Maes</w:t>
      </w:r>
      <w:proofErr w:type="spellEnd"/>
      <w:r>
        <w:rPr>
          <w:lang w:val="en-US"/>
        </w:rPr>
        <w:t xml:space="preserve"> G., op. cit., 384-385.  </w:t>
      </w:r>
    </w:p>
  </w:footnote>
  <w:footnote w:id="238">
    <w:p w:rsidR="00551E68" w:rsidRPr="00B672D5" w:rsidRDefault="00551E68" w:rsidP="005869B3">
      <w:pPr>
        <w:pStyle w:val="Voetnoottekst"/>
        <w:jc w:val="both"/>
        <w:rPr>
          <w:b/>
          <w:u w:val="single"/>
          <w:lang w:val="en-US"/>
        </w:rPr>
      </w:pPr>
      <w:r>
        <w:rPr>
          <w:rStyle w:val="Voetnootmarkering"/>
        </w:rPr>
        <w:footnoteRef/>
      </w:r>
      <w:r>
        <w:rPr>
          <w:lang w:val="en-US"/>
        </w:rPr>
        <w:t xml:space="preserve"> </w:t>
      </w:r>
      <w:proofErr w:type="spellStart"/>
      <w:r w:rsidRPr="00B672D5">
        <w:rPr>
          <w:lang w:val="en-US"/>
        </w:rPr>
        <w:t>Hantrais</w:t>
      </w:r>
      <w:proofErr w:type="spellEnd"/>
      <w:r w:rsidRPr="00B672D5">
        <w:rPr>
          <w:lang w:val="en-US"/>
        </w:rPr>
        <w:t xml:space="preserve"> L., </w:t>
      </w:r>
      <w:r w:rsidRPr="00B672D5">
        <w:rPr>
          <w:i/>
          <w:lang w:val="en-US"/>
        </w:rPr>
        <w:t>Social Policy in the European Union</w:t>
      </w:r>
      <w:r w:rsidRPr="00B672D5">
        <w:rPr>
          <w:lang w:val="en-US"/>
        </w:rPr>
        <w:t xml:space="preserve">, London, MacMillan Press, </w:t>
      </w:r>
      <w:r>
        <w:rPr>
          <w:lang w:val="en-US"/>
        </w:rPr>
        <w:t xml:space="preserve">2000, 2; </w:t>
      </w:r>
      <w:r w:rsidRPr="00277226">
        <w:rPr>
          <w:lang w:val="en-GB"/>
        </w:rPr>
        <w:t>Kenner J., “Economic and Social Rights in the EU Legal Order: The Mirage of Indivisibility” in Hervey T. and Kenner J. (eds.)</w:t>
      </w:r>
      <w:r>
        <w:rPr>
          <w:lang w:val="en-GB"/>
        </w:rPr>
        <w:t xml:space="preserve">, </w:t>
      </w:r>
      <w:r w:rsidRPr="008D15EB">
        <w:rPr>
          <w:i/>
          <w:lang w:val="en-GB"/>
        </w:rPr>
        <w:t>Economic and Social Rights under the EU Charter of Fundamental Rights – A Legal Perspective</w:t>
      </w:r>
      <w:r w:rsidRPr="008D15EB">
        <w:rPr>
          <w:lang w:val="en-GB"/>
        </w:rPr>
        <w:t>, Oxford and Portlan</w:t>
      </w:r>
      <w:r>
        <w:rPr>
          <w:lang w:val="en-GB"/>
        </w:rPr>
        <w:t>d, Hart Publishing, 2003</w:t>
      </w:r>
      <w:r w:rsidRPr="00277226">
        <w:rPr>
          <w:lang w:val="en-GB"/>
        </w:rPr>
        <w:t xml:space="preserve">, 5; Watson P., “The Community Social Charter”, </w:t>
      </w:r>
      <w:r w:rsidRPr="00277226">
        <w:rPr>
          <w:i/>
          <w:lang w:val="en-GB"/>
        </w:rPr>
        <w:t>CMLR</w:t>
      </w:r>
      <w:r w:rsidRPr="00277226">
        <w:rPr>
          <w:lang w:val="en-GB"/>
        </w:rPr>
        <w:t xml:space="preserve"> 1991, 39. </w:t>
      </w:r>
    </w:p>
  </w:footnote>
  <w:footnote w:id="239">
    <w:p w:rsidR="00551E68" w:rsidRPr="005259D9" w:rsidRDefault="00551E68" w:rsidP="005869B3">
      <w:pPr>
        <w:pStyle w:val="Voetnoottekst"/>
        <w:jc w:val="both"/>
        <w:rPr>
          <w:lang w:val="fr-FR"/>
        </w:rPr>
      </w:pPr>
      <w:r>
        <w:rPr>
          <w:rStyle w:val="Voetnootmarkering"/>
        </w:rPr>
        <w:footnoteRef/>
      </w:r>
      <w:r w:rsidRPr="005259D9">
        <w:rPr>
          <w:lang w:val="fr-FR"/>
        </w:rPr>
        <w:t xml:space="preserve"> Article 151 TFEU. </w:t>
      </w:r>
    </w:p>
  </w:footnote>
  <w:footnote w:id="240">
    <w:p w:rsidR="00551E68" w:rsidRPr="005259D9" w:rsidRDefault="00551E68" w:rsidP="005869B3">
      <w:pPr>
        <w:pStyle w:val="Voetnoottekst"/>
        <w:jc w:val="both"/>
        <w:rPr>
          <w:lang w:val="fr-FR"/>
        </w:rPr>
      </w:pPr>
      <w:r>
        <w:rPr>
          <w:rStyle w:val="Voetnootmarkering"/>
        </w:rPr>
        <w:footnoteRef/>
      </w:r>
      <w:r w:rsidRPr="005259D9">
        <w:rPr>
          <w:lang w:val="fr-FR"/>
        </w:rPr>
        <w:t xml:space="preserve"> Articles 152, 154 and 155 TFEU. </w:t>
      </w:r>
    </w:p>
  </w:footnote>
  <w:footnote w:id="241">
    <w:p w:rsidR="00551E68" w:rsidRPr="00C44793" w:rsidRDefault="00551E68" w:rsidP="005869B3">
      <w:pPr>
        <w:pStyle w:val="Voetnoottekst"/>
        <w:jc w:val="both"/>
        <w:rPr>
          <w:lang w:val="en-US"/>
        </w:rPr>
      </w:pPr>
      <w:r>
        <w:rPr>
          <w:rStyle w:val="Voetnootmarkering"/>
        </w:rPr>
        <w:footnoteRef/>
      </w:r>
      <w:r>
        <w:rPr>
          <w:lang w:val="en-US"/>
        </w:rPr>
        <w:t xml:space="preserve"> A</w:t>
      </w:r>
      <w:r w:rsidRPr="00C44793">
        <w:rPr>
          <w:lang w:val="en-US"/>
        </w:rPr>
        <w:t xml:space="preserve">rticle 153(1) </w:t>
      </w:r>
      <w:r>
        <w:rPr>
          <w:lang w:val="en-US"/>
        </w:rPr>
        <w:t xml:space="preserve">together with 153(2)b) TFEU. </w:t>
      </w:r>
    </w:p>
  </w:footnote>
  <w:footnote w:id="242">
    <w:p w:rsidR="00551E68" w:rsidRPr="00581BA5" w:rsidRDefault="00551E68" w:rsidP="005869B3">
      <w:pPr>
        <w:pStyle w:val="Voetnoottekst"/>
        <w:jc w:val="both"/>
        <w:rPr>
          <w:lang w:val="fr-FR"/>
        </w:rPr>
      </w:pPr>
      <w:r>
        <w:rPr>
          <w:rStyle w:val="Voetnootmarkering"/>
        </w:rPr>
        <w:footnoteRef/>
      </w:r>
      <w:r w:rsidRPr="00581BA5">
        <w:rPr>
          <w:lang w:val="fr-FR"/>
        </w:rPr>
        <w:t xml:space="preserve"> Article 153(2) a) TFEU. </w:t>
      </w:r>
    </w:p>
  </w:footnote>
  <w:footnote w:id="243">
    <w:p w:rsidR="00551E68" w:rsidRPr="00581BA5" w:rsidRDefault="00551E68" w:rsidP="005869B3">
      <w:pPr>
        <w:pStyle w:val="Voetnoottekst"/>
        <w:jc w:val="both"/>
        <w:rPr>
          <w:lang w:val="fr-FR"/>
        </w:rPr>
      </w:pPr>
      <w:r>
        <w:rPr>
          <w:rStyle w:val="Voetnootmarkering"/>
        </w:rPr>
        <w:footnoteRef/>
      </w:r>
      <w:r w:rsidRPr="00581BA5">
        <w:rPr>
          <w:lang w:val="fr-FR"/>
        </w:rPr>
        <w:t xml:space="preserve"> Articles 165-166 and 168 TFEU.  </w:t>
      </w:r>
    </w:p>
  </w:footnote>
  <w:footnote w:id="244">
    <w:p w:rsidR="00551E68" w:rsidRPr="0011759F" w:rsidRDefault="00551E68" w:rsidP="005869B3">
      <w:pPr>
        <w:pStyle w:val="Voetnoottekst"/>
        <w:jc w:val="both"/>
        <w:rPr>
          <w:lang w:val="fr-FR"/>
        </w:rPr>
      </w:pPr>
      <w:r>
        <w:rPr>
          <w:rStyle w:val="Voetnootmarkering"/>
        </w:rPr>
        <w:footnoteRef/>
      </w:r>
      <w:r w:rsidRPr="0011759F">
        <w:rPr>
          <w:lang w:val="fr-FR"/>
        </w:rPr>
        <w:t xml:space="preserve"> Article 35 EU C</w:t>
      </w:r>
      <w:r>
        <w:rPr>
          <w:lang w:val="fr-FR"/>
        </w:rPr>
        <w:t xml:space="preserve">harter. </w:t>
      </w:r>
    </w:p>
  </w:footnote>
  <w:footnote w:id="245">
    <w:p w:rsidR="00551E68" w:rsidRPr="0011759F" w:rsidRDefault="00551E68" w:rsidP="005869B3">
      <w:pPr>
        <w:pStyle w:val="Voetnoottekst"/>
        <w:jc w:val="both"/>
        <w:rPr>
          <w:lang w:val="fr-FR"/>
        </w:rPr>
      </w:pPr>
      <w:r>
        <w:rPr>
          <w:rStyle w:val="Voetnootmarkering"/>
        </w:rPr>
        <w:footnoteRef/>
      </w:r>
      <w:r w:rsidRPr="0011759F">
        <w:rPr>
          <w:lang w:val="fr-FR"/>
        </w:rPr>
        <w:t xml:space="preserve"> </w:t>
      </w:r>
      <w:r>
        <w:rPr>
          <w:lang w:val="fr-FR"/>
        </w:rPr>
        <w:t>Article 34 EU Charter.</w:t>
      </w:r>
    </w:p>
  </w:footnote>
  <w:footnote w:id="246">
    <w:p w:rsidR="00551E68" w:rsidRPr="00587BD4" w:rsidRDefault="00551E68" w:rsidP="005869B3">
      <w:pPr>
        <w:pStyle w:val="Voetnoottekst"/>
        <w:jc w:val="both"/>
        <w:rPr>
          <w:lang w:val="en-US"/>
        </w:rPr>
      </w:pPr>
      <w:r>
        <w:rPr>
          <w:rStyle w:val="Voetnootmarkering"/>
        </w:rPr>
        <w:footnoteRef/>
      </w:r>
      <w:r w:rsidRPr="00587BD4">
        <w:rPr>
          <w:lang w:val="en-US"/>
        </w:rPr>
        <w:t xml:space="preserve"> Article 14 EU Charter.  </w:t>
      </w:r>
    </w:p>
  </w:footnote>
  <w:footnote w:id="247">
    <w:p w:rsidR="00551E68" w:rsidRPr="00581BA5" w:rsidRDefault="00551E68" w:rsidP="005869B3">
      <w:pPr>
        <w:pStyle w:val="Voetnoottekst"/>
        <w:tabs>
          <w:tab w:val="left" w:pos="1760"/>
        </w:tabs>
        <w:jc w:val="both"/>
        <w:rPr>
          <w:u w:val="single"/>
          <w:lang w:val="en-US"/>
        </w:rPr>
      </w:pPr>
      <w:r>
        <w:rPr>
          <w:rStyle w:val="Voetnootmarkering"/>
        </w:rPr>
        <w:footnoteRef/>
      </w:r>
      <w:r>
        <w:rPr>
          <w:lang w:val="en-US"/>
        </w:rPr>
        <w:t xml:space="preserve"> </w:t>
      </w:r>
      <w:r w:rsidRPr="00581BA5">
        <w:rPr>
          <w:lang w:val="en-US"/>
        </w:rPr>
        <w:t xml:space="preserve">Text of the explanations relating to the complete text of the Charter of Fundamental Rights of the European Union, </w:t>
      </w:r>
      <w:proofErr w:type="spellStart"/>
      <w:r w:rsidRPr="00581BA5">
        <w:rPr>
          <w:lang w:val="en-US"/>
        </w:rPr>
        <w:t>Charte</w:t>
      </w:r>
      <w:proofErr w:type="spellEnd"/>
      <w:r w:rsidRPr="00581BA5">
        <w:rPr>
          <w:lang w:val="en-US"/>
        </w:rPr>
        <w:t xml:space="preserve"> 4473</w:t>
      </w:r>
      <w:r>
        <w:rPr>
          <w:lang w:val="en-US"/>
        </w:rPr>
        <w:t xml:space="preserve">/00 Convent 49, 11 October 2000, 16 and 34-35. </w:t>
      </w:r>
    </w:p>
  </w:footnote>
  <w:footnote w:id="248">
    <w:p w:rsidR="00551E68" w:rsidRPr="00EB7A43" w:rsidRDefault="00551E68" w:rsidP="005869B3">
      <w:pPr>
        <w:pStyle w:val="Voetnoottekst"/>
        <w:jc w:val="both"/>
        <w:rPr>
          <w:lang w:val="en-US"/>
        </w:rPr>
      </w:pPr>
      <w:r>
        <w:rPr>
          <w:rStyle w:val="Voetnootmarkering"/>
        </w:rPr>
        <w:footnoteRef/>
      </w:r>
      <w:r>
        <w:rPr>
          <w:bCs/>
          <w:lang w:val="en-US"/>
        </w:rPr>
        <w:t xml:space="preserve"> </w:t>
      </w:r>
      <w:r w:rsidRPr="00EB7A43">
        <w:rPr>
          <w:bCs/>
          <w:lang w:val="en-US"/>
        </w:rPr>
        <w:t>The Community Charter of Fundamental Social Rights of Workers, 9 December 1989</w:t>
      </w:r>
      <w:r>
        <w:rPr>
          <w:bCs/>
          <w:lang w:val="en-US"/>
        </w:rPr>
        <w:t xml:space="preserve">; </w:t>
      </w:r>
      <w:proofErr w:type="spellStart"/>
      <w:r w:rsidRPr="0067798A">
        <w:rPr>
          <w:lang w:val="en-US"/>
        </w:rPr>
        <w:t>Giubboni</w:t>
      </w:r>
      <w:proofErr w:type="spellEnd"/>
      <w:r w:rsidRPr="0067798A">
        <w:rPr>
          <w:lang w:val="en-US"/>
        </w:rPr>
        <w:t xml:space="preserve"> S., </w:t>
      </w:r>
      <w:r w:rsidRPr="0067798A">
        <w:rPr>
          <w:i/>
          <w:lang w:val="en-US"/>
        </w:rPr>
        <w:t>Social Rights and Market Freedom in the European Constitution</w:t>
      </w:r>
      <w:r w:rsidRPr="0067798A">
        <w:rPr>
          <w:lang w:val="en-US"/>
        </w:rPr>
        <w:t>, Cambridge, Cambridge University Press, 2006,</w:t>
      </w:r>
      <w:r>
        <w:rPr>
          <w:lang w:val="en-US"/>
        </w:rPr>
        <w:t xml:space="preserve"> 102. </w:t>
      </w:r>
    </w:p>
  </w:footnote>
  <w:footnote w:id="249">
    <w:p w:rsidR="00551E68" w:rsidRPr="006F344D" w:rsidRDefault="00551E68" w:rsidP="005869B3">
      <w:pPr>
        <w:pStyle w:val="Voetnoottekst"/>
        <w:jc w:val="both"/>
        <w:rPr>
          <w:lang w:val="en-US"/>
        </w:rPr>
      </w:pPr>
      <w:r>
        <w:rPr>
          <w:rStyle w:val="Voetnootmarkering"/>
        </w:rPr>
        <w:footnoteRef/>
      </w:r>
      <w:r w:rsidRPr="006F344D">
        <w:rPr>
          <w:lang w:val="en-US"/>
        </w:rPr>
        <w:t xml:space="preserve"> </w:t>
      </w:r>
      <w:proofErr w:type="spellStart"/>
      <w:r w:rsidRPr="006F344D">
        <w:rPr>
          <w:lang w:val="en-GB"/>
        </w:rPr>
        <w:t>Blanpain</w:t>
      </w:r>
      <w:proofErr w:type="spellEnd"/>
      <w:r w:rsidRPr="006F344D">
        <w:rPr>
          <w:lang w:val="en-GB"/>
        </w:rPr>
        <w:t xml:space="preserve"> R., “1992 and Beyond: the impact of the European Community on the labour law systems of the member countries”, </w:t>
      </w:r>
      <w:r w:rsidRPr="006F344D">
        <w:rPr>
          <w:i/>
          <w:lang w:val="en-GB"/>
        </w:rPr>
        <w:t>Comp. Lab. L. J.</w:t>
      </w:r>
      <w:r>
        <w:rPr>
          <w:lang w:val="en-GB"/>
        </w:rPr>
        <w:t xml:space="preserve"> 1989-1990, 409;</w:t>
      </w:r>
      <w:r>
        <w:rPr>
          <w:lang w:val="en-US"/>
        </w:rPr>
        <w:t xml:space="preserve"> </w:t>
      </w:r>
      <w:proofErr w:type="spellStart"/>
      <w:r w:rsidRPr="0067798A">
        <w:rPr>
          <w:lang w:val="en-US"/>
        </w:rPr>
        <w:t>Giubboni</w:t>
      </w:r>
      <w:proofErr w:type="spellEnd"/>
      <w:r w:rsidRPr="0067798A">
        <w:rPr>
          <w:lang w:val="en-US"/>
        </w:rPr>
        <w:t xml:space="preserve"> S.,</w:t>
      </w:r>
      <w:r>
        <w:rPr>
          <w:lang w:val="en-US"/>
        </w:rPr>
        <w:t xml:space="preserve"> op. cit., 102; </w:t>
      </w:r>
      <w:r w:rsidRPr="007D7047">
        <w:rPr>
          <w:lang w:val="en-GB"/>
        </w:rPr>
        <w:t>Kenner J., “Economic and Social Rights in the EU Legal Order: The Mirage of Indivisibility” in Hervey T. and Kenner J. (eds.), op. cit., 10</w:t>
      </w:r>
      <w:r>
        <w:rPr>
          <w:lang w:val="en-GB"/>
        </w:rPr>
        <w:t xml:space="preserve">. </w:t>
      </w:r>
    </w:p>
  </w:footnote>
  <w:footnote w:id="250">
    <w:p w:rsidR="00551E68" w:rsidRPr="005B2F0B" w:rsidRDefault="00551E68" w:rsidP="005869B3">
      <w:pPr>
        <w:pStyle w:val="Voetnoottekst"/>
        <w:jc w:val="both"/>
        <w:rPr>
          <w:lang w:val="en-US"/>
        </w:rPr>
      </w:pPr>
      <w:r>
        <w:rPr>
          <w:rStyle w:val="Voetnootmarkering"/>
        </w:rPr>
        <w:footnoteRef/>
      </w:r>
      <w:r w:rsidRPr="005B2F0B">
        <w:rPr>
          <w:lang w:val="en-US"/>
        </w:rPr>
        <w:t xml:space="preserve"> </w:t>
      </w:r>
      <w:r>
        <w:rPr>
          <w:lang w:val="en-US"/>
        </w:rPr>
        <w:t xml:space="preserve">See for example article 153(1) a) - </w:t>
      </w:r>
      <w:proofErr w:type="spellStart"/>
      <w:r>
        <w:rPr>
          <w:lang w:val="en-US"/>
        </w:rPr>
        <w:t>i</w:t>
      </w:r>
      <w:proofErr w:type="spellEnd"/>
      <w:r>
        <w:rPr>
          <w:lang w:val="en-US"/>
        </w:rPr>
        <w:t xml:space="preserve">) TFEU.  </w:t>
      </w:r>
    </w:p>
  </w:footnote>
  <w:footnote w:id="251">
    <w:p w:rsidR="00551E68" w:rsidRPr="005715A7" w:rsidRDefault="00551E68" w:rsidP="005869B3">
      <w:pPr>
        <w:pStyle w:val="Voetnoottekst"/>
        <w:jc w:val="both"/>
        <w:rPr>
          <w:lang w:val="en-US"/>
        </w:rPr>
      </w:pPr>
      <w:r>
        <w:rPr>
          <w:rStyle w:val="Voetnootmarkering"/>
        </w:rPr>
        <w:footnoteRef/>
      </w:r>
      <w:r>
        <w:rPr>
          <w:lang w:val="en-US"/>
        </w:rPr>
        <w:t xml:space="preserve"> </w:t>
      </w:r>
      <w:proofErr w:type="spellStart"/>
      <w:r w:rsidRPr="001314E0">
        <w:rPr>
          <w:lang w:val="en-US"/>
        </w:rPr>
        <w:t>Jha</w:t>
      </w:r>
      <w:proofErr w:type="spellEnd"/>
      <w:r w:rsidRPr="001314E0">
        <w:rPr>
          <w:lang w:val="en-US"/>
        </w:rPr>
        <w:t xml:space="preserve"> P. and </w:t>
      </w:r>
      <w:proofErr w:type="spellStart"/>
      <w:r w:rsidRPr="001314E0">
        <w:rPr>
          <w:lang w:val="en-US"/>
        </w:rPr>
        <w:t>Golder</w:t>
      </w:r>
      <w:proofErr w:type="spellEnd"/>
      <w:r w:rsidRPr="001314E0">
        <w:rPr>
          <w:lang w:val="en-US"/>
        </w:rPr>
        <w:t xml:space="preserve"> S., </w:t>
      </w:r>
      <w:proofErr w:type="spellStart"/>
      <w:r w:rsidRPr="001314E0">
        <w:rPr>
          <w:i/>
          <w:lang w:val="en-US"/>
        </w:rPr>
        <w:t>Labour</w:t>
      </w:r>
      <w:proofErr w:type="spellEnd"/>
      <w:r w:rsidRPr="001314E0">
        <w:rPr>
          <w:i/>
          <w:lang w:val="en-US"/>
        </w:rPr>
        <w:t xml:space="preserve"> Market Regulation and Economic Performance</w:t>
      </w:r>
      <w:r w:rsidRPr="001314E0">
        <w:rPr>
          <w:lang w:val="en-US"/>
        </w:rPr>
        <w:t xml:space="preserve">, Geneva, International </w:t>
      </w:r>
      <w:proofErr w:type="spellStart"/>
      <w:r w:rsidRPr="001314E0">
        <w:rPr>
          <w:lang w:val="en-US"/>
        </w:rPr>
        <w:t>Labour</w:t>
      </w:r>
      <w:proofErr w:type="spellEnd"/>
      <w:r w:rsidRPr="001314E0">
        <w:rPr>
          <w:lang w:val="en-US"/>
        </w:rPr>
        <w:t xml:space="preserve"> Organization, 2008,</w:t>
      </w:r>
      <w:r>
        <w:rPr>
          <w:lang w:val="en-US"/>
        </w:rPr>
        <w:t xml:space="preserve"> 1. </w:t>
      </w:r>
    </w:p>
  </w:footnote>
  <w:footnote w:id="252">
    <w:p w:rsidR="00551E68" w:rsidRPr="008C7B0D" w:rsidRDefault="00551E68" w:rsidP="005869B3">
      <w:pPr>
        <w:pStyle w:val="Voetnoottekst"/>
        <w:jc w:val="both"/>
        <w:rPr>
          <w:lang w:val="en-US"/>
        </w:rPr>
      </w:pPr>
      <w:r>
        <w:rPr>
          <w:rStyle w:val="Voetnootmarkering"/>
        </w:rPr>
        <w:footnoteRef/>
      </w:r>
      <w:r>
        <w:rPr>
          <w:lang w:val="en-US"/>
        </w:rPr>
        <w:t xml:space="preserve"> Directive 2003/88/EC of the European Parliament and of the Council of 4 November 2003 concerning certain aspects of the organization of working time.  </w:t>
      </w:r>
    </w:p>
  </w:footnote>
  <w:footnote w:id="253">
    <w:p w:rsidR="00551E68" w:rsidRPr="008C7B0D" w:rsidRDefault="00551E68" w:rsidP="005869B3">
      <w:pPr>
        <w:pStyle w:val="Voetnoottekst"/>
        <w:jc w:val="both"/>
        <w:rPr>
          <w:lang w:val="en-US"/>
        </w:rPr>
      </w:pPr>
      <w:r>
        <w:rPr>
          <w:rStyle w:val="Voetnootmarkering"/>
        </w:rPr>
        <w:footnoteRef/>
      </w:r>
      <w:r>
        <w:rPr>
          <w:lang w:val="en-US"/>
        </w:rPr>
        <w:t xml:space="preserve"> Council Directive of 12 June 1989 on the introduction of measures to encourage improvements in the safety and health of workers at work. </w:t>
      </w:r>
    </w:p>
  </w:footnote>
  <w:footnote w:id="254">
    <w:p w:rsidR="00551E68" w:rsidRPr="008C7B0D" w:rsidRDefault="00551E68" w:rsidP="005869B3">
      <w:pPr>
        <w:pStyle w:val="Voetnoottekst"/>
        <w:jc w:val="both"/>
        <w:rPr>
          <w:lang w:val="en-US"/>
        </w:rPr>
      </w:pPr>
      <w:r>
        <w:rPr>
          <w:rStyle w:val="Voetnootmarkering"/>
        </w:rPr>
        <w:footnoteRef/>
      </w:r>
      <w:r>
        <w:rPr>
          <w:lang w:val="en-US"/>
        </w:rPr>
        <w:t xml:space="preserve"> Council Directive 1998/59/EC of 20 July 1998 on the approximation of the laws of the Member States relating to collective redundancies. </w:t>
      </w:r>
      <w:r w:rsidRPr="008C7B0D">
        <w:rPr>
          <w:lang w:val="en-US"/>
        </w:rPr>
        <w:t xml:space="preserve"> </w:t>
      </w:r>
    </w:p>
  </w:footnote>
  <w:footnote w:id="255">
    <w:p w:rsidR="00551E68" w:rsidRPr="008C7B0D" w:rsidRDefault="00551E68" w:rsidP="005869B3">
      <w:pPr>
        <w:pStyle w:val="Voetnoottekst"/>
        <w:jc w:val="both"/>
        <w:rPr>
          <w:lang w:val="en-US"/>
        </w:rPr>
      </w:pPr>
      <w:r>
        <w:rPr>
          <w:rStyle w:val="Voetnootmarkering"/>
        </w:rPr>
        <w:footnoteRef/>
      </w:r>
      <w:r w:rsidRPr="008C7B0D">
        <w:rPr>
          <w:lang w:val="en-US"/>
        </w:rPr>
        <w:t xml:space="preserve"> </w:t>
      </w:r>
      <w:r>
        <w:rPr>
          <w:lang w:val="en-US"/>
        </w:rPr>
        <w:t xml:space="preserve">Directive 2008/94/EC of the European Parliament and of the Council of 22 October 2008 on the protection of employees in the event of the insolvency of their employer. </w:t>
      </w:r>
    </w:p>
  </w:footnote>
  <w:footnote w:id="256">
    <w:p w:rsidR="00551E68" w:rsidRPr="008C7B0D" w:rsidRDefault="00551E68" w:rsidP="005869B3">
      <w:pPr>
        <w:pStyle w:val="Voetnoottekst"/>
        <w:jc w:val="both"/>
        <w:rPr>
          <w:lang w:val="en-US"/>
        </w:rPr>
      </w:pPr>
      <w:r>
        <w:rPr>
          <w:rStyle w:val="Voetnootmarkering"/>
        </w:rPr>
        <w:footnoteRef/>
      </w:r>
      <w:r w:rsidRPr="008C7B0D">
        <w:rPr>
          <w:lang w:val="en-US"/>
        </w:rPr>
        <w:t xml:space="preserve"> </w:t>
      </w:r>
      <w:r>
        <w:rPr>
          <w:lang w:val="en-US"/>
        </w:rPr>
        <w:t xml:space="preserve">Council Directive 1997/81/EC of 15 December 1997 concerning the framework agreement on part-time work concluded by UNICE, CEEP and the ETUC. </w:t>
      </w:r>
    </w:p>
  </w:footnote>
  <w:footnote w:id="257">
    <w:p w:rsidR="00551E68" w:rsidRPr="008C7B0D" w:rsidRDefault="00551E68" w:rsidP="005869B3">
      <w:pPr>
        <w:pStyle w:val="Voetnoottekst"/>
        <w:jc w:val="both"/>
        <w:rPr>
          <w:lang w:val="en-US"/>
        </w:rPr>
      </w:pPr>
      <w:r>
        <w:rPr>
          <w:rStyle w:val="Voetnootmarkering"/>
        </w:rPr>
        <w:footnoteRef/>
      </w:r>
      <w:r>
        <w:rPr>
          <w:lang w:val="en-US"/>
        </w:rPr>
        <w:t xml:space="preserve"> Council Directive 1992/85/EEC of 19 October 1992 on the introduction of measures to encourage improvements in the safety and health at work of pregnant workers and workers who have recently given birth or are breastfeeding ( Directive 1992/85). </w:t>
      </w:r>
    </w:p>
  </w:footnote>
  <w:footnote w:id="258">
    <w:p w:rsidR="00551E68" w:rsidRPr="00092106" w:rsidRDefault="00551E68" w:rsidP="005869B3">
      <w:pPr>
        <w:pStyle w:val="Voetnoottekst"/>
        <w:jc w:val="both"/>
        <w:rPr>
          <w:lang w:val="en-GB"/>
        </w:rPr>
      </w:pPr>
      <w:r>
        <w:rPr>
          <w:rStyle w:val="Voetnootmarkering"/>
        </w:rPr>
        <w:footnoteRef/>
      </w:r>
      <w:r>
        <w:rPr>
          <w:lang w:val="en-GB"/>
        </w:rPr>
        <w:t xml:space="preserve"> </w:t>
      </w:r>
      <w:r w:rsidRPr="00092106">
        <w:rPr>
          <w:lang w:val="en-GB"/>
        </w:rPr>
        <w:t>Council Directive 1997/81/EC of 15 December 1997 concerning the Framework Agreement on part-time work concluded by</w:t>
      </w:r>
      <w:r>
        <w:rPr>
          <w:lang w:val="en-GB"/>
        </w:rPr>
        <w:t xml:space="preserve"> UNICE, CEEP and the ETUC and </w:t>
      </w:r>
      <w:r w:rsidRPr="00092106">
        <w:rPr>
          <w:bCs/>
          <w:lang w:val="en-US"/>
        </w:rPr>
        <w:t xml:space="preserve">Council Directive 2010/18/EU of 8 March 2010 implementing the revised Framework Agreement on parental leave concluded by BUSINESSEUROPE, UEAPME, CEEP and ETUC and repealing Directive 96/34/EC. </w:t>
      </w:r>
    </w:p>
  </w:footnote>
  <w:footnote w:id="259">
    <w:p w:rsidR="00551E68" w:rsidRPr="007B4A9F" w:rsidRDefault="00551E68" w:rsidP="005869B3">
      <w:pPr>
        <w:pStyle w:val="Voetnoottekst"/>
        <w:jc w:val="both"/>
        <w:rPr>
          <w:lang w:val="fr-FR"/>
        </w:rPr>
      </w:pPr>
      <w:r>
        <w:rPr>
          <w:rStyle w:val="Voetnootmarkering"/>
        </w:rPr>
        <w:footnoteRef/>
      </w:r>
      <w:r w:rsidRPr="007B4A9F">
        <w:rPr>
          <w:lang w:val="fr-FR"/>
        </w:rPr>
        <w:t xml:space="preserve"> For </w:t>
      </w:r>
      <w:proofErr w:type="spellStart"/>
      <w:r w:rsidRPr="007B4A9F">
        <w:rPr>
          <w:lang w:val="fr-FR"/>
        </w:rPr>
        <w:t>example</w:t>
      </w:r>
      <w:proofErr w:type="spellEnd"/>
      <w:r w:rsidRPr="007B4A9F">
        <w:rPr>
          <w:lang w:val="fr-FR"/>
        </w:rPr>
        <w:t xml:space="preserve">: Directive 1976/207/EEC, Directive 2000/43/EC, Directive 2000/78/EC, </w:t>
      </w:r>
      <w:r w:rsidRPr="007B4A9F">
        <w:rPr>
          <w:bCs/>
          <w:lang w:val="fr-FR"/>
        </w:rPr>
        <w:t xml:space="preserve">Directive 2006/54/EC. </w:t>
      </w:r>
    </w:p>
  </w:footnote>
  <w:footnote w:id="260">
    <w:p w:rsidR="00551E68" w:rsidRPr="007B4A9F" w:rsidRDefault="00551E68" w:rsidP="005869B3">
      <w:pPr>
        <w:pStyle w:val="Voetnoottekst"/>
        <w:jc w:val="both"/>
        <w:rPr>
          <w:lang w:val="fr-FR"/>
        </w:rPr>
      </w:pPr>
      <w:r>
        <w:rPr>
          <w:rStyle w:val="Voetnootmarkering"/>
        </w:rPr>
        <w:footnoteRef/>
      </w:r>
      <w:r w:rsidRPr="007B4A9F">
        <w:rPr>
          <w:lang w:val="fr-FR"/>
        </w:rPr>
        <w:t xml:space="preserve"> Article 30 EU</w:t>
      </w:r>
      <w:r>
        <w:rPr>
          <w:lang w:val="fr-FR"/>
        </w:rPr>
        <w:t xml:space="preserve"> Charter. </w:t>
      </w:r>
    </w:p>
  </w:footnote>
  <w:footnote w:id="261">
    <w:p w:rsidR="00551E68" w:rsidRPr="00AF6001" w:rsidRDefault="00551E68" w:rsidP="005869B3">
      <w:pPr>
        <w:pStyle w:val="Voetnoottekst"/>
        <w:jc w:val="both"/>
        <w:rPr>
          <w:lang w:val="en-US"/>
        </w:rPr>
      </w:pPr>
      <w:r>
        <w:rPr>
          <w:rStyle w:val="Voetnootmarkering"/>
        </w:rPr>
        <w:footnoteRef/>
      </w:r>
      <w:r w:rsidRPr="00AF6001">
        <w:rPr>
          <w:lang w:val="en-US"/>
        </w:rPr>
        <w:t xml:space="preserve"> Article 31 EU Charter. </w:t>
      </w:r>
    </w:p>
  </w:footnote>
  <w:footnote w:id="262">
    <w:p w:rsidR="00551E68" w:rsidRPr="009E00DD" w:rsidRDefault="00551E68" w:rsidP="005869B3">
      <w:pPr>
        <w:pStyle w:val="Voetnoottekst"/>
        <w:jc w:val="both"/>
        <w:rPr>
          <w:lang w:val="en-GB"/>
        </w:rPr>
      </w:pPr>
      <w:r>
        <w:rPr>
          <w:rStyle w:val="Voetnootmarkering"/>
        </w:rPr>
        <w:footnoteRef/>
      </w:r>
      <w:r>
        <w:rPr>
          <w:lang w:val="en-US"/>
        </w:rPr>
        <w:t xml:space="preserve"> </w:t>
      </w:r>
      <w:r w:rsidRPr="009E00DD">
        <w:rPr>
          <w:lang w:val="en-GB"/>
        </w:rPr>
        <w:t xml:space="preserve">European Commission, </w:t>
      </w:r>
      <w:r w:rsidRPr="009E00DD">
        <w:rPr>
          <w:i/>
          <w:lang w:val="en-GB"/>
        </w:rPr>
        <w:t>Report on equality between women and men</w:t>
      </w:r>
      <w:r w:rsidRPr="009E00DD">
        <w:rPr>
          <w:lang w:val="en-GB"/>
        </w:rPr>
        <w:t>, Luxembourg, Office for Official Publications of the European Communities, 2008</w:t>
      </w:r>
      <w:r>
        <w:rPr>
          <w:lang w:val="en-GB"/>
        </w:rPr>
        <w:t>, 8 and 21-22;</w:t>
      </w:r>
      <w:r w:rsidRPr="00030473">
        <w:rPr>
          <w:lang w:val="en-GB"/>
        </w:rPr>
        <w:t xml:space="preserve"> European Commission, </w:t>
      </w:r>
      <w:r w:rsidRPr="00030473">
        <w:rPr>
          <w:i/>
          <w:lang w:val="en-GB"/>
        </w:rPr>
        <w:t>Report on equality between women and men</w:t>
      </w:r>
      <w:r w:rsidRPr="00030473">
        <w:rPr>
          <w:lang w:val="en-GB"/>
        </w:rPr>
        <w:t>, Luxembourg, Office for Official Publications of the European Communities, 2009</w:t>
      </w:r>
      <w:r>
        <w:rPr>
          <w:lang w:val="en-GB"/>
        </w:rPr>
        <w:t xml:space="preserve">, 8 and 23. </w:t>
      </w:r>
    </w:p>
  </w:footnote>
  <w:footnote w:id="263">
    <w:p w:rsidR="00551E68" w:rsidRPr="007D0562" w:rsidRDefault="00551E68" w:rsidP="005869B3">
      <w:pPr>
        <w:pStyle w:val="Voetnoottekst"/>
        <w:jc w:val="both"/>
        <w:rPr>
          <w:b/>
          <w:u w:val="single"/>
          <w:lang w:val="en-US"/>
        </w:rPr>
      </w:pPr>
      <w:r>
        <w:rPr>
          <w:rStyle w:val="Voetnootmarkering"/>
        </w:rPr>
        <w:footnoteRef/>
      </w:r>
      <w:r w:rsidRPr="00331D43">
        <w:rPr>
          <w:lang w:val="en-US"/>
        </w:rPr>
        <w:t xml:space="preserve"> </w:t>
      </w:r>
      <w:r w:rsidRPr="002A7A8D">
        <w:rPr>
          <w:lang w:val="en-GB"/>
        </w:rPr>
        <w:t>International Labour Conference, Report of the Committee of Experts on the Application of Conventions and Recommendations, Report III (Part 1A), Geneva, International Labour Office, 86</w:t>
      </w:r>
      <w:r w:rsidRPr="002A7A8D">
        <w:rPr>
          <w:vertAlign w:val="superscript"/>
          <w:lang w:val="en-GB"/>
        </w:rPr>
        <w:t>th</w:t>
      </w:r>
      <w:r w:rsidRPr="002A7A8D">
        <w:rPr>
          <w:lang w:val="en-GB"/>
        </w:rPr>
        <w:t xml:space="preserve"> Session, 1998,</w:t>
      </w:r>
      <w:r>
        <w:rPr>
          <w:lang w:val="en-GB"/>
        </w:rPr>
        <w:t xml:space="preserve"> 65; Van </w:t>
      </w:r>
      <w:proofErr w:type="spellStart"/>
      <w:r>
        <w:rPr>
          <w:lang w:val="en-GB"/>
        </w:rPr>
        <w:t>Haegendoren</w:t>
      </w:r>
      <w:proofErr w:type="spellEnd"/>
      <w:r>
        <w:rPr>
          <w:lang w:val="en-GB"/>
        </w:rPr>
        <w:t xml:space="preserve"> M., “</w:t>
      </w:r>
      <w:proofErr w:type="spellStart"/>
      <w:r>
        <w:rPr>
          <w:lang w:val="en-GB"/>
        </w:rPr>
        <w:t>Gelijke</w:t>
      </w:r>
      <w:proofErr w:type="spellEnd"/>
      <w:r>
        <w:rPr>
          <w:lang w:val="en-GB"/>
        </w:rPr>
        <w:t xml:space="preserve"> </w:t>
      </w:r>
      <w:proofErr w:type="spellStart"/>
      <w:r>
        <w:rPr>
          <w:lang w:val="en-GB"/>
        </w:rPr>
        <w:t>kansen</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vrouwen</w:t>
      </w:r>
      <w:proofErr w:type="spellEnd"/>
      <w:r>
        <w:rPr>
          <w:lang w:val="en-GB"/>
        </w:rPr>
        <w:t xml:space="preserve">: van </w:t>
      </w:r>
      <w:proofErr w:type="spellStart"/>
      <w:r>
        <w:rPr>
          <w:lang w:val="en-GB"/>
        </w:rPr>
        <w:t>emancipatie</w:t>
      </w:r>
      <w:proofErr w:type="spellEnd"/>
      <w:r>
        <w:rPr>
          <w:lang w:val="en-GB"/>
        </w:rPr>
        <w:t xml:space="preserve"> </w:t>
      </w:r>
      <w:proofErr w:type="spellStart"/>
      <w:r>
        <w:rPr>
          <w:lang w:val="en-GB"/>
        </w:rPr>
        <w:t>naar</w:t>
      </w:r>
      <w:proofErr w:type="spellEnd"/>
      <w:r>
        <w:rPr>
          <w:lang w:val="en-GB"/>
        </w:rPr>
        <w:t xml:space="preserve"> ‘Human Development’” in </w:t>
      </w:r>
      <w:proofErr w:type="spellStart"/>
      <w:r>
        <w:rPr>
          <w:lang w:val="en-US"/>
        </w:rPr>
        <w:t>Spee</w:t>
      </w:r>
      <w:proofErr w:type="spellEnd"/>
      <w:r>
        <w:rPr>
          <w:lang w:val="en-US"/>
        </w:rPr>
        <w:t xml:space="preserve"> S. en</w:t>
      </w:r>
      <w:r w:rsidRPr="007D0562">
        <w:rPr>
          <w:lang w:val="en-US"/>
        </w:rPr>
        <w:t xml:space="preserve"> </w:t>
      </w:r>
      <w:proofErr w:type="spellStart"/>
      <w:r w:rsidRPr="007D0562">
        <w:rPr>
          <w:lang w:val="en-US"/>
        </w:rPr>
        <w:t>Lodewyckx</w:t>
      </w:r>
      <w:proofErr w:type="spellEnd"/>
      <w:r w:rsidRPr="007D0562">
        <w:rPr>
          <w:lang w:val="en-US"/>
        </w:rPr>
        <w:t xml:space="preserve"> I. (eds.), </w:t>
      </w:r>
      <w:proofErr w:type="spellStart"/>
      <w:r w:rsidRPr="007D0562">
        <w:rPr>
          <w:i/>
          <w:lang w:val="en-US"/>
        </w:rPr>
        <w:t>Wachten</w:t>
      </w:r>
      <w:proofErr w:type="spellEnd"/>
      <w:r w:rsidRPr="007D0562">
        <w:rPr>
          <w:i/>
          <w:lang w:val="en-US"/>
        </w:rPr>
        <w:t xml:space="preserve"> op </w:t>
      </w:r>
      <w:proofErr w:type="spellStart"/>
      <w:r w:rsidRPr="007D0562">
        <w:rPr>
          <w:i/>
          <w:lang w:val="en-US"/>
        </w:rPr>
        <w:t>gelijke</w:t>
      </w:r>
      <w:proofErr w:type="spellEnd"/>
      <w:r w:rsidRPr="007D0562">
        <w:rPr>
          <w:i/>
          <w:lang w:val="en-US"/>
        </w:rPr>
        <w:t xml:space="preserve"> </w:t>
      </w:r>
      <w:proofErr w:type="spellStart"/>
      <w:r w:rsidRPr="007D0562">
        <w:rPr>
          <w:i/>
          <w:lang w:val="en-US"/>
        </w:rPr>
        <w:t>kansen</w:t>
      </w:r>
      <w:proofErr w:type="spellEnd"/>
      <w:r w:rsidRPr="007D0562">
        <w:rPr>
          <w:lang w:val="en-US"/>
        </w:rPr>
        <w:t xml:space="preserve">, </w:t>
      </w:r>
      <w:proofErr w:type="spellStart"/>
      <w:r w:rsidRPr="007D0562">
        <w:rPr>
          <w:lang w:val="en-US"/>
        </w:rPr>
        <w:t>Antwerpen</w:t>
      </w:r>
      <w:proofErr w:type="spellEnd"/>
      <w:r>
        <w:rPr>
          <w:lang w:val="en-US"/>
        </w:rPr>
        <w:t xml:space="preserve">-Apeldoorn, </w:t>
      </w:r>
      <w:proofErr w:type="spellStart"/>
      <w:r>
        <w:rPr>
          <w:lang w:val="en-US"/>
        </w:rPr>
        <w:t>Garant</w:t>
      </w:r>
      <w:proofErr w:type="spellEnd"/>
      <w:r>
        <w:rPr>
          <w:lang w:val="en-US"/>
        </w:rPr>
        <w:t xml:space="preserve">, 2004, 47. </w:t>
      </w:r>
    </w:p>
  </w:footnote>
  <w:footnote w:id="264">
    <w:p w:rsidR="00551E68" w:rsidRPr="00067E73" w:rsidRDefault="00551E68" w:rsidP="005869B3">
      <w:pPr>
        <w:pStyle w:val="Voetnoottekst"/>
        <w:jc w:val="both"/>
        <w:rPr>
          <w:b/>
          <w:u w:val="single"/>
          <w:lang w:val="en-US"/>
        </w:rPr>
      </w:pPr>
      <w:r>
        <w:rPr>
          <w:rStyle w:val="Voetnootmarkering"/>
        </w:rPr>
        <w:footnoteRef/>
      </w:r>
      <w:r>
        <w:rPr>
          <w:lang w:val="en-US"/>
        </w:rPr>
        <w:t xml:space="preserve"> </w:t>
      </w:r>
      <w:proofErr w:type="spellStart"/>
      <w:r w:rsidRPr="003B2849">
        <w:rPr>
          <w:lang w:val="en-US"/>
        </w:rPr>
        <w:t>Burchell</w:t>
      </w:r>
      <w:proofErr w:type="spellEnd"/>
      <w:r w:rsidRPr="003B2849">
        <w:rPr>
          <w:lang w:val="en-US"/>
        </w:rPr>
        <w:t xml:space="preserve"> B., Fagan C., O’Brien C. and Smith M., </w:t>
      </w:r>
      <w:r w:rsidRPr="003B2849">
        <w:rPr>
          <w:i/>
          <w:lang w:val="en-US"/>
        </w:rPr>
        <w:t>Working conditions in the European Union: The Gender perspective</w:t>
      </w:r>
      <w:r w:rsidRPr="003B2849">
        <w:rPr>
          <w:lang w:val="en-US"/>
        </w:rPr>
        <w:t xml:space="preserve">, Dublin, European Foundation for the Improvement of Living and Working Conditions, 2007, </w:t>
      </w:r>
      <w:r>
        <w:rPr>
          <w:lang w:val="en-US"/>
        </w:rPr>
        <w:t xml:space="preserve">9;Van </w:t>
      </w:r>
      <w:proofErr w:type="spellStart"/>
      <w:r>
        <w:rPr>
          <w:lang w:val="en-US"/>
        </w:rPr>
        <w:t>Doorne-Huiskes</w:t>
      </w:r>
      <w:proofErr w:type="spellEnd"/>
      <w:r>
        <w:rPr>
          <w:lang w:val="en-US"/>
        </w:rPr>
        <w:t xml:space="preserve"> A., “Gendered Patterns in Institutional Constraints” in </w:t>
      </w:r>
      <w:r w:rsidRPr="00067E73">
        <w:rPr>
          <w:lang w:val="en-US"/>
        </w:rPr>
        <w:t xml:space="preserve">Van </w:t>
      </w:r>
      <w:proofErr w:type="spellStart"/>
      <w:r w:rsidRPr="00067E73">
        <w:rPr>
          <w:lang w:val="en-US"/>
        </w:rPr>
        <w:t>Doorne-Huiskes</w:t>
      </w:r>
      <w:proofErr w:type="spellEnd"/>
      <w:r w:rsidRPr="00067E73">
        <w:rPr>
          <w:lang w:val="en-US"/>
        </w:rPr>
        <w:t xml:space="preserve"> A. and Van Hoof J. (eds.), </w:t>
      </w:r>
      <w:r w:rsidRPr="00067E73">
        <w:rPr>
          <w:i/>
          <w:lang w:val="en-US"/>
        </w:rPr>
        <w:t xml:space="preserve">Women and the European </w:t>
      </w:r>
      <w:proofErr w:type="spellStart"/>
      <w:r w:rsidRPr="00067E73">
        <w:rPr>
          <w:i/>
          <w:lang w:val="en-US"/>
        </w:rPr>
        <w:t>Labour</w:t>
      </w:r>
      <w:proofErr w:type="spellEnd"/>
      <w:r w:rsidRPr="00067E73">
        <w:rPr>
          <w:i/>
          <w:lang w:val="en-US"/>
        </w:rPr>
        <w:t xml:space="preserve"> Markets,</w:t>
      </w:r>
      <w:r w:rsidRPr="00067E73">
        <w:rPr>
          <w:lang w:val="en-US"/>
        </w:rPr>
        <w:t xml:space="preserve"> London, Paul Chapman Publishing, 1995,</w:t>
      </w:r>
      <w:r>
        <w:rPr>
          <w:lang w:val="en-US"/>
        </w:rPr>
        <w:t xml:space="preserve"> 106. </w:t>
      </w:r>
    </w:p>
  </w:footnote>
  <w:footnote w:id="265">
    <w:p w:rsidR="00551E68" w:rsidRPr="00C44789" w:rsidRDefault="00551E68" w:rsidP="005869B3">
      <w:pPr>
        <w:pStyle w:val="Voetnoottekst"/>
        <w:jc w:val="both"/>
        <w:rPr>
          <w:i/>
          <w:u w:val="single"/>
        </w:rPr>
      </w:pPr>
      <w:r>
        <w:rPr>
          <w:rStyle w:val="Voetnootmarkering"/>
        </w:rPr>
        <w:footnoteRef/>
      </w:r>
      <w:r w:rsidRPr="00C44789">
        <w:t xml:space="preserve"> </w:t>
      </w:r>
      <w:proofErr w:type="spellStart"/>
      <w:r w:rsidRPr="00C44789">
        <w:t>Bradley</w:t>
      </w:r>
      <w:proofErr w:type="spellEnd"/>
      <w:r w:rsidRPr="00C44789">
        <w:t xml:space="preserve"> H.,</w:t>
      </w:r>
      <w:r w:rsidRPr="00C44789">
        <w:rPr>
          <w:i/>
        </w:rPr>
        <w:t xml:space="preserve"> Gender </w:t>
      </w:r>
      <w:proofErr w:type="spellStart"/>
      <w:r w:rsidRPr="00C44789">
        <w:rPr>
          <w:i/>
        </w:rPr>
        <w:t>and</w:t>
      </w:r>
      <w:proofErr w:type="spellEnd"/>
      <w:r w:rsidRPr="00C44789">
        <w:rPr>
          <w:i/>
        </w:rPr>
        <w:t xml:space="preserve"> Power in the </w:t>
      </w:r>
      <w:proofErr w:type="spellStart"/>
      <w:r w:rsidRPr="00C44789">
        <w:rPr>
          <w:i/>
        </w:rPr>
        <w:t>Workplace</w:t>
      </w:r>
      <w:proofErr w:type="spellEnd"/>
      <w:r w:rsidRPr="00C44789">
        <w:t xml:space="preserve">, Hampshire, </w:t>
      </w:r>
      <w:proofErr w:type="spellStart"/>
      <w:r w:rsidRPr="00C44789">
        <w:t>MacMillan</w:t>
      </w:r>
      <w:proofErr w:type="spellEnd"/>
      <w:r w:rsidRPr="00C44789">
        <w:t xml:space="preserve"> Press </w:t>
      </w:r>
      <w:proofErr w:type="spellStart"/>
      <w:r w:rsidRPr="00C44789">
        <w:t>Ltd</w:t>
      </w:r>
      <w:proofErr w:type="spellEnd"/>
      <w:r w:rsidRPr="00C44789">
        <w:t xml:space="preserve">, 1999, 76-77; Michielsens M., </w:t>
      </w:r>
      <w:r w:rsidRPr="00C44789">
        <w:rPr>
          <w:i/>
        </w:rPr>
        <w:t>Gelijkheid en Ongelijkheid in België 1830-2005</w:t>
      </w:r>
      <w:r w:rsidRPr="00C44789">
        <w:t xml:space="preserve">, Brussel, de Raad van de Gelijke Kansen voor Mannen en Vrouwen, 2005, 109; </w:t>
      </w:r>
      <w:proofErr w:type="spellStart"/>
      <w:r w:rsidRPr="00C44789">
        <w:t>Padavic</w:t>
      </w:r>
      <w:proofErr w:type="spellEnd"/>
      <w:r w:rsidRPr="00C44789">
        <w:t xml:space="preserve"> I. </w:t>
      </w:r>
      <w:proofErr w:type="spellStart"/>
      <w:r w:rsidRPr="00C44789">
        <w:t>and</w:t>
      </w:r>
      <w:proofErr w:type="spellEnd"/>
      <w:r w:rsidRPr="00C44789">
        <w:t xml:space="preserve"> </w:t>
      </w:r>
      <w:proofErr w:type="spellStart"/>
      <w:r w:rsidRPr="00C44789">
        <w:t>Reskin</w:t>
      </w:r>
      <w:proofErr w:type="spellEnd"/>
      <w:r w:rsidRPr="00C44789">
        <w:t xml:space="preserve"> B., </w:t>
      </w:r>
      <w:proofErr w:type="spellStart"/>
      <w:r w:rsidRPr="00C44789">
        <w:rPr>
          <w:i/>
        </w:rPr>
        <w:t>Women</w:t>
      </w:r>
      <w:proofErr w:type="spellEnd"/>
      <w:r w:rsidRPr="00C44789">
        <w:rPr>
          <w:i/>
        </w:rPr>
        <w:t xml:space="preserve"> </w:t>
      </w:r>
      <w:proofErr w:type="spellStart"/>
      <w:r w:rsidRPr="00C44789">
        <w:rPr>
          <w:i/>
        </w:rPr>
        <w:t>and</w:t>
      </w:r>
      <w:proofErr w:type="spellEnd"/>
      <w:r w:rsidRPr="00C44789">
        <w:rPr>
          <w:i/>
        </w:rPr>
        <w:t xml:space="preserve"> Men at </w:t>
      </w:r>
      <w:proofErr w:type="spellStart"/>
      <w:r w:rsidRPr="00C44789">
        <w:rPr>
          <w:i/>
        </w:rPr>
        <w:t>Work</w:t>
      </w:r>
      <w:proofErr w:type="spellEnd"/>
      <w:r w:rsidRPr="00C44789">
        <w:rPr>
          <w:i/>
        </w:rPr>
        <w:t xml:space="preserve">, </w:t>
      </w:r>
      <w:r w:rsidRPr="00C44789">
        <w:t xml:space="preserve">London, Sage Publications </w:t>
      </w:r>
      <w:proofErr w:type="spellStart"/>
      <w:r w:rsidRPr="00C44789">
        <w:t>Ltd</w:t>
      </w:r>
      <w:proofErr w:type="spellEnd"/>
      <w:r w:rsidRPr="00C44789">
        <w:t xml:space="preserve">, 2002, 58-59. </w:t>
      </w:r>
    </w:p>
  </w:footnote>
  <w:footnote w:id="266">
    <w:p w:rsidR="00551E68" w:rsidRPr="004746AB" w:rsidRDefault="00551E68" w:rsidP="005869B3">
      <w:pPr>
        <w:pStyle w:val="Voetnoottekst"/>
        <w:jc w:val="both"/>
        <w:rPr>
          <w:b/>
          <w:u w:val="single"/>
        </w:rPr>
      </w:pPr>
      <w:r>
        <w:rPr>
          <w:rStyle w:val="Voetnootmarkering"/>
        </w:rPr>
        <w:footnoteRef/>
      </w:r>
      <w:r>
        <w:rPr>
          <w:lang w:val="en-US"/>
        </w:rPr>
        <w:t xml:space="preserve"> Women are generally over-represented in the provision of services such as catering, cleaning, hair and beauty and in all kinds of ‘care’ professions. </w:t>
      </w:r>
      <w:proofErr w:type="spellStart"/>
      <w:r w:rsidRPr="004746AB">
        <w:t>Bradley</w:t>
      </w:r>
      <w:proofErr w:type="spellEnd"/>
      <w:r w:rsidRPr="004746AB">
        <w:t xml:space="preserve"> H., op. </w:t>
      </w:r>
      <w:proofErr w:type="spellStart"/>
      <w:r w:rsidRPr="004746AB">
        <w:t>cit</w:t>
      </w:r>
      <w:proofErr w:type="spellEnd"/>
      <w:r w:rsidRPr="004746AB">
        <w:t xml:space="preserve">., 61; </w:t>
      </w:r>
      <w:proofErr w:type="spellStart"/>
      <w:r w:rsidRPr="004746AB">
        <w:t>Burchell</w:t>
      </w:r>
      <w:proofErr w:type="spellEnd"/>
      <w:r w:rsidRPr="004746AB">
        <w:t xml:space="preserve"> B., </w:t>
      </w:r>
      <w:proofErr w:type="spellStart"/>
      <w:r w:rsidRPr="004746AB">
        <w:t>Fagan</w:t>
      </w:r>
      <w:proofErr w:type="spellEnd"/>
      <w:r w:rsidRPr="004746AB">
        <w:t xml:space="preserve"> C., </w:t>
      </w:r>
      <w:proofErr w:type="spellStart"/>
      <w:r w:rsidRPr="004746AB">
        <w:t>O’Brien</w:t>
      </w:r>
      <w:proofErr w:type="spellEnd"/>
      <w:r w:rsidRPr="004746AB">
        <w:t xml:space="preserve"> C. </w:t>
      </w:r>
      <w:proofErr w:type="spellStart"/>
      <w:r w:rsidRPr="004746AB">
        <w:t>and</w:t>
      </w:r>
      <w:proofErr w:type="spellEnd"/>
      <w:r w:rsidRPr="004746AB">
        <w:t xml:space="preserve"> Smith M., op. </w:t>
      </w:r>
      <w:proofErr w:type="spellStart"/>
      <w:r w:rsidRPr="004746AB">
        <w:t>cit</w:t>
      </w:r>
      <w:proofErr w:type="spellEnd"/>
      <w:r w:rsidRPr="004746AB">
        <w:t xml:space="preserve">., 9; Van Hoof K., </w:t>
      </w:r>
      <w:r w:rsidRPr="004746AB">
        <w:rPr>
          <w:i/>
        </w:rPr>
        <w:t>Tewerkstelling van vrouwen en segregatie</w:t>
      </w:r>
      <w:r w:rsidRPr="004746AB">
        <w:t>, Brussel, Nationaal Instituut voor de Statistiek, 1997,</w:t>
      </w:r>
      <w:r>
        <w:t xml:space="preserve"> 57-58. </w:t>
      </w:r>
    </w:p>
  </w:footnote>
  <w:footnote w:id="267">
    <w:p w:rsidR="00551E68" w:rsidRPr="00172B2A" w:rsidRDefault="00551E68" w:rsidP="005869B3">
      <w:pPr>
        <w:pStyle w:val="Voetnoottekst"/>
        <w:jc w:val="both"/>
        <w:rPr>
          <w:lang w:val="en-US"/>
        </w:rPr>
      </w:pPr>
      <w:r>
        <w:rPr>
          <w:rStyle w:val="Voetnootmarkering"/>
        </w:rPr>
        <w:footnoteRef/>
      </w:r>
      <w:r w:rsidRPr="00EF6159">
        <w:rPr>
          <w:lang w:val="en-US"/>
        </w:rPr>
        <w:t xml:space="preserve"> </w:t>
      </w:r>
      <w:r w:rsidRPr="00EF6159">
        <w:rPr>
          <w:lang w:val="en-GB"/>
        </w:rPr>
        <w:t xml:space="preserve">International Labour Office, </w:t>
      </w:r>
      <w:r w:rsidRPr="00EF6159">
        <w:rPr>
          <w:i/>
          <w:lang w:val="en-GB"/>
        </w:rPr>
        <w:t>ABC of women workers’ rights and gender equality</w:t>
      </w:r>
      <w:r w:rsidRPr="00EF6159">
        <w:rPr>
          <w:lang w:val="en-GB"/>
        </w:rPr>
        <w:t>, Geneva, International Labour Organization, 2007</w:t>
      </w:r>
      <w:r>
        <w:rPr>
          <w:lang w:val="en-GB"/>
        </w:rPr>
        <w:t xml:space="preserve">, 145. </w:t>
      </w:r>
    </w:p>
  </w:footnote>
  <w:footnote w:id="268">
    <w:p w:rsidR="00551E68" w:rsidRPr="00FC3395" w:rsidRDefault="00551E68" w:rsidP="005869B3">
      <w:pPr>
        <w:pStyle w:val="Voetnoottekst"/>
        <w:jc w:val="both"/>
        <w:rPr>
          <w:b/>
          <w:u w:val="single"/>
          <w:lang w:val="en-GB"/>
        </w:rPr>
      </w:pPr>
      <w:r>
        <w:rPr>
          <w:rStyle w:val="Voetnootmarkering"/>
        </w:rPr>
        <w:footnoteRef/>
      </w:r>
      <w:r>
        <w:rPr>
          <w:lang w:val="en-US"/>
        </w:rPr>
        <w:t xml:space="preserve"> </w:t>
      </w:r>
      <w:r w:rsidRPr="00AF2735">
        <w:rPr>
          <w:lang w:val="en-US"/>
        </w:rPr>
        <w:t>Council Recommendation 84/635/EEC of 13 December 1984 on the promotion of positive action for women;</w:t>
      </w:r>
      <w:r>
        <w:rPr>
          <w:lang w:val="en-US"/>
        </w:rPr>
        <w:t xml:space="preserve"> </w:t>
      </w:r>
      <w:r w:rsidRPr="00AF2735">
        <w:rPr>
          <w:lang w:val="en-US"/>
        </w:rPr>
        <w:t xml:space="preserve">New Community Action </w:t>
      </w:r>
      <w:proofErr w:type="spellStart"/>
      <w:r w:rsidRPr="00AF2735">
        <w:rPr>
          <w:lang w:val="en-US"/>
        </w:rPr>
        <w:t>Programme</w:t>
      </w:r>
      <w:proofErr w:type="spellEnd"/>
      <w:r w:rsidRPr="00AF2735">
        <w:rPr>
          <w:lang w:val="en-US"/>
        </w:rPr>
        <w:t xml:space="preserve"> on the Promotion of Equal Opportunities for Wome</w:t>
      </w:r>
      <w:r>
        <w:rPr>
          <w:lang w:val="en-US"/>
        </w:rPr>
        <w:t>n 1982-1985 COM (81) 758 final</w:t>
      </w:r>
      <w:r w:rsidRPr="00AF2735">
        <w:rPr>
          <w:lang w:val="en-US"/>
        </w:rPr>
        <w:t xml:space="preserve">; </w:t>
      </w:r>
      <w:proofErr w:type="spellStart"/>
      <w:r w:rsidRPr="00AF2735">
        <w:rPr>
          <w:lang w:val="en-US"/>
        </w:rPr>
        <w:t>Charpentier</w:t>
      </w:r>
      <w:proofErr w:type="spellEnd"/>
      <w:r w:rsidRPr="00AF2735">
        <w:rPr>
          <w:lang w:val="en-US"/>
        </w:rPr>
        <w:t xml:space="preserve"> L., op</w:t>
      </w:r>
      <w:r>
        <w:rPr>
          <w:lang w:val="en-US"/>
        </w:rPr>
        <w:t xml:space="preserve">. cit., 171; </w:t>
      </w:r>
      <w:r w:rsidRPr="00FC3395">
        <w:rPr>
          <w:lang w:val="en-GB"/>
        </w:rPr>
        <w:t xml:space="preserve">Ellis E., </w:t>
      </w:r>
      <w:r w:rsidRPr="00FC3395">
        <w:rPr>
          <w:i/>
          <w:lang w:val="en-GB"/>
        </w:rPr>
        <w:t>EU Anti-Discrimination Law</w:t>
      </w:r>
      <w:r w:rsidRPr="00FC3395">
        <w:rPr>
          <w:lang w:val="en-GB"/>
        </w:rPr>
        <w:t>, Oxford, Oxfor</w:t>
      </w:r>
      <w:r>
        <w:rPr>
          <w:lang w:val="en-GB"/>
        </w:rPr>
        <w:t>d University Press, 2005</w:t>
      </w:r>
      <w:r>
        <w:rPr>
          <w:lang w:val="en-US"/>
        </w:rPr>
        <w:t xml:space="preserve">, </w:t>
      </w:r>
      <w:r w:rsidRPr="00AF2735">
        <w:rPr>
          <w:lang w:val="en-US"/>
        </w:rPr>
        <w:t>299.</w:t>
      </w:r>
    </w:p>
  </w:footnote>
  <w:footnote w:id="269">
    <w:p w:rsidR="00551E68" w:rsidRPr="00AF2735" w:rsidRDefault="00551E68" w:rsidP="005869B3">
      <w:pPr>
        <w:pStyle w:val="Voetnoottekst"/>
        <w:jc w:val="both"/>
        <w:rPr>
          <w:lang w:val="en-US"/>
        </w:rPr>
      </w:pPr>
      <w:r>
        <w:rPr>
          <w:rStyle w:val="Voetnootmarkering"/>
        </w:rPr>
        <w:footnoteRef/>
      </w:r>
      <w:r>
        <w:rPr>
          <w:lang w:val="en-US"/>
        </w:rPr>
        <w:t xml:space="preserve"> </w:t>
      </w:r>
      <w:r w:rsidRPr="00571B42">
        <w:rPr>
          <w:lang w:val="en-US"/>
        </w:rPr>
        <w:t xml:space="preserve">See for example case ECJ C-111/86, </w:t>
      </w:r>
      <w:proofErr w:type="spellStart"/>
      <w:r w:rsidRPr="00571B42">
        <w:rPr>
          <w:i/>
          <w:lang w:val="en-US"/>
        </w:rPr>
        <w:t>Evelyne</w:t>
      </w:r>
      <w:proofErr w:type="spellEnd"/>
      <w:r w:rsidRPr="00571B42">
        <w:rPr>
          <w:i/>
          <w:lang w:val="en-US"/>
        </w:rPr>
        <w:t xml:space="preserve"> </w:t>
      </w:r>
      <w:proofErr w:type="spellStart"/>
      <w:r w:rsidRPr="00571B42">
        <w:rPr>
          <w:i/>
          <w:lang w:val="en-US"/>
        </w:rPr>
        <w:t>Delauche</w:t>
      </w:r>
      <w:proofErr w:type="spellEnd"/>
      <w:r w:rsidRPr="00571B42">
        <w:rPr>
          <w:i/>
          <w:lang w:val="en-US"/>
        </w:rPr>
        <w:t xml:space="preserve"> v. Commission of the European Communities</w:t>
      </w:r>
      <w:r>
        <w:rPr>
          <w:lang w:val="en-US"/>
        </w:rPr>
        <w:t xml:space="preserve">, 1987; </w:t>
      </w:r>
      <w:r w:rsidRPr="00571B42">
        <w:rPr>
          <w:lang w:val="en-US"/>
        </w:rPr>
        <w:t xml:space="preserve">ECJ C-318/86, </w:t>
      </w:r>
      <w:r w:rsidRPr="00571B42">
        <w:rPr>
          <w:i/>
          <w:lang w:val="en-US"/>
        </w:rPr>
        <w:t>Commission of the European Communities v. France</w:t>
      </w:r>
      <w:r>
        <w:rPr>
          <w:lang w:val="en-US"/>
        </w:rPr>
        <w:t>, 1988.</w:t>
      </w:r>
    </w:p>
  </w:footnote>
  <w:footnote w:id="270">
    <w:p w:rsidR="00551E68" w:rsidRPr="00C44789" w:rsidRDefault="00551E68" w:rsidP="005869B3">
      <w:pPr>
        <w:pStyle w:val="Voetnoottekst"/>
        <w:jc w:val="both"/>
      </w:pPr>
      <w:r>
        <w:rPr>
          <w:rStyle w:val="Voetnootmarkering"/>
        </w:rPr>
        <w:footnoteRef/>
      </w:r>
      <w:r w:rsidRPr="00C44789">
        <w:t xml:space="preserve"> ECJ C-450/93, </w:t>
      </w:r>
      <w:proofErr w:type="spellStart"/>
      <w:r w:rsidRPr="00C44789">
        <w:rPr>
          <w:i/>
        </w:rPr>
        <w:t>Eckhard</w:t>
      </w:r>
      <w:proofErr w:type="spellEnd"/>
      <w:r w:rsidRPr="00C44789">
        <w:rPr>
          <w:i/>
        </w:rPr>
        <w:t xml:space="preserve"> </w:t>
      </w:r>
      <w:proofErr w:type="spellStart"/>
      <w:r w:rsidRPr="00C44789">
        <w:rPr>
          <w:i/>
        </w:rPr>
        <w:t>Kalanke</w:t>
      </w:r>
      <w:proofErr w:type="spellEnd"/>
      <w:r w:rsidRPr="00C44789">
        <w:rPr>
          <w:i/>
        </w:rPr>
        <w:t xml:space="preserve"> v. </w:t>
      </w:r>
      <w:proofErr w:type="spellStart"/>
      <w:r w:rsidRPr="00C44789">
        <w:rPr>
          <w:i/>
        </w:rPr>
        <w:t>freie</w:t>
      </w:r>
      <w:proofErr w:type="spellEnd"/>
      <w:r w:rsidRPr="00C44789">
        <w:rPr>
          <w:i/>
        </w:rPr>
        <w:t xml:space="preserve"> </w:t>
      </w:r>
      <w:proofErr w:type="spellStart"/>
      <w:r w:rsidRPr="00C44789">
        <w:rPr>
          <w:i/>
        </w:rPr>
        <w:t>hansestadt</w:t>
      </w:r>
      <w:proofErr w:type="spellEnd"/>
      <w:r w:rsidRPr="00C44789">
        <w:rPr>
          <w:i/>
        </w:rPr>
        <w:t xml:space="preserve"> Bremen</w:t>
      </w:r>
      <w:r w:rsidRPr="00C44789">
        <w:t xml:space="preserve">, 1995. </w:t>
      </w:r>
    </w:p>
  </w:footnote>
  <w:footnote w:id="271">
    <w:p w:rsidR="00551E68" w:rsidRPr="003343A8" w:rsidRDefault="00551E68" w:rsidP="005869B3">
      <w:pPr>
        <w:pStyle w:val="Voetnoottekst"/>
        <w:jc w:val="both"/>
        <w:rPr>
          <w:lang w:val="en-GB"/>
        </w:rPr>
      </w:pPr>
      <w:r>
        <w:rPr>
          <w:rStyle w:val="Voetnootmarkering"/>
        </w:rPr>
        <w:footnoteRef/>
      </w:r>
      <w:r w:rsidRPr="003343A8">
        <w:rPr>
          <w:lang w:val="en-US"/>
        </w:rPr>
        <w:t xml:space="preserve"> </w:t>
      </w:r>
      <w:r w:rsidRPr="003343A8">
        <w:rPr>
          <w:lang w:val="en-GB"/>
        </w:rPr>
        <w:t xml:space="preserve">Hervey T., “Thirty Years of EU Sex Equality Law: Looking Backwards, Looking Forwards”, </w:t>
      </w:r>
      <w:r w:rsidRPr="003343A8">
        <w:rPr>
          <w:i/>
          <w:lang w:val="en-GB"/>
        </w:rPr>
        <w:t xml:space="preserve">MJ </w:t>
      </w:r>
      <w:r w:rsidRPr="003343A8">
        <w:rPr>
          <w:lang w:val="en-GB"/>
        </w:rPr>
        <w:t xml:space="preserve">2005, 317; </w:t>
      </w:r>
      <w:proofErr w:type="spellStart"/>
      <w:r w:rsidRPr="003343A8">
        <w:rPr>
          <w:lang w:val="en-GB"/>
        </w:rPr>
        <w:t>Prechal</w:t>
      </w:r>
      <w:proofErr w:type="spellEnd"/>
      <w:r w:rsidRPr="003343A8">
        <w:rPr>
          <w:lang w:val="en-GB"/>
        </w:rPr>
        <w:t xml:space="preserve"> S., op. cit.</w:t>
      </w:r>
      <w:r>
        <w:rPr>
          <w:lang w:val="en-GB"/>
        </w:rPr>
        <w:t xml:space="preserve">, 540; </w:t>
      </w:r>
      <w:proofErr w:type="spellStart"/>
      <w:r w:rsidRPr="003343A8">
        <w:rPr>
          <w:lang w:val="en-GB"/>
        </w:rPr>
        <w:t>Schiek</w:t>
      </w:r>
      <w:proofErr w:type="spellEnd"/>
      <w:r w:rsidRPr="003343A8">
        <w:rPr>
          <w:lang w:val="en-GB"/>
        </w:rPr>
        <w:t xml:space="preserve"> D. and </w:t>
      </w:r>
      <w:proofErr w:type="spellStart"/>
      <w:r w:rsidRPr="003343A8">
        <w:rPr>
          <w:lang w:val="en-GB"/>
        </w:rPr>
        <w:t>Chege</w:t>
      </w:r>
      <w:proofErr w:type="spellEnd"/>
      <w:r w:rsidRPr="003343A8">
        <w:rPr>
          <w:lang w:val="en-GB"/>
        </w:rPr>
        <w:t xml:space="preserve"> V., </w:t>
      </w:r>
      <w:r w:rsidRPr="003343A8">
        <w:rPr>
          <w:i/>
          <w:lang w:val="en-GB"/>
        </w:rPr>
        <w:t>European Union Non-Discrimination Law</w:t>
      </w:r>
      <w:r w:rsidRPr="003343A8">
        <w:rPr>
          <w:lang w:val="en-GB"/>
        </w:rPr>
        <w:t>, London and Ne</w:t>
      </w:r>
      <w:r>
        <w:rPr>
          <w:lang w:val="en-GB"/>
        </w:rPr>
        <w:t xml:space="preserve">w York, Routledge, 2009, 45. </w:t>
      </w:r>
    </w:p>
  </w:footnote>
  <w:footnote w:id="272">
    <w:p w:rsidR="00551E68" w:rsidRPr="00FF1CCA" w:rsidRDefault="00551E68" w:rsidP="005869B3">
      <w:pPr>
        <w:pStyle w:val="Voetnoottekst"/>
        <w:jc w:val="both"/>
        <w:rPr>
          <w:lang w:val="en-US"/>
        </w:rPr>
      </w:pPr>
      <w:r>
        <w:rPr>
          <w:rStyle w:val="Voetnootmarkering"/>
        </w:rPr>
        <w:footnoteRef/>
      </w:r>
      <w:r w:rsidRPr="0088151D">
        <w:rPr>
          <w:lang w:val="de-DE"/>
        </w:rPr>
        <w:t xml:space="preserve"> ECJ C-450/93, </w:t>
      </w:r>
      <w:r w:rsidRPr="0088151D">
        <w:rPr>
          <w:i/>
          <w:lang w:val="de-DE"/>
        </w:rPr>
        <w:t xml:space="preserve">Eckhard </w:t>
      </w:r>
      <w:proofErr w:type="spellStart"/>
      <w:r w:rsidRPr="0088151D">
        <w:rPr>
          <w:i/>
          <w:lang w:val="de-DE"/>
        </w:rPr>
        <w:t>Kalanke</w:t>
      </w:r>
      <w:proofErr w:type="spellEnd"/>
      <w:r w:rsidRPr="0088151D">
        <w:rPr>
          <w:i/>
          <w:lang w:val="de-DE"/>
        </w:rPr>
        <w:t xml:space="preserve"> v. freie </w:t>
      </w:r>
      <w:proofErr w:type="spellStart"/>
      <w:r w:rsidRPr="0088151D">
        <w:rPr>
          <w:i/>
          <w:lang w:val="de-DE"/>
        </w:rPr>
        <w:t>hansestadt</w:t>
      </w:r>
      <w:proofErr w:type="spellEnd"/>
      <w:r w:rsidRPr="0088151D">
        <w:rPr>
          <w:i/>
          <w:lang w:val="de-DE"/>
        </w:rPr>
        <w:t xml:space="preserve"> Bremen</w:t>
      </w:r>
      <w:r>
        <w:rPr>
          <w:lang w:val="de-DE"/>
        </w:rPr>
        <w:t xml:space="preserve">, 1995, </w:t>
      </w:r>
      <w:proofErr w:type="spellStart"/>
      <w:r>
        <w:rPr>
          <w:lang w:val="de-DE"/>
        </w:rPr>
        <w:t>paras</w:t>
      </w:r>
      <w:proofErr w:type="spellEnd"/>
      <w:r>
        <w:rPr>
          <w:lang w:val="de-DE"/>
        </w:rPr>
        <w:t xml:space="preserve"> 18-21</w:t>
      </w:r>
      <w:r w:rsidRPr="0088151D">
        <w:rPr>
          <w:lang w:val="de-DE"/>
        </w:rPr>
        <w:t xml:space="preserve">; ECJ C-409/95, </w:t>
      </w:r>
      <w:r w:rsidRPr="0088151D">
        <w:rPr>
          <w:i/>
          <w:lang w:val="de-DE"/>
        </w:rPr>
        <w:t>Hellmut Marschall v. Land Nordrhein Westfalen</w:t>
      </w:r>
      <w:r w:rsidRPr="0088151D">
        <w:rPr>
          <w:lang w:val="de-DE"/>
        </w:rPr>
        <w:t xml:space="preserve">, 1997, </w:t>
      </w:r>
      <w:proofErr w:type="spellStart"/>
      <w:r w:rsidRPr="0088151D">
        <w:rPr>
          <w:lang w:val="de-DE"/>
        </w:rPr>
        <w:t>para</w:t>
      </w:r>
      <w:proofErr w:type="spellEnd"/>
      <w:r w:rsidRPr="0088151D">
        <w:rPr>
          <w:lang w:val="de-DE"/>
        </w:rPr>
        <w:t xml:space="preserve">. </w:t>
      </w:r>
      <w:r w:rsidRPr="0078362B">
        <w:rPr>
          <w:lang w:val="en-US"/>
        </w:rPr>
        <w:t>32;</w:t>
      </w:r>
      <w:r>
        <w:rPr>
          <w:lang w:val="en-US"/>
        </w:rPr>
        <w:t xml:space="preserve"> </w:t>
      </w:r>
      <w:r w:rsidRPr="00A2707B">
        <w:rPr>
          <w:lang w:val="en-US"/>
        </w:rPr>
        <w:t xml:space="preserve">de Boer M. and </w:t>
      </w:r>
      <w:proofErr w:type="spellStart"/>
      <w:r w:rsidRPr="00A2707B">
        <w:rPr>
          <w:lang w:val="en-US"/>
        </w:rPr>
        <w:t>Wijers</w:t>
      </w:r>
      <w:proofErr w:type="spellEnd"/>
      <w:r w:rsidRPr="00A2707B">
        <w:rPr>
          <w:lang w:val="en-US"/>
        </w:rPr>
        <w:t xml:space="preserve"> M., </w:t>
      </w:r>
      <w:r w:rsidRPr="00A2707B">
        <w:rPr>
          <w:i/>
          <w:lang w:val="en-US"/>
        </w:rPr>
        <w:t>Taking Women’s Rights Seriously?</w:t>
      </w:r>
      <w:r w:rsidRPr="00A2707B">
        <w:rPr>
          <w:lang w:val="en-US"/>
        </w:rPr>
        <w:t xml:space="preserve">, Utrecht, Humanist Committee on Human Rights, 2006, </w:t>
      </w:r>
      <w:r>
        <w:rPr>
          <w:lang w:val="en-US"/>
        </w:rPr>
        <w:t xml:space="preserve">44. </w:t>
      </w:r>
    </w:p>
  </w:footnote>
  <w:footnote w:id="273">
    <w:p w:rsidR="00551E68" w:rsidRPr="008B3F85" w:rsidRDefault="00551E68" w:rsidP="005869B3">
      <w:pPr>
        <w:pStyle w:val="Voetnoottekst"/>
        <w:jc w:val="both"/>
        <w:rPr>
          <w:lang w:val="de-DE"/>
        </w:rPr>
      </w:pPr>
      <w:r>
        <w:rPr>
          <w:rStyle w:val="Voetnootmarkering"/>
        </w:rPr>
        <w:footnoteRef/>
      </w:r>
      <w:r w:rsidRPr="008B3F85">
        <w:rPr>
          <w:lang w:val="de-DE"/>
        </w:rPr>
        <w:t xml:space="preserve"> </w:t>
      </w:r>
      <w:proofErr w:type="spellStart"/>
      <w:r w:rsidRPr="008B3F85">
        <w:rPr>
          <w:lang w:val="de-DE"/>
        </w:rPr>
        <w:t>Recruitment</w:t>
      </w:r>
      <w:proofErr w:type="spellEnd"/>
      <w:r w:rsidRPr="008B3F85">
        <w:rPr>
          <w:lang w:val="de-DE"/>
        </w:rPr>
        <w:t xml:space="preserve"> </w:t>
      </w:r>
      <w:proofErr w:type="spellStart"/>
      <w:r w:rsidRPr="008B3F85">
        <w:rPr>
          <w:lang w:val="de-DE"/>
        </w:rPr>
        <w:t>and</w:t>
      </w:r>
      <w:proofErr w:type="spellEnd"/>
      <w:r w:rsidRPr="008B3F85">
        <w:rPr>
          <w:lang w:val="de-DE"/>
        </w:rPr>
        <w:t xml:space="preserve"> </w:t>
      </w:r>
      <w:proofErr w:type="spellStart"/>
      <w:r w:rsidRPr="008B3F85">
        <w:rPr>
          <w:lang w:val="de-DE"/>
        </w:rPr>
        <w:t>promotion</w:t>
      </w:r>
      <w:proofErr w:type="spellEnd"/>
      <w:r w:rsidRPr="008B3F85">
        <w:rPr>
          <w:lang w:val="de-DE"/>
        </w:rPr>
        <w:t xml:space="preserve">. ECJ C-450/93, </w:t>
      </w:r>
      <w:r w:rsidRPr="008B3F85">
        <w:rPr>
          <w:i/>
          <w:lang w:val="de-DE"/>
        </w:rPr>
        <w:t xml:space="preserve">Eckhard </w:t>
      </w:r>
      <w:proofErr w:type="spellStart"/>
      <w:r w:rsidRPr="008B3F85">
        <w:rPr>
          <w:i/>
          <w:lang w:val="de-DE"/>
        </w:rPr>
        <w:t>Kalanke</w:t>
      </w:r>
      <w:proofErr w:type="spellEnd"/>
      <w:r w:rsidRPr="008B3F85">
        <w:rPr>
          <w:i/>
          <w:lang w:val="de-DE"/>
        </w:rPr>
        <w:t xml:space="preserve"> v. freie </w:t>
      </w:r>
      <w:proofErr w:type="spellStart"/>
      <w:r w:rsidRPr="008B3F85">
        <w:rPr>
          <w:i/>
          <w:lang w:val="de-DE"/>
        </w:rPr>
        <w:t>hansestadt</w:t>
      </w:r>
      <w:proofErr w:type="spellEnd"/>
      <w:r w:rsidRPr="008B3F85">
        <w:rPr>
          <w:i/>
          <w:lang w:val="de-DE"/>
        </w:rPr>
        <w:t xml:space="preserve"> Bremen</w:t>
      </w:r>
      <w:r w:rsidRPr="008B3F85">
        <w:rPr>
          <w:lang w:val="de-DE"/>
        </w:rPr>
        <w:t xml:space="preserve">, 1995; ECJ C-409/95, </w:t>
      </w:r>
      <w:r w:rsidRPr="008B3F85">
        <w:rPr>
          <w:i/>
          <w:lang w:val="de-DE"/>
        </w:rPr>
        <w:t>Hellmut Marschall v. Land Nordrhein Westfalen</w:t>
      </w:r>
      <w:r w:rsidRPr="008B3F85">
        <w:rPr>
          <w:lang w:val="de-DE"/>
        </w:rPr>
        <w:t xml:space="preserve">, 1997. </w:t>
      </w:r>
    </w:p>
  </w:footnote>
  <w:footnote w:id="274">
    <w:p w:rsidR="00551E68" w:rsidRPr="000A02E6" w:rsidRDefault="00551E68" w:rsidP="005869B3">
      <w:pPr>
        <w:pStyle w:val="Voetnoottekst"/>
        <w:jc w:val="both"/>
        <w:rPr>
          <w:lang w:val="en-US"/>
        </w:rPr>
      </w:pPr>
      <w:r>
        <w:rPr>
          <w:rStyle w:val="Voetnootmarkering"/>
        </w:rPr>
        <w:footnoteRef/>
      </w:r>
      <w:r w:rsidRPr="00E43179">
        <w:rPr>
          <w:lang w:val="en-US"/>
        </w:rPr>
        <w:t xml:space="preserve"> </w:t>
      </w:r>
      <w:r>
        <w:rPr>
          <w:lang w:val="en-US"/>
        </w:rPr>
        <w:t xml:space="preserve">Vocational training, calls to job interviews, access to childcare places. </w:t>
      </w:r>
      <w:r w:rsidRPr="000A02E6">
        <w:rPr>
          <w:lang w:val="en-US"/>
        </w:rPr>
        <w:t xml:space="preserve">ECJ C-476/99, </w:t>
      </w:r>
      <w:r w:rsidRPr="000A02E6">
        <w:rPr>
          <w:i/>
          <w:lang w:val="en-US"/>
        </w:rPr>
        <w:t xml:space="preserve">H. </w:t>
      </w:r>
      <w:proofErr w:type="spellStart"/>
      <w:r w:rsidRPr="000A02E6">
        <w:rPr>
          <w:i/>
          <w:lang w:val="en-US"/>
        </w:rPr>
        <w:t>Lommers</w:t>
      </w:r>
      <w:proofErr w:type="spellEnd"/>
      <w:r w:rsidRPr="000A02E6">
        <w:rPr>
          <w:i/>
          <w:lang w:val="en-US"/>
        </w:rPr>
        <w:t xml:space="preserve"> v. Minister van </w:t>
      </w:r>
      <w:proofErr w:type="spellStart"/>
      <w:r w:rsidRPr="000A02E6">
        <w:rPr>
          <w:i/>
          <w:lang w:val="en-US"/>
        </w:rPr>
        <w:t>Landbouw</w:t>
      </w:r>
      <w:proofErr w:type="spellEnd"/>
      <w:r w:rsidRPr="000A02E6">
        <w:rPr>
          <w:i/>
          <w:lang w:val="en-US"/>
        </w:rPr>
        <w:t xml:space="preserve">, </w:t>
      </w:r>
      <w:proofErr w:type="spellStart"/>
      <w:r w:rsidRPr="000A02E6">
        <w:rPr>
          <w:i/>
          <w:lang w:val="en-US"/>
        </w:rPr>
        <w:t>natuurbeheer</w:t>
      </w:r>
      <w:proofErr w:type="spellEnd"/>
      <w:r w:rsidRPr="000A02E6">
        <w:rPr>
          <w:i/>
          <w:lang w:val="en-US"/>
        </w:rPr>
        <w:t xml:space="preserve"> en </w:t>
      </w:r>
      <w:proofErr w:type="spellStart"/>
      <w:r w:rsidRPr="000A02E6">
        <w:rPr>
          <w:i/>
          <w:lang w:val="en-US"/>
        </w:rPr>
        <w:t>Visserij</w:t>
      </w:r>
      <w:proofErr w:type="spellEnd"/>
      <w:r w:rsidRPr="000A02E6">
        <w:rPr>
          <w:lang w:val="en-US"/>
        </w:rPr>
        <w:t xml:space="preserve">, 2002; De </w:t>
      </w:r>
      <w:proofErr w:type="spellStart"/>
      <w:r w:rsidRPr="000A02E6">
        <w:rPr>
          <w:lang w:val="en-US"/>
        </w:rPr>
        <w:t>Schutter</w:t>
      </w:r>
      <w:proofErr w:type="spellEnd"/>
      <w:r w:rsidRPr="000A02E6">
        <w:rPr>
          <w:lang w:val="en-US"/>
        </w:rPr>
        <w:t xml:space="preserve"> O., “Positive Action’ in </w:t>
      </w:r>
      <w:proofErr w:type="spellStart"/>
      <w:r w:rsidRPr="000A02E6">
        <w:rPr>
          <w:lang w:val="en-US"/>
        </w:rPr>
        <w:t>Schiek</w:t>
      </w:r>
      <w:proofErr w:type="spellEnd"/>
      <w:r w:rsidRPr="000A02E6">
        <w:rPr>
          <w:lang w:val="en-US"/>
        </w:rPr>
        <w:t xml:space="preserve"> D., Waddington L. and Bell M. (eds.), op. cit., 814; </w:t>
      </w:r>
      <w:proofErr w:type="spellStart"/>
      <w:r w:rsidRPr="000A02E6">
        <w:rPr>
          <w:lang w:val="en-US"/>
        </w:rPr>
        <w:t>Gijzen</w:t>
      </w:r>
      <w:proofErr w:type="spellEnd"/>
      <w:r w:rsidRPr="000A02E6">
        <w:rPr>
          <w:lang w:val="en-US"/>
        </w:rPr>
        <w:t xml:space="preserve"> M., op.</w:t>
      </w:r>
      <w:r>
        <w:rPr>
          <w:lang w:val="en-US"/>
        </w:rPr>
        <w:t xml:space="preserve"> </w:t>
      </w:r>
      <w:r w:rsidRPr="000A02E6">
        <w:rPr>
          <w:lang w:val="en-US"/>
        </w:rPr>
        <w:t>cit., 234;</w:t>
      </w:r>
      <w:r>
        <w:rPr>
          <w:lang w:val="en-US"/>
        </w:rPr>
        <w:t xml:space="preserve"> </w:t>
      </w:r>
      <w:proofErr w:type="spellStart"/>
      <w:r w:rsidRPr="000A02E6">
        <w:rPr>
          <w:lang w:val="en-US"/>
        </w:rPr>
        <w:t>Koukoulis</w:t>
      </w:r>
      <w:proofErr w:type="spellEnd"/>
      <w:r w:rsidRPr="000A02E6">
        <w:rPr>
          <w:lang w:val="en-US"/>
        </w:rPr>
        <w:t xml:space="preserve"> – </w:t>
      </w:r>
      <w:proofErr w:type="spellStart"/>
      <w:r w:rsidRPr="000A02E6">
        <w:rPr>
          <w:lang w:val="en-US"/>
        </w:rPr>
        <w:t>Spiliotopoulos</w:t>
      </w:r>
      <w:proofErr w:type="spellEnd"/>
      <w:r w:rsidRPr="000A02E6">
        <w:rPr>
          <w:lang w:val="en-US"/>
        </w:rPr>
        <w:t xml:space="preserve"> S., “The amended equal treatment directive: an expression of constitutional principles/fundamental rights”, </w:t>
      </w:r>
      <w:r w:rsidRPr="000A02E6">
        <w:rPr>
          <w:i/>
          <w:lang w:val="en-US"/>
        </w:rPr>
        <w:t>MJ</w:t>
      </w:r>
      <w:r w:rsidRPr="000A02E6">
        <w:rPr>
          <w:lang w:val="en-US"/>
        </w:rPr>
        <w:t xml:space="preserve"> </w:t>
      </w:r>
      <w:r>
        <w:rPr>
          <w:lang w:val="en-US"/>
        </w:rPr>
        <w:t xml:space="preserve">2005, 340. </w:t>
      </w:r>
    </w:p>
  </w:footnote>
  <w:footnote w:id="275">
    <w:p w:rsidR="00551E68" w:rsidRPr="00C44789" w:rsidRDefault="00551E68" w:rsidP="005869B3">
      <w:pPr>
        <w:pStyle w:val="Voetnoottekst"/>
        <w:jc w:val="both"/>
      </w:pPr>
      <w:r>
        <w:rPr>
          <w:rStyle w:val="Voetnootmarkering"/>
        </w:rPr>
        <w:footnoteRef/>
      </w:r>
      <w:r w:rsidRPr="00C44789">
        <w:t xml:space="preserve"> ECJ C-450/93, </w:t>
      </w:r>
      <w:proofErr w:type="spellStart"/>
      <w:r w:rsidRPr="00C44789">
        <w:rPr>
          <w:i/>
        </w:rPr>
        <w:t>Eckhard</w:t>
      </w:r>
      <w:proofErr w:type="spellEnd"/>
      <w:r w:rsidRPr="00C44789">
        <w:rPr>
          <w:i/>
        </w:rPr>
        <w:t xml:space="preserve"> </w:t>
      </w:r>
      <w:proofErr w:type="spellStart"/>
      <w:r w:rsidRPr="00C44789">
        <w:rPr>
          <w:i/>
        </w:rPr>
        <w:t>Kalanke</w:t>
      </w:r>
      <w:proofErr w:type="spellEnd"/>
      <w:r w:rsidRPr="00C44789">
        <w:rPr>
          <w:i/>
        </w:rPr>
        <w:t xml:space="preserve"> v. </w:t>
      </w:r>
      <w:proofErr w:type="spellStart"/>
      <w:r w:rsidRPr="00C44789">
        <w:rPr>
          <w:i/>
        </w:rPr>
        <w:t>freie</w:t>
      </w:r>
      <w:proofErr w:type="spellEnd"/>
      <w:r w:rsidRPr="00C44789">
        <w:rPr>
          <w:i/>
        </w:rPr>
        <w:t xml:space="preserve"> </w:t>
      </w:r>
      <w:proofErr w:type="spellStart"/>
      <w:r w:rsidRPr="00C44789">
        <w:rPr>
          <w:i/>
        </w:rPr>
        <w:t>hansestadt</w:t>
      </w:r>
      <w:proofErr w:type="spellEnd"/>
      <w:r w:rsidRPr="00C44789">
        <w:rPr>
          <w:i/>
        </w:rPr>
        <w:t xml:space="preserve"> Bremen</w:t>
      </w:r>
      <w:r w:rsidRPr="00C44789">
        <w:t xml:space="preserve">, 1995, </w:t>
      </w:r>
      <w:proofErr w:type="spellStart"/>
      <w:r w:rsidRPr="00C44789">
        <w:t>paras</w:t>
      </w:r>
      <w:proofErr w:type="spellEnd"/>
      <w:r w:rsidRPr="00C44789">
        <w:t xml:space="preserve"> 3 </w:t>
      </w:r>
      <w:proofErr w:type="spellStart"/>
      <w:r w:rsidRPr="00C44789">
        <w:t>and</w:t>
      </w:r>
      <w:proofErr w:type="spellEnd"/>
      <w:r w:rsidRPr="00C44789">
        <w:t xml:space="preserve"> 24. </w:t>
      </w:r>
    </w:p>
  </w:footnote>
  <w:footnote w:id="276">
    <w:p w:rsidR="00551E68" w:rsidRPr="000E3918" w:rsidRDefault="00551E68" w:rsidP="005869B3">
      <w:pPr>
        <w:pStyle w:val="Voetnoottekst"/>
        <w:jc w:val="both"/>
        <w:rPr>
          <w:lang w:val="en-US"/>
        </w:rPr>
      </w:pPr>
      <w:r>
        <w:rPr>
          <w:rStyle w:val="Voetnootmarkering"/>
        </w:rPr>
        <w:footnoteRef/>
      </w:r>
      <w:r>
        <w:rPr>
          <w:lang w:val="en-US"/>
        </w:rPr>
        <w:t xml:space="preserve"> The subsidiarity principle was introduced with the Maastricht Treaty. Today it can be read in article 5(3) TEU. </w:t>
      </w:r>
    </w:p>
  </w:footnote>
  <w:footnote w:id="277">
    <w:p w:rsidR="00551E68" w:rsidRPr="00F15501" w:rsidRDefault="00551E68" w:rsidP="005869B3">
      <w:pPr>
        <w:pStyle w:val="Voetnoottekst"/>
        <w:jc w:val="both"/>
        <w:rPr>
          <w:lang w:val="en-US"/>
        </w:rPr>
      </w:pPr>
      <w:r>
        <w:rPr>
          <w:rStyle w:val="Voetnootmarkering"/>
        </w:rPr>
        <w:footnoteRef/>
      </w:r>
      <w:r w:rsidRPr="008F311D">
        <w:rPr>
          <w:lang w:val="en-US"/>
        </w:rPr>
        <w:t xml:space="preserve"> Barnard C., </w:t>
      </w:r>
      <w:r w:rsidRPr="008F311D">
        <w:rPr>
          <w:i/>
          <w:lang w:val="en-US"/>
        </w:rPr>
        <w:t xml:space="preserve">EU Employment Law, </w:t>
      </w:r>
      <w:r w:rsidRPr="008F311D">
        <w:rPr>
          <w:lang w:val="en-US"/>
        </w:rPr>
        <w:t>Oxford, Oxford University Press, 2012, 379;</w:t>
      </w:r>
      <w:r>
        <w:rPr>
          <w:lang w:val="en-US"/>
        </w:rPr>
        <w:t xml:space="preserve"> </w:t>
      </w:r>
      <w:r w:rsidRPr="00F15501">
        <w:rPr>
          <w:lang w:val="en-US"/>
        </w:rPr>
        <w:t>Clayton A., “</w:t>
      </w:r>
      <w:proofErr w:type="spellStart"/>
      <w:r w:rsidRPr="00F15501">
        <w:rPr>
          <w:lang w:val="en-US"/>
        </w:rPr>
        <w:t>Hellmut</w:t>
      </w:r>
      <w:proofErr w:type="spellEnd"/>
      <w:r w:rsidRPr="00F15501">
        <w:rPr>
          <w:lang w:val="en-US"/>
        </w:rPr>
        <w:t xml:space="preserve"> </w:t>
      </w:r>
      <w:proofErr w:type="spellStart"/>
      <w:r w:rsidRPr="00F15501">
        <w:rPr>
          <w:lang w:val="en-US"/>
        </w:rPr>
        <w:t>Marschall</w:t>
      </w:r>
      <w:proofErr w:type="spellEnd"/>
      <w:r w:rsidRPr="00F15501">
        <w:rPr>
          <w:lang w:val="en-US"/>
        </w:rPr>
        <w:t xml:space="preserve"> v. Land </w:t>
      </w:r>
      <w:proofErr w:type="spellStart"/>
      <w:r w:rsidRPr="00F15501">
        <w:rPr>
          <w:lang w:val="en-US"/>
        </w:rPr>
        <w:t>Nordrhein</w:t>
      </w:r>
      <w:proofErr w:type="spellEnd"/>
      <w:r w:rsidRPr="00F15501">
        <w:rPr>
          <w:lang w:val="en-US"/>
        </w:rPr>
        <w:t xml:space="preserve"> </w:t>
      </w:r>
      <w:proofErr w:type="spellStart"/>
      <w:r w:rsidRPr="00F15501">
        <w:rPr>
          <w:lang w:val="en-US"/>
        </w:rPr>
        <w:t>Westfalen</w:t>
      </w:r>
      <w:proofErr w:type="spellEnd"/>
      <w:r w:rsidRPr="00F15501">
        <w:rPr>
          <w:lang w:val="en-US"/>
        </w:rPr>
        <w:t xml:space="preserve">: Has equal opportunity between the sexes finally found a champion in European Community law?”, </w:t>
      </w:r>
      <w:r w:rsidRPr="00F15501">
        <w:rPr>
          <w:i/>
          <w:lang w:val="en-US"/>
        </w:rPr>
        <w:t>B. U. Int’l L. J.</w:t>
      </w:r>
      <w:r w:rsidRPr="00F15501">
        <w:rPr>
          <w:lang w:val="en-US"/>
        </w:rPr>
        <w:t xml:space="preserve"> 1998, 42</w:t>
      </w:r>
      <w:r>
        <w:rPr>
          <w:lang w:val="en-US"/>
        </w:rPr>
        <w:t xml:space="preserve">5; </w:t>
      </w:r>
      <w:proofErr w:type="spellStart"/>
      <w:r w:rsidRPr="008F311D">
        <w:rPr>
          <w:lang w:val="en-US"/>
        </w:rPr>
        <w:t>Cuypers</w:t>
      </w:r>
      <w:proofErr w:type="spellEnd"/>
      <w:r w:rsidRPr="008F311D">
        <w:rPr>
          <w:lang w:val="en-US"/>
        </w:rPr>
        <w:t xml:space="preserve"> D. &amp; Van </w:t>
      </w:r>
      <w:proofErr w:type="spellStart"/>
      <w:r w:rsidRPr="008F311D">
        <w:rPr>
          <w:lang w:val="en-US"/>
        </w:rPr>
        <w:t>Vyve</w:t>
      </w:r>
      <w:proofErr w:type="spellEnd"/>
      <w:r w:rsidRPr="008F311D">
        <w:rPr>
          <w:lang w:val="en-US"/>
        </w:rPr>
        <w:t xml:space="preserve"> C., “De criteria </w:t>
      </w:r>
      <w:proofErr w:type="spellStart"/>
      <w:r w:rsidRPr="008F311D">
        <w:rPr>
          <w:lang w:val="en-US"/>
        </w:rPr>
        <w:t>voor</w:t>
      </w:r>
      <w:proofErr w:type="spellEnd"/>
      <w:r w:rsidRPr="008F311D">
        <w:rPr>
          <w:lang w:val="en-US"/>
        </w:rPr>
        <w:t xml:space="preserve"> </w:t>
      </w:r>
      <w:proofErr w:type="spellStart"/>
      <w:r w:rsidRPr="008F311D">
        <w:rPr>
          <w:lang w:val="en-US"/>
        </w:rPr>
        <w:t>positieve</w:t>
      </w:r>
      <w:proofErr w:type="spellEnd"/>
      <w:r w:rsidRPr="008F311D">
        <w:rPr>
          <w:lang w:val="en-US"/>
        </w:rPr>
        <w:t xml:space="preserve"> </w:t>
      </w:r>
      <w:proofErr w:type="spellStart"/>
      <w:r w:rsidRPr="008F311D">
        <w:rPr>
          <w:lang w:val="en-US"/>
        </w:rPr>
        <w:t>actie</w:t>
      </w:r>
      <w:proofErr w:type="spellEnd"/>
      <w:r w:rsidRPr="008F311D">
        <w:rPr>
          <w:lang w:val="en-US"/>
        </w:rPr>
        <w:t xml:space="preserve"> in de </w:t>
      </w:r>
      <w:proofErr w:type="spellStart"/>
      <w:r w:rsidRPr="008F311D">
        <w:rPr>
          <w:lang w:val="en-US"/>
        </w:rPr>
        <w:t>rechtspraak</w:t>
      </w:r>
      <w:proofErr w:type="spellEnd"/>
      <w:r w:rsidRPr="008F311D">
        <w:rPr>
          <w:lang w:val="en-US"/>
        </w:rPr>
        <w:t xml:space="preserve"> van de </w:t>
      </w:r>
      <w:proofErr w:type="spellStart"/>
      <w:r w:rsidRPr="008F311D">
        <w:rPr>
          <w:lang w:val="en-US"/>
        </w:rPr>
        <w:t>hoogste</w:t>
      </w:r>
      <w:proofErr w:type="spellEnd"/>
      <w:r w:rsidRPr="008F311D">
        <w:rPr>
          <w:lang w:val="en-US"/>
        </w:rPr>
        <w:t xml:space="preserve"> </w:t>
      </w:r>
      <w:proofErr w:type="spellStart"/>
      <w:r w:rsidRPr="008F311D">
        <w:rPr>
          <w:lang w:val="en-US"/>
        </w:rPr>
        <w:t>rechtscolleges</w:t>
      </w:r>
      <w:proofErr w:type="spellEnd"/>
      <w:r w:rsidRPr="008F311D">
        <w:rPr>
          <w:lang w:val="en-US"/>
        </w:rPr>
        <w:t xml:space="preserve">” in </w:t>
      </w:r>
      <w:proofErr w:type="spellStart"/>
      <w:r w:rsidRPr="008F311D">
        <w:rPr>
          <w:lang w:val="en-US"/>
        </w:rPr>
        <w:t>Bayart</w:t>
      </w:r>
      <w:proofErr w:type="spellEnd"/>
      <w:r w:rsidRPr="008F311D">
        <w:rPr>
          <w:lang w:val="en-US"/>
        </w:rPr>
        <w:t xml:space="preserve"> C., </w:t>
      </w:r>
      <w:proofErr w:type="spellStart"/>
      <w:r w:rsidRPr="008F311D">
        <w:rPr>
          <w:lang w:val="en-US"/>
        </w:rPr>
        <w:t>Sottiaux</w:t>
      </w:r>
      <w:proofErr w:type="spellEnd"/>
      <w:r w:rsidRPr="008F311D">
        <w:rPr>
          <w:lang w:val="en-US"/>
        </w:rPr>
        <w:t xml:space="preserve"> S. en Van </w:t>
      </w:r>
      <w:proofErr w:type="spellStart"/>
      <w:r w:rsidRPr="008F311D">
        <w:rPr>
          <w:lang w:val="en-US"/>
        </w:rPr>
        <w:t>Drooghenbroeck</w:t>
      </w:r>
      <w:proofErr w:type="spellEnd"/>
      <w:r w:rsidRPr="008F311D">
        <w:rPr>
          <w:lang w:val="en-US"/>
        </w:rPr>
        <w:t xml:space="preserve"> S. (eds.), </w:t>
      </w:r>
      <w:proofErr w:type="spellStart"/>
      <w:r w:rsidRPr="008F311D">
        <w:rPr>
          <w:i/>
          <w:lang w:val="en-US"/>
        </w:rPr>
        <w:t>Actuele</w:t>
      </w:r>
      <w:proofErr w:type="spellEnd"/>
      <w:r w:rsidRPr="008F311D">
        <w:rPr>
          <w:i/>
          <w:lang w:val="en-US"/>
        </w:rPr>
        <w:t xml:space="preserve"> Topics </w:t>
      </w:r>
      <w:proofErr w:type="spellStart"/>
      <w:r w:rsidRPr="008F311D">
        <w:rPr>
          <w:i/>
          <w:lang w:val="en-US"/>
        </w:rPr>
        <w:t>Discriminatierecht</w:t>
      </w:r>
      <w:proofErr w:type="spellEnd"/>
      <w:r w:rsidRPr="008F311D">
        <w:rPr>
          <w:lang w:val="en-US"/>
        </w:rPr>
        <w:t xml:space="preserve">, </w:t>
      </w:r>
      <w:proofErr w:type="spellStart"/>
      <w:r w:rsidRPr="008F311D">
        <w:rPr>
          <w:lang w:val="en-US"/>
        </w:rPr>
        <w:t>Brugge</w:t>
      </w:r>
      <w:proofErr w:type="spellEnd"/>
      <w:r w:rsidRPr="008F311D">
        <w:rPr>
          <w:lang w:val="en-US"/>
        </w:rPr>
        <w:t xml:space="preserve">, die </w:t>
      </w:r>
      <w:proofErr w:type="spellStart"/>
      <w:r w:rsidRPr="008F311D">
        <w:rPr>
          <w:lang w:val="en-US"/>
        </w:rPr>
        <w:t>Keure</w:t>
      </w:r>
      <w:proofErr w:type="spellEnd"/>
      <w:r w:rsidRPr="008F311D">
        <w:rPr>
          <w:lang w:val="en-US"/>
        </w:rPr>
        <w:t>, 2010,</w:t>
      </w:r>
      <w:r>
        <w:rPr>
          <w:lang w:val="en-US"/>
        </w:rPr>
        <w:t xml:space="preserve"> </w:t>
      </w:r>
      <w:r w:rsidRPr="008F311D">
        <w:rPr>
          <w:lang w:val="en-US"/>
        </w:rPr>
        <w:t>242</w:t>
      </w:r>
      <w:r>
        <w:rPr>
          <w:lang w:val="en-US"/>
        </w:rPr>
        <w:t xml:space="preserve">; </w:t>
      </w:r>
      <w:r>
        <w:rPr>
          <w:lang w:val="en-GB"/>
        </w:rPr>
        <w:t>Pager S., op. cit., 580</w:t>
      </w:r>
      <w:r>
        <w:rPr>
          <w:bCs/>
          <w:lang w:val="en-US"/>
        </w:rPr>
        <w:t xml:space="preserve">; </w:t>
      </w:r>
      <w:r>
        <w:rPr>
          <w:lang w:val="en-US"/>
        </w:rPr>
        <w:t>Peters A.</w:t>
      </w:r>
      <w:r w:rsidRPr="00860264">
        <w:rPr>
          <w:lang w:val="en-GB"/>
        </w:rPr>
        <w:t xml:space="preserve">, “The Many Meanings of Equality and Positive Action in Favour of Women under European Community Law – A Conceptual Analysis”, </w:t>
      </w:r>
      <w:r w:rsidRPr="00860264">
        <w:rPr>
          <w:i/>
          <w:lang w:val="en-GB"/>
        </w:rPr>
        <w:t xml:space="preserve">ELJ </w:t>
      </w:r>
      <w:r>
        <w:rPr>
          <w:lang w:val="en-GB"/>
        </w:rPr>
        <w:t xml:space="preserve">1996, </w:t>
      </w:r>
      <w:r>
        <w:rPr>
          <w:lang w:val="en-US"/>
        </w:rPr>
        <w:t xml:space="preserve">193; </w:t>
      </w:r>
      <w:proofErr w:type="spellStart"/>
      <w:r w:rsidRPr="00F35D51">
        <w:rPr>
          <w:lang w:val="en-US"/>
        </w:rPr>
        <w:t>Tobler</w:t>
      </w:r>
      <w:proofErr w:type="spellEnd"/>
      <w:r w:rsidRPr="00F35D51">
        <w:rPr>
          <w:lang w:val="en-US"/>
        </w:rPr>
        <w:t xml:space="preserve"> C., “Positive action under the revised second equal treatment directive”, </w:t>
      </w:r>
      <w:r w:rsidRPr="00F35D51">
        <w:rPr>
          <w:i/>
          <w:lang w:val="en-US"/>
        </w:rPr>
        <w:t>working paper European Women Lawyers Association September</w:t>
      </w:r>
      <w:r w:rsidRPr="00F35D51">
        <w:rPr>
          <w:lang w:val="en-US"/>
        </w:rPr>
        <w:t xml:space="preserve"> </w:t>
      </w:r>
      <w:r w:rsidRPr="00654665">
        <w:rPr>
          <w:i/>
          <w:lang w:val="en-US"/>
        </w:rPr>
        <w:t>2002</w:t>
      </w:r>
      <w:r w:rsidRPr="00F35D51">
        <w:rPr>
          <w:lang w:val="en-US"/>
        </w:rPr>
        <w:t xml:space="preserve">, </w:t>
      </w:r>
      <w:r>
        <w:rPr>
          <w:lang w:val="en-US"/>
        </w:rPr>
        <w:t xml:space="preserve">7. </w:t>
      </w:r>
    </w:p>
  </w:footnote>
  <w:footnote w:id="278">
    <w:p w:rsidR="00551E68" w:rsidRPr="00BC3D20" w:rsidRDefault="00551E68" w:rsidP="005869B3">
      <w:pPr>
        <w:pStyle w:val="Voetnoottekst"/>
        <w:jc w:val="both"/>
        <w:rPr>
          <w:lang w:val="de-DE"/>
        </w:rPr>
      </w:pPr>
      <w:r>
        <w:rPr>
          <w:rStyle w:val="Voetnootmarkering"/>
        </w:rPr>
        <w:footnoteRef/>
      </w:r>
      <w:r w:rsidRPr="00BC3D20">
        <w:rPr>
          <w:lang w:val="de-DE"/>
        </w:rPr>
        <w:t xml:space="preserve"> ECJ C-409/95, </w:t>
      </w:r>
      <w:r w:rsidRPr="00BC3D20">
        <w:rPr>
          <w:i/>
          <w:lang w:val="de-DE"/>
        </w:rPr>
        <w:t>Hellmut Marschall v. Land Nordrhein Westfalen</w:t>
      </w:r>
      <w:r w:rsidRPr="00BC3D20">
        <w:rPr>
          <w:lang w:val="de-DE"/>
        </w:rPr>
        <w:t>, 1997.</w:t>
      </w:r>
    </w:p>
  </w:footnote>
  <w:footnote w:id="279">
    <w:p w:rsidR="00551E68" w:rsidRPr="00DE3B05" w:rsidRDefault="00551E68" w:rsidP="005869B3">
      <w:pPr>
        <w:pStyle w:val="Voetnoottekst"/>
        <w:jc w:val="both"/>
        <w:rPr>
          <w:lang w:val="de-DE"/>
        </w:rPr>
      </w:pPr>
      <w:r>
        <w:rPr>
          <w:rStyle w:val="Voetnootmarkering"/>
        </w:rPr>
        <w:footnoteRef/>
      </w:r>
      <w:r w:rsidRPr="005777E2">
        <w:rPr>
          <w:lang w:val="de-DE"/>
        </w:rPr>
        <w:t xml:space="preserve"> ECJ C-409/95, </w:t>
      </w:r>
      <w:r w:rsidRPr="005777E2">
        <w:rPr>
          <w:i/>
          <w:lang w:val="de-DE"/>
        </w:rPr>
        <w:t>Hellmut Marschall v. Land Nordrhein Westfal</w:t>
      </w:r>
      <w:r w:rsidRPr="00DE3B05">
        <w:rPr>
          <w:i/>
          <w:lang w:val="de-DE"/>
        </w:rPr>
        <w:t>en</w:t>
      </w:r>
      <w:r>
        <w:rPr>
          <w:lang w:val="de-DE"/>
        </w:rPr>
        <w:t xml:space="preserve">, 1997, </w:t>
      </w:r>
      <w:proofErr w:type="spellStart"/>
      <w:r>
        <w:rPr>
          <w:lang w:val="de-DE"/>
        </w:rPr>
        <w:t>para</w:t>
      </w:r>
      <w:proofErr w:type="spellEnd"/>
      <w:r>
        <w:rPr>
          <w:lang w:val="de-DE"/>
        </w:rPr>
        <w:t xml:space="preserve"> 24. </w:t>
      </w:r>
    </w:p>
  </w:footnote>
  <w:footnote w:id="280">
    <w:p w:rsidR="00551E68" w:rsidRPr="008B7CEC" w:rsidRDefault="00551E68" w:rsidP="005869B3">
      <w:pPr>
        <w:pStyle w:val="Voetnoottekst"/>
        <w:jc w:val="both"/>
        <w:rPr>
          <w:i/>
          <w:lang w:val="en-GB"/>
        </w:rPr>
      </w:pPr>
      <w:r>
        <w:rPr>
          <w:rStyle w:val="Voetnootmarkering"/>
        </w:rPr>
        <w:footnoteRef/>
      </w:r>
      <w:r w:rsidRPr="00DE3B05">
        <w:rPr>
          <w:lang w:val="de-DE"/>
        </w:rPr>
        <w:t xml:space="preserve"> </w:t>
      </w:r>
      <w:r w:rsidRPr="00F90E6A">
        <w:rPr>
          <w:lang w:val="de-DE"/>
        </w:rPr>
        <w:t xml:space="preserve">ECJ C-409/95, </w:t>
      </w:r>
      <w:r w:rsidRPr="00F90E6A">
        <w:rPr>
          <w:i/>
          <w:lang w:val="de-DE"/>
        </w:rPr>
        <w:t>Hellmut Marschall v. Land Nordrhein Westfalen</w:t>
      </w:r>
      <w:r w:rsidRPr="00F90E6A">
        <w:rPr>
          <w:lang w:val="de-DE"/>
        </w:rPr>
        <w:t>, 1997,</w:t>
      </w:r>
      <w:r>
        <w:rPr>
          <w:lang w:val="de-DE"/>
        </w:rPr>
        <w:t xml:space="preserve"> </w:t>
      </w:r>
      <w:proofErr w:type="spellStart"/>
      <w:r>
        <w:rPr>
          <w:lang w:val="de-DE"/>
        </w:rPr>
        <w:t>para</w:t>
      </w:r>
      <w:proofErr w:type="spellEnd"/>
      <w:r>
        <w:rPr>
          <w:lang w:val="de-DE"/>
        </w:rPr>
        <w:t xml:space="preserve">. </w:t>
      </w:r>
      <w:r>
        <w:rPr>
          <w:lang w:val="en-US"/>
        </w:rPr>
        <w:t xml:space="preserve">32-33; </w:t>
      </w:r>
      <w:r w:rsidRPr="008B7CEC">
        <w:rPr>
          <w:lang w:val="en-GB"/>
        </w:rPr>
        <w:t xml:space="preserve">Totten C., “Constitutional </w:t>
      </w:r>
      <w:proofErr w:type="spellStart"/>
      <w:r w:rsidRPr="008B7CEC">
        <w:rPr>
          <w:lang w:val="en-GB"/>
        </w:rPr>
        <w:t>Precommitments</w:t>
      </w:r>
      <w:proofErr w:type="spellEnd"/>
      <w:r w:rsidRPr="008B7CEC">
        <w:rPr>
          <w:lang w:val="en-GB"/>
        </w:rPr>
        <w:t xml:space="preserve"> to Gender Affirmative Action in the European Union, Germany, Canada and the United States: A Comparative Approach”, </w:t>
      </w:r>
      <w:r w:rsidRPr="008B7CEC">
        <w:rPr>
          <w:i/>
          <w:lang w:val="en-GB"/>
        </w:rPr>
        <w:t>Berkeley J. Int’l L.</w:t>
      </w:r>
      <w:r w:rsidRPr="008B7CEC">
        <w:rPr>
          <w:lang w:val="en-GB"/>
        </w:rPr>
        <w:t xml:space="preserve"> 2003</w:t>
      </w:r>
      <w:r>
        <w:rPr>
          <w:lang w:val="en-GB"/>
        </w:rPr>
        <w:t xml:space="preserve">, 33. </w:t>
      </w:r>
    </w:p>
  </w:footnote>
  <w:footnote w:id="281">
    <w:p w:rsidR="00551E68" w:rsidRPr="003B40C4" w:rsidRDefault="00551E68" w:rsidP="005869B3">
      <w:pPr>
        <w:pStyle w:val="Voetnoottekst"/>
        <w:jc w:val="both"/>
        <w:rPr>
          <w:lang w:val="en-US"/>
        </w:rPr>
      </w:pPr>
      <w:r>
        <w:rPr>
          <w:rStyle w:val="Voetnootmarkering"/>
        </w:rPr>
        <w:footnoteRef/>
      </w:r>
      <w:r w:rsidRPr="00D30209">
        <w:rPr>
          <w:lang w:val="en-US"/>
        </w:rPr>
        <w:t xml:space="preserve"> </w:t>
      </w:r>
      <w:proofErr w:type="spellStart"/>
      <w:r w:rsidRPr="00925A34">
        <w:rPr>
          <w:lang w:val="en-GB"/>
        </w:rPr>
        <w:t>Charpentier</w:t>
      </w:r>
      <w:proofErr w:type="spellEnd"/>
      <w:r w:rsidRPr="00925A34">
        <w:rPr>
          <w:lang w:val="en-GB"/>
        </w:rPr>
        <w:t xml:space="preserve"> L., op. cit., 187</w:t>
      </w:r>
      <w:r>
        <w:rPr>
          <w:lang w:val="en-GB"/>
        </w:rPr>
        <w:t xml:space="preserve">; </w:t>
      </w:r>
      <w:r w:rsidRPr="003B40C4">
        <w:rPr>
          <w:lang w:val="en-US"/>
        </w:rPr>
        <w:t>Clayton A.,</w:t>
      </w:r>
      <w:r>
        <w:rPr>
          <w:lang w:val="en-US"/>
        </w:rPr>
        <w:t xml:space="preserve"> op. cit., 427-428; </w:t>
      </w:r>
      <w:r w:rsidRPr="00D30209">
        <w:rPr>
          <w:lang w:val="en-US"/>
        </w:rPr>
        <w:t xml:space="preserve">Peters A, </w:t>
      </w:r>
      <w:r w:rsidRPr="00D30209">
        <w:rPr>
          <w:i/>
          <w:lang w:val="en-US"/>
        </w:rPr>
        <w:t>Women, Quotas and Constitutions</w:t>
      </w:r>
      <w:r w:rsidRPr="00D30209">
        <w:rPr>
          <w:lang w:val="en-US"/>
        </w:rPr>
        <w:t>, The Hague, Kluwer</w:t>
      </w:r>
      <w:r>
        <w:rPr>
          <w:lang w:val="en-US"/>
        </w:rPr>
        <w:t xml:space="preserve"> Law International, 1999, 257 and 238-239; </w:t>
      </w:r>
      <w:proofErr w:type="spellStart"/>
      <w:r w:rsidRPr="00FB28AA">
        <w:rPr>
          <w:lang w:val="en-GB"/>
        </w:rPr>
        <w:t>Prechal</w:t>
      </w:r>
      <w:proofErr w:type="spellEnd"/>
      <w:r w:rsidRPr="00FB28AA">
        <w:rPr>
          <w:lang w:val="en-GB"/>
        </w:rPr>
        <w:t xml:space="preserve"> S</w:t>
      </w:r>
      <w:r>
        <w:rPr>
          <w:lang w:val="en-GB"/>
        </w:rPr>
        <w:t>., op. cit.</w:t>
      </w:r>
      <w:r w:rsidRPr="00FB28AA">
        <w:rPr>
          <w:lang w:val="en-GB"/>
        </w:rPr>
        <w:t>, 5</w:t>
      </w:r>
      <w:r>
        <w:rPr>
          <w:lang w:val="en-GB"/>
        </w:rPr>
        <w:t xml:space="preserve">40. </w:t>
      </w:r>
    </w:p>
  </w:footnote>
  <w:footnote w:id="282">
    <w:p w:rsidR="00551E68" w:rsidRPr="00EC0788" w:rsidRDefault="00551E68" w:rsidP="005869B3">
      <w:pPr>
        <w:pStyle w:val="Voetnoottekst"/>
        <w:jc w:val="both"/>
        <w:rPr>
          <w:lang w:val="en-GB"/>
        </w:rPr>
      </w:pPr>
      <w:r>
        <w:rPr>
          <w:rStyle w:val="Voetnootmarkering"/>
        </w:rPr>
        <w:footnoteRef/>
      </w:r>
      <w:r w:rsidRPr="000575CC">
        <w:rPr>
          <w:lang w:val="en-US"/>
        </w:rPr>
        <w:t xml:space="preserve"> ECJ C-409/95, </w:t>
      </w:r>
      <w:proofErr w:type="spellStart"/>
      <w:r w:rsidRPr="000575CC">
        <w:rPr>
          <w:i/>
          <w:lang w:val="en-US"/>
        </w:rPr>
        <w:t>Hellmut</w:t>
      </w:r>
      <w:proofErr w:type="spellEnd"/>
      <w:r w:rsidRPr="000575CC">
        <w:rPr>
          <w:i/>
          <w:lang w:val="en-US"/>
        </w:rPr>
        <w:t xml:space="preserve"> </w:t>
      </w:r>
      <w:proofErr w:type="spellStart"/>
      <w:r w:rsidRPr="000575CC">
        <w:rPr>
          <w:i/>
          <w:lang w:val="en-US"/>
        </w:rPr>
        <w:t>Marschall</w:t>
      </w:r>
      <w:proofErr w:type="spellEnd"/>
      <w:r w:rsidRPr="000575CC">
        <w:rPr>
          <w:i/>
          <w:lang w:val="en-US"/>
        </w:rPr>
        <w:t xml:space="preserve"> v. Land </w:t>
      </w:r>
      <w:proofErr w:type="spellStart"/>
      <w:r w:rsidRPr="000575CC">
        <w:rPr>
          <w:i/>
          <w:lang w:val="en-US"/>
        </w:rPr>
        <w:t>Nordrhein</w:t>
      </w:r>
      <w:proofErr w:type="spellEnd"/>
      <w:r w:rsidRPr="000575CC">
        <w:rPr>
          <w:i/>
          <w:lang w:val="en-US"/>
        </w:rPr>
        <w:t xml:space="preserve"> </w:t>
      </w:r>
      <w:proofErr w:type="spellStart"/>
      <w:r w:rsidRPr="000575CC">
        <w:rPr>
          <w:i/>
          <w:lang w:val="en-US"/>
        </w:rPr>
        <w:t>Westfalen</w:t>
      </w:r>
      <w:proofErr w:type="spellEnd"/>
      <w:r w:rsidRPr="000575CC">
        <w:rPr>
          <w:lang w:val="en-US"/>
        </w:rPr>
        <w:t xml:space="preserve">, 1997, paras 29-30; De </w:t>
      </w:r>
      <w:proofErr w:type="spellStart"/>
      <w:r w:rsidRPr="000575CC">
        <w:rPr>
          <w:lang w:val="en-US"/>
        </w:rPr>
        <w:t>Schutter</w:t>
      </w:r>
      <w:proofErr w:type="spellEnd"/>
      <w:r w:rsidRPr="000575CC">
        <w:rPr>
          <w:lang w:val="en-US"/>
        </w:rPr>
        <w:t xml:space="preserve"> O., “Positive Action’ in </w:t>
      </w:r>
      <w:proofErr w:type="spellStart"/>
      <w:r w:rsidRPr="000575CC">
        <w:rPr>
          <w:lang w:val="en-US"/>
        </w:rPr>
        <w:t>Schiek</w:t>
      </w:r>
      <w:proofErr w:type="spellEnd"/>
      <w:r w:rsidRPr="000575CC">
        <w:rPr>
          <w:lang w:val="en-US"/>
        </w:rPr>
        <w:t xml:space="preserve"> D., Waddington L. and Bell M. (eds.), op</w:t>
      </w:r>
      <w:r>
        <w:rPr>
          <w:lang w:val="en-US"/>
        </w:rPr>
        <w:t>. cit., 811;</w:t>
      </w:r>
      <w:r>
        <w:rPr>
          <w:lang w:val="en-GB"/>
        </w:rPr>
        <w:t xml:space="preserve"> </w:t>
      </w:r>
      <w:proofErr w:type="spellStart"/>
      <w:r w:rsidRPr="00EC0788">
        <w:rPr>
          <w:lang w:val="en-GB"/>
        </w:rPr>
        <w:t>Krstic</w:t>
      </w:r>
      <w:proofErr w:type="spellEnd"/>
      <w:r w:rsidRPr="00EC0788">
        <w:rPr>
          <w:lang w:val="en-GB"/>
        </w:rPr>
        <w:t xml:space="preserve"> I., “Affirmative Action in the United States and the European Union: Comparison and Analysis”, </w:t>
      </w:r>
      <w:r w:rsidRPr="00EC0788">
        <w:rPr>
          <w:i/>
          <w:lang w:val="en-GB"/>
        </w:rPr>
        <w:t>Law and Politics</w:t>
      </w:r>
      <w:r w:rsidRPr="00EC0788">
        <w:rPr>
          <w:lang w:val="en-GB"/>
        </w:rPr>
        <w:t xml:space="preserve"> 2003, 8</w:t>
      </w:r>
      <w:r>
        <w:rPr>
          <w:lang w:val="en-GB"/>
        </w:rPr>
        <w:t>40;</w:t>
      </w:r>
      <w:r w:rsidRPr="00691C78">
        <w:rPr>
          <w:lang w:val="en-GB"/>
        </w:rPr>
        <w:t xml:space="preserve"> </w:t>
      </w:r>
      <w:proofErr w:type="spellStart"/>
      <w:r w:rsidRPr="00691C78">
        <w:rPr>
          <w:lang w:val="en-GB"/>
        </w:rPr>
        <w:t>Selanec</w:t>
      </w:r>
      <w:proofErr w:type="spellEnd"/>
      <w:r w:rsidRPr="00691C78">
        <w:rPr>
          <w:lang w:val="en-GB"/>
        </w:rPr>
        <w:t xml:space="preserve"> G. and </w:t>
      </w:r>
      <w:proofErr w:type="spellStart"/>
      <w:r w:rsidRPr="00691C78">
        <w:rPr>
          <w:lang w:val="en-GB"/>
        </w:rPr>
        <w:t>Senden</w:t>
      </w:r>
      <w:proofErr w:type="spellEnd"/>
      <w:r w:rsidRPr="00691C78">
        <w:rPr>
          <w:lang w:val="en-GB"/>
        </w:rPr>
        <w:t xml:space="preserve"> L.,</w:t>
      </w:r>
      <w:r>
        <w:rPr>
          <w:lang w:val="en-GB"/>
        </w:rPr>
        <w:t xml:space="preserve"> op. cit., 11; </w:t>
      </w:r>
      <w:proofErr w:type="spellStart"/>
      <w:r w:rsidRPr="002B4D6C">
        <w:rPr>
          <w:lang w:val="en-US"/>
        </w:rPr>
        <w:t>Tobler</w:t>
      </w:r>
      <w:proofErr w:type="spellEnd"/>
      <w:r w:rsidRPr="002B4D6C">
        <w:rPr>
          <w:lang w:val="en-US"/>
        </w:rPr>
        <w:t xml:space="preserve"> C., “Positive action under the revised second equal treatment directive”, </w:t>
      </w:r>
      <w:r w:rsidRPr="002B4D6C">
        <w:rPr>
          <w:i/>
          <w:lang w:val="en-US"/>
        </w:rPr>
        <w:t>working paper European Women Lawyers Association September</w:t>
      </w:r>
      <w:r w:rsidRPr="002B4D6C">
        <w:rPr>
          <w:lang w:val="en-US"/>
        </w:rPr>
        <w:t xml:space="preserve"> </w:t>
      </w:r>
      <w:r w:rsidRPr="00D95DF8">
        <w:rPr>
          <w:i/>
          <w:lang w:val="en-US"/>
        </w:rPr>
        <w:t>2002,</w:t>
      </w:r>
      <w:r>
        <w:rPr>
          <w:lang w:val="en-US"/>
        </w:rPr>
        <w:t xml:space="preserve"> 8. </w:t>
      </w:r>
    </w:p>
  </w:footnote>
  <w:footnote w:id="283">
    <w:p w:rsidR="00551E68" w:rsidRPr="00242A5D" w:rsidRDefault="00551E68" w:rsidP="005869B3">
      <w:pPr>
        <w:pStyle w:val="Voetnoottekst"/>
        <w:jc w:val="both"/>
        <w:rPr>
          <w:lang w:val="en-GB"/>
        </w:rPr>
      </w:pPr>
      <w:r>
        <w:rPr>
          <w:rStyle w:val="Voetnootmarkering"/>
        </w:rPr>
        <w:footnoteRef/>
      </w:r>
      <w:r w:rsidRPr="0034510F">
        <w:rPr>
          <w:lang w:val="en-US"/>
        </w:rPr>
        <w:t xml:space="preserve"> </w:t>
      </w:r>
      <w:r w:rsidRPr="00912B51">
        <w:rPr>
          <w:lang w:val="en-US"/>
        </w:rPr>
        <w:t>Chalm</w:t>
      </w:r>
      <w:r>
        <w:rPr>
          <w:lang w:val="en-US"/>
        </w:rPr>
        <w:t xml:space="preserve">ers D., Davies G. and </w:t>
      </w:r>
      <w:proofErr w:type="spellStart"/>
      <w:r>
        <w:rPr>
          <w:lang w:val="en-US"/>
        </w:rPr>
        <w:t>Monti</w:t>
      </w:r>
      <w:proofErr w:type="spellEnd"/>
      <w:r>
        <w:rPr>
          <w:lang w:val="en-US"/>
        </w:rPr>
        <w:t xml:space="preserve"> G., op. cit., 573; </w:t>
      </w:r>
      <w:proofErr w:type="spellStart"/>
      <w:r w:rsidRPr="00242A5D">
        <w:rPr>
          <w:lang w:val="en-GB"/>
        </w:rPr>
        <w:t>McHarg</w:t>
      </w:r>
      <w:proofErr w:type="spellEnd"/>
      <w:r w:rsidRPr="00242A5D">
        <w:rPr>
          <w:lang w:val="en-GB"/>
        </w:rPr>
        <w:t xml:space="preserve"> A. and Nicolson D.,</w:t>
      </w:r>
      <w:r>
        <w:rPr>
          <w:lang w:val="en-GB"/>
        </w:rPr>
        <w:t xml:space="preserve"> op. cit., 13. </w:t>
      </w:r>
    </w:p>
  </w:footnote>
  <w:footnote w:id="284">
    <w:p w:rsidR="00551E68" w:rsidRPr="00027C27" w:rsidRDefault="00551E68" w:rsidP="005869B3">
      <w:pPr>
        <w:pStyle w:val="Voetnoottekst"/>
        <w:jc w:val="both"/>
        <w:rPr>
          <w:lang w:val="fr-FR"/>
        </w:rPr>
      </w:pPr>
      <w:r>
        <w:rPr>
          <w:rStyle w:val="Voetnootmarkering"/>
        </w:rPr>
        <w:footnoteRef/>
      </w:r>
      <w:r w:rsidRPr="00027C27">
        <w:rPr>
          <w:lang w:val="fr-FR"/>
        </w:rPr>
        <w:t xml:space="preserve"> ECJ C-407/98, </w:t>
      </w:r>
      <w:r w:rsidRPr="00027C27">
        <w:rPr>
          <w:i/>
          <w:lang w:val="fr-FR"/>
        </w:rPr>
        <w:t xml:space="preserve">Katarina </w:t>
      </w:r>
      <w:proofErr w:type="spellStart"/>
      <w:r w:rsidRPr="00027C27">
        <w:rPr>
          <w:i/>
          <w:lang w:val="fr-FR"/>
        </w:rPr>
        <w:t>Abrahamsson</w:t>
      </w:r>
      <w:proofErr w:type="spellEnd"/>
      <w:r w:rsidRPr="00027C27">
        <w:rPr>
          <w:i/>
          <w:lang w:val="fr-FR"/>
        </w:rPr>
        <w:t xml:space="preserve"> and Leif Anderson v. </w:t>
      </w:r>
      <w:proofErr w:type="spellStart"/>
      <w:r w:rsidRPr="00027C27">
        <w:rPr>
          <w:i/>
          <w:lang w:val="fr-FR"/>
        </w:rPr>
        <w:t>Elisabet</w:t>
      </w:r>
      <w:proofErr w:type="spellEnd"/>
      <w:r w:rsidRPr="00027C27">
        <w:rPr>
          <w:i/>
          <w:lang w:val="fr-FR"/>
        </w:rPr>
        <w:t xml:space="preserve"> </w:t>
      </w:r>
      <w:proofErr w:type="spellStart"/>
      <w:r w:rsidRPr="00027C27">
        <w:rPr>
          <w:i/>
          <w:lang w:val="fr-FR"/>
        </w:rPr>
        <w:t>Fogelqvist</w:t>
      </w:r>
      <w:proofErr w:type="spellEnd"/>
      <w:r w:rsidRPr="00027C27">
        <w:rPr>
          <w:lang w:val="fr-FR"/>
        </w:rPr>
        <w:t xml:space="preserve">, 2000, paras 52-53 and 55-56; ECJ C-319/03, </w:t>
      </w:r>
      <w:r w:rsidRPr="00027C27">
        <w:rPr>
          <w:i/>
          <w:lang w:val="fr-FR"/>
        </w:rPr>
        <w:t xml:space="preserve">Serge </w:t>
      </w:r>
      <w:proofErr w:type="spellStart"/>
      <w:r w:rsidRPr="00027C27">
        <w:rPr>
          <w:i/>
          <w:lang w:val="fr-FR"/>
        </w:rPr>
        <w:t>Briheche</w:t>
      </w:r>
      <w:proofErr w:type="spellEnd"/>
      <w:r w:rsidRPr="00027C27">
        <w:rPr>
          <w:i/>
          <w:lang w:val="fr-FR"/>
        </w:rPr>
        <w:t xml:space="preserve"> v. Ministre de l’Intérieur, Ministre de l’éducation and Ministre de la Justice</w:t>
      </w:r>
      <w:r>
        <w:rPr>
          <w:lang w:val="fr-FR"/>
        </w:rPr>
        <w:t xml:space="preserve">, 2004, paras 23, 27-28 and 32. </w:t>
      </w:r>
    </w:p>
  </w:footnote>
  <w:footnote w:id="285">
    <w:p w:rsidR="00551E68" w:rsidRPr="00CC1769" w:rsidRDefault="00551E68" w:rsidP="005869B3">
      <w:pPr>
        <w:pStyle w:val="Voetnoottekst"/>
        <w:jc w:val="both"/>
        <w:rPr>
          <w:lang w:val="en-US"/>
        </w:rPr>
      </w:pPr>
      <w:r>
        <w:rPr>
          <w:rStyle w:val="Voetnootmarkering"/>
        </w:rPr>
        <w:footnoteRef/>
      </w:r>
      <w:r w:rsidRPr="00CC1769">
        <w:rPr>
          <w:lang w:val="en-US"/>
        </w:rPr>
        <w:t xml:space="preserve"> ECJ C-158/97, Georg </w:t>
      </w:r>
      <w:proofErr w:type="spellStart"/>
      <w:r w:rsidRPr="00CC1769">
        <w:rPr>
          <w:i/>
          <w:lang w:val="en-US"/>
        </w:rPr>
        <w:t>Badeck</w:t>
      </w:r>
      <w:proofErr w:type="spellEnd"/>
      <w:r w:rsidRPr="00CC1769">
        <w:rPr>
          <w:i/>
          <w:lang w:val="en-US"/>
        </w:rPr>
        <w:t xml:space="preserve"> and Others v. </w:t>
      </w:r>
      <w:proofErr w:type="spellStart"/>
      <w:r w:rsidRPr="00CC1769">
        <w:rPr>
          <w:i/>
          <w:lang w:val="en-US"/>
        </w:rPr>
        <w:t>Hessicher</w:t>
      </w:r>
      <w:proofErr w:type="spellEnd"/>
      <w:r w:rsidRPr="00CC1769">
        <w:rPr>
          <w:i/>
          <w:lang w:val="en-US"/>
        </w:rPr>
        <w:t xml:space="preserve"> </w:t>
      </w:r>
      <w:proofErr w:type="spellStart"/>
      <w:r w:rsidRPr="00CC1769">
        <w:rPr>
          <w:i/>
          <w:lang w:val="en-US"/>
        </w:rPr>
        <w:t>Ministerprasident</w:t>
      </w:r>
      <w:proofErr w:type="spellEnd"/>
      <w:r w:rsidRPr="00CC1769">
        <w:rPr>
          <w:lang w:val="en-US"/>
        </w:rPr>
        <w:t>, 2000, paras 52-55 a</w:t>
      </w:r>
      <w:r>
        <w:rPr>
          <w:lang w:val="en-US"/>
        </w:rPr>
        <w:t xml:space="preserve">nd 62-63. </w:t>
      </w:r>
    </w:p>
  </w:footnote>
  <w:footnote w:id="286">
    <w:p w:rsidR="00551E68" w:rsidRPr="00103155" w:rsidRDefault="00551E68" w:rsidP="005869B3">
      <w:pPr>
        <w:pStyle w:val="Voetnoottekst"/>
        <w:jc w:val="both"/>
      </w:pPr>
      <w:r>
        <w:rPr>
          <w:rStyle w:val="Voetnootmarkering"/>
        </w:rPr>
        <w:footnoteRef/>
      </w:r>
      <w:r w:rsidRPr="00CC1769">
        <w:t xml:space="preserve"> </w:t>
      </w:r>
      <w:r w:rsidRPr="00103155">
        <w:t xml:space="preserve">ECJ C-476/99, </w:t>
      </w:r>
      <w:r w:rsidRPr="00103155">
        <w:rPr>
          <w:i/>
        </w:rPr>
        <w:t>H. Lommers v. Minister van Landbouw, natuurbeheer en Visserij</w:t>
      </w:r>
      <w:r>
        <w:t xml:space="preserve">, 2002, </w:t>
      </w:r>
      <w:proofErr w:type="spellStart"/>
      <w:r>
        <w:t>paras</w:t>
      </w:r>
      <w:proofErr w:type="spellEnd"/>
      <w:r>
        <w:t xml:space="preserve"> 38 </w:t>
      </w:r>
      <w:proofErr w:type="spellStart"/>
      <w:r>
        <w:t>and</w:t>
      </w:r>
      <w:proofErr w:type="spellEnd"/>
      <w:r>
        <w:t xml:space="preserve"> 50. </w:t>
      </w:r>
    </w:p>
  </w:footnote>
  <w:footnote w:id="287">
    <w:p w:rsidR="00551E68" w:rsidRPr="001E7058" w:rsidRDefault="00551E68" w:rsidP="005869B3">
      <w:pPr>
        <w:pStyle w:val="Voetnoottekst"/>
        <w:jc w:val="both"/>
        <w:rPr>
          <w:lang w:val="fr-FR"/>
        </w:rPr>
      </w:pPr>
      <w:r>
        <w:rPr>
          <w:rStyle w:val="Voetnootmarkering"/>
        </w:rPr>
        <w:footnoteRef/>
      </w:r>
      <w:r w:rsidRPr="001E7058">
        <w:rPr>
          <w:lang w:val="fr-FR"/>
        </w:rPr>
        <w:t xml:space="preserve"> </w:t>
      </w:r>
      <w:proofErr w:type="spellStart"/>
      <w:r w:rsidRPr="001E7058">
        <w:rPr>
          <w:lang w:val="fr-FR"/>
        </w:rPr>
        <w:t>Today</w:t>
      </w:r>
      <w:proofErr w:type="spellEnd"/>
      <w:r w:rsidRPr="001E7058">
        <w:rPr>
          <w:lang w:val="fr-FR"/>
        </w:rPr>
        <w:t xml:space="preserve"> article 157(4) TFEU. </w:t>
      </w:r>
    </w:p>
  </w:footnote>
  <w:footnote w:id="288">
    <w:p w:rsidR="00551E68" w:rsidRPr="001E7058" w:rsidRDefault="00551E68" w:rsidP="005869B3">
      <w:pPr>
        <w:pStyle w:val="Voetnoottekst"/>
        <w:jc w:val="both"/>
        <w:rPr>
          <w:lang w:val="fr-FR"/>
        </w:rPr>
      </w:pPr>
      <w:r>
        <w:rPr>
          <w:rStyle w:val="Voetnootmarkering"/>
        </w:rPr>
        <w:footnoteRef/>
      </w:r>
      <w:r w:rsidRPr="001E7058">
        <w:rPr>
          <w:lang w:val="fr-FR"/>
        </w:rPr>
        <w:t xml:space="preserve"> Article 23(2) EU</w:t>
      </w:r>
      <w:r>
        <w:rPr>
          <w:lang w:val="fr-FR"/>
        </w:rPr>
        <w:t xml:space="preserve"> Charter. </w:t>
      </w:r>
    </w:p>
  </w:footnote>
  <w:footnote w:id="289">
    <w:p w:rsidR="00551E68" w:rsidRPr="00BC3B08" w:rsidRDefault="00551E68" w:rsidP="005869B3">
      <w:pPr>
        <w:pStyle w:val="Voetnoottekst"/>
        <w:jc w:val="both"/>
        <w:rPr>
          <w:b/>
          <w:u w:val="single"/>
          <w:lang w:val="en-US"/>
        </w:rPr>
      </w:pPr>
      <w:r>
        <w:rPr>
          <w:rStyle w:val="Voetnootmarkering"/>
        </w:rPr>
        <w:footnoteRef/>
      </w:r>
      <w:r>
        <w:rPr>
          <w:lang w:val="en-US"/>
        </w:rPr>
        <w:t xml:space="preserve"> </w:t>
      </w:r>
      <w:proofErr w:type="spellStart"/>
      <w:r>
        <w:rPr>
          <w:lang w:val="en-US"/>
        </w:rPr>
        <w:t>Archibong</w:t>
      </w:r>
      <w:proofErr w:type="spellEnd"/>
      <w:r>
        <w:rPr>
          <w:lang w:val="en-US"/>
        </w:rPr>
        <w:t xml:space="preserve"> U. and </w:t>
      </w:r>
      <w:proofErr w:type="spellStart"/>
      <w:r>
        <w:rPr>
          <w:lang w:val="en-US"/>
        </w:rPr>
        <w:t>Eferakorho</w:t>
      </w:r>
      <w:proofErr w:type="spellEnd"/>
      <w:r>
        <w:rPr>
          <w:lang w:val="en-US"/>
        </w:rPr>
        <w:t xml:space="preserve"> J., op. cit., 23;</w:t>
      </w:r>
      <w:r>
        <w:rPr>
          <w:sz w:val="24"/>
          <w:szCs w:val="24"/>
          <w:lang w:val="en-US"/>
        </w:rPr>
        <w:t xml:space="preserve"> </w:t>
      </w:r>
      <w:r w:rsidRPr="00360FAA">
        <w:rPr>
          <w:lang w:val="en-US"/>
        </w:rPr>
        <w:t xml:space="preserve">De </w:t>
      </w:r>
      <w:proofErr w:type="spellStart"/>
      <w:r w:rsidRPr="00360FAA">
        <w:rPr>
          <w:lang w:val="en-US"/>
        </w:rPr>
        <w:t>Schutter</w:t>
      </w:r>
      <w:proofErr w:type="spellEnd"/>
      <w:r w:rsidRPr="00360FAA">
        <w:rPr>
          <w:lang w:val="en-US"/>
        </w:rPr>
        <w:t xml:space="preserve"> O., “Positive Action’ in </w:t>
      </w:r>
      <w:proofErr w:type="spellStart"/>
      <w:r w:rsidRPr="00360FAA">
        <w:rPr>
          <w:lang w:val="en-US"/>
        </w:rPr>
        <w:t>Schiek</w:t>
      </w:r>
      <w:proofErr w:type="spellEnd"/>
      <w:r w:rsidRPr="00360FAA">
        <w:rPr>
          <w:lang w:val="en-US"/>
        </w:rPr>
        <w:t xml:space="preserve"> D., Waddington L. and Bell M. (eds.), op. cit.,</w:t>
      </w:r>
      <w:r>
        <w:rPr>
          <w:lang w:val="en-US"/>
        </w:rPr>
        <w:t xml:space="preserve"> 807; </w:t>
      </w:r>
      <w:r w:rsidRPr="00BC3B08">
        <w:rPr>
          <w:lang w:val="en-US"/>
        </w:rPr>
        <w:t xml:space="preserve">Pitt G., </w:t>
      </w:r>
      <w:r w:rsidRPr="00BC3B08">
        <w:rPr>
          <w:i/>
          <w:lang w:val="en-US"/>
        </w:rPr>
        <w:t>Employment Law</w:t>
      </w:r>
      <w:r w:rsidRPr="00BC3B08">
        <w:rPr>
          <w:lang w:val="en-US"/>
        </w:rPr>
        <w:t xml:space="preserve">, London, Sweet &amp; Maxwell, 2011, </w:t>
      </w:r>
      <w:r>
        <w:rPr>
          <w:lang w:val="en-US"/>
        </w:rPr>
        <w:t xml:space="preserve">60; </w:t>
      </w:r>
      <w:r w:rsidRPr="005223E4">
        <w:rPr>
          <w:lang w:val="en-US"/>
        </w:rPr>
        <w:t>Shaw J., Hunt J. and Wallace C.,</w:t>
      </w:r>
      <w:r>
        <w:rPr>
          <w:lang w:val="en-US"/>
        </w:rPr>
        <w:t xml:space="preserve"> op. cit., 381. </w:t>
      </w:r>
    </w:p>
  </w:footnote>
  <w:footnote w:id="290">
    <w:p w:rsidR="00551E68" w:rsidRPr="00D84749" w:rsidRDefault="00551E68" w:rsidP="005869B3">
      <w:pPr>
        <w:pStyle w:val="Voetnoottekst"/>
        <w:jc w:val="both"/>
        <w:rPr>
          <w:lang w:val="en-GB"/>
        </w:rPr>
      </w:pPr>
      <w:r>
        <w:rPr>
          <w:rStyle w:val="Voetnootmarkering"/>
        </w:rPr>
        <w:footnoteRef/>
      </w:r>
      <w:r w:rsidRPr="0083211E">
        <w:rPr>
          <w:lang w:val="en-US"/>
        </w:rPr>
        <w:t xml:space="preserve"> </w:t>
      </w:r>
      <w:r>
        <w:rPr>
          <w:lang w:val="en-US"/>
        </w:rPr>
        <w:t xml:space="preserve">Article 1(3) </w:t>
      </w:r>
      <w:r w:rsidRPr="00D84749">
        <w:rPr>
          <w:lang w:val="en-GB"/>
        </w:rPr>
        <w:t>Additional Protocol to</w:t>
      </w:r>
      <w:r>
        <w:rPr>
          <w:lang w:val="en-GB"/>
        </w:rPr>
        <w:t xml:space="preserve"> the ESC. </w:t>
      </w:r>
    </w:p>
  </w:footnote>
  <w:footnote w:id="291">
    <w:p w:rsidR="00551E68" w:rsidRPr="00D44EF6" w:rsidRDefault="00551E68" w:rsidP="005869B3">
      <w:pPr>
        <w:pStyle w:val="Voetnoottekst"/>
        <w:jc w:val="both"/>
        <w:rPr>
          <w:lang w:val="en-GB"/>
        </w:rPr>
      </w:pPr>
      <w:r>
        <w:rPr>
          <w:rStyle w:val="Voetnootmarkering"/>
        </w:rPr>
        <w:footnoteRef/>
      </w:r>
      <w:r w:rsidRPr="00D44EF6">
        <w:rPr>
          <w:lang w:val="en-US"/>
        </w:rPr>
        <w:t xml:space="preserve"> Article 20(3) Appendix to</w:t>
      </w:r>
      <w:r>
        <w:rPr>
          <w:lang w:val="en-US"/>
        </w:rPr>
        <w:t xml:space="preserve"> the RESC. </w:t>
      </w:r>
      <w:r w:rsidRPr="00D44EF6">
        <w:rPr>
          <w:lang w:val="en-GB"/>
        </w:rPr>
        <w:t xml:space="preserve"> </w:t>
      </w:r>
    </w:p>
  </w:footnote>
  <w:footnote w:id="292">
    <w:p w:rsidR="00551E68" w:rsidRPr="00B4577A" w:rsidRDefault="00551E68" w:rsidP="005869B3">
      <w:pPr>
        <w:pStyle w:val="Voetnoottekst"/>
        <w:jc w:val="both"/>
        <w:rPr>
          <w:b/>
          <w:u w:val="single"/>
          <w:lang w:val="en-US"/>
        </w:rPr>
      </w:pPr>
      <w:r>
        <w:rPr>
          <w:rStyle w:val="Voetnootmarkering"/>
        </w:rPr>
        <w:footnoteRef/>
      </w:r>
      <w:r w:rsidRPr="00B4577A">
        <w:rPr>
          <w:lang w:val="en-US"/>
        </w:rPr>
        <w:t xml:space="preserve"> </w:t>
      </w:r>
      <w:r w:rsidRPr="007F3256">
        <w:rPr>
          <w:lang w:val="en-US"/>
        </w:rPr>
        <w:t xml:space="preserve">Harris D. and Darcy J., </w:t>
      </w:r>
      <w:r w:rsidRPr="007F3256">
        <w:rPr>
          <w:i/>
          <w:lang w:val="en-US"/>
        </w:rPr>
        <w:t>The European Social Charter</w:t>
      </w:r>
      <w:r w:rsidRPr="007F3256">
        <w:rPr>
          <w:lang w:val="en-US"/>
        </w:rPr>
        <w:t>, New York, Transnation</w:t>
      </w:r>
      <w:r>
        <w:rPr>
          <w:lang w:val="en-US"/>
        </w:rPr>
        <w:t xml:space="preserve">al Publishers Inc., 2001, 50; </w:t>
      </w:r>
      <w:proofErr w:type="spellStart"/>
      <w:r>
        <w:rPr>
          <w:lang w:val="en-US"/>
        </w:rPr>
        <w:t>Swiatkowski</w:t>
      </w:r>
      <w:proofErr w:type="spellEnd"/>
      <w:r>
        <w:rPr>
          <w:lang w:val="en-US"/>
        </w:rPr>
        <w:t xml:space="preserve"> A., op. cit., 64. </w:t>
      </w:r>
    </w:p>
  </w:footnote>
  <w:footnote w:id="293">
    <w:p w:rsidR="00551E68" w:rsidRPr="00921A21" w:rsidRDefault="00551E68" w:rsidP="005869B3">
      <w:pPr>
        <w:pStyle w:val="Voetnoottekst"/>
        <w:jc w:val="both"/>
        <w:rPr>
          <w:lang w:val="en-US"/>
        </w:rPr>
      </w:pPr>
      <w:r>
        <w:rPr>
          <w:rStyle w:val="Voetnootmarkering"/>
        </w:rPr>
        <w:footnoteRef/>
      </w:r>
      <w:r w:rsidRPr="00697445">
        <w:rPr>
          <w:lang w:val="en-US"/>
        </w:rPr>
        <w:t xml:space="preserve"> See for example: </w:t>
      </w:r>
      <w:r w:rsidRPr="00921A21">
        <w:rPr>
          <w:lang w:val="en-US"/>
        </w:rPr>
        <w:t>RESC Conclusions, Italy (2012)</w:t>
      </w:r>
      <w:r>
        <w:rPr>
          <w:lang w:val="en-US"/>
        </w:rPr>
        <w:t xml:space="preserve">, 37; </w:t>
      </w:r>
      <w:r w:rsidRPr="007F2228">
        <w:rPr>
          <w:lang w:val="en-US"/>
        </w:rPr>
        <w:t>RESC Conclusions, Cyprus (2012)</w:t>
      </w:r>
      <w:r>
        <w:rPr>
          <w:lang w:val="en-US"/>
        </w:rPr>
        <w:t xml:space="preserve">, 36; </w:t>
      </w:r>
      <w:r w:rsidRPr="00921A21">
        <w:rPr>
          <w:lang w:val="en-US"/>
        </w:rPr>
        <w:t>RESC Conclusions, Lithuania (2012)</w:t>
      </w:r>
      <w:r>
        <w:rPr>
          <w:lang w:val="en-US"/>
        </w:rPr>
        <w:t xml:space="preserve">, 34. </w:t>
      </w:r>
    </w:p>
  </w:footnote>
  <w:footnote w:id="294">
    <w:p w:rsidR="00551E68" w:rsidRPr="00697445" w:rsidRDefault="00551E68" w:rsidP="005869B3">
      <w:pPr>
        <w:pStyle w:val="Voetnoottekst"/>
        <w:jc w:val="both"/>
        <w:rPr>
          <w:lang w:val="en-US"/>
        </w:rPr>
      </w:pPr>
      <w:r>
        <w:rPr>
          <w:rStyle w:val="Voetnootmarkering"/>
        </w:rPr>
        <w:footnoteRef/>
      </w:r>
      <w:r w:rsidRPr="00697445">
        <w:rPr>
          <w:lang w:val="en-US"/>
        </w:rPr>
        <w:t xml:space="preserve"> RESC Conclusions, Bulgaria (2006), 5. </w:t>
      </w:r>
    </w:p>
  </w:footnote>
  <w:footnote w:id="295">
    <w:p w:rsidR="00551E68" w:rsidRPr="00697445" w:rsidRDefault="00551E68" w:rsidP="005869B3">
      <w:pPr>
        <w:pStyle w:val="Voetnoottekst"/>
        <w:jc w:val="both"/>
        <w:rPr>
          <w:lang w:val="en-US"/>
        </w:rPr>
      </w:pPr>
      <w:r>
        <w:rPr>
          <w:rStyle w:val="Voetnootmarkering"/>
        </w:rPr>
        <w:footnoteRef/>
      </w:r>
      <w:r w:rsidRPr="00697445">
        <w:rPr>
          <w:lang w:val="en-US"/>
        </w:rPr>
        <w:t xml:space="preserve"> RESC Conclusions, Romania (2002), 127.  </w:t>
      </w:r>
    </w:p>
  </w:footnote>
  <w:footnote w:id="296">
    <w:p w:rsidR="00551E68" w:rsidRPr="0083211E" w:rsidRDefault="00551E68" w:rsidP="005869B3">
      <w:pPr>
        <w:pStyle w:val="Voetnoottekst"/>
        <w:jc w:val="both"/>
        <w:rPr>
          <w:lang w:val="en-GB"/>
        </w:rPr>
      </w:pPr>
      <w:r>
        <w:rPr>
          <w:rStyle w:val="Voetnootmarkering"/>
        </w:rPr>
        <w:footnoteRef/>
      </w:r>
      <w:r>
        <w:rPr>
          <w:lang w:val="en-US"/>
        </w:rPr>
        <w:t xml:space="preserve"> </w:t>
      </w:r>
      <w:r w:rsidRPr="00337E7A">
        <w:rPr>
          <w:lang w:val="en-US"/>
        </w:rPr>
        <w:t>ESC Conclusions XIII-5, Norway (1997)</w:t>
      </w:r>
      <w:r>
        <w:rPr>
          <w:lang w:val="en-US"/>
        </w:rPr>
        <w:t xml:space="preserve">, 275; </w:t>
      </w:r>
      <w:r w:rsidRPr="00B04C5A">
        <w:rPr>
          <w:lang w:val="en-US"/>
        </w:rPr>
        <w:t>ESC Conclusions XIII-3, United Kingdom (1995)</w:t>
      </w:r>
      <w:r>
        <w:rPr>
          <w:lang w:val="en-US"/>
        </w:rPr>
        <w:t xml:space="preserve">, 74; </w:t>
      </w:r>
      <w:r w:rsidRPr="002A01A5">
        <w:rPr>
          <w:lang w:val="en-GB"/>
        </w:rPr>
        <w:t xml:space="preserve">European Committee of Social Rights, </w:t>
      </w:r>
      <w:r w:rsidRPr="002A01A5">
        <w:rPr>
          <w:i/>
          <w:lang w:val="en-GB"/>
        </w:rPr>
        <w:t>Digest of the Case Law of the European Committee of Social Rights,</w:t>
      </w:r>
      <w:r w:rsidRPr="002A01A5">
        <w:rPr>
          <w:lang w:val="en-GB"/>
        </w:rPr>
        <w:t xml:space="preserve"> Strasbourg, Council of Europe</w:t>
      </w:r>
      <w:r w:rsidRPr="002A01A5">
        <w:rPr>
          <w:i/>
          <w:lang w:val="en-GB"/>
        </w:rPr>
        <w:t xml:space="preserve"> ,</w:t>
      </w:r>
      <w:r>
        <w:rPr>
          <w:lang w:val="en-GB"/>
        </w:rPr>
        <w:t xml:space="preserve">2008, 142; </w:t>
      </w:r>
      <w:r w:rsidRPr="0083211E">
        <w:rPr>
          <w:lang w:val="en-GB"/>
        </w:rPr>
        <w:t xml:space="preserve">Social Charter monographs, </w:t>
      </w:r>
      <w:r w:rsidRPr="0083211E">
        <w:rPr>
          <w:i/>
          <w:lang w:val="en-GB"/>
        </w:rPr>
        <w:t>Equality between women and men in the European Social Charter</w:t>
      </w:r>
      <w:r w:rsidRPr="0083211E">
        <w:rPr>
          <w:lang w:val="en-GB"/>
        </w:rPr>
        <w:t>, Strasbourg, Council of Europe Publishing, 2000,</w:t>
      </w:r>
      <w:r>
        <w:rPr>
          <w:lang w:val="en-GB"/>
        </w:rPr>
        <w:t xml:space="preserve"> 38. </w:t>
      </w:r>
    </w:p>
  </w:footnote>
  <w:footnote w:id="297">
    <w:p w:rsidR="00551E68" w:rsidRPr="008F7C27" w:rsidRDefault="00551E68" w:rsidP="005869B3">
      <w:pPr>
        <w:pStyle w:val="Voetnoottekst"/>
        <w:jc w:val="both"/>
        <w:rPr>
          <w:lang w:val="en-US"/>
        </w:rPr>
      </w:pPr>
      <w:r>
        <w:rPr>
          <w:rStyle w:val="Voetnootmarkering"/>
        </w:rPr>
        <w:footnoteRef/>
      </w:r>
      <w:r w:rsidRPr="00821BD4">
        <w:rPr>
          <w:lang w:val="en-US"/>
        </w:rPr>
        <w:t xml:space="preserve"> </w:t>
      </w:r>
      <w:r>
        <w:rPr>
          <w:lang w:val="en-US"/>
        </w:rPr>
        <w:t>See for example: Committee of Experts on the Application of Conventions and Recommendations (</w:t>
      </w:r>
      <w:r>
        <w:rPr>
          <w:lang w:val="en-GB"/>
        </w:rPr>
        <w:t>CEACR)</w:t>
      </w:r>
      <w:r w:rsidRPr="00B70BFD">
        <w:rPr>
          <w:lang w:val="en-GB"/>
        </w:rPr>
        <w:t>, Direct Request on Convention no. 111 on Discrimination in Employment and Occupation, Comoros, adopted 2012, published 102</w:t>
      </w:r>
      <w:r w:rsidRPr="00B70BFD">
        <w:rPr>
          <w:vertAlign w:val="superscript"/>
          <w:lang w:val="en-GB"/>
        </w:rPr>
        <w:t>nd</w:t>
      </w:r>
      <w:r w:rsidRPr="00B70BFD">
        <w:rPr>
          <w:lang w:val="en-GB"/>
        </w:rPr>
        <w:t xml:space="preserve"> ILC Session (2013</w:t>
      </w:r>
      <w:r>
        <w:rPr>
          <w:lang w:val="en-GB"/>
        </w:rPr>
        <w:t>); CEACR</w:t>
      </w:r>
      <w:r w:rsidRPr="00BA3719">
        <w:rPr>
          <w:lang w:val="en-GB"/>
        </w:rPr>
        <w:t>, Direct Request on Convention no. 111 on Discrimination in Employment and Occupation, France, adopted 2011, published 101</w:t>
      </w:r>
      <w:r w:rsidRPr="00BA3719">
        <w:rPr>
          <w:vertAlign w:val="superscript"/>
          <w:lang w:val="en-GB"/>
        </w:rPr>
        <w:t>st</w:t>
      </w:r>
      <w:r w:rsidRPr="00BA3719">
        <w:rPr>
          <w:lang w:val="en-GB"/>
        </w:rPr>
        <w:t xml:space="preserve"> ILC Session (2012</w:t>
      </w:r>
      <w:r>
        <w:rPr>
          <w:lang w:val="en-GB"/>
        </w:rPr>
        <w:t>); CEACR</w:t>
      </w:r>
      <w:r w:rsidRPr="00261719">
        <w:rPr>
          <w:lang w:val="en-GB"/>
        </w:rPr>
        <w:t>, Direct Request on Convention no. 111 on Discrimination in Employment and Occupation, Luxembourg, adopted 2012, published 102</w:t>
      </w:r>
      <w:r w:rsidRPr="00261719">
        <w:rPr>
          <w:vertAlign w:val="superscript"/>
          <w:lang w:val="en-GB"/>
        </w:rPr>
        <w:t>nd</w:t>
      </w:r>
      <w:r w:rsidRPr="00261719">
        <w:rPr>
          <w:lang w:val="en-GB"/>
        </w:rPr>
        <w:t xml:space="preserve"> ILC Session (2013)</w:t>
      </w:r>
      <w:r>
        <w:rPr>
          <w:lang w:val="en-GB"/>
        </w:rPr>
        <w:t>; CEACR</w:t>
      </w:r>
      <w:r w:rsidRPr="008F7C27">
        <w:rPr>
          <w:lang w:val="en-GB"/>
        </w:rPr>
        <w:t>, Observation on Convention no. 111 on Discrimination in Employment and Occupation, Bolivia, adopted 2012, published 102</w:t>
      </w:r>
      <w:r w:rsidRPr="008F7C27">
        <w:rPr>
          <w:vertAlign w:val="superscript"/>
          <w:lang w:val="en-GB"/>
        </w:rPr>
        <w:t>nd</w:t>
      </w:r>
      <w:r w:rsidRPr="008F7C27">
        <w:rPr>
          <w:lang w:val="en-GB"/>
        </w:rPr>
        <w:t xml:space="preserve"> ILC Session (2013).  </w:t>
      </w:r>
    </w:p>
  </w:footnote>
  <w:footnote w:id="298">
    <w:p w:rsidR="00551E68" w:rsidRPr="00821BD4" w:rsidRDefault="00551E68" w:rsidP="005869B3">
      <w:pPr>
        <w:pStyle w:val="Voetnoottekst"/>
        <w:jc w:val="both"/>
        <w:rPr>
          <w:i/>
          <w:lang w:val="en-GB"/>
        </w:rPr>
      </w:pPr>
      <w:r>
        <w:rPr>
          <w:rStyle w:val="Voetnootmarkering"/>
        </w:rPr>
        <w:footnoteRef/>
      </w:r>
      <w:r>
        <w:rPr>
          <w:lang w:val="en-GB"/>
        </w:rPr>
        <w:t xml:space="preserve"> </w:t>
      </w:r>
      <w:proofErr w:type="spellStart"/>
      <w:r w:rsidRPr="00515BF7">
        <w:rPr>
          <w:lang w:val="en-GB"/>
        </w:rPr>
        <w:t>Bayefsky</w:t>
      </w:r>
      <w:proofErr w:type="spellEnd"/>
      <w:r w:rsidRPr="00515BF7">
        <w:rPr>
          <w:lang w:val="en-GB"/>
        </w:rPr>
        <w:t xml:space="preserve"> A., op. cit.</w:t>
      </w:r>
      <w:r>
        <w:rPr>
          <w:lang w:val="en-GB"/>
        </w:rPr>
        <w:t xml:space="preserve">, 26-27; </w:t>
      </w:r>
      <w:proofErr w:type="spellStart"/>
      <w:r w:rsidRPr="007C37E3">
        <w:rPr>
          <w:lang w:val="en-GB"/>
        </w:rPr>
        <w:t>Hepple</w:t>
      </w:r>
      <w:proofErr w:type="spellEnd"/>
      <w:r w:rsidRPr="007C37E3">
        <w:rPr>
          <w:lang w:val="en-GB"/>
        </w:rPr>
        <w:t xml:space="preserve"> B., “Equality and empowerment for decent work”,</w:t>
      </w:r>
      <w:r w:rsidRPr="007C37E3">
        <w:rPr>
          <w:i/>
          <w:lang w:val="en-GB"/>
        </w:rPr>
        <w:t xml:space="preserve"> Int’l Lab. Rev. </w:t>
      </w:r>
      <w:r w:rsidRPr="007C37E3">
        <w:rPr>
          <w:lang w:val="en-GB"/>
        </w:rPr>
        <w:t>2001</w:t>
      </w:r>
      <w:r>
        <w:rPr>
          <w:lang w:val="en-GB"/>
        </w:rPr>
        <w:t xml:space="preserve">, 13; </w:t>
      </w:r>
      <w:r w:rsidRPr="00821BD4">
        <w:rPr>
          <w:lang w:val="en-GB"/>
        </w:rPr>
        <w:t>Hodges-</w:t>
      </w:r>
      <w:proofErr w:type="spellStart"/>
      <w:r w:rsidRPr="00821BD4">
        <w:rPr>
          <w:lang w:val="en-GB"/>
        </w:rPr>
        <w:t>Aeberhard</w:t>
      </w:r>
      <w:proofErr w:type="spellEnd"/>
      <w:r w:rsidRPr="00821BD4">
        <w:rPr>
          <w:lang w:val="en-GB"/>
        </w:rPr>
        <w:t xml:space="preserve"> J., “Affirmative action in employment: Recent court approaches to a difficult concept”, </w:t>
      </w:r>
      <w:r w:rsidRPr="00821BD4">
        <w:rPr>
          <w:i/>
          <w:lang w:val="en-GB"/>
        </w:rPr>
        <w:t xml:space="preserve">Int’l Lab. Rev. </w:t>
      </w:r>
      <w:r w:rsidRPr="00821BD4">
        <w:rPr>
          <w:lang w:val="en-GB"/>
        </w:rPr>
        <w:t xml:space="preserve">1999, 267; International Labour Office, </w:t>
      </w:r>
      <w:r w:rsidRPr="00821BD4">
        <w:rPr>
          <w:i/>
          <w:lang w:val="en-GB"/>
        </w:rPr>
        <w:t>ABC of women workers’ rights and gender equality</w:t>
      </w:r>
      <w:r w:rsidRPr="00821BD4">
        <w:rPr>
          <w:lang w:val="en-GB"/>
        </w:rPr>
        <w:t xml:space="preserve">, Geneva, International Labour Organization, 2007, 17-18; O’Hare U., op. cit., 16. </w:t>
      </w:r>
    </w:p>
  </w:footnote>
  <w:footnote w:id="299">
    <w:p w:rsidR="00551E68" w:rsidRPr="00AC56D4" w:rsidRDefault="00551E68" w:rsidP="005869B3">
      <w:pPr>
        <w:pStyle w:val="Voetnoottekst"/>
        <w:jc w:val="both"/>
        <w:rPr>
          <w:b/>
          <w:lang w:val="en-GB"/>
        </w:rPr>
      </w:pPr>
      <w:r>
        <w:rPr>
          <w:rStyle w:val="Voetnootmarkering"/>
        </w:rPr>
        <w:footnoteRef/>
      </w:r>
      <w:r w:rsidRPr="00B60906">
        <w:rPr>
          <w:lang w:val="en-US"/>
        </w:rPr>
        <w:t xml:space="preserve"> </w:t>
      </w:r>
      <w:r w:rsidRPr="00AC56D4">
        <w:rPr>
          <w:lang w:val="en-GB"/>
        </w:rPr>
        <w:t xml:space="preserve">Prevention of Discrimination; the concept and practice of affirmative action, Final report submitted by </w:t>
      </w:r>
      <w:proofErr w:type="spellStart"/>
      <w:r w:rsidRPr="00AC56D4">
        <w:rPr>
          <w:lang w:val="en-GB"/>
        </w:rPr>
        <w:t>Mr.</w:t>
      </w:r>
      <w:proofErr w:type="spellEnd"/>
      <w:r w:rsidRPr="00AC56D4">
        <w:rPr>
          <w:lang w:val="en-GB"/>
        </w:rPr>
        <w:t xml:space="preserve"> Marc </w:t>
      </w:r>
      <w:proofErr w:type="spellStart"/>
      <w:r w:rsidRPr="00AC56D4">
        <w:rPr>
          <w:lang w:val="en-GB"/>
        </w:rPr>
        <w:t>Bossuyt</w:t>
      </w:r>
      <w:proofErr w:type="spellEnd"/>
      <w:r w:rsidRPr="00AC56D4">
        <w:rPr>
          <w:lang w:val="en-GB"/>
        </w:rPr>
        <w:t>, Special Rapporteur, in accordance with Sub-Commissions resolution 1998/5, E/CN</w:t>
      </w:r>
      <w:r>
        <w:rPr>
          <w:lang w:val="en-GB"/>
        </w:rPr>
        <w:t xml:space="preserve">.4/Sub.2/2002/21, 17 June 2002, para. 55. </w:t>
      </w:r>
    </w:p>
  </w:footnote>
  <w:footnote w:id="300">
    <w:p w:rsidR="00551E68" w:rsidRPr="00991697" w:rsidRDefault="00551E68" w:rsidP="005869B3">
      <w:pPr>
        <w:pStyle w:val="Voetnoottekst"/>
        <w:jc w:val="both"/>
        <w:rPr>
          <w:i/>
          <w:lang w:val="en-US"/>
        </w:rPr>
      </w:pPr>
      <w:r>
        <w:rPr>
          <w:rStyle w:val="Voetnootmarkering"/>
        </w:rPr>
        <w:footnoteRef/>
      </w:r>
      <w:r>
        <w:rPr>
          <w:lang w:val="en-US"/>
        </w:rPr>
        <w:t xml:space="preserve"> </w:t>
      </w:r>
      <w:r w:rsidRPr="00991697">
        <w:rPr>
          <w:lang w:val="en-US"/>
        </w:rPr>
        <w:t xml:space="preserve">Date-Bah E., “Appropriate Policy for Gender Equality in Employment: Insights from the ILO Interdepartmental Project on Equality for Women in Employment”, </w:t>
      </w:r>
      <w:r w:rsidRPr="00991697">
        <w:rPr>
          <w:i/>
          <w:lang w:val="en-US"/>
        </w:rPr>
        <w:t xml:space="preserve">I. J. D. L. </w:t>
      </w:r>
      <w:r w:rsidRPr="00991697">
        <w:rPr>
          <w:lang w:val="en-US"/>
        </w:rPr>
        <w:t xml:space="preserve"> 1996,</w:t>
      </w:r>
      <w:r>
        <w:rPr>
          <w:lang w:val="en-US"/>
        </w:rPr>
        <w:t xml:space="preserve"> 15; </w:t>
      </w:r>
      <w:r w:rsidRPr="006D3669">
        <w:rPr>
          <w:lang w:val="en-GB"/>
        </w:rPr>
        <w:t>International Labour Conference, Equality in Employment and Occupation: Special Survey in respect of Convention no. 111, Geneva, International Labour Office, 83</w:t>
      </w:r>
      <w:r w:rsidRPr="006D3669">
        <w:rPr>
          <w:vertAlign w:val="superscript"/>
          <w:lang w:val="en-GB"/>
        </w:rPr>
        <w:t>rd</w:t>
      </w:r>
      <w:r>
        <w:rPr>
          <w:lang w:val="en-GB"/>
        </w:rPr>
        <w:t xml:space="preserve"> Session, 1996, 43 and 115.  </w:t>
      </w:r>
    </w:p>
  </w:footnote>
  <w:footnote w:id="301">
    <w:p w:rsidR="00551E68" w:rsidRPr="00420E1B" w:rsidRDefault="00551E68" w:rsidP="005869B3">
      <w:pPr>
        <w:pStyle w:val="Voetnoottekst"/>
        <w:jc w:val="both"/>
        <w:rPr>
          <w:lang w:val="en-US"/>
        </w:rPr>
      </w:pPr>
      <w:r>
        <w:rPr>
          <w:rStyle w:val="Voetnootmarkering"/>
        </w:rPr>
        <w:footnoteRef/>
      </w:r>
      <w:r w:rsidRPr="00420E1B">
        <w:rPr>
          <w:lang w:val="en-US"/>
        </w:rPr>
        <w:t xml:space="preserve"> </w:t>
      </w:r>
      <w:r>
        <w:rPr>
          <w:lang w:val="en-US"/>
        </w:rPr>
        <w:t xml:space="preserve">Articles 3(a) and 5(2) </w:t>
      </w:r>
      <w:r w:rsidRPr="009F538B">
        <w:rPr>
          <w:lang w:val="en-GB"/>
        </w:rPr>
        <w:t>Convention no. 111</w:t>
      </w:r>
      <w:r>
        <w:rPr>
          <w:lang w:val="en-GB"/>
        </w:rPr>
        <w:t xml:space="preserve">. </w:t>
      </w:r>
    </w:p>
  </w:footnote>
  <w:footnote w:id="302">
    <w:p w:rsidR="00551E68" w:rsidRPr="00F42020" w:rsidRDefault="00551E68" w:rsidP="005869B3">
      <w:pPr>
        <w:pStyle w:val="Voetnoottekst"/>
        <w:jc w:val="both"/>
        <w:rPr>
          <w:lang w:val="en-GB"/>
        </w:rPr>
      </w:pPr>
      <w:r>
        <w:rPr>
          <w:rStyle w:val="Voetnootmarkering"/>
        </w:rPr>
        <w:footnoteRef/>
      </w:r>
      <w:r w:rsidRPr="009D1529">
        <w:rPr>
          <w:lang w:val="en-US"/>
        </w:rPr>
        <w:t xml:space="preserve"> </w:t>
      </w:r>
      <w:r w:rsidRPr="00F42020">
        <w:rPr>
          <w:lang w:val="en-GB"/>
        </w:rPr>
        <w:t>International Labour Conference, Report of the Committee of Experts on the Application of Conventions and Recommendations, Report III (Part 1A), Geneva, International Labour Office, 86</w:t>
      </w:r>
      <w:r w:rsidRPr="00F42020">
        <w:rPr>
          <w:vertAlign w:val="superscript"/>
          <w:lang w:val="en-GB"/>
        </w:rPr>
        <w:t>th</w:t>
      </w:r>
      <w:r w:rsidRPr="00F42020">
        <w:rPr>
          <w:lang w:val="en-GB"/>
        </w:rPr>
        <w:t xml:space="preserve"> Session, 1998,</w:t>
      </w:r>
      <w:r>
        <w:rPr>
          <w:lang w:val="en-GB"/>
        </w:rPr>
        <w:t xml:space="preserve"> 337. </w:t>
      </w:r>
    </w:p>
  </w:footnote>
  <w:footnote w:id="303">
    <w:p w:rsidR="00551E68" w:rsidRPr="00647E65" w:rsidRDefault="00551E68" w:rsidP="005869B3">
      <w:pPr>
        <w:pStyle w:val="Voetnoottekst"/>
        <w:jc w:val="both"/>
        <w:rPr>
          <w:lang w:val="en-GB"/>
        </w:rPr>
      </w:pPr>
      <w:r>
        <w:rPr>
          <w:rStyle w:val="Voetnootmarkering"/>
        </w:rPr>
        <w:footnoteRef/>
      </w:r>
      <w:r w:rsidRPr="00647E65">
        <w:rPr>
          <w:lang w:val="en-US"/>
        </w:rPr>
        <w:t xml:space="preserve"> </w:t>
      </w:r>
      <w:proofErr w:type="spellStart"/>
      <w:r w:rsidRPr="00647E65">
        <w:rPr>
          <w:lang w:val="en-GB"/>
        </w:rPr>
        <w:t>Fac</w:t>
      </w:r>
      <w:r>
        <w:rPr>
          <w:lang w:val="en-GB"/>
        </w:rPr>
        <w:t>io</w:t>
      </w:r>
      <w:proofErr w:type="spellEnd"/>
      <w:r>
        <w:rPr>
          <w:lang w:val="en-GB"/>
        </w:rPr>
        <w:t xml:space="preserve"> A. and Morgan M., op. cit., 1150.  </w:t>
      </w:r>
    </w:p>
  </w:footnote>
  <w:footnote w:id="304">
    <w:p w:rsidR="00551E68" w:rsidRPr="00141B1E" w:rsidRDefault="00551E68" w:rsidP="005869B3">
      <w:pPr>
        <w:pStyle w:val="Voetnoottekst"/>
        <w:jc w:val="both"/>
        <w:rPr>
          <w:lang w:val="en-GB"/>
        </w:rPr>
      </w:pPr>
      <w:r>
        <w:rPr>
          <w:rStyle w:val="Voetnootmarkering"/>
        </w:rPr>
        <w:footnoteRef/>
      </w:r>
      <w:r>
        <w:rPr>
          <w:lang w:val="en-US"/>
        </w:rPr>
        <w:t xml:space="preserve"> </w:t>
      </w:r>
      <w:proofErr w:type="spellStart"/>
      <w:r w:rsidRPr="00E93CAE">
        <w:rPr>
          <w:lang w:val="en-GB"/>
        </w:rPr>
        <w:t>Fac</w:t>
      </w:r>
      <w:r>
        <w:rPr>
          <w:lang w:val="en-GB"/>
        </w:rPr>
        <w:t>io</w:t>
      </w:r>
      <w:proofErr w:type="spellEnd"/>
      <w:r>
        <w:rPr>
          <w:lang w:val="en-GB"/>
        </w:rPr>
        <w:t xml:space="preserve"> A. and Morgan M., op. cit., 1149-1150; </w:t>
      </w:r>
      <w:proofErr w:type="spellStart"/>
      <w:r>
        <w:rPr>
          <w:lang w:val="en-US"/>
        </w:rPr>
        <w:t>Schopp</w:t>
      </w:r>
      <w:proofErr w:type="spellEnd"/>
      <w:r>
        <w:rPr>
          <w:lang w:val="en-US"/>
        </w:rPr>
        <w:t xml:space="preserve">-Schilling H., “The nature and scope of the Convention” in </w:t>
      </w:r>
      <w:proofErr w:type="spellStart"/>
      <w:r>
        <w:rPr>
          <w:lang w:val="en-GB"/>
        </w:rPr>
        <w:t>Schopp</w:t>
      </w:r>
      <w:proofErr w:type="spellEnd"/>
      <w:r>
        <w:rPr>
          <w:lang w:val="en-GB"/>
        </w:rPr>
        <w:t>-Schilling H.</w:t>
      </w:r>
      <w:r w:rsidRPr="00141B1E">
        <w:rPr>
          <w:lang w:val="en-GB"/>
        </w:rPr>
        <w:t xml:space="preserve"> and </w:t>
      </w:r>
      <w:proofErr w:type="spellStart"/>
      <w:r w:rsidRPr="00141B1E">
        <w:rPr>
          <w:lang w:val="en-GB"/>
        </w:rPr>
        <w:t>Flinterman</w:t>
      </w:r>
      <w:proofErr w:type="spellEnd"/>
      <w:r w:rsidRPr="00141B1E">
        <w:rPr>
          <w:lang w:val="en-GB"/>
        </w:rPr>
        <w:t xml:space="preserve"> C. (eds.), </w:t>
      </w:r>
      <w:r w:rsidRPr="00141B1E">
        <w:rPr>
          <w:i/>
          <w:lang w:val="en-GB"/>
        </w:rPr>
        <w:t>The Circle of Empowerment: Twenty-Five Years of the UN Committee on the Elimination of Discrimination Against Women</w:t>
      </w:r>
      <w:r w:rsidRPr="00141B1E">
        <w:rPr>
          <w:lang w:val="en-GB"/>
        </w:rPr>
        <w:t>, New York, The Femin</w:t>
      </w:r>
      <w:r>
        <w:rPr>
          <w:lang w:val="en-GB"/>
        </w:rPr>
        <w:t xml:space="preserve">ist Press at CUNY, 2007, 22. </w:t>
      </w:r>
    </w:p>
  </w:footnote>
  <w:footnote w:id="305">
    <w:p w:rsidR="00551E68" w:rsidRPr="00461520" w:rsidRDefault="00551E68" w:rsidP="005869B3">
      <w:pPr>
        <w:pStyle w:val="Voetnoottekst"/>
        <w:jc w:val="both"/>
        <w:rPr>
          <w:lang w:val="en-GB"/>
        </w:rPr>
      </w:pPr>
      <w:r>
        <w:rPr>
          <w:rStyle w:val="Voetnootmarkering"/>
        </w:rPr>
        <w:footnoteRef/>
      </w:r>
      <w:r w:rsidRPr="00461520">
        <w:rPr>
          <w:lang w:val="en-US"/>
        </w:rPr>
        <w:t xml:space="preserve"> </w:t>
      </w:r>
      <w:r>
        <w:rPr>
          <w:lang w:val="en-US"/>
        </w:rPr>
        <w:t xml:space="preserve">For example: period of leave after giving birth and protection against dismissal during this period. </w:t>
      </w:r>
      <w:r w:rsidRPr="00461520">
        <w:rPr>
          <w:lang w:val="en-GB"/>
        </w:rPr>
        <w:t>CEDAW General Recommendation no. 25 on tem</w:t>
      </w:r>
      <w:r>
        <w:rPr>
          <w:lang w:val="en-GB"/>
        </w:rPr>
        <w:t xml:space="preserve">porary special measures (2004), para. 16. </w:t>
      </w:r>
    </w:p>
  </w:footnote>
  <w:footnote w:id="306">
    <w:p w:rsidR="00551E68" w:rsidRPr="00C05C28" w:rsidRDefault="00551E68" w:rsidP="005869B3">
      <w:pPr>
        <w:pStyle w:val="Voetnoottekst"/>
        <w:jc w:val="both"/>
        <w:rPr>
          <w:i/>
          <w:lang w:val="en-US"/>
        </w:rPr>
      </w:pPr>
      <w:r>
        <w:rPr>
          <w:rStyle w:val="Voetnootmarkering"/>
        </w:rPr>
        <w:footnoteRef/>
      </w:r>
      <w:r w:rsidRPr="00446448">
        <w:rPr>
          <w:lang w:val="en-US"/>
        </w:rPr>
        <w:t xml:space="preserve"> </w:t>
      </w:r>
      <w:r w:rsidRPr="00446448">
        <w:rPr>
          <w:lang w:val="en-GB"/>
        </w:rPr>
        <w:t>CEDAW General Recommendation no. 25 on tem</w:t>
      </w:r>
      <w:r>
        <w:rPr>
          <w:lang w:val="en-GB"/>
        </w:rPr>
        <w:t xml:space="preserve">porary special measures (2004), paras 14 and 18; </w:t>
      </w:r>
      <w:r w:rsidRPr="00C05C28">
        <w:rPr>
          <w:lang w:val="en-US"/>
        </w:rPr>
        <w:t xml:space="preserve">Van der Post S., “Positive Measures in Employment Law: Different Approaches under CEDAW and EU Gender Equality Legislation”, </w:t>
      </w:r>
      <w:r w:rsidRPr="00C05C28">
        <w:rPr>
          <w:i/>
          <w:lang w:val="en-US"/>
        </w:rPr>
        <w:t>European Gender Equality Law Review</w:t>
      </w:r>
      <w:r w:rsidRPr="00C05C28">
        <w:rPr>
          <w:lang w:val="en-US"/>
        </w:rPr>
        <w:t xml:space="preserve"> 2011, </w:t>
      </w:r>
      <w:r>
        <w:rPr>
          <w:lang w:val="en-US"/>
        </w:rPr>
        <w:t xml:space="preserve">26. </w:t>
      </w:r>
    </w:p>
  </w:footnote>
  <w:footnote w:id="307">
    <w:p w:rsidR="00551E68" w:rsidRPr="00F83AB2" w:rsidRDefault="00551E68" w:rsidP="005869B3">
      <w:pPr>
        <w:pStyle w:val="Voetnoottekst"/>
        <w:jc w:val="both"/>
        <w:rPr>
          <w:lang w:val="en-US"/>
        </w:rPr>
      </w:pPr>
      <w:r>
        <w:rPr>
          <w:rStyle w:val="Voetnootmarkering"/>
        </w:rPr>
        <w:footnoteRef/>
      </w:r>
      <w:r>
        <w:rPr>
          <w:lang w:val="en-US"/>
        </w:rPr>
        <w:t xml:space="preserve"> </w:t>
      </w:r>
      <w:r w:rsidRPr="00E76C8D">
        <w:rPr>
          <w:lang w:val="en-US"/>
        </w:rPr>
        <w:t xml:space="preserve">De Silva De </w:t>
      </w:r>
      <w:proofErr w:type="spellStart"/>
      <w:r w:rsidRPr="00E76C8D">
        <w:rPr>
          <w:lang w:val="en-US"/>
        </w:rPr>
        <w:t>Alwis</w:t>
      </w:r>
      <w:proofErr w:type="spellEnd"/>
      <w:r w:rsidRPr="00E76C8D">
        <w:rPr>
          <w:lang w:val="en-US"/>
        </w:rPr>
        <w:t xml:space="preserve"> R., </w:t>
      </w:r>
      <w:r w:rsidRPr="00E76C8D">
        <w:rPr>
          <w:lang w:val="en-GB"/>
        </w:rPr>
        <w:t xml:space="preserve">“Examining Gender Stereotypes in New Work/Family Reconciliation Policies: The Creation of a New Paradigm for Egalitarian Legislation”, </w:t>
      </w:r>
      <w:r w:rsidRPr="00E76C8D">
        <w:rPr>
          <w:i/>
          <w:lang w:val="en-GB"/>
        </w:rPr>
        <w:t xml:space="preserve">Duke J. Gender L. &amp; </w:t>
      </w:r>
      <w:proofErr w:type="spellStart"/>
      <w:r w:rsidRPr="00E76C8D">
        <w:rPr>
          <w:i/>
          <w:lang w:val="en-GB"/>
        </w:rPr>
        <w:t>Pol’y</w:t>
      </w:r>
      <w:proofErr w:type="spellEnd"/>
      <w:r w:rsidRPr="00E76C8D">
        <w:rPr>
          <w:lang w:val="en-GB"/>
        </w:rPr>
        <w:t xml:space="preserve"> 2010-2011, 3</w:t>
      </w:r>
      <w:r>
        <w:rPr>
          <w:lang w:val="en-GB"/>
        </w:rPr>
        <w:t xml:space="preserve">31. </w:t>
      </w:r>
    </w:p>
  </w:footnote>
  <w:footnote w:id="308">
    <w:p w:rsidR="00551E68" w:rsidRPr="00F83AB2" w:rsidRDefault="00551E68" w:rsidP="005869B3">
      <w:pPr>
        <w:pStyle w:val="Voetnoottekst"/>
        <w:jc w:val="both"/>
        <w:rPr>
          <w:lang w:val="en-US"/>
        </w:rPr>
      </w:pPr>
      <w:r>
        <w:rPr>
          <w:rStyle w:val="Voetnootmarkering"/>
        </w:rPr>
        <w:footnoteRef/>
      </w:r>
      <w:r>
        <w:rPr>
          <w:lang w:val="en-US"/>
        </w:rPr>
        <w:t xml:space="preserve"> See for example: </w:t>
      </w:r>
      <w:r w:rsidRPr="007F0515">
        <w:rPr>
          <w:lang w:val="en-US"/>
        </w:rPr>
        <w:t xml:space="preserve">CEDAW CO Czech Republic, A/57/38 </w:t>
      </w:r>
      <w:r>
        <w:rPr>
          <w:lang w:val="en-US"/>
        </w:rPr>
        <w:t xml:space="preserve">(2002), para. 100; </w:t>
      </w:r>
      <w:r w:rsidRPr="001F4E56">
        <w:rPr>
          <w:lang w:val="en-US"/>
        </w:rPr>
        <w:t>CEDAW CO France, A/58/38 (2003)</w:t>
      </w:r>
      <w:r>
        <w:rPr>
          <w:lang w:val="en-US"/>
        </w:rPr>
        <w:t xml:space="preserve">, para. 260; </w:t>
      </w:r>
      <w:r w:rsidRPr="00F92360">
        <w:rPr>
          <w:lang w:val="en-US"/>
        </w:rPr>
        <w:t>CE</w:t>
      </w:r>
      <w:r>
        <w:rPr>
          <w:lang w:val="en-US"/>
        </w:rPr>
        <w:t xml:space="preserve">DAW CO Hungary, A/57/38 (2002), para. 328; </w:t>
      </w:r>
      <w:r w:rsidRPr="00D25CC3">
        <w:rPr>
          <w:lang w:val="en-US"/>
        </w:rPr>
        <w:t>CEDAW CO Kuwait, A/59/38 (2004)</w:t>
      </w:r>
      <w:r>
        <w:rPr>
          <w:lang w:val="en-US"/>
        </w:rPr>
        <w:t xml:space="preserve">, para. 73. </w:t>
      </w:r>
    </w:p>
  </w:footnote>
  <w:footnote w:id="309">
    <w:p w:rsidR="00551E68" w:rsidRPr="001D408E" w:rsidRDefault="00551E68" w:rsidP="005869B3">
      <w:pPr>
        <w:pStyle w:val="Voetnoottekst"/>
        <w:jc w:val="both"/>
        <w:rPr>
          <w:lang w:val="en-US"/>
        </w:rPr>
      </w:pPr>
      <w:r>
        <w:rPr>
          <w:rStyle w:val="Voetnootmarkering"/>
        </w:rPr>
        <w:footnoteRef/>
      </w:r>
      <w:r w:rsidRPr="00F83AB2">
        <w:rPr>
          <w:lang w:val="en-US"/>
        </w:rPr>
        <w:t xml:space="preserve"> </w:t>
      </w:r>
      <w:r w:rsidRPr="001D408E">
        <w:rPr>
          <w:lang w:val="en-US"/>
        </w:rPr>
        <w:t>CED</w:t>
      </w:r>
      <w:r>
        <w:rPr>
          <w:lang w:val="en-US"/>
        </w:rPr>
        <w:t xml:space="preserve">AW CO Slovakia, A/53/38 (1998), para. 75. </w:t>
      </w:r>
    </w:p>
  </w:footnote>
  <w:footnote w:id="310">
    <w:p w:rsidR="00551E68" w:rsidRPr="00F83AB2" w:rsidRDefault="00551E68" w:rsidP="005869B3">
      <w:pPr>
        <w:pStyle w:val="Voetnoottekst"/>
        <w:jc w:val="both"/>
        <w:rPr>
          <w:lang w:val="en-US"/>
        </w:rPr>
      </w:pPr>
      <w:r>
        <w:rPr>
          <w:rStyle w:val="Voetnootmarkering"/>
        </w:rPr>
        <w:footnoteRef/>
      </w:r>
      <w:r>
        <w:rPr>
          <w:lang w:val="en-US"/>
        </w:rPr>
        <w:t xml:space="preserve"> </w:t>
      </w:r>
      <w:r w:rsidRPr="00715119">
        <w:rPr>
          <w:lang w:val="en-GB"/>
        </w:rPr>
        <w:t>CEDAW General Recommendation no. 25 on temporary special measures (2004),</w:t>
      </w:r>
      <w:r>
        <w:rPr>
          <w:lang w:val="en-GB"/>
        </w:rPr>
        <w:t xml:space="preserve"> para. 22; </w:t>
      </w:r>
      <w:proofErr w:type="spellStart"/>
      <w:r>
        <w:rPr>
          <w:lang w:val="en-US"/>
        </w:rPr>
        <w:t>Raday</w:t>
      </w:r>
      <w:proofErr w:type="spellEnd"/>
      <w:r>
        <w:rPr>
          <w:lang w:val="en-US"/>
        </w:rPr>
        <w:t xml:space="preserve"> </w:t>
      </w:r>
      <w:proofErr w:type="spellStart"/>
      <w:r>
        <w:rPr>
          <w:lang w:val="en-US"/>
        </w:rPr>
        <w:t>F.,“Article</w:t>
      </w:r>
      <w:proofErr w:type="spellEnd"/>
      <w:r>
        <w:rPr>
          <w:lang w:val="en-US"/>
        </w:rPr>
        <w:t xml:space="preserve"> 4” in</w:t>
      </w:r>
      <w:r w:rsidRPr="00F83AB2">
        <w:rPr>
          <w:lang w:val="en-US"/>
        </w:rPr>
        <w:t xml:space="preserve"> </w:t>
      </w:r>
      <w:r w:rsidRPr="00490C62">
        <w:rPr>
          <w:lang w:val="en-US"/>
        </w:rPr>
        <w:t xml:space="preserve">Freeman M., </w:t>
      </w:r>
      <w:proofErr w:type="spellStart"/>
      <w:r w:rsidRPr="00490C62">
        <w:rPr>
          <w:lang w:val="en-US"/>
        </w:rPr>
        <w:t>Chinkin</w:t>
      </w:r>
      <w:proofErr w:type="spellEnd"/>
      <w:r w:rsidRPr="00490C62">
        <w:rPr>
          <w:lang w:val="en-US"/>
        </w:rPr>
        <w:t xml:space="preserve"> C. and </w:t>
      </w:r>
      <w:proofErr w:type="spellStart"/>
      <w:r w:rsidRPr="00490C62">
        <w:rPr>
          <w:lang w:val="en-US"/>
        </w:rPr>
        <w:t>Bea</w:t>
      </w:r>
      <w:r>
        <w:rPr>
          <w:lang w:val="en-US"/>
        </w:rPr>
        <w:t>te</w:t>
      </w:r>
      <w:proofErr w:type="spellEnd"/>
      <w:r>
        <w:rPr>
          <w:lang w:val="en-US"/>
        </w:rPr>
        <w:t xml:space="preserve"> R. (eds.), op. cit., 132.  </w:t>
      </w:r>
    </w:p>
  </w:footnote>
  <w:footnote w:id="311">
    <w:p w:rsidR="00551E68" w:rsidRPr="00E01C50" w:rsidRDefault="00551E68" w:rsidP="005869B3">
      <w:pPr>
        <w:pStyle w:val="Voetnoottekst"/>
        <w:jc w:val="both"/>
        <w:rPr>
          <w:lang w:val="en-GB"/>
        </w:rPr>
      </w:pPr>
      <w:r>
        <w:rPr>
          <w:rStyle w:val="Voetnootmarkering"/>
        </w:rPr>
        <w:footnoteRef/>
      </w:r>
      <w:r>
        <w:rPr>
          <w:lang w:val="en-GB"/>
        </w:rPr>
        <w:t xml:space="preserve"> </w:t>
      </w:r>
      <w:r w:rsidRPr="00E01C50">
        <w:rPr>
          <w:lang w:val="en-GB"/>
        </w:rPr>
        <w:t>CEDAW, Report by the Secretariat on the Committee’s approach to article 4, paragraph 1 of the Convention, CEDAW/C/2001/II/5 (2001)</w:t>
      </w:r>
      <w:r>
        <w:rPr>
          <w:lang w:val="en-GB"/>
        </w:rPr>
        <w:t xml:space="preserve">, paras 40-41; </w:t>
      </w:r>
      <w:proofErr w:type="spellStart"/>
      <w:r w:rsidRPr="007B5E97">
        <w:rPr>
          <w:lang w:val="en-US"/>
        </w:rPr>
        <w:t>Raday</w:t>
      </w:r>
      <w:proofErr w:type="spellEnd"/>
      <w:r w:rsidRPr="007B5E97">
        <w:rPr>
          <w:lang w:val="en-US"/>
        </w:rPr>
        <w:t xml:space="preserve"> F., “Systematizing the A</w:t>
      </w:r>
      <w:r>
        <w:rPr>
          <w:lang w:val="en-US"/>
        </w:rPr>
        <w:t xml:space="preserve">pplication of Different Types of Temporary Special Measures under Article 4 of CEDAW” in </w:t>
      </w:r>
      <w:proofErr w:type="spellStart"/>
      <w:r>
        <w:rPr>
          <w:lang w:val="en-US"/>
        </w:rPr>
        <w:t>Boerefijn</w:t>
      </w:r>
      <w:proofErr w:type="spellEnd"/>
      <w:r>
        <w:rPr>
          <w:lang w:val="en-US"/>
        </w:rPr>
        <w:t xml:space="preserve"> I. and </w:t>
      </w:r>
      <w:proofErr w:type="spellStart"/>
      <w:r w:rsidRPr="007B5E97">
        <w:rPr>
          <w:lang w:val="en-US"/>
        </w:rPr>
        <w:t>Coomans</w:t>
      </w:r>
      <w:proofErr w:type="spellEnd"/>
      <w:r w:rsidRPr="007B5E97">
        <w:rPr>
          <w:lang w:val="en-US"/>
        </w:rPr>
        <w:t xml:space="preserve"> F. (eds.), op. cit.,</w:t>
      </w:r>
      <w:r>
        <w:rPr>
          <w:lang w:val="en-US"/>
        </w:rPr>
        <w:t xml:space="preserve"> 40-43. </w:t>
      </w:r>
    </w:p>
  </w:footnote>
  <w:footnote w:id="312">
    <w:p w:rsidR="00551E68" w:rsidRPr="0014587D" w:rsidRDefault="00551E68" w:rsidP="005869B3">
      <w:pPr>
        <w:pStyle w:val="Voetnoottekst"/>
        <w:jc w:val="both"/>
        <w:rPr>
          <w:lang w:val="en-US"/>
        </w:rPr>
      </w:pPr>
      <w:r>
        <w:rPr>
          <w:rStyle w:val="Voetnootmarkering"/>
        </w:rPr>
        <w:footnoteRef/>
      </w:r>
      <w:r w:rsidRPr="00AD2B95">
        <w:rPr>
          <w:lang w:val="it-IT"/>
        </w:rPr>
        <w:t xml:space="preserve"> </w:t>
      </w:r>
      <w:r w:rsidRPr="00AD2B95">
        <w:rPr>
          <w:lang w:val="it-IT"/>
        </w:rPr>
        <w:t xml:space="preserve">CEDAW CO Armenia, A/52/38/Rev.1 (1997), para. </w:t>
      </w:r>
      <w:r w:rsidRPr="007E261E">
        <w:rPr>
          <w:lang w:val="en-US"/>
        </w:rPr>
        <w:t>62; CEDAW</w:t>
      </w:r>
      <w:r>
        <w:rPr>
          <w:lang w:val="en-US"/>
        </w:rPr>
        <w:t xml:space="preserve"> CO Kazakhstan, A/56/38 (2001), para. 82. </w:t>
      </w:r>
    </w:p>
  </w:footnote>
  <w:footnote w:id="313">
    <w:p w:rsidR="00551E68" w:rsidRPr="00F83AB2" w:rsidRDefault="00551E68" w:rsidP="005869B3">
      <w:pPr>
        <w:pStyle w:val="Voetnoottekst"/>
        <w:jc w:val="both"/>
        <w:rPr>
          <w:lang w:val="en-US"/>
        </w:rPr>
      </w:pPr>
      <w:r>
        <w:rPr>
          <w:rStyle w:val="Voetnootmarkering"/>
        </w:rPr>
        <w:footnoteRef/>
      </w:r>
      <w:r w:rsidRPr="00F83AB2">
        <w:rPr>
          <w:lang w:val="en-US"/>
        </w:rPr>
        <w:t xml:space="preserve"> CEDAW CO Rep</w:t>
      </w:r>
      <w:r>
        <w:rPr>
          <w:lang w:val="en-US"/>
        </w:rPr>
        <w:t xml:space="preserve">ublic of Korea, A/42/38 (1987), para. 377; </w:t>
      </w:r>
      <w:r w:rsidRPr="00F9238E">
        <w:rPr>
          <w:lang w:val="en-US"/>
        </w:rPr>
        <w:t>CE</w:t>
      </w:r>
      <w:r>
        <w:rPr>
          <w:lang w:val="en-US"/>
        </w:rPr>
        <w:t>DAW CO Slovakia, A/53/38 (1998), para. 76.</w:t>
      </w:r>
    </w:p>
  </w:footnote>
  <w:footnote w:id="314">
    <w:p w:rsidR="00551E68" w:rsidRPr="00F06EA3" w:rsidRDefault="00551E68" w:rsidP="005869B3">
      <w:pPr>
        <w:pStyle w:val="Voetnoottekst"/>
        <w:jc w:val="both"/>
        <w:rPr>
          <w:lang w:val="en-US"/>
        </w:rPr>
      </w:pPr>
      <w:r>
        <w:rPr>
          <w:rStyle w:val="Voetnootmarkering"/>
        </w:rPr>
        <w:footnoteRef/>
      </w:r>
      <w:r>
        <w:rPr>
          <w:lang w:val="en-US"/>
        </w:rPr>
        <w:t xml:space="preserve"> </w:t>
      </w:r>
      <w:r w:rsidRPr="006B4354">
        <w:rPr>
          <w:lang w:val="en-US"/>
        </w:rPr>
        <w:t>CEDAW CO Armenia, CEDAW/C/ARM/CO/4/Rev.1 (2009)</w:t>
      </w:r>
      <w:r>
        <w:rPr>
          <w:lang w:val="en-US"/>
        </w:rPr>
        <w:t xml:space="preserve">, para. 33; </w:t>
      </w:r>
      <w:proofErr w:type="spellStart"/>
      <w:r w:rsidRPr="00F06EA3">
        <w:rPr>
          <w:lang w:val="en-US"/>
        </w:rPr>
        <w:t>Raday</w:t>
      </w:r>
      <w:proofErr w:type="spellEnd"/>
      <w:r w:rsidRPr="00F06EA3">
        <w:rPr>
          <w:lang w:val="en-US"/>
        </w:rPr>
        <w:t xml:space="preserve"> </w:t>
      </w:r>
      <w:proofErr w:type="spellStart"/>
      <w:r w:rsidRPr="00F06EA3">
        <w:rPr>
          <w:lang w:val="en-US"/>
        </w:rPr>
        <w:t>F.,“Article</w:t>
      </w:r>
      <w:proofErr w:type="spellEnd"/>
      <w:r w:rsidRPr="00F06EA3">
        <w:rPr>
          <w:lang w:val="en-US"/>
        </w:rPr>
        <w:t xml:space="preserve"> 4” in Freeman M., </w:t>
      </w:r>
      <w:proofErr w:type="spellStart"/>
      <w:r w:rsidRPr="00F06EA3">
        <w:rPr>
          <w:lang w:val="en-US"/>
        </w:rPr>
        <w:t>Chinkin</w:t>
      </w:r>
      <w:proofErr w:type="spellEnd"/>
      <w:r w:rsidRPr="00F06EA3">
        <w:rPr>
          <w:lang w:val="en-US"/>
        </w:rPr>
        <w:t xml:space="preserve"> C. and </w:t>
      </w:r>
      <w:proofErr w:type="spellStart"/>
      <w:r w:rsidRPr="00F06EA3">
        <w:rPr>
          <w:lang w:val="en-US"/>
        </w:rPr>
        <w:t>Beate</w:t>
      </w:r>
      <w:proofErr w:type="spellEnd"/>
      <w:r w:rsidRPr="00F06EA3">
        <w:rPr>
          <w:lang w:val="en-US"/>
        </w:rPr>
        <w:t xml:space="preserve"> R. (eds.), op. cit.,</w:t>
      </w:r>
      <w:r>
        <w:rPr>
          <w:lang w:val="en-US"/>
        </w:rPr>
        <w:t xml:space="preserve">132. </w:t>
      </w:r>
    </w:p>
  </w:footnote>
  <w:footnote w:id="315">
    <w:p w:rsidR="00551E68" w:rsidRPr="008F1BBC" w:rsidRDefault="00551E68" w:rsidP="005869B3">
      <w:pPr>
        <w:pStyle w:val="Voetnoottekst"/>
        <w:jc w:val="both"/>
        <w:rPr>
          <w:lang w:val="en-US"/>
        </w:rPr>
      </w:pPr>
      <w:r>
        <w:rPr>
          <w:rStyle w:val="Voetnootmarkering"/>
        </w:rPr>
        <w:footnoteRef/>
      </w:r>
      <w:r w:rsidRPr="008F1BBC">
        <w:rPr>
          <w:lang w:val="en-US"/>
        </w:rPr>
        <w:t xml:space="preserve"> </w:t>
      </w:r>
      <w:r w:rsidRPr="00F46DE9">
        <w:rPr>
          <w:lang w:val="en-US"/>
        </w:rPr>
        <w:t>CEDAW CO Trini</w:t>
      </w:r>
      <w:r>
        <w:rPr>
          <w:lang w:val="en-US"/>
        </w:rPr>
        <w:t>dad and Tobago, A/57/38 (2002)</w:t>
      </w:r>
      <w:r w:rsidRPr="008F1BBC">
        <w:rPr>
          <w:lang w:val="en-US"/>
        </w:rPr>
        <w:t>,</w:t>
      </w:r>
      <w:r>
        <w:rPr>
          <w:lang w:val="en-US"/>
        </w:rPr>
        <w:t xml:space="preserve"> para. </w:t>
      </w:r>
      <w:r w:rsidRPr="008F1BBC">
        <w:rPr>
          <w:lang w:val="en-US"/>
        </w:rPr>
        <w:t>150</w:t>
      </w:r>
      <w:r>
        <w:rPr>
          <w:lang w:val="en-US"/>
        </w:rPr>
        <w:t xml:space="preserve">. </w:t>
      </w:r>
    </w:p>
  </w:footnote>
  <w:footnote w:id="316">
    <w:p w:rsidR="00551E68" w:rsidRPr="00E93CAE" w:rsidRDefault="00551E68" w:rsidP="005869B3">
      <w:pPr>
        <w:pStyle w:val="Voetnoottekst"/>
        <w:jc w:val="both"/>
        <w:rPr>
          <w:lang w:val="en-US"/>
        </w:rPr>
      </w:pPr>
      <w:r>
        <w:rPr>
          <w:rStyle w:val="Voetnootmarkering"/>
        </w:rPr>
        <w:footnoteRef/>
      </w:r>
      <w:r w:rsidRPr="008F1BBC">
        <w:rPr>
          <w:lang w:val="en-US"/>
        </w:rPr>
        <w:t xml:space="preserve"> </w:t>
      </w:r>
      <w:r w:rsidRPr="00E93CAE">
        <w:rPr>
          <w:lang w:val="en-US"/>
        </w:rPr>
        <w:t>CE</w:t>
      </w:r>
      <w:r>
        <w:rPr>
          <w:lang w:val="en-US"/>
        </w:rPr>
        <w:t xml:space="preserve">DAW CO Suriname, A/57/38 (2002), para. </w:t>
      </w:r>
      <w:r w:rsidRPr="00E93CAE">
        <w:rPr>
          <w:lang w:val="en-US"/>
        </w:rPr>
        <w:t>55</w:t>
      </w:r>
      <w:r>
        <w:rPr>
          <w:lang w:val="en-US"/>
        </w:rPr>
        <w:t>.</w:t>
      </w:r>
      <w:r w:rsidRPr="00E93CAE">
        <w:rPr>
          <w:lang w:val="en-US"/>
        </w:rPr>
        <w:t xml:space="preserve"> </w:t>
      </w:r>
    </w:p>
  </w:footnote>
  <w:footnote w:id="317">
    <w:p w:rsidR="00551E68" w:rsidRPr="00A445F8" w:rsidRDefault="00551E68" w:rsidP="005869B3">
      <w:pPr>
        <w:pStyle w:val="Voetnoottekst"/>
        <w:jc w:val="both"/>
        <w:rPr>
          <w:lang w:val="en-US"/>
        </w:rPr>
      </w:pPr>
      <w:r>
        <w:rPr>
          <w:rStyle w:val="Voetnootmarkering"/>
        </w:rPr>
        <w:footnoteRef/>
      </w:r>
      <w:r w:rsidRPr="008F1BBC">
        <w:rPr>
          <w:lang w:val="en-US"/>
        </w:rPr>
        <w:t xml:space="preserve"> </w:t>
      </w:r>
      <w:r w:rsidRPr="007F0515">
        <w:rPr>
          <w:lang w:val="en-US"/>
        </w:rPr>
        <w:t>C</w:t>
      </w:r>
      <w:r>
        <w:rPr>
          <w:lang w:val="en-US"/>
        </w:rPr>
        <w:t xml:space="preserve">EDAW CO Greece, A/57/38 (2002), para. 288; </w:t>
      </w:r>
      <w:r w:rsidRPr="00A445F8">
        <w:rPr>
          <w:lang w:val="en-US"/>
        </w:rPr>
        <w:t>C</w:t>
      </w:r>
      <w:r>
        <w:rPr>
          <w:lang w:val="en-US"/>
        </w:rPr>
        <w:t xml:space="preserve">EDAW CO Tunisia, A/57/38 (2002), paras </w:t>
      </w:r>
      <w:r w:rsidRPr="00A445F8">
        <w:rPr>
          <w:lang w:val="en-US"/>
        </w:rPr>
        <w:t xml:space="preserve">198-199. </w:t>
      </w:r>
    </w:p>
  </w:footnote>
  <w:footnote w:id="318">
    <w:p w:rsidR="00551E68" w:rsidRPr="008850D9" w:rsidRDefault="00551E68" w:rsidP="005869B3">
      <w:pPr>
        <w:pStyle w:val="Voetnoottekst"/>
        <w:jc w:val="both"/>
        <w:rPr>
          <w:lang w:val="en-US"/>
        </w:rPr>
      </w:pPr>
      <w:r>
        <w:rPr>
          <w:rStyle w:val="Voetnootmarkering"/>
        </w:rPr>
        <w:footnoteRef/>
      </w:r>
      <w:r w:rsidRPr="008850D9">
        <w:rPr>
          <w:lang w:val="en-US"/>
        </w:rPr>
        <w:t xml:space="preserve"> CEDAW CO Albania, CEDAW/C/ALB/CO/3 (2010), para. 23; </w:t>
      </w:r>
      <w:r w:rsidRPr="001B3C66">
        <w:rPr>
          <w:lang w:val="en-US"/>
        </w:rPr>
        <w:t>CEDAW CO Por</w:t>
      </w:r>
      <w:r>
        <w:rPr>
          <w:lang w:val="en-US"/>
        </w:rPr>
        <w:t xml:space="preserve">tugal, </w:t>
      </w:r>
      <w:r w:rsidRPr="001B3C66">
        <w:rPr>
          <w:lang w:val="en-US"/>
        </w:rPr>
        <w:t xml:space="preserve">A/57/38 (2002), </w:t>
      </w:r>
      <w:r>
        <w:rPr>
          <w:lang w:val="en-US"/>
        </w:rPr>
        <w:t xml:space="preserve">paras </w:t>
      </w:r>
      <w:r w:rsidRPr="001B3C66">
        <w:rPr>
          <w:lang w:val="en-US"/>
        </w:rPr>
        <w:t>337-338</w:t>
      </w:r>
      <w:r>
        <w:rPr>
          <w:lang w:val="en-US"/>
        </w:rPr>
        <w:t>.</w:t>
      </w:r>
    </w:p>
  </w:footnote>
  <w:footnote w:id="319">
    <w:p w:rsidR="00551E68" w:rsidRPr="008464FD" w:rsidRDefault="00551E68" w:rsidP="005869B3">
      <w:pPr>
        <w:pStyle w:val="Voetnoottekst"/>
        <w:jc w:val="both"/>
        <w:rPr>
          <w:lang w:val="en-GB"/>
        </w:rPr>
      </w:pPr>
      <w:r>
        <w:rPr>
          <w:rStyle w:val="Voetnootmarkering"/>
        </w:rPr>
        <w:footnoteRef/>
      </w:r>
      <w:r w:rsidRPr="008F1BBC">
        <w:rPr>
          <w:lang w:val="en-US"/>
        </w:rPr>
        <w:t xml:space="preserve"> </w:t>
      </w:r>
      <w:r w:rsidRPr="00A445F8">
        <w:rPr>
          <w:lang w:val="en-US"/>
        </w:rPr>
        <w:t>CE</w:t>
      </w:r>
      <w:r>
        <w:rPr>
          <w:lang w:val="en-US"/>
        </w:rPr>
        <w:t xml:space="preserve">DAW CO Denmark, A/57/38 (2002), paras 328-330. See also </w:t>
      </w:r>
      <w:r w:rsidRPr="008464FD">
        <w:rPr>
          <w:lang w:val="en-GB"/>
        </w:rPr>
        <w:t xml:space="preserve">CEDAW General Recommendation no. 23 on </w:t>
      </w:r>
      <w:r w:rsidRPr="008464FD">
        <w:rPr>
          <w:lang w:val="en-US"/>
        </w:rPr>
        <w:t>women in political and public life (1997)</w:t>
      </w:r>
      <w:r>
        <w:rPr>
          <w:lang w:val="en-US"/>
        </w:rPr>
        <w:t xml:space="preserve">, para. 36. </w:t>
      </w:r>
    </w:p>
  </w:footnote>
  <w:footnote w:id="320">
    <w:p w:rsidR="00551E68" w:rsidRPr="008464FD" w:rsidRDefault="00551E68" w:rsidP="005869B3">
      <w:pPr>
        <w:pStyle w:val="Voetnoottekst"/>
        <w:jc w:val="both"/>
        <w:rPr>
          <w:lang w:val="en-GB"/>
        </w:rPr>
      </w:pPr>
      <w:r>
        <w:rPr>
          <w:rStyle w:val="Voetnootmarkering"/>
        </w:rPr>
        <w:footnoteRef/>
      </w:r>
      <w:r w:rsidRPr="008464FD">
        <w:rPr>
          <w:lang w:val="en-US"/>
        </w:rPr>
        <w:t xml:space="preserve"> CEDAW CO Uganda, A/57/38 (2002), paras 139-140. See also </w:t>
      </w:r>
      <w:r w:rsidRPr="008464FD">
        <w:rPr>
          <w:lang w:val="en-GB"/>
        </w:rPr>
        <w:t xml:space="preserve">CEDAW General Recommendation no. 23 on </w:t>
      </w:r>
      <w:r w:rsidRPr="008464FD">
        <w:rPr>
          <w:lang w:val="en-US"/>
        </w:rPr>
        <w:t>women in political and public life (1997)</w:t>
      </w:r>
      <w:r>
        <w:rPr>
          <w:lang w:val="en-US"/>
        </w:rPr>
        <w:t xml:space="preserve">, para. 37. </w:t>
      </w:r>
    </w:p>
  </w:footnote>
  <w:footnote w:id="321">
    <w:p w:rsidR="00551E68" w:rsidRPr="000F0B24" w:rsidRDefault="00551E68" w:rsidP="005869B3">
      <w:pPr>
        <w:pStyle w:val="Voetnoottekst"/>
        <w:jc w:val="both"/>
        <w:rPr>
          <w:i/>
          <w:lang w:val="en-US"/>
        </w:rPr>
      </w:pPr>
      <w:r>
        <w:rPr>
          <w:rStyle w:val="Voetnootmarkering"/>
        </w:rPr>
        <w:footnoteRef/>
      </w:r>
      <w:r w:rsidRPr="00194492">
        <w:rPr>
          <w:lang w:val="en-US"/>
        </w:rPr>
        <w:t xml:space="preserve"> EFTA Court, E-1/02, </w:t>
      </w:r>
      <w:r w:rsidRPr="00194492">
        <w:rPr>
          <w:i/>
          <w:lang w:val="en-US"/>
        </w:rPr>
        <w:t>EFTA Surveillance Authority v. Norway</w:t>
      </w:r>
      <w:r w:rsidRPr="00194492">
        <w:rPr>
          <w:lang w:val="en-US"/>
        </w:rPr>
        <w:t>, 2003</w:t>
      </w:r>
      <w:r>
        <w:rPr>
          <w:lang w:val="en-US"/>
        </w:rPr>
        <w:t xml:space="preserve">, para. 58; </w:t>
      </w:r>
      <w:r w:rsidRPr="00CB22B8">
        <w:rPr>
          <w:lang w:val="en-GB"/>
        </w:rPr>
        <w:t xml:space="preserve">Prevention of Discrimination; the concept and practice of affirmative action, Final report submitted by </w:t>
      </w:r>
      <w:proofErr w:type="spellStart"/>
      <w:r w:rsidRPr="00CB22B8">
        <w:rPr>
          <w:lang w:val="en-GB"/>
        </w:rPr>
        <w:t>Mr.</w:t>
      </w:r>
      <w:proofErr w:type="spellEnd"/>
      <w:r w:rsidRPr="00CB22B8">
        <w:rPr>
          <w:lang w:val="en-GB"/>
        </w:rPr>
        <w:t xml:space="preserve"> Marc </w:t>
      </w:r>
      <w:proofErr w:type="spellStart"/>
      <w:r w:rsidRPr="00CB22B8">
        <w:rPr>
          <w:lang w:val="en-GB"/>
        </w:rPr>
        <w:t>Bossuyt</w:t>
      </w:r>
      <w:proofErr w:type="spellEnd"/>
      <w:r w:rsidRPr="00CB22B8">
        <w:rPr>
          <w:lang w:val="en-GB"/>
        </w:rPr>
        <w:t>, Special Rapporteur, in accordance with Sub-Commissions resolution 1998/5, E/CN.4/Sub.2/2002/21, 17 June 2002,</w:t>
      </w:r>
      <w:r>
        <w:rPr>
          <w:lang w:val="en-GB"/>
        </w:rPr>
        <w:t xml:space="preserve"> para. 68; </w:t>
      </w:r>
      <w:proofErr w:type="spellStart"/>
      <w:r w:rsidRPr="000F0B24">
        <w:rPr>
          <w:lang w:val="en-US"/>
        </w:rPr>
        <w:t>Tobler</w:t>
      </w:r>
      <w:proofErr w:type="spellEnd"/>
      <w:r w:rsidRPr="000F0B24">
        <w:rPr>
          <w:lang w:val="en-US"/>
        </w:rPr>
        <w:t xml:space="preserve"> C., “EFTA Court: case E-1/02, </w:t>
      </w:r>
      <w:r w:rsidRPr="000F0B24">
        <w:rPr>
          <w:i/>
          <w:lang w:val="en-US"/>
        </w:rPr>
        <w:t>EFTA Surveillance Authority v. Norway</w:t>
      </w:r>
      <w:r w:rsidRPr="000F0B24">
        <w:rPr>
          <w:lang w:val="en-US"/>
        </w:rPr>
        <w:t xml:space="preserve">”, </w:t>
      </w:r>
      <w:r w:rsidRPr="000F0B24">
        <w:rPr>
          <w:i/>
          <w:lang w:val="en-US"/>
        </w:rPr>
        <w:t>CMLR</w:t>
      </w:r>
      <w:r w:rsidRPr="000F0B24">
        <w:rPr>
          <w:lang w:val="en-US"/>
        </w:rPr>
        <w:t xml:space="preserve"> 2004, 2</w:t>
      </w:r>
      <w:r>
        <w:rPr>
          <w:lang w:val="en-US"/>
        </w:rPr>
        <w:t xml:space="preserve">52. </w:t>
      </w:r>
    </w:p>
  </w:footnote>
  <w:footnote w:id="322">
    <w:p w:rsidR="00551E68" w:rsidRPr="00B34705" w:rsidRDefault="00551E68" w:rsidP="005869B3">
      <w:pPr>
        <w:pStyle w:val="Voetnoottekst"/>
        <w:jc w:val="both"/>
        <w:rPr>
          <w:lang w:val="en-US"/>
        </w:rPr>
      </w:pPr>
      <w:r>
        <w:rPr>
          <w:rStyle w:val="Voetnootmarkering"/>
        </w:rPr>
        <w:footnoteRef/>
      </w:r>
      <w:r>
        <w:rPr>
          <w:lang w:val="en-US"/>
        </w:rPr>
        <w:t xml:space="preserve"> </w:t>
      </w:r>
      <w:r w:rsidRPr="00B34705">
        <w:rPr>
          <w:lang w:val="en-GB"/>
        </w:rPr>
        <w:t>CEDAW General Recommendation no. 25 on temporary special measures (2004)</w:t>
      </w:r>
      <w:r>
        <w:rPr>
          <w:lang w:val="en-GB"/>
        </w:rPr>
        <w:t xml:space="preserve">, para. 24. </w:t>
      </w:r>
    </w:p>
  </w:footnote>
  <w:footnote w:id="323">
    <w:p w:rsidR="00551E68" w:rsidRPr="00260BB4" w:rsidRDefault="00551E68" w:rsidP="005869B3">
      <w:pPr>
        <w:pStyle w:val="Voetnoottekst"/>
        <w:jc w:val="both"/>
        <w:rPr>
          <w:lang w:val="en-US"/>
        </w:rPr>
      </w:pPr>
      <w:r>
        <w:rPr>
          <w:rStyle w:val="Voetnootmarkering"/>
        </w:rPr>
        <w:footnoteRef/>
      </w:r>
      <w:r w:rsidRPr="00260BB4">
        <w:rPr>
          <w:lang w:val="en-US"/>
        </w:rPr>
        <w:t xml:space="preserve"> </w:t>
      </w:r>
      <w:proofErr w:type="spellStart"/>
      <w:r w:rsidRPr="00260BB4">
        <w:rPr>
          <w:lang w:val="en-US"/>
        </w:rPr>
        <w:t>Raday</w:t>
      </w:r>
      <w:proofErr w:type="spellEnd"/>
      <w:r w:rsidRPr="00260BB4">
        <w:rPr>
          <w:lang w:val="en-US"/>
        </w:rPr>
        <w:t xml:space="preserve"> </w:t>
      </w:r>
      <w:proofErr w:type="spellStart"/>
      <w:r w:rsidRPr="00260BB4">
        <w:rPr>
          <w:lang w:val="en-US"/>
        </w:rPr>
        <w:t>F.,“Article</w:t>
      </w:r>
      <w:proofErr w:type="spellEnd"/>
      <w:r w:rsidRPr="00260BB4">
        <w:rPr>
          <w:lang w:val="en-US"/>
        </w:rPr>
        <w:t xml:space="preserve"> 4” in Freeman M., </w:t>
      </w:r>
      <w:proofErr w:type="spellStart"/>
      <w:r w:rsidRPr="00260BB4">
        <w:rPr>
          <w:lang w:val="en-US"/>
        </w:rPr>
        <w:t>Chinkin</w:t>
      </w:r>
      <w:proofErr w:type="spellEnd"/>
      <w:r w:rsidRPr="00260BB4">
        <w:rPr>
          <w:lang w:val="en-US"/>
        </w:rPr>
        <w:t xml:space="preserve"> C. and </w:t>
      </w:r>
      <w:proofErr w:type="spellStart"/>
      <w:r w:rsidRPr="00260BB4">
        <w:rPr>
          <w:lang w:val="en-US"/>
        </w:rPr>
        <w:t>Beate</w:t>
      </w:r>
      <w:proofErr w:type="spellEnd"/>
      <w:r w:rsidRPr="00260BB4">
        <w:rPr>
          <w:lang w:val="en-US"/>
        </w:rPr>
        <w:t xml:space="preserve"> R. (eds.), op. cit.,</w:t>
      </w:r>
      <w:r>
        <w:rPr>
          <w:lang w:val="en-US"/>
        </w:rPr>
        <w:t xml:space="preserve"> 136-138; </w:t>
      </w:r>
      <w:proofErr w:type="spellStart"/>
      <w:r w:rsidRPr="002D486F">
        <w:rPr>
          <w:lang w:val="en-US"/>
        </w:rPr>
        <w:t>Schopp</w:t>
      </w:r>
      <w:proofErr w:type="spellEnd"/>
      <w:r w:rsidRPr="002D486F">
        <w:rPr>
          <w:lang w:val="en-US"/>
        </w:rPr>
        <w:t xml:space="preserve">-Schilling H., “Reflections on a General Recommendation on Article 4(1) of the Convention on the Elimination of All Forms of Discrimination </w:t>
      </w:r>
      <w:r>
        <w:rPr>
          <w:lang w:val="en-US"/>
        </w:rPr>
        <w:t xml:space="preserve">Against Women” in </w:t>
      </w:r>
      <w:proofErr w:type="spellStart"/>
      <w:r>
        <w:rPr>
          <w:lang w:val="en-US"/>
        </w:rPr>
        <w:t>Boerefijn</w:t>
      </w:r>
      <w:proofErr w:type="spellEnd"/>
      <w:r>
        <w:rPr>
          <w:lang w:val="en-US"/>
        </w:rPr>
        <w:t xml:space="preserve"> I. and </w:t>
      </w:r>
      <w:proofErr w:type="spellStart"/>
      <w:r w:rsidRPr="002D486F">
        <w:rPr>
          <w:lang w:val="en-US"/>
        </w:rPr>
        <w:t>Coomans</w:t>
      </w:r>
      <w:proofErr w:type="spellEnd"/>
      <w:r w:rsidRPr="002D486F">
        <w:rPr>
          <w:lang w:val="en-US"/>
        </w:rPr>
        <w:t xml:space="preserve"> F. (eds.), op. cit</w:t>
      </w:r>
      <w:r>
        <w:rPr>
          <w:lang w:val="en-US"/>
        </w:rPr>
        <w:t xml:space="preserve">., 18. </w:t>
      </w:r>
    </w:p>
  </w:footnote>
  <w:footnote w:id="324">
    <w:p w:rsidR="00551E68" w:rsidRPr="00DA742B" w:rsidRDefault="00551E68" w:rsidP="005869B3">
      <w:pPr>
        <w:pStyle w:val="Voetnoottekst"/>
        <w:jc w:val="both"/>
        <w:rPr>
          <w:lang w:val="en-GB"/>
        </w:rPr>
      </w:pPr>
      <w:r>
        <w:rPr>
          <w:rStyle w:val="Voetnootmarkering"/>
        </w:rPr>
        <w:footnoteRef/>
      </w:r>
      <w:r>
        <w:rPr>
          <w:lang w:val="en-US"/>
        </w:rPr>
        <w:t xml:space="preserve"> </w:t>
      </w:r>
      <w:r w:rsidRPr="000011D8">
        <w:rPr>
          <w:lang w:val="en-US"/>
        </w:rPr>
        <w:t xml:space="preserve">Hakim C., </w:t>
      </w:r>
      <w:r w:rsidRPr="000011D8">
        <w:rPr>
          <w:i/>
          <w:lang w:val="en-US"/>
        </w:rPr>
        <w:t xml:space="preserve">Key Issues in Women’s Work, </w:t>
      </w:r>
      <w:r w:rsidRPr="000011D8">
        <w:rPr>
          <w:lang w:val="en-US"/>
        </w:rPr>
        <w:t xml:space="preserve">London, The </w:t>
      </w:r>
      <w:proofErr w:type="spellStart"/>
      <w:r w:rsidRPr="000011D8">
        <w:rPr>
          <w:lang w:val="en-US"/>
        </w:rPr>
        <w:t>GlassHouse</w:t>
      </w:r>
      <w:proofErr w:type="spellEnd"/>
      <w:r w:rsidRPr="000011D8">
        <w:rPr>
          <w:lang w:val="en-US"/>
        </w:rPr>
        <w:t xml:space="preserve"> Press, 2004,</w:t>
      </w:r>
      <w:r>
        <w:rPr>
          <w:lang w:val="en-US"/>
        </w:rPr>
        <w:t xml:space="preserve"> 167; </w:t>
      </w:r>
      <w:proofErr w:type="spellStart"/>
      <w:r>
        <w:rPr>
          <w:lang w:val="en-GB"/>
        </w:rPr>
        <w:t>Padavic</w:t>
      </w:r>
      <w:proofErr w:type="spellEnd"/>
      <w:r>
        <w:rPr>
          <w:lang w:val="en-GB"/>
        </w:rPr>
        <w:t xml:space="preserve"> I. and </w:t>
      </w:r>
      <w:proofErr w:type="spellStart"/>
      <w:r>
        <w:rPr>
          <w:lang w:val="en-GB"/>
        </w:rPr>
        <w:t>Reskin</w:t>
      </w:r>
      <w:proofErr w:type="spellEnd"/>
      <w:r>
        <w:rPr>
          <w:lang w:val="en-GB"/>
        </w:rPr>
        <w:t xml:space="preserve"> B., op. cit., 121; </w:t>
      </w:r>
      <w:r w:rsidRPr="00DA742B">
        <w:rPr>
          <w:lang w:val="en-GB"/>
        </w:rPr>
        <w:t>International Labour Conference, General Survey on the fundamental Conventions concerning rights at work in the light of the ILO Declaration on Social Justice for a Fair Globalization, 101</w:t>
      </w:r>
      <w:r w:rsidRPr="00DA742B">
        <w:rPr>
          <w:vertAlign w:val="superscript"/>
          <w:lang w:val="en-GB"/>
        </w:rPr>
        <w:t>st</w:t>
      </w:r>
      <w:r>
        <w:rPr>
          <w:lang w:val="en-GB"/>
        </w:rPr>
        <w:t xml:space="preserve"> Session, 2012</w:t>
      </w:r>
      <w:r w:rsidRPr="00DA742B">
        <w:rPr>
          <w:lang w:val="en-GB"/>
        </w:rPr>
        <w:t>,</w:t>
      </w:r>
      <w:r>
        <w:rPr>
          <w:lang w:val="en-GB"/>
        </w:rPr>
        <w:t xml:space="preserve"> 279-280. </w:t>
      </w:r>
    </w:p>
  </w:footnote>
  <w:footnote w:id="325">
    <w:p w:rsidR="00551E68" w:rsidRPr="00D37156" w:rsidRDefault="00551E68" w:rsidP="005869B3">
      <w:pPr>
        <w:pStyle w:val="Voetnoottekst"/>
        <w:jc w:val="both"/>
        <w:rPr>
          <w:b/>
          <w:lang w:val="en-GB"/>
        </w:rPr>
      </w:pPr>
      <w:r>
        <w:rPr>
          <w:rStyle w:val="Voetnootmarkering"/>
        </w:rPr>
        <w:footnoteRef/>
      </w:r>
      <w:r>
        <w:rPr>
          <w:lang w:val="en-US"/>
        </w:rPr>
        <w:t xml:space="preserve"> </w:t>
      </w:r>
      <w:r w:rsidRPr="0073656E">
        <w:rPr>
          <w:lang w:val="en-GB"/>
        </w:rPr>
        <w:t xml:space="preserve">European Commission, </w:t>
      </w:r>
      <w:r w:rsidRPr="0073656E">
        <w:rPr>
          <w:i/>
          <w:lang w:val="en-GB"/>
        </w:rPr>
        <w:t>Progress on equality between women and men in 2011</w:t>
      </w:r>
      <w:r w:rsidRPr="0073656E">
        <w:rPr>
          <w:lang w:val="en-GB"/>
        </w:rPr>
        <w:t>, Luxembourg, Publications Office of the European Union, 2012,</w:t>
      </w:r>
      <w:r>
        <w:rPr>
          <w:lang w:val="en-GB"/>
        </w:rPr>
        <w:t xml:space="preserve"> 9 and 10; </w:t>
      </w:r>
      <w:r w:rsidRPr="00986A69">
        <w:rPr>
          <w:lang w:val="en-GB"/>
        </w:rPr>
        <w:t xml:space="preserve">European Commission, </w:t>
      </w:r>
      <w:r w:rsidRPr="00986A69">
        <w:rPr>
          <w:i/>
          <w:lang w:val="en-GB"/>
        </w:rPr>
        <w:t>Report on equality between women and men</w:t>
      </w:r>
      <w:r w:rsidRPr="00986A69">
        <w:rPr>
          <w:lang w:val="en-GB"/>
        </w:rPr>
        <w:t xml:space="preserve">, Luxembourg, Publications Office of the European Union, 2010, </w:t>
      </w:r>
      <w:r>
        <w:rPr>
          <w:lang w:val="en-GB"/>
        </w:rPr>
        <w:t xml:space="preserve">17-18; </w:t>
      </w:r>
      <w:r>
        <w:rPr>
          <w:lang w:val="en-US"/>
        </w:rPr>
        <w:t xml:space="preserve">Landau E. and </w:t>
      </w:r>
      <w:proofErr w:type="spellStart"/>
      <w:r>
        <w:rPr>
          <w:lang w:val="en-US"/>
        </w:rPr>
        <w:t>Beigbeder</w:t>
      </w:r>
      <w:proofErr w:type="spellEnd"/>
      <w:r>
        <w:rPr>
          <w:lang w:val="en-US"/>
        </w:rPr>
        <w:t xml:space="preserve"> Y., op. cit., 66; </w:t>
      </w:r>
      <w:proofErr w:type="spellStart"/>
      <w:r>
        <w:rPr>
          <w:lang w:val="en-GB"/>
        </w:rPr>
        <w:t>Mikkola</w:t>
      </w:r>
      <w:proofErr w:type="spellEnd"/>
      <w:r>
        <w:rPr>
          <w:lang w:val="en-GB"/>
        </w:rPr>
        <w:t xml:space="preserve"> M., op. cit., 182. </w:t>
      </w:r>
    </w:p>
  </w:footnote>
  <w:footnote w:id="326">
    <w:p w:rsidR="00551E68" w:rsidRPr="001D781A" w:rsidRDefault="00551E68" w:rsidP="005869B3">
      <w:pPr>
        <w:pStyle w:val="Voetnoottekst"/>
        <w:jc w:val="both"/>
        <w:rPr>
          <w:b/>
          <w:u w:val="single"/>
          <w:lang w:val="en-GB"/>
        </w:rPr>
      </w:pPr>
      <w:r>
        <w:rPr>
          <w:rStyle w:val="Voetnootmarkering"/>
        </w:rPr>
        <w:footnoteRef/>
      </w:r>
      <w:r>
        <w:rPr>
          <w:lang w:val="en-US"/>
        </w:rPr>
        <w:t xml:space="preserve"> </w:t>
      </w:r>
      <w:proofErr w:type="spellStart"/>
      <w:r w:rsidRPr="001D781A">
        <w:rPr>
          <w:lang w:val="en-GB"/>
        </w:rPr>
        <w:t>Fredman</w:t>
      </w:r>
      <w:proofErr w:type="spellEnd"/>
      <w:r w:rsidRPr="001D781A">
        <w:rPr>
          <w:lang w:val="en-GB"/>
        </w:rPr>
        <w:t xml:space="preserve"> S., </w:t>
      </w:r>
      <w:r w:rsidRPr="001D781A">
        <w:rPr>
          <w:i/>
          <w:lang w:val="en-GB"/>
        </w:rPr>
        <w:t>Women and the Law</w:t>
      </w:r>
      <w:r w:rsidRPr="001D781A">
        <w:rPr>
          <w:lang w:val="en-GB"/>
        </w:rPr>
        <w:t xml:space="preserve">, Oxford, Clarendon Press, </w:t>
      </w:r>
      <w:r>
        <w:rPr>
          <w:lang w:val="en-GB"/>
        </w:rPr>
        <w:t xml:space="preserve">1997, 163. </w:t>
      </w:r>
    </w:p>
  </w:footnote>
  <w:footnote w:id="327">
    <w:p w:rsidR="00551E68" w:rsidRPr="005D7DE3" w:rsidRDefault="00551E68" w:rsidP="005869B3">
      <w:pPr>
        <w:pStyle w:val="Voetnoottekst"/>
        <w:jc w:val="both"/>
        <w:rPr>
          <w:lang w:val="en-GB"/>
        </w:rPr>
      </w:pPr>
      <w:r>
        <w:rPr>
          <w:rStyle w:val="Voetnootmarkering"/>
        </w:rPr>
        <w:footnoteRef/>
      </w:r>
      <w:r w:rsidRPr="00154F67">
        <w:rPr>
          <w:lang w:val="en-US"/>
        </w:rPr>
        <w:t xml:space="preserve"> </w:t>
      </w:r>
      <w:r w:rsidRPr="005D7DE3">
        <w:rPr>
          <w:lang w:val="en-GB"/>
        </w:rPr>
        <w:t>Convention no. 100 on Equal Remuneration, 1951.</w:t>
      </w:r>
    </w:p>
  </w:footnote>
  <w:footnote w:id="328">
    <w:p w:rsidR="00551E68" w:rsidRPr="00FF18B0" w:rsidRDefault="00551E68" w:rsidP="005869B3">
      <w:pPr>
        <w:pStyle w:val="Voetnoottekst"/>
        <w:jc w:val="both"/>
        <w:rPr>
          <w:b/>
          <w:u w:val="single"/>
          <w:lang w:val="en-US"/>
        </w:rPr>
      </w:pPr>
      <w:r>
        <w:rPr>
          <w:rStyle w:val="Voetnootmarkering"/>
        </w:rPr>
        <w:footnoteRef/>
      </w:r>
      <w:r w:rsidRPr="006E3677">
        <w:rPr>
          <w:lang w:val="en-US"/>
        </w:rPr>
        <w:t xml:space="preserve"> </w:t>
      </w:r>
      <w:proofErr w:type="spellStart"/>
      <w:r w:rsidRPr="00FF18B0">
        <w:rPr>
          <w:lang w:val="en-US"/>
        </w:rPr>
        <w:t>Bartolomei</w:t>
      </w:r>
      <w:proofErr w:type="spellEnd"/>
      <w:r w:rsidRPr="00FF18B0">
        <w:rPr>
          <w:lang w:val="en-US"/>
        </w:rPr>
        <w:t xml:space="preserve"> H., v</w:t>
      </w:r>
      <w:r>
        <w:rPr>
          <w:lang w:val="en-US"/>
        </w:rPr>
        <w:t xml:space="preserve">on </w:t>
      </w:r>
      <w:proofErr w:type="spellStart"/>
      <w:r>
        <w:rPr>
          <w:lang w:val="en-US"/>
        </w:rPr>
        <w:t>Potobsky</w:t>
      </w:r>
      <w:proofErr w:type="spellEnd"/>
      <w:r>
        <w:rPr>
          <w:lang w:val="en-US"/>
        </w:rPr>
        <w:t xml:space="preserve"> G. and </w:t>
      </w:r>
      <w:proofErr w:type="spellStart"/>
      <w:r>
        <w:rPr>
          <w:lang w:val="en-US"/>
        </w:rPr>
        <w:t>Swepston</w:t>
      </w:r>
      <w:proofErr w:type="spellEnd"/>
      <w:r>
        <w:rPr>
          <w:lang w:val="en-US"/>
        </w:rPr>
        <w:t xml:space="preserve"> L., op. cit., 129; </w:t>
      </w:r>
      <w:proofErr w:type="spellStart"/>
      <w:r w:rsidRPr="00C83F34">
        <w:rPr>
          <w:lang w:val="en-US"/>
        </w:rPr>
        <w:t>Servais</w:t>
      </w:r>
      <w:proofErr w:type="spellEnd"/>
      <w:r w:rsidRPr="00C83F34">
        <w:rPr>
          <w:lang w:val="en-US"/>
        </w:rPr>
        <w:t xml:space="preserve"> J., </w:t>
      </w:r>
      <w:r w:rsidRPr="00C83F34">
        <w:rPr>
          <w:i/>
          <w:lang w:val="en-US"/>
        </w:rPr>
        <w:t xml:space="preserve">International </w:t>
      </w:r>
      <w:proofErr w:type="spellStart"/>
      <w:r w:rsidRPr="00C83F34">
        <w:rPr>
          <w:i/>
          <w:lang w:val="en-US"/>
        </w:rPr>
        <w:t>Labour</w:t>
      </w:r>
      <w:proofErr w:type="spellEnd"/>
      <w:r w:rsidRPr="00C83F34">
        <w:rPr>
          <w:i/>
          <w:lang w:val="en-US"/>
        </w:rPr>
        <w:t xml:space="preserve"> Law</w:t>
      </w:r>
      <w:r w:rsidRPr="00C83F34">
        <w:rPr>
          <w:lang w:val="en-US"/>
        </w:rPr>
        <w:t>, The Hague, Kluwer Law International, 2005,</w:t>
      </w:r>
      <w:r>
        <w:rPr>
          <w:lang w:val="en-US"/>
        </w:rPr>
        <w:t xml:space="preserve"> 153. </w:t>
      </w:r>
    </w:p>
  </w:footnote>
  <w:footnote w:id="329">
    <w:p w:rsidR="00551E68" w:rsidRPr="005D1E7A" w:rsidRDefault="00551E68" w:rsidP="005869B3">
      <w:pPr>
        <w:pStyle w:val="Voetnoottekst"/>
        <w:jc w:val="both"/>
        <w:rPr>
          <w:lang w:val="en-GB"/>
        </w:rPr>
      </w:pPr>
      <w:r>
        <w:rPr>
          <w:rStyle w:val="Voetnootmarkering"/>
        </w:rPr>
        <w:footnoteRef/>
      </w:r>
      <w:r w:rsidRPr="008C59F9">
        <w:rPr>
          <w:lang w:val="en-US"/>
        </w:rPr>
        <w:t xml:space="preserve"> </w:t>
      </w:r>
      <w:r>
        <w:rPr>
          <w:lang w:val="en-US"/>
        </w:rPr>
        <w:t xml:space="preserve">Article 2(1) </w:t>
      </w:r>
      <w:r w:rsidRPr="00393351">
        <w:rPr>
          <w:lang w:val="en-GB"/>
        </w:rPr>
        <w:t xml:space="preserve">Convention no. </w:t>
      </w:r>
      <w:r>
        <w:rPr>
          <w:lang w:val="en-GB"/>
        </w:rPr>
        <w:t xml:space="preserve">100; </w:t>
      </w:r>
      <w:r w:rsidRPr="005D1E7A">
        <w:rPr>
          <w:lang w:val="en-GB"/>
        </w:rPr>
        <w:t>International Labour Conference, General Survey of the Reports on the Equal Remuneration Convention (no. 100) and Recommendation (no. 90), Geneva, International Labour Office, 72</w:t>
      </w:r>
      <w:r w:rsidRPr="005D1E7A">
        <w:rPr>
          <w:vertAlign w:val="superscript"/>
          <w:lang w:val="en-GB"/>
        </w:rPr>
        <w:t>nd</w:t>
      </w:r>
      <w:r>
        <w:rPr>
          <w:lang w:val="en-GB"/>
        </w:rPr>
        <w:t xml:space="preserve"> Session, 1986, 13-15; </w:t>
      </w:r>
      <w:proofErr w:type="spellStart"/>
      <w:r w:rsidRPr="00261E63">
        <w:rPr>
          <w:lang w:val="en-US"/>
        </w:rPr>
        <w:t>Bartolomei</w:t>
      </w:r>
      <w:proofErr w:type="spellEnd"/>
      <w:r w:rsidRPr="00261E63">
        <w:rPr>
          <w:lang w:val="en-US"/>
        </w:rPr>
        <w:t xml:space="preserve"> H., v</w:t>
      </w:r>
      <w:r>
        <w:rPr>
          <w:lang w:val="en-US"/>
        </w:rPr>
        <w:t xml:space="preserve">on </w:t>
      </w:r>
      <w:proofErr w:type="spellStart"/>
      <w:r>
        <w:rPr>
          <w:lang w:val="en-US"/>
        </w:rPr>
        <w:t>Potobsky</w:t>
      </w:r>
      <w:proofErr w:type="spellEnd"/>
      <w:r>
        <w:rPr>
          <w:lang w:val="en-US"/>
        </w:rPr>
        <w:t xml:space="preserve"> G. and </w:t>
      </w:r>
      <w:proofErr w:type="spellStart"/>
      <w:r>
        <w:rPr>
          <w:lang w:val="en-US"/>
        </w:rPr>
        <w:t>Swepston</w:t>
      </w:r>
      <w:proofErr w:type="spellEnd"/>
      <w:r>
        <w:rPr>
          <w:lang w:val="en-US"/>
        </w:rPr>
        <w:t xml:space="preserve"> L., op. cit., 240. </w:t>
      </w:r>
    </w:p>
  </w:footnote>
  <w:footnote w:id="330">
    <w:p w:rsidR="00551E68" w:rsidRPr="00814673" w:rsidRDefault="00551E68" w:rsidP="005869B3">
      <w:pPr>
        <w:pStyle w:val="Voetnoottekst"/>
        <w:jc w:val="both"/>
        <w:rPr>
          <w:lang w:val="en-US"/>
        </w:rPr>
      </w:pPr>
      <w:r>
        <w:rPr>
          <w:rStyle w:val="Voetnootmarkering"/>
        </w:rPr>
        <w:footnoteRef/>
      </w:r>
      <w:r w:rsidRPr="00814673">
        <w:rPr>
          <w:lang w:val="en-US"/>
        </w:rPr>
        <w:t xml:space="preserve"> </w:t>
      </w:r>
      <w:r>
        <w:rPr>
          <w:lang w:val="en-US"/>
        </w:rPr>
        <w:t xml:space="preserve">Article 2(2) </w:t>
      </w:r>
      <w:r w:rsidRPr="00DE3EB1">
        <w:rPr>
          <w:lang w:val="en-GB"/>
        </w:rPr>
        <w:t>Convention no. 100</w:t>
      </w:r>
      <w:r>
        <w:rPr>
          <w:lang w:val="en-GB"/>
        </w:rPr>
        <w:t xml:space="preserve">. </w:t>
      </w:r>
    </w:p>
  </w:footnote>
  <w:footnote w:id="331">
    <w:p w:rsidR="00551E68" w:rsidRPr="006C4732" w:rsidRDefault="00551E68" w:rsidP="005869B3">
      <w:pPr>
        <w:pStyle w:val="Voetnoottekst"/>
        <w:jc w:val="both"/>
        <w:rPr>
          <w:lang w:val="en-US"/>
        </w:rPr>
      </w:pPr>
      <w:r>
        <w:rPr>
          <w:rStyle w:val="Voetnootmarkering"/>
        </w:rPr>
        <w:footnoteRef/>
      </w:r>
      <w:r w:rsidRPr="00154F67">
        <w:rPr>
          <w:lang w:val="en-US"/>
        </w:rPr>
        <w:t xml:space="preserve"> </w:t>
      </w:r>
      <w:r w:rsidRPr="00DF7DC6">
        <w:rPr>
          <w:lang w:val="en-GB"/>
        </w:rPr>
        <w:t>International Labour Conference, General Survey on the fundamental Conventions concerning rights at work in the light of the ILO Declaration on Social Justice for a Fair Globalization, Report III (Part 1B), 101</w:t>
      </w:r>
      <w:r w:rsidRPr="00DF7DC6">
        <w:rPr>
          <w:vertAlign w:val="superscript"/>
          <w:lang w:val="en-GB"/>
        </w:rPr>
        <w:t>st</w:t>
      </w:r>
      <w:r w:rsidRPr="00DF7DC6">
        <w:rPr>
          <w:lang w:val="en-GB"/>
        </w:rPr>
        <w:t xml:space="preserve"> Session, 2012, </w:t>
      </w:r>
      <w:r>
        <w:rPr>
          <w:lang w:val="en-GB"/>
        </w:rPr>
        <w:t xml:space="preserve">281; </w:t>
      </w:r>
      <w:proofErr w:type="spellStart"/>
      <w:r w:rsidRPr="006C4732">
        <w:rPr>
          <w:lang w:val="en-US"/>
        </w:rPr>
        <w:t>Moens</w:t>
      </w:r>
      <w:proofErr w:type="spellEnd"/>
      <w:r w:rsidRPr="006C4732">
        <w:rPr>
          <w:lang w:val="en-US"/>
        </w:rPr>
        <w:t xml:space="preserve"> G. and </w:t>
      </w:r>
      <w:proofErr w:type="spellStart"/>
      <w:r w:rsidRPr="006C4732">
        <w:rPr>
          <w:lang w:val="en-US"/>
        </w:rPr>
        <w:t>Trone</w:t>
      </w:r>
      <w:proofErr w:type="spellEnd"/>
      <w:r w:rsidRPr="006C4732">
        <w:rPr>
          <w:lang w:val="en-US"/>
        </w:rPr>
        <w:t xml:space="preserve"> J., </w:t>
      </w:r>
      <w:r w:rsidRPr="006C4732">
        <w:rPr>
          <w:i/>
          <w:lang w:val="en-US"/>
        </w:rPr>
        <w:t>Commercial Law of the European Union</w:t>
      </w:r>
      <w:r w:rsidRPr="006C4732">
        <w:rPr>
          <w:lang w:val="en-US"/>
        </w:rPr>
        <w:t xml:space="preserve">, London – New York, Springer, 2010, </w:t>
      </w:r>
      <w:r>
        <w:rPr>
          <w:lang w:val="en-US"/>
        </w:rPr>
        <w:t xml:space="preserve">303. </w:t>
      </w:r>
    </w:p>
  </w:footnote>
  <w:footnote w:id="332">
    <w:p w:rsidR="00551E68" w:rsidRPr="00EA0DDA" w:rsidRDefault="00551E68" w:rsidP="005869B3">
      <w:pPr>
        <w:pStyle w:val="Voetnoottekst"/>
        <w:jc w:val="both"/>
        <w:rPr>
          <w:i/>
          <w:u w:val="single"/>
          <w:lang w:val="en-US"/>
        </w:rPr>
      </w:pPr>
      <w:r>
        <w:rPr>
          <w:rStyle w:val="Voetnootmarkering"/>
        </w:rPr>
        <w:footnoteRef/>
      </w:r>
      <w:r w:rsidRPr="00EA0DDA">
        <w:rPr>
          <w:lang w:val="en-US"/>
        </w:rPr>
        <w:t xml:space="preserve"> </w:t>
      </w:r>
      <w:proofErr w:type="spellStart"/>
      <w:r w:rsidRPr="00EA0DDA">
        <w:rPr>
          <w:lang w:val="en-US"/>
        </w:rPr>
        <w:t>Burri</w:t>
      </w:r>
      <w:proofErr w:type="spellEnd"/>
      <w:r w:rsidRPr="00EA0DDA">
        <w:rPr>
          <w:lang w:val="en-US"/>
        </w:rPr>
        <w:t xml:space="preserve"> S., </w:t>
      </w:r>
      <w:proofErr w:type="spellStart"/>
      <w:r w:rsidRPr="00EA0DDA">
        <w:rPr>
          <w:i/>
          <w:lang w:val="en-US"/>
        </w:rPr>
        <w:t>Tijd</w:t>
      </w:r>
      <w:proofErr w:type="spellEnd"/>
      <w:r w:rsidRPr="00EA0DDA">
        <w:rPr>
          <w:i/>
          <w:lang w:val="en-US"/>
        </w:rPr>
        <w:t xml:space="preserve"> </w:t>
      </w:r>
      <w:proofErr w:type="spellStart"/>
      <w:r w:rsidRPr="00EA0DDA">
        <w:rPr>
          <w:i/>
          <w:lang w:val="en-US"/>
        </w:rPr>
        <w:t>delen</w:t>
      </w:r>
      <w:proofErr w:type="spellEnd"/>
      <w:r w:rsidRPr="00EA0DDA">
        <w:rPr>
          <w:i/>
          <w:lang w:val="en-US"/>
        </w:rPr>
        <w:t xml:space="preserve">: </w:t>
      </w:r>
      <w:proofErr w:type="spellStart"/>
      <w:r w:rsidRPr="00EA0DDA">
        <w:rPr>
          <w:i/>
          <w:lang w:val="en-US"/>
        </w:rPr>
        <w:t>Deeltijd</w:t>
      </w:r>
      <w:proofErr w:type="spellEnd"/>
      <w:r w:rsidRPr="00EA0DDA">
        <w:rPr>
          <w:i/>
          <w:lang w:val="en-US"/>
        </w:rPr>
        <w:t xml:space="preserve">, </w:t>
      </w:r>
      <w:proofErr w:type="spellStart"/>
      <w:r w:rsidRPr="00EA0DDA">
        <w:rPr>
          <w:i/>
          <w:lang w:val="en-US"/>
        </w:rPr>
        <w:t>gelijkheid</w:t>
      </w:r>
      <w:proofErr w:type="spellEnd"/>
      <w:r w:rsidRPr="00EA0DDA">
        <w:rPr>
          <w:i/>
          <w:lang w:val="en-US"/>
        </w:rPr>
        <w:t xml:space="preserve"> en gender in </w:t>
      </w:r>
      <w:proofErr w:type="spellStart"/>
      <w:r w:rsidRPr="00EA0DDA">
        <w:rPr>
          <w:i/>
          <w:lang w:val="en-US"/>
        </w:rPr>
        <w:t>Europees</w:t>
      </w:r>
      <w:proofErr w:type="spellEnd"/>
      <w:r w:rsidRPr="00EA0DDA">
        <w:rPr>
          <w:i/>
          <w:lang w:val="en-US"/>
        </w:rPr>
        <w:t xml:space="preserve">- en </w:t>
      </w:r>
      <w:proofErr w:type="spellStart"/>
      <w:r w:rsidRPr="00EA0DDA">
        <w:rPr>
          <w:i/>
          <w:lang w:val="en-US"/>
        </w:rPr>
        <w:t>nationaalrechtelijk</w:t>
      </w:r>
      <w:proofErr w:type="spellEnd"/>
      <w:r w:rsidRPr="00EA0DDA">
        <w:rPr>
          <w:i/>
          <w:lang w:val="en-US"/>
        </w:rPr>
        <w:t xml:space="preserve"> </w:t>
      </w:r>
      <w:proofErr w:type="spellStart"/>
      <w:r w:rsidRPr="00EA0DDA">
        <w:rPr>
          <w:i/>
          <w:lang w:val="en-US"/>
        </w:rPr>
        <w:t>perspectief</w:t>
      </w:r>
      <w:proofErr w:type="spellEnd"/>
      <w:r w:rsidRPr="00EA0DDA">
        <w:rPr>
          <w:i/>
          <w:lang w:val="en-US"/>
        </w:rPr>
        <w:t>,</w:t>
      </w:r>
      <w:r w:rsidRPr="00EA0DDA">
        <w:rPr>
          <w:lang w:val="en-US"/>
        </w:rPr>
        <w:t xml:space="preserve"> </w:t>
      </w:r>
      <w:proofErr w:type="spellStart"/>
      <w:r w:rsidRPr="00EA0DDA">
        <w:rPr>
          <w:lang w:val="en-US"/>
        </w:rPr>
        <w:t>Antwerpen</w:t>
      </w:r>
      <w:proofErr w:type="spellEnd"/>
      <w:r w:rsidRPr="00EA0DDA">
        <w:rPr>
          <w:lang w:val="en-US"/>
        </w:rPr>
        <w:t>, Kluwer, 2000, 32-33</w:t>
      </w:r>
      <w:r>
        <w:rPr>
          <w:lang w:val="en-US"/>
        </w:rPr>
        <w:t xml:space="preserve">; </w:t>
      </w:r>
      <w:r w:rsidRPr="00C84996">
        <w:rPr>
          <w:lang w:val="en-GB"/>
        </w:rPr>
        <w:t>International Labour Conference, General Survey on the fundamental Conventions concerning rights at work in the light of the ILO Declaration on Social Justice for a Fair Globalization, 101</w:t>
      </w:r>
      <w:r w:rsidRPr="00C84996">
        <w:rPr>
          <w:vertAlign w:val="superscript"/>
          <w:lang w:val="en-GB"/>
        </w:rPr>
        <w:t>st</w:t>
      </w:r>
      <w:r>
        <w:rPr>
          <w:lang w:val="en-GB"/>
        </w:rPr>
        <w:t xml:space="preserve"> Session, 2012</w:t>
      </w:r>
      <w:r w:rsidRPr="00C84996">
        <w:rPr>
          <w:lang w:val="en-GB"/>
        </w:rPr>
        <w:t>,</w:t>
      </w:r>
      <w:r>
        <w:rPr>
          <w:lang w:val="en-GB"/>
        </w:rPr>
        <w:t xml:space="preserve"> 281; </w:t>
      </w:r>
      <w:r w:rsidRPr="004E5A76">
        <w:rPr>
          <w:lang w:val="en-US"/>
        </w:rPr>
        <w:t xml:space="preserve">Landau E. and </w:t>
      </w:r>
      <w:proofErr w:type="spellStart"/>
      <w:r w:rsidRPr="004E5A76">
        <w:rPr>
          <w:lang w:val="en-US"/>
        </w:rPr>
        <w:t>Beigbeder</w:t>
      </w:r>
      <w:proofErr w:type="spellEnd"/>
      <w:r w:rsidRPr="004E5A76">
        <w:rPr>
          <w:lang w:val="en-US"/>
        </w:rPr>
        <w:t xml:space="preserve"> Y. op.</w:t>
      </w:r>
      <w:r>
        <w:rPr>
          <w:lang w:val="en-US"/>
        </w:rPr>
        <w:t xml:space="preserve"> cit., 68. </w:t>
      </w:r>
    </w:p>
  </w:footnote>
  <w:footnote w:id="333">
    <w:p w:rsidR="00551E68" w:rsidRPr="00154F67" w:rsidRDefault="00551E68" w:rsidP="005869B3">
      <w:pPr>
        <w:pStyle w:val="Voetnoottekst"/>
        <w:jc w:val="both"/>
        <w:rPr>
          <w:lang w:val="en-US"/>
        </w:rPr>
      </w:pPr>
      <w:r>
        <w:rPr>
          <w:rStyle w:val="Voetnootmarkering"/>
        </w:rPr>
        <w:footnoteRef/>
      </w:r>
      <w:r w:rsidRPr="00154F67">
        <w:rPr>
          <w:lang w:val="en-US"/>
        </w:rPr>
        <w:t xml:space="preserve"> </w:t>
      </w:r>
      <w:r>
        <w:rPr>
          <w:lang w:val="en-US"/>
        </w:rPr>
        <w:t xml:space="preserve">Article 3(1) </w:t>
      </w:r>
      <w:proofErr w:type="spellStart"/>
      <w:r>
        <w:rPr>
          <w:lang w:val="en-US"/>
        </w:rPr>
        <w:t>Covention</w:t>
      </w:r>
      <w:proofErr w:type="spellEnd"/>
      <w:r>
        <w:rPr>
          <w:lang w:val="en-US"/>
        </w:rPr>
        <w:t xml:space="preserve"> no. 100; </w:t>
      </w:r>
      <w:proofErr w:type="spellStart"/>
      <w:r w:rsidRPr="00634D4E">
        <w:rPr>
          <w:lang w:val="en-US"/>
        </w:rPr>
        <w:t>Oelz</w:t>
      </w:r>
      <w:proofErr w:type="spellEnd"/>
      <w:r w:rsidRPr="00634D4E">
        <w:rPr>
          <w:lang w:val="en-US"/>
        </w:rPr>
        <w:t xml:space="preserve"> M., Olney S. and </w:t>
      </w:r>
      <w:proofErr w:type="spellStart"/>
      <w:r w:rsidRPr="00634D4E">
        <w:rPr>
          <w:lang w:val="en-US"/>
        </w:rPr>
        <w:t>Tomei</w:t>
      </w:r>
      <w:proofErr w:type="spellEnd"/>
      <w:r w:rsidRPr="00634D4E">
        <w:rPr>
          <w:lang w:val="en-US"/>
        </w:rPr>
        <w:t xml:space="preserve"> M., </w:t>
      </w:r>
      <w:r w:rsidRPr="00634D4E">
        <w:rPr>
          <w:i/>
          <w:lang w:val="en-US"/>
        </w:rPr>
        <w:t>Equal Pay: An Introductory Guide</w:t>
      </w:r>
      <w:r w:rsidRPr="00634D4E">
        <w:rPr>
          <w:lang w:val="en-US"/>
        </w:rPr>
        <w:t xml:space="preserve">, Geneva, International </w:t>
      </w:r>
      <w:proofErr w:type="spellStart"/>
      <w:r w:rsidRPr="00634D4E">
        <w:rPr>
          <w:lang w:val="en-US"/>
        </w:rPr>
        <w:t>Labour</w:t>
      </w:r>
      <w:proofErr w:type="spellEnd"/>
      <w:r w:rsidRPr="00634D4E">
        <w:rPr>
          <w:lang w:val="en-US"/>
        </w:rPr>
        <w:t xml:space="preserve"> Organization, 2013,</w:t>
      </w:r>
      <w:r>
        <w:rPr>
          <w:lang w:val="en-US"/>
        </w:rPr>
        <w:t xml:space="preserve"> 38-42. </w:t>
      </w:r>
    </w:p>
  </w:footnote>
  <w:footnote w:id="334">
    <w:p w:rsidR="00551E68" w:rsidRPr="00CC6EF8" w:rsidRDefault="00551E68" w:rsidP="005869B3">
      <w:pPr>
        <w:pStyle w:val="Voetnoottekst"/>
        <w:jc w:val="both"/>
        <w:rPr>
          <w:lang w:val="en-GB"/>
        </w:rPr>
      </w:pPr>
      <w:r>
        <w:rPr>
          <w:rStyle w:val="Voetnootmarkering"/>
        </w:rPr>
        <w:footnoteRef/>
      </w:r>
      <w:r w:rsidRPr="00154F67">
        <w:rPr>
          <w:lang w:val="en-US"/>
        </w:rPr>
        <w:t xml:space="preserve"> </w:t>
      </w:r>
      <w:r w:rsidRPr="00CC6EF8">
        <w:rPr>
          <w:lang w:val="en-GB"/>
        </w:rPr>
        <w:t>International Labour Conference, Report of the Committee of Experts on the Application of Conventions and Recommendations, Report III (Part 1A), Geneva, International Labour Office, 96</w:t>
      </w:r>
      <w:r w:rsidRPr="00CC6EF8">
        <w:rPr>
          <w:vertAlign w:val="superscript"/>
          <w:lang w:val="en-GB"/>
        </w:rPr>
        <w:t>th</w:t>
      </w:r>
      <w:r w:rsidRPr="00CC6EF8">
        <w:rPr>
          <w:lang w:val="en-GB"/>
        </w:rPr>
        <w:t xml:space="preserve"> Session, 2007,</w:t>
      </w:r>
      <w:r>
        <w:rPr>
          <w:lang w:val="en-GB"/>
        </w:rPr>
        <w:t xml:space="preserve"> 271. </w:t>
      </w:r>
    </w:p>
  </w:footnote>
  <w:footnote w:id="335">
    <w:p w:rsidR="00551E68" w:rsidRPr="00154F67" w:rsidRDefault="00551E68" w:rsidP="005869B3">
      <w:pPr>
        <w:pStyle w:val="Voetnoottekst"/>
        <w:jc w:val="both"/>
        <w:rPr>
          <w:lang w:val="en-US"/>
        </w:rPr>
      </w:pPr>
      <w:r>
        <w:rPr>
          <w:rStyle w:val="Voetnootmarkering"/>
        </w:rPr>
        <w:footnoteRef/>
      </w:r>
      <w:r w:rsidRPr="00154F67">
        <w:rPr>
          <w:lang w:val="en-US"/>
        </w:rPr>
        <w:t xml:space="preserve"> </w:t>
      </w:r>
      <w:r w:rsidRPr="00392314">
        <w:rPr>
          <w:lang w:val="en-US"/>
        </w:rPr>
        <w:t>Article 1(</w:t>
      </w:r>
      <w:r>
        <w:rPr>
          <w:lang w:val="en-US"/>
        </w:rPr>
        <w:t>b</w:t>
      </w:r>
      <w:r w:rsidRPr="00392314">
        <w:rPr>
          <w:lang w:val="en-US"/>
        </w:rPr>
        <w:t>) Convention no. 100.</w:t>
      </w:r>
    </w:p>
  </w:footnote>
  <w:footnote w:id="336">
    <w:p w:rsidR="00551E68" w:rsidRPr="00552182" w:rsidRDefault="00551E68" w:rsidP="005869B3">
      <w:pPr>
        <w:pStyle w:val="Voetnoottekst"/>
        <w:jc w:val="both"/>
        <w:rPr>
          <w:lang w:val="en-US"/>
        </w:rPr>
      </w:pPr>
      <w:r>
        <w:rPr>
          <w:rStyle w:val="Voetnootmarkering"/>
        </w:rPr>
        <w:footnoteRef/>
      </w:r>
      <w:r>
        <w:rPr>
          <w:lang w:val="en-US"/>
        </w:rPr>
        <w:t xml:space="preserve"> </w:t>
      </w:r>
      <w:r w:rsidRPr="00C64547">
        <w:rPr>
          <w:lang w:val="en-US"/>
        </w:rPr>
        <w:t>Article 1(a) Convention no. 100.</w:t>
      </w:r>
    </w:p>
  </w:footnote>
  <w:footnote w:id="337">
    <w:p w:rsidR="00551E68" w:rsidRPr="00154F67" w:rsidRDefault="00551E68" w:rsidP="005869B3">
      <w:pPr>
        <w:pStyle w:val="Voetnoottekst"/>
        <w:jc w:val="both"/>
        <w:rPr>
          <w:lang w:val="en-GB"/>
        </w:rPr>
      </w:pPr>
      <w:r>
        <w:rPr>
          <w:rStyle w:val="Voetnootmarkering"/>
        </w:rPr>
        <w:footnoteRef/>
      </w:r>
      <w:r w:rsidRPr="00154F67">
        <w:rPr>
          <w:lang w:val="en-US"/>
        </w:rPr>
        <w:t xml:space="preserve"> </w:t>
      </w:r>
      <w:r w:rsidRPr="00154F67">
        <w:rPr>
          <w:lang w:val="en-GB"/>
        </w:rPr>
        <w:t>International Labour Conference, General Survey of the Reports on the Equal Remuneration Convention (no. 100) and Recommendation (no. 90), Geneva, International Labour Office, 72</w:t>
      </w:r>
      <w:r w:rsidRPr="00154F67">
        <w:rPr>
          <w:vertAlign w:val="superscript"/>
          <w:lang w:val="en-GB"/>
        </w:rPr>
        <w:t>nd</w:t>
      </w:r>
      <w:r w:rsidRPr="00154F67">
        <w:rPr>
          <w:lang w:val="en-GB"/>
        </w:rPr>
        <w:t xml:space="preserve"> Session, 1986,</w:t>
      </w:r>
      <w:r>
        <w:rPr>
          <w:lang w:val="en-GB"/>
        </w:rPr>
        <w:t xml:space="preserve"> 7-8.  </w:t>
      </w:r>
    </w:p>
  </w:footnote>
  <w:footnote w:id="338">
    <w:p w:rsidR="00551E68" w:rsidRPr="00477480" w:rsidRDefault="00551E68" w:rsidP="005869B3">
      <w:pPr>
        <w:pStyle w:val="Voetnoottekst"/>
        <w:jc w:val="both"/>
        <w:rPr>
          <w:lang w:val="en-GB"/>
        </w:rPr>
      </w:pPr>
      <w:r>
        <w:rPr>
          <w:rStyle w:val="Voetnootmarkering"/>
        </w:rPr>
        <w:footnoteRef/>
      </w:r>
      <w:r w:rsidRPr="00477480">
        <w:rPr>
          <w:lang w:val="en-US"/>
        </w:rPr>
        <w:t xml:space="preserve"> </w:t>
      </w:r>
      <w:r w:rsidRPr="00477480">
        <w:rPr>
          <w:lang w:val="en-GB"/>
        </w:rPr>
        <w:t>International Labour Conference, General Survey of the Reports on the Equal Remuneration Convention (no. 100) and Recommendation (no. 90), Geneva, International Labour Office, 72</w:t>
      </w:r>
      <w:r w:rsidRPr="00477480">
        <w:rPr>
          <w:vertAlign w:val="superscript"/>
          <w:lang w:val="en-GB"/>
        </w:rPr>
        <w:t>nd</w:t>
      </w:r>
      <w:r w:rsidRPr="00477480">
        <w:rPr>
          <w:lang w:val="en-GB"/>
        </w:rPr>
        <w:t xml:space="preserve"> Session, 1986,</w:t>
      </w:r>
      <w:r>
        <w:rPr>
          <w:lang w:val="en-GB"/>
        </w:rPr>
        <w:t xml:space="preserve"> 9.  </w:t>
      </w:r>
    </w:p>
  </w:footnote>
  <w:footnote w:id="339">
    <w:p w:rsidR="00551E68" w:rsidRPr="0032316A" w:rsidRDefault="00551E68" w:rsidP="005869B3">
      <w:pPr>
        <w:pStyle w:val="Voetnoottekst"/>
        <w:jc w:val="both"/>
        <w:rPr>
          <w:lang w:val="en-US"/>
        </w:rPr>
      </w:pPr>
      <w:r>
        <w:rPr>
          <w:rStyle w:val="Voetnootmarkering"/>
        </w:rPr>
        <w:footnoteRef/>
      </w:r>
      <w:r w:rsidRPr="0032316A">
        <w:rPr>
          <w:lang w:val="en-US"/>
        </w:rPr>
        <w:t xml:space="preserve"> </w:t>
      </w:r>
      <w:r>
        <w:rPr>
          <w:lang w:val="en-GB"/>
        </w:rPr>
        <w:t>CEACR</w:t>
      </w:r>
      <w:r w:rsidRPr="00392314">
        <w:rPr>
          <w:lang w:val="en-GB"/>
        </w:rPr>
        <w:t>, Direct Request on Convention no. 100 on Equal Remuneration, 1951, Lebanon, a</w:t>
      </w:r>
      <w:proofErr w:type="spellStart"/>
      <w:r w:rsidRPr="00392314">
        <w:rPr>
          <w:lang w:val="en-US"/>
        </w:rPr>
        <w:t>dopted</w:t>
      </w:r>
      <w:proofErr w:type="spellEnd"/>
      <w:r w:rsidRPr="00392314">
        <w:rPr>
          <w:lang w:val="en-US"/>
        </w:rPr>
        <w:t xml:space="preserve"> 2009, published 99th ILC session (2010)</w:t>
      </w:r>
      <w:r>
        <w:rPr>
          <w:lang w:val="en-US"/>
        </w:rPr>
        <w:t>; CEACR</w:t>
      </w:r>
      <w:r w:rsidRPr="00730746">
        <w:rPr>
          <w:lang w:val="en-GB"/>
        </w:rPr>
        <w:t>, Direct Request on Convention no. 100 on Equal Remuneration, 1951, Syrian Arab Republic, adopted 2008, published 98</w:t>
      </w:r>
      <w:r w:rsidRPr="00730746">
        <w:rPr>
          <w:vertAlign w:val="superscript"/>
          <w:lang w:val="en-GB"/>
        </w:rPr>
        <w:t>th</w:t>
      </w:r>
      <w:r w:rsidRPr="00730746">
        <w:rPr>
          <w:lang w:val="en-GB"/>
        </w:rPr>
        <w:t xml:space="preserve"> ILC Session (2009).  </w:t>
      </w:r>
    </w:p>
  </w:footnote>
  <w:footnote w:id="340">
    <w:p w:rsidR="00551E68" w:rsidRPr="0048369A" w:rsidRDefault="00551E68" w:rsidP="005869B3">
      <w:pPr>
        <w:pStyle w:val="Voetnoottekst"/>
        <w:jc w:val="both"/>
        <w:rPr>
          <w:b/>
          <w:u w:val="single"/>
          <w:lang w:val="en-US"/>
        </w:rPr>
      </w:pPr>
      <w:r>
        <w:rPr>
          <w:rStyle w:val="Voetnootmarkering"/>
        </w:rPr>
        <w:footnoteRef/>
      </w:r>
      <w:r w:rsidRPr="0048369A">
        <w:rPr>
          <w:lang w:val="en-US"/>
        </w:rPr>
        <w:t xml:space="preserve"> </w:t>
      </w:r>
      <w:proofErr w:type="spellStart"/>
      <w:r w:rsidRPr="0048369A">
        <w:rPr>
          <w:lang w:val="en-US"/>
        </w:rPr>
        <w:t>Rehof</w:t>
      </w:r>
      <w:proofErr w:type="spellEnd"/>
      <w:r w:rsidRPr="0048369A">
        <w:rPr>
          <w:lang w:val="en-US"/>
        </w:rPr>
        <w:t xml:space="preserve"> L., </w:t>
      </w:r>
      <w:r w:rsidRPr="0048369A">
        <w:rPr>
          <w:i/>
          <w:lang w:val="en-US"/>
        </w:rPr>
        <w:t xml:space="preserve">Guide to the </w:t>
      </w:r>
      <w:proofErr w:type="spellStart"/>
      <w:r w:rsidRPr="0048369A">
        <w:rPr>
          <w:i/>
          <w:lang w:val="en-US"/>
        </w:rPr>
        <w:t>Travaux</w:t>
      </w:r>
      <w:proofErr w:type="spellEnd"/>
      <w:r w:rsidRPr="0048369A">
        <w:rPr>
          <w:i/>
          <w:lang w:val="en-US"/>
        </w:rPr>
        <w:t xml:space="preserve"> </w:t>
      </w:r>
      <w:proofErr w:type="spellStart"/>
      <w:r w:rsidRPr="0048369A">
        <w:rPr>
          <w:i/>
          <w:lang w:val="en-US"/>
        </w:rPr>
        <w:t>Préparatoires</w:t>
      </w:r>
      <w:proofErr w:type="spellEnd"/>
      <w:r w:rsidRPr="0048369A">
        <w:rPr>
          <w:i/>
          <w:lang w:val="en-US"/>
        </w:rPr>
        <w:t xml:space="preserve"> of the United Nations Convention on the Elimination of All Forms of Discrimination against Women</w:t>
      </w:r>
      <w:r w:rsidRPr="0048369A">
        <w:rPr>
          <w:lang w:val="en-US"/>
        </w:rPr>
        <w:t xml:space="preserve">, London, </w:t>
      </w:r>
      <w:proofErr w:type="spellStart"/>
      <w:r w:rsidRPr="0048369A">
        <w:rPr>
          <w:lang w:val="en-US"/>
        </w:rPr>
        <w:t>Martinus</w:t>
      </w:r>
      <w:proofErr w:type="spellEnd"/>
      <w:r w:rsidRPr="0048369A">
        <w:rPr>
          <w:lang w:val="en-US"/>
        </w:rPr>
        <w:t xml:space="preserve"> </w:t>
      </w:r>
      <w:proofErr w:type="spellStart"/>
      <w:r w:rsidRPr="0048369A">
        <w:rPr>
          <w:lang w:val="en-US"/>
        </w:rPr>
        <w:t>Nijhoff</w:t>
      </w:r>
      <w:proofErr w:type="spellEnd"/>
      <w:r w:rsidRPr="0048369A">
        <w:rPr>
          <w:lang w:val="en-US"/>
        </w:rPr>
        <w:t xml:space="preserve"> Publishers, 1993, </w:t>
      </w:r>
      <w:r>
        <w:rPr>
          <w:lang w:val="en-US"/>
        </w:rPr>
        <w:t xml:space="preserve">135-136. </w:t>
      </w:r>
    </w:p>
  </w:footnote>
  <w:footnote w:id="341">
    <w:p w:rsidR="00551E68" w:rsidRPr="008375EF" w:rsidRDefault="00551E68" w:rsidP="005869B3">
      <w:pPr>
        <w:pStyle w:val="Voetnoottekst"/>
        <w:jc w:val="both"/>
        <w:rPr>
          <w:b/>
          <w:lang w:val="en-GB"/>
        </w:rPr>
      </w:pPr>
      <w:r>
        <w:rPr>
          <w:rStyle w:val="Voetnootmarkering"/>
        </w:rPr>
        <w:footnoteRef/>
      </w:r>
      <w:r w:rsidRPr="004624DF">
        <w:rPr>
          <w:lang w:val="en-US"/>
        </w:rPr>
        <w:t xml:space="preserve"> </w:t>
      </w:r>
      <w:r w:rsidRPr="008375EF">
        <w:rPr>
          <w:lang w:val="en-GB"/>
        </w:rPr>
        <w:t xml:space="preserve">CEDAW General Recommendation no. 13 on equal remuneration </w:t>
      </w:r>
      <w:r>
        <w:rPr>
          <w:lang w:val="en-GB"/>
        </w:rPr>
        <w:t>for work of equal value (1989).</w:t>
      </w:r>
    </w:p>
  </w:footnote>
  <w:footnote w:id="342">
    <w:p w:rsidR="00551E68" w:rsidRPr="00C44789" w:rsidRDefault="00551E68" w:rsidP="005869B3">
      <w:pPr>
        <w:pStyle w:val="Voetnoottekst"/>
        <w:jc w:val="both"/>
      </w:pPr>
      <w:r>
        <w:rPr>
          <w:rStyle w:val="Voetnootmarkering"/>
        </w:rPr>
        <w:footnoteRef/>
      </w:r>
      <w:r w:rsidRPr="005203A0">
        <w:rPr>
          <w:lang w:val="en-US"/>
        </w:rPr>
        <w:t xml:space="preserve"> CEDAW CO Antigua and Barbuda, A/52/38/Rev. 1 (1997)</w:t>
      </w:r>
      <w:r>
        <w:rPr>
          <w:lang w:val="en-US"/>
        </w:rPr>
        <w:t xml:space="preserve">, para. </w:t>
      </w:r>
      <w:r w:rsidRPr="00C44789">
        <w:t xml:space="preserve">268; CEDAW CO Singapore, CEDAW/C/SGP/CO/4 (2011), </w:t>
      </w:r>
      <w:proofErr w:type="spellStart"/>
      <w:r w:rsidRPr="00C44789">
        <w:t>paras</w:t>
      </w:r>
      <w:proofErr w:type="spellEnd"/>
      <w:r w:rsidRPr="00C44789">
        <w:t xml:space="preserve"> 32 </w:t>
      </w:r>
      <w:proofErr w:type="spellStart"/>
      <w:r w:rsidRPr="00C44789">
        <w:t>and</w:t>
      </w:r>
      <w:proofErr w:type="spellEnd"/>
      <w:r w:rsidRPr="00C44789">
        <w:t xml:space="preserve"> 34; </w:t>
      </w:r>
      <w:proofErr w:type="spellStart"/>
      <w:r w:rsidRPr="00C44789">
        <w:t>Brunott</w:t>
      </w:r>
      <w:proofErr w:type="spellEnd"/>
      <w:r w:rsidRPr="00C44789">
        <w:t xml:space="preserve"> L., “Mensenrechten als vrouwenrechten”, </w:t>
      </w:r>
      <w:r w:rsidRPr="00C44789">
        <w:rPr>
          <w:i/>
        </w:rPr>
        <w:t>Nemesis</w:t>
      </w:r>
      <w:r w:rsidRPr="00C44789">
        <w:t xml:space="preserve"> 1991, 27. </w:t>
      </w:r>
    </w:p>
  </w:footnote>
  <w:footnote w:id="343">
    <w:p w:rsidR="00551E68" w:rsidRPr="003C256E" w:rsidRDefault="00551E68" w:rsidP="005869B3">
      <w:pPr>
        <w:pStyle w:val="Voetnoottekst"/>
        <w:jc w:val="both"/>
        <w:rPr>
          <w:lang w:val="en-US"/>
        </w:rPr>
      </w:pPr>
      <w:r>
        <w:rPr>
          <w:rStyle w:val="Voetnootmarkering"/>
        </w:rPr>
        <w:footnoteRef/>
      </w:r>
      <w:r w:rsidRPr="00206833">
        <w:rPr>
          <w:lang w:val="en-US"/>
        </w:rPr>
        <w:t xml:space="preserve"> See for example:</w:t>
      </w:r>
      <w:r w:rsidRPr="00747027">
        <w:rPr>
          <w:lang w:val="en-US"/>
        </w:rPr>
        <w:t xml:space="preserve"> CEDAW CO Cyprus, A/61/38 (2006)</w:t>
      </w:r>
      <w:r>
        <w:rPr>
          <w:lang w:val="en-US"/>
        </w:rPr>
        <w:t xml:space="preserve">, paras 257-258;  </w:t>
      </w:r>
      <w:r w:rsidRPr="003C256E">
        <w:rPr>
          <w:lang w:val="en-US"/>
        </w:rPr>
        <w:t>CE</w:t>
      </w:r>
      <w:r>
        <w:rPr>
          <w:lang w:val="en-US"/>
        </w:rPr>
        <w:t xml:space="preserve">DAW CO Denmark, A/57/38 (2002), paras 325-326; </w:t>
      </w:r>
      <w:r w:rsidRPr="003C256E">
        <w:rPr>
          <w:lang w:val="en-US"/>
        </w:rPr>
        <w:t>CEDAW CO Germany, A/59/38 (2004), paras 388-389; CEDAW CO Luxembourg,</w:t>
      </w:r>
      <w:r>
        <w:rPr>
          <w:lang w:val="en-US"/>
        </w:rPr>
        <w:t xml:space="preserve"> A/58/38 (2003), paras 314-315.</w:t>
      </w:r>
      <w:r>
        <w:rPr>
          <w:lang w:val="en-US"/>
        </w:rPr>
        <w:tab/>
        <w:t xml:space="preserve"> </w:t>
      </w:r>
    </w:p>
  </w:footnote>
  <w:footnote w:id="344">
    <w:p w:rsidR="00551E68" w:rsidRPr="002638ED" w:rsidRDefault="00551E68" w:rsidP="005869B3">
      <w:pPr>
        <w:pStyle w:val="Voetnoottekst"/>
        <w:jc w:val="both"/>
        <w:rPr>
          <w:lang w:val="en-US"/>
        </w:rPr>
      </w:pPr>
      <w:r>
        <w:rPr>
          <w:rStyle w:val="Voetnootmarkering"/>
        </w:rPr>
        <w:footnoteRef/>
      </w:r>
      <w:r>
        <w:rPr>
          <w:lang w:val="en-US"/>
        </w:rPr>
        <w:t xml:space="preserve"> </w:t>
      </w:r>
      <w:r w:rsidRPr="00D814C0">
        <w:rPr>
          <w:lang w:val="en-US"/>
        </w:rPr>
        <w:t>C</w:t>
      </w:r>
      <w:r>
        <w:rPr>
          <w:lang w:val="en-US"/>
        </w:rPr>
        <w:t xml:space="preserve">EDAW CO Cyprus, A/61/38 (2006), para. </w:t>
      </w:r>
      <w:r w:rsidRPr="00FF1CCA">
        <w:rPr>
          <w:lang w:val="it-IT"/>
        </w:rPr>
        <w:t xml:space="preserve">21; </w:t>
      </w:r>
      <w:r w:rsidRPr="00645E7B">
        <w:rPr>
          <w:lang w:val="it-IT"/>
        </w:rPr>
        <w:t>CEDAW CO Estonia, A/57/38 (2002), pa</w:t>
      </w:r>
      <w:r>
        <w:rPr>
          <w:lang w:val="it-IT"/>
        </w:rPr>
        <w:t xml:space="preserve">ra. </w:t>
      </w:r>
      <w:r>
        <w:rPr>
          <w:lang w:val="en-US"/>
        </w:rPr>
        <w:t xml:space="preserve">107. </w:t>
      </w:r>
      <w:r w:rsidRPr="002638ED">
        <w:rPr>
          <w:lang w:val="en-US"/>
        </w:rPr>
        <w:t xml:space="preserve"> </w:t>
      </w:r>
    </w:p>
  </w:footnote>
  <w:footnote w:id="345">
    <w:p w:rsidR="00551E68" w:rsidRPr="00EA475E" w:rsidRDefault="00551E68" w:rsidP="005869B3">
      <w:pPr>
        <w:pStyle w:val="Voetnoottekst"/>
        <w:jc w:val="both"/>
        <w:rPr>
          <w:lang w:val="en-US"/>
        </w:rPr>
      </w:pPr>
      <w:r>
        <w:rPr>
          <w:rStyle w:val="Voetnootmarkering"/>
        </w:rPr>
        <w:footnoteRef/>
      </w:r>
      <w:r w:rsidRPr="00EA475E">
        <w:rPr>
          <w:lang w:val="en-US"/>
        </w:rPr>
        <w:t xml:space="preserve"> Article 11(1) d)</w:t>
      </w:r>
      <w:r>
        <w:rPr>
          <w:lang w:val="en-US"/>
        </w:rPr>
        <w:t xml:space="preserve"> CEDAW</w:t>
      </w:r>
      <w:r w:rsidRPr="00EA475E">
        <w:rPr>
          <w:lang w:val="en-US"/>
        </w:rPr>
        <w:t xml:space="preserve"> expressly states tha</w:t>
      </w:r>
      <w:r>
        <w:rPr>
          <w:lang w:val="en-US"/>
        </w:rPr>
        <w:t xml:space="preserve">t there must be ‘equality of treatment in the evaluation of the quality of work’. </w:t>
      </w:r>
    </w:p>
  </w:footnote>
  <w:footnote w:id="346">
    <w:p w:rsidR="00551E68" w:rsidRPr="00C02C2E" w:rsidRDefault="00551E68" w:rsidP="005869B3">
      <w:pPr>
        <w:pStyle w:val="Voetnoottekst"/>
        <w:jc w:val="both"/>
        <w:rPr>
          <w:lang w:val="en-US"/>
        </w:rPr>
      </w:pPr>
      <w:r>
        <w:rPr>
          <w:rStyle w:val="Voetnootmarkering"/>
        </w:rPr>
        <w:footnoteRef/>
      </w:r>
      <w:r w:rsidRPr="00484C1A">
        <w:rPr>
          <w:lang w:val="en-US"/>
        </w:rPr>
        <w:t xml:space="preserve"> </w:t>
      </w:r>
      <w:r w:rsidRPr="00484C1A">
        <w:rPr>
          <w:lang w:val="en-GB"/>
        </w:rPr>
        <w:t>CEDAW General Recommendation no. 13 on equal remuneration for work</w:t>
      </w:r>
      <w:r>
        <w:rPr>
          <w:lang w:val="en-GB"/>
        </w:rPr>
        <w:t xml:space="preserve"> of equal value (1989); </w:t>
      </w:r>
      <w:r w:rsidRPr="00462CE9">
        <w:rPr>
          <w:lang w:val="en-US"/>
        </w:rPr>
        <w:t>CE</w:t>
      </w:r>
      <w:r>
        <w:rPr>
          <w:lang w:val="en-US"/>
        </w:rPr>
        <w:t xml:space="preserve">DAW CO Iceland, A/51/38 (1996), para. 91; </w:t>
      </w:r>
      <w:r w:rsidRPr="00C02C2E">
        <w:rPr>
          <w:lang w:val="en-US"/>
        </w:rPr>
        <w:t>CEDAW CO Italy, CEDAW/C/ITA/CO/6 (2011)</w:t>
      </w:r>
      <w:r>
        <w:rPr>
          <w:lang w:val="en-US"/>
        </w:rPr>
        <w:t xml:space="preserve">, para. 37; </w:t>
      </w:r>
      <w:r w:rsidRPr="00FF1CCA">
        <w:rPr>
          <w:lang w:val="en-US"/>
        </w:rPr>
        <w:t>CEDAW CO N</w:t>
      </w:r>
      <w:r>
        <w:rPr>
          <w:lang w:val="en-US"/>
        </w:rPr>
        <w:t xml:space="preserve">orway, CEDAW/C/NOR/CO/8 (2012), para. 30. </w:t>
      </w:r>
    </w:p>
  </w:footnote>
  <w:footnote w:id="347">
    <w:p w:rsidR="00551E68" w:rsidRPr="00245DC7" w:rsidRDefault="00551E68" w:rsidP="005869B3">
      <w:pPr>
        <w:pStyle w:val="Voetnoottekst"/>
        <w:jc w:val="both"/>
        <w:rPr>
          <w:lang w:val="en-US"/>
        </w:rPr>
      </w:pPr>
      <w:r>
        <w:rPr>
          <w:rStyle w:val="Voetnootmarkering"/>
        </w:rPr>
        <w:footnoteRef/>
      </w:r>
      <w:r>
        <w:rPr>
          <w:lang w:val="en-US"/>
        </w:rPr>
        <w:t xml:space="preserve"> </w:t>
      </w:r>
      <w:proofErr w:type="spellStart"/>
      <w:r w:rsidRPr="007422C0">
        <w:rPr>
          <w:lang w:val="en-US"/>
        </w:rPr>
        <w:t>Raday</w:t>
      </w:r>
      <w:proofErr w:type="spellEnd"/>
      <w:r w:rsidRPr="007422C0">
        <w:rPr>
          <w:lang w:val="en-US"/>
        </w:rPr>
        <w:t xml:space="preserve"> F., “Article 11” in Freeman M., </w:t>
      </w:r>
      <w:proofErr w:type="spellStart"/>
      <w:r w:rsidRPr="007422C0">
        <w:rPr>
          <w:lang w:val="en-US"/>
        </w:rPr>
        <w:t>Chinkin</w:t>
      </w:r>
      <w:proofErr w:type="spellEnd"/>
      <w:r w:rsidRPr="007422C0">
        <w:rPr>
          <w:lang w:val="en-US"/>
        </w:rPr>
        <w:t xml:space="preserve"> C. and</w:t>
      </w:r>
      <w:r>
        <w:rPr>
          <w:lang w:val="en-US"/>
        </w:rPr>
        <w:t xml:space="preserve"> </w:t>
      </w:r>
      <w:proofErr w:type="spellStart"/>
      <w:r>
        <w:rPr>
          <w:lang w:val="en-US"/>
        </w:rPr>
        <w:t>Beate</w:t>
      </w:r>
      <w:proofErr w:type="spellEnd"/>
      <w:r>
        <w:rPr>
          <w:lang w:val="en-US"/>
        </w:rPr>
        <w:t xml:space="preserve"> R. (eds.), op. cit., 293. </w:t>
      </w:r>
    </w:p>
  </w:footnote>
  <w:footnote w:id="348">
    <w:p w:rsidR="00551E68" w:rsidRPr="00BF77DD" w:rsidRDefault="00551E68" w:rsidP="005869B3">
      <w:pPr>
        <w:pStyle w:val="Voetnoottekst"/>
        <w:jc w:val="both"/>
        <w:rPr>
          <w:b/>
          <w:u w:val="single"/>
          <w:lang w:val="en-US"/>
        </w:rPr>
      </w:pPr>
      <w:r>
        <w:rPr>
          <w:rStyle w:val="Voetnootmarkering"/>
        </w:rPr>
        <w:footnoteRef/>
      </w:r>
      <w:r>
        <w:rPr>
          <w:lang w:val="en-US"/>
        </w:rPr>
        <w:t xml:space="preserve"> </w:t>
      </w:r>
      <w:proofErr w:type="spellStart"/>
      <w:r>
        <w:rPr>
          <w:lang w:val="en-US"/>
        </w:rPr>
        <w:t>Rehof</w:t>
      </w:r>
      <w:proofErr w:type="spellEnd"/>
      <w:r>
        <w:rPr>
          <w:lang w:val="en-US"/>
        </w:rPr>
        <w:t xml:space="preserve"> L., op. cit., 136. </w:t>
      </w:r>
    </w:p>
  </w:footnote>
  <w:footnote w:id="349">
    <w:p w:rsidR="00551E68" w:rsidRPr="00245DC7" w:rsidRDefault="00551E68" w:rsidP="005869B3">
      <w:pPr>
        <w:pStyle w:val="Voetnoottekst"/>
        <w:jc w:val="both"/>
        <w:rPr>
          <w:lang w:val="en-US"/>
        </w:rPr>
      </w:pPr>
      <w:r>
        <w:rPr>
          <w:rStyle w:val="Voetnootmarkering"/>
        </w:rPr>
        <w:footnoteRef/>
      </w:r>
      <w:r w:rsidRPr="00245DC7">
        <w:rPr>
          <w:lang w:val="en-US"/>
        </w:rPr>
        <w:t xml:space="preserve"> </w:t>
      </w:r>
      <w:r>
        <w:rPr>
          <w:lang w:val="en-US"/>
        </w:rPr>
        <w:t xml:space="preserve">‘the right of men and women workers to equal pay for work of equal value’. </w:t>
      </w:r>
      <w:r>
        <w:rPr>
          <w:lang w:val="en-US"/>
        </w:rPr>
        <w:tab/>
      </w:r>
    </w:p>
  </w:footnote>
  <w:footnote w:id="350">
    <w:p w:rsidR="00551E68" w:rsidRPr="003C1288" w:rsidRDefault="00551E68" w:rsidP="005869B3">
      <w:pPr>
        <w:pStyle w:val="Voetnoottekst"/>
        <w:jc w:val="both"/>
        <w:rPr>
          <w:b/>
          <w:u w:val="single"/>
          <w:lang w:val="en-US"/>
        </w:rPr>
      </w:pPr>
      <w:r>
        <w:rPr>
          <w:rStyle w:val="Voetnootmarkering"/>
        </w:rPr>
        <w:footnoteRef/>
      </w:r>
      <w:r w:rsidRPr="00245DC7">
        <w:rPr>
          <w:lang w:val="en-US"/>
        </w:rPr>
        <w:t xml:space="preserve"> </w:t>
      </w:r>
      <w:r>
        <w:rPr>
          <w:lang w:val="en-US"/>
        </w:rPr>
        <w:t xml:space="preserve">Harris D. and Darcy J., op. cit., 79. </w:t>
      </w:r>
    </w:p>
  </w:footnote>
  <w:footnote w:id="351">
    <w:p w:rsidR="00551E68" w:rsidRPr="00245DC7" w:rsidRDefault="00551E68" w:rsidP="005869B3">
      <w:pPr>
        <w:pStyle w:val="Voetnoottekst"/>
        <w:jc w:val="both"/>
        <w:rPr>
          <w:lang w:val="en-US"/>
        </w:rPr>
      </w:pPr>
      <w:r>
        <w:rPr>
          <w:rStyle w:val="Voetnootmarkering"/>
        </w:rPr>
        <w:footnoteRef/>
      </w:r>
      <w:r w:rsidRPr="00245DC7">
        <w:rPr>
          <w:lang w:val="en-US"/>
        </w:rPr>
        <w:t xml:space="preserve"> </w:t>
      </w:r>
      <w:r>
        <w:rPr>
          <w:lang w:val="en-US"/>
        </w:rPr>
        <w:t xml:space="preserve">Article 20 RESC. </w:t>
      </w:r>
    </w:p>
  </w:footnote>
  <w:footnote w:id="352">
    <w:p w:rsidR="00551E68" w:rsidRPr="0096518E" w:rsidRDefault="00551E68" w:rsidP="005869B3">
      <w:pPr>
        <w:pStyle w:val="Voetnoottekst"/>
        <w:jc w:val="both"/>
        <w:rPr>
          <w:lang w:val="en-US"/>
        </w:rPr>
      </w:pPr>
      <w:r>
        <w:rPr>
          <w:rStyle w:val="Voetnootmarkering"/>
        </w:rPr>
        <w:footnoteRef/>
      </w:r>
      <w:r>
        <w:rPr>
          <w:lang w:val="en-US"/>
        </w:rPr>
        <w:t xml:space="preserve"> </w:t>
      </w:r>
      <w:r w:rsidRPr="006F2160">
        <w:rPr>
          <w:lang w:val="en-US"/>
        </w:rPr>
        <w:t xml:space="preserve">ESC Conclusions II, Statement of Interpretation </w:t>
      </w:r>
      <w:proofErr w:type="spellStart"/>
      <w:r w:rsidRPr="006F2160">
        <w:rPr>
          <w:lang w:val="en-US"/>
        </w:rPr>
        <w:t>on</w:t>
      </w:r>
      <w:proofErr w:type="spellEnd"/>
      <w:r w:rsidRPr="006F2160">
        <w:rPr>
          <w:lang w:val="en-US"/>
        </w:rPr>
        <w:t xml:space="preserve"> Article 4(3) (1971)</w:t>
      </w:r>
      <w:r>
        <w:rPr>
          <w:lang w:val="en-US"/>
        </w:rPr>
        <w:t xml:space="preserve">, 8; </w:t>
      </w:r>
      <w:r w:rsidRPr="00B731CC">
        <w:rPr>
          <w:lang w:val="en-US"/>
        </w:rPr>
        <w:t>Harris D. and Darcy J., op. cit., 79;</w:t>
      </w:r>
      <w:r w:rsidRPr="0097681A">
        <w:rPr>
          <w:lang w:val="en-US"/>
        </w:rPr>
        <w:t xml:space="preserve"> </w:t>
      </w:r>
      <w:proofErr w:type="spellStart"/>
      <w:r w:rsidRPr="0097681A">
        <w:rPr>
          <w:lang w:val="en-US"/>
        </w:rPr>
        <w:t>Lenia</w:t>
      </w:r>
      <w:proofErr w:type="spellEnd"/>
      <w:r w:rsidRPr="0097681A">
        <w:rPr>
          <w:lang w:val="en-US"/>
        </w:rPr>
        <w:t xml:space="preserve"> S., </w:t>
      </w:r>
      <w:r w:rsidRPr="0097681A">
        <w:rPr>
          <w:i/>
          <w:lang w:val="en-US"/>
        </w:rPr>
        <w:t>Fundamental Social Rights</w:t>
      </w:r>
      <w:r w:rsidRPr="0097681A">
        <w:rPr>
          <w:lang w:val="en-US"/>
        </w:rPr>
        <w:t>, Strasbourg, Council of Europe Publishing, 2002,</w:t>
      </w:r>
      <w:r>
        <w:rPr>
          <w:lang w:val="en-US"/>
        </w:rPr>
        <w:t xml:space="preserve"> 86; </w:t>
      </w:r>
      <w:proofErr w:type="spellStart"/>
      <w:r>
        <w:rPr>
          <w:lang w:val="en-US"/>
        </w:rPr>
        <w:t>Swiatkowski</w:t>
      </w:r>
      <w:proofErr w:type="spellEnd"/>
      <w:r>
        <w:rPr>
          <w:lang w:val="en-US"/>
        </w:rPr>
        <w:t xml:space="preserve"> A., op. cit., 100. </w:t>
      </w:r>
    </w:p>
  </w:footnote>
  <w:footnote w:id="353">
    <w:p w:rsidR="00551E68" w:rsidRPr="00245DC7" w:rsidRDefault="00551E68" w:rsidP="005869B3">
      <w:pPr>
        <w:pStyle w:val="Voetnoottekst"/>
        <w:jc w:val="both"/>
        <w:rPr>
          <w:lang w:val="en-US"/>
        </w:rPr>
      </w:pPr>
      <w:r>
        <w:rPr>
          <w:rStyle w:val="Voetnootmarkering"/>
        </w:rPr>
        <w:footnoteRef/>
      </w:r>
      <w:r>
        <w:rPr>
          <w:lang w:val="en-US"/>
        </w:rPr>
        <w:t xml:space="preserve"> </w:t>
      </w:r>
      <w:r w:rsidRPr="00C567A6">
        <w:rPr>
          <w:lang w:val="en-US"/>
        </w:rPr>
        <w:t xml:space="preserve">ESC Conclusions II, Statement of Interpretation </w:t>
      </w:r>
      <w:proofErr w:type="spellStart"/>
      <w:r w:rsidRPr="00C567A6">
        <w:rPr>
          <w:lang w:val="en-US"/>
        </w:rPr>
        <w:t>on</w:t>
      </w:r>
      <w:proofErr w:type="spellEnd"/>
      <w:r w:rsidRPr="00C567A6">
        <w:rPr>
          <w:lang w:val="en-US"/>
        </w:rPr>
        <w:t xml:space="preserve"> Article 4(3) (1971)</w:t>
      </w:r>
      <w:r>
        <w:rPr>
          <w:lang w:val="en-US"/>
        </w:rPr>
        <w:t xml:space="preserve">, 8; </w:t>
      </w:r>
      <w:r w:rsidRPr="00792B62">
        <w:rPr>
          <w:lang w:val="en-US"/>
        </w:rPr>
        <w:t>RESC Conclusions, Romania (2003)</w:t>
      </w:r>
      <w:r>
        <w:rPr>
          <w:lang w:val="en-US"/>
        </w:rPr>
        <w:t xml:space="preserve">, 379; </w:t>
      </w:r>
      <w:r w:rsidRPr="00F370BC">
        <w:rPr>
          <w:lang w:val="en-US"/>
        </w:rPr>
        <w:t>ESC Addendum to Conclusions XV-2, Slovakia (2001)</w:t>
      </w:r>
      <w:r>
        <w:rPr>
          <w:lang w:val="en-US"/>
        </w:rPr>
        <w:t xml:space="preserve">, 151. </w:t>
      </w:r>
    </w:p>
  </w:footnote>
  <w:footnote w:id="354">
    <w:p w:rsidR="00551E68" w:rsidRPr="0059470E" w:rsidRDefault="00551E68" w:rsidP="005869B3">
      <w:pPr>
        <w:pStyle w:val="Voetnoottekst"/>
        <w:jc w:val="both"/>
        <w:rPr>
          <w:lang w:val="en-GB"/>
        </w:rPr>
      </w:pPr>
      <w:r>
        <w:rPr>
          <w:rStyle w:val="Voetnootmarkering"/>
        </w:rPr>
        <w:footnoteRef/>
      </w:r>
      <w:r>
        <w:rPr>
          <w:lang w:val="en-US"/>
        </w:rPr>
        <w:t xml:space="preserve"> </w:t>
      </w:r>
      <w:r w:rsidRPr="0087188D">
        <w:rPr>
          <w:lang w:val="en-US"/>
        </w:rPr>
        <w:t xml:space="preserve">ESC Conclusions I, Statement of Interpretation </w:t>
      </w:r>
      <w:proofErr w:type="spellStart"/>
      <w:r w:rsidRPr="0087188D">
        <w:rPr>
          <w:lang w:val="en-US"/>
        </w:rPr>
        <w:t>on</w:t>
      </w:r>
      <w:proofErr w:type="spellEnd"/>
      <w:r w:rsidRPr="0087188D">
        <w:rPr>
          <w:lang w:val="en-US"/>
        </w:rPr>
        <w:t xml:space="preserve"> Article 4(3) (1969)</w:t>
      </w:r>
      <w:r w:rsidRPr="00792B62">
        <w:rPr>
          <w:lang w:val="en-US"/>
        </w:rPr>
        <w:t>, 28-39; ESC Conclusions XIII-1, Greece (1991), 112; ESC Conclu</w:t>
      </w:r>
      <w:r>
        <w:rPr>
          <w:lang w:val="en-US"/>
        </w:rPr>
        <w:t xml:space="preserve">sions XV-2, Poland (2001), 422; </w:t>
      </w:r>
      <w:proofErr w:type="spellStart"/>
      <w:r>
        <w:rPr>
          <w:lang w:val="en-US"/>
        </w:rPr>
        <w:t>Frostell</w:t>
      </w:r>
      <w:proofErr w:type="spellEnd"/>
      <w:r>
        <w:rPr>
          <w:lang w:val="en-US"/>
        </w:rPr>
        <w:t xml:space="preserve"> K. and </w:t>
      </w:r>
      <w:proofErr w:type="spellStart"/>
      <w:r>
        <w:rPr>
          <w:lang w:val="en-US"/>
        </w:rPr>
        <w:t>Scheinin</w:t>
      </w:r>
      <w:proofErr w:type="spellEnd"/>
      <w:r>
        <w:rPr>
          <w:lang w:val="en-US"/>
        </w:rPr>
        <w:t xml:space="preserve"> M., “Women” in </w:t>
      </w:r>
      <w:proofErr w:type="spellStart"/>
      <w:r w:rsidRPr="0059470E">
        <w:rPr>
          <w:lang w:val="en-GB"/>
        </w:rPr>
        <w:t>Eide</w:t>
      </w:r>
      <w:proofErr w:type="spellEnd"/>
      <w:r w:rsidRPr="0059470E">
        <w:rPr>
          <w:lang w:val="en-GB"/>
        </w:rPr>
        <w:t xml:space="preserve"> A.,</w:t>
      </w:r>
      <w:r>
        <w:rPr>
          <w:lang w:val="en-GB"/>
        </w:rPr>
        <w:t xml:space="preserve"> Krause C. and Rosas A. (eds.), op. cit., 348-349. </w:t>
      </w:r>
    </w:p>
  </w:footnote>
  <w:footnote w:id="355">
    <w:p w:rsidR="00551E68" w:rsidRPr="00EC2FC6" w:rsidRDefault="00551E68" w:rsidP="005869B3">
      <w:pPr>
        <w:pStyle w:val="Voetnoottekst"/>
        <w:jc w:val="both"/>
        <w:rPr>
          <w:lang w:val="fr-FR"/>
        </w:rPr>
      </w:pPr>
      <w:r>
        <w:rPr>
          <w:rStyle w:val="Voetnootmarkering"/>
        </w:rPr>
        <w:footnoteRef/>
      </w:r>
      <w:r w:rsidRPr="00EC2FC6">
        <w:rPr>
          <w:lang w:val="fr-FR"/>
        </w:rPr>
        <w:t xml:space="preserve"> ESC Conclusions XIII-1, </w:t>
      </w:r>
      <w:proofErr w:type="spellStart"/>
      <w:r w:rsidRPr="00EC2FC6">
        <w:rPr>
          <w:lang w:val="fr-FR"/>
        </w:rPr>
        <w:t>Norway</w:t>
      </w:r>
      <w:proofErr w:type="spellEnd"/>
      <w:r w:rsidRPr="00EC2FC6">
        <w:rPr>
          <w:lang w:val="fr-FR"/>
        </w:rPr>
        <w:t xml:space="preserve"> (1991), 116; ESC Conclusions XV-2, </w:t>
      </w:r>
      <w:proofErr w:type="spellStart"/>
      <w:r w:rsidRPr="00EC2FC6">
        <w:rPr>
          <w:lang w:val="fr-FR"/>
        </w:rPr>
        <w:t>Poland</w:t>
      </w:r>
      <w:proofErr w:type="spellEnd"/>
      <w:r w:rsidRPr="00EC2FC6">
        <w:rPr>
          <w:lang w:val="fr-FR"/>
        </w:rPr>
        <w:t xml:space="preserve"> (2001), 422. </w:t>
      </w:r>
    </w:p>
  </w:footnote>
  <w:footnote w:id="356">
    <w:p w:rsidR="00551E68" w:rsidRPr="000E268D" w:rsidRDefault="00551E68" w:rsidP="005869B3">
      <w:pPr>
        <w:pStyle w:val="Voetnoottekst"/>
        <w:jc w:val="both"/>
        <w:rPr>
          <w:lang w:val="fr-FR"/>
        </w:rPr>
      </w:pPr>
      <w:r>
        <w:rPr>
          <w:rStyle w:val="Voetnootmarkering"/>
        </w:rPr>
        <w:footnoteRef/>
      </w:r>
      <w:r w:rsidRPr="009F5BE7">
        <w:rPr>
          <w:lang w:val="fr-FR"/>
        </w:rPr>
        <w:t xml:space="preserve"> </w:t>
      </w:r>
      <w:r w:rsidRPr="000E268D">
        <w:rPr>
          <w:lang w:val="fr-FR"/>
        </w:rPr>
        <w:t xml:space="preserve">ESC Conclusions XIII-5, </w:t>
      </w:r>
      <w:proofErr w:type="spellStart"/>
      <w:r w:rsidRPr="000E268D">
        <w:rPr>
          <w:lang w:val="fr-FR"/>
        </w:rPr>
        <w:t>Netherlands</w:t>
      </w:r>
      <w:proofErr w:type="spellEnd"/>
      <w:r w:rsidRPr="000E268D">
        <w:rPr>
          <w:lang w:val="fr-FR"/>
        </w:rPr>
        <w:t xml:space="preserve"> (1997)</w:t>
      </w:r>
      <w:r>
        <w:rPr>
          <w:lang w:val="fr-FR"/>
        </w:rPr>
        <w:t xml:space="preserve">, 269; </w:t>
      </w:r>
      <w:r w:rsidRPr="009F5BE7">
        <w:rPr>
          <w:lang w:val="fr-FR"/>
        </w:rPr>
        <w:t>ESC Conclusions XVI-2, Portugal (2003), 680-681</w:t>
      </w:r>
      <w:r>
        <w:rPr>
          <w:lang w:val="fr-FR"/>
        </w:rPr>
        <w:t xml:space="preserve">. </w:t>
      </w:r>
    </w:p>
  </w:footnote>
  <w:footnote w:id="357">
    <w:p w:rsidR="00551E68" w:rsidRPr="009F5BE7" w:rsidRDefault="00551E68" w:rsidP="005869B3">
      <w:pPr>
        <w:pStyle w:val="Voetnoottekst"/>
        <w:jc w:val="both"/>
        <w:rPr>
          <w:lang w:val="en-US"/>
        </w:rPr>
      </w:pPr>
      <w:r>
        <w:rPr>
          <w:rStyle w:val="Voetnootmarkering"/>
        </w:rPr>
        <w:footnoteRef/>
      </w:r>
      <w:r w:rsidRPr="009F5BE7">
        <w:rPr>
          <w:lang w:val="en-US"/>
        </w:rPr>
        <w:t xml:space="preserve"> ESC Conclusions XIII-5, Finland (1997)</w:t>
      </w:r>
      <w:r>
        <w:rPr>
          <w:lang w:val="en-US"/>
        </w:rPr>
        <w:t xml:space="preserve">, 258; </w:t>
      </w:r>
      <w:r w:rsidRPr="00004D27">
        <w:rPr>
          <w:lang w:val="en-GB"/>
        </w:rPr>
        <w:t xml:space="preserve">European Committee of Social Rights, </w:t>
      </w:r>
      <w:r w:rsidRPr="00004D27">
        <w:rPr>
          <w:i/>
          <w:lang w:val="en-GB"/>
        </w:rPr>
        <w:t>Digest of the Case Law of the European Committee of Social Rights,</w:t>
      </w:r>
      <w:r w:rsidRPr="00004D27">
        <w:rPr>
          <w:lang w:val="en-GB"/>
        </w:rPr>
        <w:t xml:space="preserve"> Strasbourg, Council of Europe</w:t>
      </w:r>
      <w:r w:rsidRPr="00004D27">
        <w:rPr>
          <w:i/>
          <w:lang w:val="en-GB"/>
        </w:rPr>
        <w:t xml:space="preserve"> ,</w:t>
      </w:r>
      <w:r>
        <w:rPr>
          <w:lang w:val="en-GB"/>
        </w:rPr>
        <w:t xml:space="preserve">2008, </w:t>
      </w:r>
      <w:r>
        <w:rPr>
          <w:lang w:val="en-US"/>
        </w:rPr>
        <w:t xml:space="preserve">45. </w:t>
      </w:r>
    </w:p>
  </w:footnote>
  <w:footnote w:id="358">
    <w:p w:rsidR="00551E68" w:rsidRPr="00C44789" w:rsidRDefault="00551E68" w:rsidP="005869B3">
      <w:pPr>
        <w:pStyle w:val="Voetnoottekst"/>
        <w:jc w:val="both"/>
        <w:rPr>
          <w:b/>
          <w:u w:val="single"/>
        </w:rPr>
      </w:pPr>
      <w:r>
        <w:rPr>
          <w:rStyle w:val="Voetnootmarkering"/>
        </w:rPr>
        <w:footnoteRef/>
      </w:r>
      <w:r w:rsidRPr="0032316A">
        <w:rPr>
          <w:lang w:val="en-US"/>
        </w:rPr>
        <w:t xml:space="preserve"> </w:t>
      </w:r>
      <w:r>
        <w:rPr>
          <w:lang w:val="en-US"/>
        </w:rPr>
        <w:t xml:space="preserve">Article 119 TEEC only mentioned ‘equal pay for equal work’. </w:t>
      </w:r>
      <w:proofErr w:type="spellStart"/>
      <w:r w:rsidRPr="00C44789">
        <w:t>Blanpain</w:t>
      </w:r>
      <w:proofErr w:type="spellEnd"/>
      <w:r w:rsidRPr="00C44789">
        <w:t xml:space="preserve"> R., </w:t>
      </w:r>
      <w:r w:rsidRPr="00C44789">
        <w:rPr>
          <w:i/>
        </w:rPr>
        <w:t>Europees Arbeidsrecht</w:t>
      </w:r>
      <w:r w:rsidRPr="00C44789">
        <w:t xml:space="preserve">, Brugge, die </w:t>
      </w:r>
      <w:proofErr w:type="spellStart"/>
      <w:r w:rsidRPr="00C44789">
        <w:t>Keure</w:t>
      </w:r>
      <w:proofErr w:type="spellEnd"/>
      <w:r w:rsidRPr="00C44789">
        <w:t xml:space="preserve">, 2012, 317. </w:t>
      </w:r>
    </w:p>
  </w:footnote>
  <w:footnote w:id="359">
    <w:p w:rsidR="00551E68" w:rsidRPr="0032316A" w:rsidRDefault="00551E68" w:rsidP="005869B3">
      <w:pPr>
        <w:pStyle w:val="Voetnoottekst"/>
        <w:jc w:val="both"/>
        <w:rPr>
          <w:b/>
          <w:u w:val="single"/>
          <w:lang w:val="en-US"/>
        </w:rPr>
      </w:pPr>
      <w:r>
        <w:rPr>
          <w:rStyle w:val="Voetnootmarkering"/>
        </w:rPr>
        <w:footnoteRef/>
      </w:r>
      <w:r>
        <w:rPr>
          <w:lang w:val="en-US"/>
        </w:rPr>
        <w:t xml:space="preserve"> </w:t>
      </w:r>
      <w:r w:rsidRPr="000E72C6">
        <w:rPr>
          <w:lang w:val="en-GB"/>
        </w:rPr>
        <w:t xml:space="preserve">Monaghan K., </w:t>
      </w:r>
      <w:r w:rsidRPr="000E72C6">
        <w:rPr>
          <w:i/>
          <w:lang w:val="en-GB"/>
        </w:rPr>
        <w:t>Equality Law</w:t>
      </w:r>
      <w:r w:rsidRPr="000E72C6">
        <w:rPr>
          <w:lang w:val="en-GB"/>
        </w:rPr>
        <w:t>, Oxford, Oxford University Press, 2007</w:t>
      </w:r>
      <w:r>
        <w:rPr>
          <w:lang w:val="en-US"/>
        </w:rPr>
        <w:t xml:space="preserve">, 105; </w:t>
      </w:r>
      <w:r w:rsidRPr="0032316A">
        <w:rPr>
          <w:lang w:val="en-US"/>
        </w:rPr>
        <w:t xml:space="preserve">Watson P., </w:t>
      </w:r>
      <w:r w:rsidRPr="0032316A">
        <w:rPr>
          <w:i/>
          <w:lang w:val="en-US"/>
        </w:rPr>
        <w:t>EU Social and Employment Law</w:t>
      </w:r>
      <w:r w:rsidRPr="0032316A">
        <w:rPr>
          <w:lang w:val="en-US"/>
        </w:rPr>
        <w:t>, Oxford, Oxford</w:t>
      </w:r>
      <w:r>
        <w:rPr>
          <w:lang w:val="en-US"/>
        </w:rPr>
        <w:t xml:space="preserve"> University Press, 2009, 365.  </w:t>
      </w:r>
    </w:p>
  </w:footnote>
  <w:footnote w:id="360">
    <w:p w:rsidR="00551E68" w:rsidRPr="00237D26" w:rsidRDefault="00551E68" w:rsidP="005869B3">
      <w:pPr>
        <w:pStyle w:val="Voetnoottekst"/>
        <w:jc w:val="both"/>
        <w:rPr>
          <w:lang w:val="en-US"/>
        </w:rPr>
      </w:pPr>
      <w:r>
        <w:rPr>
          <w:rStyle w:val="Voetnootmarkering"/>
        </w:rPr>
        <w:footnoteRef/>
      </w:r>
      <w:r w:rsidRPr="00237D26">
        <w:rPr>
          <w:lang w:val="en-US"/>
        </w:rPr>
        <w:t xml:space="preserve"> ECJ C-43/75, </w:t>
      </w:r>
      <w:proofErr w:type="spellStart"/>
      <w:r w:rsidRPr="00237D26">
        <w:rPr>
          <w:i/>
          <w:lang w:val="en-US"/>
        </w:rPr>
        <w:t>Defrenne</w:t>
      </w:r>
      <w:proofErr w:type="spellEnd"/>
      <w:r w:rsidRPr="00237D26">
        <w:rPr>
          <w:i/>
          <w:lang w:val="en-US"/>
        </w:rPr>
        <w:t xml:space="preserve"> II</w:t>
      </w:r>
      <w:r w:rsidRPr="00237D26">
        <w:rPr>
          <w:lang w:val="en-US"/>
        </w:rPr>
        <w:t xml:space="preserve">, 1976, paras 24 and 40; ECJ C-28/93, </w:t>
      </w:r>
      <w:r w:rsidRPr="00237D26">
        <w:rPr>
          <w:i/>
          <w:lang w:val="en-US"/>
        </w:rPr>
        <w:t xml:space="preserve">Maria van den </w:t>
      </w:r>
      <w:proofErr w:type="spellStart"/>
      <w:r w:rsidRPr="00237D26">
        <w:rPr>
          <w:i/>
          <w:lang w:val="en-US"/>
        </w:rPr>
        <w:t>Akker</w:t>
      </w:r>
      <w:proofErr w:type="spellEnd"/>
      <w:r w:rsidRPr="00237D26">
        <w:rPr>
          <w:i/>
          <w:lang w:val="en-US"/>
        </w:rPr>
        <w:t xml:space="preserve"> and Others v. </w:t>
      </w:r>
      <w:proofErr w:type="spellStart"/>
      <w:r w:rsidRPr="00237D26">
        <w:rPr>
          <w:i/>
          <w:lang w:val="en-US"/>
        </w:rPr>
        <w:t>Stichting</w:t>
      </w:r>
      <w:proofErr w:type="spellEnd"/>
      <w:r w:rsidRPr="00237D26">
        <w:rPr>
          <w:i/>
          <w:lang w:val="en-US"/>
        </w:rPr>
        <w:t xml:space="preserve"> Shell </w:t>
      </w:r>
      <w:proofErr w:type="spellStart"/>
      <w:r w:rsidRPr="00237D26">
        <w:rPr>
          <w:i/>
          <w:lang w:val="en-US"/>
        </w:rPr>
        <w:t>Pensioenfonds</w:t>
      </w:r>
      <w:proofErr w:type="spellEnd"/>
      <w:r>
        <w:rPr>
          <w:lang w:val="en-US"/>
        </w:rPr>
        <w:t xml:space="preserve">, 1994, para. 21. </w:t>
      </w:r>
    </w:p>
  </w:footnote>
  <w:footnote w:id="361">
    <w:p w:rsidR="00551E68" w:rsidRPr="00E301EF" w:rsidRDefault="00551E68" w:rsidP="005869B3">
      <w:pPr>
        <w:pStyle w:val="Voetnoottekst"/>
        <w:jc w:val="both"/>
        <w:rPr>
          <w:lang w:val="en-US"/>
        </w:rPr>
      </w:pPr>
      <w:r>
        <w:rPr>
          <w:rStyle w:val="Voetnootmarkering"/>
        </w:rPr>
        <w:footnoteRef/>
      </w:r>
      <w:r w:rsidRPr="00E503A9">
        <w:rPr>
          <w:lang w:val="en-US"/>
        </w:rPr>
        <w:t xml:space="preserve"> </w:t>
      </w:r>
      <w:proofErr w:type="spellStart"/>
      <w:r w:rsidRPr="00E503A9">
        <w:rPr>
          <w:lang w:val="en-GB"/>
        </w:rPr>
        <w:t>Heide</w:t>
      </w:r>
      <w:proofErr w:type="spellEnd"/>
      <w:r w:rsidRPr="00E503A9">
        <w:rPr>
          <w:lang w:val="en-GB"/>
        </w:rPr>
        <w:t xml:space="preserve"> I., “Supranational action against sex discrimination: Equal pay and equal treatment in the European Union”, </w:t>
      </w:r>
      <w:r w:rsidRPr="00E503A9">
        <w:rPr>
          <w:i/>
          <w:lang w:val="en-GB"/>
        </w:rPr>
        <w:t xml:space="preserve">Int’l Lab. Rev. </w:t>
      </w:r>
      <w:r w:rsidRPr="00E503A9">
        <w:rPr>
          <w:lang w:val="en-GB"/>
        </w:rPr>
        <w:t>1999,</w:t>
      </w:r>
      <w:r>
        <w:rPr>
          <w:lang w:val="en-GB"/>
        </w:rPr>
        <w:t xml:space="preserve"> 393; </w:t>
      </w:r>
      <w:r w:rsidRPr="00E301EF">
        <w:rPr>
          <w:lang w:val="en-US"/>
        </w:rPr>
        <w:t xml:space="preserve">Smith I. and Baker A., </w:t>
      </w:r>
      <w:r w:rsidRPr="00E301EF">
        <w:rPr>
          <w:i/>
          <w:lang w:val="en-US"/>
        </w:rPr>
        <w:t>Smith &amp; Wood’s employment law</w:t>
      </w:r>
      <w:r w:rsidRPr="00E301EF">
        <w:rPr>
          <w:lang w:val="en-US"/>
        </w:rPr>
        <w:t>, Oxford, Oxford University Press, 2010,</w:t>
      </w:r>
      <w:r>
        <w:rPr>
          <w:lang w:val="en-US"/>
        </w:rPr>
        <w:t xml:space="preserve"> 277. </w:t>
      </w:r>
    </w:p>
  </w:footnote>
  <w:footnote w:id="362">
    <w:p w:rsidR="00551E68" w:rsidRPr="00ED5215" w:rsidRDefault="00551E68" w:rsidP="005869B3">
      <w:pPr>
        <w:pStyle w:val="Voetnoottekst"/>
        <w:jc w:val="both"/>
        <w:rPr>
          <w:bCs/>
          <w:lang w:val="en-US"/>
        </w:rPr>
      </w:pPr>
      <w:r>
        <w:rPr>
          <w:rStyle w:val="Voetnootmarkering"/>
        </w:rPr>
        <w:footnoteRef/>
      </w:r>
      <w:r>
        <w:rPr>
          <w:lang w:val="en-US"/>
        </w:rPr>
        <w:t xml:space="preserve"> </w:t>
      </w:r>
      <w:r w:rsidRPr="00ED5215">
        <w:rPr>
          <w:lang w:val="en-US"/>
        </w:rPr>
        <w:t>See for example: ECJ C-58/81,</w:t>
      </w:r>
      <w:r w:rsidRPr="00ED5215">
        <w:rPr>
          <w:b/>
          <w:bCs/>
          <w:lang w:val="en-US"/>
        </w:rPr>
        <w:t xml:space="preserve"> </w:t>
      </w:r>
      <w:r w:rsidRPr="00ED5215">
        <w:rPr>
          <w:bCs/>
          <w:i/>
          <w:lang w:val="en-US"/>
        </w:rPr>
        <w:t>Commission of the European Communities v</w:t>
      </w:r>
      <w:r>
        <w:rPr>
          <w:bCs/>
          <w:i/>
          <w:lang w:val="en-US"/>
        </w:rPr>
        <w:t>.</w:t>
      </w:r>
      <w:r w:rsidRPr="00ED5215">
        <w:rPr>
          <w:bCs/>
          <w:i/>
          <w:lang w:val="en-US"/>
        </w:rPr>
        <w:t xml:space="preserve"> Luxembourg</w:t>
      </w:r>
      <w:r w:rsidRPr="00ED5215">
        <w:rPr>
          <w:bCs/>
          <w:lang w:val="en-US"/>
        </w:rPr>
        <w:t xml:space="preserve">, 1982; ECJ C-61/81, </w:t>
      </w:r>
      <w:r w:rsidRPr="00ED5215">
        <w:rPr>
          <w:bCs/>
          <w:i/>
          <w:lang w:val="en-US"/>
        </w:rPr>
        <w:t>Commission of the European Communities v. United Kingdom</w:t>
      </w:r>
      <w:r w:rsidRPr="00ED5215">
        <w:rPr>
          <w:bCs/>
          <w:lang w:val="en-US"/>
        </w:rPr>
        <w:t xml:space="preserve">, 1982; ECJ C-173/91, </w:t>
      </w:r>
      <w:r w:rsidRPr="00ED5215">
        <w:rPr>
          <w:bCs/>
          <w:i/>
          <w:lang w:val="en-US"/>
        </w:rPr>
        <w:t>Commission of the European Communities v. Belgium</w:t>
      </w:r>
      <w:r w:rsidRPr="00ED5215">
        <w:rPr>
          <w:bCs/>
          <w:lang w:val="en-US"/>
        </w:rPr>
        <w:t>, 1993</w:t>
      </w:r>
      <w:r>
        <w:rPr>
          <w:bCs/>
          <w:lang w:val="en-US"/>
        </w:rPr>
        <w:t xml:space="preserve">. </w:t>
      </w:r>
    </w:p>
  </w:footnote>
  <w:footnote w:id="363">
    <w:p w:rsidR="00551E68" w:rsidRPr="004C0907" w:rsidRDefault="00551E68" w:rsidP="005869B3">
      <w:pPr>
        <w:pStyle w:val="Voetnoottekst"/>
        <w:jc w:val="both"/>
      </w:pPr>
      <w:r>
        <w:rPr>
          <w:rStyle w:val="Voetnootmarkering"/>
        </w:rPr>
        <w:footnoteRef/>
      </w:r>
      <w:r w:rsidRPr="004C0907">
        <w:t xml:space="preserve"> ECJ C-7/93, </w:t>
      </w:r>
      <w:r w:rsidRPr="004C0907">
        <w:rPr>
          <w:i/>
        </w:rPr>
        <w:t xml:space="preserve">Bestuur van het Algemeen Burgerlijk Pensioenfonds v. G.A. </w:t>
      </w:r>
      <w:proofErr w:type="spellStart"/>
      <w:r w:rsidRPr="004C0907">
        <w:rPr>
          <w:i/>
        </w:rPr>
        <w:t>Beune</w:t>
      </w:r>
      <w:proofErr w:type="spellEnd"/>
      <w:r>
        <w:t xml:space="preserve">, 1994, </w:t>
      </w:r>
      <w:proofErr w:type="spellStart"/>
      <w:r>
        <w:t>paras</w:t>
      </w:r>
      <w:proofErr w:type="spellEnd"/>
      <w:r>
        <w:t xml:space="preserve"> 23-24. </w:t>
      </w:r>
    </w:p>
  </w:footnote>
  <w:footnote w:id="364">
    <w:p w:rsidR="00551E68" w:rsidRPr="00046AE4" w:rsidRDefault="00551E68" w:rsidP="005869B3">
      <w:pPr>
        <w:pStyle w:val="Voetnoottekst"/>
        <w:jc w:val="both"/>
        <w:rPr>
          <w:iCs/>
          <w:lang w:val="en-US"/>
        </w:rPr>
      </w:pPr>
      <w:r>
        <w:rPr>
          <w:rStyle w:val="Voetnootmarkering"/>
        </w:rPr>
        <w:footnoteRef/>
      </w:r>
      <w:r>
        <w:rPr>
          <w:iCs/>
          <w:lang w:val="en-US"/>
        </w:rPr>
        <w:t xml:space="preserve"> Recital 9 Preamble </w:t>
      </w:r>
      <w:r w:rsidRPr="00C304EB">
        <w:rPr>
          <w:bCs/>
          <w:iCs/>
          <w:lang w:val="en-US"/>
        </w:rPr>
        <w:t>Directive 2006/54/EC</w:t>
      </w:r>
      <w:r>
        <w:rPr>
          <w:iCs/>
          <w:lang w:val="en-US"/>
        </w:rPr>
        <w:t xml:space="preserve">; </w:t>
      </w:r>
      <w:r w:rsidRPr="00BD4368">
        <w:rPr>
          <w:iCs/>
          <w:lang w:val="en-US"/>
        </w:rPr>
        <w:t xml:space="preserve">ECJ C-400/93, </w:t>
      </w:r>
      <w:proofErr w:type="spellStart"/>
      <w:r w:rsidRPr="00BD4368">
        <w:rPr>
          <w:i/>
          <w:iCs/>
          <w:lang w:val="en-US"/>
        </w:rPr>
        <w:t>Specialarbejderforbundet</w:t>
      </w:r>
      <w:proofErr w:type="spellEnd"/>
      <w:r w:rsidRPr="00BD4368">
        <w:rPr>
          <w:i/>
          <w:iCs/>
          <w:lang w:val="en-US"/>
        </w:rPr>
        <w:t xml:space="preserve"> I </w:t>
      </w:r>
      <w:proofErr w:type="spellStart"/>
      <w:r w:rsidRPr="00BD4368">
        <w:rPr>
          <w:i/>
          <w:iCs/>
          <w:lang w:val="en-US"/>
        </w:rPr>
        <w:t>Danmark</w:t>
      </w:r>
      <w:proofErr w:type="spellEnd"/>
      <w:r w:rsidRPr="00BD4368">
        <w:rPr>
          <w:i/>
          <w:iCs/>
          <w:lang w:val="en-US"/>
        </w:rPr>
        <w:t xml:space="preserve"> v. Dansk </w:t>
      </w:r>
      <w:proofErr w:type="spellStart"/>
      <w:r w:rsidRPr="00BD4368">
        <w:rPr>
          <w:i/>
          <w:iCs/>
          <w:lang w:val="en-US"/>
        </w:rPr>
        <w:t>Industri</w:t>
      </w:r>
      <w:proofErr w:type="spellEnd"/>
      <w:r w:rsidRPr="00BD4368">
        <w:rPr>
          <w:i/>
          <w:iCs/>
          <w:lang w:val="en-US"/>
        </w:rPr>
        <w:t xml:space="preserve"> acting for Royal Copenhagen A/S</w:t>
      </w:r>
      <w:r w:rsidRPr="00BD4368">
        <w:rPr>
          <w:iCs/>
          <w:lang w:val="en-US"/>
        </w:rPr>
        <w:t>, 1995</w:t>
      </w:r>
      <w:r>
        <w:rPr>
          <w:iCs/>
          <w:lang w:val="en-US"/>
        </w:rPr>
        <w:t xml:space="preserve">, paras 32-33. </w:t>
      </w:r>
    </w:p>
  </w:footnote>
  <w:footnote w:id="365">
    <w:p w:rsidR="00551E68" w:rsidRPr="007F7C2E" w:rsidRDefault="00551E68" w:rsidP="005869B3">
      <w:pPr>
        <w:pStyle w:val="Voetnoottekst"/>
        <w:jc w:val="both"/>
        <w:rPr>
          <w:bCs/>
          <w:lang w:val="en-US"/>
        </w:rPr>
      </w:pPr>
      <w:r>
        <w:rPr>
          <w:rStyle w:val="Voetnootmarkering"/>
        </w:rPr>
        <w:footnoteRef/>
      </w:r>
      <w:r w:rsidRPr="00DA361F">
        <w:rPr>
          <w:lang w:val="en-US"/>
        </w:rPr>
        <w:t xml:space="preserve"> </w:t>
      </w:r>
      <w:r w:rsidRPr="007F7C2E">
        <w:rPr>
          <w:bCs/>
          <w:lang w:val="en-US"/>
        </w:rPr>
        <w:t xml:space="preserve">ECJ C-61/81, </w:t>
      </w:r>
      <w:r w:rsidRPr="007F7C2E">
        <w:rPr>
          <w:bCs/>
          <w:i/>
          <w:lang w:val="en-US"/>
        </w:rPr>
        <w:t>Commission of the European Communities v. United Kingdom</w:t>
      </w:r>
      <w:r>
        <w:rPr>
          <w:bCs/>
          <w:lang w:val="en-US"/>
        </w:rPr>
        <w:t xml:space="preserve">, 1982, para. 4. </w:t>
      </w:r>
    </w:p>
  </w:footnote>
  <w:footnote w:id="366">
    <w:p w:rsidR="00551E68" w:rsidRPr="007F7C2E" w:rsidRDefault="00551E68" w:rsidP="005869B3">
      <w:pPr>
        <w:pStyle w:val="Voetnoottekst"/>
        <w:jc w:val="both"/>
        <w:rPr>
          <w:lang w:val="en-GB"/>
        </w:rPr>
      </w:pPr>
      <w:r>
        <w:rPr>
          <w:rStyle w:val="Voetnootmarkering"/>
        </w:rPr>
        <w:footnoteRef/>
      </w:r>
      <w:r w:rsidRPr="00DA361F">
        <w:rPr>
          <w:lang w:val="en-US"/>
        </w:rPr>
        <w:t xml:space="preserve"> </w:t>
      </w:r>
      <w:r>
        <w:rPr>
          <w:lang w:val="en-US"/>
        </w:rPr>
        <w:t xml:space="preserve">Article 4(2) </w:t>
      </w:r>
      <w:r w:rsidRPr="007F7C2E">
        <w:rPr>
          <w:bCs/>
          <w:lang w:val="en-US"/>
        </w:rPr>
        <w:t>Directi</w:t>
      </w:r>
      <w:r>
        <w:rPr>
          <w:bCs/>
          <w:lang w:val="en-US"/>
        </w:rPr>
        <w:t xml:space="preserve">ve 2006/54/EC. </w:t>
      </w:r>
    </w:p>
  </w:footnote>
  <w:footnote w:id="367">
    <w:p w:rsidR="00551E68" w:rsidRPr="00777DC6" w:rsidRDefault="00551E68" w:rsidP="005869B3">
      <w:pPr>
        <w:pStyle w:val="Voetnoottekst"/>
        <w:jc w:val="both"/>
        <w:rPr>
          <w:lang w:val="en-US"/>
        </w:rPr>
      </w:pPr>
      <w:r>
        <w:rPr>
          <w:rStyle w:val="Voetnootmarkering"/>
        </w:rPr>
        <w:footnoteRef/>
      </w:r>
      <w:r w:rsidRPr="00777DC6">
        <w:rPr>
          <w:lang w:val="en-US"/>
        </w:rPr>
        <w:t xml:space="preserve"> ECJ C-43/75, </w:t>
      </w:r>
      <w:proofErr w:type="spellStart"/>
      <w:r w:rsidRPr="00777DC6">
        <w:rPr>
          <w:i/>
          <w:lang w:val="en-US"/>
        </w:rPr>
        <w:t>Defrenne</w:t>
      </w:r>
      <w:proofErr w:type="spellEnd"/>
      <w:r w:rsidRPr="00777DC6">
        <w:rPr>
          <w:i/>
          <w:lang w:val="en-US"/>
        </w:rPr>
        <w:t xml:space="preserve"> II</w:t>
      </w:r>
      <w:r w:rsidRPr="00777DC6">
        <w:rPr>
          <w:lang w:val="en-US"/>
        </w:rPr>
        <w:t xml:space="preserve">, 1976, para. 21; ECJ C-256/01, </w:t>
      </w:r>
      <w:r w:rsidRPr="00777DC6">
        <w:rPr>
          <w:i/>
          <w:lang w:val="en-US"/>
        </w:rPr>
        <w:t xml:space="preserve">Debra </w:t>
      </w:r>
      <w:proofErr w:type="spellStart"/>
      <w:r w:rsidRPr="00777DC6">
        <w:rPr>
          <w:i/>
          <w:lang w:val="en-US"/>
        </w:rPr>
        <w:t>Allonby</w:t>
      </w:r>
      <w:proofErr w:type="spellEnd"/>
      <w:r w:rsidRPr="00777DC6">
        <w:rPr>
          <w:i/>
          <w:lang w:val="en-US"/>
        </w:rPr>
        <w:t xml:space="preserve"> v. </w:t>
      </w:r>
      <w:proofErr w:type="spellStart"/>
      <w:r w:rsidRPr="00777DC6">
        <w:rPr>
          <w:i/>
          <w:lang w:val="en-US"/>
        </w:rPr>
        <w:t>Accrington</w:t>
      </w:r>
      <w:proofErr w:type="spellEnd"/>
      <w:r w:rsidRPr="00777DC6">
        <w:rPr>
          <w:i/>
          <w:lang w:val="en-US"/>
        </w:rPr>
        <w:t xml:space="preserve"> &amp; </w:t>
      </w:r>
      <w:proofErr w:type="spellStart"/>
      <w:r w:rsidRPr="00777DC6">
        <w:rPr>
          <w:i/>
          <w:lang w:val="en-US"/>
        </w:rPr>
        <w:t>Rossendale</w:t>
      </w:r>
      <w:proofErr w:type="spellEnd"/>
      <w:r w:rsidRPr="00777DC6">
        <w:rPr>
          <w:i/>
          <w:lang w:val="en-US"/>
        </w:rPr>
        <w:t xml:space="preserve"> College</w:t>
      </w:r>
      <w:r w:rsidRPr="00777DC6">
        <w:rPr>
          <w:lang w:val="en-US"/>
        </w:rPr>
        <w:t xml:space="preserve">, 2004, para. 45; </w:t>
      </w:r>
      <w:r w:rsidRPr="00E07D78">
        <w:rPr>
          <w:lang w:val="en-US"/>
        </w:rPr>
        <w:t xml:space="preserve">Barnard C., </w:t>
      </w:r>
      <w:r w:rsidRPr="00E07D78">
        <w:rPr>
          <w:i/>
          <w:lang w:val="en-US"/>
        </w:rPr>
        <w:t xml:space="preserve">EU Employment Law, </w:t>
      </w:r>
      <w:r w:rsidRPr="00E07D78">
        <w:rPr>
          <w:lang w:val="en-US"/>
        </w:rPr>
        <w:t>Oxford, Oxfor</w:t>
      </w:r>
      <w:r>
        <w:rPr>
          <w:lang w:val="en-US"/>
        </w:rPr>
        <w:t xml:space="preserve">d University Press, 2012, 309. </w:t>
      </w:r>
    </w:p>
  </w:footnote>
  <w:footnote w:id="368">
    <w:p w:rsidR="00551E68" w:rsidRPr="00D37BB1" w:rsidRDefault="00551E68" w:rsidP="005869B3">
      <w:pPr>
        <w:pStyle w:val="Voetnoottekst"/>
        <w:jc w:val="both"/>
        <w:rPr>
          <w:lang w:val="en-US"/>
        </w:rPr>
      </w:pPr>
      <w:r>
        <w:rPr>
          <w:rStyle w:val="Voetnootmarkering"/>
        </w:rPr>
        <w:footnoteRef/>
      </w:r>
      <w:r w:rsidRPr="00777DC6">
        <w:rPr>
          <w:lang w:val="it-IT"/>
        </w:rPr>
        <w:t xml:space="preserve"> </w:t>
      </w:r>
      <w:r w:rsidRPr="00777DC6">
        <w:rPr>
          <w:lang w:val="it-IT"/>
        </w:rPr>
        <w:t xml:space="preserve">ECJ C-333/97, </w:t>
      </w:r>
      <w:r w:rsidRPr="00777DC6">
        <w:rPr>
          <w:i/>
          <w:lang w:val="it-IT"/>
        </w:rPr>
        <w:t>Susanne Lewen v. Lothar Denda</w:t>
      </w:r>
      <w:r w:rsidRPr="00777DC6">
        <w:rPr>
          <w:lang w:val="it-IT"/>
        </w:rPr>
        <w:t xml:space="preserve">, 1999, para. </w:t>
      </w:r>
      <w:r w:rsidRPr="00D37BB1">
        <w:rPr>
          <w:lang w:val="en-US"/>
        </w:rPr>
        <w:t xml:space="preserve">19; </w:t>
      </w:r>
      <w:r w:rsidRPr="00DA361F">
        <w:rPr>
          <w:lang w:val="en-US"/>
        </w:rPr>
        <w:t xml:space="preserve">Barnard C., </w:t>
      </w:r>
      <w:r w:rsidRPr="00DA361F">
        <w:rPr>
          <w:i/>
          <w:lang w:val="en-US"/>
        </w:rPr>
        <w:t xml:space="preserve">EU Employment Law, </w:t>
      </w:r>
      <w:r w:rsidRPr="00DA361F">
        <w:rPr>
          <w:lang w:val="en-US"/>
        </w:rPr>
        <w:t>Oxford, Oxfor</w:t>
      </w:r>
      <w:r>
        <w:rPr>
          <w:lang w:val="en-US"/>
        </w:rPr>
        <w:t>d University Press, 2012, 300; Ellis E. and Watson P., op. cit.</w:t>
      </w:r>
      <w:r w:rsidRPr="003E0A49">
        <w:rPr>
          <w:lang w:val="en-US"/>
        </w:rPr>
        <w:t>,</w:t>
      </w:r>
      <w:r>
        <w:rPr>
          <w:lang w:val="en-US"/>
        </w:rPr>
        <w:t xml:space="preserve"> 182. </w:t>
      </w:r>
    </w:p>
  </w:footnote>
  <w:footnote w:id="369">
    <w:p w:rsidR="00551E68" w:rsidRPr="00AD3F21" w:rsidRDefault="00551E68" w:rsidP="005869B3">
      <w:pPr>
        <w:pStyle w:val="Voetnoottekst"/>
        <w:jc w:val="both"/>
        <w:rPr>
          <w:lang w:val="en-US"/>
        </w:rPr>
      </w:pPr>
      <w:r>
        <w:rPr>
          <w:rStyle w:val="Voetnootmarkering"/>
        </w:rPr>
        <w:footnoteRef/>
      </w:r>
      <w:r w:rsidRPr="00352351">
        <w:rPr>
          <w:lang w:val="de-DE"/>
        </w:rPr>
        <w:t xml:space="preserve"> </w:t>
      </w:r>
      <w:r w:rsidRPr="002D266A">
        <w:rPr>
          <w:lang w:val="de-DE"/>
        </w:rPr>
        <w:t xml:space="preserve">ECJ C-285/02, </w:t>
      </w:r>
      <w:r w:rsidRPr="002D266A">
        <w:rPr>
          <w:i/>
          <w:lang w:val="de-DE"/>
        </w:rPr>
        <w:t>Elsner-</w:t>
      </w:r>
      <w:proofErr w:type="spellStart"/>
      <w:r w:rsidRPr="002D266A">
        <w:rPr>
          <w:i/>
          <w:lang w:val="de-DE"/>
        </w:rPr>
        <w:t>Lakeberg</w:t>
      </w:r>
      <w:proofErr w:type="spellEnd"/>
      <w:r w:rsidRPr="002D266A">
        <w:rPr>
          <w:i/>
          <w:lang w:val="de-DE"/>
        </w:rPr>
        <w:t xml:space="preserve"> v. Land Nordrhein-Westfalen</w:t>
      </w:r>
      <w:r>
        <w:rPr>
          <w:lang w:val="de-DE"/>
        </w:rPr>
        <w:t xml:space="preserve">, 2004, </w:t>
      </w:r>
      <w:proofErr w:type="spellStart"/>
      <w:r>
        <w:rPr>
          <w:lang w:val="de-DE"/>
        </w:rPr>
        <w:t>para</w:t>
      </w:r>
      <w:proofErr w:type="spellEnd"/>
      <w:r>
        <w:rPr>
          <w:lang w:val="de-DE"/>
        </w:rPr>
        <w:t xml:space="preserve">. </w:t>
      </w:r>
      <w:r w:rsidRPr="00AD3F21">
        <w:rPr>
          <w:lang w:val="en-US"/>
        </w:rPr>
        <w:t xml:space="preserve">16. </w:t>
      </w:r>
    </w:p>
  </w:footnote>
  <w:footnote w:id="370">
    <w:p w:rsidR="00551E68" w:rsidRPr="002D266A" w:rsidRDefault="00551E68" w:rsidP="005869B3">
      <w:pPr>
        <w:pStyle w:val="Voetnoottekst"/>
        <w:jc w:val="both"/>
        <w:rPr>
          <w:lang w:val="en-US"/>
        </w:rPr>
      </w:pPr>
      <w:r>
        <w:rPr>
          <w:rStyle w:val="Voetnootmarkering"/>
        </w:rPr>
        <w:footnoteRef/>
      </w:r>
      <w:r w:rsidRPr="002D266A">
        <w:rPr>
          <w:lang w:val="en-US"/>
        </w:rPr>
        <w:t xml:space="preserve"> ECJ C-187/98, </w:t>
      </w:r>
      <w:r w:rsidRPr="002D266A">
        <w:rPr>
          <w:i/>
          <w:lang w:val="en-US"/>
        </w:rPr>
        <w:t>Commission of the European Communities v. Greece</w:t>
      </w:r>
      <w:r w:rsidRPr="002D266A">
        <w:rPr>
          <w:lang w:val="en-US"/>
        </w:rPr>
        <w:t>, 1999</w:t>
      </w:r>
      <w:r>
        <w:rPr>
          <w:lang w:val="en-US"/>
        </w:rPr>
        <w:t xml:space="preserve">, para. 41. </w:t>
      </w:r>
    </w:p>
  </w:footnote>
  <w:footnote w:id="371">
    <w:p w:rsidR="00551E68" w:rsidRPr="00C933D5" w:rsidRDefault="00551E68" w:rsidP="005869B3">
      <w:pPr>
        <w:pStyle w:val="Voetnoottekst"/>
        <w:jc w:val="both"/>
        <w:rPr>
          <w:bCs/>
          <w:lang w:val="en-US"/>
        </w:rPr>
      </w:pPr>
      <w:r>
        <w:rPr>
          <w:rStyle w:val="Voetnootmarkering"/>
        </w:rPr>
        <w:footnoteRef/>
      </w:r>
      <w:r w:rsidRPr="002D266A">
        <w:rPr>
          <w:lang w:val="en-US"/>
        </w:rPr>
        <w:t xml:space="preserve"> </w:t>
      </w:r>
      <w:r w:rsidRPr="00C933D5">
        <w:rPr>
          <w:lang w:val="en-US"/>
        </w:rPr>
        <w:t>ECJ C-58/81,</w:t>
      </w:r>
      <w:r w:rsidRPr="00C933D5">
        <w:rPr>
          <w:b/>
          <w:bCs/>
          <w:lang w:val="en-US"/>
        </w:rPr>
        <w:t xml:space="preserve"> </w:t>
      </w:r>
      <w:r w:rsidRPr="00C933D5">
        <w:rPr>
          <w:bCs/>
          <w:i/>
          <w:lang w:val="en-US"/>
        </w:rPr>
        <w:t>Commission of the European Communities v</w:t>
      </w:r>
      <w:r>
        <w:rPr>
          <w:bCs/>
          <w:i/>
          <w:lang w:val="en-US"/>
        </w:rPr>
        <w:t>.</w:t>
      </w:r>
      <w:r w:rsidRPr="00C933D5">
        <w:rPr>
          <w:bCs/>
          <w:i/>
          <w:lang w:val="en-US"/>
        </w:rPr>
        <w:t xml:space="preserve"> Luxembourg</w:t>
      </w:r>
      <w:r>
        <w:rPr>
          <w:bCs/>
          <w:lang w:val="en-US"/>
        </w:rPr>
        <w:t xml:space="preserve">, 1982, paras 1-5. </w:t>
      </w:r>
    </w:p>
  </w:footnote>
  <w:footnote w:id="372">
    <w:p w:rsidR="00551E68" w:rsidRPr="00FF4054" w:rsidRDefault="00551E68" w:rsidP="005869B3">
      <w:pPr>
        <w:pStyle w:val="Voetnoottekst"/>
        <w:jc w:val="both"/>
        <w:rPr>
          <w:u w:val="single"/>
          <w:lang w:val="de-DE"/>
        </w:rPr>
      </w:pPr>
      <w:r>
        <w:rPr>
          <w:rStyle w:val="Voetnootmarkering"/>
        </w:rPr>
        <w:footnoteRef/>
      </w:r>
      <w:r w:rsidRPr="002D266A">
        <w:rPr>
          <w:lang w:val="en-US"/>
        </w:rPr>
        <w:t xml:space="preserve"> ECJ C-218/98, </w:t>
      </w:r>
      <w:proofErr w:type="spellStart"/>
      <w:r w:rsidRPr="002D266A">
        <w:rPr>
          <w:i/>
          <w:lang w:val="en-US"/>
        </w:rPr>
        <w:t>Dabo</w:t>
      </w:r>
      <w:proofErr w:type="spellEnd"/>
      <w:r w:rsidRPr="002D266A">
        <w:rPr>
          <w:i/>
          <w:lang w:val="en-US"/>
        </w:rPr>
        <w:t xml:space="preserve"> </w:t>
      </w:r>
      <w:proofErr w:type="spellStart"/>
      <w:r w:rsidRPr="002D266A">
        <w:rPr>
          <w:i/>
          <w:lang w:val="en-US"/>
        </w:rPr>
        <w:t>Abdoulay</w:t>
      </w:r>
      <w:proofErr w:type="spellEnd"/>
      <w:r w:rsidRPr="002D266A">
        <w:rPr>
          <w:i/>
          <w:lang w:val="en-US"/>
        </w:rPr>
        <w:t xml:space="preserve"> and Others v. Renault SA</w:t>
      </w:r>
      <w:r>
        <w:rPr>
          <w:lang w:val="en-US"/>
        </w:rPr>
        <w:t xml:space="preserve">, 1999, para. </w:t>
      </w:r>
      <w:r w:rsidRPr="00FF4054">
        <w:rPr>
          <w:lang w:val="de-DE"/>
        </w:rPr>
        <w:t xml:space="preserve">14. </w:t>
      </w:r>
    </w:p>
  </w:footnote>
  <w:footnote w:id="373">
    <w:p w:rsidR="00551E68" w:rsidRPr="00352351" w:rsidRDefault="00551E68" w:rsidP="005869B3">
      <w:pPr>
        <w:pStyle w:val="Voetnoottekst"/>
        <w:jc w:val="both"/>
        <w:rPr>
          <w:lang w:val="de-DE"/>
        </w:rPr>
      </w:pPr>
      <w:r>
        <w:rPr>
          <w:rStyle w:val="Voetnootmarkering"/>
        </w:rPr>
        <w:footnoteRef/>
      </w:r>
      <w:r>
        <w:rPr>
          <w:lang w:val="de-DE"/>
        </w:rPr>
        <w:t xml:space="preserve"> </w:t>
      </w:r>
      <w:r w:rsidRPr="00263328">
        <w:rPr>
          <w:lang w:val="de-DE"/>
        </w:rPr>
        <w:t xml:space="preserve">ECJ C-171/88, </w:t>
      </w:r>
      <w:r w:rsidRPr="00263328">
        <w:rPr>
          <w:i/>
          <w:lang w:val="de-DE"/>
        </w:rPr>
        <w:t xml:space="preserve">Ingrid </w:t>
      </w:r>
      <w:proofErr w:type="spellStart"/>
      <w:r w:rsidRPr="00263328">
        <w:rPr>
          <w:i/>
          <w:lang w:val="de-DE"/>
        </w:rPr>
        <w:t>Rinner</w:t>
      </w:r>
      <w:proofErr w:type="spellEnd"/>
      <w:r w:rsidRPr="00263328">
        <w:rPr>
          <w:i/>
          <w:lang w:val="de-DE"/>
        </w:rPr>
        <w:t>-Kuhn v. FWW spezial-</w:t>
      </w:r>
      <w:proofErr w:type="spellStart"/>
      <w:r w:rsidRPr="00263328">
        <w:rPr>
          <w:i/>
          <w:lang w:val="de-DE"/>
        </w:rPr>
        <w:t>gebaudereinigung</w:t>
      </w:r>
      <w:proofErr w:type="spellEnd"/>
      <w:r w:rsidRPr="00263328">
        <w:rPr>
          <w:i/>
          <w:lang w:val="de-DE"/>
        </w:rPr>
        <w:t xml:space="preserve"> GmbH &amp; Co. KG</w:t>
      </w:r>
      <w:r>
        <w:rPr>
          <w:lang w:val="de-DE"/>
        </w:rPr>
        <w:t xml:space="preserve">, 1989, </w:t>
      </w:r>
      <w:proofErr w:type="spellStart"/>
      <w:r>
        <w:rPr>
          <w:lang w:val="de-DE"/>
        </w:rPr>
        <w:t>para</w:t>
      </w:r>
      <w:proofErr w:type="spellEnd"/>
      <w:r>
        <w:rPr>
          <w:lang w:val="de-DE"/>
        </w:rPr>
        <w:t xml:space="preserve">. 10. </w:t>
      </w:r>
    </w:p>
  </w:footnote>
  <w:footnote w:id="374">
    <w:p w:rsidR="00551E68" w:rsidRPr="00263328" w:rsidRDefault="00551E68" w:rsidP="005869B3">
      <w:pPr>
        <w:pStyle w:val="Voetnoottekst"/>
        <w:jc w:val="both"/>
        <w:rPr>
          <w:lang w:val="de-DE"/>
        </w:rPr>
      </w:pPr>
      <w:r>
        <w:rPr>
          <w:rStyle w:val="Voetnootmarkering"/>
        </w:rPr>
        <w:footnoteRef/>
      </w:r>
      <w:r w:rsidRPr="00263328">
        <w:rPr>
          <w:lang w:val="de-DE"/>
        </w:rPr>
        <w:t xml:space="preserve"> </w:t>
      </w:r>
      <w:r w:rsidRPr="00C46E2C">
        <w:rPr>
          <w:lang w:val="de-DE"/>
        </w:rPr>
        <w:t xml:space="preserve">ECJ C-360/90, </w:t>
      </w:r>
      <w:r w:rsidRPr="00C46E2C">
        <w:rPr>
          <w:i/>
          <w:lang w:val="de-DE"/>
        </w:rPr>
        <w:t>Arbeiterwohlfahrt der Stadt Berlin v. Monika Botel</w:t>
      </w:r>
      <w:r>
        <w:rPr>
          <w:lang w:val="de-DE"/>
        </w:rPr>
        <w:t xml:space="preserve">, 1992, </w:t>
      </w:r>
      <w:proofErr w:type="spellStart"/>
      <w:r>
        <w:rPr>
          <w:lang w:val="de-DE"/>
        </w:rPr>
        <w:t>paras</w:t>
      </w:r>
      <w:proofErr w:type="spellEnd"/>
      <w:r>
        <w:rPr>
          <w:lang w:val="de-DE"/>
        </w:rPr>
        <w:t xml:space="preserve"> 11-15. </w:t>
      </w:r>
    </w:p>
  </w:footnote>
  <w:footnote w:id="375">
    <w:p w:rsidR="00551E68" w:rsidRPr="00E1718C" w:rsidRDefault="00551E68" w:rsidP="005869B3">
      <w:pPr>
        <w:pStyle w:val="Voetnoottekst"/>
        <w:jc w:val="both"/>
        <w:rPr>
          <w:lang w:val="de-DE"/>
        </w:rPr>
      </w:pPr>
      <w:r>
        <w:rPr>
          <w:rStyle w:val="Voetnootmarkering"/>
        </w:rPr>
        <w:footnoteRef/>
      </w:r>
      <w:r>
        <w:rPr>
          <w:lang w:val="de-DE"/>
        </w:rPr>
        <w:t xml:space="preserve"> </w:t>
      </w:r>
      <w:r w:rsidRPr="00E1718C">
        <w:rPr>
          <w:lang w:val="de-DE"/>
        </w:rPr>
        <w:t xml:space="preserve">ECJ C-270/97, </w:t>
      </w:r>
      <w:r w:rsidRPr="00E1718C">
        <w:rPr>
          <w:i/>
          <w:lang w:val="de-DE"/>
        </w:rPr>
        <w:t>Deutsche Post AG v. Elisabeth Sievers</w:t>
      </w:r>
      <w:r>
        <w:rPr>
          <w:lang w:val="de-DE"/>
        </w:rPr>
        <w:t xml:space="preserve">, 2000, </w:t>
      </w:r>
      <w:proofErr w:type="spellStart"/>
      <w:r>
        <w:rPr>
          <w:lang w:val="de-DE"/>
        </w:rPr>
        <w:t>paras</w:t>
      </w:r>
      <w:proofErr w:type="spellEnd"/>
      <w:r>
        <w:rPr>
          <w:lang w:val="de-DE"/>
        </w:rPr>
        <w:t xml:space="preserve"> 55-57; </w:t>
      </w:r>
      <w:r w:rsidRPr="00E1718C">
        <w:rPr>
          <w:lang w:val="de-DE"/>
        </w:rPr>
        <w:t xml:space="preserve">ECJ C-50/96, </w:t>
      </w:r>
      <w:r w:rsidRPr="00E1718C">
        <w:rPr>
          <w:i/>
          <w:lang w:val="de-DE"/>
        </w:rPr>
        <w:t>Deutsche Telekom AG v. Lilli Schroder</w:t>
      </w:r>
      <w:r w:rsidRPr="00E1718C">
        <w:rPr>
          <w:lang w:val="de-DE"/>
        </w:rPr>
        <w:t xml:space="preserve">, 2000, </w:t>
      </w:r>
      <w:proofErr w:type="spellStart"/>
      <w:r w:rsidRPr="00E1718C">
        <w:rPr>
          <w:lang w:val="de-DE"/>
        </w:rPr>
        <w:t>paras</w:t>
      </w:r>
      <w:proofErr w:type="spellEnd"/>
      <w:r w:rsidRPr="00E1718C">
        <w:rPr>
          <w:lang w:val="de-DE"/>
        </w:rPr>
        <w:t xml:space="preserve"> 55-57; </w:t>
      </w:r>
      <w:proofErr w:type="spellStart"/>
      <w:r w:rsidRPr="00E1718C">
        <w:rPr>
          <w:lang w:val="de-DE"/>
        </w:rPr>
        <w:t>Burri</w:t>
      </w:r>
      <w:proofErr w:type="spellEnd"/>
      <w:r w:rsidRPr="00E1718C">
        <w:rPr>
          <w:lang w:val="de-DE"/>
        </w:rPr>
        <w:t xml:space="preserve"> S</w:t>
      </w:r>
      <w:r>
        <w:rPr>
          <w:lang w:val="de-DE"/>
        </w:rPr>
        <w:t>.</w:t>
      </w:r>
      <w:r w:rsidRPr="00E1718C">
        <w:rPr>
          <w:lang w:val="de-DE"/>
        </w:rPr>
        <w:t xml:space="preserve">, </w:t>
      </w:r>
      <w:r w:rsidRPr="00E1718C">
        <w:rPr>
          <w:i/>
          <w:lang w:val="de-DE"/>
        </w:rPr>
        <w:t xml:space="preserve">EU Gender </w:t>
      </w:r>
      <w:proofErr w:type="spellStart"/>
      <w:r w:rsidRPr="00E1718C">
        <w:rPr>
          <w:i/>
          <w:lang w:val="de-DE"/>
        </w:rPr>
        <w:t>Equality</w:t>
      </w:r>
      <w:proofErr w:type="spellEnd"/>
      <w:r w:rsidRPr="00E1718C">
        <w:rPr>
          <w:i/>
          <w:lang w:val="de-DE"/>
        </w:rPr>
        <w:t xml:space="preserve"> Law Update 2010</w:t>
      </w:r>
      <w:r w:rsidRPr="00E1718C">
        <w:rPr>
          <w:lang w:val="de-DE"/>
        </w:rPr>
        <w:t xml:space="preserve">, Luxembourg, Office </w:t>
      </w:r>
      <w:proofErr w:type="spellStart"/>
      <w:r w:rsidRPr="00E1718C">
        <w:rPr>
          <w:lang w:val="de-DE"/>
        </w:rPr>
        <w:t>for</w:t>
      </w:r>
      <w:proofErr w:type="spellEnd"/>
      <w:r w:rsidRPr="00E1718C">
        <w:rPr>
          <w:lang w:val="de-DE"/>
        </w:rPr>
        <w:t xml:space="preserve"> Official Publications </w:t>
      </w:r>
      <w:proofErr w:type="spellStart"/>
      <w:r w:rsidRPr="00E1718C">
        <w:rPr>
          <w:lang w:val="de-DE"/>
        </w:rPr>
        <w:t>of</w:t>
      </w:r>
      <w:proofErr w:type="spellEnd"/>
      <w:r w:rsidRPr="00E1718C">
        <w:rPr>
          <w:lang w:val="de-DE"/>
        </w:rPr>
        <w:t xml:space="preserve"> </w:t>
      </w:r>
      <w:proofErr w:type="spellStart"/>
      <w:r w:rsidRPr="00E1718C">
        <w:rPr>
          <w:lang w:val="de-DE"/>
        </w:rPr>
        <w:t>the</w:t>
      </w:r>
      <w:proofErr w:type="spellEnd"/>
      <w:r w:rsidRPr="00E1718C">
        <w:rPr>
          <w:lang w:val="de-DE"/>
        </w:rPr>
        <w:t xml:space="preserve"> European Union, 2010, 2. </w:t>
      </w:r>
    </w:p>
  </w:footnote>
  <w:footnote w:id="376">
    <w:p w:rsidR="00551E68" w:rsidRPr="00D62D5A" w:rsidRDefault="00551E68" w:rsidP="005869B3">
      <w:pPr>
        <w:pStyle w:val="Voetnoottekst"/>
        <w:jc w:val="both"/>
        <w:rPr>
          <w:lang w:val="en-US"/>
        </w:rPr>
      </w:pPr>
      <w:r>
        <w:rPr>
          <w:rStyle w:val="Voetnootmarkering"/>
        </w:rPr>
        <w:footnoteRef/>
      </w:r>
      <w:r>
        <w:rPr>
          <w:lang w:val="en-US"/>
        </w:rPr>
        <w:t xml:space="preserve"> See in particular: </w:t>
      </w:r>
      <w:r w:rsidRPr="00FF62AF">
        <w:rPr>
          <w:lang w:val="en-US"/>
        </w:rPr>
        <w:t xml:space="preserve">MacKinnon C., </w:t>
      </w:r>
      <w:r w:rsidRPr="00FF62AF">
        <w:rPr>
          <w:i/>
          <w:lang w:val="en-US"/>
        </w:rPr>
        <w:t>Sexual Harassment of Working Women</w:t>
      </w:r>
      <w:r w:rsidRPr="00FF62AF">
        <w:rPr>
          <w:lang w:val="en-US"/>
        </w:rPr>
        <w:t xml:space="preserve">, New Haven, Yale University Press, 1979, 312 p. </w:t>
      </w:r>
    </w:p>
  </w:footnote>
  <w:footnote w:id="377">
    <w:p w:rsidR="00551E68" w:rsidRPr="00DD6BAB" w:rsidRDefault="00551E68" w:rsidP="005869B3">
      <w:pPr>
        <w:pStyle w:val="Voetnoottekst"/>
        <w:jc w:val="both"/>
        <w:rPr>
          <w:lang w:val="en-US"/>
        </w:rPr>
      </w:pPr>
      <w:r>
        <w:rPr>
          <w:rStyle w:val="Voetnootmarkering"/>
        </w:rPr>
        <w:footnoteRef/>
      </w:r>
      <w:r w:rsidRPr="00E245F3">
        <w:rPr>
          <w:lang w:val="en-US"/>
        </w:rPr>
        <w:t xml:space="preserve"> </w:t>
      </w:r>
      <w:r w:rsidRPr="008F10AF">
        <w:rPr>
          <w:lang w:val="en-US"/>
        </w:rPr>
        <w:t>Meritor Savings Bank v. Vinson, 477 U.S. 57 (1986)</w:t>
      </w:r>
      <w:r>
        <w:rPr>
          <w:lang w:val="en-US"/>
        </w:rPr>
        <w:t xml:space="preserve">; Siegel R., “A Short History of Sexual Harassment” in </w:t>
      </w:r>
      <w:r w:rsidRPr="00DD6BAB">
        <w:rPr>
          <w:lang w:val="en-US"/>
        </w:rPr>
        <w:t xml:space="preserve">MacKinnon C. and Siegel R. (eds.), </w:t>
      </w:r>
      <w:r w:rsidRPr="00DD6BAB">
        <w:rPr>
          <w:i/>
          <w:lang w:val="en-US"/>
        </w:rPr>
        <w:t>Directions in Sexual Harassment Law</w:t>
      </w:r>
      <w:r w:rsidRPr="00DD6BAB">
        <w:rPr>
          <w:lang w:val="en-US"/>
        </w:rPr>
        <w:t>, New Haven, Yale University Press, 2004,</w:t>
      </w:r>
      <w:r>
        <w:rPr>
          <w:lang w:val="en-US"/>
        </w:rPr>
        <w:t xml:space="preserve"> 8. </w:t>
      </w:r>
    </w:p>
  </w:footnote>
  <w:footnote w:id="378">
    <w:p w:rsidR="00551E68" w:rsidRPr="00B41E46" w:rsidRDefault="00551E68" w:rsidP="005869B3">
      <w:pPr>
        <w:pStyle w:val="Voetnoottekst"/>
        <w:jc w:val="both"/>
        <w:rPr>
          <w:lang w:val="en-US"/>
        </w:rPr>
      </w:pPr>
      <w:r>
        <w:rPr>
          <w:rStyle w:val="Voetnootmarkering"/>
        </w:rPr>
        <w:footnoteRef/>
      </w:r>
      <w:r>
        <w:rPr>
          <w:lang w:val="en-US"/>
        </w:rPr>
        <w:t xml:space="preserve"> See for example: </w:t>
      </w:r>
      <w:r w:rsidRPr="005B1FBF">
        <w:rPr>
          <w:lang w:val="en-US"/>
        </w:rPr>
        <w:t>Weeks v. Baker &amp; McKenzie, 63 Cal. App. 4</w:t>
      </w:r>
      <w:r w:rsidRPr="005B1FBF">
        <w:rPr>
          <w:vertAlign w:val="superscript"/>
          <w:lang w:val="en-US"/>
        </w:rPr>
        <w:t>th</w:t>
      </w:r>
      <w:r w:rsidRPr="005B1FBF">
        <w:rPr>
          <w:lang w:val="en-US"/>
        </w:rPr>
        <w:t xml:space="preserve"> 1128 (1998).</w:t>
      </w:r>
      <w:r>
        <w:rPr>
          <w:lang w:val="en-US"/>
        </w:rPr>
        <w:t xml:space="preserve"> A lower court awarded no less than $ 7.</w:t>
      </w:r>
      <w:r w:rsidRPr="00E96391">
        <w:rPr>
          <w:lang w:val="en-US"/>
        </w:rPr>
        <w:t>1 million to a</w:t>
      </w:r>
      <w:r>
        <w:rPr>
          <w:lang w:val="en-US"/>
        </w:rPr>
        <w:t xml:space="preserve"> secretary who was sexually harassed. The appeals court reduced the amount of the damages to $ 3.</w:t>
      </w:r>
      <w:r w:rsidRPr="00E4294E">
        <w:rPr>
          <w:lang w:val="en-US"/>
        </w:rPr>
        <w:t>775 million</w:t>
      </w:r>
      <w:r>
        <w:rPr>
          <w:lang w:val="en-US"/>
        </w:rPr>
        <w:t xml:space="preserve">. </w:t>
      </w:r>
      <w:r>
        <w:t xml:space="preserve">Engels C., “De gelijke behandeling van mannen en vrouwen, een Europees en Amerikaans rechtelijk perspectief” in </w:t>
      </w:r>
      <w:r w:rsidRPr="00A741AF">
        <w:t xml:space="preserve">Vanachter O. (ed.), </w:t>
      </w:r>
      <w:r w:rsidRPr="00A741AF">
        <w:rPr>
          <w:i/>
        </w:rPr>
        <w:t>Gelijke Behandeling en Arbeidsverhoudingen</w:t>
      </w:r>
      <w:r w:rsidRPr="00A741AF">
        <w:t xml:space="preserve">, Antwerpen-Groningen, </w:t>
      </w:r>
      <w:proofErr w:type="spellStart"/>
      <w:r w:rsidRPr="00A741AF">
        <w:t>Intersentia</w:t>
      </w:r>
      <w:proofErr w:type="spellEnd"/>
      <w:r w:rsidRPr="00A741AF">
        <w:t xml:space="preserve"> Rechtswetenschappen, 1999,</w:t>
      </w:r>
      <w:r>
        <w:t xml:space="preserve"> 73; </w:t>
      </w:r>
      <w:proofErr w:type="spellStart"/>
      <w:r w:rsidRPr="00B41E46">
        <w:t>Saguy</w:t>
      </w:r>
      <w:proofErr w:type="spellEnd"/>
      <w:r w:rsidRPr="00B41E46">
        <w:t xml:space="preserve"> A., “</w:t>
      </w:r>
      <w:proofErr w:type="spellStart"/>
      <w:r w:rsidRPr="00B41E46">
        <w:t>Employment</w:t>
      </w:r>
      <w:proofErr w:type="spellEnd"/>
      <w:r w:rsidRPr="00B41E46">
        <w:t xml:space="preserve"> </w:t>
      </w:r>
      <w:proofErr w:type="spellStart"/>
      <w:r w:rsidRPr="00B41E46">
        <w:t>Discrimination</w:t>
      </w:r>
      <w:proofErr w:type="spellEnd"/>
      <w:r w:rsidRPr="00B41E46">
        <w:t xml:space="preserve"> or </w:t>
      </w:r>
      <w:proofErr w:type="spellStart"/>
      <w:r w:rsidRPr="00B41E46">
        <w:t>Sexual</w:t>
      </w:r>
      <w:proofErr w:type="spellEnd"/>
      <w:r w:rsidRPr="00B41E46">
        <w:t xml:space="preserve"> </w:t>
      </w:r>
      <w:proofErr w:type="spellStart"/>
      <w:r w:rsidRPr="00B41E46">
        <w:t>Violence</w:t>
      </w:r>
      <w:proofErr w:type="spellEnd"/>
      <w:r w:rsidRPr="00B41E46">
        <w:t xml:space="preserve">? </w:t>
      </w:r>
      <w:r w:rsidRPr="00B41E46">
        <w:rPr>
          <w:lang w:val="en-US"/>
        </w:rPr>
        <w:t xml:space="preserve">Defining Sexual Harassment in American and French Law”, </w:t>
      </w:r>
      <w:r w:rsidRPr="00B41E46">
        <w:rPr>
          <w:i/>
          <w:lang w:val="en-US"/>
        </w:rPr>
        <w:t xml:space="preserve">Law &amp; </w:t>
      </w:r>
      <w:proofErr w:type="spellStart"/>
      <w:r w:rsidRPr="00B41E46">
        <w:rPr>
          <w:i/>
          <w:lang w:val="en-US"/>
        </w:rPr>
        <w:t>Soc’y</w:t>
      </w:r>
      <w:proofErr w:type="spellEnd"/>
      <w:r w:rsidRPr="00B41E46">
        <w:rPr>
          <w:i/>
          <w:lang w:val="en-US"/>
        </w:rPr>
        <w:t xml:space="preserve"> Rev.</w:t>
      </w:r>
      <w:r w:rsidRPr="00B41E46">
        <w:rPr>
          <w:lang w:val="en-US"/>
        </w:rPr>
        <w:t xml:space="preserve"> 2000, 1</w:t>
      </w:r>
      <w:r>
        <w:rPr>
          <w:lang w:val="en-US"/>
        </w:rPr>
        <w:t xml:space="preserve">097. </w:t>
      </w:r>
    </w:p>
  </w:footnote>
  <w:footnote w:id="379">
    <w:p w:rsidR="00551E68" w:rsidRPr="00BD08C9" w:rsidRDefault="00551E68" w:rsidP="005869B3">
      <w:pPr>
        <w:pStyle w:val="Voetnoottekst"/>
        <w:jc w:val="both"/>
        <w:rPr>
          <w:lang w:val="en-US"/>
        </w:rPr>
      </w:pPr>
      <w:r>
        <w:rPr>
          <w:rStyle w:val="Voetnootmarkering"/>
        </w:rPr>
        <w:footnoteRef/>
      </w:r>
      <w:r w:rsidRPr="00BD08C9">
        <w:rPr>
          <w:lang w:val="en-US"/>
        </w:rPr>
        <w:t xml:space="preserve"> Sexual harassment</w:t>
      </w:r>
      <w:r>
        <w:rPr>
          <w:lang w:val="en-US"/>
        </w:rPr>
        <w:t xml:space="preserve"> also takes place in other institutional contexts such as schools, hospitals and prisons. </w:t>
      </w:r>
    </w:p>
  </w:footnote>
  <w:footnote w:id="380">
    <w:p w:rsidR="00551E68" w:rsidRPr="00D54920" w:rsidRDefault="00551E68" w:rsidP="005869B3">
      <w:pPr>
        <w:pStyle w:val="Voetnoottekst"/>
        <w:jc w:val="both"/>
        <w:rPr>
          <w:lang w:val="en-US"/>
        </w:rPr>
      </w:pPr>
      <w:r>
        <w:rPr>
          <w:rStyle w:val="Voetnootmarkering"/>
        </w:rPr>
        <w:footnoteRef/>
      </w:r>
      <w:r w:rsidRPr="00D54920">
        <w:rPr>
          <w:lang w:val="en-US"/>
        </w:rPr>
        <w:t xml:space="preserve"> </w:t>
      </w:r>
      <w:r>
        <w:rPr>
          <w:lang w:val="en-US"/>
        </w:rPr>
        <w:t xml:space="preserve">Such as a promotion or a pay raise. </w:t>
      </w:r>
    </w:p>
  </w:footnote>
  <w:footnote w:id="381">
    <w:p w:rsidR="00551E68" w:rsidRPr="000C6A46" w:rsidRDefault="00551E68" w:rsidP="005869B3">
      <w:pPr>
        <w:pStyle w:val="Voetnoottekst"/>
        <w:jc w:val="both"/>
        <w:rPr>
          <w:i/>
          <w:lang w:val="en-GB"/>
        </w:rPr>
      </w:pPr>
      <w:r>
        <w:rPr>
          <w:rStyle w:val="Voetnootmarkering"/>
        </w:rPr>
        <w:footnoteRef/>
      </w:r>
      <w:r>
        <w:rPr>
          <w:lang w:val="en-US"/>
        </w:rPr>
        <w:t xml:space="preserve"> </w:t>
      </w:r>
      <w:r w:rsidRPr="006028B4">
        <w:rPr>
          <w:lang w:val="en-US"/>
        </w:rPr>
        <w:t xml:space="preserve">Browne K., </w:t>
      </w:r>
      <w:r w:rsidRPr="006028B4">
        <w:rPr>
          <w:i/>
          <w:lang w:val="en-US"/>
        </w:rPr>
        <w:t>Biology at Work</w:t>
      </w:r>
      <w:r w:rsidRPr="006028B4">
        <w:rPr>
          <w:lang w:val="en-US"/>
        </w:rPr>
        <w:t xml:space="preserve">, New Jersey, Rutgers University Press, 2002, </w:t>
      </w:r>
      <w:r>
        <w:rPr>
          <w:lang w:val="en-US"/>
        </w:rPr>
        <w:t xml:space="preserve">192; </w:t>
      </w:r>
      <w:r w:rsidRPr="00E63D54">
        <w:rPr>
          <w:lang w:val="en-US"/>
        </w:rPr>
        <w:t xml:space="preserve">Hunt C. and Davidson M., </w:t>
      </w:r>
      <w:r w:rsidRPr="00E63D54">
        <w:rPr>
          <w:i/>
          <w:lang w:val="en-US"/>
        </w:rPr>
        <w:t>Sexual Harassment in the workplace: a literature review</w:t>
      </w:r>
      <w:r w:rsidRPr="00E63D54">
        <w:rPr>
          <w:lang w:val="en-US"/>
        </w:rPr>
        <w:t>, Manchester, Equal Opportunities Commission, 2007,</w:t>
      </w:r>
      <w:r>
        <w:rPr>
          <w:lang w:val="en-US"/>
        </w:rPr>
        <w:t xml:space="preserve"> 8; </w:t>
      </w:r>
      <w:r w:rsidRPr="000C6A46">
        <w:rPr>
          <w:lang w:val="en-GB"/>
        </w:rPr>
        <w:t>Schultz V., “</w:t>
      </w:r>
      <w:proofErr w:type="spellStart"/>
      <w:r w:rsidRPr="000C6A46">
        <w:rPr>
          <w:lang w:val="en-GB"/>
        </w:rPr>
        <w:t>Reconceptualizing</w:t>
      </w:r>
      <w:proofErr w:type="spellEnd"/>
      <w:r w:rsidRPr="000C6A46">
        <w:rPr>
          <w:lang w:val="en-GB"/>
        </w:rPr>
        <w:t xml:space="preserve"> Sexual Harassment”, </w:t>
      </w:r>
      <w:r w:rsidRPr="000C6A46">
        <w:rPr>
          <w:i/>
          <w:lang w:val="en-GB"/>
        </w:rPr>
        <w:t>Yale L. J.</w:t>
      </w:r>
      <w:r w:rsidRPr="000C6A46">
        <w:rPr>
          <w:lang w:val="en-GB"/>
        </w:rPr>
        <w:t xml:space="preserve"> 1997-1998, </w:t>
      </w:r>
      <w:r>
        <w:rPr>
          <w:lang w:val="en-GB"/>
        </w:rPr>
        <w:t xml:space="preserve">1692 and 1701.  </w:t>
      </w:r>
    </w:p>
  </w:footnote>
  <w:footnote w:id="382">
    <w:p w:rsidR="00551E68" w:rsidRPr="00272F74" w:rsidRDefault="00551E68" w:rsidP="005869B3">
      <w:pPr>
        <w:pStyle w:val="Voetnoottekst"/>
        <w:jc w:val="both"/>
        <w:rPr>
          <w:lang w:val="en-US"/>
        </w:rPr>
      </w:pPr>
      <w:r>
        <w:rPr>
          <w:rStyle w:val="Voetnootmarkering"/>
        </w:rPr>
        <w:footnoteRef/>
      </w:r>
      <w:r w:rsidRPr="00272F74">
        <w:rPr>
          <w:lang w:val="en-US"/>
        </w:rPr>
        <w:t xml:space="preserve"> </w:t>
      </w:r>
      <w:r w:rsidRPr="00DF0ED1">
        <w:rPr>
          <w:lang w:val="en-US"/>
        </w:rPr>
        <w:t>Di Martino V</w:t>
      </w:r>
      <w:r>
        <w:rPr>
          <w:lang w:val="en-US"/>
        </w:rPr>
        <w:t>.</w:t>
      </w:r>
      <w:r w:rsidRPr="00DF0ED1">
        <w:rPr>
          <w:lang w:val="en-US"/>
        </w:rPr>
        <w:t xml:space="preserve">, </w:t>
      </w:r>
      <w:proofErr w:type="spellStart"/>
      <w:r w:rsidRPr="00DF0ED1">
        <w:rPr>
          <w:lang w:val="en-US"/>
        </w:rPr>
        <w:t>Hoel</w:t>
      </w:r>
      <w:proofErr w:type="spellEnd"/>
      <w:r w:rsidRPr="00DF0ED1">
        <w:rPr>
          <w:lang w:val="en-US"/>
        </w:rPr>
        <w:t xml:space="preserve"> H. and Cooper C., </w:t>
      </w:r>
      <w:r w:rsidRPr="00DF0ED1">
        <w:rPr>
          <w:i/>
          <w:lang w:val="en-US"/>
        </w:rPr>
        <w:t>Preventing violence and harassment in the workplace</w:t>
      </w:r>
      <w:r w:rsidRPr="00DF0ED1">
        <w:rPr>
          <w:lang w:val="en-US"/>
        </w:rPr>
        <w:t>, Luxembourg, Office for the Official Publications of the European Communities, 2003,</w:t>
      </w:r>
      <w:r>
        <w:rPr>
          <w:lang w:val="en-US"/>
        </w:rPr>
        <w:t xml:space="preserve"> 25. </w:t>
      </w:r>
    </w:p>
  </w:footnote>
  <w:footnote w:id="383">
    <w:p w:rsidR="00551E68" w:rsidRPr="00F81E1E" w:rsidRDefault="00551E68" w:rsidP="005869B3">
      <w:pPr>
        <w:pStyle w:val="Voetnoottekst"/>
        <w:jc w:val="both"/>
        <w:rPr>
          <w:lang w:val="en-US"/>
        </w:rPr>
      </w:pPr>
      <w:r>
        <w:rPr>
          <w:rStyle w:val="Voetnootmarkering"/>
        </w:rPr>
        <w:footnoteRef/>
      </w:r>
      <w:r>
        <w:rPr>
          <w:lang w:val="en-US"/>
        </w:rPr>
        <w:t xml:space="preserve"> </w:t>
      </w:r>
      <w:r w:rsidRPr="00E5672B">
        <w:rPr>
          <w:lang w:val="en-US"/>
        </w:rPr>
        <w:t xml:space="preserve">De </w:t>
      </w:r>
      <w:proofErr w:type="spellStart"/>
      <w:r w:rsidRPr="00E5672B">
        <w:rPr>
          <w:lang w:val="en-US"/>
        </w:rPr>
        <w:t>Graaf-Tolkamp</w:t>
      </w:r>
      <w:proofErr w:type="spellEnd"/>
      <w:r w:rsidRPr="00E5672B">
        <w:rPr>
          <w:lang w:val="en-US"/>
        </w:rPr>
        <w:t xml:space="preserve"> C., </w:t>
      </w:r>
      <w:proofErr w:type="spellStart"/>
      <w:r w:rsidRPr="00E5672B">
        <w:rPr>
          <w:i/>
          <w:lang w:val="en-US"/>
        </w:rPr>
        <w:t>Seksuele</w:t>
      </w:r>
      <w:proofErr w:type="spellEnd"/>
      <w:r w:rsidRPr="00E5672B">
        <w:rPr>
          <w:i/>
          <w:lang w:val="en-US"/>
        </w:rPr>
        <w:t xml:space="preserve"> </w:t>
      </w:r>
      <w:proofErr w:type="spellStart"/>
      <w:r w:rsidRPr="00E5672B">
        <w:rPr>
          <w:i/>
          <w:lang w:val="en-US"/>
        </w:rPr>
        <w:t>intimidatie</w:t>
      </w:r>
      <w:proofErr w:type="spellEnd"/>
      <w:r w:rsidRPr="00E5672B">
        <w:rPr>
          <w:i/>
          <w:lang w:val="en-US"/>
        </w:rPr>
        <w:t xml:space="preserve"> op het </w:t>
      </w:r>
      <w:proofErr w:type="spellStart"/>
      <w:r w:rsidRPr="00E5672B">
        <w:rPr>
          <w:i/>
          <w:lang w:val="en-US"/>
        </w:rPr>
        <w:t>werk</w:t>
      </w:r>
      <w:proofErr w:type="spellEnd"/>
      <w:r w:rsidRPr="00E5672B">
        <w:rPr>
          <w:lang w:val="en-US"/>
        </w:rPr>
        <w:t xml:space="preserve">, </w:t>
      </w:r>
      <w:proofErr w:type="spellStart"/>
      <w:r w:rsidRPr="00E5672B">
        <w:rPr>
          <w:lang w:val="en-US"/>
        </w:rPr>
        <w:t>Zut</w:t>
      </w:r>
      <w:r>
        <w:rPr>
          <w:lang w:val="en-US"/>
        </w:rPr>
        <w:t>hpen</w:t>
      </w:r>
      <w:proofErr w:type="spellEnd"/>
      <w:r>
        <w:rPr>
          <w:lang w:val="en-US"/>
        </w:rPr>
        <w:t xml:space="preserve">, </w:t>
      </w:r>
      <w:proofErr w:type="spellStart"/>
      <w:r>
        <w:rPr>
          <w:lang w:val="en-US"/>
        </w:rPr>
        <w:t>Uitgeverij</w:t>
      </w:r>
      <w:proofErr w:type="spellEnd"/>
      <w:r>
        <w:rPr>
          <w:lang w:val="en-US"/>
        </w:rPr>
        <w:t xml:space="preserve"> Paris, 2008, 19; </w:t>
      </w:r>
      <w:r w:rsidRPr="00F81E1E">
        <w:rPr>
          <w:lang w:val="en-US"/>
        </w:rPr>
        <w:t>Di Martino V</w:t>
      </w:r>
      <w:r>
        <w:rPr>
          <w:lang w:val="en-US"/>
        </w:rPr>
        <w:t>.</w:t>
      </w:r>
      <w:r w:rsidRPr="00F81E1E">
        <w:rPr>
          <w:lang w:val="en-US"/>
        </w:rPr>
        <w:t xml:space="preserve">, </w:t>
      </w:r>
      <w:proofErr w:type="spellStart"/>
      <w:r w:rsidRPr="00F81E1E">
        <w:rPr>
          <w:lang w:val="en-US"/>
        </w:rPr>
        <w:t>Hoel</w:t>
      </w:r>
      <w:proofErr w:type="spellEnd"/>
      <w:r w:rsidRPr="00F81E1E">
        <w:rPr>
          <w:lang w:val="en-US"/>
        </w:rPr>
        <w:t xml:space="preserve"> H. and Cooper C., op. cit., 25; Husbands R., “Sexual Harassment Law in Employment: An International Perspective”, </w:t>
      </w:r>
      <w:r>
        <w:rPr>
          <w:i/>
          <w:lang w:val="en-US"/>
        </w:rPr>
        <w:t>Int’l Lab. Rev.</w:t>
      </w:r>
      <w:r>
        <w:rPr>
          <w:lang w:val="en-US"/>
        </w:rPr>
        <w:t xml:space="preserve"> 1992, 541. </w:t>
      </w:r>
    </w:p>
  </w:footnote>
  <w:footnote w:id="384">
    <w:p w:rsidR="00551E68" w:rsidRPr="000732EC" w:rsidRDefault="00551E68" w:rsidP="005869B3">
      <w:pPr>
        <w:pStyle w:val="Voetnoottekst"/>
        <w:jc w:val="both"/>
        <w:rPr>
          <w:lang w:val="en-US"/>
        </w:rPr>
      </w:pPr>
      <w:r>
        <w:rPr>
          <w:rStyle w:val="Voetnootmarkering"/>
        </w:rPr>
        <w:footnoteRef/>
      </w:r>
      <w:r w:rsidRPr="004E24BE">
        <w:rPr>
          <w:lang w:val="en-US"/>
        </w:rPr>
        <w:t xml:space="preserve"> </w:t>
      </w:r>
      <w:proofErr w:type="spellStart"/>
      <w:r w:rsidRPr="00966003">
        <w:rPr>
          <w:lang w:val="en-US"/>
        </w:rPr>
        <w:t>Achampong</w:t>
      </w:r>
      <w:proofErr w:type="spellEnd"/>
      <w:r w:rsidRPr="00966003">
        <w:rPr>
          <w:lang w:val="en-US"/>
        </w:rPr>
        <w:t xml:space="preserve"> F., “Third party harassment and other significant recent developments in sexual harassment law; A discussion of the latest developments in workplace sexual harassment litigation”, </w:t>
      </w:r>
      <w:r w:rsidRPr="00966003">
        <w:rPr>
          <w:i/>
          <w:lang w:val="en-US"/>
        </w:rPr>
        <w:t>Suffolk U.</w:t>
      </w:r>
      <w:r>
        <w:rPr>
          <w:i/>
          <w:lang w:val="en-US"/>
        </w:rPr>
        <w:t xml:space="preserve"> </w:t>
      </w:r>
      <w:r w:rsidRPr="00966003">
        <w:rPr>
          <w:i/>
          <w:lang w:val="en-US"/>
        </w:rPr>
        <w:t>L</w:t>
      </w:r>
      <w:r>
        <w:rPr>
          <w:i/>
          <w:lang w:val="en-US"/>
        </w:rPr>
        <w:t xml:space="preserve"> </w:t>
      </w:r>
      <w:r w:rsidRPr="00966003">
        <w:rPr>
          <w:i/>
          <w:lang w:val="en-US"/>
        </w:rPr>
        <w:t xml:space="preserve">.Rev. </w:t>
      </w:r>
      <w:r w:rsidRPr="00966003">
        <w:rPr>
          <w:lang w:val="en-US"/>
        </w:rPr>
        <w:t>1994, 6</w:t>
      </w:r>
      <w:r>
        <w:rPr>
          <w:lang w:val="en-US"/>
        </w:rPr>
        <w:t xml:space="preserve">34; Hunt C. and Davidson M., op. cit., 8; </w:t>
      </w:r>
      <w:r w:rsidRPr="001B327A">
        <w:rPr>
          <w:lang w:val="en-US"/>
        </w:rPr>
        <w:t>I</w:t>
      </w:r>
      <w:r>
        <w:rPr>
          <w:lang w:val="en-US"/>
        </w:rPr>
        <w:t xml:space="preserve">nternational </w:t>
      </w:r>
      <w:r w:rsidRPr="001B327A">
        <w:rPr>
          <w:lang w:val="en-US"/>
        </w:rPr>
        <w:t>T</w:t>
      </w:r>
      <w:r>
        <w:rPr>
          <w:lang w:val="en-US"/>
        </w:rPr>
        <w:t xml:space="preserve">rade </w:t>
      </w:r>
      <w:r w:rsidRPr="001B327A">
        <w:rPr>
          <w:lang w:val="en-US"/>
        </w:rPr>
        <w:t>U</w:t>
      </w:r>
      <w:r>
        <w:rPr>
          <w:lang w:val="en-US"/>
        </w:rPr>
        <w:t xml:space="preserve">nion </w:t>
      </w:r>
      <w:r w:rsidRPr="001B327A">
        <w:rPr>
          <w:lang w:val="en-US"/>
        </w:rPr>
        <w:t>C</w:t>
      </w:r>
      <w:r>
        <w:rPr>
          <w:lang w:val="en-US"/>
        </w:rPr>
        <w:t>onference</w:t>
      </w:r>
      <w:r w:rsidRPr="001B327A">
        <w:rPr>
          <w:lang w:val="en-US"/>
        </w:rPr>
        <w:t xml:space="preserve">, </w:t>
      </w:r>
      <w:r w:rsidRPr="001B327A">
        <w:rPr>
          <w:i/>
          <w:lang w:val="en-US"/>
        </w:rPr>
        <w:t>Stopping Sexual Harassment at Work</w:t>
      </w:r>
      <w:r w:rsidRPr="001B327A">
        <w:rPr>
          <w:lang w:val="en-US"/>
        </w:rPr>
        <w:t>, Brussels, 2008,</w:t>
      </w:r>
      <w:r>
        <w:rPr>
          <w:lang w:val="en-US"/>
        </w:rPr>
        <w:t xml:space="preserve"> 3; </w:t>
      </w:r>
      <w:r w:rsidRPr="00A12DBE">
        <w:rPr>
          <w:lang w:val="en-US"/>
        </w:rPr>
        <w:t>Rubenstein M.,</w:t>
      </w:r>
      <w:r>
        <w:rPr>
          <w:lang w:val="en-US"/>
        </w:rPr>
        <w:t xml:space="preserve"> </w:t>
      </w:r>
      <w:r w:rsidRPr="000732EC">
        <w:rPr>
          <w:i/>
          <w:lang w:val="en-US"/>
        </w:rPr>
        <w:t xml:space="preserve">The Dignity of Woman at Work: A Report on the Problem of Sexual Harassment in the Member States of the European Communities, </w:t>
      </w:r>
      <w:r w:rsidRPr="000732EC">
        <w:rPr>
          <w:lang w:val="en-US"/>
        </w:rPr>
        <w:t>Luxembourg, Office for Official Publications of the European Communities, 1988</w:t>
      </w:r>
      <w:r>
        <w:rPr>
          <w:lang w:val="en-US"/>
        </w:rPr>
        <w:t xml:space="preserve">, 12-13. </w:t>
      </w:r>
    </w:p>
  </w:footnote>
  <w:footnote w:id="385">
    <w:p w:rsidR="00551E68" w:rsidRPr="00D83B0A" w:rsidRDefault="00551E68" w:rsidP="005869B3">
      <w:pPr>
        <w:pStyle w:val="Voetnoottekst"/>
        <w:jc w:val="both"/>
        <w:rPr>
          <w:lang w:val="en-US"/>
        </w:rPr>
      </w:pPr>
      <w:r>
        <w:rPr>
          <w:rStyle w:val="Voetnootmarkering"/>
        </w:rPr>
        <w:footnoteRef/>
      </w:r>
      <w:r>
        <w:rPr>
          <w:lang w:val="en-US"/>
        </w:rPr>
        <w:t xml:space="preserve"> See for example: </w:t>
      </w:r>
      <w:r w:rsidRPr="00184BCE">
        <w:rPr>
          <w:lang w:val="en-US"/>
        </w:rPr>
        <w:t xml:space="preserve">European Commission, </w:t>
      </w:r>
      <w:r w:rsidRPr="00184BCE">
        <w:rPr>
          <w:i/>
          <w:lang w:val="en-US"/>
        </w:rPr>
        <w:t>Sexual Harassment at the Workplace in the European Union</w:t>
      </w:r>
      <w:r w:rsidRPr="00184BCE">
        <w:rPr>
          <w:lang w:val="en-US"/>
        </w:rPr>
        <w:t>, Luxembourg, Office of Official Publications of the Eur</w:t>
      </w:r>
      <w:r>
        <w:rPr>
          <w:lang w:val="en-US"/>
        </w:rPr>
        <w:t>opean Communities, 1999, 14; Husbands R., op. cit.</w:t>
      </w:r>
      <w:r w:rsidRPr="00E72E55">
        <w:rPr>
          <w:lang w:val="en-US"/>
        </w:rPr>
        <w:t>, 53</w:t>
      </w:r>
      <w:r>
        <w:rPr>
          <w:lang w:val="en-US"/>
        </w:rPr>
        <w:t xml:space="preserve">9; </w:t>
      </w:r>
      <w:r w:rsidRPr="00AC6E31">
        <w:rPr>
          <w:lang w:val="en-US"/>
        </w:rPr>
        <w:t xml:space="preserve">Timmerman G. and </w:t>
      </w:r>
      <w:proofErr w:type="spellStart"/>
      <w:r w:rsidRPr="00AC6E31">
        <w:rPr>
          <w:lang w:val="en-US"/>
        </w:rPr>
        <w:t>Bajema</w:t>
      </w:r>
      <w:proofErr w:type="spellEnd"/>
      <w:r w:rsidRPr="00AC6E31">
        <w:rPr>
          <w:lang w:val="en-US"/>
        </w:rPr>
        <w:t xml:space="preserve"> C., “Sexual Harassment in North-West Europe”, </w:t>
      </w:r>
      <w:r w:rsidRPr="00AC6E31">
        <w:rPr>
          <w:i/>
          <w:lang w:val="en-US"/>
        </w:rPr>
        <w:t>European Journal of Women’s Studies</w:t>
      </w:r>
      <w:r w:rsidRPr="00AC6E31">
        <w:rPr>
          <w:lang w:val="en-US"/>
        </w:rPr>
        <w:t xml:space="preserve"> 1999, 4</w:t>
      </w:r>
      <w:r>
        <w:rPr>
          <w:lang w:val="en-US"/>
        </w:rPr>
        <w:t xml:space="preserve">28-429. </w:t>
      </w:r>
    </w:p>
  </w:footnote>
  <w:footnote w:id="386">
    <w:p w:rsidR="00551E68" w:rsidRPr="00470EC2" w:rsidRDefault="00551E68" w:rsidP="005869B3">
      <w:pPr>
        <w:pStyle w:val="Voetnoottekst"/>
        <w:jc w:val="both"/>
        <w:rPr>
          <w:lang w:val="en-US"/>
        </w:rPr>
      </w:pPr>
      <w:r>
        <w:rPr>
          <w:rStyle w:val="Voetnootmarkering"/>
        </w:rPr>
        <w:footnoteRef/>
      </w:r>
      <w:r w:rsidRPr="00F67024">
        <w:rPr>
          <w:lang w:val="en-US"/>
        </w:rPr>
        <w:t xml:space="preserve"> Cockburn C., </w:t>
      </w:r>
      <w:r w:rsidRPr="00F67024">
        <w:rPr>
          <w:i/>
          <w:lang w:val="en-US"/>
        </w:rPr>
        <w:t>In the way of Women: Men’s resistance to sex equality in organizations</w:t>
      </w:r>
      <w:r w:rsidRPr="00F67024">
        <w:rPr>
          <w:lang w:val="en-US"/>
        </w:rPr>
        <w:t>, London, MacMillan, 1991,</w:t>
      </w:r>
      <w:r>
        <w:rPr>
          <w:lang w:val="en-US"/>
        </w:rPr>
        <w:t xml:space="preserve"> 141-142; </w:t>
      </w:r>
      <w:r w:rsidRPr="00470EC2">
        <w:rPr>
          <w:lang w:val="en-US"/>
        </w:rPr>
        <w:t>MacKinnon C.,</w:t>
      </w:r>
      <w:r>
        <w:rPr>
          <w:lang w:val="en-US"/>
        </w:rPr>
        <w:t xml:space="preserve"> op. cit.</w:t>
      </w:r>
      <w:r w:rsidRPr="00470EC2">
        <w:rPr>
          <w:lang w:val="en-US"/>
        </w:rPr>
        <w:t xml:space="preserve">, </w:t>
      </w:r>
      <w:r>
        <w:rPr>
          <w:lang w:val="en-US"/>
        </w:rPr>
        <w:t xml:space="preserve">174; </w:t>
      </w:r>
      <w:r w:rsidRPr="007D34A3">
        <w:rPr>
          <w:lang w:val="en-US"/>
        </w:rPr>
        <w:t xml:space="preserve">Samuels H., “A defining moment: a feminist perspective on the law of sexual harassment in the workplace in the light of the equal treatment amendment directive”, </w:t>
      </w:r>
      <w:r>
        <w:rPr>
          <w:i/>
          <w:lang w:val="en-US"/>
        </w:rPr>
        <w:t xml:space="preserve">Fem. L. S. </w:t>
      </w:r>
      <w:r w:rsidRPr="007D34A3">
        <w:rPr>
          <w:lang w:val="en-US"/>
        </w:rPr>
        <w:t>2004,</w:t>
      </w:r>
      <w:r>
        <w:rPr>
          <w:lang w:val="en-US"/>
        </w:rPr>
        <w:t xml:space="preserve"> 184; </w:t>
      </w:r>
      <w:proofErr w:type="spellStart"/>
      <w:r>
        <w:rPr>
          <w:lang w:val="en-US"/>
        </w:rPr>
        <w:t>Zippel</w:t>
      </w:r>
      <w:proofErr w:type="spellEnd"/>
      <w:r w:rsidRPr="00575FCF">
        <w:rPr>
          <w:lang w:val="en-US"/>
        </w:rPr>
        <w:t xml:space="preserve"> K., “Gender Equality Politics in the Changing European Union: The European Union Anti-Discrimination Directive and Sexual Harassment”, </w:t>
      </w:r>
      <w:r w:rsidRPr="00575FCF">
        <w:rPr>
          <w:i/>
          <w:iCs/>
          <w:lang w:val="en-US"/>
        </w:rPr>
        <w:t>CES Working Papers Series</w:t>
      </w:r>
      <w:r w:rsidRPr="00575FCF">
        <w:rPr>
          <w:lang w:val="en-US"/>
        </w:rPr>
        <w:t xml:space="preserve"> 2006, </w:t>
      </w:r>
      <w:r>
        <w:rPr>
          <w:lang w:val="en-US"/>
        </w:rPr>
        <w:t xml:space="preserve">2. </w:t>
      </w:r>
    </w:p>
  </w:footnote>
  <w:footnote w:id="387">
    <w:p w:rsidR="00551E68" w:rsidRPr="00A93B9F" w:rsidRDefault="00551E68" w:rsidP="005869B3">
      <w:pPr>
        <w:pStyle w:val="Voetnoottekst"/>
        <w:jc w:val="both"/>
        <w:rPr>
          <w:i/>
          <w:lang w:val="en-US"/>
        </w:rPr>
      </w:pPr>
      <w:r>
        <w:rPr>
          <w:rStyle w:val="Voetnootmarkering"/>
        </w:rPr>
        <w:footnoteRef/>
      </w:r>
      <w:r>
        <w:rPr>
          <w:lang w:val="en-US"/>
        </w:rPr>
        <w:t xml:space="preserve"> </w:t>
      </w:r>
      <w:r w:rsidRPr="00C33AD6">
        <w:rPr>
          <w:lang w:val="en-US"/>
        </w:rPr>
        <w:t>Date-Bah E.</w:t>
      </w:r>
      <w:r>
        <w:rPr>
          <w:lang w:val="en-US"/>
        </w:rPr>
        <w:t>, op. cit.</w:t>
      </w:r>
      <w:r w:rsidRPr="00C33AD6">
        <w:rPr>
          <w:lang w:val="en-US"/>
        </w:rPr>
        <w:t>,</w:t>
      </w:r>
      <w:r>
        <w:rPr>
          <w:lang w:val="en-US"/>
        </w:rPr>
        <w:t xml:space="preserve"> 13; </w:t>
      </w:r>
      <w:proofErr w:type="spellStart"/>
      <w:r w:rsidRPr="00A93B9F">
        <w:rPr>
          <w:lang w:val="en-US"/>
        </w:rPr>
        <w:t>Gutek</w:t>
      </w:r>
      <w:proofErr w:type="spellEnd"/>
      <w:r w:rsidRPr="00A93B9F">
        <w:rPr>
          <w:lang w:val="en-US"/>
        </w:rPr>
        <w:t xml:space="preserve"> B., “Understanding Sexual Harassment at Work”, </w:t>
      </w:r>
      <w:r w:rsidRPr="00A93B9F">
        <w:rPr>
          <w:i/>
          <w:lang w:val="en-US"/>
        </w:rPr>
        <w:t xml:space="preserve">Notre Dame J. L. Ethics &amp; Pub. </w:t>
      </w:r>
      <w:proofErr w:type="spellStart"/>
      <w:r w:rsidRPr="00A93B9F">
        <w:rPr>
          <w:i/>
          <w:lang w:val="en-US"/>
        </w:rPr>
        <w:t>Pol’y</w:t>
      </w:r>
      <w:proofErr w:type="spellEnd"/>
      <w:r w:rsidRPr="00A93B9F">
        <w:rPr>
          <w:lang w:val="en-US"/>
        </w:rPr>
        <w:t xml:space="preserve"> 1992, 3</w:t>
      </w:r>
      <w:r>
        <w:rPr>
          <w:lang w:val="en-US"/>
        </w:rPr>
        <w:t xml:space="preserve">48; </w:t>
      </w:r>
      <w:proofErr w:type="spellStart"/>
      <w:r>
        <w:rPr>
          <w:lang w:val="en-US"/>
        </w:rPr>
        <w:t>Hanisch</w:t>
      </w:r>
      <w:proofErr w:type="spellEnd"/>
      <w:r>
        <w:rPr>
          <w:lang w:val="en-US"/>
        </w:rPr>
        <w:t xml:space="preserve"> K., “An Integrated Framework for Studying the Outcomes of Sexual Harassment” in </w:t>
      </w:r>
      <w:r w:rsidRPr="00442C78">
        <w:rPr>
          <w:lang w:val="en-US"/>
        </w:rPr>
        <w:t xml:space="preserve">Stockdale M., (ed.), </w:t>
      </w:r>
      <w:r w:rsidRPr="00442C78">
        <w:rPr>
          <w:i/>
          <w:lang w:val="en-US"/>
        </w:rPr>
        <w:t>Sexual Harassment in the Workplace</w:t>
      </w:r>
      <w:r w:rsidRPr="00442C78">
        <w:rPr>
          <w:lang w:val="en-US"/>
        </w:rPr>
        <w:t>, London, Sage Publications, 1996</w:t>
      </w:r>
      <w:r>
        <w:rPr>
          <w:lang w:val="en-US"/>
        </w:rPr>
        <w:t xml:space="preserve">, 185. </w:t>
      </w:r>
    </w:p>
  </w:footnote>
  <w:footnote w:id="388">
    <w:p w:rsidR="00551E68" w:rsidRPr="006B5D32" w:rsidRDefault="00551E68" w:rsidP="005869B3">
      <w:pPr>
        <w:pStyle w:val="Voetnoottekst"/>
        <w:jc w:val="both"/>
        <w:rPr>
          <w:lang w:val="en-US"/>
        </w:rPr>
      </w:pPr>
      <w:r>
        <w:rPr>
          <w:rStyle w:val="Voetnootmarkering"/>
        </w:rPr>
        <w:footnoteRef/>
      </w:r>
      <w:r>
        <w:rPr>
          <w:lang w:val="en-GB"/>
        </w:rPr>
        <w:t xml:space="preserve"> </w:t>
      </w:r>
      <w:r w:rsidRPr="007D53F2">
        <w:rPr>
          <w:lang w:val="en-GB"/>
        </w:rPr>
        <w:t xml:space="preserve">Ellis E., </w:t>
      </w:r>
      <w:r w:rsidRPr="007D53F2">
        <w:rPr>
          <w:i/>
          <w:lang w:val="en-GB"/>
        </w:rPr>
        <w:t>EU Anti-Discrimination Law</w:t>
      </w:r>
      <w:r w:rsidRPr="007D53F2">
        <w:rPr>
          <w:lang w:val="en-GB"/>
        </w:rPr>
        <w:t>, Oxford, Oxfor</w:t>
      </w:r>
      <w:r>
        <w:rPr>
          <w:lang w:val="en-GB"/>
        </w:rPr>
        <w:t xml:space="preserve">d University Press, 2005, 237; </w:t>
      </w:r>
      <w:r>
        <w:rPr>
          <w:lang w:val="en-US"/>
        </w:rPr>
        <w:t xml:space="preserve">De </w:t>
      </w:r>
      <w:proofErr w:type="spellStart"/>
      <w:r>
        <w:rPr>
          <w:lang w:val="en-US"/>
        </w:rPr>
        <w:t>Graaf-Tolkamp</w:t>
      </w:r>
      <w:proofErr w:type="spellEnd"/>
      <w:r>
        <w:rPr>
          <w:lang w:val="en-US"/>
        </w:rPr>
        <w:t xml:space="preserve"> C., op. cit., </w:t>
      </w:r>
      <w:r w:rsidRPr="007D53F2">
        <w:rPr>
          <w:lang w:val="en-US"/>
        </w:rPr>
        <w:t xml:space="preserve">25; de Haas S., </w:t>
      </w:r>
      <w:r w:rsidRPr="007D53F2">
        <w:rPr>
          <w:i/>
          <w:lang w:val="en-US"/>
        </w:rPr>
        <w:t>Sexual Harassment in a male dominated workplace</w:t>
      </w:r>
      <w:r w:rsidRPr="007D53F2">
        <w:rPr>
          <w:lang w:val="en-US"/>
        </w:rPr>
        <w:t xml:space="preserve">, </w:t>
      </w:r>
      <w:proofErr w:type="spellStart"/>
      <w:r w:rsidRPr="007D53F2">
        <w:rPr>
          <w:lang w:val="en-US"/>
        </w:rPr>
        <w:t>Rijksuniversiteit</w:t>
      </w:r>
      <w:proofErr w:type="spellEnd"/>
      <w:r w:rsidRPr="007D53F2">
        <w:rPr>
          <w:lang w:val="en-US"/>
        </w:rPr>
        <w:t xml:space="preserve"> Groningen, Groningen, 2009, 4;</w:t>
      </w:r>
      <w:r>
        <w:rPr>
          <w:lang w:val="en-US"/>
        </w:rPr>
        <w:t xml:space="preserve"> </w:t>
      </w:r>
      <w:r w:rsidRPr="006B5D32">
        <w:rPr>
          <w:lang w:val="en-US"/>
        </w:rPr>
        <w:t xml:space="preserve">O’Connell C. and </w:t>
      </w:r>
      <w:proofErr w:type="spellStart"/>
      <w:r w:rsidRPr="006B5D32">
        <w:rPr>
          <w:lang w:val="en-US"/>
        </w:rPr>
        <w:t>Korabik</w:t>
      </w:r>
      <w:proofErr w:type="spellEnd"/>
      <w:r w:rsidRPr="006B5D32">
        <w:rPr>
          <w:lang w:val="en-US"/>
        </w:rPr>
        <w:t xml:space="preserve"> K., “Sexual Harassment: The Relationship of Personal Vulnerability, Work Context, Perpetrator Status, and Type of Harassment to Outcomes”, </w:t>
      </w:r>
      <w:r w:rsidRPr="006B5D32">
        <w:rPr>
          <w:i/>
          <w:lang w:val="en-US"/>
        </w:rPr>
        <w:t>Journal of Vocational Behavior</w:t>
      </w:r>
      <w:r w:rsidRPr="006B5D32">
        <w:rPr>
          <w:lang w:val="en-US"/>
        </w:rPr>
        <w:t xml:space="preserve"> 2000,</w:t>
      </w:r>
      <w:r>
        <w:rPr>
          <w:lang w:val="en-US"/>
        </w:rPr>
        <w:t xml:space="preserve"> 303-304; </w:t>
      </w:r>
      <w:r w:rsidRPr="006B5D32">
        <w:rPr>
          <w:lang w:val="en-US"/>
        </w:rPr>
        <w:t>Rubenstein M., op.</w:t>
      </w:r>
      <w:r>
        <w:rPr>
          <w:lang w:val="en-US"/>
        </w:rPr>
        <w:t xml:space="preserve"> </w:t>
      </w:r>
      <w:proofErr w:type="spellStart"/>
      <w:r w:rsidRPr="006B5D32">
        <w:rPr>
          <w:lang w:val="en-US"/>
        </w:rPr>
        <w:t>cit</w:t>
      </w:r>
      <w:proofErr w:type="spellEnd"/>
      <w:r w:rsidRPr="006B5D32">
        <w:rPr>
          <w:lang w:val="en-US"/>
        </w:rPr>
        <w:t xml:space="preserve">, 20; </w:t>
      </w:r>
      <w:proofErr w:type="spellStart"/>
      <w:r w:rsidRPr="006B5D32">
        <w:rPr>
          <w:lang w:val="en-US"/>
        </w:rPr>
        <w:t>Zweighaft</w:t>
      </w:r>
      <w:proofErr w:type="spellEnd"/>
      <w:r w:rsidRPr="006B5D32">
        <w:rPr>
          <w:lang w:val="en-US"/>
        </w:rPr>
        <w:t xml:space="preserve"> R., “What’s the harm? </w:t>
      </w:r>
      <w:r w:rsidRPr="00402624">
        <w:rPr>
          <w:lang w:val="en-US"/>
        </w:rPr>
        <w:t xml:space="preserve">The legal accommodation of hostile environment sexual harassment”, </w:t>
      </w:r>
      <w:r w:rsidRPr="00402624">
        <w:rPr>
          <w:i/>
          <w:lang w:val="en-US"/>
        </w:rPr>
        <w:t>Comp.</w:t>
      </w:r>
      <w:r>
        <w:rPr>
          <w:i/>
          <w:lang w:val="en-US"/>
        </w:rPr>
        <w:t xml:space="preserve"> </w:t>
      </w:r>
      <w:r w:rsidRPr="00402624">
        <w:rPr>
          <w:i/>
          <w:lang w:val="en-US"/>
        </w:rPr>
        <w:t>Lab.</w:t>
      </w:r>
      <w:r>
        <w:rPr>
          <w:i/>
          <w:lang w:val="en-US"/>
        </w:rPr>
        <w:t xml:space="preserve"> </w:t>
      </w:r>
      <w:r w:rsidRPr="00402624">
        <w:rPr>
          <w:i/>
          <w:lang w:val="en-US"/>
        </w:rPr>
        <w:t>L.</w:t>
      </w:r>
      <w:r>
        <w:rPr>
          <w:i/>
          <w:lang w:val="en-US"/>
        </w:rPr>
        <w:t xml:space="preserve"> </w:t>
      </w:r>
      <w:r w:rsidRPr="00402624">
        <w:rPr>
          <w:i/>
          <w:lang w:val="en-US"/>
        </w:rPr>
        <w:t xml:space="preserve">J. </w:t>
      </w:r>
      <w:r w:rsidRPr="00402624">
        <w:rPr>
          <w:lang w:val="en-US"/>
        </w:rPr>
        <w:t>1996-1997,</w:t>
      </w:r>
      <w:r>
        <w:rPr>
          <w:lang w:val="en-US"/>
        </w:rPr>
        <w:t xml:space="preserve"> 438. </w:t>
      </w:r>
    </w:p>
  </w:footnote>
  <w:footnote w:id="389">
    <w:p w:rsidR="00551E68" w:rsidRPr="00F17FDF" w:rsidRDefault="00551E68" w:rsidP="005869B3">
      <w:pPr>
        <w:pStyle w:val="Voetnoottekst"/>
        <w:jc w:val="both"/>
        <w:rPr>
          <w:bCs/>
          <w:i/>
          <w:lang w:val="en-US"/>
        </w:rPr>
      </w:pPr>
      <w:r>
        <w:rPr>
          <w:rStyle w:val="Voetnootmarkering"/>
        </w:rPr>
        <w:footnoteRef/>
      </w:r>
      <w:r>
        <w:rPr>
          <w:lang w:val="en-US"/>
        </w:rPr>
        <w:t xml:space="preserve"> </w:t>
      </w:r>
      <w:r w:rsidRPr="00243388">
        <w:rPr>
          <w:bCs/>
          <w:lang w:val="en-US"/>
        </w:rPr>
        <w:t>Council Resolution of 29 May 1990 on the protection of the dignity of women and men at work, 90/C 157/02</w:t>
      </w:r>
      <w:r>
        <w:rPr>
          <w:bCs/>
          <w:lang w:val="en-US"/>
        </w:rPr>
        <w:t xml:space="preserve">; </w:t>
      </w:r>
      <w:r w:rsidRPr="00FA5236">
        <w:rPr>
          <w:lang w:val="en-US"/>
        </w:rPr>
        <w:t xml:space="preserve">Commission Recommendation </w:t>
      </w:r>
      <w:r w:rsidRPr="00FA5236">
        <w:rPr>
          <w:bCs/>
          <w:lang w:val="en-US"/>
        </w:rPr>
        <w:t>of 27 November 1991 on the protection of the dignity of women and men at work</w:t>
      </w:r>
      <w:r>
        <w:rPr>
          <w:bCs/>
          <w:lang w:val="en-US"/>
        </w:rPr>
        <w:t>, 92</w:t>
      </w:r>
      <w:r w:rsidRPr="00FA5236">
        <w:rPr>
          <w:bCs/>
          <w:lang w:val="en-US"/>
        </w:rPr>
        <w:t>/131/EEC</w:t>
      </w:r>
      <w:r>
        <w:rPr>
          <w:bCs/>
          <w:lang w:val="en-US"/>
        </w:rPr>
        <w:t xml:space="preserve">; </w:t>
      </w:r>
      <w:r w:rsidRPr="00F17FDF">
        <w:rPr>
          <w:bCs/>
          <w:lang w:val="en-US"/>
        </w:rPr>
        <w:t xml:space="preserve">Gregory J., “Sexual Harassment : Making the Best Use of European Law”, </w:t>
      </w:r>
      <w:r w:rsidRPr="00F17FDF">
        <w:rPr>
          <w:bCs/>
          <w:i/>
          <w:lang w:val="en-US"/>
        </w:rPr>
        <w:t>European Journal of Women’s Studies</w:t>
      </w:r>
      <w:r w:rsidRPr="00F17FDF">
        <w:rPr>
          <w:bCs/>
          <w:lang w:val="en-US"/>
        </w:rPr>
        <w:t xml:space="preserve"> 1995, 42</w:t>
      </w:r>
      <w:r>
        <w:rPr>
          <w:bCs/>
          <w:lang w:val="en-US"/>
        </w:rPr>
        <w:t xml:space="preserve">6. </w:t>
      </w:r>
    </w:p>
  </w:footnote>
  <w:footnote w:id="390">
    <w:p w:rsidR="00551E68" w:rsidRPr="001D199C" w:rsidRDefault="00551E68" w:rsidP="005869B3">
      <w:pPr>
        <w:pStyle w:val="Voetnoottekst"/>
        <w:jc w:val="both"/>
        <w:rPr>
          <w:lang w:val="en-US"/>
        </w:rPr>
      </w:pPr>
      <w:r>
        <w:rPr>
          <w:rStyle w:val="Voetnootmarkering"/>
        </w:rPr>
        <w:footnoteRef/>
      </w:r>
      <w:r>
        <w:rPr>
          <w:lang w:val="en-US"/>
        </w:rPr>
        <w:t xml:space="preserve"> Baer S., “Dignity or Equality? Responses to Workplace Harassment in European German, and U.S. Law” in  </w:t>
      </w:r>
      <w:r w:rsidRPr="001D199C">
        <w:rPr>
          <w:lang w:val="en-US"/>
        </w:rPr>
        <w:t>MacKinnon C. and Siegel R. (eds.),</w:t>
      </w:r>
      <w:r>
        <w:rPr>
          <w:lang w:val="en-US"/>
        </w:rPr>
        <w:t xml:space="preserve"> op. cit., 582; </w:t>
      </w:r>
      <w:r w:rsidRPr="00702032">
        <w:rPr>
          <w:lang w:val="en-US"/>
        </w:rPr>
        <w:t xml:space="preserve">Cahill M., </w:t>
      </w:r>
      <w:r w:rsidRPr="00702032">
        <w:rPr>
          <w:i/>
          <w:lang w:val="en-US"/>
        </w:rPr>
        <w:t>The Social Construction of Sexual Harassment Law</w:t>
      </w:r>
      <w:r w:rsidRPr="00702032">
        <w:rPr>
          <w:lang w:val="en-US"/>
        </w:rPr>
        <w:t xml:space="preserve">, </w:t>
      </w:r>
      <w:proofErr w:type="spellStart"/>
      <w:r w:rsidRPr="00702032">
        <w:rPr>
          <w:lang w:val="en-US"/>
        </w:rPr>
        <w:t>Aldershot</w:t>
      </w:r>
      <w:proofErr w:type="spellEnd"/>
      <w:r w:rsidRPr="00702032">
        <w:rPr>
          <w:lang w:val="en-US"/>
        </w:rPr>
        <w:t xml:space="preserve">, </w:t>
      </w:r>
      <w:proofErr w:type="spellStart"/>
      <w:r w:rsidRPr="00702032">
        <w:rPr>
          <w:lang w:val="en-US"/>
        </w:rPr>
        <w:t>Ashgate</w:t>
      </w:r>
      <w:proofErr w:type="spellEnd"/>
      <w:r w:rsidRPr="00702032">
        <w:rPr>
          <w:lang w:val="en-US"/>
        </w:rPr>
        <w:t xml:space="preserve"> Publishing Limited, 2001,</w:t>
      </w:r>
      <w:r>
        <w:rPr>
          <w:lang w:val="en-US"/>
        </w:rPr>
        <w:t xml:space="preserve"> 20; </w:t>
      </w:r>
      <w:r w:rsidRPr="005A6342">
        <w:rPr>
          <w:lang w:val="en-US"/>
        </w:rPr>
        <w:t xml:space="preserve">Crouch M., </w:t>
      </w:r>
      <w:r w:rsidRPr="005A6342">
        <w:rPr>
          <w:i/>
          <w:lang w:val="en-US"/>
        </w:rPr>
        <w:t>Thinking about Sexual Harassment</w:t>
      </w:r>
      <w:r w:rsidRPr="005A6342">
        <w:rPr>
          <w:lang w:val="en-US"/>
        </w:rPr>
        <w:t>, Oxford, Oxford</w:t>
      </w:r>
      <w:r>
        <w:rPr>
          <w:lang w:val="en-US"/>
        </w:rPr>
        <w:t xml:space="preserve"> University Press, 2001, 86-87; </w:t>
      </w:r>
      <w:r>
        <w:rPr>
          <w:lang w:val="en-GB"/>
        </w:rPr>
        <w:t>Earle B. a</w:t>
      </w:r>
      <w:r w:rsidRPr="005E1CD0">
        <w:rPr>
          <w:lang w:val="en-GB"/>
        </w:rPr>
        <w:t xml:space="preserve">nd </w:t>
      </w:r>
      <w:proofErr w:type="spellStart"/>
      <w:r w:rsidRPr="005E1CD0">
        <w:rPr>
          <w:lang w:val="en-GB"/>
        </w:rPr>
        <w:t>Madek</w:t>
      </w:r>
      <w:proofErr w:type="spellEnd"/>
      <w:r w:rsidRPr="005E1CD0">
        <w:rPr>
          <w:lang w:val="en-GB"/>
        </w:rPr>
        <w:t xml:space="preserve"> G., “An International Perspective on Sexual Harassment Law”, </w:t>
      </w:r>
      <w:r w:rsidRPr="005E1CD0">
        <w:rPr>
          <w:i/>
          <w:lang w:val="en-GB"/>
        </w:rPr>
        <w:t>Law and Inequality</w:t>
      </w:r>
      <w:r w:rsidRPr="005E1CD0">
        <w:rPr>
          <w:lang w:val="en-GB"/>
        </w:rPr>
        <w:t xml:space="preserve"> 1993-1994,</w:t>
      </w:r>
      <w:r>
        <w:rPr>
          <w:lang w:val="en-GB"/>
        </w:rPr>
        <w:t xml:space="preserve"> 74; </w:t>
      </w:r>
      <w:proofErr w:type="spellStart"/>
      <w:r>
        <w:rPr>
          <w:lang w:val="en-US"/>
        </w:rPr>
        <w:t>Saguy</w:t>
      </w:r>
      <w:proofErr w:type="spellEnd"/>
      <w:r>
        <w:rPr>
          <w:lang w:val="en-US"/>
        </w:rPr>
        <w:t xml:space="preserve"> A., op. cit., 1113. </w:t>
      </w:r>
    </w:p>
  </w:footnote>
  <w:footnote w:id="391">
    <w:p w:rsidR="00551E68" w:rsidRPr="00362075" w:rsidRDefault="00551E68" w:rsidP="005869B3">
      <w:pPr>
        <w:pStyle w:val="Voetnoottekst"/>
        <w:jc w:val="both"/>
        <w:rPr>
          <w:lang w:val="en-GB"/>
        </w:rPr>
      </w:pPr>
      <w:r>
        <w:rPr>
          <w:rStyle w:val="Voetnootmarkering"/>
        </w:rPr>
        <w:footnoteRef/>
      </w:r>
      <w:r w:rsidRPr="00EC4BBD">
        <w:rPr>
          <w:lang w:val="en-US"/>
        </w:rPr>
        <w:t xml:space="preserve"> </w:t>
      </w:r>
      <w:r>
        <w:rPr>
          <w:lang w:val="en-US"/>
        </w:rPr>
        <w:t xml:space="preserve">Article 2(2) </w:t>
      </w:r>
      <w:r w:rsidRPr="00362075">
        <w:rPr>
          <w:lang w:val="en-GB"/>
        </w:rPr>
        <w:t>Directive 2002/73/EC of the European Parliament and of the Council of 23 September 2002 amending Council Directive 76/207/EEC on the implementation of the principle of equal treatment for men and women as regards access to employment, vocational training and promotion, and working conditions.</w:t>
      </w:r>
    </w:p>
  </w:footnote>
  <w:footnote w:id="392">
    <w:p w:rsidR="00551E68" w:rsidRPr="00EC4BBD" w:rsidRDefault="00551E68" w:rsidP="005869B3">
      <w:pPr>
        <w:pStyle w:val="Voetnoottekst"/>
        <w:jc w:val="both"/>
        <w:rPr>
          <w:lang w:val="en-US"/>
        </w:rPr>
      </w:pPr>
      <w:r>
        <w:rPr>
          <w:rStyle w:val="Voetnootmarkering"/>
        </w:rPr>
        <w:footnoteRef/>
      </w:r>
      <w:r>
        <w:rPr>
          <w:lang w:val="en-US"/>
        </w:rPr>
        <w:t xml:space="preserve"> Defined as unwanted conduct related to the sex of a person. An example of sex-based harassment: an undertaking employs 2 female workers and 15 male workers. The employer asks the female employees to water the plants in the office. The male employees time and again expect that the women do the dishes after lunch at the office. The female workers are not invited to employee parties or activities. </w:t>
      </w:r>
    </w:p>
  </w:footnote>
  <w:footnote w:id="393">
    <w:p w:rsidR="00551E68" w:rsidRPr="00EC4BBD" w:rsidRDefault="00551E68" w:rsidP="005869B3">
      <w:pPr>
        <w:pStyle w:val="Voetnoottekst"/>
        <w:jc w:val="both"/>
        <w:rPr>
          <w:lang w:val="en-US"/>
        </w:rPr>
      </w:pPr>
      <w:r>
        <w:rPr>
          <w:rStyle w:val="Voetnootmarkering"/>
        </w:rPr>
        <w:footnoteRef/>
      </w:r>
      <w:r w:rsidRPr="00EC4BBD">
        <w:rPr>
          <w:lang w:val="en-US"/>
        </w:rPr>
        <w:t xml:space="preserve"> </w:t>
      </w:r>
      <w:r>
        <w:rPr>
          <w:lang w:val="en-US"/>
        </w:rPr>
        <w:t xml:space="preserve">Defined as any form of unwanted verbal, non-verbal or physical conduct of a sexual nature. </w:t>
      </w:r>
    </w:p>
  </w:footnote>
  <w:footnote w:id="394">
    <w:p w:rsidR="00551E68" w:rsidRPr="00495CA1" w:rsidRDefault="00551E68" w:rsidP="005869B3">
      <w:pPr>
        <w:pStyle w:val="Voetnoottekst"/>
        <w:jc w:val="both"/>
        <w:rPr>
          <w:lang w:val="en-GB"/>
        </w:rPr>
      </w:pPr>
      <w:r>
        <w:rPr>
          <w:rStyle w:val="Voetnootmarkering"/>
        </w:rPr>
        <w:footnoteRef/>
      </w:r>
      <w:r>
        <w:rPr>
          <w:lang w:val="en-US"/>
        </w:rPr>
        <w:t xml:space="preserve"> Article 2(1) c) and d) </w:t>
      </w:r>
      <w:r w:rsidRPr="00495CA1">
        <w:rPr>
          <w:bCs/>
          <w:lang w:val="en-US"/>
        </w:rPr>
        <w:t xml:space="preserve">Directive </w:t>
      </w:r>
      <w:r>
        <w:rPr>
          <w:bCs/>
          <w:lang w:val="en-US"/>
        </w:rPr>
        <w:t xml:space="preserve">2006/54/EC. </w:t>
      </w:r>
    </w:p>
  </w:footnote>
  <w:footnote w:id="395">
    <w:p w:rsidR="00551E68" w:rsidRPr="00DE34F7" w:rsidRDefault="00551E68" w:rsidP="005869B3">
      <w:pPr>
        <w:pStyle w:val="Voetnoottekst"/>
        <w:jc w:val="both"/>
        <w:rPr>
          <w:lang w:val="en-US"/>
        </w:rPr>
      </w:pPr>
      <w:r>
        <w:rPr>
          <w:rStyle w:val="Voetnootmarkering"/>
        </w:rPr>
        <w:footnoteRef/>
      </w:r>
      <w:r w:rsidRPr="0023345E">
        <w:rPr>
          <w:lang w:val="en-GB"/>
        </w:rPr>
        <w:t xml:space="preserve"> </w:t>
      </w:r>
      <w:r w:rsidRPr="00B0272A">
        <w:rPr>
          <w:lang w:val="en-US"/>
        </w:rPr>
        <w:t>Samuels H.,</w:t>
      </w:r>
      <w:r>
        <w:rPr>
          <w:lang w:val="en-US"/>
        </w:rPr>
        <w:t xml:space="preserve"> op. cit., 198; </w:t>
      </w:r>
      <w:proofErr w:type="spellStart"/>
      <w:r w:rsidRPr="00DE34F7">
        <w:rPr>
          <w:lang w:val="en-US"/>
        </w:rPr>
        <w:t>Zippel</w:t>
      </w:r>
      <w:proofErr w:type="spellEnd"/>
      <w:r w:rsidRPr="00DE34F7">
        <w:rPr>
          <w:lang w:val="en-US"/>
        </w:rPr>
        <w:t xml:space="preserve"> K., “The European Union 2002 Directive on sexual harassment: A feminist success?”, </w:t>
      </w:r>
      <w:r w:rsidRPr="00DE34F7">
        <w:rPr>
          <w:i/>
          <w:lang w:val="en-US"/>
        </w:rPr>
        <w:t xml:space="preserve">Comparative European Politics </w:t>
      </w:r>
      <w:r w:rsidRPr="00DE34F7">
        <w:rPr>
          <w:lang w:val="en-US"/>
        </w:rPr>
        <w:t>2009, 1</w:t>
      </w:r>
      <w:r>
        <w:rPr>
          <w:lang w:val="en-US"/>
        </w:rPr>
        <w:t>48-149.</w:t>
      </w:r>
    </w:p>
  </w:footnote>
  <w:footnote w:id="396">
    <w:p w:rsidR="00551E68" w:rsidRPr="00EC4BBD" w:rsidRDefault="00551E68" w:rsidP="005869B3">
      <w:pPr>
        <w:pStyle w:val="Voetnoottekst"/>
        <w:jc w:val="both"/>
        <w:rPr>
          <w:lang w:val="en-US"/>
        </w:rPr>
      </w:pPr>
      <w:r>
        <w:rPr>
          <w:rStyle w:val="Voetnootmarkering"/>
        </w:rPr>
        <w:footnoteRef/>
      </w:r>
      <w:r>
        <w:rPr>
          <w:lang w:val="en-US"/>
        </w:rPr>
        <w:t xml:space="preserve"> </w:t>
      </w:r>
      <w:r>
        <w:rPr>
          <w:lang w:val="en-GB"/>
        </w:rPr>
        <w:t>Ellis E.,</w:t>
      </w:r>
      <w:r w:rsidRPr="00B028D8">
        <w:rPr>
          <w:i/>
          <w:sz w:val="24"/>
          <w:szCs w:val="24"/>
          <w:lang w:val="en-GB"/>
        </w:rPr>
        <w:t xml:space="preserve"> </w:t>
      </w:r>
      <w:r w:rsidRPr="00B028D8">
        <w:rPr>
          <w:i/>
          <w:lang w:val="en-GB"/>
        </w:rPr>
        <w:t>EU Anti-Discrimination Law</w:t>
      </w:r>
      <w:r w:rsidRPr="00B028D8">
        <w:rPr>
          <w:lang w:val="en-GB"/>
        </w:rPr>
        <w:t>, Oxford, Oxford University Press, 2005</w:t>
      </w:r>
      <w:r w:rsidRPr="0023345E">
        <w:rPr>
          <w:lang w:val="en-GB"/>
        </w:rPr>
        <w:t>,</w:t>
      </w:r>
      <w:r>
        <w:rPr>
          <w:lang w:val="en-GB"/>
        </w:rPr>
        <w:t xml:space="preserve"> 240; </w:t>
      </w:r>
      <w:proofErr w:type="spellStart"/>
      <w:r w:rsidRPr="0023345E">
        <w:rPr>
          <w:lang w:val="en-GB"/>
        </w:rPr>
        <w:t>Holtmaat</w:t>
      </w:r>
      <w:proofErr w:type="spellEnd"/>
      <w:r w:rsidRPr="0023345E">
        <w:rPr>
          <w:lang w:val="en-GB"/>
        </w:rPr>
        <w:t xml:space="preserve"> R., “Sexual Harassment and Harassment on the Ground of Sex in EU Law: A Conceptual Clarification”, </w:t>
      </w:r>
      <w:r>
        <w:rPr>
          <w:i/>
          <w:lang w:val="en-GB"/>
        </w:rPr>
        <w:t>European Gender Equality Law Review</w:t>
      </w:r>
      <w:r>
        <w:rPr>
          <w:lang w:val="en-GB"/>
        </w:rPr>
        <w:t xml:space="preserve"> 2011, 12. </w:t>
      </w:r>
    </w:p>
  </w:footnote>
  <w:footnote w:id="397">
    <w:p w:rsidR="00551E68" w:rsidRPr="00C44789" w:rsidRDefault="00551E68" w:rsidP="005869B3">
      <w:pPr>
        <w:pStyle w:val="Voetnoottekst"/>
        <w:jc w:val="both"/>
        <w:rPr>
          <w:b/>
          <w:u w:val="single"/>
        </w:rPr>
      </w:pPr>
      <w:r>
        <w:rPr>
          <w:rStyle w:val="Voetnootmarkering"/>
        </w:rPr>
        <w:footnoteRef/>
      </w:r>
      <w:r w:rsidRPr="00C44789">
        <w:t xml:space="preserve"> De Prins D., </w:t>
      </w:r>
      <w:proofErr w:type="spellStart"/>
      <w:r w:rsidRPr="00C44789">
        <w:t>Sottiaux</w:t>
      </w:r>
      <w:proofErr w:type="spellEnd"/>
      <w:r w:rsidRPr="00C44789">
        <w:t xml:space="preserve"> S. </w:t>
      </w:r>
      <w:proofErr w:type="spellStart"/>
      <w:r w:rsidRPr="00C44789">
        <w:t>and</w:t>
      </w:r>
      <w:proofErr w:type="spellEnd"/>
      <w:r w:rsidRPr="00C44789">
        <w:t xml:space="preserve"> </w:t>
      </w:r>
      <w:proofErr w:type="spellStart"/>
      <w:r w:rsidRPr="00C44789">
        <w:t>Vrielink</w:t>
      </w:r>
      <w:proofErr w:type="spellEnd"/>
      <w:r w:rsidRPr="00C44789">
        <w:t xml:space="preserve"> J., op. </w:t>
      </w:r>
      <w:proofErr w:type="spellStart"/>
      <w:r w:rsidRPr="00C44789">
        <w:t>cit</w:t>
      </w:r>
      <w:proofErr w:type="spellEnd"/>
      <w:r w:rsidRPr="00C44789">
        <w:t xml:space="preserve">., 185.  </w:t>
      </w:r>
    </w:p>
  </w:footnote>
  <w:footnote w:id="398">
    <w:p w:rsidR="00551E68" w:rsidRPr="002F080A" w:rsidRDefault="00551E68" w:rsidP="005869B3">
      <w:pPr>
        <w:pStyle w:val="Voetnoottekst"/>
        <w:jc w:val="both"/>
        <w:rPr>
          <w:b/>
          <w:u w:val="single"/>
          <w:lang w:val="en-US"/>
        </w:rPr>
      </w:pPr>
      <w:r>
        <w:rPr>
          <w:rStyle w:val="Voetnootmarkering"/>
        </w:rPr>
        <w:footnoteRef/>
      </w:r>
      <w:r w:rsidRPr="00074DDC">
        <w:rPr>
          <w:lang w:val="en-US"/>
        </w:rPr>
        <w:t xml:space="preserve"> Barnard C., </w:t>
      </w:r>
      <w:r w:rsidRPr="00074DDC">
        <w:rPr>
          <w:i/>
          <w:lang w:val="en-US"/>
        </w:rPr>
        <w:t>EC Employment Law</w:t>
      </w:r>
      <w:r w:rsidRPr="00074DDC">
        <w:rPr>
          <w:lang w:val="en-US"/>
        </w:rPr>
        <w:t xml:space="preserve">, Oxford, Oxford University Press, 2006, 405; </w:t>
      </w:r>
      <w:proofErr w:type="spellStart"/>
      <w:r w:rsidRPr="00074DDC">
        <w:rPr>
          <w:lang w:val="en-US"/>
        </w:rPr>
        <w:t>Bayart</w:t>
      </w:r>
      <w:proofErr w:type="spellEnd"/>
      <w:r w:rsidRPr="00074DDC">
        <w:rPr>
          <w:lang w:val="en-US"/>
        </w:rPr>
        <w:t xml:space="preserve"> C., “</w:t>
      </w:r>
      <w:proofErr w:type="spellStart"/>
      <w:r w:rsidRPr="00074DDC">
        <w:rPr>
          <w:lang w:val="en-US"/>
        </w:rPr>
        <w:t>Discriminatie</w:t>
      </w:r>
      <w:proofErr w:type="spellEnd"/>
      <w:r w:rsidRPr="00074DDC">
        <w:rPr>
          <w:lang w:val="en-US"/>
        </w:rPr>
        <w:t xml:space="preserve"> in de </w:t>
      </w:r>
      <w:proofErr w:type="spellStart"/>
      <w:r w:rsidRPr="00074DDC">
        <w:rPr>
          <w:lang w:val="en-US"/>
        </w:rPr>
        <w:t>arbeidsverhoudingen</w:t>
      </w:r>
      <w:proofErr w:type="spellEnd"/>
      <w:r w:rsidRPr="00074DDC">
        <w:rPr>
          <w:lang w:val="en-US"/>
        </w:rPr>
        <w:t xml:space="preserve">” in </w:t>
      </w:r>
      <w:proofErr w:type="spellStart"/>
      <w:r w:rsidRPr="00074DDC">
        <w:rPr>
          <w:lang w:val="en-US"/>
        </w:rPr>
        <w:t>Cuypers</w:t>
      </w:r>
      <w:proofErr w:type="spellEnd"/>
      <w:r w:rsidRPr="00074DDC">
        <w:rPr>
          <w:lang w:val="en-US"/>
        </w:rPr>
        <w:t xml:space="preserve"> C. (ed.), </w:t>
      </w:r>
      <w:proofErr w:type="spellStart"/>
      <w:r w:rsidRPr="00074DDC">
        <w:rPr>
          <w:i/>
          <w:lang w:val="en-US"/>
        </w:rPr>
        <w:t>Gelijkheid</w:t>
      </w:r>
      <w:proofErr w:type="spellEnd"/>
      <w:r w:rsidRPr="00074DDC">
        <w:rPr>
          <w:i/>
          <w:lang w:val="en-US"/>
        </w:rPr>
        <w:t xml:space="preserve"> in the </w:t>
      </w:r>
      <w:proofErr w:type="spellStart"/>
      <w:r w:rsidRPr="00074DDC">
        <w:rPr>
          <w:i/>
          <w:lang w:val="en-US"/>
        </w:rPr>
        <w:t>Arbeidsrecht</w:t>
      </w:r>
      <w:proofErr w:type="spellEnd"/>
      <w:r w:rsidRPr="00074DDC">
        <w:rPr>
          <w:lang w:val="en-US"/>
        </w:rPr>
        <w:t xml:space="preserve">, </w:t>
      </w:r>
      <w:proofErr w:type="spellStart"/>
      <w:r w:rsidRPr="00074DDC">
        <w:rPr>
          <w:lang w:val="en-US"/>
        </w:rPr>
        <w:t>Antwerpen</w:t>
      </w:r>
      <w:proofErr w:type="spellEnd"/>
      <w:r w:rsidRPr="00074DDC">
        <w:rPr>
          <w:lang w:val="en-US"/>
        </w:rPr>
        <w:t xml:space="preserve"> – Oxford, </w:t>
      </w:r>
      <w:proofErr w:type="spellStart"/>
      <w:r w:rsidRPr="00074DDC">
        <w:rPr>
          <w:lang w:val="en-US"/>
        </w:rPr>
        <w:t>Intersentia</w:t>
      </w:r>
      <w:proofErr w:type="spellEnd"/>
      <w:r w:rsidRPr="00074DDC">
        <w:rPr>
          <w:lang w:val="en-US"/>
        </w:rPr>
        <w:t>, 2003, 11;</w:t>
      </w:r>
      <w:r w:rsidRPr="00CF7533">
        <w:rPr>
          <w:lang w:val="en-US"/>
        </w:rPr>
        <w:t xml:space="preserve"> European Union</w:t>
      </w:r>
      <w:r>
        <w:rPr>
          <w:lang w:val="en-US"/>
        </w:rPr>
        <w:t xml:space="preserve"> Agency for Fundamental Rights, op. cit., 32; </w:t>
      </w:r>
      <w:proofErr w:type="spellStart"/>
      <w:r w:rsidRPr="009705FC">
        <w:rPr>
          <w:lang w:val="en-GB"/>
        </w:rPr>
        <w:t>Holtmaat</w:t>
      </w:r>
      <w:proofErr w:type="spellEnd"/>
      <w:r w:rsidRPr="009705FC">
        <w:rPr>
          <w:lang w:val="en-GB"/>
        </w:rPr>
        <w:t xml:space="preserve"> R., “Sexual Harassment and Harassment on the Ground of Sex in EU Law: A Conceptual Clarification”, </w:t>
      </w:r>
      <w:r>
        <w:rPr>
          <w:i/>
          <w:lang w:val="en-GB"/>
        </w:rPr>
        <w:t>European Gender Equality Law Review</w:t>
      </w:r>
      <w:r w:rsidRPr="009705FC">
        <w:rPr>
          <w:lang w:val="en-GB"/>
        </w:rPr>
        <w:t xml:space="preserve"> 2011,</w:t>
      </w:r>
      <w:r>
        <w:rPr>
          <w:lang w:val="en-GB"/>
        </w:rPr>
        <w:t xml:space="preserve"> 5; </w:t>
      </w:r>
      <w:r>
        <w:rPr>
          <w:lang w:val="en-US"/>
        </w:rPr>
        <w:t xml:space="preserve">Samuels H., op. cit., 203; </w:t>
      </w:r>
      <w:proofErr w:type="spellStart"/>
      <w:r w:rsidRPr="002F080A">
        <w:rPr>
          <w:lang w:val="en-US"/>
        </w:rPr>
        <w:t>Tobler</w:t>
      </w:r>
      <w:proofErr w:type="spellEnd"/>
      <w:r w:rsidRPr="002F080A">
        <w:rPr>
          <w:lang w:val="en-US"/>
        </w:rPr>
        <w:t xml:space="preserve"> C., Indirect Discrimination, Antwerp, </w:t>
      </w:r>
      <w:proofErr w:type="spellStart"/>
      <w:r w:rsidRPr="002F080A">
        <w:rPr>
          <w:lang w:val="en-US"/>
        </w:rPr>
        <w:t>Intersentia</w:t>
      </w:r>
      <w:proofErr w:type="spellEnd"/>
      <w:r w:rsidRPr="002F080A">
        <w:rPr>
          <w:lang w:val="en-US"/>
        </w:rPr>
        <w:t xml:space="preserve">, 2005, 48. </w:t>
      </w:r>
    </w:p>
  </w:footnote>
  <w:footnote w:id="399">
    <w:p w:rsidR="00551E68" w:rsidRPr="00EC4BBD" w:rsidRDefault="00551E68" w:rsidP="005869B3">
      <w:pPr>
        <w:pStyle w:val="Voetnoottekst"/>
        <w:jc w:val="both"/>
        <w:rPr>
          <w:lang w:val="en-US"/>
        </w:rPr>
      </w:pPr>
      <w:r>
        <w:rPr>
          <w:rStyle w:val="Voetnootmarkering"/>
        </w:rPr>
        <w:footnoteRef/>
      </w:r>
      <w:r w:rsidRPr="00EC4BBD">
        <w:rPr>
          <w:lang w:val="en-US"/>
        </w:rPr>
        <w:t xml:space="preserve"> </w:t>
      </w:r>
      <w:r>
        <w:rPr>
          <w:lang w:val="en-US"/>
        </w:rPr>
        <w:t xml:space="preserve">Article 2(1) c) Directive 2006/54/EC (‘unwanted conduct related to the sex of a person’). </w:t>
      </w:r>
    </w:p>
  </w:footnote>
  <w:footnote w:id="400">
    <w:p w:rsidR="00551E68" w:rsidRPr="00EC4BBD" w:rsidRDefault="00551E68" w:rsidP="005869B3">
      <w:pPr>
        <w:pStyle w:val="Voetnoottekst"/>
        <w:jc w:val="both"/>
        <w:rPr>
          <w:lang w:val="en-US"/>
        </w:rPr>
      </w:pPr>
      <w:r>
        <w:rPr>
          <w:rStyle w:val="Voetnootmarkering"/>
        </w:rPr>
        <w:footnoteRef/>
      </w:r>
      <w:r w:rsidRPr="00EC4BBD">
        <w:rPr>
          <w:lang w:val="en-US"/>
        </w:rPr>
        <w:t xml:space="preserve"> </w:t>
      </w:r>
      <w:r>
        <w:rPr>
          <w:lang w:val="en-US"/>
        </w:rPr>
        <w:t xml:space="preserve">Article 2(1) d) Directive 2006/54/EC. </w:t>
      </w:r>
    </w:p>
  </w:footnote>
  <w:footnote w:id="401">
    <w:p w:rsidR="00551E68" w:rsidRPr="00DB5B27" w:rsidRDefault="00551E68" w:rsidP="005869B3">
      <w:pPr>
        <w:pStyle w:val="Voetnoottekst"/>
        <w:jc w:val="both"/>
        <w:rPr>
          <w:lang w:val="en-GB"/>
        </w:rPr>
      </w:pPr>
      <w:r>
        <w:rPr>
          <w:rStyle w:val="Voetnootmarkering"/>
        </w:rPr>
        <w:footnoteRef/>
      </w:r>
      <w:r>
        <w:rPr>
          <w:lang w:val="en-US"/>
        </w:rPr>
        <w:t xml:space="preserve"> </w:t>
      </w:r>
      <w:r>
        <w:rPr>
          <w:lang w:val="en-GB"/>
        </w:rPr>
        <w:t>Earle B. a</w:t>
      </w:r>
      <w:r w:rsidRPr="00DB5B27">
        <w:rPr>
          <w:lang w:val="en-GB"/>
        </w:rPr>
        <w:t xml:space="preserve">nd </w:t>
      </w:r>
      <w:proofErr w:type="spellStart"/>
      <w:r w:rsidRPr="00DB5B27">
        <w:rPr>
          <w:lang w:val="en-GB"/>
        </w:rPr>
        <w:t>Madek</w:t>
      </w:r>
      <w:proofErr w:type="spellEnd"/>
      <w:r w:rsidRPr="00DB5B27">
        <w:rPr>
          <w:lang w:val="en-GB"/>
        </w:rPr>
        <w:t xml:space="preserve"> G.,</w:t>
      </w:r>
      <w:r>
        <w:rPr>
          <w:lang w:val="en-GB"/>
        </w:rPr>
        <w:t xml:space="preserve"> op. cit.</w:t>
      </w:r>
      <w:r w:rsidRPr="00DB5B27">
        <w:rPr>
          <w:lang w:val="en-GB"/>
        </w:rPr>
        <w:t>,</w:t>
      </w:r>
      <w:r>
        <w:rPr>
          <w:lang w:val="en-GB"/>
        </w:rPr>
        <w:t xml:space="preserve"> 79; </w:t>
      </w:r>
      <w:proofErr w:type="spellStart"/>
      <w:r w:rsidRPr="0077666F">
        <w:rPr>
          <w:lang w:val="en-GB"/>
        </w:rPr>
        <w:t>Holtmaat</w:t>
      </w:r>
      <w:proofErr w:type="spellEnd"/>
      <w:r w:rsidRPr="0077666F">
        <w:rPr>
          <w:lang w:val="en-GB"/>
        </w:rPr>
        <w:t xml:space="preserve"> R., “Sexual Harassment and Harassment on the Ground of Sex in EU Law: A Conceptual Clarification”, </w:t>
      </w:r>
      <w:r>
        <w:rPr>
          <w:i/>
          <w:lang w:val="en-GB"/>
        </w:rPr>
        <w:t>European Gender Equality Law Review</w:t>
      </w:r>
      <w:r w:rsidRPr="0077666F">
        <w:rPr>
          <w:lang w:val="en-GB"/>
        </w:rPr>
        <w:t xml:space="preserve"> 2011</w:t>
      </w:r>
      <w:r>
        <w:rPr>
          <w:lang w:val="en-GB"/>
        </w:rPr>
        <w:t xml:space="preserve">, 13; </w:t>
      </w:r>
      <w:r>
        <w:rPr>
          <w:lang w:val="en-US"/>
        </w:rPr>
        <w:t xml:space="preserve">Rubenstein M., op. cit., 36-38. </w:t>
      </w:r>
    </w:p>
  </w:footnote>
  <w:footnote w:id="402">
    <w:p w:rsidR="00551E68" w:rsidRPr="00BF4216" w:rsidRDefault="00551E68" w:rsidP="005869B3">
      <w:pPr>
        <w:pStyle w:val="Voetnoottekst"/>
        <w:jc w:val="both"/>
        <w:rPr>
          <w:lang w:val="en-GB"/>
        </w:rPr>
      </w:pPr>
      <w:r>
        <w:rPr>
          <w:rStyle w:val="Voetnootmarkering"/>
        </w:rPr>
        <w:footnoteRef/>
      </w:r>
      <w:r>
        <w:rPr>
          <w:lang w:val="en-US"/>
        </w:rPr>
        <w:t xml:space="preserve"> </w:t>
      </w:r>
      <w:proofErr w:type="spellStart"/>
      <w:r w:rsidRPr="00BF4216">
        <w:rPr>
          <w:lang w:val="en-GB"/>
        </w:rPr>
        <w:t>Ahtela</w:t>
      </w:r>
      <w:proofErr w:type="spellEnd"/>
      <w:r w:rsidRPr="00BF4216">
        <w:rPr>
          <w:lang w:val="en-GB"/>
        </w:rPr>
        <w:t xml:space="preserve"> K., “The Revised Provisions on Sex Discrimination in European Law: A Critical Assessment”, </w:t>
      </w:r>
      <w:r w:rsidRPr="00BF4216">
        <w:rPr>
          <w:i/>
          <w:lang w:val="en-GB"/>
        </w:rPr>
        <w:t xml:space="preserve">ELJ </w:t>
      </w:r>
      <w:r w:rsidRPr="00BF4216">
        <w:rPr>
          <w:lang w:val="en-GB"/>
        </w:rPr>
        <w:t>2005,</w:t>
      </w:r>
      <w:r>
        <w:rPr>
          <w:lang w:val="en-GB"/>
        </w:rPr>
        <w:t xml:space="preserve"> 67; </w:t>
      </w:r>
      <w:proofErr w:type="spellStart"/>
      <w:r w:rsidRPr="00527700">
        <w:rPr>
          <w:lang w:val="en-GB"/>
        </w:rPr>
        <w:t>Masselot</w:t>
      </w:r>
      <w:proofErr w:type="spellEnd"/>
      <w:r w:rsidRPr="00527700">
        <w:rPr>
          <w:lang w:val="en-GB"/>
        </w:rPr>
        <w:t xml:space="preserve"> A., “The New Equal Treatment Directive: Plus </w:t>
      </w:r>
      <w:proofErr w:type="spellStart"/>
      <w:r w:rsidRPr="00527700">
        <w:rPr>
          <w:lang w:val="en-GB"/>
        </w:rPr>
        <w:t>ça</w:t>
      </w:r>
      <w:proofErr w:type="spellEnd"/>
      <w:r w:rsidRPr="00527700">
        <w:rPr>
          <w:lang w:val="en-GB"/>
        </w:rPr>
        <w:t xml:space="preserve"> change...”, </w:t>
      </w:r>
      <w:r>
        <w:rPr>
          <w:i/>
          <w:lang w:val="en-GB"/>
        </w:rPr>
        <w:t>Fem. L. S.</w:t>
      </w:r>
      <w:r w:rsidRPr="00527700">
        <w:rPr>
          <w:lang w:val="en-GB"/>
        </w:rPr>
        <w:t xml:space="preserve"> 2004,</w:t>
      </w:r>
      <w:r>
        <w:rPr>
          <w:lang w:val="en-GB"/>
        </w:rPr>
        <w:t xml:space="preserve"> 98. </w:t>
      </w:r>
    </w:p>
  </w:footnote>
  <w:footnote w:id="403">
    <w:p w:rsidR="00551E68" w:rsidRPr="00457056" w:rsidRDefault="00551E68" w:rsidP="005869B3">
      <w:pPr>
        <w:pStyle w:val="Voetnoottekst"/>
        <w:jc w:val="both"/>
        <w:rPr>
          <w:lang w:val="en-GB"/>
        </w:rPr>
      </w:pPr>
      <w:r>
        <w:rPr>
          <w:rStyle w:val="Voetnootmarkering"/>
        </w:rPr>
        <w:footnoteRef/>
      </w:r>
      <w:r>
        <w:rPr>
          <w:lang w:val="en-US"/>
        </w:rPr>
        <w:t xml:space="preserve"> Article 2(2) a) </w:t>
      </w:r>
      <w:r w:rsidRPr="00457056">
        <w:rPr>
          <w:bCs/>
          <w:lang w:val="en-US"/>
        </w:rPr>
        <w:t xml:space="preserve">Directive </w:t>
      </w:r>
      <w:r>
        <w:rPr>
          <w:bCs/>
          <w:lang w:val="en-US"/>
        </w:rPr>
        <w:t xml:space="preserve">2006/54/EC refers to quid pro quo harassment in a rather vague manner. </w:t>
      </w:r>
    </w:p>
  </w:footnote>
  <w:footnote w:id="404">
    <w:p w:rsidR="00551E68" w:rsidRPr="00AC58AC" w:rsidRDefault="00551E68" w:rsidP="005869B3">
      <w:pPr>
        <w:pStyle w:val="Voetnoottekst"/>
        <w:jc w:val="both"/>
        <w:rPr>
          <w:lang w:val="en-US"/>
        </w:rPr>
      </w:pPr>
      <w:r>
        <w:rPr>
          <w:rStyle w:val="Voetnootmarkering"/>
        </w:rPr>
        <w:footnoteRef/>
      </w:r>
      <w:r w:rsidRPr="00AC58AC">
        <w:rPr>
          <w:lang w:val="en-US"/>
        </w:rPr>
        <w:t xml:space="preserve"> Beth Ann </w:t>
      </w:r>
      <w:proofErr w:type="spellStart"/>
      <w:r w:rsidRPr="00AC58AC">
        <w:rPr>
          <w:lang w:val="en-US"/>
        </w:rPr>
        <w:t>Faragher</w:t>
      </w:r>
      <w:proofErr w:type="spellEnd"/>
      <w:r w:rsidRPr="00AC58AC">
        <w:rPr>
          <w:lang w:val="en-US"/>
        </w:rPr>
        <w:t xml:space="preserve"> v. City of Boca Raton 524 U.S. 775 (1998)</w:t>
      </w:r>
      <w:r>
        <w:rPr>
          <w:lang w:val="en-US"/>
        </w:rPr>
        <w:t xml:space="preserve">; </w:t>
      </w:r>
      <w:r w:rsidRPr="00AC58AC">
        <w:rPr>
          <w:lang w:val="en-US"/>
        </w:rPr>
        <w:t xml:space="preserve">Burlington Industries Inc. v. </w:t>
      </w:r>
      <w:proofErr w:type="spellStart"/>
      <w:r w:rsidRPr="00AC58AC">
        <w:rPr>
          <w:lang w:val="en-US"/>
        </w:rPr>
        <w:t>Ellerth</w:t>
      </w:r>
      <w:proofErr w:type="spellEnd"/>
      <w:r w:rsidRPr="00AC58AC">
        <w:rPr>
          <w:lang w:val="en-US"/>
        </w:rPr>
        <w:t xml:space="preserve"> 524 U.S. 742 (1998).</w:t>
      </w:r>
    </w:p>
  </w:footnote>
  <w:footnote w:id="405">
    <w:p w:rsidR="00551E68" w:rsidRPr="003F051E" w:rsidRDefault="00551E68" w:rsidP="005869B3">
      <w:pPr>
        <w:pStyle w:val="Voetnoottekst"/>
        <w:jc w:val="both"/>
        <w:rPr>
          <w:bCs/>
          <w:i/>
          <w:lang w:val="en-US"/>
        </w:rPr>
      </w:pPr>
      <w:r>
        <w:rPr>
          <w:rStyle w:val="Voetnootmarkering"/>
        </w:rPr>
        <w:footnoteRef/>
      </w:r>
      <w:r>
        <w:rPr>
          <w:lang w:val="en-US"/>
        </w:rPr>
        <w:t xml:space="preserve"> Article 26 </w:t>
      </w:r>
      <w:r w:rsidRPr="003F051E">
        <w:rPr>
          <w:bCs/>
          <w:lang w:val="en-US"/>
        </w:rPr>
        <w:t>Directive 2006/54/EC;</w:t>
      </w:r>
      <w:r>
        <w:rPr>
          <w:lang w:val="en-US"/>
        </w:rPr>
        <w:t xml:space="preserve"> </w:t>
      </w:r>
      <w:r w:rsidRPr="003F051E">
        <w:rPr>
          <w:bCs/>
          <w:lang w:val="en-US"/>
        </w:rPr>
        <w:t xml:space="preserve">Gomes G., Owens J. and Morgan J., “Prohibiting sexual harassment in the European Union”, </w:t>
      </w:r>
      <w:r w:rsidRPr="003F051E">
        <w:rPr>
          <w:bCs/>
          <w:i/>
          <w:lang w:val="en-US"/>
        </w:rPr>
        <w:t xml:space="preserve">Employee Relations </w:t>
      </w:r>
      <w:r w:rsidRPr="003F051E">
        <w:rPr>
          <w:bCs/>
          <w:lang w:val="en-US"/>
        </w:rPr>
        <w:t>2004, 29</w:t>
      </w:r>
      <w:r>
        <w:rPr>
          <w:bCs/>
          <w:lang w:val="en-US"/>
        </w:rPr>
        <w:t xml:space="preserve">4; </w:t>
      </w:r>
      <w:r w:rsidRPr="003F051E">
        <w:rPr>
          <w:lang w:val="en-US"/>
        </w:rPr>
        <w:t>Samuels H.,</w:t>
      </w:r>
      <w:r>
        <w:rPr>
          <w:lang w:val="en-US"/>
        </w:rPr>
        <w:t xml:space="preserve"> op. cit., </w:t>
      </w:r>
      <w:r w:rsidRPr="003F051E">
        <w:rPr>
          <w:lang w:val="en-US"/>
        </w:rPr>
        <w:t>206</w:t>
      </w:r>
      <w:r>
        <w:rPr>
          <w:lang w:val="en-US"/>
        </w:rPr>
        <w:t xml:space="preserve">. </w:t>
      </w:r>
    </w:p>
  </w:footnote>
  <w:footnote w:id="406">
    <w:p w:rsidR="00551E68" w:rsidRPr="00370851" w:rsidRDefault="00551E68" w:rsidP="005869B3">
      <w:pPr>
        <w:pStyle w:val="Voetnoottekst"/>
        <w:jc w:val="both"/>
        <w:rPr>
          <w:lang w:val="fr-FR"/>
        </w:rPr>
      </w:pPr>
      <w:r>
        <w:rPr>
          <w:rStyle w:val="Voetnootmarkering"/>
        </w:rPr>
        <w:footnoteRef/>
      </w:r>
      <w:r w:rsidRPr="00370851">
        <w:rPr>
          <w:lang w:val="fr-FR"/>
        </w:rPr>
        <w:t xml:space="preserve"> Article 1 EU Charter.</w:t>
      </w:r>
    </w:p>
  </w:footnote>
  <w:footnote w:id="407">
    <w:p w:rsidR="00551E68" w:rsidRPr="008603D5" w:rsidRDefault="00551E68" w:rsidP="005869B3">
      <w:pPr>
        <w:pStyle w:val="Voetnoottekst"/>
        <w:jc w:val="both"/>
        <w:rPr>
          <w:lang w:val="fr-FR"/>
        </w:rPr>
      </w:pPr>
      <w:r>
        <w:rPr>
          <w:rStyle w:val="Voetnootmarkering"/>
        </w:rPr>
        <w:footnoteRef/>
      </w:r>
      <w:r w:rsidRPr="008603D5">
        <w:rPr>
          <w:lang w:val="fr-FR"/>
        </w:rPr>
        <w:t xml:space="preserve"> Article 3 E</w:t>
      </w:r>
      <w:r>
        <w:rPr>
          <w:lang w:val="fr-FR"/>
        </w:rPr>
        <w:t>U Charter.</w:t>
      </w:r>
    </w:p>
  </w:footnote>
  <w:footnote w:id="408">
    <w:p w:rsidR="00551E68" w:rsidRPr="00AE7C10" w:rsidRDefault="00551E68" w:rsidP="005869B3">
      <w:pPr>
        <w:pStyle w:val="Voetnoottekst"/>
        <w:jc w:val="both"/>
        <w:rPr>
          <w:lang w:val="fr-FR"/>
        </w:rPr>
      </w:pPr>
      <w:r>
        <w:rPr>
          <w:rStyle w:val="Voetnootmarkering"/>
        </w:rPr>
        <w:footnoteRef/>
      </w:r>
      <w:r w:rsidRPr="00AE7C10">
        <w:rPr>
          <w:lang w:val="fr-FR"/>
        </w:rPr>
        <w:t xml:space="preserve"> Article 21 E</w:t>
      </w:r>
      <w:r>
        <w:rPr>
          <w:lang w:val="fr-FR"/>
        </w:rPr>
        <w:t xml:space="preserve">U Charter. </w:t>
      </w:r>
    </w:p>
  </w:footnote>
  <w:footnote w:id="409">
    <w:p w:rsidR="00551E68" w:rsidRPr="008603D5" w:rsidRDefault="00551E68" w:rsidP="005869B3">
      <w:pPr>
        <w:pStyle w:val="Voetnoottekst"/>
        <w:jc w:val="both"/>
        <w:rPr>
          <w:lang w:val="fr-FR"/>
        </w:rPr>
      </w:pPr>
      <w:r>
        <w:rPr>
          <w:rStyle w:val="Voetnootmarkering"/>
        </w:rPr>
        <w:footnoteRef/>
      </w:r>
      <w:r w:rsidRPr="008603D5">
        <w:rPr>
          <w:lang w:val="fr-FR"/>
        </w:rPr>
        <w:t xml:space="preserve"> </w:t>
      </w:r>
      <w:r>
        <w:rPr>
          <w:lang w:val="fr-FR"/>
        </w:rPr>
        <w:t>Article 23 EU Charter.</w:t>
      </w:r>
    </w:p>
  </w:footnote>
  <w:footnote w:id="410">
    <w:p w:rsidR="00551E68" w:rsidRPr="00272991" w:rsidRDefault="00551E68" w:rsidP="005869B3">
      <w:pPr>
        <w:pStyle w:val="Voetnoottekst"/>
        <w:jc w:val="both"/>
        <w:rPr>
          <w:lang w:val="en-US"/>
        </w:rPr>
      </w:pPr>
      <w:r>
        <w:rPr>
          <w:rStyle w:val="Voetnootmarkering"/>
        </w:rPr>
        <w:footnoteRef/>
      </w:r>
      <w:r w:rsidRPr="00272991">
        <w:rPr>
          <w:lang w:val="en-US"/>
        </w:rPr>
        <w:t xml:space="preserve"> Article 31 EU Charter. </w:t>
      </w:r>
    </w:p>
  </w:footnote>
  <w:footnote w:id="411">
    <w:p w:rsidR="00551E68" w:rsidRPr="00145763" w:rsidRDefault="00551E68" w:rsidP="005869B3">
      <w:pPr>
        <w:pStyle w:val="Voetnoottekst"/>
        <w:jc w:val="both"/>
        <w:rPr>
          <w:lang w:val="en-US"/>
        </w:rPr>
      </w:pPr>
      <w:r>
        <w:rPr>
          <w:rStyle w:val="Voetnootmarkering"/>
        </w:rPr>
        <w:footnoteRef/>
      </w:r>
      <w:r w:rsidRPr="00145763">
        <w:rPr>
          <w:lang w:val="en-US"/>
        </w:rPr>
        <w:t xml:space="preserve"> </w:t>
      </w:r>
      <w:r>
        <w:rPr>
          <w:lang w:val="en-US"/>
        </w:rPr>
        <w:t xml:space="preserve">Article 26(1) </w:t>
      </w:r>
      <w:r>
        <w:rPr>
          <w:lang w:val="en-GB"/>
        </w:rPr>
        <w:t xml:space="preserve">Explanatory Report to the RESC. </w:t>
      </w:r>
    </w:p>
  </w:footnote>
  <w:footnote w:id="412">
    <w:p w:rsidR="00551E68" w:rsidRPr="00C63A88" w:rsidRDefault="00551E68" w:rsidP="005869B3">
      <w:pPr>
        <w:pStyle w:val="Voetnoottekst"/>
        <w:jc w:val="both"/>
        <w:rPr>
          <w:lang w:val="en-US"/>
        </w:rPr>
      </w:pPr>
      <w:r>
        <w:rPr>
          <w:rStyle w:val="Voetnootmarkering"/>
        </w:rPr>
        <w:footnoteRef/>
      </w:r>
      <w:r>
        <w:rPr>
          <w:lang w:val="en-US"/>
        </w:rPr>
        <w:t xml:space="preserve"> </w:t>
      </w:r>
      <w:r w:rsidRPr="00145763">
        <w:rPr>
          <w:lang w:val="en-US"/>
        </w:rPr>
        <w:t>Article 26: ‘The right to dignity at work</w:t>
      </w:r>
      <w:r>
        <w:rPr>
          <w:lang w:val="en-US"/>
        </w:rPr>
        <w:t xml:space="preserve">’. </w:t>
      </w:r>
    </w:p>
  </w:footnote>
  <w:footnote w:id="413">
    <w:p w:rsidR="00551E68" w:rsidRPr="00230698" w:rsidRDefault="00551E68" w:rsidP="005869B3">
      <w:pPr>
        <w:pStyle w:val="Voetnoottekst"/>
        <w:jc w:val="both"/>
        <w:rPr>
          <w:b/>
          <w:u w:val="single"/>
          <w:lang w:val="en-US"/>
        </w:rPr>
      </w:pPr>
      <w:r>
        <w:rPr>
          <w:rStyle w:val="Voetnootmarkering"/>
        </w:rPr>
        <w:footnoteRef/>
      </w:r>
      <w:r>
        <w:rPr>
          <w:lang w:val="en-US"/>
        </w:rPr>
        <w:t xml:space="preserve"> </w:t>
      </w:r>
      <w:r w:rsidRPr="00230698">
        <w:rPr>
          <w:lang w:val="en-US"/>
        </w:rPr>
        <w:t>Harris D.</w:t>
      </w:r>
      <w:r>
        <w:rPr>
          <w:lang w:val="en-US"/>
        </w:rPr>
        <w:t xml:space="preserve"> and Darcy J., op. cit., 276; </w:t>
      </w:r>
      <w:proofErr w:type="spellStart"/>
      <w:r w:rsidRPr="006A50C3">
        <w:rPr>
          <w:lang w:val="en-GB"/>
        </w:rPr>
        <w:t>Toth</w:t>
      </w:r>
      <w:proofErr w:type="spellEnd"/>
      <w:r w:rsidRPr="006A50C3">
        <w:rPr>
          <w:lang w:val="en-GB"/>
        </w:rPr>
        <w:t xml:space="preserve"> M., “The right to dignity at work: Reflections on article 26 of the Revised European Social Charter”, </w:t>
      </w:r>
      <w:r w:rsidRPr="006A50C3">
        <w:rPr>
          <w:i/>
          <w:lang w:val="en-GB"/>
        </w:rPr>
        <w:t xml:space="preserve">Comp. Lab. &amp; </w:t>
      </w:r>
      <w:proofErr w:type="spellStart"/>
      <w:r w:rsidRPr="006A50C3">
        <w:rPr>
          <w:i/>
          <w:lang w:val="en-GB"/>
        </w:rPr>
        <w:t>Pol’y</w:t>
      </w:r>
      <w:proofErr w:type="spellEnd"/>
      <w:r w:rsidRPr="006A50C3">
        <w:rPr>
          <w:i/>
          <w:lang w:val="en-GB"/>
        </w:rPr>
        <w:t xml:space="preserve"> J.</w:t>
      </w:r>
      <w:r w:rsidRPr="006A50C3">
        <w:rPr>
          <w:lang w:val="en-GB"/>
        </w:rPr>
        <w:t xml:space="preserve"> 2007-2008, </w:t>
      </w:r>
      <w:r>
        <w:rPr>
          <w:lang w:val="en-GB"/>
        </w:rPr>
        <w:t xml:space="preserve">298 and 300. </w:t>
      </w:r>
    </w:p>
  </w:footnote>
  <w:footnote w:id="414">
    <w:p w:rsidR="00551E68" w:rsidRPr="00350E40" w:rsidRDefault="00551E68" w:rsidP="005869B3">
      <w:pPr>
        <w:pStyle w:val="Voetnoottekst"/>
        <w:jc w:val="both"/>
        <w:rPr>
          <w:lang w:val="en-US"/>
        </w:rPr>
      </w:pPr>
      <w:r>
        <w:rPr>
          <w:rStyle w:val="Voetnootmarkering"/>
        </w:rPr>
        <w:footnoteRef/>
      </w:r>
      <w:r w:rsidRPr="00350E40">
        <w:rPr>
          <w:lang w:val="en-US"/>
        </w:rPr>
        <w:t xml:space="preserve"> RESC Conclusions, Bulgaria (2003), 85; RESC Conclusions, France (2003), 202; RESC Conclusions, Slovenia (2003)</w:t>
      </w:r>
      <w:r>
        <w:rPr>
          <w:lang w:val="en-US"/>
        </w:rPr>
        <w:t xml:space="preserve">, 537; </w:t>
      </w:r>
      <w:proofErr w:type="spellStart"/>
      <w:r>
        <w:rPr>
          <w:lang w:val="en-US"/>
        </w:rPr>
        <w:t>Swiatkowski</w:t>
      </w:r>
      <w:proofErr w:type="spellEnd"/>
      <w:r>
        <w:rPr>
          <w:lang w:val="en-US"/>
        </w:rPr>
        <w:t xml:space="preserve"> A., op. cit., 183.</w:t>
      </w:r>
    </w:p>
  </w:footnote>
  <w:footnote w:id="415">
    <w:p w:rsidR="00551E68" w:rsidRPr="00922415" w:rsidRDefault="00551E68" w:rsidP="005869B3">
      <w:pPr>
        <w:pStyle w:val="Voetnoottekst"/>
        <w:jc w:val="both"/>
        <w:rPr>
          <w:b/>
          <w:lang w:val="en-GB"/>
        </w:rPr>
      </w:pPr>
      <w:r>
        <w:rPr>
          <w:rStyle w:val="Voetnootmarkering"/>
        </w:rPr>
        <w:footnoteRef/>
      </w:r>
      <w:r>
        <w:rPr>
          <w:lang w:val="en-US"/>
        </w:rPr>
        <w:t xml:space="preserve"> </w:t>
      </w:r>
      <w:r w:rsidRPr="00DB3C2D">
        <w:rPr>
          <w:lang w:val="en-US"/>
        </w:rPr>
        <w:t>RESC Conclusions, Statement of Interpretation</w:t>
      </w:r>
      <w:r>
        <w:rPr>
          <w:lang w:val="en-US"/>
        </w:rPr>
        <w:t xml:space="preserve"> </w:t>
      </w:r>
      <w:proofErr w:type="spellStart"/>
      <w:r>
        <w:rPr>
          <w:lang w:val="en-US"/>
        </w:rPr>
        <w:t>on</w:t>
      </w:r>
      <w:proofErr w:type="spellEnd"/>
      <w:r>
        <w:rPr>
          <w:lang w:val="en-US"/>
        </w:rPr>
        <w:t xml:space="preserve"> Article 1(2)</w:t>
      </w:r>
      <w:r w:rsidRPr="00DB3C2D">
        <w:rPr>
          <w:lang w:val="en-US"/>
        </w:rPr>
        <w:t xml:space="preserve"> (2006)</w:t>
      </w:r>
      <w:r>
        <w:rPr>
          <w:lang w:val="en-US"/>
        </w:rPr>
        <w:t xml:space="preserve">, 12; </w:t>
      </w:r>
      <w:proofErr w:type="spellStart"/>
      <w:r>
        <w:rPr>
          <w:lang w:val="en-GB"/>
        </w:rPr>
        <w:t>Mikkola</w:t>
      </w:r>
      <w:proofErr w:type="spellEnd"/>
      <w:r>
        <w:rPr>
          <w:lang w:val="en-GB"/>
        </w:rPr>
        <w:t xml:space="preserve"> M, op. cit., 165-166. </w:t>
      </w:r>
    </w:p>
  </w:footnote>
  <w:footnote w:id="416">
    <w:p w:rsidR="00551E68" w:rsidRPr="00C44789" w:rsidRDefault="00551E68" w:rsidP="005869B3">
      <w:pPr>
        <w:pStyle w:val="Voetnoottekst"/>
        <w:jc w:val="both"/>
        <w:rPr>
          <w:b/>
          <w:u w:val="single"/>
          <w:lang w:val="en-US"/>
        </w:rPr>
      </w:pPr>
      <w:r>
        <w:rPr>
          <w:rStyle w:val="Voetnootmarkering"/>
        </w:rPr>
        <w:footnoteRef/>
      </w:r>
      <w:r w:rsidRPr="00C44789">
        <w:rPr>
          <w:lang w:val="en-US"/>
        </w:rPr>
        <w:t xml:space="preserve"> Crouch M., op. cit., 175; </w:t>
      </w:r>
      <w:proofErr w:type="spellStart"/>
      <w:r w:rsidRPr="00C44789">
        <w:rPr>
          <w:lang w:val="en-US"/>
        </w:rPr>
        <w:t>Swiatkowski</w:t>
      </w:r>
      <w:proofErr w:type="spellEnd"/>
      <w:r w:rsidRPr="00C44789">
        <w:rPr>
          <w:lang w:val="en-US"/>
        </w:rPr>
        <w:t xml:space="preserve"> A., op. cit</w:t>
      </w:r>
      <w:r>
        <w:rPr>
          <w:lang w:val="en-US"/>
        </w:rPr>
        <w:t>.</w:t>
      </w:r>
      <w:r w:rsidRPr="00C44789">
        <w:rPr>
          <w:lang w:val="en-US"/>
        </w:rPr>
        <w:t xml:space="preserve">, 181. </w:t>
      </w:r>
    </w:p>
  </w:footnote>
  <w:footnote w:id="417">
    <w:p w:rsidR="00551E68" w:rsidRPr="00480B33" w:rsidRDefault="00551E68" w:rsidP="005869B3">
      <w:pPr>
        <w:pStyle w:val="Voetnoottekst"/>
        <w:jc w:val="both"/>
        <w:rPr>
          <w:b/>
          <w:bCs/>
          <w:lang w:val="en-GB"/>
        </w:rPr>
      </w:pPr>
      <w:r>
        <w:rPr>
          <w:rStyle w:val="Voetnootmarkering"/>
        </w:rPr>
        <w:footnoteRef/>
      </w:r>
      <w:r w:rsidRPr="00967E7C">
        <w:rPr>
          <w:lang w:val="en-US"/>
        </w:rPr>
        <w:t xml:space="preserve"> See for example: </w:t>
      </w:r>
      <w:proofErr w:type="spellStart"/>
      <w:r w:rsidRPr="00967E7C">
        <w:rPr>
          <w:lang w:val="en-US"/>
        </w:rPr>
        <w:t>ECtHR</w:t>
      </w:r>
      <w:proofErr w:type="spellEnd"/>
      <w:r w:rsidRPr="00967E7C">
        <w:rPr>
          <w:lang w:val="en-US"/>
        </w:rPr>
        <w:t xml:space="preserve">, </w:t>
      </w:r>
      <w:r w:rsidRPr="00350C56">
        <w:rPr>
          <w:bCs/>
          <w:i/>
          <w:lang w:val="en-GB"/>
        </w:rPr>
        <w:t>X and Y v. The Netherlands</w:t>
      </w:r>
      <w:r w:rsidRPr="00967E7C">
        <w:rPr>
          <w:bCs/>
          <w:lang w:val="en-GB"/>
        </w:rPr>
        <w:t>, 1985</w:t>
      </w:r>
      <w:r>
        <w:rPr>
          <w:bCs/>
          <w:lang w:val="en-GB"/>
        </w:rPr>
        <w:t xml:space="preserve">, para. 22; </w:t>
      </w:r>
      <w:proofErr w:type="spellStart"/>
      <w:r w:rsidRPr="00480B33">
        <w:rPr>
          <w:bCs/>
          <w:lang w:val="en-US"/>
        </w:rPr>
        <w:t>ECtHR</w:t>
      </w:r>
      <w:proofErr w:type="spellEnd"/>
      <w:r w:rsidRPr="00480B33">
        <w:rPr>
          <w:bCs/>
          <w:lang w:val="en-US"/>
        </w:rPr>
        <w:t xml:space="preserve">, </w:t>
      </w:r>
      <w:proofErr w:type="spellStart"/>
      <w:r>
        <w:rPr>
          <w:bCs/>
          <w:i/>
          <w:lang w:val="en-US"/>
        </w:rPr>
        <w:t>Laskey</w:t>
      </w:r>
      <w:proofErr w:type="spellEnd"/>
      <w:r>
        <w:rPr>
          <w:bCs/>
          <w:i/>
          <w:lang w:val="en-US"/>
        </w:rPr>
        <w:t xml:space="preserve"> and others</w:t>
      </w:r>
      <w:r w:rsidRPr="00480B33">
        <w:rPr>
          <w:bCs/>
          <w:i/>
          <w:lang w:val="en-US"/>
        </w:rPr>
        <w:t xml:space="preserve"> v. the United Kingdom</w:t>
      </w:r>
      <w:r w:rsidRPr="00480B33">
        <w:rPr>
          <w:bCs/>
          <w:lang w:val="en-US"/>
        </w:rPr>
        <w:t>, 1997</w:t>
      </w:r>
      <w:r>
        <w:rPr>
          <w:bCs/>
          <w:lang w:val="en-US"/>
        </w:rPr>
        <w:t xml:space="preserve">, para. 36. </w:t>
      </w:r>
    </w:p>
  </w:footnote>
  <w:footnote w:id="418">
    <w:p w:rsidR="00551E68" w:rsidRPr="00E32DC1" w:rsidRDefault="00551E68" w:rsidP="005869B3">
      <w:pPr>
        <w:pStyle w:val="Voetnoottekst"/>
        <w:jc w:val="both"/>
        <w:rPr>
          <w:b/>
          <w:lang w:val="en-GB"/>
        </w:rPr>
      </w:pPr>
      <w:r>
        <w:rPr>
          <w:rStyle w:val="Voetnootmarkering"/>
        </w:rPr>
        <w:footnoteRef/>
      </w:r>
      <w:r>
        <w:rPr>
          <w:lang w:val="en-US"/>
        </w:rPr>
        <w:t xml:space="preserve"> </w:t>
      </w:r>
      <w:r w:rsidRPr="00E32DC1">
        <w:rPr>
          <w:lang w:val="en-GB"/>
        </w:rPr>
        <w:t>CEDAW General Recommendation no. 12 on violence against women (1989)</w:t>
      </w:r>
      <w:r>
        <w:rPr>
          <w:lang w:val="en-GB"/>
        </w:rPr>
        <w:t xml:space="preserve">; </w:t>
      </w:r>
      <w:r w:rsidRPr="00965F16">
        <w:rPr>
          <w:lang w:val="en-GB"/>
        </w:rPr>
        <w:t>CEDAW General Recommendation no. 19 on violence against women (1992)</w:t>
      </w:r>
      <w:r>
        <w:rPr>
          <w:lang w:val="en-GB"/>
        </w:rPr>
        <w:t xml:space="preserve">; </w:t>
      </w:r>
      <w:proofErr w:type="spellStart"/>
      <w:r w:rsidRPr="00965F16">
        <w:rPr>
          <w:lang w:val="en-GB"/>
        </w:rPr>
        <w:t>Oré</w:t>
      </w:r>
      <w:proofErr w:type="spellEnd"/>
      <w:r w:rsidRPr="00965F16">
        <w:rPr>
          <w:lang w:val="en-GB"/>
        </w:rPr>
        <w:t xml:space="preserve">-Aguilar G., “Sexual Harassment and Human Rights in Latin America”, </w:t>
      </w:r>
      <w:r w:rsidRPr="00965F16">
        <w:rPr>
          <w:i/>
          <w:lang w:val="en-GB"/>
        </w:rPr>
        <w:t>Fordham L. Rev.</w:t>
      </w:r>
      <w:r w:rsidRPr="00965F16">
        <w:rPr>
          <w:lang w:val="en-GB"/>
        </w:rPr>
        <w:t xml:space="preserve"> 1997-1998, 6</w:t>
      </w:r>
      <w:r>
        <w:rPr>
          <w:lang w:val="en-GB"/>
        </w:rPr>
        <w:t xml:space="preserve">40. </w:t>
      </w:r>
    </w:p>
  </w:footnote>
  <w:footnote w:id="419">
    <w:p w:rsidR="00551E68" w:rsidRPr="00E8582E" w:rsidRDefault="00551E68" w:rsidP="005869B3">
      <w:pPr>
        <w:pStyle w:val="Voetnoottekst"/>
        <w:jc w:val="both"/>
        <w:rPr>
          <w:lang w:val="en-US"/>
        </w:rPr>
      </w:pPr>
      <w:r>
        <w:rPr>
          <w:rStyle w:val="Voetnootmarkering"/>
        </w:rPr>
        <w:footnoteRef/>
      </w:r>
      <w:r w:rsidRPr="00E8582E">
        <w:rPr>
          <w:lang w:val="en-US"/>
        </w:rPr>
        <w:t xml:space="preserve"> </w:t>
      </w:r>
      <w:r w:rsidRPr="00E27797">
        <w:rPr>
          <w:lang w:val="en-GB"/>
        </w:rPr>
        <w:t>CEDAW General Recommendation no. 19 on violence against women (1992)</w:t>
      </w:r>
      <w:r>
        <w:rPr>
          <w:lang w:val="en-GB"/>
        </w:rPr>
        <w:t xml:space="preserve">, para. 6. </w:t>
      </w:r>
    </w:p>
  </w:footnote>
  <w:footnote w:id="420">
    <w:p w:rsidR="00551E68" w:rsidRPr="005A03D2" w:rsidRDefault="00551E68" w:rsidP="005869B3">
      <w:pPr>
        <w:pStyle w:val="Voetnoottekst"/>
        <w:jc w:val="both"/>
        <w:rPr>
          <w:lang w:val="en-US"/>
        </w:rPr>
      </w:pPr>
      <w:r>
        <w:rPr>
          <w:rStyle w:val="Voetnootmarkering"/>
        </w:rPr>
        <w:footnoteRef/>
      </w:r>
      <w:r w:rsidRPr="005A03D2">
        <w:rPr>
          <w:lang w:val="en-US"/>
        </w:rPr>
        <w:t xml:space="preserve"> </w:t>
      </w:r>
      <w:r w:rsidRPr="00CA602F">
        <w:rPr>
          <w:lang w:val="en-GB"/>
        </w:rPr>
        <w:t>CEDAW General Recommendation no. 19 on violence against women (1992)</w:t>
      </w:r>
      <w:r>
        <w:rPr>
          <w:lang w:val="en-GB"/>
        </w:rPr>
        <w:t xml:space="preserve">, paras 1, 6-7. </w:t>
      </w:r>
    </w:p>
  </w:footnote>
  <w:footnote w:id="421">
    <w:p w:rsidR="00551E68" w:rsidRPr="003239D9" w:rsidRDefault="00551E68" w:rsidP="005869B3">
      <w:pPr>
        <w:pStyle w:val="Voetnoottekst"/>
        <w:jc w:val="both"/>
        <w:rPr>
          <w:lang w:val="en-GB"/>
        </w:rPr>
      </w:pPr>
      <w:r>
        <w:rPr>
          <w:rStyle w:val="Voetnootmarkering"/>
        </w:rPr>
        <w:footnoteRef/>
      </w:r>
      <w:r>
        <w:rPr>
          <w:lang w:val="en-US"/>
        </w:rPr>
        <w:t xml:space="preserve"> </w:t>
      </w:r>
      <w:r w:rsidRPr="00D55D54">
        <w:rPr>
          <w:lang w:val="en-GB"/>
        </w:rPr>
        <w:t>CEDAW General Recommendation no. 19 on violence against women (1992),</w:t>
      </w:r>
      <w:r>
        <w:rPr>
          <w:lang w:val="en-GB"/>
        </w:rPr>
        <w:t xml:space="preserve"> para. 6; </w:t>
      </w:r>
      <w:r w:rsidRPr="003239D9">
        <w:rPr>
          <w:lang w:val="en-GB"/>
        </w:rPr>
        <w:t xml:space="preserve">Earle B. And </w:t>
      </w:r>
      <w:proofErr w:type="spellStart"/>
      <w:r w:rsidRPr="003239D9">
        <w:rPr>
          <w:lang w:val="en-GB"/>
        </w:rPr>
        <w:t>Madek</w:t>
      </w:r>
      <w:proofErr w:type="spellEnd"/>
      <w:r w:rsidRPr="003239D9">
        <w:rPr>
          <w:lang w:val="en-GB"/>
        </w:rPr>
        <w:t xml:space="preserve"> G.,</w:t>
      </w:r>
      <w:r>
        <w:rPr>
          <w:lang w:val="en-GB"/>
        </w:rPr>
        <w:t xml:space="preserve"> op. cit., 72. </w:t>
      </w:r>
    </w:p>
  </w:footnote>
  <w:footnote w:id="422">
    <w:p w:rsidR="00551E68" w:rsidRPr="00862B37" w:rsidRDefault="00551E68" w:rsidP="005869B3">
      <w:pPr>
        <w:pStyle w:val="Voetnoottekst"/>
        <w:jc w:val="both"/>
        <w:rPr>
          <w:b/>
          <w:i/>
          <w:lang w:val="en-US"/>
        </w:rPr>
      </w:pPr>
      <w:r>
        <w:rPr>
          <w:rStyle w:val="Voetnootmarkering"/>
        </w:rPr>
        <w:footnoteRef/>
      </w:r>
      <w:r w:rsidRPr="00513CF0">
        <w:rPr>
          <w:lang w:val="en-US"/>
        </w:rPr>
        <w:t xml:space="preserve"> See for example: Yakin </w:t>
      </w:r>
      <w:proofErr w:type="spellStart"/>
      <w:r w:rsidRPr="00513CF0">
        <w:rPr>
          <w:lang w:val="en-US"/>
        </w:rPr>
        <w:t>Erturk</w:t>
      </w:r>
      <w:proofErr w:type="spellEnd"/>
      <w:r w:rsidRPr="00513CF0">
        <w:rPr>
          <w:lang w:val="en-US"/>
        </w:rPr>
        <w:t xml:space="preserve">, </w:t>
      </w:r>
      <w:r w:rsidRPr="00513CF0">
        <w:rPr>
          <w:i/>
          <w:lang w:val="en-US"/>
        </w:rPr>
        <w:t>Report of the Special Rapporteur on violence against women, its causes and consequences</w:t>
      </w:r>
      <w:r w:rsidRPr="00513CF0">
        <w:rPr>
          <w:lang w:val="en-US"/>
        </w:rPr>
        <w:t>, A/HRC/11/6/Add. 5, 27 May 2009,</w:t>
      </w:r>
      <w:r>
        <w:rPr>
          <w:lang w:val="en-US"/>
        </w:rPr>
        <w:t xml:space="preserve"> para. 12; Alston P. and Goodman R., op. cit.</w:t>
      </w:r>
      <w:r w:rsidRPr="00862B37">
        <w:rPr>
          <w:lang w:val="en-US"/>
        </w:rPr>
        <w:t>,</w:t>
      </w:r>
      <w:r>
        <w:rPr>
          <w:lang w:val="en-US"/>
        </w:rPr>
        <w:t xml:space="preserve"> 197; </w:t>
      </w:r>
      <w:r w:rsidRPr="001A3A81">
        <w:rPr>
          <w:lang w:val="en-US"/>
        </w:rPr>
        <w:t xml:space="preserve">McCann D., </w:t>
      </w:r>
      <w:r w:rsidRPr="001A3A81">
        <w:rPr>
          <w:i/>
          <w:lang w:val="en-US"/>
        </w:rPr>
        <w:t>Sexual Harassment at work: National and international responses</w:t>
      </w:r>
      <w:r w:rsidRPr="001A3A81">
        <w:rPr>
          <w:lang w:val="en-US"/>
        </w:rPr>
        <w:t xml:space="preserve">, Geneva, International </w:t>
      </w:r>
      <w:proofErr w:type="spellStart"/>
      <w:r w:rsidRPr="001A3A81">
        <w:rPr>
          <w:lang w:val="en-US"/>
        </w:rPr>
        <w:t>Labour</w:t>
      </w:r>
      <w:proofErr w:type="spellEnd"/>
      <w:r w:rsidRPr="001A3A81">
        <w:rPr>
          <w:lang w:val="en-US"/>
        </w:rPr>
        <w:t xml:space="preserve"> Organization, 2005,</w:t>
      </w:r>
      <w:r>
        <w:rPr>
          <w:lang w:val="en-US"/>
        </w:rPr>
        <w:t xml:space="preserve"> 11. </w:t>
      </w:r>
    </w:p>
  </w:footnote>
  <w:footnote w:id="423">
    <w:p w:rsidR="00551E68" w:rsidRPr="00C140CA" w:rsidRDefault="00551E68" w:rsidP="005869B3">
      <w:pPr>
        <w:pStyle w:val="Voetnoottekst"/>
        <w:jc w:val="both"/>
        <w:rPr>
          <w:lang w:val="en-GB"/>
        </w:rPr>
      </w:pPr>
      <w:r>
        <w:rPr>
          <w:rStyle w:val="Voetnootmarkering"/>
        </w:rPr>
        <w:footnoteRef/>
      </w:r>
      <w:r w:rsidRPr="005A03D2">
        <w:rPr>
          <w:lang w:val="en-US"/>
        </w:rPr>
        <w:t xml:space="preserve"> </w:t>
      </w:r>
      <w:r w:rsidRPr="00C140CA">
        <w:rPr>
          <w:lang w:val="en-GB"/>
        </w:rPr>
        <w:t>CEDAW General Recommendation no. 19 on violence against women (1992)</w:t>
      </w:r>
      <w:r>
        <w:rPr>
          <w:lang w:val="en-GB"/>
        </w:rPr>
        <w:t xml:space="preserve">, paras 17-18. </w:t>
      </w:r>
    </w:p>
  </w:footnote>
  <w:footnote w:id="424">
    <w:p w:rsidR="00551E68" w:rsidRPr="005A03D2" w:rsidRDefault="00551E68" w:rsidP="005869B3">
      <w:pPr>
        <w:pStyle w:val="Voetnoottekst"/>
        <w:jc w:val="both"/>
        <w:rPr>
          <w:lang w:val="en-US"/>
        </w:rPr>
      </w:pPr>
      <w:r>
        <w:rPr>
          <w:rStyle w:val="Voetnootmarkering"/>
        </w:rPr>
        <w:footnoteRef/>
      </w:r>
      <w:r>
        <w:rPr>
          <w:lang w:val="en-US"/>
        </w:rPr>
        <w:t xml:space="preserve"> </w:t>
      </w:r>
      <w:r w:rsidRPr="00783B02">
        <w:rPr>
          <w:lang w:val="en-US"/>
        </w:rPr>
        <w:t>CEDAW CO Cuba, A/55/38 (2000)</w:t>
      </w:r>
      <w:r>
        <w:rPr>
          <w:lang w:val="en-US"/>
        </w:rPr>
        <w:t xml:space="preserve">, paras 263-264; CEDAW CO Fiji, A/57/38 (2002), para. 57; </w:t>
      </w:r>
      <w:r w:rsidRPr="00E91EE6">
        <w:rPr>
          <w:lang w:val="en-US"/>
        </w:rPr>
        <w:t>CE</w:t>
      </w:r>
      <w:r>
        <w:rPr>
          <w:lang w:val="en-US"/>
        </w:rPr>
        <w:t xml:space="preserve">DAW CO Hungary, A/57/38 (2002), paras 321-322; </w:t>
      </w:r>
      <w:r w:rsidRPr="00564FFA">
        <w:rPr>
          <w:lang w:val="en-US"/>
        </w:rPr>
        <w:t>CEDAW CO Mongolia, CEDAW/C/MNG/CO/7 (2008)</w:t>
      </w:r>
      <w:r>
        <w:rPr>
          <w:lang w:val="en-US"/>
        </w:rPr>
        <w:t xml:space="preserve">, para. 32; </w:t>
      </w:r>
      <w:r w:rsidRPr="00E91EE6">
        <w:rPr>
          <w:lang w:val="en-US"/>
        </w:rPr>
        <w:t xml:space="preserve">CEDAW CO Trinidad and Tobago, A/57/38 (2002), para. 151; </w:t>
      </w:r>
      <w:r w:rsidRPr="00F215A4">
        <w:rPr>
          <w:lang w:val="en-US"/>
        </w:rPr>
        <w:t>CEDAW CO Singapore, CEDAW/C/SGP/CO/4 (2011)</w:t>
      </w:r>
      <w:r>
        <w:rPr>
          <w:lang w:val="en-US"/>
        </w:rPr>
        <w:t>, paras 31-32.</w:t>
      </w:r>
    </w:p>
  </w:footnote>
  <w:footnote w:id="425">
    <w:p w:rsidR="00551E68" w:rsidRPr="005A03D2" w:rsidRDefault="00551E68" w:rsidP="005869B3">
      <w:pPr>
        <w:pStyle w:val="Voetnoottekst"/>
        <w:jc w:val="both"/>
        <w:rPr>
          <w:lang w:val="en-US"/>
        </w:rPr>
      </w:pPr>
      <w:r>
        <w:rPr>
          <w:rStyle w:val="Voetnootmarkering"/>
        </w:rPr>
        <w:footnoteRef/>
      </w:r>
      <w:r>
        <w:rPr>
          <w:lang w:val="en-US"/>
        </w:rPr>
        <w:t xml:space="preserve"> </w:t>
      </w:r>
      <w:r w:rsidRPr="00E91EE6">
        <w:rPr>
          <w:lang w:val="en-US"/>
        </w:rPr>
        <w:t>CEDAW CO Be</w:t>
      </w:r>
      <w:r>
        <w:rPr>
          <w:lang w:val="en-US"/>
        </w:rPr>
        <w:t xml:space="preserve">larus, CEDAW/C/BLR/CO/7 (2011), para. 31; </w:t>
      </w:r>
      <w:r w:rsidRPr="00047187">
        <w:rPr>
          <w:lang w:val="en-US"/>
        </w:rPr>
        <w:t>CEDAW CO Dom</w:t>
      </w:r>
      <w:r>
        <w:rPr>
          <w:lang w:val="en-US"/>
        </w:rPr>
        <w:t xml:space="preserve">inican Republic, A/59/38 (2004), paras 306-307; </w:t>
      </w:r>
      <w:r w:rsidRPr="001430F1">
        <w:rPr>
          <w:lang w:val="en-US"/>
        </w:rPr>
        <w:t>CEDAW CO Mexico, CEDAW/C/MEX/CO/7-8 (2012)</w:t>
      </w:r>
      <w:r>
        <w:rPr>
          <w:lang w:val="en-US"/>
        </w:rPr>
        <w:t xml:space="preserve">, para. 29; </w:t>
      </w:r>
      <w:r w:rsidRPr="002C393A">
        <w:rPr>
          <w:lang w:val="en-US"/>
        </w:rPr>
        <w:t>CEDAW CO Republic of Korea, A/53/38/Rev. 1 (1998</w:t>
      </w:r>
      <w:r>
        <w:rPr>
          <w:lang w:val="en-US"/>
        </w:rPr>
        <w:t xml:space="preserve">), paras 378-379. </w:t>
      </w:r>
    </w:p>
  </w:footnote>
  <w:footnote w:id="426">
    <w:p w:rsidR="00551E68" w:rsidRPr="006E7ADD" w:rsidRDefault="00551E68" w:rsidP="005869B3">
      <w:pPr>
        <w:pStyle w:val="Voetnoottekst"/>
        <w:jc w:val="both"/>
        <w:rPr>
          <w:lang w:val="en-US"/>
        </w:rPr>
      </w:pPr>
      <w:r>
        <w:rPr>
          <w:rStyle w:val="Voetnootmarkering"/>
        </w:rPr>
        <w:footnoteRef/>
      </w:r>
      <w:r w:rsidRPr="005A03D2">
        <w:rPr>
          <w:lang w:val="en-US"/>
        </w:rPr>
        <w:t xml:space="preserve"> </w:t>
      </w:r>
      <w:r w:rsidRPr="006E7ADD">
        <w:rPr>
          <w:lang w:val="en-US"/>
        </w:rPr>
        <w:t>CO Finland, A/56/38 (2001)</w:t>
      </w:r>
      <w:r>
        <w:rPr>
          <w:lang w:val="en-US"/>
        </w:rPr>
        <w:t>, para. 301.</w:t>
      </w:r>
    </w:p>
  </w:footnote>
  <w:footnote w:id="427">
    <w:p w:rsidR="00551E68" w:rsidRPr="009470ED" w:rsidRDefault="00551E68" w:rsidP="005869B3">
      <w:pPr>
        <w:pStyle w:val="Voetnoottekst"/>
        <w:jc w:val="both"/>
        <w:rPr>
          <w:lang w:val="en-US"/>
        </w:rPr>
      </w:pPr>
      <w:r>
        <w:rPr>
          <w:rStyle w:val="Voetnootmarkering"/>
        </w:rPr>
        <w:footnoteRef/>
      </w:r>
      <w:r>
        <w:rPr>
          <w:lang w:val="en-US"/>
        </w:rPr>
        <w:t xml:space="preserve"> </w:t>
      </w:r>
      <w:r w:rsidRPr="009470ED">
        <w:rPr>
          <w:lang w:val="en-US"/>
        </w:rPr>
        <w:t>CEDAW CO Algeria, CEDAW/C/DZA/CO/3-4 (2012), paras 38-39;</w:t>
      </w:r>
      <w:r>
        <w:rPr>
          <w:lang w:val="en-US"/>
        </w:rPr>
        <w:t xml:space="preserve"> </w:t>
      </w:r>
      <w:r w:rsidRPr="00FA1A7F">
        <w:rPr>
          <w:lang w:val="en-US"/>
        </w:rPr>
        <w:t>CEDAW CO Jordan,</w:t>
      </w:r>
      <w:r>
        <w:rPr>
          <w:lang w:val="en-US"/>
        </w:rPr>
        <w:t xml:space="preserve"> </w:t>
      </w:r>
      <w:r w:rsidRPr="00FA1A7F">
        <w:rPr>
          <w:lang w:val="en-US"/>
        </w:rPr>
        <w:t>CEDAW/C/JOR/CO/5 (2012)</w:t>
      </w:r>
      <w:r>
        <w:rPr>
          <w:lang w:val="en-US"/>
        </w:rPr>
        <w:t xml:space="preserve">, </w:t>
      </w:r>
      <w:r w:rsidRPr="009470ED">
        <w:rPr>
          <w:lang w:val="en-US"/>
        </w:rPr>
        <w:t>paras 37-38</w:t>
      </w:r>
      <w:r>
        <w:rPr>
          <w:lang w:val="en-US"/>
        </w:rPr>
        <w:t xml:space="preserve">; </w:t>
      </w:r>
      <w:r w:rsidRPr="00B03C03">
        <w:rPr>
          <w:lang w:val="en-US"/>
        </w:rPr>
        <w:t>CEDAW CO Kuwait, CEDAW/C/KWT/CO/3-4 (2011)</w:t>
      </w:r>
      <w:r>
        <w:rPr>
          <w:lang w:val="en-US"/>
        </w:rPr>
        <w:t xml:space="preserve">, para. 41. </w:t>
      </w:r>
    </w:p>
  </w:footnote>
  <w:footnote w:id="428">
    <w:p w:rsidR="00551E68" w:rsidRPr="00E97627" w:rsidRDefault="00551E68" w:rsidP="005869B3">
      <w:pPr>
        <w:pStyle w:val="Voetnoottekst"/>
        <w:jc w:val="both"/>
        <w:rPr>
          <w:lang w:val="en-US"/>
        </w:rPr>
      </w:pPr>
      <w:r>
        <w:rPr>
          <w:rStyle w:val="Voetnootmarkering"/>
        </w:rPr>
        <w:footnoteRef/>
      </w:r>
      <w:r w:rsidRPr="00E97627">
        <w:rPr>
          <w:lang w:val="en-US"/>
        </w:rPr>
        <w:t xml:space="preserve"> Article 5(a) CEDAW. </w:t>
      </w:r>
    </w:p>
  </w:footnote>
  <w:footnote w:id="429">
    <w:p w:rsidR="00551E68" w:rsidRDefault="00551E68" w:rsidP="005869B3">
      <w:pPr>
        <w:pStyle w:val="Voetnoottekst"/>
        <w:jc w:val="both"/>
      </w:pPr>
      <w:r>
        <w:rPr>
          <w:rStyle w:val="Voetnootmarkering"/>
        </w:rPr>
        <w:footnoteRef/>
      </w:r>
      <w:r w:rsidRPr="00E97627">
        <w:rPr>
          <w:lang w:val="en-US"/>
        </w:rPr>
        <w:t xml:space="preserve"> </w:t>
      </w:r>
      <w:r w:rsidRPr="00E97627">
        <w:rPr>
          <w:lang w:val="en-GB"/>
        </w:rPr>
        <w:t xml:space="preserve">CEDAW General Recommendation no. 19 on violence against women (1992), para. </w:t>
      </w:r>
      <w:r w:rsidRPr="00E97627">
        <w:t xml:space="preserve">11; </w:t>
      </w:r>
      <w:proofErr w:type="spellStart"/>
      <w:r w:rsidRPr="00E97627">
        <w:t>Evenhuis</w:t>
      </w:r>
      <w:proofErr w:type="spellEnd"/>
      <w:r w:rsidRPr="00E97627">
        <w:t xml:space="preserve"> W. en van Eijk E., </w:t>
      </w:r>
      <w:r w:rsidRPr="00E97627">
        <w:rPr>
          <w:i/>
        </w:rPr>
        <w:t>Met recht een vrouw</w:t>
      </w:r>
      <w:r w:rsidRPr="00E97627">
        <w:t xml:space="preserve">, Amsterdam, </w:t>
      </w:r>
      <w:proofErr w:type="spellStart"/>
      <w:r w:rsidRPr="00E97627">
        <w:t>Greber</w:t>
      </w:r>
      <w:proofErr w:type="spellEnd"/>
      <w:r w:rsidRPr="00E97627">
        <w:t xml:space="preserve"> Uitgever &amp; Distributeur, 2001, 22; </w:t>
      </w:r>
      <w:proofErr w:type="spellStart"/>
      <w:r w:rsidRPr="00E97627">
        <w:t>Holtmaat</w:t>
      </w:r>
      <w:proofErr w:type="spellEnd"/>
      <w:r w:rsidRPr="00E97627">
        <w:t xml:space="preserve"> R., Seksuele intimidatie: de juridische gids, Nijmegen, Ars </w:t>
      </w:r>
      <w:proofErr w:type="spellStart"/>
      <w:r w:rsidRPr="00E97627">
        <w:t>Aequi</w:t>
      </w:r>
      <w:proofErr w:type="spellEnd"/>
      <w:r w:rsidRPr="00E97627">
        <w:t xml:space="preserve"> </w:t>
      </w:r>
      <w:proofErr w:type="spellStart"/>
      <w:r w:rsidRPr="00E97627">
        <w:t>Libri</w:t>
      </w:r>
      <w:proofErr w:type="spellEnd"/>
      <w:r w:rsidRPr="00E97627">
        <w:t xml:space="preserve">, 2009, 51-53 </w:t>
      </w:r>
      <w:proofErr w:type="spellStart"/>
      <w:r w:rsidRPr="00E97627">
        <w:t>and</w:t>
      </w:r>
      <w:proofErr w:type="spellEnd"/>
      <w:r w:rsidRPr="00E97627">
        <w:t xml:space="preserve"> </w:t>
      </w:r>
      <w:r>
        <w:t xml:space="preserve">61. </w:t>
      </w:r>
    </w:p>
  </w:footnote>
  <w:footnote w:id="430">
    <w:p w:rsidR="00551E68" w:rsidRPr="008B541A" w:rsidRDefault="00551E68" w:rsidP="005869B3">
      <w:pPr>
        <w:pStyle w:val="Voetnoottekst"/>
        <w:jc w:val="both"/>
        <w:rPr>
          <w:i/>
        </w:rPr>
      </w:pPr>
      <w:r>
        <w:rPr>
          <w:rStyle w:val="Voetnootmarkering"/>
        </w:rPr>
        <w:footnoteRef/>
      </w:r>
      <w:r>
        <w:t xml:space="preserve"> </w:t>
      </w:r>
      <w:r w:rsidRPr="008B541A">
        <w:t xml:space="preserve">De Bruin </w:t>
      </w:r>
      <w:proofErr w:type="spellStart"/>
      <w:r w:rsidRPr="008B541A">
        <w:t>E.,“Portret</w:t>
      </w:r>
      <w:proofErr w:type="spellEnd"/>
      <w:r w:rsidRPr="008B541A">
        <w:t xml:space="preserve"> van de vieze man”,</w:t>
      </w:r>
      <w:r>
        <w:rPr>
          <w:i/>
        </w:rPr>
        <w:t xml:space="preserve"> NRC </w:t>
      </w:r>
      <w:r w:rsidRPr="00C02BEB">
        <w:t>Handelsblad</w:t>
      </w:r>
      <w:r>
        <w:t xml:space="preserve">, </w:t>
      </w:r>
      <w:r w:rsidRPr="00C02BEB">
        <w:t>13</w:t>
      </w:r>
      <w:r w:rsidRPr="008B541A">
        <w:t xml:space="preserve"> juni 1998</w:t>
      </w:r>
      <w:r>
        <w:t xml:space="preserve">. </w:t>
      </w:r>
    </w:p>
  </w:footnote>
  <w:footnote w:id="431">
    <w:p w:rsidR="00551E68" w:rsidRPr="000A03FD" w:rsidRDefault="00551E68" w:rsidP="005869B3">
      <w:pPr>
        <w:pStyle w:val="Voetnoottekst"/>
        <w:jc w:val="both"/>
        <w:rPr>
          <w:lang w:val="en-US"/>
        </w:rPr>
      </w:pPr>
      <w:r>
        <w:rPr>
          <w:rStyle w:val="Voetnootmarkering"/>
        </w:rPr>
        <w:footnoteRef/>
      </w:r>
      <w:r>
        <w:rPr>
          <w:lang w:val="en-US"/>
        </w:rPr>
        <w:t xml:space="preserve"> </w:t>
      </w:r>
      <w:r w:rsidRPr="00F55D80">
        <w:rPr>
          <w:lang w:val="en-GB"/>
        </w:rPr>
        <w:t>CEDAW General Recommendation no. 19 on violence against women (1992)</w:t>
      </w:r>
      <w:r>
        <w:rPr>
          <w:lang w:val="en-GB"/>
        </w:rPr>
        <w:t xml:space="preserve">, para. 24; </w:t>
      </w:r>
      <w:r>
        <w:rPr>
          <w:lang w:val="en-US"/>
        </w:rPr>
        <w:t xml:space="preserve">CEDAW </w:t>
      </w:r>
      <w:r w:rsidRPr="00C4595F">
        <w:rPr>
          <w:lang w:val="en-US"/>
        </w:rPr>
        <w:t>CO Finland, A/56/38 (2001), para. 30</w:t>
      </w:r>
      <w:r>
        <w:rPr>
          <w:lang w:val="en-US"/>
        </w:rPr>
        <w:t xml:space="preserve">4; CEDAW </w:t>
      </w:r>
      <w:r w:rsidRPr="00026E53">
        <w:rPr>
          <w:lang w:val="en-US"/>
        </w:rPr>
        <w:t>CO Germany, A/59/38 (2004)</w:t>
      </w:r>
      <w:r>
        <w:rPr>
          <w:lang w:val="en-US"/>
        </w:rPr>
        <w:t xml:space="preserve">, para. 384; </w:t>
      </w:r>
      <w:r w:rsidRPr="000A03FD">
        <w:rPr>
          <w:lang w:val="en-US"/>
        </w:rPr>
        <w:t>CEDAW CO Italy, CEDAW/C/ITA/CC/4-5 (2005)</w:t>
      </w:r>
      <w:r>
        <w:rPr>
          <w:lang w:val="en-US"/>
        </w:rPr>
        <w:t xml:space="preserve">, para. 25; CEDAW </w:t>
      </w:r>
      <w:r w:rsidRPr="003040BB">
        <w:rPr>
          <w:lang w:val="en-US"/>
        </w:rPr>
        <w:t>CO Japan, CEDAW/C/JNP/CO/6 (2009)</w:t>
      </w:r>
      <w:r>
        <w:rPr>
          <w:lang w:val="en-US"/>
        </w:rPr>
        <w:t xml:space="preserve">, para. 29. </w:t>
      </w:r>
    </w:p>
  </w:footnote>
  <w:footnote w:id="432">
    <w:p w:rsidR="00551E68" w:rsidRPr="00FD52C8" w:rsidRDefault="00551E68" w:rsidP="00B33554">
      <w:pPr>
        <w:pStyle w:val="Voetnoottekst"/>
        <w:jc w:val="both"/>
        <w:rPr>
          <w:i/>
          <w:lang w:val="en-US"/>
        </w:rPr>
      </w:pPr>
      <w:r>
        <w:rPr>
          <w:rStyle w:val="Voetnootmarkering"/>
        </w:rPr>
        <w:footnoteRef/>
      </w:r>
      <w:r>
        <w:rPr>
          <w:lang w:val="en-US"/>
        </w:rPr>
        <w:t xml:space="preserve"> </w:t>
      </w:r>
      <w:r w:rsidRPr="00C35197">
        <w:rPr>
          <w:lang w:val="en-GB"/>
        </w:rPr>
        <w:t>Convention no. 169 on Indigenous and Tribal Peoples, 1989.</w:t>
      </w:r>
      <w:r>
        <w:rPr>
          <w:lang w:val="en-GB"/>
        </w:rPr>
        <w:t xml:space="preserve"> Article 20(3) d) of this Convention aims to  protect indigenous women and men from sexual harassment at work. </w:t>
      </w:r>
      <w:proofErr w:type="spellStart"/>
      <w:r w:rsidRPr="0097701F">
        <w:rPr>
          <w:lang w:val="en-US"/>
        </w:rPr>
        <w:t>Aeberhard</w:t>
      </w:r>
      <w:proofErr w:type="spellEnd"/>
      <w:r w:rsidRPr="0097701F">
        <w:rPr>
          <w:lang w:val="en-US"/>
        </w:rPr>
        <w:t xml:space="preserve">-Hodges J., “Sexual harassment in employment: Recent judicial and arbitral trends”, </w:t>
      </w:r>
      <w:r w:rsidRPr="0097701F">
        <w:rPr>
          <w:i/>
          <w:lang w:val="en-US"/>
        </w:rPr>
        <w:t>Int’l Lab. Rev.</w:t>
      </w:r>
      <w:r w:rsidRPr="0097701F">
        <w:rPr>
          <w:lang w:val="en-US"/>
        </w:rPr>
        <w:t xml:space="preserve"> 1996, </w:t>
      </w:r>
      <w:r>
        <w:rPr>
          <w:lang w:val="en-US"/>
        </w:rPr>
        <w:t>508.</w:t>
      </w:r>
    </w:p>
  </w:footnote>
  <w:footnote w:id="433">
    <w:p w:rsidR="00551E68" w:rsidRPr="00951142" w:rsidRDefault="00551E68" w:rsidP="005869B3">
      <w:pPr>
        <w:pStyle w:val="Voetnoottekst"/>
        <w:jc w:val="both"/>
        <w:rPr>
          <w:lang w:val="en-US"/>
        </w:rPr>
      </w:pPr>
      <w:r>
        <w:rPr>
          <w:rStyle w:val="Voetnootmarkering"/>
        </w:rPr>
        <w:footnoteRef/>
      </w:r>
      <w:r w:rsidRPr="003A59D2">
        <w:rPr>
          <w:lang w:val="en-US"/>
        </w:rPr>
        <w:t xml:space="preserve"> </w:t>
      </w:r>
      <w:r w:rsidRPr="003A59D2">
        <w:rPr>
          <w:lang w:val="en-GB"/>
        </w:rPr>
        <w:t>International Labour Conference, Equality in Employment and Occupation: General Survey by the Committee of Experts on the Application of Conventions and Recommendations, Geneva, International Labour Office, 75</w:t>
      </w:r>
      <w:r w:rsidRPr="003A59D2">
        <w:rPr>
          <w:vertAlign w:val="superscript"/>
          <w:lang w:val="en-GB"/>
        </w:rPr>
        <w:t>th</w:t>
      </w:r>
      <w:r w:rsidRPr="003A59D2">
        <w:rPr>
          <w:lang w:val="en-GB"/>
        </w:rPr>
        <w:t xml:space="preserve"> Session, 1</w:t>
      </w:r>
      <w:r>
        <w:rPr>
          <w:lang w:val="en-GB"/>
        </w:rPr>
        <w:t xml:space="preserve">988, 43; </w:t>
      </w:r>
      <w:proofErr w:type="spellStart"/>
      <w:r>
        <w:rPr>
          <w:lang w:val="en-GB"/>
        </w:rPr>
        <w:t>Chinkin</w:t>
      </w:r>
      <w:proofErr w:type="spellEnd"/>
      <w:r>
        <w:rPr>
          <w:lang w:val="en-GB"/>
        </w:rPr>
        <w:t xml:space="preserve"> C., “Sexual Harassment: An International Human Rights Perspective” in  </w:t>
      </w:r>
      <w:r w:rsidRPr="00593DFC">
        <w:rPr>
          <w:lang w:val="en-US"/>
        </w:rPr>
        <w:t>MacKinnon C. and Siegel R. (eds.)</w:t>
      </w:r>
      <w:r>
        <w:rPr>
          <w:lang w:val="en-US"/>
        </w:rPr>
        <w:t xml:space="preserve">, op. cit., 659; </w:t>
      </w:r>
      <w:r w:rsidRPr="00322708">
        <w:rPr>
          <w:lang w:val="en-GB"/>
        </w:rPr>
        <w:t xml:space="preserve">Nielsen H., “The Concept of Discrimination in ILO Convention no. 111”, </w:t>
      </w:r>
      <w:r w:rsidRPr="00322708">
        <w:rPr>
          <w:i/>
          <w:lang w:val="en-GB"/>
        </w:rPr>
        <w:t>ICLQ</w:t>
      </w:r>
      <w:r w:rsidRPr="00322708">
        <w:rPr>
          <w:lang w:val="en-GB"/>
        </w:rPr>
        <w:t xml:space="preserve"> 1994, </w:t>
      </w:r>
      <w:r>
        <w:rPr>
          <w:lang w:val="en-GB"/>
        </w:rPr>
        <w:t xml:space="preserve">834. </w:t>
      </w:r>
    </w:p>
  </w:footnote>
  <w:footnote w:id="434">
    <w:p w:rsidR="00551E68" w:rsidRPr="00F24F53" w:rsidRDefault="00551E68" w:rsidP="005869B3">
      <w:pPr>
        <w:pStyle w:val="Voetnoottekst"/>
        <w:jc w:val="both"/>
        <w:rPr>
          <w:lang w:val="en-GB"/>
        </w:rPr>
      </w:pPr>
      <w:r>
        <w:rPr>
          <w:rStyle w:val="Voetnootmarkering"/>
        </w:rPr>
        <w:footnoteRef/>
      </w:r>
      <w:r>
        <w:rPr>
          <w:lang w:val="en-US"/>
        </w:rPr>
        <w:t xml:space="preserve"> </w:t>
      </w:r>
      <w:r>
        <w:rPr>
          <w:lang w:val="en-GB"/>
        </w:rPr>
        <w:t>CEACR</w:t>
      </w:r>
      <w:r w:rsidRPr="00F24F53">
        <w:rPr>
          <w:lang w:val="en-GB"/>
        </w:rPr>
        <w:t>, General Observation concerning Convention No. 111: Sexual Harassment, adopted 2002, published 91</w:t>
      </w:r>
      <w:r w:rsidRPr="00F24F53">
        <w:rPr>
          <w:vertAlign w:val="superscript"/>
          <w:lang w:val="en-GB"/>
        </w:rPr>
        <w:t>st</w:t>
      </w:r>
      <w:r w:rsidRPr="00F24F53">
        <w:rPr>
          <w:lang w:val="en-GB"/>
        </w:rPr>
        <w:t xml:space="preserve"> ILC Session (2003). </w:t>
      </w:r>
    </w:p>
  </w:footnote>
  <w:footnote w:id="435">
    <w:p w:rsidR="00551E68" w:rsidRPr="003A59D2" w:rsidRDefault="00551E68" w:rsidP="005869B3">
      <w:pPr>
        <w:pStyle w:val="Voetnoottekst"/>
        <w:jc w:val="both"/>
        <w:rPr>
          <w:lang w:val="en-GB"/>
        </w:rPr>
      </w:pPr>
      <w:r>
        <w:rPr>
          <w:rStyle w:val="Voetnootmarkering"/>
        </w:rPr>
        <w:footnoteRef/>
      </w:r>
      <w:r w:rsidRPr="003A59D2">
        <w:rPr>
          <w:lang w:val="en-US"/>
        </w:rPr>
        <w:t xml:space="preserve"> </w:t>
      </w:r>
      <w:r w:rsidRPr="003A59D2">
        <w:rPr>
          <w:lang w:val="en-GB"/>
        </w:rPr>
        <w:t>International Labour Conference, Equality in Employment and Occupation: General Survey by the Committee of Experts on the Application of Conventions and Recommendations, Geneva, International Labour Office, 75</w:t>
      </w:r>
      <w:r w:rsidRPr="003A59D2">
        <w:rPr>
          <w:vertAlign w:val="superscript"/>
          <w:lang w:val="en-GB"/>
        </w:rPr>
        <w:t>th</w:t>
      </w:r>
      <w:r w:rsidRPr="003A59D2">
        <w:rPr>
          <w:lang w:val="en-GB"/>
        </w:rPr>
        <w:t xml:space="preserve"> Session, 1</w:t>
      </w:r>
      <w:r>
        <w:rPr>
          <w:lang w:val="en-GB"/>
        </w:rPr>
        <w:t>988, 43; CEACR</w:t>
      </w:r>
      <w:r w:rsidRPr="00F24F53">
        <w:rPr>
          <w:lang w:val="en-GB"/>
        </w:rPr>
        <w:t>, General Observation concerning Convention No. 111: Sexual Harassment, adopted 2002, published 91</w:t>
      </w:r>
      <w:r w:rsidRPr="00F24F53">
        <w:rPr>
          <w:vertAlign w:val="superscript"/>
          <w:lang w:val="en-GB"/>
        </w:rPr>
        <w:t>st</w:t>
      </w:r>
      <w:r w:rsidRPr="00F24F53">
        <w:rPr>
          <w:lang w:val="en-GB"/>
        </w:rPr>
        <w:t xml:space="preserve"> ILC Session (2003). </w:t>
      </w:r>
    </w:p>
  </w:footnote>
  <w:footnote w:id="436">
    <w:p w:rsidR="00551E68" w:rsidRPr="001F473F" w:rsidRDefault="00551E68" w:rsidP="005869B3">
      <w:pPr>
        <w:pStyle w:val="Voetnoottekst"/>
        <w:jc w:val="both"/>
        <w:rPr>
          <w:lang w:val="en-GB"/>
        </w:rPr>
      </w:pPr>
      <w:r>
        <w:rPr>
          <w:rStyle w:val="Voetnootmarkering"/>
        </w:rPr>
        <w:footnoteRef/>
      </w:r>
      <w:r>
        <w:rPr>
          <w:lang w:val="en-GB"/>
        </w:rPr>
        <w:t xml:space="preserve"> </w:t>
      </w:r>
      <w:r w:rsidRPr="005F1B58">
        <w:rPr>
          <w:lang w:val="en-GB"/>
        </w:rPr>
        <w:t>Convention no. 155 on Occupational Safety and Health, 1981</w:t>
      </w:r>
      <w:r>
        <w:rPr>
          <w:lang w:val="en-GB"/>
        </w:rPr>
        <w:t xml:space="preserve"> and </w:t>
      </w:r>
      <w:r w:rsidRPr="005F1B58">
        <w:rPr>
          <w:lang w:val="en-GB"/>
        </w:rPr>
        <w:t>Convention no. 161 on Occu</w:t>
      </w:r>
      <w:r>
        <w:rPr>
          <w:lang w:val="en-GB"/>
        </w:rPr>
        <w:t xml:space="preserve">pational Health Services, 1985. </w:t>
      </w:r>
      <w:proofErr w:type="spellStart"/>
      <w:r w:rsidRPr="001F473F">
        <w:rPr>
          <w:lang w:val="en-GB"/>
        </w:rPr>
        <w:t>Cordier</w:t>
      </w:r>
      <w:proofErr w:type="spellEnd"/>
      <w:r w:rsidRPr="001F473F">
        <w:rPr>
          <w:lang w:val="en-GB"/>
        </w:rPr>
        <w:t xml:space="preserve"> J.P. and </w:t>
      </w:r>
      <w:proofErr w:type="spellStart"/>
      <w:r w:rsidRPr="001F473F">
        <w:rPr>
          <w:lang w:val="en-GB"/>
        </w:rPr>
        <w:t>Brasseur</w:t>
      </w:r>
      <w:proofErr w:type="spellEnd"/>
      <w:r w:rsidRPr="001F473F">
        <w:rPr>
          <w:lang w:val="en-GB"/>
        </w:rPr>
        <w:t xml:space="preserve"> P., </w:t>
      </w:r>
      <w:r w:rsidRPr="001F473F">
        <w:rPr>
          <w:i/>
          <w:lang w:val="en-GB"/>
        </w:rPr>
        <w:t xml:space="preserve">Le </w:t>
      </w:r>
      <w:proofErr w:type="spellStart"/>
      <w:r w:rsidRPr="001F473F">
        <w:rPr>
          <w:i/>
          <w:lang w:val="en-GB"/>
        </w:rPr>
        <w:t>bien-être</w:t>
      </w:r>
      <w:proofErr w:type="spellEnd"/>
      <w:r w:rsidRPr="001F473F">
        <w:rPr>
          <w:i/>
          <w:lang w:val="en-GB"/>
        </w:rPr>
        <w:t xml:space="preserve"> psychosocial au travail</w:t>
      </w:r>
      <w:r w:rsidRPr="001F473F">
        <w:rPr>
          <w:lang w:val="en-GB"/>
        </w:rPr>
        <w:t xml:space="preserve">, Waterloo, Kluwer, 2009, 8; </w:t>
      </w:r>
      <w:r w:rsidRPr="008F732E">
        <w:rPr>
          <w:lang w:val="en-GB"/>
        </w:rPr>
        <w:t xml:space="preserve">De </w:t>
      </w:r>
      <w:proofErr w:type="spellStart"/>
      <w:r w:rsidRPr="008F732E">
        <w:rPr>
          <w:lang w:val="en-GB"/>
        </w:rPr>
        <w:t>Graaf-Tolkamp</w:t>
      </w:r>
      <w:proofErr w:type="spellEnd"/>
      <w:r w:rsidRPr="008F732E">
        <w:rPr>
          <w:lang w:val="en-GB"/>
        </w:rPr>
        <w:t xml:space="preserve"> C., op. cit., 44;</w:t>
      </w:r>
      <w:r>
        <w:rPr>
          <w:lang w:val="en-GB"/>
        </w:rPr>
        <w:t xml:space="preserve"> </w:t>
      </w:r>
      <w:r>
        <w:rPr>
          <w:lang w:val="en-US"/>
        </w:rPr>
        <w:t>International Trade Union Conference, op. cit.</w:t>
      </w:r>
      <w:r w:rsidRPr="0077233C">
        <w:rPr>
          <w:lang w:val="en-US"/>
        </w:rPr>
        <w:t xml:space="preserve">, 6; </w:t>
      </w:r>
      <w:r>
        <w:rPr>
          <w:lang w:val="en-GB"/>
        </w:rPr>
        <w:t xml:space="preserve"> </w:t>
      </w:r>
      <w:proofErr w:type="spellStart"/>
      <w:r w:rsidRPr="008F732E">
        <w:rPr>
          <w:lang w:val="en-US"/>
        </w:rPr>
        <w:t>McColgan</w:t>
      </w:r>
      <w:proofErr w:type="spellEnd"/>
      <w:r w:rsidRPr="008F732E">
        <w:rPr>
          <w:lang w:val="en-US"/>
        </w:rPr>
        <w:t xml:space="preserve"> A., “Chapter Four: Harassment” in </w:t>
      </w:r>
      <w:proofErr w:type="spellStart"/>
      <w:r w:rsidRPr="008F732E">
        <w:rPr>
          <w:lang w:val="en-US"/>
        </w:rPr>
        <w:t>Schiek</w:t>
      </w:r>
      <w:proofErr w:type="spellEnd"/>
      <w:r w:rsidRPr="008F732E">
        <w:rPr>
          <w:lang w:val="en-US"/>
        </w:rPr>
        <w:t xml:space="preserve"> D., Wa</w:t>
      </w:r>
      <w:r>
        <w:rPr>
          <w:lang w:val="en-US"/>
        </w:rPr>
        <w:t xml:space="preserve">ddington L. and Bell M. (eds.), op. cit., 486. </w:t>
      </w:r>
    </w:p>
  </w:footnote>
  <w:footnote w:id="437">
    <w:p w:rsidR="00551E68" w:rsidRPr="003A2662" w:rsidRDefault="00551E68" w:rsidP="005869B3">
      <w:pPr>
        <w:pStyle w:val="Voetnoottekst"/>
        <w:jc w:val="both"/>
        <w:rPr>
          <w:lang w:val="en-US"/>
        </w:rPr>
      </w:pPr>
      <w:r>
        <w:rPr>
          <w:rStyle w:val="Voetnootmarkering"/>
        </w:rPr>
        <w:footnoteRef/>
      </w:r>
      <w:r>
        <w:rPr>
          <w:lang w:val="en-US"/>
        </w:rPr>
        <w:t xml:space="preserve"> See article 4</w:t>
      </w:r>
      <w:r w:rsidRPr="003A2662">
        <w:rPr>
          <w:lang w:val="en-GB"/>
        </w:rPr>
        <w:t xml:space="preserve"> Convention no. 155</w:t>
      </w:r>
      <w:r>
        <w:rPr>
          <w:lang w:val="en-GB"/>
        </w:rPr>
        <w:t xml:space="preserve"> and article 1(a) Convention no. 161. </w:t>
      </w:r>
      <w:r w:rsidRPr="003A2662">
        <w:rPr>
          <w:lang w:val="en-US"/>
        </w:rPr>
        <w:t xml:space="preserve"> </w:t>
      </w:r>
    </w:p>
  </w:footnote>
  <w:footnote w:id="438">
    <w:p w:rsidR="00551E68" w:rsidRPr="00A43732" w:rsidRDefault="00551E68" w:rsidP="005869B3">
      <w:pPr>
        <w:pStyle w:val="Voetnoottekst"/>
        <w:jc w:val="both"/>
        <w:rPr>
          <w:b/>
          <w:bCs/>
          <w:lang w:val="en-US"/>
        </w:rPr>
      </w:pPr>
      <w:r>
        <w:rPr>
          <w:rStyle w:val="Voetnootmarkering"/>
        </w:rPr>
        <w:footnoteRef/>
      </w:r>
      <w:r>
        <w:rPr>
          <w:lang w:val="en-US"/>
        </w:rPr>
        <w:t xml:space="preserve"> </w:t>
      </w:r>
      <w:r w:rsidRPr="00A43732">
        <w:rPr>
          <w:lang w:val="en-US"/>
        </w:rPr>
        <w:t xml:space="preserve">European Foundation for the Improvement of Living and Working Conditions, </w:t>
      </w:r>
      <w:r w:rsidRPr="00A43732">
        <w:rPr>
          <w:bCs/>
          <w:lang w:val="en-US"/>
        </w:rPr>
        <w:t>Part-time work in Europe - Executive summary, Luxembourg, Publications Office of the European Union 2011,</w:t>
      </w:r>
      <w:r>
        <w:rPr>
          <w:bCs/>
          <w:lang w:val="en-US"/>
        </w:rPr>
        <w:t xml:space="preserve"> 1; </w:t>
      </w:r>
      <w:r w:rsidRPr="000C4BCD">
        <w:rPr>
          <w:lang w:val="en-US"/>
        </w:rPr>
        <w:t xml:space="preserve">European Parliament, </w:t>
      </w:r>
      <w:r w:rsidRPr="000C4BCD">
        <w:rPr>
          <w:i/>
          <w:lang w:val="en-US"/>
        </w:rPr>
        <w:t>Atypical Work in the EU</w:t>
      </w:r>
      <w:r w:rsidRPr="000C4BCD">
        <w:rPr>
          <w:lang w:val="en-US"/>
        </w:rPr>
        <w:t>, Luxembourg,</w:t>
      </w:r>
      <w:r w:rsidRPr="000C4BCD">
        <w:rPr>
          <w:lang w:val="en-GB"/>
        </w:rPr>
        <w:t xml:space="preserve"> Office for Official Publications of the European Communities,</w:t>
      </w:r>
      <w:r w:rsidRPr="000C4BCD">
        <w:rPr>
          <w:lang w:val="en-US"/>
        </w:rPr>
        <w:t xml:space="preserve"> 2000,</w:t>
      </w:r>
      <w:r>
        <w:rPr>
          <w:lang w:val="en-US"/>
        </w:rPr>
        <w:t xml:space="preserve"> 37-39. </w:t>
      </w:r>
    </w:p>
  </w:footnote>
  <w:footnote w:id="439">
    <w:p w:rsidR="00551E68" w:rsidRPr="005E4DB7" w:rsidRDefault="00551E68" w:rsidP="005869B3">
      <w:pPr>
        <w:pStyle w:val="Voetnoottekst"/>
        <w:jc w:val="both"/>
        <w:rPr>
          <w:lang w:val="en-US"/>
        </w:rPr>
      </w:pPr>
      <w:r>
        <w:rPr>
          <w:rStyle w:val="Voetnootmarkering"/>
        </w:rPr>
        <w:footnoteRef/>
      </w:r>
      <w:r>
        <w:rPr>
          <w:lang w:val="en-US"/>
        </w:rPr>
        <w:t xml:space="preserve"> </w:t>
      </w:r>
      <w:proofErr w:type="spellStart"/>
      <w:r w:rsidRPr="00924A60">
        <w:rPr>
          <w:lang w:val="en-US"/>
        </w:rPr>
        <w:t>Burchell</w:t>
      </w:r>
      <w:proofErr w:type="spellEnd"/>
      <w:r w:rsidRPr="00924A60">
        <w:rPr>
          <w:lang w:val="en-US"/>
        </w:rPr>
        <w:t xml:space="preserve"> B., Fag</w:t>
      </w:r>
      <w:r>
        <w:rPr>
          <w:lang w:val="en-US"/>
        </w:rPr>
        <w:t xml:space="preserve">an C., O’Brien C. and Smith M., op. cit., 35; </w:t>
      </w:r>
      <w:r w:rsidRPr="005E4DB7">
        <w:rPr>
          <w:lang w:val="en-US"/>
        </w:rPr>
        <w:t>European Parliament,</w:t>
      </w:r>
      <w:r>
        <w:rPr>
          <w:lang w:val="en-US"/>
        </w:rPr>
        <w:t xml:space="preserve"> op. cit., 13; </w:t>
      </w:r>
      <w:proofErr w:type="spellStart"/>
      <w:r w:rsidRPr="00A30699">
        <w:rPr>
          <w:lang w:val="en-GB"/>
        </w:rPr>
        <w:t>Sandor</w:t>
      </w:r>
      <w:proofErr w:type="spellEnd"/>
      <w:r w:rsidRPr="00A30699">
        <w:rPr>
          <w:lang w:val="en-GB"/>
        </w:rPr>
        <w:t xml:space="preserve"> E., </w:t>
      </w:r>
      <w:r w:rsidRPr="00A30699">
        <w:rPr>
          <w:i/>
          <w:lang w:val="en-GB"/>
        </w:rPr>
        <w:t>Part-time work in Europe</w:t>
      </w:r>
      <w:r w:rsidRPr="00A30699">
        <w:rPr>
          <w:lang w:val="en-GB"/>
        </w:rPr>
        <w:t xml:space="preserve">, Luxembourg, Publications Office of </w:t>
      </w:r>
      <w:r>
        <w:rPr>
          <w:lang w:val="en-GB"/>
        </w:rPr>
        <w:t xml:space="preserve">the European Union, 2009, 9. </w:t>
      </w:r>
    </w:p>
  </w:footnote>
  <w:footnote w:id="440">
    <w:p w:rsidR="00551E68" w:rsidRPr="006A5EA5" w:rsidRDefault="00551E68" w:rsidP="005869B3">
      <w:pPr>
        <w:pStyle w:val="Voetnoottekst"/>
        <w:jc w:val="both"/>
        <w:rPr>
          <w:i/>
          <w:u w:val="single"/>
          <w:lang w:val="en-GB"/>
        </w:rPr>
      </w:pPr>
      <w:r>
        <w:rPr>
          <w:rStyle w:val="Voetnootmarkering"/>
        </w:rPr>
        <w:footnoteRef/>
      </w:r>
      <w:r>
        <w:rPr>
          <w:lang w:val="en-US"/>
        </w:rPr>
        <w:t xml:space="preserve"> </w:t>
      </w:r>
      <w:proofErr w:type="spellStart"/>
      <w:r w:rsidRPr="00CF69E3">
        <w:rPr>
          <w:lang w:val="en-GB"/>
        </w:rPr>
        <w:t>Bardasi</w:t>
      </w:r>
      <w:proofErr w:type="spellEnd"/>
      <w:r w:rsidRPr="00CF69E3">
        <w:rPr>
          <w:lang w:val="en-GB"/>
        </w:rPr>
        <w:t xml:space="preserve"> E. and </w:t>
      </w:r>
      <w:proofErr w:type="spellStart"/>
      <w:r w:rsidRPr="00CF69E3">
        <w:rPr>
          <w:lang w:val="en-GB"/>
        </w:rPr>
        <w:t>Gornick</w:t>
      </w:r>
      <w:proofErr w:type="spellEnd"/>
      <w:r w:rsidRPr="00CF69E3">
        <w:rPr>
          <w:lang w:val="en-GB"/>
        </w:rPr>
        <w:t xml:space="preserve"> J., “Working for less? Women’s part time wage penalties across countries”, </w:t>
      </w:r>
      <w:r w:rsidRPr="00CF69E3">
        <w:rPr>
          <w:i/>
          <w:lang w:val="en-GB"/>
        </w:rPr>
        <w:t>Feminist Economics</w:t>
      </w:r>
      <w:r w:rsidRPr="00CF69E3">
        <w:rPr>
          <w:lang w:val="en-GB"/>
        </w:rPr>
        <w:t xml:space="preserve">, 2008, </w:t>
      </w:r>
      <w:r>
        <w:rPr>
          <w:lang w:val="en-GB"/>
        </w:rPr>
        <w:t xml:space="preserve">38; </w:t>
      </w:r>
      <w:r>
        <w:rPr>
          <w:lang w:val="en-US"/>
        </w:rPr>
        <w:t xml:space="preserve">Hakim C., op. cit., 68; </w:t>
      </w:r>
      <w:proofErr w:type="spellStart"/>
      <w:r w:rsidRPr="006A5EA5">
        <w:rPr>
          <w:lang w:val="en-GB"/>
        </w:rPr>
        <w:t>Burri</w:t>
      </w:r>
      <w:proofErr w:type="spellEnd"/>
      <w:r w:rsidRPr="006A5EA5">
        <w:rPr>
          <w:lang w:val="en-GB"/>
        </w:rPr>
        <w:t xml:space="preserve"> S., </w:t>
      </w:r>
      <w:proofErr w:type="spellStart"/>
      <w:r w:rsidRPr="006A5EA5">
        <w:rPr>
          <w:i/>
          <w:lang w:val="en-GB"/>
        </w:rPr>
        <w:t>Tijd</w:t>
      </w:r>
      <w:proofErr w:type="spellEnd"/>
      <w:r w:rsidRPr="006A5EA5">
        <w:rPr>
          <w:i/>
          <w:lang w:val="en-GB"/>
        </w:rPr>
        <w:t xml:space="preserve"> </w:t>
      </w:r>
      <w:proofErr w:type="spellStart"/>
      <w:r w:rsidRPr="006A5EA5">
        <w:rPr>
          <w:i/>
          <w:lang w:val="en-GB"/>
        </w:rPr>
        <w:t>delen</w:t>
      </w:r>
      <w:proofErr w:type="spellEnd"/>
      <w:r w:rsidRPr="006A5EA5">
        <w:rPr>
          <w:i/>
          <w:lang w:val="en-GB"/>
        </w:rPr>
        <w:t xml:space="preserve">: </w:t>
      </w:r>
      <w:proofErr w:type="spellStart"/>
      <w:r w:rsidRPr="006A5EA5">
        <w:rPr>
          <w:i/>
          <w:lang w:val="en-GB"/>
        </w:rPr>
        <w:t>Deeltijd</w:t>
      </w:r>
      <w:proofErr w:type="spellEnd"/>
      <w:r w:rsidRPr="006A5EA5">
        <w:rPr>
          <w:i/>
          <w:lang w:val="en-GB"/>
        </w:rPr>
        <w:t xml:space="preserve">, </w:t>
      </w:r>
      <w:proofErr w:type="spellStart"/>
      <w:r w:rsidRPr="006A5EA5">
        <w:rPr>
          <w:i/>
          <w:lang w:val="en-GB"/>
        </w:rPr>
        <w:t>gelijkheid</w:t>
      </w:r>
      <w:proofErr w:type="spellEnd"/>
      <w:r w:rsidRPr="006A5EA5">
        <w:rPr>
          <w:i/>
          <w:lang w:val="en-GB"/>
        </w:rPr>
        <w:t xml:space="preserve"> en gender in </w:t>
      </w:r>
      <w:proofErr w:type="spellStart"/>
      <w:r w:rsidRPr="006A5EA5">
        <w:rPr>
          <w:i/>
          <w:lang w:val="en-GB"/>
        </w:rPr>
        <w:t>Europees</w:t>
      </w:r>
      <w:proofErr w:type="spellEnd"/>
      <w:r w:rsidRPr="006A5EA5">
        <w:rPr>
          <w:i/>
          <w:lang w:val="en-GB"/>
        </w:rPr>
        <w:t xml:space="preserve">- en </w:t>
      </w:r>
      <w:proofErr w:type="spellStart"/>
      <w:r w:rsidRPr="006A5EA5">
        <w:rPr>
          <w:i/>
          <w:lang w:val="en-GB"/>
        </w:rPr>
        <w:t>nationaalrechtelijk</w:t>
      </w:r>
      <w:proofErr w:type="spellEnd"/>
      <w:r w:rsidRPr="006A5EA5">
        <w:rPr>
          <w:i/>
          <w:lang w:val="en-GB"/>
        </w:rPr>
        <w:t xml:space="preserve"> </w:t>
      </w:r>
      <w:proofErr w:type="spellStart"/>
      <w:r w:rsidRPr="006A5EA5">
        <w:rPr>
          <w:i/>
          <w:lang w:val="en-GB"/>
        </w:rPr>
        <w:t>perspectief</w:t>
      </w:r>
      <w:proofErr w:type="spellEnd"/>
      <w:r w:rsidRPr="006A5EA5">
        <w:rPr>
          <w:i/>
          <w:lang w:val="en-GB"/>
        </w:rPr>
        <w:t>,</w:t>
      </w:r>
      <w:r w:rsidRPr="006A5EA5">
        <w:rPr>
          <w:lang w:val="en-GB"/>
        </w:rPr>
        <w:t xml:space="preserve"> </w:t>
      </w:r>
      <w:proofErr w:type="spellStart"/>
      <w:r w:rsidRPr="006A5EA5">
        <w:rPr>
          <w:lang w:val="en-GB"/>
        </w:rPr>
        <w:t>Antwerpen</w:t>
      </w:r>
      <w:proofErr w:type="spellEnd"/>
      <w:r w:rsidRPr="006A5EA5">
        <w:rPr>
          <w:lang w:val="en-GB"/>
        </w:rPr>
        <w:t>, Kluwer, 2000,</w:t>
      </w:r>
      <w:r>
        <w:rPr>
          <w:lang w:val="en-GB"/>
        </w:rPr>
        <w:t xml:space="preserve"> 13; </w:t>
      </w:r>
      <w:r>
        <w:rPr>
          <w:lang w:val="en-US"/>
        </w:rPr>
        <w:t xml:space="preserve">Landau E. and </w:t>
      </w:r>
      <w:proofErr w:type="spellStart"/>
      <w:r>
        <w:rPr>
          <w:lang w:val="en-US"/>
        </w:rPr>
        <w:t>Beigbeder</w:t>
      </w:r>
      <w:proofErr w:type="spellEnd"/>
      <w:r>
        <w:rPr>
          <w:lang w:val="en-US"/>
        </w:rPr>
        <w:t xml:space="preserve"> Y., op. cit</w:t>
      </w:r>
      <w:r w:rsidRPr="00375772">
        <w:rPr>
          <w:lang w:val="en-US"/>
        </w:rPr>
        <w:t>., 17</w:t>
      </w:r>
      <w:r>
        <w:rPr>
          <w:lang w:val="en-US"/>
        </w:rPr>
        <w:t xml:space="preserve">5-176; </w:t>
      </w:r>
      <w:r w:rsidRPr="00C565C7">
        <w:rPr>
          <w:lang w:val="en-US"/>
        </w:rPr>
        <w:t xml:space="preserve">Saint-Martin A. and Venn D., “Does part-time work pay?”, </w:t>
      </w:r>
      <w:r w:rsidRPr="00C565C7">
        <w:rPr>
          <w:i/>
          <w:lang w:val="en-US"/>
        </w:rPr>
        <w:t>OECD Observer</w:t>
      </w:r>
      <w:r w:rsidRPr="00C565C7">
        <w:rPr>
          <w:lang w:val="en-US"/>
        </w:rPr>
        <w:t>, 2010, 7</w:t>
      </w:r>
      <w:r>
        <w:rPr>
          <w:lang w:val="en-US"/>
        </w:rPr>
        <w:t xml:space="preserve">. </w:t>
      </w:r>
    </w:p>
  </w:footnote>
  <w:footnote w:id="441">
    <w:p w:rsidR="00551E68" w:rsidRPr="00900D3B" w:rsidRDefault="00551E68" w:rsidP="005869B3">
      <w:pPr>
        <w:pStyle w:val="Voetnoottekst"/>
        <w:jc w:val="both"/>
        <w:rPr>
          <w:lang w:val="en-GB"/>
        </w:rPr>
      </w:pPr>
      <w:r>
        <w:rPr>
          <w:rStyle w:val="Voetnootmarkering"/>
        </w:rPr>
        <w:footnoteRef/>
      </w:r>
      <w:r>
        <w:rPr>
          <w:lang w:val="en-GB"/>
        </w:rPr>
        <w:t xml:space="preserve"> </w:t>
      </w:r>
      <w:r w:rsidRPr="00900D3B">
        <w:rPr>
          <w:lang w:val="en-GB"/>
        </w:rPr>
        <w:t>Convention n</w:t>
      </w:r>
      <w:r>
        <w:rPr>
          <w:lang w:val="en-GB"/>
        </w:rPr>
        <w:t xml:space="preserve">o. 175 on Part-time Work, 1994. Hereafter referred to as Convention no. 175. </w:t>
      </w:r>
    </w:p>
  </w:footnote>
  <w:footnote w:id="442">
    <w:p w:rsidR="00551E68" w:rsidRPr="00900D3B" w:rsidRDefault="00551E68" w:rsidP="005869B3">
      <w:pPr>
        <w:pStyle w:val="Voetnoottekst"/>
        <w:jc w:val="both"/>
        <w:rPr>
          <w:lang w:val="en-GB"/>
        </w:rPr>
      </w:pPr>
      <w:r>
        <w:rPr>
          <w:rStyle w:val="Voetnootmarkering"/>
        </w:rPr>
        <w:footnoteRef/>
      </w:r>
      <w:r w:rsidRPr="00285B74">
        <w:rPr>
          <w:lang w:val="en-US"/>
        </w:rPr>
        <w:t xml:space="preserve"> </w:t>
      </w:r>
      <w:r w:rsidRPr="00900D3B">
        <w:rPr>
          <w:lang w:val="en-GB"/>
        </w:rPr>
        <w:t>Recommendation no. 182 on Part-Time Work, 1994.</w:t>
      </w:r>
    </w:p>
  </w:footnote>
  <w:footnote w:id="443">
    <w:p w:rsidR="00551E68" w:rsidRPr="005A5A7C" w:rsidRDefault="00551E68" w:rsidP="005869B3">
      <w:pPr>
        <w:pStyle w:val="Voetnoottekst"/>
        <w:jc w:val="both"/>
        <w:rPr>
          <w:lang w:val="en-GB"/>
        </w:rPr>
      </w:pPr>
      <w:r>
        <w:rPr>
          <w:rStyle w:val="Voetnootmarkering"/>
        </w:rPr>
        <w:footnoteRef/>
      </w:r>
      <w:r w:rsidRPr="007D1652">
        <w:rPr>
          <w:lang w:val="en-US"/>
        </w:rPr>
        <w:t xml:space="preserve"> </w:t>
      </w:r>
      <w:r w:rsidRPr="005A5A7C">
        <w:rPr>
          <w:lang w:val="en-GB"/>
        </w:rPr>
        <w:t>Convention no. 156 on Workers with Family Responsibilities, 1981.</w:t>
      </w:r>
    </w:p>
  </w:footnote>
  <w:footnote w:id="444">
    <w:p w:rsidR="00551E68" w:rsidRPr="00671D08" w:rsidRDefault="00551E68" w:rsidP="005869B3">
      <w:pPr>
        <w:pStyle w:val="Voetnoottekst"/>
        <w:jc w:val="both"/>
        <w:rPr>
          <w:lang w:val="en-GB"/>
        </w:rPr>
      </w:pPr>
      <w:r>
        <w:rPr>
          <w:rStyle w:val="Voetnootmarkering"/>
        </w:rPr>
        <w:footnoteRef/>
      </w:r>
      <w:r w:rsidRPr="000F2010">
        <w:rPr>
          <w:lang w:val="en-US"/>
        </w:rPr>
        <w:t xml:space="preserve"> </w:t>
      </w:r>
      <w:proofErr w:type="spellStart"/>
      <w:r w:rsidRPr="00280C9B">
        <w:rPr>
          <w:lang w:val="en-GB"/>
        </w:rPr>
        <w:t>Bollé</w:t>
      </w:r>
      <w:proofErr w:type="spellEnd"/>
      <w:r w:rsidRPr="00280C9B">
        <w:rPr>
          <w:lang w:val="en-GB"/>
        </w:rPr>
        <w:t xml:space="preserve"> P., “Part-time work: Solution or trap?”, </w:t>
      </w:r>
      <w:r w:rsidRPr="00280C9B">
        <w:rPr>
          <w:i/>
          <w:lang w:val="en-GB"/>
        </w:rPr>
        <w:t xml:space="preserve">Int’l Lab. </w:t>
      </w:r>
      <w:r w:rsidRPr="00671D08">
        <w:rPr>
          <w:i/>
          <w:lang w:val="en-GB"/>
        </w:rPr>
        <w:t>Rev.</w:t>
      </w:r>
      <w:r w:rsidRPr="00671D08">
        <w:rPr>
          <w:lang w:val="en-GB"/>
        </w:rPr>
        <w:t xml:space="preserve"> 1997, 568; </w:t>
      </w:r>
      <w:proofErr w:type="spellStart"/>
      <w:r w:rsidRPr="00671D08">
        <w:rPr>
          <w:lang w:val="en-GB"/>
        </w:rPr>
        <w:t>Burri</w:t>
      </w:r>
      <w:proofErr w:type="spellEnd"/>
      <w:r w:rsidRPr="00671D08">
        <w:rPr>
          <w:lang w:val="en-GB"/>
        </w:rPr>
        <w:t xml:space="preserve"> S., “En </w:t>
      </w:r>
      <w:proofErr w:type="spellStart"/>
      <w:r w:rsidRPr="00671D08">
        <w:rPr>
          <w:lang w:val="en-GB"/>
        </w:rPr>
        <w:t>ze</w:t>
      </w:r>
      <w:proofErr w:type="spellEnd"/>
      <w:r w:rsidRPr="00671D08">
        <w:rPr>
          <w:lang w:val="en-GB"/>
        </w:rPr>
        <w:t xml:space="preserve"> </w:t>
      </w:r>
      <w:proofErr w:type="spellStart"/>
      <w:r w:rsidRPr="00671D08">
        <w:rPr>
          <w:lang w:val="en-GB"/>
        </w:rPr>
        <w:t>zorgden</w:t>
      </w:r>
      <w:proofErr w:type="spellEnd"/>
      <w:r w:rsidRPr="00671D08">
        <w:rPr>
          <w:lang w:val="en-GB"/>
        </w:rPr>
        <w:t xml:space="preserve"> </w:t>
      </w:r>
      <w:proofErr w:type="spellStart"/>
      <w:r w:rsidRPr="00671D08">
        <w:rPr>
          <w:lang w:val="en-GB"/>
        </w:rPr>
        <w:t>nog</w:t>
      </w:r>
      <w:proofErr w:type="spellEnd"/>
      <w:r w:rsidRPr="00671D08">
        <w:rPr>
          <w:lang w:val="en-GB"/>
        </w:rPr>
        <w:t xml:space="preserve"> </w:t>
      </w:r>
      <w:proofErr w:type="spellStart"/>
      <w:r w:rsidRPr="00671D08">
        <w:rPr>
          <w:lang w:val="en-GB"/>
        </w:rPr>
        <w:t>lang</w:t>
      </w:r>
      <w:proofErr w:type="spellEnd"/>
      <w:r w:rsidRPr="00671D08">
        <w:rPr>
          <w:lang w:val="en-GB"/>
        </w:rPr>
        <w:t xml:space="preserve"> en </w:t>
      </w:r>
      <w:proofErr w:type="spellStart"/>
      <w:r w:rsidRPr="00671D08">
        <w:rPr>
          <w:lang w:val="en-GB"/>
        </w:rPr>
        <w:t>gelukkig</w:t>
      </w:r>
      <w:proofErr w:type="spellEnd"/>
      <w:r w:rsidRPr="00671D08">
        <w:rPr>
          <w:lang w:val="en-GB"/>
        </w:rPr>
        <w:t xml:space="preserve">”, </w:t>
      </w:r>
      <w:r w:rsidRPr="00671D08">
        <w:rPr>
          <w:i/>
          <w:lang w:val="en-GB"/>
        </w:rPr>
        <w:t>Nemesis</w:t>
      </w:r>
      <w:r w:rsidRPr="00671D08">
        <w:rPr>
          <w:lang w:val="en-GB"/>
        </w:rPr>
        <w:t xml:space="preserve"> 2001, 70;</w:t>
      </w:r>
      <w:r>
        <w:rPr>
          <w:lang w:val="en-GB"/>
        </w:rPr>
        <w:t xml:space="preserve"> </w:t>
      </w:r>
      <w:r w:rsidRPr="004B783F">
        <w:rPr>
          <w:lang w:val="en-GB"/>
        </w:rPr>
        <w:t xml:space="preserve">Busby N., “The Part-Time Workers Regulations 2000: righting a wrong or out of proportion?”, </w:t>
      </w:r>
      <w:r w:rsidRPr="004B783F">
        <w:rPr>
          <w:i/>
          <w:lang w:val="en-GB"/>
        </w:rPr>
        <w:t xml:space="preserve">J. B. L. </w:t>
      </w:r>
      <w:r w:rsidRPr="004B783F">
        <w:rPr>
          <w:lang w:val="en-GB"/>
        </w:rPr>
        <w:t>2001, 3</w:t>
      </w:r>
      <w:r>
        <w:rPr>
          <w:lang w:val="en-GB"/>
        </w:rPr>
        <w:t xml:space="preserve">47.  </w:t>
      </w:r>
    </w:p>
  </w:footnote>
  <w:footnote w:id="445">
    <w:p w:rsidR="00551E68" w:rsidRPr="002E7745" w:rsidRDefault="00551E68" w:rsidP="005869B3">
      <w:pPr>
        <w:pStyle w:val="Voetnoottekst"/>
        <w:jc w:val="both"/>
        <w:rPr>
          <w:lang w:val="en-GB"/>
        </w:rPr>
      </w:pPr>
      <w:r>
        <w:rPr>
          <w:rStyle w:val="Voetnootmarkering"/>
        </w:rPr>
        <w:footnoteRef/>
      </w:r>
      <w:r w:rsidRPr="001970CB">
        <w:rPr>
          <w:lang w:val="en-US"/>
        </w:rPr>
        <w:t xml:space="preserve"> </w:t>
      </w:r>
      <w:r>
        <w:rPr>
          <w:lang w:val="en-US"/>
        </w:rPr>
        <w:t xml:space="preserve">Paragraph 21(1) </w:t>
      </w:r>
      <w:r w:rsidRPr="002E7745">
        <w:rPr>
          <w:lang w:val="en-US"/>
        </w:rPr>
        <w:t xml:space="preserve">Recommendation no. 165 on Workers with Family Responsibilities, 1981. </w:t>
      </w:r>
    </w:p>
  </w:footnote>
  <w:footnote w:id="446">
    <w:p w:rsidR="00551E68" w:rsidRPr="00906442" w:rsidRDefault="00551E68" w:rsidP="005869B3">
      <w:pPr>
        <w:pStyle w:val="Voetnoottekst"/>
        <w:jc w:val="both"/>
        <w:rPr>
          <w:lang w:val="en-GB"/>
        </w:rPr>
      </w:pPr>
      <w:r>
        <w:rPr>
          <w:rStyle w:val="Voetnootmarkering"/>
        </w:rPr>
        <w:footnoteRef/>
      </w:r>
      <w:r w:rsidRPr="00C52355">
        <w:rPr>
          <w:lang w:val="en-US"/>
        </w:rPr>
        <w:t xml:space="preserve"> </w:t>
      </w:r>
      <w:r>
        <w:rPr>
          <w:lang w:val="en-US"/>
        </w:rPr>
        <w:t xml:space="preserve">Paragraph 21(3) </w:t>
      </w:r>
      <w:r w:rsidRPr="00906442">
        <w:rPr>
          <w:lang w:val="en-US"/>
        </w:rPr>
        <w:t>Recomm</w:t>
      </w:r>
      <w:r>
        <w:rPr>
          <w:lang w:val="en-US"/>
        </w:rPr>
        <w:t xml:space="preserve">endation no. 165. </w:t>
      </w:r>
    </w:p>
  </w:footnote>
  <w:footnote w:id="447">
    <w:p w:rsidR="00551E68" w:rsidRPr="00726B98" w:rsidRDefault="00551E68" w:rsidP="005869B3">
      <w:pPr>
        <w:pStyle w:val="Voetnoottekst"/>
        <w:jc w:val="both"/>
        <w:rPr>
          <w:lang w:val="en-US"/>
        </w:rPr>
      </w:pPr>
      <w:r>
        <w:rPr>
          <w:rStyle w:val="Voetnootmarkering"/>
        </w:rPr>
        <w:footnoteRef/>
      </w:r>
      <w:r w:rsidRPr="00EC1C9F">
        <w:rPr>
          <w:lang w:val="en-US"/>
        </w:rPr>
        <w:t xml:space="preserve"> </w:t>
      </w:r>
      <w:r w:rsidRPr="00DB3B1A">
        <w:rPr>
          <w:lang w:val="en-US"/>
        </w:rPr>
        <w:t xml:space="preserve">International </w:t>
      </w:r>
      <w:proofErr w:type="spellStart"/>
      <w:r w:rsidRPr="00DB3B1A">
        <w:rPr>
          <w:lang w:val="en-US"/>
        </w:rPr>
        <w:t>Labour</w:t>
      </w:r>
      <w:proofErr w:type="spellEnd"/>
      <w:r w:rsidRPr="00DB3B1A">
        <w:rPr>
          <w:lang w:val="en-US"/>
        </w:rPr>
        <w:t xml:space="preserve"> Office, </w:t>
      </w:r>
      <w:r w:rsidRPr="00DB3B1A">
        <w:rPr>
          <w:i/>
          <w:lang w:val="en-US"/>
        </w:rPr>
        <w:t>Equality at work: Tackling the challenges</w:t>
      </w:r>
      <w:r w:rsidRPr="00DB3B1A">
        <w:rPr>
          <w:lang w:val="en-US"/>
        </w:rPr>
        <w:t xml:space="preserve">, International </w:t>
      </w:r>
      <w:proofErr w:type="spellStart"/>
      <w:r w:rsidRPr="00DB3B1A">
        <w:rPr>
          <w:lang w:val="en-US"/>
        </w:rPr>
        <w:t>Labour</w:t>
      </w:r>
      <w:proofErr w:type="spellEnd"/>
      <w:r w:rsidRPr="00DB3B1A">
        <w:rPr>
          <w:lang w:val="en-US"/>
        </w:rPr>
        <w:t xml:space="preserve"> Organization, Geneva, 2007,</w:t>
      </w:r>
      <w:r>
        <w:rPr>
          <w:lang w:val="en-US"/>
        </w:rPr>
        <w:t xml:space="preserve"> 9; </w:t>
      </w:r>
      <w:r w:rsidRPr="008077DC">
        <w:rPr>
          <w:lang w:val="en-GB"/>
        </w:rPr>
        <w:t xml:space="preserve">Monaghan K., </w:t>
      </w:r>
      <w:r w:rsidRPr="008077DC">
        <w:rPr>
          <w:i/>
          <w:lang w:val="en-GB"/>
        </w:rPr>
        <w:t>Equality Law</w:t>
      </w:r>
      <w:r w:rsidRPr="008077DC">
        <w:rPr>
          <w:lang w:val="en-GB"/>
        </w:rPr>
        <w:t xml:space="preserve">, Oxford, Oxford University Press, 2007, 185; </w:t>
      </w:r>
      <w:proofErr w:type="spellStart"/>
      <w:r w:rsidRPr="008077DC">
        <w:rPr>
          <w:lang w:val="en-GB"/>
        </w:rPr>
        <w:t>Tomei</w:t>
      </w:r>
      <w:proofErr w:type="spellEnd"/>
      <w:r w:rsidRPr="008077DC">
        <w:rPr>
          <w:lang w:val="en-GB"/>
        </w:rPr>
        <w:t xml:space="preserve"> M., “Discrimination and equality at work: A review of the concepts”, </w:t>
      </w:r>
      <w:r w:rsidRPr="008077DC">
        <w:rPr>
          <w:i/>
          <w:lang w:val="en-GB"/>
        </w:rPr>
        <w:t xml:space="preserve">Int’l Lab. </w:t>
      </w:r>
      <w:r w:rsidRPr="00726B98">
        <w:rPr>
          <w:i/>
          <w:lang w:val="en-US"/>
        </w:rPr>
        <w:t>Rev.</w:t>
      </w:r>
      <w:r w:rsidRPr="00726B98">
        <w:rPr>
          <w:lang w:val="en-US"/>
        </w:rPr>
        <w:t xml:space="preserve"> 2003, 402. </w:t>
      </w:r>
    </w:p>
  </w:footnote>
  <w:footnote w:id="448">
    <w:p w:rsidR="00551E68" w:rsidRPr="00B57551" w:rsidRDefault="00551E68" w:rsidP="005869B3">
      <w:pPr>
        <w:pStyle w:val="Voetnoottekst"/>
        <w:jc w:val="both"/>
        <w:rPr>
          <w:lang w:val="en-GB"/>
        </w:rPr>
      </w:pPr>
      <w:r>
        <w:rPr>
          <w:rStyle w:val="Voetnootmarkering"/>
        </w:rPr>
        <w:footnoteRef/>
      </w:r>
      <w:r>
        <w:rPr>
          <w:lang w:val="en-GB"/>
        </w:rPr>
        <w:t xml:space="preserve"> </w:t>
      </w:r>
      <w:r w:rsidRPr="00B57551">
        <w:rPr>
          <w:lang w:val="en-GB"/>
        </w:rPr>
        <w:t xml:space="preserve">International Labour Office, </w:t>
      </w:r>
      <w:r w:rsidRPr="00B57551">
        <w:rPr>
          <w:i/>
          <w:lang w:val="en-GB"/>
        </w:rPr>
        <w:t>Achieving Equal Employment Opportunities for People with Disabilities through Legislation: Guidelines</w:t>
      </w:r>
      <w:r w:rsidRPr="00B57551">
        <w:rPr>
          <w:lang w:val="en-GB"/>
        </w:rPr>
        <w:t>, Geneva, International Labour Organization, 2004, 28</w:t>
      </w:r>
      <w:r>
        <w:rPr>
          <w:lang w:val="en-US"/>
        </w:rPr>
        <w:t xml:space="preserve">; </w:t>
      </w:r>
      <w:r w:rsidRPr="00B57551">
        <w:rPr>
          <w:lang w:val="en-US"/>
        </w:rPr>
        <w:t xml:space="preserve">International </w:t>
      </w:r>
      <w:proofErr w:type="spellStart"/>
      <w:r w:rsidRPr="00B57551">
        <w:rPr>
          <w:lang w:val="en-US"/>
        </w:rPr>
        <w:t>Labour</w:t>
      </w:r>
      <w:proofErr w:type="spellEnd"/>
      <w:r w:rsidRPr="00B57551">
        <w:rPr>
          <w:lang w:val="en-US"/>
        </w:rPr>
        <w:t xml:space="preserve"> Standards Department,</w:t>
      </w:r>
      <w:r w:rsidRPr="00B57551">
        <w:rPr>
          <w:i/>
          <w:lang w:val="en-US"/>
        </w:rPr>
        <w:t xml:space="preserve"> Eliminating discrimination against indigenous and tribal peoples in employment and occupation: A Guide to ILO Convention No. 111</w:t>
      </w:r>
      <w:r w:rsidRPr="00B57551">
        <w:rPr>
          <w:lang w:val="en-US"/>
        </w:rPr>
        <w:t xml:space="preserve">, Geneva, International </w:t>
      </w:r>
      <w:proofErr w:type="spellStart"/>
      <w:r w:rsidRPr="00B57551">
        <w:rPr>
          <w:lang w:val="en-US"/>
        </w:rPr>
        <w:t>Labour</w:t>
      </w:r>
      <w:proofErr w:type="spellEnd"/>
      <w:r w:rsidRPr="00B57551">
        <w:rPr>
          <w:lang w:val="en-US"/>
        </w:rPr>
        <w:t xml:space="preserve"> Organization, 2007, 12. </w:t>
      </w:r>
    </w:p>
  </w:footnote>
  <w:footnote w:id="449">
    <w:p w:rsidR="00551E68" w:rsidRPr="00587179" w:rsidRDefault="00551E68" w:rsidP="005869B3">
      <w:pPr>
        <w:pStyle w:val="Voetnoottekst"/>
        <w:jc w:val="both"/>
        <w:rPr>
          <w:i/>
          <w:u w:val="single"/>
        </w:rPr>
      </w:pPr>
      <w:r>
        <w:rPr>
          <w:rStyle w:val="Voetnootmarkering"/>
        </w:rPr>
        <w:footnoteRef/>
      </w:r>
      <w:r w:rsidRPr="00802BEE">
        <w:t xml:space="preserve"> </w:t>
      </w:r>
      <w:proofErr w:type="spellStart"/>
      <w:r w:rsidRPr="00802BEE">
        <w:t>Burri</w:t>
      </w:r>
      <w:proofErr w:type="spellEnd"/>
      <w:r w:rsidRPr="00802BEE">
        <w:t xml:space="preserve"> S., </w:t>
      </w:r>
      <w:r w:rsidRPr="00802BEE">
        <w:rPr>
          <w:i/>
        </w:rPr>
        <w:t>Tijd delen: Deeltijd, gelijkheid en gender in Europees- en nationaalrechtelijk perspectief,</w:t>
      </w:r>
      <w:r w:rsidRPr="00802BEE">
        <w:t xml:space="preserve"> Antwerpen, Kluwer, 2000,</w:t>
      </w:r>
      <w:r>
        <w:t xml:space="preserve"> 193. </w:t>
      </w:r>
    </w:p>
  </w:footnote>
  <w:footnote w:id="450">
    <w:p w:rsidR="00551E68" w:rsidRPr="00064DBE" w:rsidRDefault="00551E68" w:rsidP="005869B3">
      <w:pPr>
        <w:pStyle w:val="Voetnoottekst"/>
        <w:jc w:val="both"/>
        <w:rPr>
          <w:lang w:val="en-GB"/>
        </w:rPr>
      </w:pPr>
      <w:r>
        <w:rPr>
          <w:rStyle w:val="Voetnootmarkering"/>
        </w:rPr>
        <w:footnoteRef/>
      </w:r>
      <w:r w:rsidRPr="000E404B">
        <w:rPr>
          <w:lang w:val="en-US"/>
        </w:rPr>
        <w:t xml:space="preserve"> </w:t>
      </w:r>
      <w:r>
        <w:rPr>
          <w:lang w:val="en-US"/>
        </w:rPr>
        <w:t xml:space="preserve">Article 1 </w:t>
      </w:r>
      <w:r w:rsidRPr="00064DBE">
        <w:rPr>
          <w:lang w:val="en-GB"/>
        </w:rPr>
        <w:t>Convention n</w:t>
      </w:r>
      <w:r>
        <w:rPr>
          <w:lang w:val="en-GB"/>
        </w:rPr>
        <w:t xml:space="preserve">o. 175; </w:t>
      </w:r>
      <w:proofErr w:type="spellStart"/>
      <w:r w:rsidRPr="00702E69">
        <w:rPr>
          <w:lang w:val="en-GB"/>
        </w:rPr>
        <w:t>Fredman</w:t>
      </w:r>
      <w:proofErr w:type="spellEnd"/>
      <w:r w:rsidRPr="00702E69">
        <w:rPr>
          <w:lang w:val="en-GB"/>
        </w:rPr>
        <w:t xml:space="preserve"> S., </w:t>
      </w:r>
      <w:r w:rsidRPr="00702E69">
        <w:rPr>
          <w:i/>
          <w:lang w:val="en-GB"/>
        </w:rPr>
        <w:t>Women and the Law</w:t>
      </w:r>
      <w:r w:rsidRPr="00702E69">
        <w:rPr>
          <w:lang w:val="en-GB"/>
        </w:rPr>
        <w:t>, Oxford, Clarendon Press</w:t>
      </w:r>
      <w:r>
        <w:rPr>
          <w:lang w:val="en-GB"/>
        </w:rPr>
        <w:t xml:space="preserve">, 1997, 240. </w:t>
      </w:r>
    </w:p>
  </w:footnote>
  <w:footnote w:id="451">
    <w:p w:rsidR="00551E68" w:rsidRPr="008850D9" w:rsidRDefault="00551E68" w:rsidP="005869B3">
      <w:pPr>
        <w:pStyle w:val="Voetnoottekst"/>
        <w:jc w:val="both"/>
        <w:rPr>
          <w:lang w:val="en-US"/>
        </w:rPr>
      </w:pPr>
      <w:r>
        <w:rPr>
          <w:rStyle w:val="Voetnootmarkering"/>
        </w:rPr>
        <w:footnoteRef/>
      </w:r>
      <w:r w:rsidRPr="008850D9">
        <w:rPr>
          <w:lang w:val="en-US"/>
        </w:rPr>
        <w:t xml:space="preserve"> Article 4 (c) Convention no. 175.</w:t>
      </w:r>
    </w:p>
  </w:footnote>
  <w:footnote w:id="452">
    <w:p w:rsidR="00551E68" w:rsidRPr="008850D9" w:rsidRDefault="00551E68" w:rsidP="005869B3">
      <w:pPr>
        <w:pStyle w:val="Voetnoottekst"/>
        <w:jc w:val="both"/>
        <w:rPr>
          <w:lang w:val="en-US"/>
        </w:rPr>
      </w:pPr>
      <w:r>
        <w:rPr>
          <w:rStyle w:val="Voetnootmarkering"/>
        </w:rPr>
        <w:footnoteRef/>
      </w:r>
      <w:r w:rsidRPr="008850D9">
        <w:rPr>
          <w:lang w:val="en-US"/>
        </w:rPr>
        <w:t xml:space="preserve"> Article 7 </w:t>
      </w:r>
      <w:r w:rsidRPr="00626829">
        <w:rPr>
          <w:lang w:val="en-GB"/>
        </w:rPr>
        <w:t>Convention no. 175</w:t>
      </w:r>
      <w:r>
        <w:rPr>
          <w:lang w:val="en-GB"/>
        </w:rPr>
        <w:t>.</w:t>
      </w:r>
    </w:p>
  </w:footnote>
  <w:footnote w:id="453">
    <w:p w:rsidR="00551E68" w:rsidRPr="007F679F" w:rsidRDefault="00551E68" w:rsidP="005869B3">
      <w:pPr>
        <w:pStyle w:val="Voetnoottekst"/>
        <w:jc w:val="both"/>
        <w:rPr>
          <w:lang w:val="en-US"/>
        </w:rPr>
      </w:pPr>
      <w:r>
        <w:rPr>
          <w:rStyle w:val="Voetnootmarkering"/>
        </w:rPr>
        <w:footnoteRef/>
      </w:r>
      <w:r w:rsidRPr="007F679F">
        <w:rPr>
          <w:lang w:val="en-US"/>
        </w:rPr>
        <w:t xml:space="preserve"> </w:t>
      </w:r>
      <w:r>
        <w:rPr>
          <w:lang w:val="en-US"/>
        </w:rPr>
        <w:t xml:space="preserve">Article 6 </w:t>
      </w:r>
      <w:r w:rsidRPr="002D4219">
        <w:rPr>
          <w:lang w:val="en-GB"/>
        </w:rPr>
        <w:t>Convention no. 175</w:t>
      </w:r>
      <w:r>
        <w:rPr>
          <w:lang w:val="en-GB"/>
        </w:rPr>
        <w:t xml:space="preserve">. </w:t>
      </w:r>
    </w:p>
  </w:footnote>
  <w:footnote w:id="454">
    <w:p w:rsidR="00551E68" w:rsidRPr="00272991" w:rsidRDefault="00551E68" w:rsidP="005869B3">
      <w:pPr>
        <w:pStyle w:val="Voetnoottekst"/>
        <w:jc w:val="both"/>
        <w:rPr>
          <w:lang w:val="en-GB"/>
        </w:rPr>
      </w:pPr>
      <w:r>
        <w:rPr>
          <w:rStyle w:val="Voetnootmarkering"/>
        </w:rPr>
        <w:footnoteRef/>
      </w:r>
      <w:r w:rsidRPr="00272991">
        <w:rPr>
          <w:lang w:val="en-GB"/>
        </w:rPr>
        <w:t xml:space="preserve"> Article 8 Convention no. 175. </w:t>
      </w:r>
    </w:p>
  </w:footnote>
  <w:footnote w:id="455">
    <w:p w:rsidR="00551E68" w:rsidRPr="00A00CC9" w:rsidRDefault="00551E68" w:rsidP="005869B3">
      <w:pPr>
        <w:pStyle w:val="Voetnoottekst"/>
        <w:jc w:val="both"/>
        <w:rPr>
          <w:lang w:val="en-GB"/>
        </w:rPr>
      </w:pPr>
      <w:r>
        <w:rPr>
          <w:rStyle w:val="Voetnootmarkering"/>
        </w:rPr>
        <w:footnoteRef/>
      </w:r>
      <w:r>
        <w:rPr>
          <w:lang w:val="en-US"/>
        </w:rPr>
        <w:t xml:space="preserve"> Article 9 Conv</w:t>
      </w:r>
      <w:r w:rsidRPr="00A15A7C">
        <w:rPr>
          <w:lang w:val="en-US"/>
        </w:rPr>
        <w:t>e</w:t>
      </w:r>
      <w:r>
        <w:rPr>
          <w:lang w:val="en-US"/>
        </w:rPr>
        <w:t>n</w:t>
      </w:r>
      <w:r w:rsidRPr="00A15A7C">
        <w:rPr>
          <w:lang w:val="en-US"/>
        </w:rPr>
        <w:t>tion no</w:t>
      </w:r>
      <w:r>
        <w:rPr>
          <w:lang w:val="en-US"/>
        </w:rPr>
        <w:t xml:space="preserve">. 175; paragraphs 15 and 17 </w:t>
      </w:r>
      <w:r w:rsidRPr="00A00CC9">
        <w:rPr>
          <w:lang w:val="en-GB"/>
        </w:rPr>
        <w:t>Recommendation no. 182 on Part-Time Work, 1994.</w:t>
      </w:r>
      <w:r>
        <w:rPr>
          <w:lang w:val="en-US"/>
        </w:rPr>
        <w:t xml:space="preserve"> </w:t>
      </w:r>
    </w:p>
  </w:footnote>
  <w:footnote w:id="456">
    <w:p w:rsidR="00551E68" w:rsidRPr="00DF2917" w:rsidRDefault="00551E68" w:rsidP="005869B3">
      <w:pPr>
        <w:pStyle w:val="Voetnoottekst"/>
        <w:jc w:val="both"/>
        <w:rPr>
          <w:lang w:val="en-GB"/>
        </w:rPr>
      </w:pPr>
      <w:r>
        <w:rPr>
          <w:rStyle w:val="Voetnootmarkering"/>
        </w:rPr>
        <w:footnoteRef/>
      </w:r>
      <w:r w:rsidRPr="00DF2917">
        <w:rPr>
          <w:lang w:val="en-US"/>
        </w:rPr>
        <w:t xml:space="preserve"> </w:t>
      </w:r>
      <w:r w:rsidRPr="00DF2917">
        <w:rPr>
          <w:lang w:val="en-GB"/>
        </w:rPr>
        <w:t>Council Directive 1997/81/EC of 15 December 1997 concerning the Framework Agreement on part-time work concluded by UNICE, CEEP and the ETUC.</w:t>
      </w:r>
    </w:p>
  </w:footnote>
  <w:footnote w:id="457">
    <w:p w:rsidR="00551E68" w:rsidRPr="008A29E5" w:rsidRDefault="00551E68" w:rsidP="005869B3">
      <w:pPr>
        <w:pStyle w:val="Voetnoottekst"/>
        <w:jc w:val="both"/>
        <w:rPr>
          <w:lang w:val="en-US"/>
        </w:rPr>
      </w:pPr>
      <w:r>
        <w:rPr>
          <w:rStyle w:val="Voetnootmarkering"/>
        </w:rPr>
        <w:footnoteRef/>
      </w:r>
      <w:r>
        <w:rPr>
          <w:lang w:val="en-US"/>
        </w:rPr>
        <w:t xml:space="preserve"> </w:t>
      </w:r>
      <w:r w:rsidRPr="008A29E5">
        <w:rPr>
          <w:lang w:val="en-US"/>
        </w:rPr>
        <w:t xml:space="preserve">ECJ C-96/80, </w:t>
      </w:r>
      <w:r w:rsidRPr="008A29E5">
        <w:rPr>
          <w:i/>
          <w:lang w:val="en-US"/>
        </w:rPr>
        <w:t>J.P. Jenkins v. Kingsgate (Clothing Productions) Ltd</w:t>
      </w:r>
      <w:r w:rsidRPr="008A29E5">
        <w:rPr>
          <w:lang w:val="en-US"/>
        </w:rPr>
        <w:t>, 1981.</w:t>
      </w:r>
    </w:p>
  </w:footnote>
  <w:footnote w:id="458">
    <w:p w:rsidR="00551E68" w:rsidRPr="006F5213" w:rsidRDefault="00551E68" w:rsidP="005869B3">
      <w:pPr>
        <w:pStyle w:val="Voetnoottekst"/>
        <w:jc w:val="both"/>
        <w:rPr>
          <w:lang w:val="en-US"/>
        </w:rPr>
      </w:pPr>
      <w:r>
        <w:rPr>
          <w:rStyle w:val="Voetnootmarkering"/>
        </w:rPr>
        <w:footnoteRef/>
      </w:r>
      <w:r w:rsidRPr="006F5213">
        <w:rPr>
          <w:lang w:val="en-US"/>
        </w:rPr>
        <w:t xml:space="preserve"> Article 157 TFEU. </w:t>
      </w:r>
    </w:p>
  </w:footnote>
  <w:footnote w:id="459">
    <w:p w:rsidR="00551E68" w:rsidRPr="006F5213" w:rsidRDefault="00551E68" w:rsidP="005869B3">
      <w:pPr>
        <w:pStyle w:val="Voetnoottekst"/>
        <w:jc w:val="both"/>
        <w:rPr>
          <w:lang w:val="en-GB"/>
        </w:rPr>
      </w:pPr>
      <w:r>
        <w:rPr>
          <w:rStyle w:val="Voetnootmarkering"/>
        </w:rPr>
        <w:footnoteRef/>
      </w:r>
      <w:r w:rsidRPr="006F5213">
        <w:rPr>
          <w:lang w:val="en-US"/>
        </w:rPr>
        <w:t xml:space="preserve"> </w:t>
      </w:r>
      <w:r w:rsidRPr="006F5213">
        <w:rPr>
          <w:bCs/>
          <w:lang w:val="en-US"/>
        </w:rPr>
        <w:t>Council Dir</w:t>
      </w:r>
      <w:r>
        <w:rPr>
          <w:bCs/>
          <w:lang w:val="en-US"/>
        </w:rPr>
        <w:t xml:space="preserve">ective 1975/117/EEC. </w:t>
      </w:r>
    </w:p>
  </w:footnote>
  <w:footnote w:id="460">
    <w:p w:rsidR="00551E68" w:rsidRPr="00C44789" w:rsidRDefault="00551E68" w:rsidP="005869B3">
      <w:pPr>
        <w:pStyle w:val="Voetnoottekst"/>
        <w:jc w:val="both"/>
      </w:pPr>
      <w:r>
        <w:rPr>
          <w:rStyle w:val="Voetnootmarkering"/>
        </w:rPr>
        <w:footnoteRef/>
      </w:r>
      <w:r w:rsidRPr="00C44789">
        <w:t xml:space="preserve"> ECJ C-33/89, </w:t>
      </w:r>
      <w:r w:rsidRPr="00C44789">
        <w:rPr>
          <w:i/>
        </w:rPr>
        <w:t xml:space="preserve">Maria </w:t>
      </w:r>
      <w:proofErr w:type="spellStart"/>
      <w:r w:rsidRPr="00C44789">
        <w:rPr>
          <w:i/>
        </w:rPr>
        <w:t>Kowalska</w:t>
      </w:r>
      <w:proofErr w:type="spellEnd"/>
      <w:r w:rsidRPr="00C44789">
        <w:rPr>
          <w:i/>
        </w:rPr>
        <w:t xml:space="preserve"> v. </w:t>
      </w:r>
      <w:proofErr w:type="spellStart"/>
      <w:r w:rsidRPr="00C44789">
        <w:rPr>
          <w:i/>
        </w:rPr>
        <w:t>Freie</w:t>
      </w:r>
      <w:proofErr w:type="spellEnd"/>
      <w:r w:rsidRPr="00C44789">
        <w:rPr>
          <w:i/>
        </w:rPr>
        <w:t xml:space="preserve"> </w:t>
      </w:r>
      <w:proofErr w:type="spellStart"/>
      <w:r w:rsidRPr="00C44789">
        <w:rPr>
          <w:i/>
        </w:rPr>
        <w:t>und</w:t>
      </w:r>
      <w:proofErr w:type="spellEnd"/>
      <w:r w:rsidRPr="00C44789">
        <w:rPr>
          <w:i/>
        </w:rPr>
        <w:t xml:space="preserve"> </w:t>
      </w:r>
      <w:proofErr w:type="spellStart"/>
      <w:r w:rsidRPr="00C44789">
        <w:rPr>
          <w:i/>
        </w:rPr>
        <w:t>Hansestadt</w:t>
      </w:r>
      <w:proofErr w:type="spellEnd"/>
      <w:r w:rsidRPr="00C44789">
        <w:rPr>
          <w:i/>
        </w:rPr>
        <w:t xml:space="preserve"> Hamburg</w:t>
      </w:r>
      <w:r w:rsidRPr="00C44789">
        <w:t>, 1990, para. 16.</w:t>
      </w:r>
    </w:p>
  </w:footnote>
  <w:footnote w:id="461">
    <w:p w:rsidR="00551E68" w:rsidRPr="007F679F" w:rsidRDefault="00551E68" w:rsidP="005869B3">
      <w:pPr>
        <w:pStyle w:val="Voetnoottekst"/>
        <w:jc w:val="both"/>
        <w:rPr>
          <w:lang w:val="en-US"/>
        </w:rPr>
      </w:pPr>
      <w:r>
        <w:rPr>
          <w:rStyle w:val="Voetnootmarkering"/>
        </w:rPr>
        <w:footnoteRef/>
      </w:r>
      <w:r w:rsidRPr="00C44789">
        <w:t xml:space="preserve"> ECJ C-360/90, </w:t>
      </w:r>
      <w:proofErr w:type="spellStart"/>
      <w:r w:rsidRPr="00C44789">
        <w:rPr>
          <w:i/>
        </w:rPr>
        <w:t>Arbeiterwohlfahrt</w:t>
      </w:r>
      <w:proofErr w:type="spellEnd"/>
      <w:r w:rsidRPr="00C44789">
        <w:rPr>
          <w:i/>
        </w:rPr>
        <w:t xml:space="preserve"> der </w:t>
      </w:r>
      <w:proofErr w:type="spellStart"/>
      <w:r w:rsidRPr="00C44789">
        <w:rPr>
          <w:i/>
        </w:rPr>
        <w:t>Stadt</w:t>
      </w:r>
      <w:proofErr w:type="spellEnd"/>
      <w:r w:rsidRPr="00C44789">
        <w:rPr>
          <w:i/>
        </w:rPr>
        <w:t xml:space="preserve"> Berlin v. Monika Botel</w:t>
      </w:r>
      <w:r w:rsidRPr="00C44789">
        <w:t xml:space="preserve">, 1992, para. </w:t>
      </w:r>
      <w:r w:rsidRPr="007F679F">
        <w:rPr>
          <w:lang w:val="en-US"/>
        </w:rPr>
        <w:t xml:space="preserve">27; ECJ C-278/93, </w:t>
      </w:r>
      <w:r w:rsidRPr="007F679F">
        <w:rPr>
          <w:i/>
          <w:lang w:val="en-US"/>
        </w:rPr>
        <w:t xml:space="preserve">Edith </w:t>
      </w:r>
      <w:proofErr w:type="spellStart"/>
      <w:r w:rsidRPr="007F679F">
        <w:rPr>
          <w:i/>
          <w:lang w:val="en-US"/>
        </w:rPr>
        <w:t>Freers</w:t>
      </w:r>
      <w:proofErr w:type="spellEnd"/>
      <w:r w:rsidRPr="007F679F">
        <w:rPr>
          <w:i/>
          <w:lang w:val="en-US"/>
        </w:rPr>
        <w:t xml:space="preserve"> and </w:t>
      </w:r>
      <w:proofErr w:type="spellStart"/>
      <w:r w:rsidRPr="007F679F">
        <w:rPr>
          <w:i/>
          <w:lang w:val="en-US"/>
        </w:rPr>
        <w:t>Hannelore</w:t>
      </w:r>
      <w:proofErr w:type="spellEnd"/>
      <w:r w:rsidRPr="007F679F">
        <w:rPr>
          <w:i/>
          <w:lang w:val="en-US"/>
        </w:rPr>
        <w:t xml:space="preserve"> </w:t>
      </w:r>
      <w:proofErr w:type="spellStart"/>
      <w:r w:rsidRPr="007F679F">
        <w:rPr>
          <w:i/>
          <w:lang w:val="en-US"/>
        </w:rPr>
        <w:t>Speckmann</w:t>
      </w:r>
      <w:proofErr w:type="spellEnd"/>
      <w:r w:rsidRPr="007F679F">
        <w:rPr>
          <w:i/>
          <w:lang w:val="en-US"/>
        </w:rPr>
        <w:t xml:space="preserve"> v. Deutsche </w:t>
      </w:r>
      <w:proofErr w:type="spellStart"/>
      <w:r w:rsidRPr="007F679F">
        <w:rPr>
          <w:i/>
          <w:lang w:val="en-US"/>
        </w:rPr>
        <w:t>Bundespost</w:t>
      </w:r>
      <w:proofErr w:type="spellEnd"/>
      <w:r w:rsidRPr="007F679F">
        <w:rPr>
          <w:lang w:val="en-US"/>
        </w:rPr>
        <w:t xml:space="preserve">, 1996, para. 31; ECJ C-457/93, </w:t>
      </w:r>
      <w:proofErr w:type="spellStart"/>
      <w:r w:rsidRPr="007F679F">
        <w:rPr>
          <w:i/>
          <w:lang w:val="en-US"/>
        </w:rPr>
        <w:t>Kuratorium</w:t>
      </w:r>
      <w:proofErr w:type="spellEnd"/>
      <w:r w:rsidRPr="007F679F">
        <w:rPr>
          <w:i/>
          <w:lang w:val="en-US"/>
        </w:rPr>
        <w:t xml:space="preserve"> </w:t>
      </w:r>
      <w:proofErr w:type="spellStart"/>
      <w:r w:rsidRPr="007F679F">
        <w:rPr>
          <w:i/>
          <w:lang w:val="en-US"/>
        </w:rPr>
        <w:t>für</w:t>
      </w:r>
      <w:proofErr w:type="spellEnd"/>
      <w:r w:rsidRPr="007F679F">
        <w:rPr>
          <w:i/>
          <w:lang w:val="en-US"/>
        </w:rPr>
        <w:t xml:space="preserve"> </w:t>
      </w:r>
      <w:proofErr w:type="spellStart"/>
      <w:r w:rsidRPr="007F679F">
        <w:rPr>
          <w:i/>
          <w:lang w:val="en-US"/>
        </w:rPr>
        <w:t>Dialyse</w:t>
      </w:r>
      <w:proofErr w:type="spellEnd"/>
      <w:r w:rsidRPr="007F679F">
        <w:rPr>
          <w:i/>
          <w:lang w:val="en-US"/>
        </w:rPr>
        <w:t xml:space="preserve"> und </w:t>
      </w:r>
      <w:proofErr w:type="spellStart"/>
      <w:r w:rsidRPr="007F679F">
        <w:rPr>
          <w:i/>
          <w:lang w:val="en-US"/>
        </w:rPr>
        <w:t>Nierentransplantation</w:t>
      </w:r>
      <w:proofErr w:type="spellEnd"/>
      <w:r w:rsidRPr="007F679F">
        <w:rPr>
          <w:i/>
          <w:lang w:val="en-US"/>
        </w:rPr>
        <w:t xml:space="preserve"> v. Johanna </w:t>
      </w:r>
      <w:proofErr w:type="spellStart"/>
      <w:r w:rsidRPr="007F679F">
        <w:rPr>
          <w:i/>
          <w:lang w:val="en-US"/>
        </w:rPr>
        <w:t>Lewark</w:t>
      </w:r>
      <w:proofErr w:type="spellEnd"/>
      <w:r w:rsidRPr="007F679F">
        <w:rPr>
          <w:lang w:val="en-US"/>
        </w:rPr>
        <w:t xml:space="preserve">, 1996, paras 37-39. </w:t>
      </w:r>
    </w:p>
  </w:footnote>
  <w:footnote w:id="462">
    <w:p w:rsidR="00551E68" w:rsidRPr="00CC4970" w:rsidRDefault="00551E68" w:rsidP="005869B3">
      <w:pPr>
        <w:pStyle w:val="Voetnoottekst"/>
        <w:jc w:val="both"/>
        <w:rPr>
          <w:lang w:val="de-DE"/>
        </w:rPr>
      </w:pPr>
      <w:r>
        <w:rPr>
          <w:rStyle w:val="Voetnootmarkering"/>
        </w:rPr>
        <w:footnoteRef/>
      </w:r>
      <w:r w:rsidRPr="00CC4970">
        <w:rPr>
          <w:lang w:val="de-DE"/>
        </w:rPr>
        <w:t xml:space="preserve"> </w:t>
      </w:r>
      <w:r w:rsidRPr="00AE56EA">
        <w:rPr>
          <w:lang w:val="de-DE"/>
        </w:rPr>
        <w:t xml:space="preserve">ECJ C-171/88, </w:t>
      </w:r>
      <w:r w:rsidRPr="00AE56EA">
        <w:rPr>
          <w:i/>
          <w:lang w:val="de-DE"/>
        </w:rPr>
        <w:t xml:space="preserve">Ingrid </w:t>
      </w:r>
      <w:proofErr w:type="spellStart"/>
      <w:r w:rsidRPr="00AE56EA">
        <w:rPr>
          <w:i/>
          <w:lang w:val="de-DE"/>
        </w:rPr>
        <w:t>Rinner</w:t>
      </w:r>
      <w:proofErr w:type="spellEnd"/>
      <w:r w:rsidRPr="00AE56EA">
        <w:rPr>
          <w:i/>
          <w:lang w:val="de-DE"/>
        </w:rPr>
        <w:t>-Kuhn v. FWW spezial-</w:t>
      </w:r>
      <w:proofErr w:type="spellStart"/>
      <w:r w:rsidRPr="00AE56EA">
        <w:rPr>
          <w:i/>
          <w:lang w:val="de-DE"/>
        </w:rPr>
        <w:t>gebaudereinigung</w:t>
      </w:r>
      <w:proofErr w:type="spellEnd"/>
      <w:r w:rsidRPr="00AE56EA">
        <w:rPr>
          <w:i/>
          <w:lang w:val="de-DE"/>
        </w:rPr>
        <w:t xml:space="preserve"> GmbH &amp; Co. KG</w:t>
      </w:r>
      <w:r>
        <w:rPr>
          <w:lang w:val="de-DE"/>
        </w:rPr>
        <w:t xml:space="preserve">, 1989, </w:t>
      </w:r>
      <w:proofErr w:type="spellStart"/>
      <w:r>
        <w:rPr>
          <w:lang w:val="de-DE"/>
        </w:rPr>
        <w:t>paras</w:t>
      </w:r>
      <w:proofErr w:type="spellEnd"/>
      <w:r>
        <w:rPr>
          <w:lang w:val="de-DE"/>
        </w:rPr>
        <w:t xml:space="preserve"> 11-13 </w:t>
      </w:r>
      <w:proofErr w:type="spellStart"/>
      <w:r>
        <w:rPr>
          <w:lang w:val="de-DE"/>
        </w:rPr>
        <w:t>and</w:t>
      </w:r>
      <w:proofErr w:type="spellEnd"/>
      <w:r>
        <w:rPr>
          <w:lang w:val="de-DE"/>
        </w:rPr>
        <w:t xml:space="preserve"> 16. </w:t>
      </w:r>
    </w:p>
  </w:footnote>
  <w:footnote w:id="463">
    <w:p w:rsidR="00551E68" w:rsidRPr="00CC4970" w:rsidRDefault="00551E68" w:rsidP="005869B3">
      <w:pPr>
        <w:pStyle w:val="Voetnoottekst"/>
        <w:jc w:val="both"/>
        <w:rPr>
          <w:lang w:val="de-DE"/>
        </w:rPr>
      </w:pPr>
      <w:r>
        <w:rPr>
          <w:rStyle w:val="Voetnootmarkering"/>
        </w:rPr>
        <w:footnoteRef/>
      </w:r>
      <w:r w:rsidRPr="00CC4970">
        <w:rPr>
          <w:lang w:val="de-DE"/>
        </w:rPr>
        <w:t xml:space="preserve"> </w:t>
      </w:r>
      <w:r w:rsidRPr="00A8789C">
        <w:rPr>
          <w:lang w:val="de-DE"/>
        </w:rPr>
        <w:t xml:space="preserve">ECJ C-184/89, </w:t>
      </w:r>
      <w:r w:rsidRPr="00A8789C">
        <w:rPr>
          <w:i/>
          <w:lang w:val="de-DE"/>
        </w:rPr>
        <w:t xml:space="preserve">Helga Nimz v. freie und </w:t>
      </w:r>
      <w:proofErr w:type="spellStart"/>
      <w:r w:rsidRPr="00A8789C">
        <w:rPr>
          <w:i/>
          <w:lang w:val="de-DE"/>
        </w:rPr>
        <w:t>hansestadt</w:t>
      </w:r>
      <w:proofErr w:type="spellEnd"/>
      <w:r w:rsidRPr="00A8789C">
        <w:rPr>
          <w:i/>
          <w:lang w:val="de-DE"/>
        </w:rPr>
        <w:t xml:space="preserve"> Hamburg</w:t>
      </w:r>
      <w:r>
        <w:rPr>
          <w:lang w:val="de-DE"/>
        </w:rPr>
        <w:t xml:space="preserve">, 1991, </w:t>
      </w:r>
      <w:proofErr w:type="spellStart"/>
      <w:r>
        <w:rPr>
          <w:lang w:val="de-DE"/>
        </w:rPr>
        <w:t>para</w:t>
      </w:r>
      <w:proofErr w:type="spellEnd"/>
      <w:r>
        <w:rPr>
          <w:lang w:val="de-DE"/>
        </w:rPr>
        <w:t xml:space="preserve">. 15. </w:t>
      </w:r>
    </w:p>
  </w:footnote>
  <w:footnote w:id="464">
    <w:p w:rsidR="00551E68" w:rsidRPr="00460BCE" w:rsidRDefault="00551E68" w:rsidP="005869B3">
      <w:pPr>
        <w:pStyle w:val="Voetnoottekst"/>
        <w:jc w:val="both"/>
        <w:rPr>
          <w:lang w:val="de-DE"/>
        </w:rPr>
      </w:pPr>
      <w:r>
        <w:rPr>
          <w:rStyle w:val="Voetnootmarkering"/>
        </w:rPr>
        <w:footnoteRef/>
      </w:r>
      <w:r w:rsidRPr="00460BCE">
        <w:rPr>
          <w:lang w:val="de-DE"/>
        </w:rPr>
        <w:t xml:space="preserve"> ECJ C-1/95, </w:t>
      </w:r>
      <w:r w:rsidRPr="00460BCE">
        <w:rPr>
          <w:i/>
          <w:lang w:val="de-DE"/>
        </w:rPr>
        <w:t>Hellen Gerster v. Freistaat Bayern</w:t>
      </w:r>
      <w:r>
        <w:rPr>
          <w:lang w:val="de-DE"/>
        </w:rPr>
        <w:t xml:space="preserve">, 1997, </w:t>
      </w:r>
      <w:proofErr w:type="spellStart"/>
      <w:r>
        <w:rPr>
          <w:lang w:val="de-DE"/>
        </w:rPr>
        <w:t>paras</w:t>
      </w:r>
      <w:proofErr w:type="spellEnd"/>
      <w:r>
        <w:rPr>
          <w:lang w:val="de-DE"/>
        </w:rPr>
        <w:t xml:space="preserve"> 32 </w:t>
      </w:r>
      <w:proofErr w:type="spellStart"/>
      <w:r>
        <w:rPr>
          <w:lang w:val="de-DE"/>
        </w:rPr>
        <w:t>and</w:t>
      </w:r>
      <w:proofErr w:type="spellEnd"/>
      <w:r>
        <w:rPr>
          <w:lang w:val="de-DE"/>
        </w:rPr>
        <w:t xml:space="preserve"> 40-42. </w:t>
      </w:r>
    </w:p>
  </w:footnote>
  <w:footnote w:id="465">
    <w:p w:rsidR="00551E68" w:rsidRPr="007A02A4" w:rsidRDefault="00551E68" w:rsidP="005869B3">
      <w:pPr>
        <w:pStyle w:val="Voetnoottekst"/>
        <w:jc w:val="both"/>
      </w:pPr>
      <w:r>
        <w:rPr>
          <w:rStyle w:val="Voetnootmarkering"/>
        </w:rPr>
        <w:footnoteRef/>
      </w:r>
      <w:r w:rsidRPr="00E305E6">
        <w:rPr>
          <w:lang w:val="de-DE"/>
        </w:rPr>
        <w:t xml:space="preserve"> ECJ C-100/95, </w:t>
      </w:r>
      <w:r w:rsidRPr="00E305E6">
        <w:rPr>
          <w:i/>
          <w:lang w:val="de-DE"/>
        </w:rPr>
        <w:t xml:space="preserve">Brigitte </w:t>
      </w:r>
      <w:proofErr w:type="spellStart"/>
      <w:r w:rsidRPr="00E305E6">
        <w:rPr>
          <w:i/>
          <w:lang w:val="de-DE"/>
        </w:rPr>
        <w:t>Kording</w:t>
      </w:r>
      <w:proofErr w:type="spellEnd"/>
      <w:r w:rsidRPr="00E305E6">
        <w:rPr>
          <w:i/>
          <w:lang w:val="de-DE"/>
        </w:rPr>
        <w:t xml:space="preserve"> v. Senator </w:t>
      </w:r>
      <w:proofErr w:type="spellStart"/>
      <w:r w:rsidRPr="00E305E6">
        <w:rPr>
          <w:i/>
          <w:lang w:val="de-DE"/>
        </w:rPr>
        <w:t>fur</w:t>
      </w:r>
      <w:proofErr w:type="spellEnd"/>
      <w:r w:rsidRPr="00E305E6">
        <w:rPr>
          <w:i/>
          <w:lang w:val="de-DE"/>
        </w:rPr>
        <w:t xml:space="preserve"> Finanzen Bremen</w:t>
      </w:r>
      <w:r>
        <w:rPr>
          <w:lang w:val="de-DE"/>
        </w:rPr>
        <w:t xml:space="preserve">, 1997, </w:t>
      </w:r>
      <w:proofErr w:type="spellStart"/>
      <w:r>
        <w:rPr>
          <w:lang w:val="de-DE"/>
        </w:rPr>
        <w:t>para</w:t>
      </w:r>
      <w:proofErr w:type="spellEnd"/>
      <w:r>
        <w:rPr>
          <w:lang w:val="de-DE"/>
        </w:rPr>
        <w:t xml:space="preserve">. </w:t>
      </w:r>
      <w:r w:rsidRPr="007A02A4">
        <w:t xml:space="preserve">27. </w:t>
      </w:r>
    </w:p>
  </w:footnote>
  <w:footnote w:id="466">
    <w:p w:rsidR="00551E68" w:rsidRPr="007A02A4" w:rsidRDefault="00551E68" w:rsidP="005869B3">
      <w:pPr>
        <w:pStyle w:val="Voetnoottekst"/>
        <w:jc w:val="both"/>
        <w:rPr>
          <w:lang w:val="de-DE"/>
        </w:rPr>
      </w:pPr>
      <w:r>
        <w:rPr>
          <w:rStyle w:val="Voetnootmarkering"/>
        </w:rPr>
        <w:footnoteRef/>
      </w:r>
      <w:r>
        <w:t xml:space="preserve"> </w:t>
      </w:r>
      <w:r w:rsidRPr="00A1126E">
        <w:t xml:space="preserve">ECJ C-102/88, </w:t>
      </w:r>
      <w:r w:rsidRPr="00A1126E">
        <w:rPr>
          <w:i/>
        </w:rPr>
        <w:t xml:space="preserve">M.L. </w:t>
      </w:r>
      <w:proofErr w:type="spellStart"/>
      <w:r w:rsidRPr="00A1126E">
        <w:rPr>
          <w:i/>
        </w:rPr>
        <w:t>Ruzius-Wilbrink</w:t>
      </w:r>
      <w:proofErr w:type="spellEnd"/>
      <w:r w:rsidRPr="00A1126E">
        <w:rPr>
          <w:i/>
        </w:rPr>
        <w:t xml:space="preserve"> v. Bestuur van de Bedrijfsverenigingen voor Overheidsdiensten</w:t>
      </w:r>
      <w:r w:rsidRPr="00A1126E">
        <w:t>, 1989</w:t>
      </w:r>
      <w:r>
        <w:t xml:space="preserve">, para. </w:t>
      </w:r>
      <w:r w:rsidRPr="007A02A4">
        <w:rPr>
          <w:lang w:val="de-DE"/>
        </w:rPr>
        <w:t xml:space="preserve">17. </w:t>
      </w:r>
    </w:p>
  </w:footnote>
  <w:footnote w:id="467">
    <w:p w:rsidR="00551E68" w:rsidRPr="00C83659" w:rsidRDefault="00551E68" w:rsidP="005869B3">
      <w:pPr>
        <w:pStyle w:val="Voetnoottekst"/>
        <w:jc w:val="both"/>
        <w:rPr>
          <w:lang w:val="de-DE"/>
        </w:rPr>
      </w:pPr>
      <w:r>
        <w:rPr>
          <w:rStyle w:val="Voetnootmarkering"/>
        </w:rPr>
        <w:footnoteRef/>
      </w:r>
      <w:r w:rsidRPr="00C83659">
        <w:rPr>
          <w:lang w:val="de-DE"/>
        </w:rPr>
        <w:t xml:space="preserve"> </w:t>
      </w:r>
      <w:r w:rsidRPr="00AB5548">
        <w:rPr>
          <w:lang w:val="de-DE"/>
        </w:rPr>
        <w:t xml:space="preserve">ECJ C-322/98, </w:t>
      </w:r>
      <w:proofErr w:type="spellStart"/>
      <w:r w:rsidRPr="00AB5548">
        <w:rPr>
          <w:i/>
          <w:lang w:val="de-DE"/>
        </w:rPr>
        <w:t>Barbel</w:t>
      </w:r>
      <w:proofErr w:type="spellEnd"/>
      <w:r w:rsidRPr="00AB5548">
        <w:rPr>
          <w:i/>
          <w:lang w:val="de-DE"/>
        </w:rPr>
        <w:t xml:space="preserve"> Kachelmann v. Bankhaus Hermann Lampe</w:t>
      </w:r>
      <w:r w:rsidRPr="00AB5548">
        <w:rPr>
          <w:lang w:val="de-DE"/>
        </w:rPr>
        <w:t>, 2000.</w:t>
      </w:r>
    </w:p>
  </w:footnote>
  <w:footnote w:id="468">
    <w:p w:rsidR="00551E68" w:rsidRPr="00C83659" w:rsidRDefault="00551E68" w:rsidP="005869B3">
      <w:pPr>
        <w:pStyle w:val="Voetnoottekst"/>
        <w:jc w:val="both"/>
        <w:rPr>
          <w:lang w:val="de-DE"/>
        </w:rPr>
      </w:pPr>
      <w:r>
        <w:rPr>
          <w:rStyle w:val="Voetnootmarkering"/>
        </w:rPr>
        <w:footnoteRef/>
      </w:r>
      <w:r>
        <w:rPr>
          <w:lang w:val="de-DE"/>
        </w:rPr>
        <w:t xml:space="preserve"> </w:t>
      </w:r>
      <w:r w:rsidRPr="00CB2EE3">
        <w:rPr>
          <w:lang w:val="de-DE"/>
        </w:rPr>
        <w:t xml:space="preserve">ECJ C-25/02, </w:t>
      </w:r>
      <w:r w:rsidRPr="00CB2EE3">
        <w:rPr>
          <w:i/>
          <w:lang w:val="de-DE"/>
        </w:rPr>
        <w:t xml:space="preserve">Katharina Rinke v. </w:t>
      </w:r>
      <w:proofErr w:type="spellStart"/>
      <w:r w:rsidRPr="00CB2EE3">
        <w:rPr>
          <w:i/>
          <w:lang w:val="de-DE"/>
        </w:rPr>
        <w:t>Arztekammer</w:t>
      </w:r>
      <w:proofErr w:type="spellEnd"/>
      <w:r w:rsidRPr="00CB2EE3">
        <w:rPr>
          <w:i/>
          <w:lang w:val="de-DE"/>
        </w:rPr>
        <w:t xml:space="preserve"> Hamburg</w:t>
      </w:r>
      <w:r w:rsidRPr="00CB2EE3">
        <w:rPr>
          <w:lang w:val="de-DE"/>
        </w:rPr>
        <w:t>, 2003</w:t>
      </w:r>
      <w:r>
        <w:rPr>
          <w:lang w:val="de-DE"/>
        </w:rPr>
        <w:t xml:space="preserve">. </w:t>
      </w:r>
    </w:p>
  </w:footnote>
  <w:footnote w:id="469">
    <w:p w:rsidR="00551E68" w:rsidRPr="00A77757" w:rsidRDefault="00551E68" w:rsidP="005869B3">
      <w:pPr>
        <w:pStyle w:val="Voetnoottekst"/>
        <w:jc w:val="both"/>
        <w:rPr>
          <w:i/>
          <w:lang w:val="en-GB"/>
        </w:rPr>
      </w:pPr>
      <w:r>
        <w:rPr>
          <w:rStyle w:val="Voetnootmarkering"/>
        </w:rPr>
        <w:footnoteRef/>
      </w:r>
      <w:r>
        <w:rPr>
          <w:lang w:val="en-US"/>
        </w:rPr>
        <w:t xml:space="preserve"> </w:t>
      </w:r>
      <w:r w:rsidRPr="00A77757">
        <w:rPr>
          <w:lang w:val="en-GB"/>
        </w:rPr>
        <w:t xml:space="preserve">Costello C. and Davies G., “The case law of the Court of Justice in the field of Sex Equality since 2000”, </w:t>
      </w:r>
      <w:r w:rsidRPr="00A77757">
        <w:rPr>
          <w:i/>
          <w:lang w:val="en-GB"/>
        </w:rPr>
        <w:t xml:space="preserve">CMLR </w:t>
      </w:r>
      <w:r>
        <w:rPr>
          <w:lang w:val="en-GB"/>
        </w:rPr>
        <w:t>2006, 1593;</w:t>
      </w:r>
      <w:r>
        <w:rPr>
          <w:i/>
          <w:lang w:val="en-GB"/>
        </w:rPr>
        <w:t xml:space="preserve"> </w:t>
      </w:r>
      <w:r w:rsidRPr="00A77757">
        <w:rPr>
          <w:lang w:val="en-US"/>
        </w:rPr>
        <w:t xml:space="preserve">Landau E. and </w:t>
      </w:r>
      <w:proofErr w:type="spellStart"/>
      <w:r w:rsidRPr="00A77757">
        <w:rPr>
          <w:lang w:val="en-US"/>
        </w:rPr>
        <w:t>Beigbeder</w:t>
      </w:r>
      <w:proofErr w:type="spellEnd"/>
      <w:r w:rsidRPr="00A77757">
        <w:rPr>
          <w:lang w:val="en-US"/>
        </w:rPr>
        <w:t xml:space="preserve"> Y., op. cit., 194 and 200-201</w:t>
      </w:r>
      <w:r>
        <w:rPr>
          <w:lang w:val="en-US"/>
        </w:rPr>
        <w:t xml:space="preserve">. </w:t>
      </w:r>
    </w:p>
  </w:footnote>
  <w:footnote w:id="470">
    <w:p w:rsidR="00551E68" w:rsidRPr="007A02A4" w:rsidRDefault="00551E68" w:rsidP="005869B3">
      <w:pPr>
        <w:pStyle w:val="Voetnoottekst"/>
        <w:jc w:val="both"/>
        <w:rPr>
          <w:u w:val="single"/>
          <w:lang w:val="de-DE"/>
        </w:rPr>
      </w:pPr>
      <w:r>
        <w:rPr>
          <w:rStyle w:val="Voetnootmarkering"/>
        </w:rPr>
        <w:footnoteRef/>
      </w:r>
      <w:r>
        <w:rPr>
          <w:lang w:val="de-DE"/>
        </w:rPr>
        <w:t xml:space="preserve"> </w:t>
      </w:r>
      <w:r w:rsidRPr="00C81F50">
        <w:rPr>
          <w:lang w:val="de-DE"/>
        </w:rPr>
        <w:t xml:space="preserve">ECJ C-170/84, </w:t>
      </w:r>
      <w:proofErr w:type="spellStart"/>
      <w:r w:rsidRPr="00C81F50">
        <w:rPr>
          <w:i/>
          <w:lang w:val="de-DE"/>
        </w:rPr>
        <w:t>Bilka</w:t>
      </w:r>
      <w:proofErr w:type="spellEnd"/>
      <w:r w:rsidRPr="00C81F50">
        <w:rPr>
          <w:i/>
          <w:lang w:val="de-DE"/>
        </w:rPr>
        <w:t xml:space="preserve"> Kaufhaus GmbH v. Karin Weber Von Hartz</w:t>
      </w:r>
      <w:r>
        <w:rPr>
          <w:lang w:val="de-DE"/>
        </w:rPr>
        <w:t xml:space="preserve">, 1986, </w:t>
      </w:r>
      <w:proofErr w:type="spellStart"/>
      <w:r>
        <w:rPr>
          <w:lang w:val="de-DE"/>
        </w:rPr>
        <w:t>paras</w:t>
      </w:r>
      <w:proofErr w:type="spellEnd"/>
      <w:r>
        <w:rPr>
          <w:lang w:val="de-DE"/>
        </w:rPr>
        <w:t xml:space="preserve"> 29-31; </w:t>
      </w:r>
      <w:r w:rsidRPr="00A079E3">
        <w:rPr>
          <w:lang w:val="de-DE"/>
        </w:rPr>
        <w:t xml:space="preserve">ECJ C-77/02, </w:t>
      </w:r>
      <w:r w:rsidRPr="00A079E3">
        <w:rPr>
          <w:i/>
          <w:lang w:val="de-DE"/>
        </w:rPr>
        <w:t xml:space="preserve">Erika </w:t>
      </w:r>
      <w:proofErr w:type="spellStart"/>
      <w:r w:rsidRPr="00A079E3">
        <w:rPr>
          <w:i/>
          <w:lang w:val="de-DE"/>
        </w:rPr>
        <w:t>Steinicke</w:t>
      </w:r>
      <w:proofErr w:type="spellEnd"/>
      <w:r w:rsidRPr="00A079E3">
        <w:rPr>
          <w:i/>
          <w:lang w:val="de-DE"/>
        </w:rPr>
        <w:t xml:space="preserve"> v. Bundesanstalt </w:t>
      </w:r>
      <w:proofErr w:type="spellStart"/>
      <w:r w:rsidRPr="00A079E3">
        <w:rPr>
          <w:i/>
          <w:lang w:val="de-DE"/>
        </w:rPr>
        <w:t>fur</w:t>
      </w:r>
      <w:proofErr w:type="spellEnd"/>
      <w:r w:rsidRPr="00A079E3">
        <w:rPr>
          <w:i/>
          <w:lang w:val="de-DE"/>
        </w:rPr>
        <w:t xml:space="preserve"> Arbeit</w:t>
      </w:r>
      <w:r w:rsidRPr="00A079E3">
        <w:rPr>
          <w:lang w:val="de-DE"/>
        </w:rPr>
        <w:t>, 2003</w:t>
      </w:r>
      <w:r>
        <w:rPr>
          <w:lang w:val="de-DE"/>
        </w:rPr>
        <w:t xml:space="preserve">, </w:t>
      </w:r>
      <w:proofErr w:type="spellStart"/>
      <w:r>
        <w:rPr>
          <w:lang w:val="de-DE"/>
        </w:rPr>
        <w:t>para</w:t>
      </w:r>
      <w:proofErr w:type="spellEnd"/>
      <w:r>
        <w:rPr>
          <w:lang w:val="de-DE"/>
        </w:rPr>
        <w:t xml:space="preserve">. </w:t>
      </w:r>
      <w:r w:rsidRPr="007A02A4">
        <w:rPr>
          <w:lang w:val="de-DE"/>
        </w:rPr>
        <w:t xml:space="preserve">57. </w:t>
      </w:r>
    </w:p>
  </w:footnote>
  <w:footnote w:id="471">
    <w:p w:rsidR="00551E68" w:rsidRPr="00E82107" w:rsidRDefault="00551E68" w:rsidP="005869B3">
      <w:pPr>
        <w:pStyle w:val="Voetnoottekst"/>
        <w:jc w:val="both"/>
        <w:rPr>
          <w:i/>
          <w:lang w:val="en-US"/>
        </w:rPr>
      </w:pPr>
      <w:r>
        <w:rPr>
          <w:rStyle w:val="Voetnootmarkering"/>
        </w:rPr>
        <w:footnoteRef/>
      </w:r>
      <w:r>
        <w:rPr>
          <w:lang w:val="de-DE"/>
        </w:rPr>
        <w:t xml:space="preserve"> </w:t>
      </w:r>
      <w:r w:rsidRPr="00E82107">
        <w:rPr>
          <w:lang w:val="de-DE"/>
        </w:rPr>
        <w:t xml:space="preserve">ECJ C-171/88, </w:t>
      </w:r>
      <w:r w:rsidRPr="00E82107">
        <w:rPr>
          <w:i/>
          <w:lang w:val="de-DE"/>
        </w:rPr>
        <w:t xml:space="preserve">Ingrid </w:t>
      </w:r>
      <w:proofErr w:type="spellStart"/>
      <w:r w:rsidRPr="00E82107">
        <w:rPr>
          <w:i/>
          <w:lang w:val="de-DE"/>
        </w:rPr>
        <w:t>Rinner</w:t>
      </w:r>
      <w:proofErr w:type="spellEnd"/>
      <w:r w:rsidRPr="00E82107">
        <w:rPr>
          <w:i/>
          <w:lang w:val="de-DE"/>
        </w:rPr>
        <w:t>-Kuhn v. FWW spezial-</w:t>
      </w:r>
      <w:proofErr w:type="spellStart"/>
      <w:r w:rsidRPr="00E82107">
        <w:rPr>
          <w:i/>
          <w:lang w:val="de-DE"/>
        </w:rPr>
        <w:t>gebaudereinigung</w:t>
      </w:r>
      <w:proofErr w:type="spellEnd"/>
      <w:r w:rsidRPr="00E82107">
        <w:rPr>
          <w:i/>
          <w:lang w:val="de-DE"/>
        </w:rPr>
        <w:t xml:space="preserve"> GmbH &amp; Co. </w:t>
      </w:r>
      <w:r w:rsidRPr="00E82107">
        <w:rPr>
          <w:i/>
          <w:lang w:val="en-US"/>
        </w:rPr>
        <w:t>KG</w:t>
      </w:r>
      <w:r w:rsidRPr="00E82107">
        <w:rPr>
          <w:lang w:val="en-US"/>
        </w:rPr>
        <w:t>, 1989, para</w:t>
      </w:r>
      <w:r>
        <w:rPr>
          <w:lang w:val="en-US"/>
        </w:rPr>
        <w:t xml:space="preserve">. 13; </w:t>
      </w:r>
      <w:r w:rsidRPr="00E82107">
        <w:rPr>
          <w:lang w:val="en-US"/>
        </w:rPr>
        <w:t xml:space="preserve">ECJ C-243/95, </w:t>
      </w:r>
      <w:r w:rsidRPr="00E82107">
        <w:rPr>
          <w:i/>
          <w:lang w:val="en-US"/>
        </w:rPr>
        <w:t>Kathleen Hill and Anne Stapleton v. Revenue Commissioners and Department of Finance</w:t>
      </w:r>
      <w:r>
        <w:rPr>
          <w:lang w:val="en-US"/>
        </w:rPr>
        <w:t xml:space="preserve">, 1998, para. </w:t>
      </w:r>
      <w:r w:rsidRPr="00E82107">
        <w:rPr>
          <w:lang w:val="de-DE"/>
        </w:rPr>
        <w:t xml:space="preserve">38; ECJ C-187/00, </w:t>
      </w:r>
      <w:r w:rsidRPr="00E82107">
        <w:rPr>
          <w:i/>
          <w:lang w:val="de-DE"/>
        </w:rPr>
        <w:t xml:space="preserve">Helga </w:t>
      </w:r>
      <w:proofErr w:type="spellStart"/>
      <w:r w:rsidRPr="00E82107">
        <w:rPr>
          <w:i/>
          <w:lang w:val="de-DE"/>
        </w:rPr>
        <w:t>Kutz</w:t>
      </w:r>
      <w:proofErr w:type="spellEnd"/>
      <w:r w:rsidRPr="00E82107">
        <w:rPr>
          <w:i/>
          <w:lang w:val="de-DE"/>
        </w:rPr>
        <w:t xml:space="preserve">-Bauer v. </w:t>
      </w:r>
      <w:r w:rsidRPr="00E82107">
        <w:rPr>
          <w:bCs/>
          <w:i/>
          <w:lang w:val="de-DE"/>
        </w:rPr>
        <w:t>Freie und Hansestadt Hamburg</w:t>
      </w:r>
      <w:r w:rsidRPr="00E82107">
        <w:rPr>
          <w:bCs/>
          <w:lang w:val="de-DE"/>
        </w:rPr>
        <w:t>, 2003</w:t>
      </w:r>
      <w:r>
        <w:rPr>
          <w:bCs/>
          <w:lang w:val="de-DE"/>
        </w:rPr>
        <w:t xml:space="preserve">, </w:t>
      </w:r>
      <w:proofErr w:type="spellStart"/>
      <w:r>
        <w:rPr>
          <w:bCs/>
          <w:lang w:val="de-DE"/>
        </w:rPr>
        <w:t>para</w:t>
      </w:r>
      <w:proofErr w:type="spellEnd"/>
      <w:r>
        <w:rPr>
          <w:bCs/>
          <w:lang w:val="de-DE"/>
        </w:rPr>
        <w:t xml:space="preserve">. </w:t>
      </w:r>
      <w:r w:rsidRPr="00E82107">
        <w:rPr>
          <w:bCs/>
          <w:lang w:val="en-US"/>
        </w:rPr>
        <w:t>58</w:t>
      </w:r>
      <w:r>
        <w:rPr>
          <w:lang w:val="en-US"/>
        </w:rPr>
        <w:t xml:space="preserve">; </w:t>
      </w:r>
      <w:proofErr w:type="spellStart"/>
      <w:r w:rsidRPr="00E82107">
        <w:rPr>
          <w:lang w:val="en-GB"/>
        </w:rPr>
        <w:t>Tobler</w:t>
      </w:r>
      <w:proofErr w:type="spellEnd"/>
      <w:r w:rsidRPr="00E82107">
        <w:rPr>
          <w:lang w:val="en-GB"/>
        </w:rPr>
        <w:t xml:space="preserve"> C., </w:t>
      </w:r>
      <w:r w:rsidRPr="00E82107">
        <w:rPr>
          <w:i/>
          <w:lang w:val="en-GB"/>
        </w:rPr>
        <w:t>Limits and potential of the concept of indirect discrimination</w:t>
      </w:r>
      <w:r w:rsidRPr="00E82107">
        <w:rPr>
          <w:lang w:val="en-GB"/>
        </w:rPr>
        <w:t xml:space="preserve">, Luxembourg, Office for Official Publications of the </w:t>
      </w:r>
      <w:r>
        <w:rPr>
          <w:lang w:val="en-GB"/>
        </w:rPr>
        <w:t xml:space="preserve">European Communities, 2008, 33. </w:t>
      </w:r>
    </w:p>
  </w:footnote>
  <w:footnote w:id="472">
    <w:p w:rsidR="00551E68" w:rsidRPr="00C65019" w:rsidRDefault="00551E68" w:rsidP="005869B3">
      <w:pPr>
        <w:pStyle w:val="Voetnoottekst"/>
        <w:jc w:val="both"/>
        <w:rPr>
          <w:i/>
          <w:lang w:val="en-GB"/>
        </w:rPr>
      </w:pPr>
      <w:r>
        <w:rPr>
          <w:rStyle w:val="Voetnootmarkering"/>
        </w:rPr>
        <w:footnoteRef/>
      </w:r>
      <w:r>
        <w:rPr>
          <w:lang w:val="en-US"/>
        </w:rPr>
        <w:t xml:space="preserve"> </w:t>
      </w:r>
      <w:r w:rsidRPr="005A7D37">
        <w:rPr>
          <w:lang w:val="en-US"/>
        </w:rPr>
        <w:t xml:space="preserve">Barnard C., </w:t>
      </w:r>
      <w:r w:rsidRPr="005A7D37">
        <w:rPr>
          <w:i/>
          <w:lang w:val="en-US"/>
        </w:rPr>
        <w:t xml:space="preserve">EU Employment Law, </w:t>
      </w:r>
      <w:r w:rsidRPr="005A7D37">
        <w:rPr>
          <w:lang w:val="en-US"/>
        </w:rPr>
        <w:t>Oxford, Oxford University Press, 2012,</w:t>
      </w:r>
      <w:r>
        <w:rPr>
          <w:lang w:val="en-US"/>
        </w:rPr>
        <w:t xml:space="preserve"> 432; Landau E. and </w:t>
      </w:r>
      <w:proofErr w:type="spellStart"/>
      <w:r>
        <w:rPr>
          <w:lang w:val="en-US"/>
        </w:rPr>
        <w:t>Beigbeder</w:t>
      </w:r>
      <w:proofErr w:type="spellEnd"/>
      <w:r>
        <w:rPr>
          <w:lang w:val="en-US"/>
        </w:rPr>
        <w:t xml:space="preserve"> Y., op. cit.,180; </w:t>
      </w:r>
      <w:r w:rsidRPr="0011364D">
        <w:rPr>
          <w:lang w:val="en-US"/>
        </w:rPr>
        <w:t xml:space="preserve">Jeffery M., “Not Really Going to Work? Of the Directive on Part-time Work, ‘Atypical Work’ and Attempts to Regulate It”, </w:t>
      </w:r>
      <w:r w:rsidRPr="0011364D">
        <w:rPr>
          <w:i/>
          <w:lang w:val="en-US"/>
        </w:rPr>
        <w:t>Ind. L. J.</w:t>
      </w:r>
      <w:r w:rsidRPr="0011364D">
        <w:rPr>
          <w:lang w:val="en-US"/>
        </w:rPr>
        <w:t xml:space="preserve"> 1998,</w:t>
      </w:r>
      <w:r>
        <w:rPr>
          <w:lang w:val="en-US"/>
        </w:rPr>
        <w:t xml:space="preserve"> 200; </w:t>
      </w:r>
      <w:r w:rsidRPr="00C65019">
        <w:rPr>
          <w:lang w:val="en-GB"/>
        </w:rPr>
        <w:t xml:space="preserve">Murray J., “Social Justice for Women? The ILO’s Convention on Part-time Work”, </w:t>
      </w:r>
      <w:r w:rsidRPr="00C65019">
        <w:rPr>
          <w:i/>
          <w:lang w:val="en-GB"/>
        </w:rPr>
        <w:t xml:space="preserve">Int. J. Comp. Lab. Law &amp; Ind. Rel. </w:t>
      </w:r>
      <w:r w:rsidRPr="00C65019">
        <w:rPr>
          <w:lang w:val="en-GB"/>
        </w:rPr>
        <w:t>1999,</w:t>
      </w:r>
      <w:r>
        <w:rPr>
          <w:lang w:val="en-GB"/>
        </w:rPr>
        <w:t xml:space="preserve"> 4. </w:t>
      </w:r>
    </w:p>
  </w:footnote>
  <w:footnote w:id="473">
    <w:p w:rsidR="00551E68" w:rsidRPr="00B1373D" w:rsidRDefault="00551E68" w:rsidP="005869B3">
      <w:pPr>
        <w:pStyle w:val="Voetnoottekst"/>
        <w:jc w:val="both"/>
        <w:rPr>
          <w:lang w:val="en-GB"/>
        </w:rPr>
      </w:pPr>
      <w:r>
        <w:rPr>
          <w:rStyle w:val="Voetnootmarkering"/>
        </w:rPr>
        <w:footnoteRef/>
      </w:r>
      <w:r>
        <w:rPr>
          <w:lang w:val="en-US"/>
        </w:rPr>
        <w:t xml:space="preserve"> Clause 1 and 3 </w:t>
      </w:r>
      <w:r w:rsidRPr="00B1373D">
        <w:rPr>
          <w:lang w:val="en-GB"/>
        </w:rPr>
        <w:t>C</w:t>
      </w:r>
      <w:r>
        <w:rPr>
          <w:lang w:val="en-GB"/>
        </w:rPr>
        <w:t xml:space="preserve">ouncil Directive 1997/81/EC. </w:t>
      </w:r>
    </w:p>
  </w:footnote>
  <w:footnote w:id="474">
    <w:p w:rsidR="00551E68" w:rsidRPr="00240089" w:rsidRDefault="00551E68" w:rsidP="005869B3">
      <w:pPr>
        <w:pStyle w:val="Voetnoottekst"/>
        <w:jc w:val="both"/>
        <w:rPr>
          <w:lang w:val="en-US"/>
        </w:rPr>
      </w:pPr>
      <w:r>
        <w:rPr>
          <w:rStyle w:val="Voetnootmarkering"/>
        </w:rPr>
        <w:footnoteRef/>
      </w:r>
      <w:r w:rsidRPr="00240089">
        <w:rPr>
          <w:lang w:val="en-US"/>
        </w:rPr>
        <w:t xml:space="preserve"> </w:t>
      </w:r>
      <w:r w:rsidRPr="009C67B2">
        <w:rPr>
          <w:lang w:val="en-US"/>
        </w:rPr>
        <w:t>Landau E.</w:t>
      </w:r>
      <w:r>
        <w:rPr>
          <w:lang w:val="en-US"/>
        </w:rPr>
        <w:t xml:space="preserve"> and </w:t>
      </w:r>
      <w:proofErr w:type="spellStart"/>
      <w:r>
        <w:rPr>
          <w:lang w:val="en-US"/>
        </w:rPr>
        <w:t>Beigbeder</w:t>
      </w:r>
      <w:proofErr w:type="spellEnd"/>
      <w:r>
        <w:rPr>
          <w:lang w:val="en-US"/>
        </w:rPr>
        <w:t xml:space="preserve"> Y., op. cit., 204.  </w:t>
      </w:r>
    </w:p>
  </w:footnote>
  <w:footnote w:id="475">
    <w:p w:rsidR="00551E68" w:rsidRPr="00805B8E" w:rsidRDefault="00551E68" w:rsidP="005869B3">
      <w:pPr>
        <w:pStyle w:val="Voetnoottekst"/>
        <w:jc w:val="both"/>
        <w:rPr>
          <w:i/>
          <w:u w:val="single"/>
          <w:lang w:val="en-US"/>
        </w:rPr>
      </w:pPr>
      <w:r>
        <w:rPr>
          <w:rStyle w:val="Voetnootmarkering"/>
        </w:rPr>
        <w:footnoteRef/>
      </w:r>
      <w:r w:rsidRPr="003743F5">
        <w:rPr>
          <w:lang w:val="en-US"/>
        </w:rPr>
        <w:t xml:space="preserve"> Barnard C. and </w:t>
      </w:r>
      <w:proofErr w:type="spellStart"/>
      <w:r w:rsidRPr="003743F5">
        <w:rPr>
          <w:lang w:val="en-US"/>
        </w:rPr>
        <w:t>Hep</w:t>
      </w:r>
      <w:r>
        <w:rPr>
          <w:lang w:val="en-US"/>
        </w:rPr>
        <w:t>ple</w:t>
      </w:r>
      <w:proofErr w:type="spellEnd"/>
      <w:r>
        <w:rPr>
          <w:lang w:val="en-US"/>
        </w:rPr>
        <w:t xml:space="preserve"> B., op. cit.</w:t>
      </w:r>
      <w:r w:rsidRPr="003743F5">
        <w:rPr>
          <w:lang w:val="en-US"/>
        </w:rPr>
        <w:t>, 580;</w:t>
      </w:r>
      <w:r>
        <w:rPr>
          <w:lang w:val="en-US"/>
        </w:rPr>
        <w:t xml:space="preserve"> </w:t>
      </w:r>
      <w:proofErr w:type="spellStart"/>
      <w:r w:rsidRPr="003743F5">
        <w:rPr>
          <w:lang w:val="en-US"/>
        </w:rPr>
        <w:t>Burri</w:t>
      </w:r>
      <w:proofErr w:type="spellEnd"/>
      <w:r w:rsidRPr="003743F5">
        <w:rPr>
          <w:lang w:val="en-US"/>
        </w:rPr>
        <w:t xml:space="preserve"> S., </w:t>
      </w:r>
      <w:proofErr w:type="spellStart"/>
      <w:r w:rsidRPr="003743F5">
        <w:rPr>
          <w:i/>
          <w:lang w:val="en-US"/>
        </w:rPr>
        <w:t>Tijd</w:t>
      </w:r>
      <w:proofErr w:type="spellEnd"/>
      <w:r w:rsidRPr="003743F5">
        <w:rPr>
          <w:i/>
          <w:lang w:val="en-US"/>
        </w:rPr>
        <w:t xml:space="preserve"> </w:t>
      </w:r>
      <w:proofErr w:type="spellStart"/>
      <w:r w:rsidRPr="003743F5">
        <w:rPr>
          <w:i/>
          <w:lang w:val="en-US"/>
        </w:rPr>
        <w:t>delen</w:t>
      </w:r>
      <w:proofErr w:type="spellEnd"/>
      <w:r w:rsidRPr="003743F5">
        <w:rPr>
          <w:i/>
          <w:lang w:val="en-US"/>
        </w:rPr>
        <w:t xml:space="preserve">: </w:t>
      </w:r>
      <w:proofErr w:type="spellStart"/>
      <w:r w:rsidRPr="003743F5">
        <w:rPr>
          <w:i/>
          <w:lang w:val="en-US"/>
        </w:rPr>
        <w:t>Deeltijd</w:t>
      </w:r>
      <w:proofErr w:type="spellEnd"/>
      <w:r w:rsidRPr="003743F5">
        <w:rPr>
          <w:i/>
          <w:lang w:val="en-US"/>
        </w:rPr>
        <w:t xml:space="preserve">, </w:t>
      </w:r>
      <w:proofErr w:type="spellStart"/>
      <w:r w:rsidRPr="003743F5">
        <w:rPr>
          <w:i/>
          <w:lang w:val="en-US"/>
        </w:rPr>
        <w:t>gelijkheid</w:t>
      </w:r>
      <w:proofErr w:type="spellEnd"/>
      <w:r w:rsidRPr="003743F5">
        <w:rPr>
          <w:i/>
          <w:lang w:val="en-US"/>
        </w:rPr>
        <w:t xml:space="preserve"> en gender in </w:t>
      </w:r>
      <w:proofErr w:type="spellStart"/>
      <w:r w:rsidRPr="003743F5">
        <w:rPr>
          <w:i/>
          <w:lang w:val="en-US"/>
        </w:rPr>
        <w:t>Europees</w:t>
      </w:r>
      <w:proofErr w:type="spellEnd"/>
      <w:r w:rsidRPr="003743F5">
        <w:rPr>
          <w:i/>
          <w:lang w:val="en-US"/>
        </w:rPr>
        <w:t xml:space="preserve">- en </w:t>
      </w:r>
      <w:proofErr w:type="spellStart"/>
      <w:r w:rsidRPr="003743F5">
        <w:rPr>
          <w:i/>
          <w:lang w:val="en-US"/>
        </w:rPr>
        <w:t>nationaalrechtelijk</w:t>
      </w:r>
      <w:proofErr w:type="spellEnd"/>
      <w:r w:rsidRPr="003743F5">
        <w:rPr>
          <w:i/>
          <w:lang w:val="en-US"/>
        </w:rPr>
        <w:t xml:space="preserve"> </w:t>
      </w:r>
      <w:proofErr w:type="spellStart"/>
      <w:r w:rsidRPr="003743F5">
        <w:rPr>
          <w:i/>
          <w:lang w:val="en-US"/>
        </w:rPr>
        <w:t>perspectief</w:t>
      </w:r>
      <w:proofErr w:type="spellEnd"/>
      <w:r w:rsidRPr="003743F5">
        <w:rPr>
          <w:i/>
          <w:lang w:val="en-US"/>
        </w:rPr>
        <w:t>,</w:t>
      </w:r>
      <w:r w:rsidRPr="003743F5">
        <w:rPr>
          <w:lang w:val="en-US"/>
        </w:rPr>
        <w:t xml:space="preserve"> </w:t>
      </w:r>
      <w:proofErr w:type="spellStart"/>
      <w:r w:rsidRPr="003743F5">
        <w:rPr>
          <w:lang w:val="en-US"/>
        </w:rPr>
        <w:t>Antwerpen</w:t>
      </w:r>
      <w:proofErr w:type="spellEnd"/>
      <w:r w:rsidRPr="003743F5">
        <w:rPr>
          <w:lang w:val="en-US"/>
        </w:rPr>
        <w:t>, Kluwer, 2000, 370 and 372-373;</w:t>
      </w:r>
      <w:r>
        <w:rPr>
          <w:lang w:val="en-US"/>
        </w:rPr>
        <w:t xml:space="preserve"> </w:t>
      </w:r>
      <w:r w:rsidRPr="004165A8">
        <w:rPr>
          <w:lang w:val="en-GB"/>
        </w:rPr>
        <w:t xml:space="preserve">Busby N., “The Part-Time Workers Regulations 2000: righting a wrong or out of proportion?”, </w:t>
      </w:r>
      <w:r w:rsidRPr="004165A8">
        <w:rPr>
          <w:i/>
          <w:lang w:val="en-GB"/>
        </w:rPr>
        <w:t xml:space="preserve">J. B. L. </w:t>
      </w:r>
      <w:r>
        <w:rPr>
          <w:lang w:val="en-GB"/>
        </w:rPr>
        <w:t xml:space="preserve">2001, </w:t>
      </w:r>
      <w:r w:rsidRPr="004F077A">
        <w:rPr>
          <w:lang w:val="en-GB"/>
        </w:rPr>
        <w:t>34</w:t>
      </w:r>
      <w:r>
        <w:rPr>
          <w:lang w:val="en-GB"/>
        </w:rPr>
        <w:t>9;</w:t>
      </w:r>
      <w:r>
        <w:rPr>
          <w:i/>
          <w:lang w:val="en-GB"/>
        </w:rPr>
        <w:t xml:space="preserve"> </w:t>
      </w:r>
      <w:r w:rsidRPr="00CB2131">
        <w:rPr>
          <w:lang w:val="en-GB"/>
        </w:rPr>
        <w:t xml:space="preserve">Fraser M., “New rights for old: Flexi-working and sex discrimination”, </w:t>
      </w:r>
      <w:r w:rsidRPr="00CB2131">
        <w:rPr>
          <w:i/>
          <w:lang w:val="en-GB"/>
        </w:rPr>
        <w:t>Employee Relations</w:t>
      </w:r>
      <w:r>
        <w:rPr>
          <w:lang w:val="en-GB"/>
        </w:rPr>
        <w:t xml:space="preserve"> 2004, 177-178;</w:t>
      </w:r>
      <w:r w:rsidRPr="00D24D30">
        <w:rPr>
          <w:sz w:val="24"/>
          <w:szCs w:val="24"/>
          <w:lang w:val="en-US"/>
        </w:rPr>
        <w:t xml:space="preserve"> </w:t>
      </w:r>
      <w:r w:rsidRPr="00D24D30">
        <w:rPr>
          <w:lang w:val="en-US"/>
        </w:rPr>
        <w:t>Jeffery M.,</w:t>
      </w:r>
      <w:r>
        <w:rPr>
          <w:lang w:val="en-US"/>
        </w:rPr>
        <w:t xml:space="preserve"> op. cit., 200; </w:t>
      </w:r>
      <w:proofErr w:type="spellStart"/>
      <w:r w:rsidRPr="009B25B7">
        <w:rPr>
          <w:lang w:val="en-GB"/>
        </w:rPr>
        <w:t>McGlynn</w:t>
      </w:r>
      <w:proofErr w:type="spellEnd"/>
      <w:r w:rsidRPr="009B25B7">
        <w:rPr>
          <w:lang w:val="en-GB"/>
        </w:rPr>
        <w:t xml:space="preserve">, “Reclaiming a Feminist Vision: The Reconciliation of Paid Work and Family Life in European Union Law and Policy”, </w:t>
      </w:r>
      <w:r w:rsidRPr="009B25B7">
        <w:rPr>
          <w:i/>
          <w:lang w:val="en-GB"/>
        </w:rPr>
        <w:t>Colum. J. Eur. L.</w:t>
      </w:r>
      <w:r w:rsidRPr="009B25B7">
        <w:rPr>
          <w:lang w:val="en-GB"/>
        </w:rPr>
        <w:t xml:space="preserve"> 2001,</w:t>
      </w:r>
      <w:r>
        <w:rPr>
          <w:lang w:val="en-GB"/>
        </w:rPr>
        <w:t xml:space="preserve"> 259; </w:t>
      </w:r>
      <w:proofErr w:type="spellStart"/>
      <w:r w:rsidRPr="00102124">
        <w:rPr>
          <w:lang w:val="en-US"/>
        </w:rPr>
        <w:t>Rossilli</w:t>
      </w:r>
      <w:proofErr w:type="spellEnd"/>
      <w:r w:rsidRPr="00102124">
        <w:rPr>
          <w:lang w:val="en-US"/>
        </w:rPr>
        <w:t xml:space="preserve"> M., “The European Union’s policy on the equality of women”, </w:t>
      </w:r>
      <w:r w:rsidRPr="00102124">
        <w:rPr>
          <w:i/>
          <w:lang w:val="en-US"/>
        </w:rPr>
        <w:t>Feminist Studies</w:t>
      </w:r>
      <w:r w:rsidRPr="00102124">
        <w:rPr>
          <w:lang w:val="en-US"/>
        </w:rPr>
        <w:t xml:space="preserve"> 1999, 17</w:t>
      </w:r>
      <w:r>
        <w:rPr>
          <w:lang w:val="en-US"/>
        </w:rPr>
        <w:t xml:space="preserve">7. </w:t>
      </w:r>
      <w:r w:rsidRPr="00102124">
        <w:rPr>
          <w:lang w:val="en-US"/>
        </w:rPr>
        <w:t xml:space="preserve"> </w:t>
      </w:r>
    </w:p>
  </w:footnote>
  <w:footnote w:id="476">
    <w:p w:rsidR="00551E68" w:rsidRPr="008E4C92" w:rsidRDefault="00551E68" w:rsidP="005869B3">
      <w:pPr>
        <w:pStyle w:val="Voetnoottekst"/>
        <w:jc w:val="both"/>
        <w:rPr>
          <w:lang w:val="en-GB"/>
        </w:rPr>
      </w:pPr>
      <w:r>
        <w:rPr>
          <w:rStyle w:val="Voetnootmarkering"/>
        </w:rPr>
        <w:footnoteRef/>
      </w:r>
      <w:r w:rsidRPr="007B6BD5">
        <w:rPr>
          <w:lang w:val="en-US"/>
        </w:rPr>
        <w:t xml:space="preserve"> </w:t>
      </w:r>
      <w:r>
        <w:rPr>
          <w:lang w:val="en-US"/>
        </w:rPr>
        <w:t>Clause 4</w:t>
      </w:r>
      <w:r w:rsidRPr="008E4C92">
        <w:rPr>
          <w:lang w:val="en-GB"/>
        </w:rPr>
        <w:t xml:space="preserve"> Council Directive 1997/81/EC. </w:t>
      </w:r>
    </w:p>
  </w:footnote>
  <w:footnote w:id="477">
    <w:p w:rsidR="00551E68" w:rsidRPr="008E4C92" w:rsidRDefault="00551E68" w:rsidP="005869B3">
      <w:pPr>
        <w:pStyle w:val="Voetnoottekst"/>
        <w:jc w:val="both"/>
        <w:rPr>
          <w:lang w:val="en-GB"/>
        </w:rPr>
      </w:pPr>
      <w:r>
        <w:rPr>
          <w:rStyle w:val="Voetnootmarkering"/>
        </w:rPr>
        <w:footnoteRef/>
      </w:r>
      <w:r w:rsidRPr="00AC486B">
        <w:rPr>
          <w:lang w:val="en-US"/>
        </w:rPr>
        <w:t xml:space="preserve"> </w:t>
      </w:r>
      <w:r>
        <w:rPr>
          <w:lang w:val="en-US"/>
        </w:rPr>
        <w:t xml:space="preserve">Clause 4(1) </w:t>
      </w:r>
      <w:r w:rsidRPr="008E4C92">
        <w:rPr>
          <w:lang w:val="en-GB"/>
        </w:rPr>
        <w:t>C</w:t>
      </w:r>
      <w:r>
        <w:rPr>
          <w:lang w:val="en-GB"/>
        </w:rPr>
        <w:t>ouncil Directive 1997/81/EC.</w:t>
      </w:r>
    </w:p>
  </w:footnote>
  <w:footnote w:id="478">
    <w:p w:rsidR="00551E68" w:rsidRPr="00201120" w:rsidRDefault="00551E68" w:rsidP="005869B3">
      <w:pPr>
        <w:pStyle w:val="Voetnoottekst"/>
        <w:jc w:val="both"/>
        <w:rPr>
          <w:lang w:val="en-GB"/>
        </w:rPr>
      </w:pPr>
      <w:r>
        <w:rPr>
          <w:rStyle w:val="Voetnootmarkering"/>
        </w:rPr>
        <w:footnoteRef/>
      </w:r>
      <w:r>
        <w:rPr>
          <w:lang w:val="en-US"/>
        </w:rPr>
        <w:t xml:space="preserve"> </w:t>
      </w:r>
      <w:r w:rsidRPr="00203F79">
        <w:rPr>
          <w:lang w:val="en-GB"/>
        </w:rPr>
        <w:t xml:space="preserve">Bell M., “Between </w:t>
      </w:r>
      <w:proofErr w:type="spellStart"/>
      <w:r w:rsidRPr="00203F79">
        <w:rPr>
          <w:lang w:val="en-GB"/>
        </w:rPr>
        <w:t>Flexicurity</w:t>
      </w:r>
      <w:proofErr w:type="spellEnd"/>
      <w:r w:rsidRPr="00203F79">
        <w:rPr>
          <w:lang w:val="en-GB"/>
        </w:rPr>
        <w:t xml:space="preserve"> and fundamental social rights: the EU Directives on atypical work”, </w:t>
      </w:r>
      <w:r w:rsidRPr="00203F79">
        <w:rPr>
          <w:i/>
          <w:lang w:val="en-GB"/>
        </w:rPr>
        <w:t>E. L. Rev.</w:t>
      </w:r>
      <w:r>
        <w:rPr>
          <w:lang w:val="en-GB"/>
        </w:rPr>
        <w:t xml:space="preserve"> 2012, 35; </w:t>
      </w:r>
      <w:r w:rsidRPr="00A112A8">
        <w:rPr>
          <w:lang w:val="en-GB"/>
        </w:rPr>
        <w:t xml:space="preserve">Ellis E., </w:t>
      </w:r>
      <w:r w:rsidRPr="00A112A8">
        <w:rPr>
          <w:i/>
          <w:lang w:val="en-GB"/>
        </w:rPr>
        <w:t>EU Anti-Discrimination Law</w:t>
      </w:r>
      <w:r w:rsidRPr="00A112A8">
        <w:rPr>
          <w:lang w:val="en-GB"/>
        </w:rPr>
        <w:t>, Oxford, Oxford University Press, 2005,</w:t>
      </w:r>
      <w:r>
        <w:rPr>
          <w:lang w:val="en-GB"/>
        </w:rPr>
        <w:t xml:space="preserve"> 249; </w:t>
      </w:r>
      <w:r w:rsidRPr="00587179">
        <w:rPr>
          <w:lang w:val="en-US"/>
        </w:rPr>
        <w:t>European Parliament,</w:t>
      </w:r>
      <w:r>
        <w:rPr>
          <w:lang w:val="en-US"/>
        </w:rPr>
        <w:t xml:space="preserve"> op. cit., 29; </w:t>
      </w:r>
      <w:proofErr w:type="spellStart"/>
      <w:r w:rsidRPr="00201120">
        <w:rPr>
          <w:lang w:val="en-GB"/>
        </w:rPr>
        <w:t>Fredman</w:t>
      </w:r>
      <w:proofErr w:type="spellEnd"/>
      <w:r w:rsidRPr="00201120">
        <w:rPr>
          <w:lang w:val="en-GB"/>
        </w:rPr>
        <w:t xml:space="preserve"> S., “Transformation or Dilution: Fundamental Rights in the EU Social Space”, </w:t>
      </w:r>
      <w:r w:rsidRPr="00201120">
        <w:rPr>
          <w:i/>
          <w:lang w:val="en-GB"/>
        </w:rPr>
        <w:t>ELJ</w:t>
      </w:r>
      <w:r>
        <w:rPr>
          <w:lang w:val="en-GB"/>
        </w:rPr>
        <w:t xml:space="preserve"> 2006, 48. </w:t>
      </w:r>
    </w:p>
  </w:footnote>
  <w:footnote w:id="479">
    <w:p w:rsidR="00551E68" w:rsidRPr="00B412F1" w:rsidRDefault="00551E68" w:rsidP="005869B3">
      <w:pPr>
        <w:pStyle w:val="Voetnoottekst"/>
        <w:jc w:val="both"/>
        <w:rPr>
          <w:lang w:val="en-GB"/>
        </w:rPr>
      </w:pPr>
      <w:r>
        <w:rPr>
          <w:rStyle w:val="Voetnootmarkering"/>
        </w:rPr>
        <w:footnoteRef/>
      </w:r>
      <w:r>
        <w:rPr>
          <w:lang w:val="en-US"/>
        </w:rPr>
        <w:t xml:space="preserve"> Clauses 2(2), 4(1) and 4(4)</w:t>
      </w:r>
      <w:r w:rsidRPr="00B412F1">
        <w:rPr>
          <w:lang w:val="en-GB"/>
        </w:rPr>
        <w:t xml:space="preserve"> </w:t>
      </w:r>
      <w:r>
        <w:rPr>
          <w:lang w:val="en-GB"/>
        </w:rPr>
        <w:t>Council Directive 1997/81/EC</w:t>
      </w:r>
      <w:r>
        <w:rPr>
          <w:lang w:val="en-US"/>
        </w:rPr>
        <w:t xml:space="preserve">; </w:t>
      </w:r>
      <w:proofErr w:type="spellStart"/>
      <w:r w:rsidRPr="00346F85">
        <w:rPr>
          <w:lang w:val="en-GB"/>
        </w:rPr>
        <w:t>Caracciolo</w:t>
      </w:r>
      <w:proofErr w:type="spellEnd"/>
      <w:r w:rsidRPr="00346F85">
        <w:rPr>
          <w:lang w:val="en-GB"/>
        </w:rPr>
        <w:t xml:space="preserve"> E., “The ‘Family-Friendly Workplace’: the EC Position”, </w:t>
      </w:r>
      <w:r w:rsidRPr="00346F85">
        <w:rPr>
          <w:i/>
          <w:lang w:val="en-US"/>
        </w:rPr>
        <w:t>Int’l J. of Comp. Lab. Law and Ind. Relations</w:t>
      </w:r>
      <w:r w:rsidRPr="00346F85">
        <w:rPr>
          <w:lang w:val="en-US"/>
        </w:rPr>
        <w:t xml:space="preserve"> 2001, </w:t>
      </w:r>
      <w:r>
        <w:rPr>
          <w:lang w:val="en-US"/>
        </w:rPr>
        <w:t xml:space="preserve">333. </w:t>
      </w:r>
    </w:p>
  </w:footnote>
  <w:footnote w:id="480">
    <w:p w:rsidR="00551E68" w:rsidRPr="00272991" w:rsidRDefault="00551E68" w:rsidP="005869B3">
      <w:pPr>
        <w:pStyle w:val="Voetnoottekst"/>
        <w:jc w:val="both"/>
        <w:rPr>
          <w:bCs/>
          <w:lang w:val="en-US"/>
        </w:rPr>
      </w:pPr>
      <w:r>
        <w:rPr>
          <w:rStyle w:val="Voetnootmarkering"/>
        </w:rPr>
        <w:footnoteRef/>
      </w:r>
      <w:r w:rsidRPr="00272991">
        <w:rPr>
          <w:lang w:val="en-US"/>
        </w:rPr>
        <w:t xml:space="preserve"> </w:t>
      </w:r>
      <w:r w:rsidRPr="00272991">
        <w:rPr>
          <w:bCs/>
          <w:lang w:val="en-US"/>
        </w:rPr>
        <w:t xml:space="preserve">ECJ C-395/08, </w:t>
      </w:r>
      <w:r w:rsidRPr="00272991">
        <w:rPr>
          <w:bCs/>
          <w:i/>
          <w:lang w:val="en-US"/>
        </w:rPr>
        <w:t xml:space="preserve">INPS v. </w:t>
      </w:r>
      <w:proofErr w:type="spellStart"/>
      <w:r w:rsidRPr="00272991">
        <w:rPr>
          <w:bCs/>
          <w:i/>
          <w:lang w:val="en-US"/>
        </w:rPr>
        <w:t>Tiziana</w:t>
      </w:r>
      <w:proofErr w:type="spellEnd"/>
      <w:r w:rsidRPr="00272991">
        <w:rPr>
          <w:bCs/>
          <w:i/>
          <w:lang w:val="en-US"/>
        </w:rPr>
        <w:t xml:space="preserve"> Bruno</w:t>
      </w:r>
      <w:r w:rsidRPr="00272991">
        <w:rPr>
          <w:bCs/>
          <w:lang w:val="en-US"/>
        </w:rPr>
        <w:t>, 2010,</w:t>
      </w:r>
      <w:r w:rsidRPr="00272991">
        <w:rPr>
          <w:lang w:val="en-US"/>
        </w:rPr>
        <w:t xml:space="preserve"> paras 32-42. </w:t>
      </w:r>
    </w:p>
  </w:footnote>
  <w:footnote w:id="481">
    <w:p w:rsidR="00551E68" w:rsidRPr="007F679F" w:rsidRDefault="00551E68" w:rsidP="005869B3">
      <w:pPr>
        <w:pStyle w:val="Voetnoottekst"/>
        <w:jc w:val="both"/>
        <w:rPr>
          <w:lang w:val="fr-FR"/>
        </w:rPr>
      </w:pPr>
      <w:r>
        <w:rPr>
          <w:rStyle w:val="Voetnootmarkering"/>
        </w:rPr>
        <w:footnoteRef/>
      </w:r>
      <w:r w:rsidRPr="007F679F">
        <w:rPr>
          <w:lang w:val="fr-FR"/>
        </w:rPr>
        <w:t xml:space="preserve"> Article 21 EU Charter.</w:t>
      </w:r>
    </w:p>
  </w:footnote>
  <w:footnote w:id="482">
    <w:p w:rsidR="00551E68" w:rsidRPr="007F679F" w:rsidRDefault="00551E68" w:rsidP="005869B3">
      <w:pPr>
        <w:pStyle w:val="Voetnoottekst"/>
        <w:jc w:val="both"/>
        <w:rPr>
          <w:lang w:val="fr-FR"/>
        </w:rPr>
      </w:pPr>
      <w:r>
        <w:rPr>
          <w:rStyle w:val="Voetnootmarkering"/>
        </w:rPr>
        <w:footnoteRef/>
      </w:r>
      <w:r w:rsidRPr="007F679F">
        <w:rPr>
          <w:lang w:val="fr-FR"/>
        </w:rPr>
        <w:t xml:space="preserve"> Article 23 EU Charter. </w:t>
      </w:r>
    </w:p>
  </w:footnote>
  <w:footnote w:id="483">
    <w:p w:rsidR="00551E68" w:rsidRPr="00CA0884" w:rsidRDefault="00551E68" w:rsidP="005869B3">
      <w:pPr>
        <w:pStyle w:val="Voetnoottekst"/>
        <w:jc w:val="both"/>
        <w:rPr>
          <w:i/>
          <w:lang w:val="en-GB"/>
        </w:rPr>
      </w:pPr>
      <w:r>
        <w:rPr>
          <w:rStyle w:val="Voetnootmarkering"/>
        </w:rPr>
        <w:footnoteRef/>
      </w:r>
      <w:r>
        <w:rPr>
          <w:lang w:val="en-US"/>
        </w:rPr>
        <w:t xml:space="preserve"> </w:t>
      </w:r>
      <w:proofErr w:type="spellStart"/>
      <w:r w:rsidRPr="00B44CB0">
        <w:rPr>
          <w:lang w:val="en-GB"/>
        </w:rPr>
        <w:t>Fredman</w:t>
      </w:r>
      <w:proofErr w:type="spellEnd"/>
      <w:r w:rsidRPr="00B44CB0">
        <w:rPr>
          <w:lang w:val="en-GB"/>
        </w:rPr>
        <w:t xml:space="preserve"> S., </w:t>
      </w:r>
      <w:r w:rsidRPr="00B44CB0">
        <w:rPr>
          <w:i/>
          <w:lang w:val="en-GB"/>
        </w:rPr>
        <w:t>Women and the Law</w:t>
      </w:r>
      <w:r w:rsidRPr="00B44CB0">
        <w:rPr>
          <w:lang w:val="en-GB"/>
        </w:rPr>
        <w:t>, Oxford, Clarendon Press, 1997,</w:t>
      </w:r>
      <w:r>
        <w:rPr>
          <w:lang w:val="en-GB"/>
        </w:rPr>
        <w:t xml:space="preserve"> 308; </w:t>
      </w:r>
      <w:r w:rsidRPr="00CA0884">
        <w:rPr>
          <w:lang w:val="en-GB"/>
        </w:rPr>
        <w:t xml:space="preserve">Murray J., “Social Justice for Women? The ILO’s Convention on Part-time Work”, </w:t>
      </w:r>
      <w:r w:rsidRPr="00CA0884">
        <w:rPr>
          <w:i/>
          <w:lang w:val="en-GB"/>
        </w:rPr>
        <w:t xml:space="preserve">Int. J. Comp. Lab. Law &amp; Ind. Rel. </w:t>
      </w:r>
      <w:r>
        <w:rPr>
          <w:lang w:val="en-GB"/>
        </w:rPr>
        <w:t xml:space="preserve">1999, 12-13; </w:t>
      </w:r>
      <w:proofErr w:type="spellStart"/>
      <w:r w:rsidRPr="00051FB3">
        <w:rPr>
          <w:lang w:val="en-GB"/>
        </w:rPr>
        <w:t>Vosko</w:t>
      </w:r>
      <w:proofErr w:type="spellEnd"/>
      <w:r w:rsidRPr="00051FB3">
        <w:rPr>
          <w:lang w:val="en-GB"/>
        </w:rPr>
        <w:t xml:space="preserve"> L., </w:t>
      </w:r>
      <w:r w:rsidRPr="00051FB3">
        <w:rPr>
          <w:i/>
          <w:lang w:val="en-GB"/>
        </w:rPr>
        <w:t>Managing the Margins: Gender, Citizenship, and the International Regulation of Precarious Employment</w:t>
      </w:r>
      <w:r w:rsidRPr="00051FB3">
        <w:rPr>
          <w:lang w:val="en-GB"/>
        </w:rPr>
        <w:t>, Oxford, Oxford University Press, 2010</w:t>
      </w:r>
      <w:r>
        <w:rPr>
          <w:lang w:val="en-GB"/>
        </w:rPr>
        <w:t xml:space="preserve">, 101. </w:t>
      </w:r>
    </w:p>
  </w:footnote>
  <w:footnote w:id="484">
    <w:p w:rsidR="00551E68" w:rsidRPr="0029496E" w:rsidRDefault="00551E68" w:rsidP="005869B3">
      <w:pPr>
        <w:pStyle w:val="Voetnoottekst"/>
        <w:jc w:val="both"/>
        <w:rPr>
          <w:lang w:val="en-US"/>
        </w:rPr>
      </w:pPr>
      <w:r>
        <w:rPr>
          <w:rStyle w:val="Voetnootmarkering"/>
        </w:rPr>
        <w:footnoteRef/>
      </w:r>
      <w:r w:rsidRPr="000A5757">
        <w:rPr>
          <w:lang w:val="en-US"/>
        </w:rPr>
        <w:t xml:space="preserve"> </w:t>
      </w:r>
      <w:r>
        <w:rPr>
          <w:lang w:val="en-US"/>
        </w:rPr>
        <w:t>Article 1 ESC and RESC. See in particular article 1(2) which states ‘the contracting parties undertake to protect effectively the right of the worker to earn his living in an occupation freely entered upon’.</w:t>
      </w:r>
      <w:r w:rsidRPr="008002D8">
        <w:rPr>
          <w:lang w:val="en-GB"/>
        </w:rPr>
        <w:t xml:space="preserve"> </w:t>
      </w:r>
      <w:r w:rsidRPr="0029496E">
        <w:rPr>
          <w:lang w:val="en-US"/>
        </w:rPr>
        <w:t>ESC Conclusions XIII-1, Cyprus (1991)</w:t>
      </w:r>
      <w:r>
        <w:rPr>
          <w:lang w:val="en-US"/>
        </w:rPr>
        <w:t xml:space="preserve">, 38; </w:t>
      </w:r>
      <w:r w:rsidRPr="0029496E">
        <w:rPr>
          <w:lang w:val="en-US"/>
        </w:rPr>
        <w:t>ESC Conclusions XIII-1, Netherlands (1991)</w:t>
      </w:r>
      <w:r>
        <w:rPr>
          <w:lang w:val="en-US"/>
        </w:rPr>
        <w:t xml:space="preserve">, 47; </w:t>
      </w:r>
      <w:r w:rsidRPr="008002D8">
        <w:rPr>
          <w:lang w:val="en-GB"/>
        </w:rPr>
        <w:t xml:space="preserve">European Committee of Social Rights, </w:t>
      </w:r>
      <w:r w:rsidRPr="008002D8">
        <w:rPr>
          <w:i/>
          <w:lang w:val="en-GB"/>
        </w:rPr>
        <w:t>Digest of the Case Law of the European Committee of Social Rights,</w:t>
      </w:r>
      <w:r w:rsidRPr="008002D8">
        <w:rPr>
          <w:lang w:val="en-GB"/>
        </w:rPr>
        <w:t xml:space="preserve"> Strasbourg, Council of Europe</w:t>
      </w:r>
      <w:r w:rsidRPr="008002D8">
        <w:rPr>
          <w:i/>
          <w:lang w:val="en-GB"/>
        </w:rPr>
        <w:t xml:space="preserve"> ,</w:t>
      </w:r>
      <w:r>
        <w:rPr>
          <w:lang w:val="en-GB"/>
        </w:rPr>
        <w:t xml:space="preserve">2008, 20 and 23. </w:t>
      </w:r>
    </w:p>
  </w:footnote>
  <w:footnote w:id="485">
    <w:p w:rsidR="00551E68" w:rsidRPr="008850D9" w:rsidRDefault="00551E68" w:rsidP="005869B3">
      <w:pPr>
        <w:pStyle w:val="Voetnoottekst"/>
        <w:jc w:val="both"/>
        <w:rPr>
          <w:lang w:val="en-GB"/>
        </w:rPr>
      </w:pPr>
      <w:r>
        <w:rPr>
          <w:rStyle w:val="Voetnootmarkering"/>
        </w:rPr>
        <w:footnoteRef/>
      </w:r>
      <w:r w:rsidRPr="0020535C">
        <w:rPr>
          <w:lang w:val="en-US"/>
        </w:rPr>
        <w:t xml:space="preserve"> </w:t>
      </w:r>
      <w:r>
        <w:rPr>
          <w:lang w:val="en-US"/>
        </w:rPr>
        <w:t xml:space="preserve">Article 1 </w:t>
      </w:r>
      <w:r w:rsidRPr="008850D9">
        <w:rPr>
          <w:lang w:val="en-GB"/>
        </w:rPr>
        <w:t xml:space="preserve">Additional </w:t>
      </w:r>
      <w:r>
        <w:rPr>
          <w:lang w:val="en-GB"/>
        </w:rPr>
        <w:t>Protocol to the ESC and article 20 RESC.</w:t>
      </w:r>
    </w:p>
  </w:footnote>
  <w:footnote w:id="486">
    <w:p w:rsidR="00551E68" w:rsidRPr="0074583D" w:rsidRDefault="00551E68" w:rsidP="005869B3">
      <w:pPr>
        <w:pStyle w:val="Voetnoottekst"/>
        <w:jc w:val="both"/>
        <w:rPr>
          <w:b/>
          <w:u w:val="single"/>
          <w:lang w:val="en-US"/>
        </w:rPr>
      </w:pPr>
      <w:r>
        <w:rPr>
          <w:rStyle w:val="Voetnootmarkering"/>
        </w:rPr>
        <w:footnoteRef/>
      </w:r>
      <w:r w:rsidRPr="003852A1">
        <w:rPr>
          <w:lang w:val="en-US"/>
        </w:rPr>
        <w:t xml:space="preserve"> ESC Conclusions XIII-5, Sweden (1997), 279;</w:t>
      </w:r>
      <w:r>
        <w:rPr>
          <w:lang w:val="en-US"/>
        </w:rPr>
        <w:t xml:space="preserve"> Harris D. and Darcy J., op. cit., 242. </w:t>
      </w:r>
    </w:p>
  </w:footnote>
  <w:footnote w:id="487">
    <w:p w:rsidR="00551E68" w:rsidRPr="00366F1A" w:rsidRDefault="00551E68" w:rsidP="005869B3">
      <w:pPr>
        <w:pStyle w:val="Voetnoottekst"/>
        <w:jc w:val="both"/>
        <w:rPr>
          <w:lang w:val="en-GB"/>
        </w:rPr>
      </w:pPr>
      <w:r>
        <w:rPr>
          <w:rStyle w:val="Voetnootmarkering"/>
        </w:rPr>
        <w:footnoteRef/>
      </w:r>
      <w:r>
        <w:rPr>
          <w:lang w:val="en-US"/>
        </w:rPr>
        <w:t xml:space="preserve">Article E Appendix to the RESC; Article E </w:t>
      </w:r>
      <w:r w:rsidRPr="00366F1A">
        <w:rPr>
          <w:lang w:val="en-GB"/>
        </w:rPr>
        <w:t>Explanatory R</w:t>
      </w:r>
      <w:r>
        <w:rPr>
          <w:lang w:val="en-GB"/>
        </w:rPr>
        <w:t xml:space="preserve">eport to the RESC. </w:t>
      </w:r>
    </w:p>
  </w:footnote>
  <w:footnote w:id="488">
    <w:p w:rsidR="00551E68" w:rsidRPr="00144A31" w:rsidRDefault="00551E68" w:rsidP="005869B3">
      <w:pPr>
        <w:pStyle w:val="Voetnoottekst"/>
        <w:jc w:val="both"/>
        <w:rPr>
          <w:lang w:val="en-US"/>
        </w:rPr>
      </w:pPr>
      <w:r>
        <w:rPr>
          <w:rStyle w:val="Voetnootmarkering"/>
        </w:rPr>
        <w:footnoteRef/>
      </w:r>
      <w:r>
        <w:rPr>
          <w:lang w:val="en-US"/>
        </w:rPr>
        <w:t xml:space="preserve"> </w:t>
      </w:r>
      <w:r w:rsidRPr="00BF422A">
        <w:rPr>
          <w:lang w:val="en-GB"/>
        </w:rPr>
        <w:t>Convention no. 156 on Workers with Family Responsibilities, 1981.</w:t>
      </w:r>
    </w:p>
  </w:footnote>
  <w:footnote w:id="489">
    <w:p w:rsidR="00551E68" w:rsidRPr="00102BD8" w:rsidRDefault="00551E68" w:rsidP="005869B3">
      <w:pPr>
        <w:pStyle w:val="Voetnoottekst"/>
        <w:jc w:val="both"/>
        <w:rPr>
          <w:lang w:val="en-GB"/>
        </w:rPr>
      </w:pPr>
      <w:r>
        <w:rPr>
          <w:rStyle w:val="Voetnootmarkering"/>
        </w:rPr>
        <w:footnoteRef/>
      </w:r>
      <w:r w:rsidRPr="00832ADC">
        <w:rPr>
          <w:lang w:val="en-US"/>
        </w:rPr>
        <w:t xml:space="preserve"> </w:t>
      </w:r>
      <w:r>
        <w:rPr>
          <w:lang w:val="en-US"/>
        </w:rPr>
        <w:t xml:space="preserve">Article 27 RESC; Article 27 </w:t>
      </w:r>
      <w:r w:rsidRPr="00102BD8">
        <w:rPr>
          <w:lang w:val="en-GB"/>
        </w:rPr>
        <w:t>Explanatory R</w:t>
      </w:r>
      <w:r>
        <w:rPr>
          <w:lang w:val="en-GB"/>
        </w:rPr>
        <w:t xml:space="preserve">eport to the RESC. </w:t>
      </w:r>
    </w:p>
  </w:footnote>
  <w:footnote w:id="490">
    <w:p w:rsidR="00551E68" w:rsidRPr="0028056C" w:rsidRDefault="00551E68" w:rsidP="005869B3">
      <w:pPr>
        <w:pStyle w:val="Voetnoottekst"/>
        <w:jc w:val="both"/>
        <w:rPr>
          <w:lang w:val="en-US"/>
        </w:rPr>
      </w:pPr>
      <w:r>
        <w:rPr>
          <w:rStyle w:val="Voetnootmarkering"/>
        </w:rPr>
        <w:footnoteRef/>
      </w:r>
      <w:r w:rsidRPr="0028056C">
        <w:rPr>
          <w:lang w:val="en-US"/>
        </w:rPr>
        <w:t xml:space="preserve"> </w:t>
      </w:r>
      <w:r>
        <w:rPr>
          <w:lang w:val="en-US"/>
        </w:rPr>
        <w:t xml:space="preserve">See for example: </w:t>
      </w:r>
      <w:r w:rsidRPr="00EB56DB">
        <w:rPr>
          <w:lang w:val="en-US"/>
        </w:rPr>
        <w:t>RESC Conclusions, Azerbaijan (2011)</w:t>
      </w:r>
      <w:r>
        <w:rPr>
          <w:lang w:val="en-US"/>
        </w:rPr>
        <w:t xml:space="preserve">, 179; </w:t>
      </w:r>
      <w:r w:rsidRPr="00C47F49">
        <w:rPr>
          <w:lang w:val="en-US"/>
        </w:rPr>
        <w:t>RESC Conclusions, Estonia (2005)</w:t>
      </w:r>
      <w:r>
        <w:rPr>
          <w:lang w:val="en-US"/>
        </w:rPr>
        <w:t xml:space="preserve">, 213. </w:t>
      </w:r>
    </w:p>
  </w:footnote>
  <w:footnote w:id="491">
    <w:p w:rsidR="00551E68" w:rsidRPr="0025658A" w:rsidRDefault="00551E68" w:rsidP="005869B3">
      <w:pPr>
        <w:pStyle w:val="Voetnoottekst"/>
        <w:jc w:val="both"/>
        <w:rPr>
          <w:lang w:val="en-US"/>
        </w:rPr>
      </w:pPr>
      <w:r>
        <w:rPr>
          <w:rStyle w:val="Voetnootmarkering"/>
        </w:rPr>
        <w:footnoteRef/>
      </w:r>
      <w:r>
        <w:rPr>
          <w:lang w:val="en-US"/>
        </w:rPr>
        <w:t xml:space="preserve"> See for example: </w:t>
      </w:r>
      <w:r w:rsidRPr="00D25ECD">
        <w:rPr>
          <w:lang w:val="en-US"/>
        </w:rPr>
        <w:t>RESC Conclusions, Armenia (2011)</w:t>
      </w:r>
      <w:r>
        <w:rPr>
          <w:lang w:val="en-US"/>
        </w:rPr>
        <w:t xml:space="preserve">, 149; </w:t>
      </w:r>
      <w:r w:rsidRPr="0025658A">
        <w:rPr>
          <w:lang w:val="en-US"/>
        </w:rPr>
        <w:t>RESC Conclusions, Moldova (2008)</w:t>
      </w:r>
      <w:r>
        <w:rPr>
          <w:lang w:val="en-US"/>
        </w:rPr>
        <w:t>, 535</w:t>
      </w:r>
      <w:r w:rsidRPr="0025658A">
        <w:rPr>
          <w:lang w:val="en-US"/>
        </w:rPr>
        <w:t>;</w:t>
      </w:r>
      <w:r>
        <w:rPr>
          <w:lang w:val="en-US"/>
        </w:rPr>
        <w:t xml:space="preserve"> </w:t>
      </w:r>
      <w:r w:rsidRPr="0025658A">
        <w:rPr>
          <w:lang w:val="en-US"/>
        </w:rPr>
        <w:t xml:space="preserve">RESC Conclusions, Ukraine (2011), 1256; </w:t>
      </w:r>
      <w:r w:rsidRPr="0025658A">
        <w:rPr>
          <w:lang w:val="en-GB"/>
        </w:rPr>
        <w:t xml:space="preserve">European Committee of Social Rights, </w:t>
      </w:r>
      <w:r w:rsidRPr="0025658A">
        <w:rPr>
          <w:i/>
          <w:lang w:val="en-GB"/>
        </w:rPr>
        <w:t>Digest of the Case Law of the European Committee of Social Rights,</w:t>
      </w:r>
      <w:r w:rsidRPr="0025658A">
        <w:rPr>
          <w:lang w:val="en-GB"/>
        </w:rPr>
        <w:t xml:space="preserve"> Strasbourg, Council of Europe</w:t>
      </w:r>
      <w:r w:rsidRPr="0025658A">
        <w:rPr>
          <w:i/>
          <w:lang w:val="en-GB"/>
        </w:rPr>
        <w:t xml:space="preserve"> ,</w:t>
      </w:r>
      <w:r w:rsidRPr="0025658A">
        <w:rPr>
          <w:lang w:val="en-GB"/>
        </w:rPr>
        <w:t xml:space="preserve">2008, 160. </w:t>
      </w:r>
    </w:p>
  </w:footnote>
  <w:footnote w:id="492">
    <w:p w:rsidR="00551E68" w:rsidRPr="00F133E7" w:rsidRDefault="00551E68" w:rsidP="005869B3">
      <w:pPr>
        <w:pStyle w:val="Voetnoottekst"/>
        <w:jc w:val="both"/>
        <w:rPr>
          <w:lang w:val="en-US"/>
        </w:rPr>
      </w:pPr>
      <w:r>
        <w:rPr>
          <w:rStyle w:val="Voetnootmarkering"/>
        </w:rPr>
        <w:footnoteRef/>
      </w:r>
      <w:r w:rsidRPr="00F133E7">
        <w:rPr>
          <w:lang w:val="en-US"/>
        </w:rPr>
        <w:t xml:space="preserve"> RESC Conclusions, Lithuania (2005), 397. </w:t>
      </w:r>
    </w:p>
  </w:footnote>
  <w:footnote w:id="493">
    <w:p w:rsidR="00551E68" w:rsidRPr="002E29F6" w:rsidRDefault="00551E68" w:rsidP="005869B3">
      <w:pPr>
        <w:pStyle w:val="Voetnoottekst"/>
        <w:jc w:val="both"/>
        <w:rPr>
          <w:lang w:val="en-US"/>
        </w:rPr>
      </w:pPr>
      <w:r>
        <w:rPr>
          <w:rStyle w:val="Voetnootmarkering"/>
        </w:rPr>
        <w:footnoteRef/>
      </w:r>
      <w:r>
        <w:rPr>
          <w:lang w:val="en-US"/>
        </w:rPr>
        <w:t xml:space="preserve"> </w:t>
      </w:r>
      <w:r w:rsidRPr="003172B4">
        <w:rPr>
          <w:lang w:val="en-US"/>
        </w:rPr>
        <w:t>CE</w:t>
      </w:r>
      <w:r>
        <w:rPr>
          <w:lang w:val="en-US"/>
        </w:rPr>
        <w:t xml:space="preserve">DAW CO Germany, A/59/38 (2004), paras 388-389; </w:t>
      </w:r>
      <w:r w:rsidRPr="003172B4">
        <w:rPr>
          <w:lang w:val="en-US"/>
        </w:rPr>
        <w:t>C</w:t>
      </w:r>
      <w:r>
        <w:rPr>
          <w:lang w:val="en-US"/>
        </w:rPr>
        <w:t xml:space="preserve">EDAW CO Iceland, A/51/38 (1996), para. 96; </w:t>
      </w:r>
      <w:r w:rsidRPr="002557EE">
        <w:rPr>
          <w:lang w:val="en-US"/>
        </w:rPr>
        <w:t xml:space="preserve">CEDAW </w:t>
      </w:r>
      <w:r>
        <w:rPr>
          <w:lang w:val="en-US"/>
        </w:rPr>
        <w:t xml:space="preserve">CO New Zealand, A/58/38 (2003), para. 411; </w:t>
      </w:r>
      <w:r w:rsidRPr="00662E4B">
        <w:rPr>
          <w:lang w:val="en-US"/>
        </w:rPr>
        <w:t>CEDAW CO Spain, CEDAW/C/ESP/CO/6 (2009)</w:t>
      </w:r>
      <w:r>
        <w:rPr>
          <w:lang w:val="en-US"/>
        </w:rPr>
        <w:t xml:space="preserve">, para. 23; </w:t>
      </w:r>
      <w:proofErr w:type="spellStart"/>
      <w:r>
        <w:rPr>
          <w:lang w:val="en-US"/>
        </w:rPr>
        <w:t>Raday</w:t>
      </w:r>
      <w:proofErr w:type="spellEnd"/>
      <w:r>
        <w:rPr>
          <w:lang w:val="en-US"/>
        </w:rPr>
        <w:t xml:space="preserve"> F., “Article 11” in </w:t>
      </w:r>
      <w:r w:rsidRPr="003D5A37">
        <w:rPr>
          <w:lang w:val="en-US"/>
        </w:rPr>
        <w:t xml:space="preserve">Freeman M., </w:t>
      </w:r>
      <w:proofErr w:type="spellStart"/>
      <w:r>
        <w:rPr>
          <w:lang w:val="en-US"/>
        </w:rPr>
        <w:t>Chinkin</w:t>
      </w:r>
      <w:proofErr w:type="spellEnd"/>
      <w:r>
        <w:rPr>
          <w:lang w:val="en-US"/>
        </w:rPr>
        <w:t xml:space="preserve"> C. and </w:t>
      </w:r>
      <w:proofErr w:type="spellStart"/>
      <w:r>
        <w:rPr>
          <w:lang w:val="en-US"/>
        </w:rPr>
        <w:t>Beate</w:t>
      </w:r>
      <w:proofErr w:type="spellEnd"/>
      <w:r>
        <w:rPr>
          <w:lang w:val="en-US"/>
        </w:rPr>
        <w:t xml:space="preserve"> R. (eds.), op. cit., 291.  </w:t>
      </w:r>
    </w:p>
  </w:footnote>
  <w:footnote w:id="494">
    <w:p w:rsidR="00551E68" w:rsidRPr="00174F96" w:rsidRDefault="00551E68" w:rsidP="005869B3">
      <w:pPr>
        <w:pStyle w:val="Voetnoottekst"/>
        <w:jc w:val="both"/>
        <w:rPr>
          <w:lang w:val="en-US"/>
        </w:rPr>
      </w:pPr>
      <w:r>
        <w:rPr>
          <w:rStyle w:val="Voetnootmarkering"/>
        </w:rPr>
        <w:footnoteRef/>
      </w:r>
      <w:r w:rsidRPr="002521A2">
        <w:rPr>
          <w:lang w:val="en-US"/>
        </w:rPr>
        <w:t xml:space="preserve"> </w:t>
      </w:r>
      <w:r w:rsidRPr="00174F96">
        <w:rPr>
          <w:lang w:val="en-US"/>
        </w:rPr>
        <w:t>CEDAW CO Montenegro, CEDAW/C/MNE/CO/1</w:t>
      </w:r>
      <w:r>
        <w:rPr>
          <w:lang w:val="en-US"/>
        </w:rPr>
        <w:t xml:space="preserve"> </w:t>
      </w:r>
      <w:r w:rsidRPr="00174F96">
        <w:rPr>
          <w:lang w:val="en-US"/>
        </w:rPr>
        <w:t>(2011)</w:t>
      </w:r>
      <w:r>
        <w:rPr>
          <w:lang w:val="en-US"/>
        </w:rPr>
        <w:t xml:space="preserve">, para. 28; </w:t>
      </w:r>
      <w:r w:rsidRPr="002521A2">
        <w:rPr>
          <w:lang w:val="en-US"/>
        </w:rPr>
        <w:t>CEDAW CO Norway,</w:t>
      </w:r>
      <w:r>
        <w:rPr>
          <w:lang w:val="en-US"/>
        </w:rPr>
        <w:t xml:space="preserve"> CEDAW/C/NOR/CO/8 (2012), paras </w:t>
      </w:r>
      <w:r w:rsidRPr="00CF5453">
        <w:rPr>
          <w:lang w:val="en-US"/>
        </w:rPr>
        <w:t xml:space="preserve">29-30; Hakim C., op. cit., 70; </w:t>
      </w:r>
      <w:proofErr w:type="spellStart"/>
      <w:r w:rsidRPr="002521A2">
        <w:rPr>
          <w:lang w:val="en-US"/>
        </w:rPr>
        <w:t>Mutari</w:t>
      </w:r>
      <w:proofErr w:type="spellEnd"/>
      <w:r w:rsidRPr="002521A2">
        <w:rPr>
          <w:lang w:val="en-US"/>
        </w:rPr>
        <w:t xml:space="preserve"> E. and </w:t>
      </w:r>
      <w:proofErr w:type="spellStart"/>
      <w:r w:rsidRPr="002521A2">
        <w:rPr>
          <w:lang w:val="en-US"/>
        </w:rPr>
        <w:t>Figart</w:t>
      </w:r>
      <w:proofErr w:type="spellEnd"/>
      <w:r w:rsidRPr="002521A2">
        <w:rPr>
          <w:lang w:val="en-US"/>
        </w:rPr>
        <w:t xml:space="preserve"> D., “Europe at a Crossroads: Harmonization, Liberalization, and the Gender of Work Time”, </w:t>
      </w:r>
      <w:r w:rsidRPr="002521A2">
        <w:rPr>
          <w:i/>
          <w:lang w:val="en-US"/>
        </w:rPr>
        <w:t>Social Politics</w:t>
      </w:r>
      <w:r w:rsidRPr="002521A2">
        <w:rPr>
          <w:lang w:val="en-US"/>
        </w:rPr>
        <w:t xml:space="preserve"> 2001,</w:t>
      </w:r>
      <w:r>
        <w:rPr>
          <w:lang w:val="en-US"/>
        </w:rPr>
        <w:t xml:space="preserve"> 37; </w:t>
      </w:r>
      <w:proofErr w:type="spellStart"/>
      <w:r w:rsidRPr="00CF5453">
        <w:rPr>
          <w:lang w:val="en-US"/>
        </w:rPr>
        <w:t>Vosko</w:t>
      </w:r>
      <w:proofErr w:type="spellEnd"/>
      <w:r w:rsidRPr="00CF5453">
        <w:rPr>
          <w:lang w:val="en-US"/>
        </w:rPr>
        <w:t xml:space="preserve"> L., op. cit.</w:t>
      </w:r>
      <w:r>
        <w:rPr>
          <w:lang w:val="en-US"/>
        </w:rPr>
        <w:t xml:space="preserve">, 101. </w:t>
      </w:r>
    </w:p>
  </w:footnote>
  <w:footnote w:id="495">
    <w:p w:rsidR="00551E68" w:rsidRPr="00DF676B" w:rsidRDefault="00551E68" w:rsidP="005869B3">
      <w:pPr>
        <w:pStyle w:val="Voetnoottekst"/>
        <w:jc w:val="both"/>
        <w:rPr>
          <w:lang w:val="en-US"/>
        </w:rPr>
      </w:pPr>
      <w:r>
        <w:rPr>
          <w:rStyle w:val="Voetnootmarkering"/>
        </w:rPr>
        <w:footnoteRef/>
      </w:r>
      <w:r>
        <w:rPr>
          <w:lang w:val="en-US"/>
        </w:rPr>
        <w:t xml:space="preserve"> </w:t>
      </w:r>
      <w:r w:rsidRPr="00A13A94">
        <w:rPr>
          <w:lang w:val="en-US"/>
        </w:rPr>
        <w:t xml:space="preserve">CEDAW CO Austria, </w:t>
      </w:r>
      <w:r w:rsidRPr="00A13A94">
        <w:rPr>
          <w:rFonts w:eastAsia="Calibri"/>
          <w:lang w:val="en-GB"/>
        </w:rPr>
        <w:t>CEDAW/C/AUT/CO7-8</w:t>
      </w:r>
      <w:r w:rsidRPr="00A13A94">
        <w:rPr>
          <w:lang w:val="en-GB"/>
        </w:rPr>
        <w:t xml:space="preserve"> (2013)</w:t>
      </w:r>
      <w:r>
        <w:rPr>
          <w:lang w:val="en-GB"/>
        </w:rPr>
        <w:t>, paras 34-35;</w:t>
      </w:r>
      <w:r>
        <w:rPr>
          <w:lang w:val="en-US"/>
        </w:rPr>
        <w:t xml:space="preserve"> </w:t>
      </w:r>
      <w:r w:rsidRPr="00F36708">
        <w:rPr>
          <w:lang w:val="en-US"/>
        </w:rPr>
        <w:t>CEDAW CO Netherlands, A/56/38 (2001</w:t>
      </w:r>
      <w:r>
        <w:rPr>
          <w:lang w:val="en-US"/>
        </w:rPr>
        <w:t xml:space="preserve">), para. 214; </w:t>
      </w:r>
      <w:r w:rsidRPr="00E0250B">
        <w:rPr>
          <w:lang w:val="en-US"/>
        </w:rPr>
        <w:t>CEDAW CO Switzerland, CEDAW/C/CHE/CO/3 (2009)</w:t>
      </w:r>
      <w:r>
        <w:rPr>
          <w:lang w:val="en-US"/>
        </w:rPr>
        <w:t xml:space="preserve">, paras 37-38. </w:t>
      </w:r>
    </w:p>
  </w:footnote>
  <w:footnote w:id="496">
    <w:p w:rsidR="00551E68" w:rsidRPr="007960A7" w:rsidRDefault="00551E68" w:rsidP="005869B3">
      <w:pPr>
        <w:pStyle w:val="Voetnoottekst"/>
        <w:jc w:val="both"/>
        <w:rPr>
          <w:i/>
          <w:lang w:val="en-GB"/>
        </w:rPr>
      </w:pPr>
      <w:r>
        <w:rPr>
          <w:rStyle w:val="Voetnootmarkering"/>
        </w:rPr>
        <w:footnoteRef/>
      </w:r>
      <w:r w:rsidRPr="00992CD0">
        <w:rPr>
          <w:lang w:val="en-US"/>
        </w:rPr>
        <w:t xml:space="preserve"> De Silva De </w:t>
      </w:r>
      <w:proofErr w:type="spellStart"/>
      <w:r w:rsidRPr="00992CD0">
        <w:rPr>
          <w:lang w:val="en-US"/>
        </w:rPr>
        <w:t>Alwis</w:t>
      </w:r>
      <w:proofErr w:type="spellEnd"/>
      <w:r w:rsidRPr="00992CD0">
        <w:rPr>
          <w:lang w:val="en-US"/>
        </w:rPr>
        <w:t xml:space="preserve"> R., op. cit., 305-306 and 332</w:t>
      </w:r>
      <w:r>
        <w:rPr>
          <w:lang w:val="en-US"/>
        </w:rPr>
        <w:t xml:space="preserve">; </w:t>
      </w:r>
      <w:proofErr w:type="spellStart"/>
      <w:r w:rsidRPr="00DF676B">
        <w:rPr>
          <w:lang w:val="en-US"/>
        </w:rPr>
        <w:t>Holtmaat</w:t>
      </w:r>
      <w:proofErr w:type="spellEnd"/>
      <w:r w:rsidRPr="00DF676B">
        <w:rPr>
          <w:lang w:val="en-US"/>
        </w:rPr>
        <w:t xml:space="preserve"> R., </w:t>
      </w:r>
      <w:r w:rsidRPr="00DF676B">
        <w:rPr>
          <w:i/>
          <w:lang w:val="en-US"/>
        </w:rPr>
        <w:t>Towards Different Law and Public Policy: The significance of Article 5a CEDAW for the elimination of structural gender discrimination,</w:t>
      </w:r>
      <w:r w:rsidRPr="00DF676B">
        <w:rPr>
          <w:lang w:val="en-US"/>
        </w:rPr>
        <w:t xml:space="preserve"> Leiden, Ministry of Social Affai</w:t>
      </w:r>
      <w:r>
        <w:rPr>
          <w:lang w:val="en-US"/>
        </w:rPr>
        <w:t xml:space="preserve">rs and Employment, 2004, 41; </w:t>
      </w:r>
      <w:r w:rsidRPr="00EA570F">
        <w:rPr>
          <w:lang w:val="en-GB"/>
        </w:rPr>
        <w:t xml:space="preserve">Suk J., “Are Gender </w:t>
      </w:r>
      <w:proofErr w:type="spellStart"/>
      <w:r w:rsidRPr="00EA570F">
        <w:rPr>
          <w:lang w:val="en-GB"/>
        </w:rPr>
        <w:t>Steretypes</w:t>
      </w:r>
      <w:proofErr w:type="spellEnd"/>
      <w:r w:rsidRPr="00EA570F">
        <w:rPr>
          <w:lang w:val="en-GB"/>
        </w:rPr>
        <w:t xml:space="preserve"> Bad for Women? Rethinking Antidiscrimination Law and Work-Family Conflict”, </w:t>
      </w:r>
      <w:r w:rsidRPr="00EA570F">
        <w:rPr>
          <w:i/>
          <w:lang w:val="en-GB"/>
        </w:rPr>
        <w:t>Colum. L. Rev.</w:t>
      </w:r>
      <w:r w:rsidRPr="00EA570F">
        <w:rPr>
          <w:lang w:val="en-GB"/>
        </w:rPr>
        <w:t xml:space="preserve"> 2010,</w:t>
      </w:r>
      <w:r>
        <w:rPr>
          <w:lang w:val="en-GB"/>
        </w:rPr>
        <w:t xml:space="preserve"> 65. </w:t>
      </w:r>
    </w:p>
  </w:footnote>
  <w:footnote w:id="497">
    <w:p w:rsidR="00551E68" w:rsidRPr="003038E6" w:rsidRDefault="00551E68" w:rsidP="005869B3">
      <w:pPr>
        <w:pStyle w:val="Voetnoottekst"/>
        <w:jc w:val="both"/>
        <w:rPr>
          <w:i/>
          <w:lang w:val="en-GB"/>
        </w:rPr>
      </w:pPr>
      <w:r>
        <w:rPr>
          <w:rStyle w:val="Voetnootmarkering"/>
        </w:rPr>
        <w:footnoteRef/>
      </w:r>
      <w:r w:rsidRPr="00191B41">
        <w:rPr>
          <w:lang w:val="en-US"/>
        </w:rPr>
        <w:t xml:space="preserve"> </w:t>
      </w:r>
      <w:r w:rsidRPr="00191B41">
        <w:rPr>
          <w:lang w:val="en-GB"/>
        </w:rPr>
        <w:t xml:space="preserve">Ellis E., </w:t>
      </w:r>
      <w:r w:rsidRPr="00191B41">
        <w:rPr>
          <w:i/>
          <w:lang w:val="en-GB"/>
        </w:rPr>
        <w:t>EC Sex Equality Law</w:t>
      </w:r>
      <w:r w:rsidRPr="00191B41">
        <w:rPr>
          <w:lang w:val="en-GB"/>
        </w:rPr>
        <w:t>, Oxford, Clarendon, 1998,</w:t>
      </w:r>
      <w:r>
        <w:rPr>
          <w:lang w:val="en-GB"/>
        </w:rPr>
        <w:t xml:space="preserve"> 324-325; </w:t>
      </w:r>
      <w:proofErr w:type="spellStart"/>
      <w:r w:rsidRPr="00E56FD3">
        <w:rPr>
          <w:lang w:val="en-GB"/>
        </w:rPr>
        <w:t>Fredman</w:t>
      </w:r>
      <w:proofErr w:type="spellEnd"/>
      <w:r w:rsidRPr="00E56FD3">
        <w:rPr>
          <w:lang w:val="en-GB"/>
        </w:rPr>
        <w:t xml:space="preserve"> S., “A difference with distinction: pregnancy and parenthood reassessed”, </w:t>
      </w:r>
      <w:r w:rsidRPr="00E56FD3">
        <w:rPr>
          <w:i/>
          <w:lang w:val="en-GB"/>
        </w:rPr>
        <w:t>L.Q.R.</w:t>
      </w:r>
      <w:r>
        <w:rPr>
          <w:lang w:val="en-GB"/>
        </w:rPr>
        <w:t xml:space="preserve"> 1994, 110.</w:t>
      </w:r>
    </w:p>
  </w:footnote>
  <w:footnote w:id="498">
    <w:p w:rsidR="00551E68" w:rsidRPr="002E32EA" w:rsidRDefault="00551E68" w:rsidP="005869B3">
      <w:pPr>
        <w:pStyle w:val="Voetnoottekst"/>
        <w:jc w:val="both"/>
        <w:rPr>
          <w:lang w:val="en-US"/>
        </w:rPr>
      </w:pPr>
      <w:r>
        <w:rPr>
          <w:rStyle w:val="Voetnootmarkering"/>
        </w:rPr>
        <w:footnoteRef/>
      </w:r>
      <w:r w:rsidRPr="002E32EA">
        <w:rPr>
          <w:lang w:val="en-US"/>
        </w:rPr>
        <w:t xml:space="preserve"> </w:t>
      </w:r>
      <w:r w:rsidRPr="000A3603">
        <w:rPr>
          <w:lang w:val="en-GB"/>
        </w:rPr>
        <w:t>Council Directive</w:t>
      </w:r>
      <w:r>
        <w:rPr>
          <w:lang w:val="en-GB"/>
        </w:rPr>
        <w:t xml:space="preserve"> 1976/207/EEC, </w:t>
      </w:r>
      <w:r w:rsidRPr="000A3603">
        <w:rPr>
          <w:lang w:val="en-GB"/>
        </w:rPr>
        <w:t>Directive 2002/73/E</w:t>
      </w:r>
      <w:r>
        <w:rPr>
          <w:lang w:val="en-GB"/>
        </w:rPr>
        <w:t xml:space="preserve">C and </w:t>
      </w:r>
      <w:r w:rsidRPr="000A3603">
        <w:rPr>
          <w:bCs/>
          <w:lang w:val="en-US"/>
        </w:rPr>
        <w:t>Directive 2006/54</w:t>
      </w:r>
      <w:r>
        <w:rPr>
          <w:bCs/>
          <w:lang w:val="en-US"/>
        </w:rPr>
        <w:t xml:space="preserve">/EC. </w:t>
      </w:r>
    </w:p>
  </w:footnote>
  <w:footnote w:id="499">
    <w:p w:rsidR="00551E68" w:rsidRPr="00004BBB" w:rsidRDefault="00551E68" w:rsidP="005869B3">
      <w:pPr>
        <w:pStyle w:val="Voetnoottekst"/>
        <w:jc w:val="both"/>
        <w:rPr>
          <w:lang w:val="en-GB"/>
        </w:rPr>
      </w:pPr>
      <w:r>
        <w:rPr>
          <w:rStyle w:val="Voetnootmarkering"/>
        </w:rPr>
        <w:footnoteRef/>
      </w:r>
      <w:r w:rsidRPr="002E32EA">
        <w:rPr>
          <w:lang w:val="en-US"/>
        </w:rPr>
        <w:t xml:space="preserve"> </w:t>
      </w:r>
      <w:r w:rsidRPr="00004BBB">
        <w:rPr>
          <w:lang w:val="en-GB"/>
        </w:rPr>
        <w:t>Council Directive 1992/85/EEC of 19 October 1992 on the introduction of measures to encourage improvements in the safety and health at work of pregnant workers and workers who have recently g</w:t>
      </w:r>
      <w:r>
        <w:rPr>
          <w:lang w:val="en-GB"/>
        </w:rPr>
        <w:t xml:space="preserve">iven birth or are breastfeeding. </w:t>
      </w:r>
    </w:p>
  </w:footnote>
  <w:footnote w:id="500">
    <w:p w:rsidR="00551E68" w:rsidRPr="00474A24" w:rsidRDefault="00551E68" w:rsidP="005869B3">
      <w:pPr>
        <w:pStyle w:val="Voetnoottekst"/>
        <w:jc w:val="both"/>
        <w:rPr>
          <w:lang w:val="fr-FR"/>
        </w:rPr>
      </w:pPr>
      <w:r>
        <w:rPr>
          <w:rStyle w:val="Voetnootmarkering"/>
        </w:rPr>
        <w:footnoteRef/>
      </w:r>
      <w:r w:rsidRPr="00474A24">
        <w:rPr>
          <w:lang w:val="fr-FR"/>
        </w:rPr>
        <w:t xml:space="preserve"> Article 153 TFEU, not article 157 T</w:t>
      </w:r>
      <w:r>
        <w:rPr>
          <w:lang w:val="fr-FR"/>
        </w:rPr>
        <w:t xml:space="preserve">FEU. </w:t>
      </w:r>
    </w:p>
  </w:footnote>
  <w:footnote w:id="501">
    <w:p w:rsidR="00551E68" w:rsidRPr="00FF4054" w:rsidRDefault="00551E68" w:rsidP="005869B3">
      <w:pPr>
        <w:pStyle w:val="Voetnoottekst"/>
        <w:jc w:val="both"/>
        <w:rPr>
          <w:b/>
          <w:u w:val="single"/>
        </w:rPr>
      </w:pPr>
      <w:r>
        <w:rPr>
          <w:rStyle w:val="Voetnootmarkering"/>
        </w:rPr>
        <w:footnoteRef/>
      </w:r>
      <w:r>
        <w:rPr>
          <w:lang w:val="en-GB"/>
        </w:rPr>
        <w:t xml:space="preserve"> </w:t>
      </w:r>
      <w:proofErr w:type="spellStart"/>
      <w:r w:rsidRPr="00F55050">
        <w:rPr>
          <w:lang w:val="en-GB"/>
        </w:rPr>
        <w:t>Beveridge</w:t>
      </w:r>
      <w:proofErr w:type="spellEnd"/>
      <w:r w:rsidRPr="00F55050">
        <w:rPr>
          <w:lang w:val="en-GB"/>
        </w:rPr>
        <w:t xml:space="preserve"> F. and Nott S., “Women, Wealth and the Single Market”, </w:t>
      </w:r>
      <w:r w:rsidRPr="00F55050">
        <w:rPr>
          <w:i/>
          <w:lang w:val="en-GB"/>
        </w:rPr>
        <w:t xml:space="preserve">Int’l Legal </w:t>
      </w:r>
      <w:proofErr w:type="spellStart"/>
      <w:r w:rsidRPr="00F55050">
        <w:rPr>
          <w:i/>
          <w:lang w:val="en-GB"/>
        </w:rPr>
        <w:t>Persp</w:t>
      </w:r>
      <w:proofErr w:type="spellEnd"/>
      <w:r w:rsidRPr="00F55050">
        <w:rPr>
          <w:i/>
          <w:lang w:val="en-GB"/>
        </w:rPr>
        <w:t>.</w:t>
      </w:r>
      <w:r w:rsidRPr="00F55050">
        <w:rPr>
          <w:lang w:val="en-GB"/>
        </w:rPr>
        <w:t xml:space="preserve"> </w:t>
      </w:r>
      <w:r w:rsidRPr="007216E5">
        <w:t>1996, 21-24;</w:t>
      </w:r>
      <w:r>
        <w:t xml:space="preserve"> </w:t>
      </w:r>
      <w:r w:rsidRPr="00FF4054">
        <w:t xml:space="preserve">Ellis E. </w:t>
      </w:r>
      <w:proofErr w:type="spellStart"/>
      <w:r w:rsidRPr="00FF4054">
        <w:t>and</w:t>
      </w:r>
      <w:proofErr w:type="spellEnd"/>
      <w:r w:rsidRPr="00FF4054">
        <w:t xml:space="preserve"> Watson P., op. </w:t>
      </w:r>
      <w:proofErr w:type="spellStart"/>
      <w:r w:rsidRPr="00FF4054">
        <w:t>cit</w:t>
      </w:r>
      <w:proofErr w:type="spellEnd"/>
      <w:r w:rsidRPr="00FF4054">
        <w:t>.</w:t>
      </w:r>
      <w:r>
        <w:t xml:space="preserve">, 338. </w:t>
      </w:r>
    </w:p>
  </w:footnote>
  <w:footnote w:id="502">
    <w:p w:rsidR="00551E68" w:rsidRPr="001919BD" w:rsidRDefault="00551E68" w:rsidP="005869B3">
      <w:pPr>
        <w:pStyle w:val="Voetnoottekst"/>
        <w:jc w:val="both"/>
        <w:rPr>
          <w:lang w:val="en-US"/>
        </w:rPr>
      </w:pPr>
      <w:r>
        <w:rPr>
          <w:rStyle w:val="Voetnootmarkering"/>
        </w:rPr>
        <w:footnoteRef/>
      </w:r>
      <w:r w:rsidRPr="00474A24">
        <w:t xml:space="preserve"> ECJ C-177/88, </w:t>
      </w:r>
      <w:r w:rsidRPr="00474A24">
        <w:rPr>
          <w:i/>
        </w:rPr>
        <w:t>Elisabeth Dekker v. Stichting Vormingscentrum voor jonge volwassenen (VJV-centrum) plus</w:t>
      </w:r>
      <w:r>
        <w:t xml:space="preserve">, 1990, para. </w:t>
      </w:r>
      <w:r w:rsidRPr="00272991">
        <w:rPr>
          <w:lang w:val="en-US"/>
        </w:rPr>
        <w:t xml:space="preserve">12. </w:t>
      </w:r>
      <w:r>
        <w:rPr>
          <w:lang w:val="en-US"/>
        </w:rPr>
        <w:t xml:space="preserve">Confirmed in for example: </w:t>
      </w:r>
      <w:r w:rsidRPr="001919BD">
        <w:rPr>
          <w:lang w:val="en-US"/>
        </w:rPr>
        <w:t xml:space="preserve">ECJ C-394/96, </w:t>
      </w:r>
      <w:r w:rsidRPr="001919BD">
        <w:rPr>
          <w:i/>
          <w:lang w:val="en-US"/>
        </w:rPr>
        <w:t>Mary Brown v. Rentokil Ltd</w:t>
      </w:r>
      <w:r>
        <w:rPr>
          <w:lang w:val="en-US"/>
        </w:rPr>
        <w:t xml:space="preserve">, 1998, para. 16. </w:t>
      </w:r>
    </w:p>
  </w:footnote>
  <w:footnote w:id="503">
    <w:p w:rsidR="00551E68" w:rsidRPr="00601EC1" w:rsidRDefault="00551E68" w:rsidP="005869B3">
      <w:pPr>
        <w:pStyle w:val="Voetnoottekst"/>
        <w:jc w:val="both"/>
        <w:rPr>
          <w:lang w:val="en-US"/>
        </w:rPr>
      </w:pPr>
      <w:r>
        <w:rPr>
          <w:rStyle w:val="Voetnootmarkering"/>
        </w:rPr>
        <w:footnoteRef/>
      </w:r>
      <w:r w:rsidRPr="00272991">
        <w:rPr>
          <w:lang w:val="en-US"/>
        </w:rPr>
        <w:t xml:space="preserve"> Costello C. and Davies G., op. cit., 1603; </w:t>
      </w:r>
      <w:proofErr w:type="spellStart"/>
      <w:r w:rsidRPr="00601EC1">
        <w:rPr>
          <w:lang w:val="en-US"/>
        </w:rPr>
        <w:t>Wintemute</w:t>
      </w:r>
      <w:proofErr w:type="spellEnd"/>
      <w:r w:rsidRPr="00601EC1">
        <w:rPr>
          <w:lang w:val="en-US"/>
        </w:rPr>
        <w:t xml:space="preserve"> R., “When is Pregnancy Discrimination Indirect Sex Discrimination?”, </w:t>
      </w:r>
      <w:r w:rsidRPr="00601EC1">
        <w:rPr>
          <w:i/>
          <w:lang w:val="en-US"/>
        </w:rPr>
        <w:t xml:space="preserve">Ind. L. J. </w:t>
      </w:r>
      <w:r w:rsidRPr="00601EC1">
        <w:rPr>
          <w:lang w:val="en-US"/>
        </w:rPr>
        <w:t>1998, 2</w:t>
      </w:r>
      <w:r>
        <w:rPr>
          <w:lang w:val="en-US"/>
        </w:rPr>
        <w:t xml:space="preserve">5. </w:t>
      </w:r>
    </w:p>
  </w:footnote>
  <w:footnote w:id="504">
    <w:p w:rsidR="00551E68" w:rsidRPr="00214514" w:rsidRDefault="00551E68" w:rsidP="005869B3">
      <w:pPr>
        <w:pStyle w:val="Voetnoottekst"/>
        <w:jc w:val="both"/>
        <w:rPr>
          <w:lang w:val="en-GB"/>
        </w:rPr>
      </w:pPr>
      <w:r>
        <w:rPr>
          <w:rStyle w:val="Voetnootmarkering"/>
        </w:rPr>
        <w:footnoteRef/>
      </w:r>
      <w:r w:rsidRPr="00F0411B">
        <w:rPr>
          <w:lang w:val="en-US"/>
        </w:rPr>
        <w:t xml:space="preserve"> </w:t>
      </w:r>
      <w:proofErr w:type="spellStart"/>
      <w:r w:rsidRPr="00214514">
        <w:rPr>
          <w:lang w:val="en-US"/>
        </w:rPr>
        <w:t>Boch</w:t>
      </w:r>
      <w:proofErr w:type="spellEnd"/>
      <w:r w:rsidRPr="00214514">
        <w:rPr>
          <w:lang w:val="en-US"/>
        </w:rPr>
        <w:t xml:space="preserve"> C., “Official: during pregnancy, females are pregnant”, </w:t>
      </w:r>
      <w:r w:rsidRPr="00214514">
        <w:rPr>
          <w:i/>
          <w:lang w:val="en-US"/>
        </w:rPr>
        <w:t>E. L. Rev.</w:t>
      </w:r>
      <w:r w:rsidRPr="00214514">
        <w:rPr>
          <w:lang w:val="en-US"/>
        </w:rPr>
        <w:t xml:space="preserve"> 1998, 4</w:t>
      </w:r>
      <w:r>
        <w:rPr>
          <w:lang w:val="en-US"/>
        </w:rPr>
        <w:t xml:space="preserve">93; </w:t>
      </w:r>
      <w:r w:rsidRPr="00844183">
        <w:rPr>
          <w:lang w:val="en-GB"/>
        </w:rPr>
        <w:t xml:space="preserve">Bolger M., “Protective Measures for Pregnant Workers; Maternity Leave; Parental Leave”, </w:t>
      </w:r>
      <w:r w:rsidRPr="00844183">
        <w:rPr>
          <w:i/>
          <w:lang w:val="en-GB"/>
        </w:rPr>
        <w:t>Academy of European Law</w:t>
      </w:r>
      <w:r w:rsidRPr="00844183">
        <w:rPr>
          <w:lang w:val="en-GB"/>
        </w:rPr>
        <w:t xml:space="preserve"> 2013,</w:t>
      </w:r>
      <w:r>
        <w:rPr>
          <w:lang w:val="en-GB"/>
        </w:rPr>
        <w:t xml:space="preserve"> 2; </w:t>
      </w:r>
      <w:proofErr w:type="spellStart"/>
      <w:r w:rsidRPr="00961CE6">
        <w:rPr>
          <w:lang w:val="en-GB"/>
        </w:rPr>
        <w:t>Fredman</w:t>
      </w:r>
      <w:proofErr w:type="spellEnd"/>
      <w:r w:rsidRPr="00961CE6">
        <w:rPr>
          <w:lang w:val="en-GB"/>
        </w:rPr>
        <w:t xml:space="preserve"> S., </w:t>
      </w:r>
      <w:r w:rsidRPr="00961CE6">
        <w:rPr>
          <w:i/>
          <w:lang w:val="en-GB"/>
        </w:rPr>
        <w:t>Women and the Law</w:t>
      </w:r>
      <w:r w:rsidRPr="00961CE6">
        <w:rPr>
          <w:lang w:val="en-GB"/>
        </w:rPr>
        <w:t>, Oxford, Clarendon Press, 1997,</w:t>
      </w:r>
      <w:r>
        <w:rPr>
          <w:lang w:val="en-GB"/>
        </w:rPr>
        <w:t xml:space="preserve"> 187; </w:t>
      </w:r>
      <w:proofErr w:type="spellStart"/>
      <w:r w:rsidRPr="00A265AB">
        <w:rPr>
          <w:lang w:val="en-GB"/>
        </w:rPr>
        <w:t>Hoskyns</w:t>
      </w:r>
      <w:proofErr w:type="spellEnd"/>
      <w:r w:rsidRPr="00A265AB">
        <w:rPr>
          <w:lang w:val="en-GB"/>
        </w:rPr>
        <w:t xml:space="preserve"> C., “Gender Issues in International Relations: The Case of the European Community”, </w:t>
      </w:r>
      <w:r w:rsidRPr="00A265AB">
        <w:rPr>
          <w:i/>
          <w:lang w:val="en-GB"/>
        </w:rPr>
        <w:t>Rev. Int’l Stud.</w:t>
      </w:r>
      <w:r w:rsidRPr="00A265AB">
        <w:rPr>
          <w:lang w:val="en-GB"/>
        </w:rPr>
        <w:t xml:space="preserve"> 1994, </w:t>
      </w:r>
      <w:r>
        <w:rPr>
          <w:lang w:val="en-GB"/>
        </w:rPr>
        <w:t xml:space="preserve">230-231; </w:t>
      </w:r>
      <w:r w:rsidRPr="00D01E0D">
        <w:rPr>
          <w:lang w:val="en-US"/>
        </w:rPr>
        <w:t xml:space="preserve">Morris A., “Which is it you want – Equality or Maternity Leave?”, </w:t>
      </w:r>
      <w:r w:rsidRPr="00D01E0D">
        <w:rPr>
          <w:i/>
          <w:lang w:val="en-US"/>
        </w:rPr>
        <w:t xml:space="preserve">Fem. L. S. </w:t>
      </w:r>
      <w:r w:rsidRPr="00D01E0D">
        <w:rPr>
          <w:lang w:val="en-US"/>
        </w:rPr>
        <w:t>2006, 8</w:t>
      </w:r>
      <w:r>
        <w:rPr>
          <w:lang w:val="en-US"/>
        </w:rPr>
        <w:t xml:space="preserve">9. </w:t>
      </w:r>
    </w:p>
  </w:footnote>
  <w:footnote w:id="505">
    <w:p w:rsidR="00551E68" w:rsidRPr="00272991" w:rsidRDefault="00551E68" w:rsidP="005869B3">
      <w:pPr>
        <w:pStyle w:val="Voetnoottekst"/>
        <w:jc w:val="both"/>
        <w:rPr>
          <w:lang w:val="en-US"/>
        </w:rPr>
      </w:pPr>
      <w:r>
        <w:rPr>
          <w:rStyle w:val="Voetnootmarkering"/>
        </w:rPr>
        <w:footnoteRef/>
      </w:r>
      <w:r>
        <w:rPr>
          <w:lang w:val="en-US"/>
        </w:rPr>
        <w:t xml:space="preserve"> </w:t>
      </w:r>
      <w:r w:rsidRPr="00527B3D">
        <w:rPr>
          <w:lang w:val="en-US"/>
        </w:rPr>
        <w:t xml:space="preserve">Case C-179/88, </w:t>
      </w:r>
      <w:proofErr w:type="spellStart"/>
      <w:r w:rsidRPr="00527B3D">
        <w:rPr>
          <w:i/>
          <w:lang w:val="en-US"/>
        </w:rPr>
        <w:t>Birthe</w:t>
      </w:r>
      <w:proofErr w:type="spellEnd"/>
      <w:r w:rsidRPr="00527B3D">
        <w:rPr>
          <w:i/>
          <w:lang w:val="en-US"/>
        </w:rPr>
        <w:t xml:space="preserve"> Hertz v. Dansk </w:t>
      </w:r>
      <w:proofErr w:type="spellStart"/>
      <w:r w:rsidRPr="00527B3D">
        <w:rPr>
          <w:i/>
          <w:lang w:val="en-US"/>
        </w:rPr>
        <w:t>Arbejdsgiverforening</w:t>
      </w:r>
      <w:proofErr w:type="spellEnd"/>
      <w:r>
        <w:rPr>
          <w:lang w:val="en-US"/>
        </w:rPr>
        <w:t xml:space="preserve">, 1990, para. </w:t>
      </w:r>
      <w:r w:rsidRPr="00527B3D">
        <w:rPr>
          <w:lang w:val="it-IT"/>
        </w:rPr>
        <w:t xml:space="preserve">13; ECJ C-32/93, </w:t>
      </w:r>
      <w:r w:rsidRPr="00527B3D">
        <w:rPr>
          <w:bCs/>
          <w:i/>
          <w:lang w:val="it-IT"/>
        </w:rPr>
        <w:t>Carole Louise Webb v. EMO Air Cargo</w:t>
      </w:r>
      <w:r w:rsidRPr="00527B3D">
        <w:rPr>
          <w:bCs/>
          <w:lang w:val="it-IT"/>
        </w:rPr>
        <w:t>, 1994</w:t>
      </w:r>
      <w:r>
        <w:rPr>
          <w:bCs/>
          <w:lang w:val="it-IT"/>
        </w:rPr>
        <w:t xml:space="preserve">, para. </w:t>
      </w:r>
      <w:r w:rsidRPr="00272991">
        <w:rPr>
          <w:bCs/>
          <w:lang w:val="en-US"/>
        </w:rPr>
        <w:t xml:space="preserve">19. </w:t>
      </w:r>
    </w:p>
  </w:footnote>
  <w:footnote w:id="506">
    <w:p w:rsidR="00551E68" w:rsidRPr="007B2900" w:rsidRDefault="00551E68" w:rsidP="005869B3">
      <w:pPr>
        <w:pStyle w:val="Voetnoottekst"/>
        <w:jc w:val="both"/>
        <w:rPr>
          <w:lang w:val="en-US"/>
        </w:rPr>
      </w:pPr>
      <w:r>
        <w:rPr>
          <w:rStyle w:val="Voetnootmarkering"/>
        </w:rPr>
        <w:footnoteRef/>
      </w:r>
      <w:r w:rsidRPr="007B2900">
        <w:rPr>
          <w:lang w:val="en-US"/>
        </w:rPr>
        <w:t xml:space="preserve"> Art</w:t>
      </w:r>
      <w:r>
        <w:rPr>
          <w:lang w:val="en-US"/>
        </w:rPr>
        <w:t xml:space="preserve">icle 10(1) </w:t>
      </w:r>
      <w:r w:rsidRPr="007B2900">
        <w:rPr>
          <w:lang w:val="en-GB"/>
        </w:rPr>
        <w:t>Council Directive 1992/85/EEC</w:t>
      </w:r>
      <w:r>
        <w:rPr>
          <w:lang w:val="en-GB"/>
        </w:rPr>
        <w:t xml:space="preserve">. </w:t>
      </w:r>
    </w:p>
  </w:footnote>
  <w:footnote w:id="507">
    <w:p w:rsidR="00551E68" w:rsidRPr="007B2900" w:rsidRDefault="00551E68" w:rsidP="005869B3">
      <w:pPr>
        <w:pStyle w:val="Voetnoottekst"/>
        <w:jc w:val="both"/>
        <w:rPr>
          <w:lang w:val="en-US"/>
        </w:rPr>
      </w:pPr>
      <w:r>
        <w:rPr>
          <w:rStyle w:val="Voetnootmarkering"/>
        </w:rPr>
        <w:footnoteRef/>
      </w:r>
      <w:r w:rsidRPr="007B2900">
        <w:rPr>
          <w:lang w:val="en-US"/>
        </w:rPr>
        <w:t xml:space="preserve"> </w:t>
      </w:r>
      <w:r>
        <w:rPr>
          <w:lang w:val="en-US"/>
        </w:rPr>
        <w:t xml:space="preserve">Article 2(a) and 10(1) </w:t>
      </w:r>
      <w:r w:rsidRPr="007B2900">
        <w:rPr>
          <w:lang w:val="en-GB"/>
        </w:rPr>
        <w:t>Council Directive 1992/85/EEC</w:t>
      </w:r>
      <w:r>
        <w:rPr>
          <w:lang w:val="en-GB"/>
        </w:rPr>
        <w:t xml:space="preserve">. </w:t>
      </w:r>
    </w:p>
  </w:footnote>
  <w:footnote w:id="508">
    <w:p w:rsidR="00551E68" w:rsidRPr="00F0411B" w:rsidRDefault="00551E68" w:rsidP="005869B3">
      <w:pPr>
        <w:pStyle w:val="Voetnoottekst"/>
        <w:jc w:val="both"/>
        <w:rPr>
          <w:lang w:val="fr-FR"/>
        </w:rPr>
      </w:pPr>
      <w:r>
        <w:rPr>
          <w:rStyle w:val="Voetnootmarkering"/>
        </w:rPr>
        <w:footnoteRef/>
      </w:r>
      <w:r w:rsidRPr="00F0411B">
        <w:rPr>
          <w:lang w:val="fr-FR"/>
        </w:rPr>
        <w:t xml:space="preserve"> Article 10(1) Council Directive 1992/85/EEC; GC T-45/90, </w:t>
      </w:r>
      <w:r w:rsidRPr="00F0411B">
        <w:rPr>
          <w:i/>
          <w:lang w:val="fr-FR"/>
        </w:rPr>
        <w:t xml:space="preserve">Alicia </w:t>
      </w:r>
      <w:proofErr w:type="spellStart"/>
      <w:r w:rsidRPr="00F0411B">
        <w:rPr>
          <w:i/>
          <w:lang w:val="fr-FR"/>
        </w:rPr>
        <w:t>Speybrouck</w:t>
      </w:r>
      <w:proofErr w:type="spellEnd"/>
      <w:r w:rsidRPr="00F0411B">
        <w:rPr>
          <w:i/>
          <w:lang w:val="fr-FR"/>
        </w:rPr>
        <w:t xml:space="preserve"> v. </w:t>
      </w:r>
      <w:proofErr w:type="spellStart"/>
      <w:r w:rsidRPr="00F0411B">
        <w:rPr>
          <w:i/>
          <w:lang w:val="fr-FR"/>
        </w:rPr>
        <w:t>European</w:t>
      </w:r>
      <w:proofErr w:type="spellEnd"/>
      <w:r w:rsidRPr="00F0411B">
        <w:rPr>
          <w:i/>
          <w:lang w:val="fr-FR"/>
        </w:rPr>
        <w:t xml:space="preserve"> </w:t>
      </w:r>
      <w:proofErr w:type="spellStart"/>
      <w:r w:rsidRPr="00F0411B">
        <w:rPr>
          <w:i/>
          <w:lang w:val="fr-FR"/>
        </w:rPr>
        <w:t>Parliament</w:t>
      </w:r>
      <w:proofErr w:type="spellEnd"/>
      <w:r w:rsidRPr="00F0411B">
        <w:rPr>
          <w:lang w:val="fr-FR"/>
        </w:rPr>
        <w:t xml:space="preserve">, 1992, paras 46 and 52. </w:t>
      </w:r>
    </w:p>
  </w:footnote>
  <w:footnote w:id="509">
    <w:p w:rsidR="00551E68" w:rsidRPr="00263564" w:rsidRDefault="00551E68" w:rsidP="005869B3">
      <w:pPr>
        <w:pStyle w:val="Voetnoottekst"/>
        <w:jc w:val="both"/>
        <w:rPr>
          <w:lang w:val="fr-FR"/>
        </w:rPr>
      </w:pPr>
      <w:r>
        <w:rPr>
          <w:rStyle w:val="Voetnootmarkering"/>
        </w:rPr>
        <w:footnoteRef/>
      </w:r>
      <w:r w:rsidRPr="00263564">
        <w:rPr>
          <w:lang w:val="fr-FR"/>
        </w:rPr>
        <w:t xml:space="preserve"> Article 10(1) Council Directive 1992/85/EEC;</w:t>
      </w:r>
      <w:r>
        <w:rPr>
          <w:lang w:val="fr-FR"/>
        </w:rPr>
        <w:t xml:space="preserve"> </w:t>
      </w:r>
      <w:r w:rsidRPr="00263564">
        <w:rPr>
          <w:lang w:val="fr-FR"/>
        </w:rPr>
        <w:t xml:space="preserve">ECJ C-438/99, </w:t>
      </w:r>
      <w:r w:rsidRPr="00263564">
        <w:rPr>
          <w:i/>
          <w:lang w:val="fr-FR"/>
        </w:rPr>
        <w:t xml:space="preserve">Maria </w:t>
      </w:r>
      <w:proofErr w:type="spellStart"/>
      <w:r w:rsidRPr="00263564">
        <w:rPr>
          <w:i/>
          <w:lang w:val="fr-FR"/>
        </w:rPr>
        <w:t>Melgar</w:t>
      </w:r>
      <w:proofErr w:type="spellEnd"/>
      <w:r w:rsidRPr="00263564">
        <w:rPr>
          <w:i/>
          <w:lang w:val="fr-FR"/>
        </w:rPr>
        <w:t xml:space="preserve"> v. Ayuntamiento de Los Barrios</w:t>
      </w:r>
      <w:r>
        <w:rPr>
          <w:lang w:val="fr-FR"/>
        </w:rPr>
        <w:t xml:space="preserve">, 2001, paras 37-38. </w:t>
      </w:r>
    </w:p>
  </w:footnote>
  <w:footnote w:id="510">
    <w:p w:rsidR="00551E68" w:rsidRPr="00A86FA2" w:rsidRDefault="00551E68" w:rsidP="005869B3">
      <w:pPr>
        <w:pStyle w:val="Voetnoottekst"/>
        <w:jc w:val="both"/>
        <w:rPr>
          <w:u w:val="single"/>
          <w:lang w:val="en-US"/>
        </w:rPr>
      </w:pPr>
      <w:r>
        <w:rPr>
          <w:rStyle w:val="Voetnootmarkering"/>
        </w:rPr>
        <w:footnoteRef/>
      </w:r>
      <w:r>
        <w:rPr>
          <w:lang w:val="en-US"/>
        </w:rPr>
        <w:t xml:space="preserve"> </w:t>
      </w:r>
      <w:r w:rsidRPr="00A86FA2">
        <w:rPr>
          <w:lang w:val="en-US"/>
        </w:rPr>
        <w:t>Opinion of Advocate General Ruiz-</w:t>
      </w:r>
      <w:proofErr w:type="spellStart"/>
      <w:r w:rsidRPr="00A86FA2">
        <w:rPr>
          <w:lang w:val="en-US"/>
        </w:rPr>
        <w:t>Jarabo</w:t>
      </w:r>
      <w:proofErr w:type="spellEnd"/>
      <w:r w:rsidRPr="00A86FA2">
        <w:rPr>
          <w:lang w:val="en-US"/>
        </w:rPr>
        <w:t xml:space="preserve"> </w:t>
      </w:r>
      <w:proofErr w:type="spellStart"/>
      <w:r w:rsidRPr="00A86FA2">
        <w:rPr>
          <w:lang w:val="en-US"/>
        </w:rPr>
        <w:t>Colomer</w:t>
      </w:r>
      <w:proofErr w:type="spellEnd"/>
      <w:r w:rsidRPr="00A86FA2">
        <w:rPr>
          <w:lang w:val="en-US"/>
        </w:rPr>
        <w:t xml:space="preserve">, </w:t>
      </w:r>
      <w:r w:rsidRPr="00A86FA2">
        <w:rPr>
          <w:bCs/>
          <w:i/>
          <w:lang w:val="en-US"/>
        </w:rPr>
        <w:t xml:space="preserve">Tele </w:t>
      </w:r>
      <w:proofErr w:type="spellStart"/>
      <w:r w:rsidRPr="00A86FA2">
        <w:rPr>
          <w:bCs/>
          <w:i/>
          <w:lang w:val="en-US"/>
        </w:rPr>
        <w:t>Danmark</w:t>
      </w:r>
      <w:proofErr w:type="spellEnd"/>
      <w:r w:rsidRPr="00A86FA2">
        <w:rPr>
          <w:bCs/>
          <w:i/>
          <w:lang w:val="en-US"/>
        </w:rPr>
        <w:t xml:space="preserve"> A/S</w:t>
      </w:r>
      <w:r w:rsidRPr="00A86FA2">
        <w:rPr>
          <w:i/>
          <w:lang w:val="en-US"/>
        </w:rPr>
        <w:t xml:space="preserve"> v. </w:t>
      </w:r>
      <w:proofErr w:type="spellStart"/>
      <w:r w:rsidRPr="00A86FA2">
        <w:rPr>
          <w:bCs/>
          <w:i/>
          <w:lang w:val="en-US"/>
        </w:rPr>
        <w:t>Handels</w:t>
      </w:r>
      <w:proofErr w:type="spellEnd"/>
      <w:r w:rsidRPr="00A86FA2">
        <w:rPr>
          <w:bCs/>
          <w:i/>
          <w:lang w:val="en-US"/>
        </w:rPr>
        <w:t xml:space="preserve">- </w:t>
      </w:r>
      <w:proofErr w:type="spellStart"/>
      <w:r w:rsidRPr="00A86FA2">
        <w:rPr>
          <w:bCs/>
          <w:i/>
          <w:lang w:val="en-US"/>
        </w:rPr>
        <w:t>og</w:t>
      </w:r>
      <w:proofErr w:type="spellEnd"/>
      <w:r w:rsidRPr="00A86FA2">
        <w:rPr>
          <w:bCs/>
          <w:i/>
          <w:lang w:val="en-US"/>
        </w:rPr>
        <w:t xml:space="preserve"> </w:t>
      </w:r>
      <w:proofErr w:type="spellStart"/>
      <w:r w:rsidRPr="00A86FA2">
        <w:rPr>
          <w:bCs/>
          <w:i/>
          <w:lang w:val="en-US"/>
        </w:rPr>
        <w:t>Kontorfunktionærernes</w:t>
      </w:r>
      <w:proofErr w:type="spellEnd"/>
      <w:r w:rsidRPr="00A86FA2">
        <w:rPr>
          <w:bCs/>
          <w:i/>
          <w:lang w:val="en-US"/>
        </w:rPr>
        <w:t xml:space="preserve"> </w:t>
      </w:r>
      <w:proofErr w:type="spellStart"/>
      <w:r w:rsidRPr="00A86FA2">
        <w:rPr>
          <w:bCs/>
          <w:i/>
          <w:lang w:val="en-US"/>
        </w:rPr>
        <w:t>Forbund</w:t>
      </w:r>
      <w:proofErr w:type="spellEnd"/>
      <w:r w:rsidRPr="00A86FA2">
        <w:rPr>
          <w:bCs/>
          <w:i/>
          <w:lang w:val="en-US"/>
        </w:rPr>
        <w:t xml:space="preserve"> </w:t>
      </w:r>
      <w:proofErr w:type="spellStart"/>
      <w:r w:rsidRPr="00A86FA2">
        <w:rPr>
          <w:bCs/>
          <w:i/>
          <w:lang w:val="en-US"/>
        </w:rPr>
        <w:t>i</w:t>
      </w:r>
      <w:proofErr w:type="spellEnd"/>
      <w:r w:rsidRPr="00A86FA2">
        <w:rPr>
          <w:bCs/>
          <w:i/>
          <w:lang w:val="en-US"/>
        </w:rPr>
        <w:t xml:space="preserve"> </w:t>
      </w:r>
      <w:proofErr w:type="spellStart"/>
      <w:r w:rsidRPr="00A86FA2">
        <w:rPr>
          <w:bCs/>
          <w:i/>
          <w:lang w:val="en-US"/>
        </w:rPr>
        <w:t>Danmark</w:t>
      </w:r>
      <w:proofErr w:type="spellEnd"/>
      <w:r w:rsidRPr="00A86FA2">
        <w:rPr>
          <w:bCs/>
          <w:lang w:val="en-US"/>
        </w:rPr>
        <w:t>, 10 May 2001</w:t>
      </w:r>
      <w:r>
        <w:rPr>
          <w:bCs/>
          <w:lang w:val="en-US"/>
        </w:rPr>
        <w:t xml:space="preserve">, 7009. </w:t>
      </w:r>
    </w:p>
  </w:footnote>
  <w:footnote w:id="511">
    <w:p w:rsidR="00551E68" w:rsidRPr="008B2FF3" w:rsidRDefault="00551E68" w:rsidP="005869B3">
      <w:pPr>
        <w:pStyle w:val="Voetnoottekst"/>
        <w:jc w:val="both"/>
        <w:rPr>
          <w:lang w:val="en-US"/>
        </w:rPr>
      </w:pPr>
      <w:r>
        <w:rPr>
          <w:rStyle w:val="Voetnootmarkering"/>
        </w:rPr>
        <w:footnoteRef/>
      </w:r>
      <w:r w:rsidRPr="008B2FF3">
        <w:rPr>
          <w:lang w:val="en-US"/>
        </w:rPr>
        <w:t xml:space="preserve"> </w:t>
      </w:r>
      <w:proofErr w:type="spellStart"/>
      <w:r w:rsidRPr="00260222">
        <w:rPr>
          <w:lang w:val="en-US"/>
        </w:rPr>
        <w:t>Koukoulis</w:t>
      </w:r>
      <w:proofErr w:type="spellEnd"/>
      <w:r w:rsidRPr="00260222">
        <w:rPr>
          <w:lang w:val="en-US"/>
        </w:rPr>
        <w:t xml:space="preserve"> – </w:t>
      </w:r>
      <w:proofErr w:type="spellStart"/>
      <w:r w:rsidRPr="00260222">
        <w:rPr>
          <w:lang w:val="en-US"/>
        </w:rPr>
        <w:t>Spiliotopoulos</w:t>
      </w:r>
      <w:proofErr w:type="spellEnd"/>
      <w:r w:rsidRPr="00260222">
        <w:rPr>
          <w:lang w:val="en-US"/>
        </w:rPr>
        <w:t xml:space="preserve"> S., “The amended equal treatment directive: an expression of constitutional principles/fundamental rights”, </w:t>
      </w:r>
      <w:r w:rsidRPr="00260222">
        <w:rPr>
          <w:i/>
          <w:lang w:val="en-US"/>
        </w:rPr>
        <w:t>MJ</w:t>
      </w:r>
      <w:r w:rsidRPr="00260222">
        <w:rPr>
          <w:lang w:val="en-US"/>
        </w:rPr>
        <w:t xml:space="preserve"> </w:t>
      </w:r>
      <w:r>
        <w:rPr>
          <w:lang w:val="en-US"/>
        </w:rPr>
        <w:t xml:space="preserve">2005, 348. </w:t>
      </w:r>
    </w:p>
  </w:footnote>
  <w:footnote w:id="512">
    <w:p w:rsidR="00551E68" w:rsidRPr="008631F1" w:rsidRDefault="00551E68" w:rsidP="005869B3">
      <w:pPr>
        <w:pStyle w:val="Voetnoottekst"/>
        <w:jc w:val="both"/>
        <w:rPr>
          <w:lang w:val="en-GB"/>
        </w:rPr>
      </w:pPr>
      <w:r>
        <w:rPr>
          <w:rStyle w:val="Voetnootmarkering"/>
        </w:rPr>
        <w:footnoteRef/>
      </w:r>
      <w:r>
        <w:rPr>
          <w:lang w:val="en-US"/>
        </w:rPr>
        <w:t xml:space="preserve"> Article 20 RESC; </w:t>
      </w:r>
      <w:r w:rsidRPr="008631F1">
        <w:rPr>
          <w:lang w:val="en-GB"/>
        </w:rPr>
        <w:t xml:space="preserve">European Committee of Social Rights, </w:t>
      </w:r>
      <w:r w:rsidRPr="008631F1">
        <w:rPr>
          <w:i/>
          <w:lang w:val="en-GB"/>
        </w:rPr>
        <w:t>Digest of the Case Law of the European Committee of Social Rights,</w:t>
      </w:r>
      <w:r w:rsidRPr="008631F1">
        <w:rPr>
          <w:lang w:val="en-GB"/>
        </w:rPr>
        <w:t xml:space="preserve"> Strasbourg, Council of Europe</w:t>
      </w:r>
      <w:r w:rsidRPr="008631F1">
        <w:rPr>
          <w:i/>
          <w:lang w:val="en-GB"/>
        </w:rPr>
        <w:t xml:space="preserve"> ,</w:t>
      </w:r>
      <w:r>
        <w:rPr>
          <w:lang w:val="en-GB"/>
        </w:rPr>
        <w:t xml:space="preserve">2008, 20. </w:t>
      </w:r>
    </w:p>
  </w:footnote>
  <w:footnote w:id="513">
    <w:p w:rsidR="00551E68" w:rsidRPr="00F0411B" w:rsidRDefault="00551E68" w:rsidP="005869B3">
      <w:pPr>
        <w:pStyle w:val="Voetnoottekst"/>
        <w:jc w:val="both"/>
        <w:rPr>
          <w:lang w:val="en-GB"/>
        </w:rPr>
      </w:pPr>
      <w:r>
        <w:rPr>
          <w:rStyle w:val="Voetnootmarkering"/>
        </w:rPr>
        <w:footnoteRef/>
      </w:r>
      <w:r w:rsidRPr="00F0411B">
        <w:rPr>
          <w:lang w:val="en-GB"/>
        </w:rPr>
        <w:t xml:space="preserve"> Article 8(2) RESC.</w:t>
      </w:r>
    </w:p>
  </w:footnote>
  <w:footnote w:id="514">
    <w:p w:rsidR="00551E68" w:rsidRPr="00A279DC" w:rsidRDefault="00551E68" w:rsidP="005869B3">
      <w:pPr>
        <w:pStyle w:val="Voetnoottekst"/>
        <w:jc w:val="both"/>
        <w:rPr>
          <w:lang w:val="en-US"/>
        </w:rPr>
      </w:pPr>
      <w:r>
        <w:rPr>
          <w:rStyle w:val="Voetnootmarkering"/>
        </w:rPr>
        <w:footnoteRef/>
      </w:r>
      <w:r>
        <w:rPr>
          <w:lang w:val="en-US"/>
        </w:rPr>
        <w:t xml:space="preserve"> Article 8(2) Appendix to </w:t>
      </w:r>
      <w:r w:rsidRPr="00A279DC">
        <w:rPr>
          <w:lang w:val="en-US"/>
        </w:rPr>
        <w:t>the R</w:t>
      </w:r>
      <w:r>
        <w:rPr>
          <w:lang w:val="en-US"/>
        </w:rPr>
        <w:t xml:space="preserve">ESC. </w:t>
      </w:r>
    </w:p>
  </w:footnote>
  <w:footnote w:id="515">
    <w:p w:rsidR="00551E68" w:rsidRPr="000A5E6D" w:rsidRDefault="00551E68" w:rsidP="005869B3">
      <w:pPr>
        <w:pStyle w:val="Voetnoottekst"/>
        <w:jc w:val="both"/>
        <w:rPr>
          <w:lang w:val="en-US"/>
        </w:rPr>
      </w:pPr>
      <w:r>
        <w:rPr>
          <w:rStyle w:val="Voetnootmarkering"/>
        </w:rPr>
        <w:footnoteRef/>
      </w:r>
      <w:r>
        <w:rPr>
          <w:lang w:val="en-GB"/>
        </w:rPr>
        <w:t xml:space="preserve"> </w:t>
      </w:r>
      <w:r w:rsidRPr="000A5E6D">
        <w:rPr>
          <w:lang w:val="en-US"/>
        </w:rPr>
        <w:t>ESC Conclusions X-2, Spain (1990)</w:t>
      </w:r>
      <w:r>
        <w:rPr>
          <w:lang w:val="en-US"/>
        </w:rPr>
        <w:t xml:space="preserve">, 96; </w:t>
      </w:r>
      <w:r>
        <w:rPr>
          <w:lang w:val="en-GB"/>
        </w:rPr>
        <w:t xml:space="preserve">Social Charter monographs, op. cit., 72-73.  </w:t>
      </w:r>
    </w:p>
  </w:footnote>
  <w:footnote w:id="516">
    <w:p w:rsidR="00551E68" w:rsidRPr="00C0006A" w:rsidRDefault="00551E68" w:rsidP="005869B3">
      <w:pPr>
        <w:pStyle w:val="Voetnoottekst"/>
        <w:jc w:val="both"/>
        <w:rPr>
          <w:lang w:val="en-US"/>
        </w:rPr>
      </w:pPr>
      <w:r>
        <w:rPr>
          <w:rStyle w:val="Voetnootmarkering"/>
        </w:rPr>
        <w:footnoteRef/>
      </w:r>
      <w:r w:rsidRPr="00A30960">
        <w:rPr>
          <w:lang w:val="en-US"/>
        </w:rPr>
        <w:t xml:space="preserve"> </w:t>
      </w:r>
      <w:r w:rsidRPr="00C0006A">
        <w:rPr>
          <w:lang w:val="en-US"/>
        </w:rPr>
        <w:t>RESC Conclusions, Armenia (2011)</w:t>
      </w:r>
      <w:r>
        <w:rPr>
          <w:lang w:val="en-US"/>
        </w:rPr>
        <w:t xml:space="preserve">, 128; </w:t>
      </w:r>
      <w:r w:rsidRPr="00C0006A">
        <w:rPr>
          <w:lang w:val="en-US"/>
        </w:rPr>
        <w:t>ESC Conclusions XVII-2, Czech Republic (2005</w:t>
      </w:r>
      <w:r>
        <w:rPr>
          <w:lang w:val="en-US"/>
        </w:rPr>
        <w:t xml:space="preserve">), 126; </w:t>
      </w:r>
      <w:r w:rsidRPr="00C0006A">
        <w:rPr>
          <w:lang w:val="en-US"/>
        </w:rPr>
        <w:t>ESC Conclusions XVII-2, Poland (2005)</w:t>
      </w:r>
      <w:r>
        <w:rPr>
          <w:lang w:val="en-US"/>
        </w:rPr>
        <w:t xml:space="preserve">, 641 and 643. </w:t>
      </w:r>
    </w:p>
  </w:footnote>
  <w:footnote w:id="517">
    <w:p w:rsidR="00551E68" w:rsidRPr="0027088C" w:rsidRDefault="00551E68" w:rsidP="005869B3">
      <w:pPr>
        <w:pStyle w:val="Voetnoottekst"/>
        <w:jc w:val="both"/>
        <w:rPr>
          <w:lang w:val="en-GB"/>
        </w:rPr>
      </w:pPr>
      <w:r>
        <w:rPr>
          <w:rStyle w:val="Voetnootmarkering"/>
        </w:rPr>
        <w:footnoteRef/>
      </w:r>
      <w:r w:rsidRPr="0027088C">
        <w:rPr>
          <w:lang w:val="en-US"/>
        </w:rPr>
        <w:t xml:space="preserve"> </w:t>
      </w:r>
      <w:r>
        <w:rPr>
          <w:lang w:val="en-US"/>
        </w:rPr>
        <w:t xml:space="preserve">Article 1(a) and 1(3) </w:t>
      </w:r>
      <w:r w:rsidRPr="0027088C">
        <w:rPr>
          <w:lang w:val="en-GB"/>
        </w:rPr>
        <w:t>Convention no. 111 on Discrimination in Employment and Occupation, 1958.</w:t>
      </w:r>
    </w:p>
  </w:footnote>
  <w:footnote w:id="518">
    <w:p w:rsidR="00551E68" w:rsidRPr="00724E60" w:rsidRDefault="00551E68" w:rsidP="005869B3">
      <w:pPr>
        <w:pStyle w:val="Voetnoottekst"/>
        <w:jc w:val="both"/>
        <w:rPr>
          <w:lang w:val="en-GB"/>
        </w:rPr>
      </w:pPr>
      <w:r>
        <w:rPr>
          <w:rStyle w:val="Voetnootmarkering"/>
        </w:rPr>
        <w:footnoteRef/>
      </w:r>
      <w:r>
        <w:rPr>
          <w:lang w:val="en-US"/>
        </w:rPr>
        <w:t xml:space="preserve"> </w:t>
      </w:r>
      <w:r w:rsidRPr="00281626">
        <w:rPr>
          <w:lang w:val="en-GB"/>
        </w:rPr>
        <w:t>International Labour Conference, Equality in Employment and Occupation: Special Survey in respect of Convention no. 111, Geneva, International Labour Office, 83</w:t>
      </w:r>
      <w:r w:rsidRPr="00281626">
        <w:rPr>
          <w:vertAlign w:val="superscript"/>
          <w:lang w:val="en-GB"/>
        </w:rPr>
        <w:t>rd</w:t>
      </w:r>
      <w:r>
        <w:rPr>
          <w:lang w:val="en-GB"/>
        </w:rPr>
        <w:t xml:space="preserve"> Session, 1996, 15; </w:t>
      </w:r>
      <w:r w:rsidRPr="0027088C">
        <w:rPr>
          <w:lang w:val="en-US"/>
        </w:rPr>
        <w:t xml:space="preserve"> </w:t>
      </w:r>
      <w:r w:rsidRPr="00724E60">
        <w:rPr>
          <w:lang w:val="en-GB"/>
        </w:rPr>
        <w:t xml:space="preserve">Murray J., “The International Regulation of Maternity: Still Waiting for the Reconciliation of Work and Family Life”, </w:t>
      </w:r>
      <w:r w:rsidRPr="00724E60">
        <w:rPr>
          <w:i/>
          <w:lang w:val="en-GB"/>
        </w:rPr>
        <w:t>Int. J. Comp. Lab. Law &amp; Ind. Rel.</w:t>
      </w:r>
      <w:r w:rsidRPr="00724E60">
        <w:rPr>
          <w:lang w:val="en-GB"/>
        </w:rPr>
        <w:t xml:space="preserve"> 2</w:t>
      </w:r>
      <w:r>
        <w:rPr>
          <w:lang w:val="en-GB"/>
        </w:rPr>
        <w:t xml:space="preserve">001, 36. </w:t>
      </w:r>
    </w:p>
  </w:footnote>
  <w:footnote w:id="519">
    <w:p w:rsidR="00551E68" w:rsidRPr="005A3B88" w:rsidRDefault="00551E68" w:rsidP="005869B3">
      <w:pPr>
        <w:pStyle w:val="Voetnoottekst"/>
        <w:jc w:val="both"/>
        <w:rPr>
          <w:lang w:val="en-GB"/>
        </w:rPr>
      </w:pPr>
      <w:r>
        <w:rPr>
          <w:rStyle w:val="Voetnootmarkering"/>
        </w:rPr>
        <w:footnoteRef/>
      </w:r>
      <w:r w:rsidRPr="005A3B88">
        <w:rPr>
          <w:lang w:val="en-US"/>
        </w:rPr>
        <w:t xml:space="preserve"> </w:t>
      </w:r>
      <w:r>
        <w:rPr>
          <w:lang w:val="en-US"/>
        </w:rPr>
        <w:t xml:space="preserve">Article 9(1) </w:t>
      </w:r>
      <w:r w:rsidRPr="005A3B88">
        <w:rPr>
          <w:lang w:val="en-GB"/>
        </w:rPr>
        <w:t>Convention no. 183 on Maternity Protection, 2000.</w:t>
      </w:r>
    </w:p>
  </w:footnote>
  <w:footnote w:id="520">
    <w:p w:rsidR="00551E68" w:rsidRPr="00F0411B" w:rsidRDefault="00551E68" w:rsidP="005869B3">
      <w:pPr>
        <w:pStyle w:val="Voetnoottekst"/>
        <w:jc w:val="both"/>
        <w:rPr>
          <w:lang w:val="en-US"/>
        </w:rPr>
      </w:pPr>
      <w:r>
        <w:rPr>
          <w:rStyle w:val="Voetnootmarkering"/>
        </w:rPr>
        <w:footnoteRef/>
      </w:r>
      <w:r w:rsidRPr="00F0411B">
        <w:rPr>
          <w:lang w:val="en-US"/>
        </w:rPr>
        <w:t xml:space="preserve"> Article 9(2) Convention no. 183.</w:t>
      </w:r>
    </w:p>
  </w:footnote>
  <w:footnote w:id="521">
    <w:p w:rsidR="00551E68" w:rsidRPr="00E678B8" w:rsidRDefault="00551E68" w:rsidP="005869B3">
      <w:pPr>
        <w:pStyle w:val="Voetnoottekst"/>
        <w:jc w:val="both"/>
        <w:rPr>
          <w:lang w:val="en-US"/>
        </w:rPr>
      </w:pPr>
      <w:r>
        <w:rPr>
          <w:rStyle w:val="Voetnootmarkering"/>
        </w:rPr>
        <w:footnoteRef/>
      </w:r>
      <w:r w:rsidRPr="00E678B8">
        <w:rPr>
          <w:lang w:val="en-US"/>
        </w:rPr>
        <w:t xml:space="preserve"> Article 8</w:t>
      </w:r>
      <w:r>
        <w:rPr>
          <w:lang w:val="en-US"/>
        </w:rPr>
        <w:t>(1)</w:t>
      </w:r>
      <w:r w:rsidRPr="00E678B8">
        <w:rPr>
          <w:lang w:val="en-US"/>
        </w:rPr>
        <w:t xml:space="preserve"> Convention no. </w:t>
      </w:r>
      <w:r>
        <w:rPr>
          <w:lang w:val="en-US"/>
        </w:rPr>
        <w:t xml:space="preserve">183. </w:t>
      </w:r>
    </w:p>
  </w:footnote>
  <w:footnote w:id="522">
    <w:p w:rsidR="00551E68" w:rsidRPr="00506557" w:rsidRDefault="00551E68" w:rsidP="005869B3">
      <w:pPr>
        <w:pStyle w:val="Voetnoottekst"/>
        <w:jc w:val="both"/>
        <w:rPr>
          <w:lang w:val="en-US"/>
        </w:rPr>
      </w:pPr>
      <w:r>
        <w:rPr>
          <w:rStyle w:val="Voetnootmarkering"/>
        </w:rPr>
        <w:footnoteRef/>
      </w:r>
      <w:r w:rsidRPr="00506557">
        <w:rPr>
          <w:lang w:val="en-US"/>
        </w:rPr>
        <w:t xml:space="preserve"> Article 8(1) </w:t>
      </w:r>
      <w:r w:rsidRPr="008A0F6B">
        <w:rPr>
          <w:lang w:val="en-US"/>
        </w:rPr>
        <w:t>Convention no. 183.</w:t>
      </w:r>
    </w:p>
  </w:footnote>
  <w:footnote w:id="523">
    <w:p w:rsidR="00551E68" w:rsidRPr="00506557" w:rsidRDefault="00551E68" w:rsidP="005869B3">
      <w:pPr>
        <w:pStyle w:val="Voetnoottekst"/>
        <w:jc w:val="both"/>
        <w:rPr>
          <w:u w:val="single"/>
          <w:lang w:val="en-US"/>
        </w:rPr>
      </w:pPr>
      <w:r>
        <w:rPr>
          <w:rStyle w:val="Voetnootmarkering"/>
        </w:rPr>
        <w:footnoteRef/>
      </w:r>
      <w:r w:rsidRPr="008A0F6B">
        <w:rPr>
          <w:lang w:val="en-US"/>
        </w:rPr>
        <w:t xml:space="preserve"> </w:t>
      </w:r>
      <w:r w:rsidRPr="00506557">
        <w:rPr>
          <w:lang w:val="en-US"/>
        </w:rPr>
        <w:t xml:space="preserve">International </w:t>
      </w:r>
      <w:proofErr w:type="spellStart"/>
      <w:r w:rsidRPr="00506557">
        <w:rPr>
          <w:lang w:val="en-US"/>
        </w:rPr>
        <w:t>Labour</w:t>
      </w:r>
      <w:proofErr w:type="spellEnd"/>
      <w:r w:rsidRPr="00506557">
        <w:rPr>
          <w:lang w:val="en-US"/>
        </w:rPr>
        <w:t xml:space="preserve"> Office, </w:t>
      </w:r>
      <w:r w:rsidRPr="00506557">
        <w:rPr>
          <w:i/>
          <w:lang w:val="en-US"/>
        </w:rPr>
        <w:t>Maternity at Work: a review of national legislation</w:t>
      </w:r>
      <w:r w:rsidRPr="00506557">
        <w:rPr>
          <w:lang w:val="en-US"/>
        </w:rPr>
        <w:t xml:space="preserve">, Geneva, International </w:t>
      </w:r>
      <w:proofErr w:type="spellStart"/>
      <w:r w:rsidRPr="00506557">
        <w:rPr>
          <w:lang w:val="en-US"/>
        </w:rPr>
        <w:t>La</w:t>
      </w:r>
      <w:r>
        <w:rPr>
          <w:lang w:val="en-US"/>
        </w:rPr>
        <w:t>bour</w:t>
      </w:r>
      <w:proofErr w:type="spellEnd"/>
      <w:r>
        <w:rPr>
          <w:lang w:val="en-US"/>
        </w:rPr>
        <w:t xml:space="preserve"> Organization, 2010, 66. </w:t>
      </w:r>
    </w:p>
  </w:footnote>
  <w:footnote w:id="524">
    <w:p w:rsidR="00551E68" w:rsidRPr="003C7EDA" w:rsidRDefault="00551E68" w:rsidP="005869B3">
      <w:pPr>
        <w:pStyle w:val="Voetnoottekst"/>
        <w:jc w:val="both"/>
        <w:rPr>
          <w:lang w:val="en-US"/>
        </w:rPr>
      </w:pPr>
      <w:r>
        <w:rPr>
          <w:rStyle w:val="Voetnootmarkering"/>
        </w:rPr>
        <w:footnoteRef/>
      </w:r>
      <w:r>
        <w:rPr>
          <w:lang w:val="en-US"/>
        </w:rPr>
        <w:t xml:space="preserve"> </w:t>
      </w:r>
      <w:r w:rsidRPr="0056724F">
        <w:rPr>
          <w:lang w:val="en-US"/>
        </w:rPr>
        <w:t>CEDAW CO Finland, CEDAW/C/FIN/CO/6 (2008)</w:t>
      </w:r>
      <w:r>
        <w:rPr>
          <w:lang w:val="en-US"/>
        </w:rPr>
        <w:t xml:space="preserve">, paras 183-184; </w:t>
      </w:r>
      <w:r w:rsidRPr="009B0263">
        <w:rPr>
          <w:lang w:val="en-US"/>
        </w:rPr>
        <w:t>CEDAW CO Iraq, A/55/38 (2000)</w:t>
      </w:r>
      <w:r>
        <w:rPr>
          <w:lang w:val="en-US"/>
        </w:rPr>
        <w:t xml:space="preserve">, para. 200; </w:t>
      </w:r>
      <w:r w:rsidRPr="003C7EDA">
        <w:rPr>
          <w:lang w:val="en-US"/>
        </w:rPr>
        <w:t>CEDAW CO J</w:t>
      </w:r>
      <w:r>
        <w:rPr>
          <w:lang w:val="en-US"/>
        </w:rPr>
        <w:t xml:space="preserve">apan, CEDAW/C/JNP/CO/6 (2009), paras 45-46. </w:t>
      </w:r>
    </w:p>
  </w:footnote>
  <w:footnote w:id="525">
    <w:p w:rsidR="00551E68" w:rsidRPr="00F4285B" w:rsidRDefault="00551E68" w:rsidP="005869B3">
      <w:pPr>
        <w:pStyle w:val="Voetnoottekst"/>
        <w:jc w:val="both"/>
        <w:rPr>
          <w:lang w:val="en-US"/>
        </w:rPr>
      </w:pPr>
      <w:r>
        <w:rPr>
          <w:rStyle w:val="Voetnootmarkering"/>
        </w:rPr>
        <w:footnoteRef/>
      </w:r>
      <w:r w:rsidRPr="00F4285B">
        <w:rPr>
          <w:lang w:val="it-IT"/>
        </w:rPr>
        <w:t xml:space="preserve"> </w:t>
      </w:r>
      <w:r w:rsidRPr="00F4285B">
        <w:rPr>
          <w:lang w:val="it-IT"/>
        </w:rPr>
        <w:t xml:space="preserve">CEDAW CO Mexico, A/53/38 (1998), para. </w:t>
      </w:r>
      <w:r w:rsidRPr="00F4285B">
        <w:rPr>
          <w:lang w:val="en-US"/>
        </w:rPr>
        <w:t>416; CEDAW</w:t>
      </w:r>
      <w:r>
        <w:rPr>
          <w:lang w:val="en-US"/>
        </w:rPr>
        <w:t xml:space="preserve"> CO New Zealand, A/53/38 (1998), para. 269.  </w:t>
      </w:r>
    </w:p>
  </w:footnote>
  <w:footnote w:id="526">
    <w:p w:rsidR="00551E68" w:rsidRPr="006D4EFE" w:rsidRDefault="00551E68" w:rsidP="005869B3">
      <w:pPr>
        <w:pStyle w:val="Voetnoottekst"/>
        <w:jc w:val="both"/>
        <w:rPr>
          <w:lang w:val="en-US"/>
        </w:rPr>
      </w:pPr>
      <w:r>
        <w:rPr>
          <w:rStyle w:val="Voetnootmarkering"/>
        </w:rPr>
        <w:footnoteRef/>
      </w:r>
      <w:r w:rsidRPr="006D4EFE">
        <w:rPr>
          <w:lang w:val="en-US"/>
        </w:rPr>
        <w:t xml:space="preserve"> </w:t>
      </w:r>
      <w:proofErr w:type="spellStart"/>
      <w:r>
        <w:rPr>
          <w:lang w:val="en-US"/>
        </w:rPr>
        <w:t>Raday</w:t>
      </w:r>
      <w:proofErr w:type="spellEnd"/>
      <w:r>
        <w:rPr>
          <w:lang w:val="en-US"/>
        </w:rPr>
        <w:t xml:space="preserve"> F., “Article 11” in </w:t>
      </w:r>
      <w:r w:rsidRPr="006D4EFE">
        <w:rPr>
          <w:lang w:val="en-US"/>
        </w:rPr>
        <w:t xml:space="preserve">Freeman M., </w:t>
      </w:r>
      <w:proofErr w:type="spellStart"/>
      <w:r>
        <w:rPr>
          <w:lang w:val="en-US"/>
        </w:rPr>
        <w:t>Chinkin</w:t>
      </w:r>
      <w:proofErr w:type="spellEnd"/>
      <w:r>
        <w:rPr>
          <w:lang w:val="en-US"/>
        </w:rPr>
        <w:t xml:space="preserve"> C. and </w:t>
      </w:r>
      <w:proofErr w:type="spellStart"/>
      <w:r>
        <w:rPr>
          <w:lang w:val="en-US"/>
        </w:rPr>
        <w:t>Beate</w:t>
      </w:r>
      <w:proofErr w:type="spellEnd"/>
      <w:r>
        <w:rPr>
          <w:lang w:val="en-US"/>
        </w:rPr>
        <w:t xml:space="preserve"> R. (eds.), op. cit., 299. </w:t>
      </w:r>
    </w:p>
  </w:footnote>
  <w:footnote w:id="527">
    <w:p w:rsidR="00551E68" w:rsidRPr="00677726" w:rsidRDefault="00551E68" w:rsidP="005869B3">
      <w:pPr>
        <w:pStyle w:val="Voetnoottekst"/>
        <w:jc w:val="both"/>
        <w:rPr>
          <w:lang w:val="en-US"/>
        </w:rPr>
      </w:pPr>
      <w:r>
        <w:rPr>
          <w:rStyle w:val="Voetnootmarkering"/>
        </w:rPr>
        <w:footnoteRef/>
      </w:r>
      <w:r>
        <w:rPr>
          <w:lang w:val="en-US"/>
        </w:rPr>
        <w:t xml:space="preserve"> </w:t>
      </w:r>
      <w:r w:rsidRPr="00AC720B">
        <w:rPr>
          <w:lang w:val="en-US"/>
        </w:rPr>
        <w:t>CEDAW CO Columbia, A/54/38/Rev. 1 (1999)</w:t>
      </w:r>
      <w:r>
        <w:rPr>
          <w:lang w:val="en-US"/>
        </w:rPr>
        <w:t xml:space="preserve">, para. 389; </w:t>
      </w:r>
      <w:r w:rsidRPr="00AC720B">
        <w:rPr>
          <w:lang w:val="en-US"/>
        </w:rPr>
        <w:t>CEDAW CO Domi</w:t>
      </w:r>
      <w:r>
        <w:rPr>
          <w:lang w:val="en-US"/>
        </w:rPr>
        <w:t xml:space="preserve">nican Republic, A/59/38 (2004), para. 306; </w:t>
      </w:r>
      <w:r w:rsidRPr="00677726">
        <w:rPr>
          <w:lang w:val="en-US"/>
        </w:rPr>
        <w:t>CEDAW CO Mexico, A/57/38 (2002)</w:t>
      </w:r>
      <w:r>
        <w:rPr>
          <w:lang w:val="en-US"/>
        </w:rPr>
        <w:t xml:space="preserve">, paras 441-442. </w:t>
      </w:r>
    </w:p>
  </w:footnote>
  <w:footnote w:id="528">
    <w:p w:rsidR="00551E68" w:rsidRPr="008D2464" w:rsidRDefault="00551E68" w:rsidP="005869B3">
      <w:pPr>
        <w:pStyle w:val="Voetnoottekst"/>
        <w:jc w:val="both"/>
        <w:rPr>
          <w:lang w:val="en-GB"/>
        </w:rPr>
      </w:pPr>
      <w:r>
        <w:rPr>
          <w:rStyle w:val="Voetnootmarkering"/>
        </w:rPr>
        <w:footnoteRef/>
      </w:r>
      <w:r w:rsidRPr="00EE0135">
        <w:rPr>
          <w:lang w:val="en-US"/>
        </w:rPr>
        <w:t xml:space="preserve"> </w:t>
      </w:r>
      <w:r>
        <w:rPr>
          <w:lang w:val="en-US"/>
        </w:rPr>
        <w:t xml:space="preserve">Article 8(1) </w:t>
      </w:r>
      <w:r w:rsidRPr="008D2464">
        <w:rPr>
          <w:lang w:val="en-GB"/>
        </w:rPr>
        <w:t>Council Directive 1</w:t>
      </w:r>
      <w:r>
        <w:rPr>
          <w:lang w:val="en-GB"/>
        </w:rPr>
        <w:t xml:space="preserve">992/85/EEC. </w:t>
      </w:r>
    </w:p>
  </w:footnote>
  <w:footnote w:id="529">
    <w:p w:rsidR="00551E68" w:rsidRPr="00716242" w:rsidRDefault="00551E68" w:rsidP="005869B3">
      <w:pPr>
        <w:pStyle w:val="Voetnoottekst"/>
        <w:jc w:val="both"/>
        <w:rPr>
          <w:lang w:val="en-US"/>
        </w:rPr>
      </w:pPr>
      <w:r>
        <w:rPr>
          <w:rStyle w:val="Voetnootmarkering"/>
        </w:rPr>
        <w:footnoteRef/>
      </w:r>
      <w:r>
        <w:rPr>
          <w:lang w:val="en-US"/>
        </w:rPr>
        <w:t xml:space="preserve"> Article 8(2) </w:t>
      </w:r>
      <w:r>
        <w:rPr>
          <w:lang w:val="en-GB"/>
        </w:rPr>
        <w:t xml:space="preserve">Council Directive 1992/85/EEC; </w:t>
      </w:r>
      <w:r w:rsidRPr="00716242">
        <w:rPr>
          <w:lang w:val="en-US"/>
        </w:rPr>
        <w:t xml:space="preserve">ECJ C-284/02, </w:t>
      </w:r>
      <w:r w:rsidRPr="00716242">
        <w:rPr>
          <w:i/>
          <w:lang w:val="en-US"/>
        </w:rPr>
        <w:t>Ursula Sass v. Land Brandenburg</w:t>
      </w:r>
      <w:r w:rsidRPr="00716242">
        <w:rPr>
          <w:lang w:val="en-US"/>
        </w:rPr>
        <w:t>, 2004</w:t>
      </w:r>
      <w:r>
        <w:rPr>
          <w:lang w:val="en-US"/>
        </w:rPr>
        <w:t xml:space="preserve">, para. 45. </w:t>
      </w:r>
    </w:p>
  </w:footnote>
  <w:footnote w:id="530">
    <w:p w:rsidR="00551E68" w:rsidRPr="00252197" w:rsidRDefault="00551E68" w:rsidP="005869B3">
      <w:pPr>
        <w:pStyle w:val="Voetnoottekst"/>
        <w:jc w:val="both"/>
        <w:rPr>
          <w:lang w:val="en-US"/>
        </w:rPr>
      </w:pPr>
      <w:r>
        <w:rPr>
          <w:rStyle w:val="Voetnootmarkering"/>
        </w:rPr>
        <w:footnoteRef/>
      </w:r>
      <w:r w:rsidRPr="00252197">
        <w:rPr>
          <w:lang w:val="en-US"/>
        </w:rPr>
        <w:t xml:space="preserve"> </w:t>
      </w:r>
      <w:r>
        <w:rPr>
          <w:lang w:val="en-US"/>
        </w:rPr>
        <w:t xml:space="preserve">Article 11(2) b) </w:t>
      </w:r>
      <w:r w:rsidRPr="00774CD6">
        <w:rPr>
          <w:lang w:val="en-GB"/>
        </w:rPr>
        <w:t>Council Directive 1992/85/EEC.</w:t>
      </w:r>
    </w:p>
  </w:footnote>
  <w:footnote w:id="531">
    <w:p w:rsidR="00551E68" w:rsidRPr="00934066" w:rsidRDefault="00551E68" w:rsidP="005869B3">
      <w:pPr>
        <w:pStyle w:val="Voetnoottekst"/>
        <w:jc w:val="both"/>
        <w:rPr>
          <w:lang w:val="en-US"/>
        </w:rPr>
      </w:pPr>
      <w:r>
        <w:rPr>
          <w:rStyle w:val="Voetnootmarkering"/>
        </w:rPr>
        <w:footnoteRef/>
      </w:r>
      <w:r w:rsidRPr="00252197">
        <w:rPr>
          <w:lang w:val="en-US"/>
        </w:rPr>
        <w:t xml:space="preserve"> </w:t>
      </w:r>
      <w:r>
        <w:rPr>
          <w:lang w:val="en-US"/>
        </w:rPr>
        <w:t xml:space="preserve">For example: 100% of the previous salary in the Netherlands, Germany and Estonia, 70% of the previous salary in Hungary, 56% of the previous earnings in France and an average of 40% of the previous salary in the United Kingdom. </w:t>
      </w:r>
      <w:r w:rsidRPr="00322972">
        <w:rPr>
          <w:lang w:val="en-US"/>
        </w:rPr>
        <w:t xml:space="preserve">Directorate General for Internal Policies, </w:t>
      </w:r>
      <w:r w:rsidRPr="00322972">
        <w:rPr>
          <w:i/>
          <w:lang w:val="en-US"/>
        </w:rPr>
        <w:t>Costs and benefits of maternity and paternity leave</w:t>
      </w:r>
      <w:r w:rsidRPr="00322972">
        <w:rPr>
          <w:lang w:val="en-US"/>
        </w:rPr>
        <w:t xml:space="preserve">, Brussels, European Parliament, 2010, </w:t>
      </w:r>
      <w:r>
        <w:rPr>
          <w:lang w:val="en-US"/>
        </w:rPr>
        <w:t xml:space="preserve">10-13. </w:t>
      </w:r>
    </w:p>
  </w:footnote>
  <w:footnote w:id="532">
    <w:p w:rsidR="00551E68" w:rsidRPr="003B4A12" w:rsidRDefault="00551E68" w:rsidP="005869B3">
      <w:pPr>
        <w:pStyle w:val="Voetnoottekst"/>
        <w:jc w:val="both"/>
        <w:rPr>
          <w:u w:val="single"/>
          <w:lang w:val="en-US"/>
        </w:rPr>
      </w:pPr>
      <w:r>
        <w:rPr>
          <w:rStyle w:val="Voetnootmarkering"/>
        </w:rPr>
        <w:footnoteRef/>
      </w:r>
      <w:r w:rsidRPr="00673885">
        <w:rPr>
          <w:lang w:val="en-US"/>
        </w:rPr>
        <w:t xml:space="preserve"> ECJ C-342/93, </w:t>
      </w:r>
      <w:r w:rsidRPr="00673885">
        <w:rPr>
          <w:i/>
          <w:lang w:val="en-US"/>
        </w:rPr>
        <w:t>Gillespie and others v. Northern Health and Social Services Board</w:t>
      </w:r>
      <w:r w:rsidRPr="00673885">
        <w:rPr>
          <w:lang w:val="en-US"/>
        </w:rPr>
        <w:t>, 1996</w:t>
      </w:r>
      <w:r>
        <w:rPr>
          <w:lang w:val="en-US"/>
        </w:rPr>
        <w:t xml:space="preserve">, para. </w:t>
      </w:r>
      <w:r w:rsidRPr="003B4A12">
        <w:rPr>
          <w:lang w:val="de-DE"/>
        </w:rPr>
        <w:t xml:space="preserve">25; ECJ C-194/08, </w:t>
      </w:r>
      <w:r w:rsidRPr="003B4A12">
        <w:rPr>
          <w:i/>
          <w:lang w:val="de-DE"/>
        </w:rPr>
        <w:t xml:space="preserve">Susanne </w:t>
      </w:r>
      <w:proofErr w:type="spellStart"/>
      <w:r w:rsidRPr="003B4A12">
        <w:rPr>
          <w:i/>
          <w:lang w:val="de-DE"/>
        </w:rPr>
        <w:t>Gassmayr</w:t>
      </w:r>
      <w:proofErr w:type="spellEnd"/>
      <w:r w:rsidRPr="003B4A12">
        <w:rPr>
          <w:i/>
          <w:lang w:val="de-DE"/>
        </w:rPr>
        <w:t xml:space="preserve"> v. Bundesminister </w:t>
      </w:r>
      <w:proofErr w:type="spellStart"/>
      <w:r w:rsidRPr="003B4A12">
        <w:rPr>
          <w:i/>
          <w:lang w:val="de-DE"/>
        </w:rPr>
        <w:t>fur</w:t>
      </w:r>
      <w:proofErr w:type="spellEnd"/>
      <w:r w:rsidRPr="003B4A12">
        <w:rPr>
          <w:i/>
          <w:lang w:val="de-DE"/>
        </w:rPr>
        <w:t xml:space="preserve"> Wissenschaft und Forschung</w:t>
      </w:r>
      <w:r w:rsidRPr="003B4A12">
        <w:rPr>
          <w:lang w:val="de-DE"/>
        </w:rPr>
        <w:t xml:space="preserve">, 2010, </w:t>
      </w:r>
      <w:proofErr w:type="spellStart"/>
      <w:r w:rsidRPr="003B4A12">
        <w:rPr>
          <w:lang w:val="de-DE"/>
        </w:rPr>
        <w:t>para</w:t>
      </w:r>
      <w:proofErr w:type="spellEnd"/>
      <w:r w:rsidRPr="003B4A12">
        <w:rPr>
          <w:lang w:val="de-DE"/>
        </w:rPr>
        <w:t xml:space="preserve">. </w:t>
      </w:r>
      <w:r w:rsidRPr="003B4A12">
        <w:rPr>
          <w:lang w:val="en-US"/>
        </w:rPr>
        <w:t>8</w:t>
      </w:r>
      <w:r>
        <w:rPr>
          <w:lang w:val="en-US"/>
        </w:rPr>
        <w:t xml:space="preserve">6; </w:t>
      </w:r>
      <w:r w:rsidRPr="003B4A12">
        <w:rPr>
          <w:lang w:val="en-GB"/>
        </w:rPr>
        <w:t xml:space="preserve">Burrows N., “Equal pay for work of equal value”, </w:t>
      </w:r>
      <w:r w:rsidRPr="003B4A12">
        <w:rPr>
          <w:i/>
          <w:lang w:val="en-GB"/>
        </w:rPr>
        <w:t>Academy of European Law</w:t>
      </w:r>
      <w:r w:rsidRPr="003B4A12">
        <w:rPr>
          <w:lang w:val="en-GB"/>
        </w:rPr>
        <w:t xml:space="preserve"> 2010,</w:t>
      </w:r>
      <w:r>
        <w:rPr>
          <w:lang w:val="en-GB"/>
        </w:rPr>
        <w:t xml:space="preserve"> 8. </w:t>
      </w:r>
    </w:p>
  </w:footnote>
  <w:footnote w:id="533">
    <w:p w:rsidR="00551E68" w:rsidRPr="00252197" w:rsidRDefault="00551E68" w:rsidP="005869B3">
      <w:pPr>
        <w:pStyle w:val="Voetnoottekst"/>
        <w:jc w:val="both"/>
        <w:rPr>
          <w:lang w:val="en-US"/>
        </w:rPr>
      </w:pPr>
      <w:r>
        <w:rPr>
          <w:rStyle w:val="Voetnootmarkering"/>
        </w:rPr>
        <w:footnoteRef/>
      </w:r>
      <w:r>
        <w:rPr>
          <w:lang w:val="en-US"/>
        </w:rPr>
        <w:t xml:space="preserve"> Article 33(2) EU Charter. </w:t>
      </w:r>
    </w:p>
  </w:footnote>
  <w:footnote w:id="534">
    <w:p w:rsidR="00551E68" w:rsidRPr="00E65274" w:rsidRDefault="00551E68" w:rsidP="005869B3">
      <w:pPr>
        <w:pStyle w:val="Voetnoottekst"/>
        <w:jc w:val="both"/>
        <w:rPr>
          <w:lang w:val="en-US"/>
        </w:rPr>
      </w:pPr>
      <w:r>
        <w:rPr>
          <w:rStyle w:val="Voetnootmarkering"/>
        </w:rPr>
        <w:footnoteRef/>
      </w:r>
      <w:r w:rsidRPr="00E65274">
        <w:rPr>
          <w:lang w:val="en-US"/>
        </w:rPr>
        <w:t xml:space="preserve"> </w:t>
      </w:r>
      <w:proofErr w:type="spellStart"/>
      <w:r w:rsidRPr="00E65274">
        <w:rPr>
          <w:lang w:val="en-US"/>
        </w:rPr>
        <w:t>McGlynn</w:t>
      </w:r>
      <w:proofErr w:type="spellEnd"/>
      <w:r w:rsidRPr="00E65274">
        <w:rPr>
          <w:lang w:val="en-US"/>
        </w:rPr>
        <w:t xml:space="preserve"> C., </w:t>
      </w:r>
      <w:r w:rsidRPr="00E65274">
        <w:rPr>
          <w:i/>
          <w:lang w:val="en-US"/>
        </w:rPr>
        <w:t>Families and the European Union</w:t>
      </w:r>
      <w:r w:rsidRPr="00E65274">
        <w:rPr>
          <w:lang w:val="en-US"/>
        </w:rPr>
        <w:t>, Cambridge, Cambridge University Press, 2006,</w:t>
      </w:r>
      <w:r>
        <w:rPr>
          <w:lang w:val="en-US"/>
        </w:rPr>
        <w:t xml:space="preserve"> 97. </w:t>
      </w:r>
    </w:p>
  </w:footnote>
  <w:footnote w:id="535">
    <w:p w:rsidR="00551E68" w:rsidRPr="00D37DBB" w:rsidRDefault="00551E68" w:rsidP="005869B3">
      <w:pPr>
        <w:pStyle w:val="Voetnoottekst"/>
        <w:jc w:val="both"/>
        <w:rPr>
          <w:lang w:val="en-US"/>
        </w:rPr>
      </w:pPr>
      <w:r>
        <w:rPr>
          <w:rStyle w:val="Voetnootmarkering"/>
        </w:rPr>
        <w:footnoteRef/>
      </w:r>
      <w:r>
        <w:rPr>
          <w:lang w:val="en-US"/>
        </w:rPr>
        <w:t xml:space="preserve"> </w:t>
      </w:r>
      <w:proofErr w:type="spellStart"/>
      <w:r w:rsidRPr="00CB4DA0">
        <w:rPr>
          <w:lang w:val="en-US"/>
        </w:rPr>
        <w:t>Koukoulis</w:t>
      </w:r>
      <w:proofErr w:type="spellEnd"/>
      <w:r w:rsidRPr="00CB4DA0">
        <w:rPr>
          <w:lang w:val="en-US"/>
        </w:rPr>
        <w:t xml:space="preserve"> – </w:t>
      </w:r>
      <w:proofErr w:type="spellStart"/>
      <w:r w:rsidRPr="00CB4DA0">
        <w:rPr>
          <w:lang w:val="en-US"/>
        </w:rPr>
        <w:t>Spiliotopoulos</w:t>
      </w:r>
      <w:proofErr w:type="spellEnd"/>
      <w:r w:rsidRPr="00CB4DA0">
        <w:rPr>
          <w:lang w:val="en-US"/>
        </w:rPr>
        <w:t xml:space="preserve"> S., “The amended equal treatment directive: an expression of constitutional principles/fundamental rights”, </w:t>
      </w:r>
      <w:r w:rsidRPr="00CB4DA0">
        <w:rPr>
          <w:i/>
          <w:lang w:val="en-US"/>
        </w:rPr>
        <w:t>MJ</w:t>
      </w:r>
      <w:r w:rsidRPr="00CB4DA0">
        <w:rPr>
          <w:lang w:val="en-US"/>
        </w:rPr>
        <w:t xml:space="preserve"> 2005, </w:t>
      </w:r>
      <w:r>
        <w:rPr>
          <w:lang w:val="en-US"/>
        </w:rPr>
        <w:t xml:space="preserve">348. </w:t>
      </w:r>
    </w:p>
  </w:footnote>
  <w:footnote w:id="536">
    <w:p w:rsidR="00551E68" w:rsidRPr="000944D7" w:rsidRDefault="00551E68" w:rsidP="005869B3">
      <w:pPr>
        <w:pStyle w:val="Voetnoottekst"/>
        <w:jc w:val="both"/>
        <w:rPr>
          <w:u w:val="single"/>
          <w:lang w:val="en-US"/>
        </w:rPr>
      </w:pPr>
      <w:r>
        <w:rPr>
          <w:rStyle w:val="Voetnootmarkering"/>
        </w:rPr>
        <w:footnoteRef/>
      </w:r>
      <w:r w:rsidRPr="00932B24">
        <w:rPr>
          <w:lang w:val="en-US"/>
        </w:rPr>
        <w:t xml:space="preserve"> The Commission wants to bring the directive in line wi</w:t>
      </w:r>
      <w:r>
        <w:rPr>
          <w:lang w:val="en-US"/>
        </w:rPr>
        <w:t xml:space="preserve">th ILO Recommendation 191. </w:t>
      </w:r>
      <w:r w:rsidRPr="000944D7">
        <w:rPr>
          <w:lang w:val="en-US"/>
        </w:rPr>
        <w:t>Commission of the European Communities, Proposal for a Directive of the European Parliament and of the Council amending Council Directive 92/85/EEC, Brussels 3.10.2008, COM(2008) 637 final</w:t>
      </w:r>
      <w:r>
        <w:rPr>
          <w:lang w:val="en-US"/>
        </w:rPr>
        <w:t xml:space="preserve">, 7. </w:t>
      </w:r>
    </w:p>
  </w:footnote>
  <w:footnote w:id="537">
    <w:p w:rsidR="00551E68" w:rsidRPr="00272991" w:rsidRDefault="00551E68" w:rsidP="005869B3">
      <w:pPr>
        <w:pStyle w:val="Voetnoottekst"/>
        <w:jc w:val="both"/>
        <w:rPr>
          <w:b/>
          <w:u w:val="single"/>
        </w:rPr>
      </w:pPr>
      <w:r>
        <w:rPr>
          <w:rStyle w:val="Voetnootmarkering"/>
        </w:rPr>
        <w:footnoteRef/>
      </w:r>
      <w:r w:rsidRPr="00272991">
        <w:t xml:space="preserve"> </w:t>
      </w:r>
      <w:proofErr w:type="spellStart"/>
      <w:r w:rsidRPr="00272991">
        <w:t>Commission</w:t>
      </w:r>
      <w:proofErr w:type="spellEnd"/>
      <w:r w:rsidRPr="00272991">
        <w:t xml:space="preserve"> of the European </w:t>
      </w:r>
      <w:proofErr w:type="spellStart"/>
      <w:r w:rsidRPr="00272991">
        <w:t>Communities</w:t>
      </w:r>
      <w:proofErr w:type="spellEnd"/>
      <w:r w:rsidRPr="00272991">
        <w:t xml:space="preserve">, op. </w:t>
      </w:r>
      <w:proofErr w:type="spellStart"/>
      <w:r w:rsidRPr="00272991">
        <w:t>cit</w:t>
      </w:r>
      <w:proofErr w:type="spellEnd"/>
      <w:r w:rsidRPr="00272991">
        <w:t xml:space="preserve">., 8; Ellis E. </w:t>
      </w:r>
      <w:proofErr w:type="spellStart"/>
      <w:r w:rsidRPr="00272991">
        <w:t>and</w:t>
      </w:r>
      <w:proofErr w:type="spellEnd"/>
      <w:r w:rsidRPr="00272991">
        <w:t xml:space="preserve"> Watson P., op. </w:t>
      </w:r>
      <w:proofErr w:type="spellStart"/>
      <w:r w:rsidRPr="00272991">
        <w:t>cit</w:t>
      </w:r>
      <w:proofErr w:type="spellEnd"/>
      <w:r w:rsidRPr="00272991">
        <w:t xml:space="preserve">., 359; </w:t>
      </w:r>
      <w:proofErr w:type="spellStart"/>
      <w:r w:rsidRPr="00012FBA">
        <w:t>Foubert</w:t>
      </w:r>
      <w:proofErr w:type="spellEnd"/>
      <w:r w:rsidRPr="00012FBA">
        <w:t xml:space="preserve"> P., “Zwangerschaps- en bevallingsverlof: zegen of vloek?’ in </w:t>
      </w:r>
      <w:r>
        <w:t xml:space="preserve">Brems E. </w:t>
      </w:r>
      <w:proofErr w:type="spellStart"/>
      <w:r>
        <w:t>and</w:t>
      </w:r>
      <w:proofErr w:type="spellEnd"/>
      <w:r>
        <w:t xml:space="preserve"> Stevens L. (</w:t>
      </w:r>
      <w:proofErr w:type="spellStart"/>
      <w:r>
        <w:t>eds</w:t>
      </w:r>
      <w:proofErr w:type="spellEnd"/>
      <w:r>
        <w:t xml:space="preserve">.), op. </w:t>
      </w:r>
      <w:proofErr w:type="spellStart"/>
      <w:r>
        <w:t>cit</w:t>
      </w:r>
      <w:proofErr w:type="spellEnd"/>
      <w:r>
        <w:t xml:space="preserve">., 210-211. </w:t>
      </w:r>
    </w:p>
  </w:footnote>
  <w:footnote w:id="538">
    <w:p w:rsidR="00551E68" w:rsidRPr="009A3904" w:rsidRDefault="00551E68" w:rsidP="005869B3">
      <w:pPr>
        <w:pStyle w:val="Voetnoottekst"/>
        <w:jc w:val="both"/>
        <w:rPr>
          <w:i/>
          <w:lang w:val="en-GB"/>
        </w:rPr>
      </w:pPr>
      <w:r>
        <w:rPr>
          <w:rStyle w:val="Voetnootmarkering"/>
        </w:rPr>
        <w:footnoteRef/>
      </w:r>
      <w:r w:rsidRPr="005724BF">
        <w:rPr>
          <w:lang w:val="en-US"/>
        </w:rPr>
        <w:t xml:space="preserve"> </w:t>
      </w:r>
      <w:r w:rsidRPr="009A3904">
        <w:rPr>
          <w:lang w:val="en-GB"/>
        </w:rPr>
        <w:t xml:space="preserve">Suk J., “From Antidiscrimination to Equality: Stereotypes and the Life Cycle in the United States and Europe”, </w:t>
      </w:r>
      <w:r w:rsidRPr="009A3904">
        <w:rPr>
          <w:i/>
          <w:lang w:val="en-GB"/>
        </w:rPr>
        <w:t>Am. J. Comp. L.</w:t>
      </w:r>
      <w:r w:rsidRPr="009A3904">
        <w:rPr>
          <w:lang w:val="en-GB"/>
        </w:rPr>
        <w:t xml:space="preserve"> 2012,</w:t>
      </w:r>
      <w:r>
        <w:rPr>
          <w:lang w:val="en-GB"/>
        </w:rPr>
        <w:t xml:space="preserve"> 81. </w:t>
      </w:r>
    </w:p>
  </w:footnote>
  <w:footnote w:id="539">
    <w:p w:rsidR="00551E68" w:rsidRPr="00CD1AD0" w:rsidRDefault="00551E68" w:rsidP="005869B3">
      <w:pPr>
        <w:pStyle w:val="Voetnoottekst"/>
        <w:jc w:val="both"/>
        <w:rPr>
          <w:b/>
          <w:u w:val="single"/>
          <w:lang w:val="en-US"/>
        </w:rPr>
      </w:pPr>
      <w:r>
        <w:rPr>
          <w:rStyle w:val="Voetnootmarkering"/>
        </w:rPr>
        <w:footnoteRef/>
      </w:r>
      <w:r>
        <w:rPr>
          <w:lang w:val="en-US"/>
        </w:rPr>
        <w:t xml:space="preserve"> </w:t>
      </w:r>
      <w:r w:rsidRPr="003004D0">
        <w:rPr>
          <w:lang w:val="en-US"/>
        </w:rPr>
        <w:t>Council of the European Union, Progress Report on the Proposal for a Directive of the European Parliament and of the Council amending Council Directive 92/85/EEC, Brussels, 31 May 2011, 10541/11</w:t>
      </w:r>
      <w:r>
        <w:rPr>
          <w:lang w:val="en-US"/>
        </w:rPr>
        <w:t xml:space="preserve">, 6 and 9; </w:t>
      </w:r>
      <w:r w:rsidRPr="00CD1AD0">
        <w:rPr>
          <w:lang w:val="en-US"/>
        </w:rPr>
        <w:t>Ellis E. and Watson P.</w:t>
      </w:r>
      <w:r>
        <w:rPr>
          <w:lang w:val="en-US"/>
        </w:rPr>
        <w:t xml:space="preserve">, op. cit., 360; </w:t>
      </w:r>
      <w:r w:rsidRPr="005724BF">
        <w:rPr>
          <w:lang w:val="en-US"/>
        </w:rPr>
        <w:t>Rankin J., “Council to ditch MEPs' </w:t>
      </w:r>
      <w:r w:rsidRPr="005724BF">
        <w:rPr>
          <w:bCs/>
          <w:lang w:val="en-US"/>
        </w:rPr>
        <w:t>maternity</w:t>
      </w:r>
      <w:r w:rsidRPr="005724BF">
        <w:rPr>
          <w:lang w:val="en-US"/>
        </w:rPr>
        <w:t xml:space="preserve"> leave plans”, </w:t>
      </w:r>
      <w:r w:rsidRPr="005724BF">
        <w:rPr>
          <w:i/>
          <w:lang w:val="en-US"/>
        </w:rPr>
        <w:t>European Voice</w:t>
      </w:r>
      <w:r>
        <w:rPr>
          <w:lang w:val="en-US"/>
        </w:rPr>
        <w:t xml:space="preserve"> 2 December 2010. </w:t>
      </w:r>
    </w:p>
  </w:footnote>
  <w:footnote w:id="540">
    <w:p w:rsidR="00551E68" w:rsidRPr="00E01C48" w:rsidRDefault="00551E68" w:rsidP="005869B3">
      <w:pPr>
        <w:pStyle w:val="Voetnoottekst"/>
        <w:jc w:val="both"/>
        <w:rPr>
          <w:i/>
          <w:lang w:val="fr-FR"/>
        </w:rPr>
      </w:pPr>
      <w:r>
        <w:rPr>
          <w:rStyle w:val="Voetnootmarkering"/>
        </w:rPr>
        <w:footnoteRef/>
      </w:r>
      <w:r w:rsidRPr="00E01C48">
        <w:rPr>
          <w:lang w:val="fr-FR"/>
        </w:rPr>
        <w:t xml:space="preserve"> Article 8(1) RESC; </w:t>
      </w:r>
      <w:proofErr w:type="spellStart"/>
      <w:r w:rsidRPr="00E01C48">
        <w:rPr>
          <w:lang w:val="fr-FR"/>
        </w:rPr>
        <w:t>VanDamme</w:t>
      </w:r>
      <w:proofErr w:type="spellEnd"/>
      <w:r w:rsidRPr="00E01C48">
        <w:rPr>
          <w:lang w:val="fr-FR"/>
        </w:rPr>
        <w:t xml:space="preserve"> F., op. </w:t>
      </w:r>
      <w:proofErr w:type="spellStart"/>
      <w:r w:rsidRPr="00E01C48">
        <w:rPr>
          <w:lang w:val="fr-FR"/>
        </w:rPr>
        <w:t>cit</w:t>
      </w:r>
      <w:proofErr w:type="spellEnd"/>
      <w:r w:rsidRPr="00E01C48">
        <w:rPr>
          <w:lang w:val="fr-FR"/>
        </w:rPr>
        <w:t xml:space="preserve">. 644. </w:t>
      </w:r>
    </w:p>
  </w:footnote>
  <w:footnote w:id="541">
    <w:p w:rsidR="00551E68" w:rsidRPr="00164017" w:rsidRDefault="00551E68" w:rsidP="005869B3">
      <w:pPr>
        <w:pStyle w:val="Voetnoottekst"/>
        <w:jc w:val="both"/>
        <w:rPr>
          <w:lang w:val="en-GB"/>
        </w:rPr>
      </w:pPr>
      <w:r>
        <w:rPr>
          <w:rStyle w:val="Voetnootmarkering"/>
        </w:rPr>
        <w:footnoteRef/>
      </w:r>
      <w:r w:rsidRPr="00164017">
        <w:rPr>
          <w:lang w:val="en-US"/>
        </w:rPr>
        <w:t xml:space="preserve"> </w:t>
      </w:r>
      <w:r>
        <w:rPr>
          <w:lang w:val="en-US"/>
        </w:rPr>
        <w:t xml:space="preserve">In particular article 3(2) and 3(3) </w:t>
      </w:r>
      <w:r w:rsidRPr="00164017">
        <w:rPr>
          <w:lang w:val="en-GB"/>
        </w:rPr>
        <w:t xml:space="preserve">Convention no. 103 on Maternity Protection, 1952. </w:t>
      </w:r>
    </w:p>
  </w:footnote>
  <w:footnote w:id="542">
    <w:p w:rsidR="00551E68" w:rsidRPr="00CF2434" w:rsidRDefault="00551E68" w:rsidP="005869B3">
      <w:pPr>
        <w:pStyle w:val="Voetnoottekst"/>
        <w:jc w:val="both"/>
        <w:rPr>
          <w:lang w:val="en-US"/>
        </w:rPr>
      </w:pPr>
      <w:r>
        <w:rPr>
          <w:rStyle w:val="Voetnootmarkering"/>
        </w:rPr>
        <w:footnoteRef/>
      </w:r>
      <w:r>
        <w:rPr>
          <w:lang w:val="en-US"/>
        </w:rPr>
        <w:t xml:space="preserve"> </w:t>
      </w:r>
      <w:r w:rsidRPr="0028695E">
        <w:rPr>
          <w:lang w:val="en-US"/>
        </w:rPr>
        <w:t>RESC Conclusio</w:t>
      </w:r>
      <w:r>
        <w:rPr>
          <w:lang w:val="en-US"/>
        </w:rPr>
        <w:t xml:space="preserve">ns, Statement of Interpretation </w:t>
      </w:r>
      <w:proofErr w:type="spellStart"/>
      <w:r>
        <w:rPr>
          <w:lang w:val="en-US"/>
        </w:rPr>
        <w:t>on</w:t>
      </w:r>
      <w:proofErr w:type="spellEnd"/>
      <w:r>
        <w:rPr>
          <w:lang w:val="en-US"/>
        </w:rPr>
        <w:t xml:space="preserve"> Article 8(</w:t>
      </w:r>
      <w:r w:rsidRPr="0028695E">
        <w:rPr>
          <w:lang w:val="en-US"/>
        </w:rPr>
        <w:t>1</w:t>
      </w:r>
      <w:r>
        <w:rPr>
          <w:lang w:val="en-US"/>
        </w:rPr>
        <w:t>)</w:t>
      </w:r>
      <w:r w:rsidRPr="0028695E">
        <w:rPr>
          <w:lang w:val="en-US"/>
        </w:rPr>
        <w:t xml:space="preserve"> (2011)</w:t>
      </w:r>
      <w:r>
        <w:rPr>
          <w:lang w:val="en-US"/>
        </w:rPr>
        <w:t xml:space="preserve">, 9; </w:t>
      </w:r>
      <w:r w:rsidRPr="009F1B55">
        <w:rPr>
          <w:lang w:val="en-US"/>
        </w:rPr>
        <w:t>ESC Conclusions XVII-2, Latvia (2005)</w:t>
      </w:r>
      <w:r>
        <w:rPr>
          <w:lang w:val="en-US"/>
        </w:rPr>
        <w:t>, 488;</w:t>
      </w:r>
      <w:r w:rsidRPr="00C115D1">
        <w:rPr>
          <w:lang w:val="en-US"/>
        </w:rPr>
        <w:t xml:space="preserve"> ESC Conclusions XIX-4, Spain (2011)</w:t>
      </w:r>
      <w:r>
        <w:rPr>
          <w:lang w:val="en-US"/>
        </w:rPr>
        <w:t xml:space="preserve">, 333; </w:t>
      </w:r>
      <w:r w:rsidRPr="007931C0">
        <w:rPr>
          <w:lang w:val="en-US"/>
        </w:rPr>
        <w:t>ESC Conclusions XV-2, United Kingdom (2001)</w:t>
      </w:r>
      <w:r>
        <w:rPr>
          <w:lang w:val="en-US"/>
        </w:rPr>
        <w:t xml:space="preserve">, 595; </w:t>
      </w:r>
      <w:proofErr w:type="spellStart"/>
      <w:r w:rsidRPr="00CF2434">
        <w:rPr>
          <w:lang w:val="en-US"/>
        </w:rPr>
        <w:t>Lenia</w:t>
      </w:r>
      <w:proofErr w:type="spellEnd"/>
      <w:r w:rsidRPr="00CF2434">
        <w:rPr>
          <w:lang w:val="en-US"/>
        </w:rPr>
        <w:t xml:space="preserve"> S.,</w:t>
      </w:r>
      <w:r>
        <w:rPr>
          <w:lang w:val="en-US"/>
        </w:rPr>
        <w:t xml:space="preserve"> op. cit., 208. </w:t>
      </w:r>
      <w:r w:rsidRPr="00CF2434">
        <w:rPr>
          <w:lang w:val="en-US"/>
        </w:rPr>
        <w:t xml:space="preserve"> </w:t>
      </w:r>
    </w:p>
  </w:footnote>
  <w:footnote w:id="543">
    <w:p w:rsidR="00551E68" w:rsidRPr="00411283" w:rsidRDefault="00551E68" w:rsidP="005869B3">
      <w:pPr>
        <w:pStyle w:val="Voetnoottekst"/>
        <w:jc w:val="both"/>
        <w:rPr>
          <w:lang w:val="en-GB"/>
        </w:rPr>
      </w:pPr>
      <w:r>
        <w:rPr>
          <w:rStyle w:val="Voetnootmarkering"/>
        </w:rPr>
        <w:footnoteRef/>
      </w:r>
      <w:r>
        <w:rPr>
          <w:lang w:val="en-GB"/>
        </w:rPr>
        <w:t xml:space="preserve"> </w:t>
      </w:r>
      <w:r w:rsidRPr="00411283">
        <w:rPr>
          <w:lang w:val="en-GB"/>
        </w:rPr>
        <w:t xml:space="preserve">Article 8(1) RESC; </w:t>
      </w:r>
      <w:r w:rsidRPr="007E4E02">
        <w:rPr>
          <w:lang w:val="en-GB"/>
        </w:rPr>
        <w:t xml:space="preserve">European Committee of Social Rights, </w:t>
      </w:r>
      <w:r w:rsidRPr="007E4E02">
        <w:rPr>
          <w:i/>
          <w:lang w:val="en-GB"/>
        </w:rPr>
        <w:t>Digest of the Case Law of the European Committee of Social Rights,</w:t>
      </w:r>
      <w:r w:rsidRPr="007E4E02">
        <w:rPr>
          <w:lang w:val="en-GB"/>
        </w:rPr>
        <w:t xml:space="preserve"> Strasbourg, Council of Europe</w:t>
      </w:r>
      <w:r>
        <w:rPr>
          <w:lang w:val="en-GB"/>
        </w:rPr>
        <w:t xml:space="preserve">, 2008, 67. </w:t>
      </w:r>
    </w:p>
  </w:footnote>
  <w:footnote w:id="544">
    <w:p w:rsidR="00551E68" w:rsidRPr="0008491F" w:rsidRDefault="00551E68" w:rsidP="005869B3">
      <w:pPr>
        <w:pStyle w:val="Voetnoottekst"/>
        <w:jc w:val="both"/>
        <w:rPr>
          <w:lang w:val="fr-FR"/>
        </w:rPr>
      </w:pPr>
      <w:r>
        <w:rPr>
          <w:rStyle w:val="Voetnootmarkering"/>
        </w:rPr>
        <w:footnoteRef/>
      </w:r>
      <w:r w:rsidRPr="0008491F">
        <w:rPr>
          <w:lang w:val="fr-FR"/>
        </w:rPr>
        <w:t xml:space="preserve"> Article 8(1) RESC; </w:t>
      </w:r>
      <w:r w:rsidRPr="00EE1121">
        <w:rPr>
          <w:lang w:val="fr-FR"/>
        </w:rPr>
        <w:t xml:space="preserve">RESC Conclusions, </w:t>
      </w:r>
      <w:proofErr w:type="spellStart"/>
      <w:r w:rsidRPr="00EE1121">
        <w:rPr>
          <w:lang w:val="fr-FR"/>
        </w:rPr>
        <w:t>Andorra</w:t>
      </w:r>
      <w:proofErr w:type="spellEnd"/>
      <w:r w:rsidRPr="00EE1121">
        <w:rPr>
          <w:lang w:val="fr-FR"/>
        </w:rPr>
        <w:t xml:space="preserve"> (2011)</w:t>
      </w:r>
      <w:r>
        <w:rPr>
          <w:lang w:val="fr-FR"/>
        </w:rPr>
        <w:t xml:space="preserve">, 85; </w:t>
      </w:r>
      <w:r w:rsidRPr="0008491F">
        <w:rPr>
          <w:lang w:val="fr-FR"/>
        </w:rPr>
        <w:t xml:space="preserve">ESC Conclusions XVI-2, </w:t>
      </w:r>
      <w:proofErr w:type="spellStart"/>
      <w:r w:rsidRPr="0008491F">
        <w:rPr>
          <w:lang w:val="fr-FR"/>
        </w:rPr>
        <w:t>Hungary</w:t>
      </w:r>
      <w:proofErr w:type="spellEnd"/>
      <w:r w:rsidRPr="0008491F">
        <w:rPr>
          <w:lang w:val="fr-FR"/>
        </w:rPr>
        <w:t xml:space="preserve"> (2003)</w:t>
      </w:r>
      <w:r>
        <w:rPr>
          <w:lang w:val="fr-FR"/>
        </w:rPr>
        <w:t xml:space="preserve">, 417. </w:t>
      </w:r>
    </w:p>
  </w:footnote>
  <w:footnote w:id="545">
    <w:p w:rsidR="00551E68" w:rsidRPr="0034510F" w:rsidRDefault="00551E68" w:rsidP="005869B3">
      <w:pPr>
        <w:pStyle w:val="Voetnoottekst"/>
        <w:jc w:val="both"/>
        <w:rPr>
          <w:lang w:val="fr-FR"/>
        </w:rPr>
      </w:pPr>
      <w:r>
        <w:rPr>
          <w:rStyle w:val="Voetnootmarkering"/>
        </w:rPr>
        <w:footnoteRef/>
      </w:r>
      <w:r w:rsidRPr="0034510F">
        <w:rPr>
          <w:lang w:val="fr-FR"/>
        </w:rPr>
        <w:t xml:space="preserve"> RESC Conclusions, </w:t>
      </w:r>
      <w:proofErr w:type="spellStart"/>
      <w:r w:rsidRPr="0034510F">
        <w:rPr>
          <w:lang w:val="fr-FR"/>
        </w:rPr>
        <w:t>Belgium</w:t>
      </w:r>
      <w:proofErr w:type="spellEnd"/>
      <w:r w:rsidRPr="0034510F">
        <w:rPr>
          <w:lang w:val="fr-FR"/>
        </w:rPr>
        <w:t xml:space="preserve"> (2000), 87-88; RESC Conclusions, </w:t>
      </w:r>
      <w:proofErr w:type="spellStart"/>
      <w:r w:rsidRPr="0034510F">
        <w:rPr>
          <w:lang w:val="fr-FR"/>
        </w:rPr>
        <w:t>Slovak</w:t>
      </w:r>
      <w:proofErr w:type="spellEnd"/>
      <w:r w:rsidRPr="0034510F">
        <w:rPr>
          <w:lang w:val="fr-FR"/>
        </w:rPr>
        <w:t xml:space="preserve"> </w:t>
      </w:r>
      <w:proofErr w:type="spellStart"/>
      <w:r w:rsidRPr="0034510F">
        <w:rPr>
          <w:lang w:val="fr-FR"/>
        </w:rPr>
        <w:t>Republic</w:t>
      </w:r>
      <w:proofErr w:type="spellEnd"/>
      <w:r w:rsidRPr="0034510F">
        <w:rPr>
          <w:lang w:val="fr-FR"/>
        </w:rPr>
        <w:t xml:space="preserve"> (2011), 1019.  </w:t>
      </w:r>
    </w:p>
  </w:footnote>
  <w:footnote w:id="546">
    <w:p w:rsidR="00551E68" w:rsidRPr="0034510F" w:rsidRDefault="00551E68" w:rsidP="005869B3">
      <w:pPr>
        <w:pStyle w:val="Voetnoottekst"/>
        <w:jc w:val="both"/>
        <w:rPr>
          <w:lang w:val="fr-FR"/>
        </w:rPr>
      </w:pPr>
      <w:r>
        <w:rPr>
          <w:rStyle w:val="Voetnootmarkering"/>
        </w:rPr>
        <w:footnoteRef/>
      </w:r>
      <w:r w:rsidRPr="0034510F">
        <w:rPr>
          <w:lang w:val="fr-FR"/>
        </w:rPr>
        <w:t xml:space="preserve"> RESC Conclusions, </w:t>
      </w:r>
      <w:proofErr w:type="spellStart"/>
      <w:r w:rsidRPr="0034510F">
        <w:rPr>
          <w:lang w:val="fr-FR"/>
        </w:rPr>
        <w:t>Hungary</w:t>
      </w:r>
      <w:proofErr w:type="spellEnd"/>
      <w:r w:rsidRPr="0034510F">
        <w:rPr>
          <w:lang w:val="fr-FR"/>
        </w:rPr>
        <w:t xml:space="preserve"> (2011), 6; ESC Conclusions XVII-2, </w:t>
      </w:r>
      <w:proofErr w:type="spellStart"/>
      <w:r w:rsidRPr="0034510F">
        <w:rPr>
          <w:lang w:val="fr-FR"/>
        </w:rPr>
        <w:t>Latvia</w:t>
      </w:r>
      <w:proofErr w:type="spellEnd"/>
      <w:r w:rsidRPr="0034510F">
        <w:rPr>
          <w:lang w:val="fr-FR"/>
        </w:rPr>
        <w:t xml:space="preserve"> (2005), 488. </w:t>
      </w:r>
    </w:p>
  </w:footnote>
  <w:footnote w:id="547">
    <w:p w:rsidR="00551E68" w:rsidRPr="0034510F" w:rsidRDefault="00551E68" w:rsidP="005869B3">
      <w:pPr>
        <w:pStyle w:val="Voetnoottekst"/>
        <w:jc w:val="both"/>
        <w:rPr>
          <w:lang w:val="fr-FR"/>
        </w:rPr>
      </w:pPr>
      <w:r>
        <w:rPr>
          <w:rStyle w:val="Voetnootmarkering"/>
        </w:rPr>
        <w:footnoteRef/>
      </w:r>
      <w:r w:rsidRPr="0034510F">
        <w:rPr>
          <w:lang w:val="fr-FR"/>
        </w:rPr>
        <w:t xml:space="preserve"> RESC Conclusions, </w:t>
      </w:r>
      <w:proofErr w:type="spellStart"/>
      <w:r w:rsidRPr="0034510F">
        <w:rPr>
          <w:lang w:val="fr-FR"/>
        </w:rPr>
        <w:t>Bosnia</w:t>
      </w:r>
      <w:proofErr w:type="spellEnd"/>
      <w:r w:rsidRPr="0034510F">
        <w:rPr>
          <w:lang w:val="fr-FR"/>
        </w:rPr>
        <w:t xml:space="preserve"> </w:t>
      </w:r>
      <w:proofErr w:type="spellStart"/>
      <w:r w:rsidRPr="0034510F">
        <w:rPr>
          <w:lang w:val="fr-FR"/>
        </w:rPr>
        <w:t>Herzegovina</w:t>
      </w:r>
      <w:proofErr w:type="spellEnd"/>
      <w:r w:rsidRPr="0034510F">
        <w:rPr>
          <w:lang w:val="fr-FR"/>
        </w:rPr>
        <w:t xml:space="preserve"> (2011), 241. </w:t>
      </w:r>
    </w:p>
  </w:footnote>
  <w:footnote w:id="548">
    <w:p w:rsidR="00551E68" w:rsidRPr="0034510F" w:rsidRDefault="00551E68" w:rsidP="005869B3">
      <w:pPr>
        <w:pStyle w:val="Voetnoottekst"/>
        <w:jc w:val="both"/>
        <w:rPr>
          <w:lang w:val="fr-FR"/>
        </w:rPr>
      </w:pPr>
      <w:r>
        <w:rPr>
          <w:rStyle w:val="Voetnootmarkering"/>
        </w:rPr>
        <w:footnoteRef/>
      </w:r>
      <w:r w:rsidRPr="0034510F">
        <w:rPr>
          <w:lang w:val="fr-FR"/>
        </w:rPr>
        <w:t xml:space="preserve"> Article 4(1) Convention no. 183 on </w:t>
      </w:r>
      <w:proofErr w:type="spellStart"/>
      <w:r w:rsidRPr="0034510F">
        <w:rPr>
          <w:lang w:val="fr-FR"/>
        </w:rPr>
        <w:t>Maternity</w:t>
      </w:r>
      <w:proofErr w:type="spellEnd"/>
      <w:r w:rsidRPr="0034510F">
        <w:rPr>
          <w:lang w:val="fr-FR"/>
        </w:rPr>
        <w:t xml:space="preserve"> Protection, 2000. </w:t>
      </w:r>
    </w:p>
  </w:footnote>
  <w:footnote w:id="549">
    <w:p w:rsidR="00551E68" w:rsidRPr="0034510F" w:rsidRDefault="00551E68" w:rsidP="005869B3">
      <w:pPr>
        <w:pStyle w:val="Voetnoottekst"/>
        <w:jc w:val="both"/>
        <w:rPr>
          <w:lang w:val="fr-FR"/>
        </w:rPr>
      </w:pPr>
      <w:r>
        <w:rPr>
          <w:rStyle w:val="Voetnootmarkering"/>
        </w:rPr>
        <w:footnoteRef/>
      </w:r>
      <w:r w:rsidRPr="0034510F">
        <w:rPr>
          <w:lang w:val="fr-FR"/>
        </w:rPr>
        <w:t xml:space="preserve"> Article 4(4) Convention no. 183. </w:t>
      </w:r>
    </w:p>
  </w:footnote>
  <w:footnote w:id="550">
    <w:p w:rsidR="00551E68" w:rsidRPr="0034510F" w:rsidRDefault="00551E68" w:rsidP="005869B3">
      <w:pPr>
        <w:pStyle w:val="Voetnoottekst"/>
        <w:jc w:val="both"/>
        <w:rPr>
          <w:lang w:val="fr-FR"/>
        </w:rPr>
      </w:pPr>
      <w:r>
        <w:rPr>
          <w:rStyle w:val="Voetnootmarkering"/>
        </w:rPr>
        <w:footnoteRef/>
      </w:r>
      <w:r w:rsidRPr="0034510F">
        <w:rPr>
          <w:lang w:val="fr-FR"/>
        </w:rPr>
        <w:t xml:space="preserve"> Article 6(3) Convention no. 183. </w:t>
      </w:r>
    </w:p>
  </w:footnote>
  <w:footnote w:id="551">
    <w:p w:rsidR="00551E68" w:rsidRPr="0034510F" w:rsidRDefault="00551E68" w:rsidP="005869B3">
      <w:pPr>
        <w:pStyle w:val="Voetnoottekst"/>
        <w:jc w:val="both"/>
        <w:rPr>
          <w:lang w:val="fr-FR"/>
        </w:rPr>
      </w:pPr>
      <w:r>
        <w:rPr>
          <w:rStyle w:val="Voetnootmarkering"/>
        </w:rPr>
        <w:footnoteRef/>
      </w:r>
      <w:r w:rsidRPr="0034510F">
        <w:rPr>
          <w:lang w:val="fr-FR"/>
        </w:rPr>
        <w:t xml:space="preserve"> Article 6(8) Convention no. 183. </w:t>
      </w:r>
    </w:p>
  </w:footnote>
  <w:footnote w:id="552">
    <w:p w:rsidR="00551E68" w:rsidRPr="0034510F" w:rsidRDefault="00551E68" w:rsidP="005869B3">
      <w:pPr>
        <w:pStyle w:val="Voetnoottekst"/>
        <w:jc w:val="both"/>
        <w:rPr>
          <w:u w:val="single"/>
          <w:lang w:val="fr-FR"/>
        </w:rPr>
      </w:pPr>
      <w:r>
        <w:rPr>
          <w:rStyle w:val="Voetnootmarkering"/>
        </w:rPr>
        <w:footnoteRef/>
      </w:r>
      <w:r w:rsidRPr="0034510F">
        <w:rPr>
          <w:lang w:val="fr-FR"/>
        </w:rPr>
        <w:t xml:space="preserve"> Article 1(1) </w:t>
      </w:r>
      <w:proofErr w:type="spellStart"/>
      <w:r w:rsidRPr="0034510F">
        <w:rPr>
          <w:lang w:val="fr-FR"/>
        </w:rPr>
        <w:t>Recommendation</w:t>
      </w:r>
      <w:proofErr w:type="spellEnd"/>
      <w:r w:rsidRPr="0034510F">
        <w:rPr>
          <w:lang w:val="fr-FR"/>
        </w:rPr>
        <w:t xml:space="preserve"> no. 191 on </w:t>
      </w:r>
      <w:proofErr w:type="spellStart"/>
      <w:r w:rsidRPr="0034510F">
        <w:rPr>
          <w:lang w:val="fr-FR"/>
        </w:rPr>
        <w:t>Maternity</w:t>
      </w:r>
      <w:proofErr w:type="spellEnd"/>
      <w:r w:rsidRPr="0034510F">
        <w:rPr>
          <w:lang w:val="fr-FR"/>
        </w:rPr>
        <w:t xml:space="preserve"> Protection, 2000.</w:t>
      </w:r>
    </w:p>
  </w:footnote>
  <w:footnote w:id="553">
    <w:p w:rsidR="00551E68" w:rsidRPr="0034510F" w:rsidRDefault="00551E68" w:rsidP="005869B3">
      <w:pPr>
        <w:pStyle w:val="Voetnoottekst"/>
        <w:jc w:val="both"/>
        <w:rPr>
          <w:lang w:val="fr-FR"/>
        </w:rPr>
      </w:pPr>
      <w:r>
        <w:rPr>
          <w:rStyle w:val="Voetnootmarkering"/>
        </w:rPr>
        <w:footnoteRef/>
      </w:r>
      <w:r w:rsidRPr="0034510F">
        <w:rPr>
          <w:lang w:val="fr-FR"/>
        </w:rPr>
        <w:t xml:space="preserve"> Article 1(2) </w:t>
      </w:r>
      <w:proofErr w:type="spellStart"/>
      <w:r w:rsidRPr="0034510F">
        <w:rPr>
          <w:lang w:val="fr-FR"/>
        </w:rPr>
        <w:t>Recommendation</w:t>
      </w:r>
      <w:proofErr w:type="spellEnd"/>
      <w:r w:rsidRPr="0034510F">
        <w:rPr>
          <w:lang w:val="fr-FR"/>
        </w:rPr>
        <w:t xml:space="preserve"> no. 191. </w:t>
      </w:r>
    </w:p>
  </w:footnote>
  <w:footnote w:id="554">
    <w:p w:rsidR="00551E68" w:rsidRPr="0034510F" w:rsidRDefault="00551E68" w:rsidP="005869B3">
      <w:pPr>
        <w:pStyle w:val="Voetnoottekst"/>
        <w:jc w:val="both"/>
        <w:rPr>
          <w:lang w:val="fr-FR"/>
        </w:rPr>
      </w:pPr>
      <w:r>
        <w:rPr>
          <w:rStyle w:val="Voetnootmarkering"/>
        </w:rPr>
        <w:footnoteRef/>
      </w:r>
      <w:r w:rsidRPr="0034510F">
        <w:rPr>
          <w:lang w:val="fr-FR"/>
        </w:rPr>
        <w:t xml:space="preserve"> Article 11(2) b) CEDAW. </w:t>
      </w:r>
    </w:p>
  </w:footnote>
  <w:footnote w:id="555">
    <w:p w:rsidR="00551E68" w:rsidRPr="0034510F" w:rsidRDefault="00551E68" w:rsidP="005869B3">
      <w:pPr>
        <w:pStyle w:val="Voetnoottekst"/>
        <w:jc w:val="both"/>
        <w:rPr>
          <w:lang w:val="fr-FR"/>
        </w:rPr>
      </w:pPr>
      <w:r>
        <w:rPr>
          <w:rStyle w:val="Voetnootmarkering"/>
        </w:rPr>
        <w:footnoteRef/>
      </w:r>
      <w:r w:rsidRPr="0034510F">
        <w:rPr>
          <w:lang w:val="fr-FR"/>
        </w:rPr>
        <w:t xml:space="preserve"> CEDAW CO Fiji, A/57/38 (2002), paras 56-57; CEDAW CO Guyana, A/56/38, (2001), para. 169. </w:t>
      </w:r>
    </w:p>
  </w:footnote>
  <w:footnote w:id="556">
    <w:p w:rsidR="00551E68" w:rsidRPr="005A0839" w:rsidRDefault="00551E68" w:rsidP="005869B3">
      <w:pPr>
        <w:pStyle w:val="Voetnoottekst"/>
        <w:jc w:val="both"/>
        <w:rPr>
          <w:lang w:val="en-US"/>
        </w:rPr>
      </w:pPr>
      <w:r>
        <w:rPr>
          <w:rStyle w:val="Voetnootmarkering"/>
        </w:rPr>
        <w:footnoteRef/>
      </w:r>
      <w:r w:rsidRPr="0034510F">
        <w:rPr>
          <w:lang w:val="fr-FR"/>
        </w:rPr>
        <w:t xml:space="preserve"> CEDAW CO </w:t>
      </w:r>
      <w:proofErr w:type="spellStart"/>
      <w:r w:rsidRPr="0034510F">
        <w:rPr>
          <w:lang w:val="fr-FR"/>
        </w:rPr>
        <w:t>Australia</w:t>
      </w:r>
      <w:proofErr w:type="spellEnd"/>
      <w:r w:rsidRPr="0034510F">
        <w:rPr>
          <w:lang w:val="fr-FR"/>
        </w:rPr>
        <w:t>, A/52/38/</w:t>
      </w:r>
      <w:proofErr w:type="spellStart"/>
      <w:r w:rsidRPr="0034510F">
        <w:rPr>
          <w:lang w:val="fr-FR"/>
        </w:rPr>
        <w:t>Rev</w:t>
      </w:r>
      <w:proofErr w:type="spellEnd"/>
      <w:r w:rsidRPr="0034510F">
        <w:rPr>
          <w:lang w:val="fr-FR"/>
        </w:rPr>
        <w:t xml:space="preserve">. 1 (1997), para. 396; CEDAW CO Jordan, A/55/38 (2000), para. </w:t>
      </w:r>
      <w:r w:rsidRPr="001D6B83">
        <w:rPr>
          <w:lang w:val="en-US"/>
        </w:rPr>
        <w:t xml:space="preserve">185; </w:t>
      </w:r>
      <w:r>
        <w:rPr>
          <w:lang w:val="en-US"/>
        </w:rPr>
        <w:t xml:space="preserve">CEDAW </w:t>
      </w:r>
      <w:r w:rsidRPr="001D6B83">
        <w:rPr>
          <w:lang w:val="en-US"/>
        </w:rPr>
        <w:t>CO New Zealand, A/53/38 (1998)</w:t>
      </w:r>
      <w:r>
        <w:rPr>
          <w:lang w:val="en-US"/>
        </w:rPr>
        <w:t xml:space="preserve">, para. 271. </w:t>
      </w:r>
    </w:p>
  </w:footnote>
  <w:footnote w:id="557">
    <w:p w:rsidR="00551E68" w:rsidRPr="00F56ACD" w:rsidRDefault="00551E68" w:rsidP="005869B3">
      <w:pPr>
        <w:pStyle w:val="Voetnoottekst"/>
        <w:jc w:val="both"/>
        <w:rPr>
          <w:lang w:val="en-US"/>
        </w:rPr>
      </w:pPr>
      <w:r>
        <w:rPr>
          <w:rStyle w:val="Voetnootmarkering"/>
        </w:rPr>
        <w:footnoteRef/>
      </w:r>
      <w:r w:rsidRPr="00F56ACD">
        <w:rPr>
          <w:lang w:val="en-US"/>
        </w:rPr>
        <w:t xml:space="preserve"> CE</w:t>
      </w:r>
      <w:r>
        <w:rPr>
          <w:lang w:val="en-US"/>
        </w:rPr>
        <w:t xml:space="preserve">DAW </w:t>
      </w:r>
      <w:r w:rsidRPr="00F56ACD">
        <w:rPr>
          <w:lang w:val="en-US"/>
        </w:rPr>
        <w:t>CO New Zealand, A/53/38 (1998)</w:t>
      </w:r>
      <w:r>
        <w:rPr>
          <w:lang w:val="en-US"/>
        </w:rPr>
        <w:t xml:space="preserve">, paras 266-267; CEDAW </w:t>
      </w:r>
      <w:r w:rsidRPr="00F56ACD">
        <w:rPr>
          <w:lang w:val="en-US"/>
        </w:rPr>
        <w:t>CO Switzerland,</w:t>
      </w:r>
      <w:r>
        <w:rPr>
          <w:lang w:val="en-US"/>
        </w:rPr>
        <w:t xml:space="preserve"> A/58/38 (2003), paras 132-133. </w:t>
      </w:r>
    </w:p>
  </w:footnote>
  <w:footnote w:id="558">
    <w:p w:rsidR="00551E68" w:rsidRDefault="00551E68" w:rsidP="005869B3">
      <w:pPr>
        <w:pStyle w:val="Voetnoottekst"/>
        <w:jc w:val="both"/>
      </w:pPr>
      <w:r>
        <w:rPr>
          <w:rStyle w:val="Voetnootmarkering"/>
        </w:rPr>
        <w:footnoteRef/>
      </w:r>
      <w:r>
        <w:t xml:space="preserve"> </w:t>
      </w:r>
      <w:proofErr w:type="spellStart"/>
      <w:r>
        <w:t>Article</w:t>
      </w:r>
      <w:proofErr w:type="spellEnd"/>
      <w:r>
        <w:t xml:space="preserve"> 11(2) b) CEDAW. </w:t>
      </w:r>
    </w:p>
  </w:footnote>
  <w:footnote w:id="559">
    <w:p w:rsidR="00551E68" w:rsidRPr="00EA209A" w:rsidRDefault="00551E68" w:rsidP="005869B3">
      <w:pPr>
        <w:pStyle w:val="Voetnoottekst"/>
        <w:jc w:val="both"/>
      </w:pPr>
      <w:r>
        <w:rPr>
          <w:rStyle w:val="Voetnootmarkering"/>
        </w:rPr>
        <w:footnoteRef/>
      </w:r>
      <w:r>
        <w:t xml:space="preserve"> </w:t>
      </w:r>
      <w:proofErr w:type="spellStart"/>
      <w:r w:rsidRPr="00BB4141">
        <w:t>Burri</w:t>
      </w:r>
      <w:proofErr w:type="spellEnd"/>
      <w:r w:rsidRPr="00BB4141">
        <w:t xml:space="preserve"> S., </w:t>
      </w:r>
      <w:r w:rsidRPr="00BB4141">
        <w:rPr>
          <w:i/>
        </w:rPr>
        <w:t>Tijd delen: Deeltijd, gelijkheid en gender in Europees- en nationaalrechtelijk perspectief,</w:t>
      </w:r>
      <w:r w:rsidRPr="00BB4141">
        <w:t xml:space="preserve"> Antwerpen, Kluwer, 2000</w:t>
      </w:r>
      <w:r>
        <w:t xml:space="preserve">, 182-183; </w:t>
      </w:r>
      <w:r w:rsidRPr="0096371C">
        <w:t xml:space="preserve">Cremers E., Monster W. </w:t>
      </w:r>
      <w:proofErr w:type="spellStart"/>
      <w:r w:rsidRPr="0096371C">
        <w:t>and</w:t>
      </w:r>
      <w:proofErr w:type="spellEnd"/>
      <w:r w:rsidRPr="0096371C">
        <w:t xml:space="preserve"> Willems L., </w:t>
      </w:r>
      <w:r w:rsidRPr="0096371C">
        <w:rPr>
          <w:i/>
        </w:rPr>
        <w:t>Vrouwenverdrag, moederschap, ouderschap en arbeid</w:t>
      </w:r>
      <w:r w:rsidRPr="0096371C">
        <w:t>, Den Haag, Elsevier, 1998,</w:t>
      </w:r>
      <w:r>
        <w:t xml:space="preserve"> 109; </w:t>
      </w:r>
      <w:proofErr w:type="spellStart"/>
      <w:r>
        <w:t>Dierx</w:t>
      </w:r>
      <w:proofErr w:type="spellEnd"/>
      <w:r>
        <w:t xml:space="preserve"> R. en</w:t>
      </w:r>
      <w:r w:rsidRPr="00EA209A">
        <w:t xml:space="preserve"> Hut B., “Verslag van de workshop van het Symposium ‘Handen en Voeten aan het Vrouwenverdrag”, </w:t>
      </w:r>
      <w:r w:rsidRPr="00EA209A">
        <w:rPr>
          <w:i/>
        </w:rPr>
        <w:t>Nemesis</w:t>
      </w:r>
      <w:r w:rsidRPr="00EA209A">
        <w:t xml:space="preserve"> 1995, 19</w:t>
      </w:r>
      <w:r>
        <w:t xml:space="preserve">. </w:t>
      </w:r>
    </w:p>
  </w:footnote>
  <w:footnote w:id="560">
    <w:p w:rsidR="00551E68" w:rsidRPr="00546B7C" w:rsidRDefault="00551E68" w:rsidP="005869B3">
      <w:pPr>
        <w:pStyle w:val="Voetnoottekst"/>
        <w:jc w:val="both"/>
        <w:rPr>
          <w:lang w:val="en-US"/>
        </w:rPr>
      </w:pPr>
      <w:r>
        <w:rPr>
          <w:rStyle w:val="Voetnootmarkering"/>
        </w:rPr>
        <w:footnoteRef/>
      </w:r>
      <w:r w:rsidRPr="00546B7C">
        <w:rPr>
          <w:lang w:val="en-US"/>
        </w:rPr>
        <w:t xml:space="preserve"> CEDAW CO Democratic Republic of the Congo, </w:t>
      </w:r>
      <w:r>
        <w:rPr>
          <w:lang w:val="en-US"/>
        </w:rPr>
        <w:t xml:space="preserve">A/55/38 (2000), para. 225. </w:t>
      </w:r>
    </w:p>
  </w:footnote>
  <w:footnote w:id="561">
    <w:p w:rsidR="00551E68" w:rsidRPr="00AE1D08" w:rsidRDefault="00551E68" w:rsidP="005869B3">
      <w:pPr>
        <w:pStyle w:val="Voetnoottekst"/>
        <w:jc w:val="both"/>
        <w:rPr>
          <w:lang w:val="en-US"/>
        </w:rPr>
      </w:pPr>
      <w:r>
        <w:rPr>
          <w:rStyle w:val="Voetnootmarkering"/>
        </w:rPr>
        <w:footnoteRef/>
      </w:r>
      <w:r w:rsidRPr="00AE1D08">
        <w:rPr>
          <w:lang w:val="en-US"/>
        </w:rPr>
        <w:t xml:space="preserve"> </w:t>
      </w:r>
      <w:r>
        <w:rPr>
          <w:lang w:val="en-US"/>
        </w:rPr>
        <w:t xml:space="preserve">CEDAW </w:t>
      </w:r>
      <w:r w:rsidRPr="00AE1D08">
        <w:rPr>
          <w:lang w:val="en-US"/>
        </w:rPr>
        <w:t>CO Jordan, A/55/38 (2000), para. 185.</w:t>
      </w:r>
    </w:p>
  </w:footnote>
  <w:footnote w:id="562">
    <w:p w:rsidR="00551E68" w:rsidRPr="002958DE" w:rsidRDefault="00551E68" w:rsidP="005869B3">
      <w:pPr>
        <w:pStyle w:val="Voetnoottekst"/>
        <w:jc w:val="both"/>
        <w:rPr>
          <w:u w:val="single"/>
          <w:lang w:val="en-US"/>
        </w:rPr>
      </w:pPr>
      <w:r>
        <w:rPr>
          <w:rStyle w:val="Voetnootmarkering"/>
        </w:rPr>
        <w:footnoteRef/>
      </w:r>
      <w:r>
        <w:rPr>
          <w:lang w:val="en-US"/>
        </w:rPr>
        <w:t xml:space="preserve"> </w:t>
      </w:r>
      <w:proofErr w:type="spellStart"/>
      <w:r>
        <w:rPr>
          <w:lang w:val="en-US"/>
        </w:rPr>
        <w:t>Foubert</w:t>
      </w:r>
      <w:proofErr w:type="spellEnd"/>
      <w:r>
        <w:rPr>
          <w:lang w:val="en-US"/>
        </w:rPr>
        <w:t xml:space="preserve"> P., op. cit., 51-53; </w:t>
      </w:r>
      <w:r w:rsidRPr="009E516F">
        <w:rPr>
          <w:lang w:val="en-US"/>
        </w:rPr>
        <w:t xml:space="preserve">Kaufman N., “An analysis of Gender Based Treaty law: Contemporary Developments in Historical Perspective”, </w:t>
      </w:r>
      <w:proofErr w:type="spellStart"/>
      <w:r w:rsidRPr="009E516F">
        <w:rPr>
          <w:i/>
          <w:lang w:val="en-US"/>
        </w:rPr>
        <w:t>Hum.Rts.Q</w:t>
      </w:r>
      <w:proofErr w:type="spellEnd"/>
      <w:r w:rsidRPr="009E516F">
        <w:rPr>
          <w:i/>
          <w:lang w:val="en-US"/>
        </w:rPr>
        <w:t>.</w:t>
      </w:r>
      <w:r w:rsidRPr="009E516F">
        <w:rPr>
          <w:lang w:val="en-US"/>
        </w:rPr>
        <w:t xml:space="preserve"> 1986, </w:t>
      </w:r>
      <w:r>
        <w:rPr>
          <w:lang w:val="en-US"/>
        </w:rPr>
        <w:t xml:space="preserve">73; </w:t>
      </w:r>
      <w:proofErr w:type="spellStart"/>
      <w:r w:rsidRPr="002958DE">
        <w:rPr>
          <w:lang w:val="en-US"/>
        </w:rPr>
        <w:t>Lijnzaad</w:t>
      </w:r>
      <w:proofErr w:type="spellEnd"/>
      <w:r w:rsidRPr="002958DE">
        <w:rPr>
          <w:lang w:val="en-US"/>
        </w:rPr>
        <w:t xml:space="preserve"> L., “Het </w:t>
      </w:r>
      <w:proofErr w:type="spellStart"/>
      <w:r w:rsidRPr="002958DE">
        <w:rPr>
          <w:lang w:val="en-US"/>
        </w:rPr>
        <w:t>kussen</w:t>
      </w:r>
      <w:proofErr w:type="spellEnd"/>
      <w:r w:rsidRPr="002958DE">
        <w:rPr>
          <w:lang w:val="en-US"/>
        </w:rPr>
        <w:t xml:space="preserve"> van </w:t>
      </w:r>
      <w:proofErr w:type="spellStart"/>
      <w:r w:rsidRPr="002958DE">
        <w:rPr>
          <w:lang w:val="en-US"/>
        </w:rPr>
        <w:t>een</w:t>
      </w:r>
      <w:proofErr w:type="spellEnd"/>
      <w:r w:rsidRPr="002958DE">
        <w:rPr>
          <w:lang w:val="en-US"/>
        </w:rPr>
        <w:t xml:space="preserve"> </w:t>
      </w:r>
      <w:proofErr w:type="spellStart"/>
      <w:r w:rsidRPr="002958DE">
        <w:rPr>
          <w:lang w:val="en-US"/>
        </w:rPr>
        <w:t>kikker</w:t>
      </w:r>
      <w:proofErr w:type="spellEnd"/>
      <w:r w:rsidRPr="002958DE">
        <w:rPr>
          <w:lang w:val="en-US"/>
        </w:rPr>
        <w:t xml:space="preserve">”, </w:t>
      </w:r>
      <w:r w:rsidRPr="002958DE">
        <w:rPr>
          <w:i/>
          <w:lang w:val="en-US"/>
        </w:rPr>
        <w:t>Nemesis</w:t>
      </w:r>
      <w:r w:rsidRPr="002958DE">
        <w:rPr>
          <w:lang w:val="en-US"/>
        </w:rPr>
        <w:t xml:space="preserve"> 1991,</w:t>
      </w:r>
      <w:r>
        <w:rPr>
          <w:lang w:val="en-US"/>
        </w:rPr>
        <w:t xml:space="preserve"> </w:t>
      </w:r>
      <w:r w:rsidRPr="002958DE">
        <w:rPr>
          <w:lang w:val="en-US"/>
        </w:rPr>
        <w:t>7</w:t>
      </w:r>
      <w:r>
        <w:rPr>
          <w:lang w:val="en-US"/>
        </w:rPr>
        <w:t xml:space="preserve">; </w:t>
      </w:r>
      <w:r w:rsidRPr="002958DE">
        <w:rPr>
          <w:lang w:val="en-US"/>
        </w:rPr>
        <w:t xml:space="preserve">Monster C., </w:t>
      </w:r>
      <w:proofErr w:type="spellStart"/>
      <w:r w:rsidRPr="002958DE">
        <w:rPr>
          <w:i/>
          <w:lang w:val="en-US"/>
        </w:rPr>
        <w:t>Bescherming</w:t>
      </w:r>
      <w:proofErr w:type="spellEnd"/>
      <w:r w:rsidRPr="002958DE">
        <w:rPr>
          <w:i/>
          <w:lang w:val="en-US"/>
        </w:rPr>
        <w:t xml:space="preserve"> van het </w:t>
      </w:r>
      <w:proofErr w:type="spellStart"/>
      <w:r w:rsidRPr="002958DE">
        <w:rPr>
          <w:i/>
          <w:lang w:val="en-US"/>
        </w:rPr>
        <w:t>moederschap</w:t>
      </w:r>
      <w:proofErr w:type="spellEnd"/>
      <w:r w:rsidRPr="002958DE">
        <w:rPr>
          <w:lang w:val="en-US"/>
        </w:rPr>
        <w:t>, Nijmege</w:t>
      </w:r>
      <w:r>
        <w:rPr>
          <w:lang w:val="en-US"/>
        </w:rPr>
        <w:t xml:space="preserve">n, </w:t>
      </w:r>
      <w:proofErr w:type="spellStart"/>
      <w:r>
        <w:rPr>
          <w:lang w:val="en-US"/>
        </w:rPr>
        <w:t>Ars</w:t>
      </w:r>
      <w:proofErr w:type="spellEnd"/>
      <w:r>
        <w:rPr>
          <w:lang w:val="en-US"/>
        </w:rPr>
        <w:t xml:space="preserve"> </w:t>
      </w:r>
      <w:proofErr w:type="spellStart"/>
      <w:r>
        <w:rPr>
          <w:lang w:val="en-US"/>
        </w:rPr>
        <w:t>Aequi</w:t>
      </w:r>
      <w:proofErr w:type="spellEnd"/>
      <w:r>
        <w:rPr>
          <w:lang w:val="en-US"/>
        </w:rPr>
        <w:t xml:space="preserve"> </w:t>
      </w:r>
      <w:proofErr w:type="spellStart"/>
      <w:r>
        <w:rPr>
          <w:lang w:val="en-US"/>
        </w:rPr>
        <w:t>Libri</w:t>
      </w:r>
      <w:proofErr w:type="spellEnd"/>
      <w:r>
        <w:rPr>
          <w:lang w:val="en-US"/>
        </w:rPr>
        <w:t xml:space="preserve">, 1995, 11-12. </w:t>
      </w:r>
      <w:r w:rsidRPr="002958DE">
        <w:rPr>
          <w:lang w:val="en-US"/>
        </w:rPr>
        <w:t xml:space="preserve"> </w:t>
      </w:r>
    </w:p>
  </w:footnote>
  <w:footnote w:id="563">
    <w:p w:rsidR="00551E68" w:rsidRPr="00CB410E" w:rsidRDefault="00551E68" w:rsidP="005869B3">
      <w:pPr>
        <w:pStyle w:val="Voetnoottekst"/>
        <w:jc w:val="both"/>
        <w:rPr>
          <w:b/>
          <w:u w:val="single"/>
          <w:lang w:val="en-GB"/>
        </w:rPr>
      </w:pPr>
      <w:r>
        <w:rPr>
          <w:rStyle w:val="Voetnootmarkering"/>
        </w:rPr>
        <w:footnoteRef/>
      </w:r>
      <w:r w:rsidRPr="005C269A">
        <w:rPr>
          <w:lang w:val="en-US"/>
        </w:rPr>
        <w:t xml:space="preserve"> </w:t>
      </w:r>
      <w:proofErr w:type="spellStart"/>
      <w:r w:rsidRPr="005C269A">
        <w:rPr>
          <w:lang w:val="en-US"/>
        </w:rPr>
        <w:t>Cremers</w:t>
      </w:r>
      <w:proofErr w:type="spellEnd"/>
      <w:r w:rsidRPr="005C269A">
        <w:rPr>
          <w:lang w:val="en-US"/>
        </w:rPr>
        <w:t xml:space="preserve"> E., Monster W. and </w:t>
      </w:r>
      <w:proofErr w:type="spellStart"/>
      <w:r w:rsidRPr="005C269A">
        <w:rPr>
          <w:lang w:val="en-US"/>
        </w:rPr>
        <w:t>Willems</w:t>
      </w:r>
      <w:proofErr w:type="spellEnd"/>
      <w:r w:rsidRPr="005C269A">
        <w:rPr>
          <w:lang w:val="en-US"/>
        </w:rPr>
        <w:t xml:space="preserve"> L., op.</w:t>
      </w:r>
      <w:r>
        <w:rPr>
          <w:lang w:val="en-US"/>
        </w:rPr>
        <w:t xml:space="preserve"> cit., 47; </w:t>
      </w:r>
      <w:proofErr w:type="spellStart"/>
      <w:r w:rsidRPr="00CB410E">
        <w:rPr>
          <w:lang w:val="en-GB"/>
        </w:rPr>
        <w:t>Fredman</w:t>
      </w:r>
      <w:proofErr w:type="spellEnd"/>
      <w:r w:rsidRPr="00CB410E">
        <w:rPr>
          <w:lang w:val="en-GB"/>
        </w:rPr>
        <w:t xml:space="preserve"> S., </w:t>
      </w:r>
      <w:r w:rsidRPr="00CB410E">
        <w:rPr>
          <w:i/>
          <w:lang w:val="en-GB"/>
        </w:rPr>
        <w:t>Women and the Law</w:t>
      </w:r>
      <w:r>
        <w:rPr>
          <w:lang w:val="en-GB"/>
        </w:rPr>
        <w:t xml:space="preserve">, Oxford, Clarendon Press, 1997, 192. </w:t>
      </w:r>
    </w:p>
  </w:footnote>
  <w:footnote w:id="564">
    <w:p w:rsidR="00551E68" w:rsidRPr="00411283" w:rsidRDefault="00551E68" w:rsidP="005869B3">
      <w:pPr>
        <w:pStyle w:val="Voetnoottekst"/>
        <w:jc w:val="both"/>
        <w:rPr>
          <w:lang w:val="en-US"/>
        </w:rPr>
      </w:pPr>
      <w:r>
        <w:rPr>
          <w:rStyle w:val="Voetnootmarkering"/>
        </w:rPr>
        <w:footnoteRef/>
      </w:r>
      <w:r w:rsidRPr="0074455D">
        <w:rPr>
          <w:lang w:val="de-DE"/>
        </w:rPr>
        <w:t xml:space="preserve"> ECJ C-184/83, </w:t>
      </w:r>
      <w:r w:rsidRPr="0074455D">
        <w:rPr>
          <w:i/>
          <w:lang w:val="de-DE"/>
        </w:rPr>
        <w:t>Ulrich Hofmann v. Barmer Ersatzkasse</w:t>
      </w:r>
      <w:r w:rsidRPr="0074455D">
        <w:rPr>
          <w:lang w:val="de-DE"/>
        </w:rPr>
        <w:t>, 1984</w:t>
      </w:r>
      <w:r>
        <w:rPr>
          <w:lang w:val="de-DE"/>
        </w:rPr>
        <w:t xml:space="preserve">, </w:t>
      </w:r>
      <w:proofErr w:type="spellStart"/>
      <w:r>
        <w:rPr>
          <w:lang w:val="de-DE"/>
        </w:rPr>
        <w:t>para</w:t>
      </w:r>
      <w:proofErr w:type="spellEnd"/>
      <w:r>
        <w:rPr>
          <w:lang w:val="de-DE"/>
        </w:rPr>
        <w:t xml:space="preserve">. </w:t>
      </w:r>
      <w:r w:rsidRPr="00096DFA">
        <w:rPr>
          <w:lang w:val="en-US"/>
        </w:rPr>
        <w:t>25</w:t>
      </w:r>
      <w:r>
        <w:rPr>
          <w:lang w:val="en-US"/>
        </w:rPr>
        <w:t xml:space="preserve">. Confirmed in: </w:t>
      </w:r>
      <w:r w:rsidRPr="00096DFA">
        <w:rPr>
          <w:lang w:val="en-US"/>
        </w:rPr>
        <w:t xml:space="preserve">ECJ C-411/96, </w:t>
      </w:r>
      <w:r w:rsidRPr="00096DFA">
        <w:rPr>
          <w:i/>
          <w:lang w:val="en-US"/>
        </w:rPr>
        <w:t>Margaret Boyle and other v. Equal Opportunities Commission</w:t>
      </w:r>
      <w:r w:rsidRPr="00096DFA">
        <w:rPr>
          <w:lang w:val="en-US"/>
        </w:rPr>
        <w:t>, 1998</w:t>
      </w:r>
      <w:r>
        <w:rPr>
          <w:lang w:val="en-US"/>
        </w:rPr>
        <w:t xml:space="preserve">, para. 41; </w:t>
      </w:r>
      <w:r w:rsidRPr="00096DFA">
        <w:rPr>
          <w:lang w:val="en-US"/>
        </w:rPr>
        <w:t xml:space="preserve">ECJ C-136/95, </w:t>
      </w:r>
      <w:r w:rsidRPr="00096DFA">
        <w:rPr>
          <w:i/>
          <w:lang w:val="en-US"/>
        </w:rPr>
        <w:t xml:space="preserve">CNAVTS v. </w:t>
      </w:r>
      <w:proofErr w:type="spellStart"/>
      <w:r w:rsidRPr="00096DFA">
        <w:rPr>
          <w:i/>
          <w:lang w:val="en-US"/>
        </w:rPr>
        <w:t>Evelyne</w:t>
      </w:r>
      <w:proofErr w:type="spellEnd"/>
      <w:r w:rsidRPr="00096DFA">
        <w:rPr>
          <w:i/>
          <w:lang w:val="en-US"/>
        </w:rPr>
        <w:t xml:space="preserve"> </w:t>
      </w:r>
      <w:proofErr w:type="spellStart"/>
      <w:r w:rsidRPr="00096DFA">
        <w:rPr>
          <w:i/>
          <w:lang w:val="en-US"/>
        </w:rPr>
        <w:t>Thibault</w:t>
      </w:r>
      <w:proofErr w:type="spellEnd"/>
      <w:r w:rsidRPr="00096DFA">
        <w:rPr>
          <w:lang w:val="en-US"/>
        </w:rPr>
        <w:t xml:space="preserve">, 1998, para. </w:t>
      </w:r>
      <w:r w:rsidRPr="003B3781">
        <w:rPr>
          <w:lang w:val="en-US"/>
        </w:rPr>
        <w:t xml:space="preserve">25; ECJ C-320/01, </w:t>
      </w:r>
      <w:proofErr w:type="spellStart"/>
      <w:r w:rsidRPr="003B3781">
        <w:rPr>
          <w:i/>
          <w:lang w:val="en-US"/>
        </w:rPr>
        <w:t>Wiebke</w:t>
      </w:r>
      <w:proofErr w:type="spellEnd"/>
      <w:r w:rsidRPr="003B3781">
        <w:rPr>
          <w:i/>
          <w:lang w:val="en-US"/>
        </w:rPr>
        <w:t xml:space="preserve"> Busch v. </w:t>
      </w:r>
      <w:proofErr w:type="spellStart"/>
      <w:r w:rsidRPr="003B3781">
        <w:rPr>
          <w:i/>
          <w:lang w:val="en-US"/>
        </w:rPr>
        <w:t>Klinikum</w:t>
      </w:r>
      <w:proofErr w:type="spellEnd"/>
      <w:r w:rsidRPr="003B3781">
        <w:rPr>
          <w:i/>
          <w:lang w:val="en-US"/>
        </w:rPr>
        <w:t xml:space="preserve"> </w:t>
      </w:r>
      <w:proofErr w:type="spellStart"/>
      <w:r w:rsidRPr="003B3781">
        <w:rPr>
          <w:i/>
          <w:lang w:val="en-US"/>
        </w:rPr>
        <w:t>Neustadt</w:t>
      </w:r>
      <w:proofErr w:type="spellEnd"/>
      <w:r w:rsidRPr="003B3781">
        <w:rPr>
          <w:i/>
          <w:lang w:val="en-US"/>
        </w:rPr>
        <w:t xml:space="preserve"> GmbH</w:t>
      </w:r>
      <w:r w:rsidRPr="003B3781">
        <w:rPr>
          <w:lang w:val="en-US"/>
        </w:rPr>
        <w:t xml:space="preserve">, 2003, para. </w:t>
      </w:r>
      <w:r w:rsidRPr="00096DFA">
        <w:rPr>
          <w:lang w:val="de-DE"/>
        </w:rPr>
        <w:t>42;</w:t>
      </w:r>
      <w:r>
        <w:rPr>
          <w:lang w:val="de-DE"/>
        </w:rPr>
        <w:t xml:space="preserve"> </w:t>
      </w:r>
      <w:r w:rsidRPr="00995C45">
        <w:rPr>
          <w:lang w:val="de-DE"/>
        </w:rPr>
        <w:t xml:space="preserve">ECJ C-116/06, </w:t>
      </w:r>
      <w:r w:rsidRPr="00995C45">
        <w:rPr>
          <w:i/>
          <w:lang w:val="de-DE"/>
        </w:rPr>
        <w:t xml:space="preserve">Sari </w:t>
      </w:r>
      <w:proofErr w:type="spellStart"/>
      <w:r w:rsidRPr="00995C45">
        <w:rPr>
          <w:i/>
          <w:lang w:val="de-DE"/>
        </w:rPr>
        <w:t>Kiiski</w:t>
      </w:r>
      <w:proofErr w:type="spellEnd"/>
      <w:r w:rsidRPr="00995C45">
        <w:rPr>
          <w:i/>
          <w:lang w:val="de-DE"/>
        </w:rPr>
        <w:t xml:space="preserve"> v. </w:t>
      </w:r>
      <w:proofErr w:type="spellStart"/>
      <w:r w:rsidRPr="00995C45">
        <w:rPr>
          <w:i/>
          <w:lang w:val="de-DE"/>
        </w:rPr>
        <w:t>Tampereen</w:t>
      </w:r>
      <w:proofErr w:type="spellEnd"/>
      <w:r w:rsidRPr="00995C45">
        <w:rPr>
          <w:i/>
          <w:lang w:val="de-DE"/>
        </w:rPr>
        <w:t xml:space="preserve"> </w:t>
      </w:r>
      <w:proofErr w:type="spellStart"/>
      <w:r w:rsidRPr="00995C45">
        <w:rPr>
          <w:i/>
          <w:lang w:val="de-DE"/>
        </w:rPr>
        <w:t>kaupunki</w:t>
      </w:r>
      <w:proofErr w:type="spellEnd"/>
      <w:r w:rsidRPr="00995C45">
        <w:rPr>
          <w:lang w:val="de-DE"/>
        </w:rPr>
        <w:t>, 2007</w:t>
      </w:r>
      <w:r>
        <w:rPr>
          <w:lang w:val="de-DE"/>
        </w:rPr>
        <w:t xml:space="preserve">, </w:t>
      </w:r>
      <w:proofErr w:type="spellStart"/>
      <w:r>
        <w:rPr>
          <w:lang w:val="de-DE"/>
        </w:rPr>
        <w:t>para</w:t>
      </w:r>
      <w:proofErr w:type="spellEnd"/>
      <w:r>
        <w:rPr>
          <w:lang w:val="de-DE"/>
        </w:rPr>
        <w:t xml:space="preserve">. 46; </w:t>
      </w:r>
      <w:r w:rsidRPr="00096DFA">
        <w:rPr>
          <w:lang w:val="de-DE"/>
        </w:rPr>
        <w:t xml:space="preserve">ECJ C-194/08, </w:t>
      </w:r>
      <w:r w:rsidRPr="00096DFA">
        <w:rPr>
          <w:i/>
          <w:lang w:val="de-DE"/>
        </w:rPr>
        <w:t xml:space="preserve">Susanne </w:t>
      </w:r>
      <w:proofErr w:type="spellStart"/>
      <w:r w:rsidRPr="00096DFA">
        <w:rPr>
          <w:i/>
          <w:lang w:val="de-DE"/>
        </w:rPr>
        <w:t>Gassmayr</w:t>
      </w:r>
      <w:proofErr w:type="spellEnd"/>
      <w:r w:rsidRPr="00096DFA">
        <w:rPr>
          <w:i/>
          <w:lang w:val="de-DE"/>
        </w:rPr>
        <w:t xml:space="preserve"> v. Bundesminister </w:t>
      </w:r>
      <w:proofErr w:type="spellStart"/>
      <w:r w:rsidRPr="00096DFA">
        <w:rPr>
          <w:i/>
          <w:lang w:val="de-DE"/>
        </w:rPr>
        <w:t>fur</w:t>
      </w:r>
      <w:proofErr w:type="spellEnd"/>
      <w:r w:rsidRPr="00096DFA">
        <w:rPr>
          <w:i/>
          <w:lang w:val="de-DE"/>
        </w:rPr>
        <w:t xml:space="preserve"> Wissenschaft und Forschung</w:t>
      </w:r>
      <w:r w:rsidRPr="00096DFA">
        <w:rPr>
          <w:lang w:val="de-DE"/>
        </w:rPr>
        <w:t xml:space="preserve">, 2010, </w:t>
      </w:r>
      <w:proofErr w:type="spellStart"/>
      <w:r w:rsidRPr="00096DFA">
        <w:rPr>
          <w:lang w:val="de-DE"/>
        </w:rPr>
        <w:t>para</w:t>
      </w:r>
      <w:proofErr w:type="spellEnd"/>
      <w:r w:rsidRPr="00096DFA">
        <w:rPr>
          <w:lang w:val="de-DE"/>
        </w:rPr>
        <w:t xml:space="preserve">. </w:t>
      </w:r>
      <w:r w:rsidRPr="00411283">
        <w:rPr>
          <w:lang w:val="en-US"/>
        </w:rPr>
        <w:t xml:space="preserve">81.  </w:t>
      </w:r>
    </w:p>
  </w:footnote>
  <w:footnote w:id="565">
    <w:p w:rsidR="00551E68" w:rsidRPr="00020AE8" w:rsidRDefault="00551E68" w:rsidP="005869B3">
      <w:pPr>
        <w:pStyle w:val="Voetnoottekst"/>
        <w:jc w:val="both"/>
        <w:rPr>
          <w:i/>
          <w:lang w:val="en-US"/>
        </w:rPr>
      </w:pPr>
      <w:r>
        <w:rPr>
          <w:rStyle w:val="Voetnootmarkering"/>
        </w:rPr>
        <w:footnoteRef/>
      </w:r>
      <w:r>
        <w:rPr>
          <w:lang w:val="en-US"/>
        </w:rPr>
        <w:t xml:space="preserve"> </w:t>
      </w:r>
      <w:proofErr w:type="spellStart"/>
      <w:r w:rsidRPr="00016CC4">
        <w:rPr>
          <w:lang w:val="en-US"/>
        </w:rPr>
        <w:t>Claussen</w:t>
      </w:r>
      <w:proofErr w:type="spellEnd"/>
      <w:r w:rsidRPr="00016CC4">
        <w:rPr>
          <w:lang w:val="en-US"/>
        </w:rPr>
        <w:t xml:space="preserve"> C., “Incorporating women’s reality into legal neutrality in the European Community: the sex segregation of labor and the work-family nexus”, </w:t>
      </w:r>
      <w:r w:rsidRPr="00016CC4">
        <w:rPr>
          <w:i/>
          <w:lang w:val="en-US"/>
        </w:rPr>
        <w:t xml:space="preserve">Law and Policy in International Business </w:t>
      </w:r>
      <w:r w:rsidRPr="00016CC4">
        <w:rPr>
          <w:lang w:val="en-US"/>
        </w:rPr>
        <w:t>1991,</w:t>
      </w:r>
      <w:r>
        <w:rPr>
          <w:lang w:val="en-US"/>
        </w:rPr>
        <w:t xml:space="preserve"> 795; </w:t>
      </w:r>
      <w:r w:rsidRPr="00683544">
        <w:rPr>
          <w:lang w:val="en-US"/>
        </w:rPr>
        <w:t xml:space="preserve">do Rosario M., “Reconciling of Work and Family Life: Putting the fathers in context”, </w:t>
      </w:r>
      <w:r w:rsidRPr="00683544">
        <w:rPr>
          <w:i/>
          <w:lang w:val="en-US"/>
        </w:rPr>
        <w:t>Academy of European Law</w:t>
      </w:r>
      <w:r>
        <w:rPr>
          <w:lang w:val="en-US"/>
        </w:rPr>
        <w:t xml:space="preserve"> 2011, 4-5;</w:t>
      </w:r>
      <w:r>
        <w:rPr>
          <w:lang w:val="en-GB"/>
        </w:rPr>
        <w:t xml:space="preserve"> </w:t>
      </w:r>
      <w:proofErr w:type="spellStart"/>
      <w:r w:rsidRPr="00A377D5">
        <w:rPr>
          <w:lang w:val="en-GB"/>
        </w:rPr>
        <w:t>Fredman</w:t>
      </w:r>
      <w:proofErr w:type="spellEnd"/>
      <w:r w:rsidRPr="00A377D5">
        <w:rPr>
          <w:lang w:val="en-GB"/>
        </w:rPr>
        <w:t xml:space="preserve"> S., </w:t>
      </w:r>
      <w:r w:rsidRPr="00A377D5">
        <w:rPr>
          <w:i/>
          <w:lang w:val="en-GB"/>
        </w:rPr>
        <w:t>Women and the Law</w:t>
      </w:r>
      <w:r w:rsidRPr="00A377D5">
        <w:rPr>
          <w:lang w:val="en-GB"/>
        </w:rPr>
        <w:t xml:space="preserve">, Oxford, Clarendon Press, </w:t>
      </w:r>
      <w:r>
        <w:rPr>
          <w:lang w:val="en-GB"/>
        </w:rPr>
        <w:t xml:space="preserve">1997, 195; </w:t>
      </w:r>
      <w:proofErr w:type="spellStart"/>
      <w:r w:rsidRPr="00A37BBE">
        <w:rPr>
          <w:lang w:val="en-GB"/>
        </w:rPr>
        <w:t>Hadj</w:t>
      </w:r>
      <w:proofErr w:type="spellEnd"/>
      <w:r w:rsidRPr="00A37BBE">
        <w:rPr>
          <w:lang w:val="en-GB"/>
        </w:rPr>
        <w:t xml:space="preserve"> </w:t>
      </w:r>
      <w:proofErr w:type="spellStart"/>
      <w:r w:rsidRPr="00A37BBE">
        <w:rPr>
          <w:lang w:val="en-GB"/>
        </w:rPr>
        <w:t>Ayed</w:t>
      </w:r>
      <w:proofErr w:type="spellEnd"/>
      <w:r w:rsidRPr="00A37BBE">
        <w:rPr>
          <w:lang w:val="en-GB"/>
        </w:rPr>
        <w:t xml:space="preserve"> S. and </w:t>
      </w:r>
      <w:proofErr w:type="spellStart"/>
      <w:r w:rsidRPr="00A37BBE">
        <w:rPr>
          <w:lang w:val="en-GB"/>
        </w:rPr>
        <w:t>Masselot</w:t>
      </w:r>
      <w:proofErr w:type="spellEnd"/>
      <w:r w:rsidRPr="00A37BBE">
        <w:rPr>
          <w:lang w:val="en-GB"/>
        </w:rPr>
        <w:t xml:space="preserve"> A., “Reconciliation between Work and Family Life in the EU: reshaping gendered structures?” </w:t>
      </w:r>
      <w:r w:rsidRPr="00272991">
        <w:rPr>
          <w:i/>
          <w:lang w:val="en-US"/>
        </w:rPr>
        <w:t xml:space="preserve">J. Soc. </w:t>
      </w:r>
      <w:proofErr w:type="spellStart"/>
      <w:r w:rsidRPr="00272991">
        <w:rPr>
          <w:i/>
          <w:lang w:val="en-US"/>
        </w:rPr>
        <w:t>Wel</w:t>
      </w:r>
      <w:proofErr w:type="spellEnd"/>
      <w:r w:rsidRPr="00272991">
        <w:rPr>
          <w:i/>
          <w:lang w:val="en-US"/>
        </w:rPr>
        <w:t>. &amp; Fam. L.</w:t>
      </w:r>
      <w:r w:rsidRPr="00272991">
        <w:rPr>
          <w:lang w:val="en-US"/>
        </w:rPr>
        <w:t xml:space="preserve"> 2004, 334; </w:t>
      </w:r>
      <w:proofErr w:type="spellStart"/>
      <w:r w:rsidRPr="00272991">
        <w:rPr>
          <w:lang w:val="en-US"/>
        </w:rPr>
        <w:t>Prechal</w:t>
      </w:r>
      <w:proofErr w:type="spellEnd"/>
      <w:r w:rsidRPr="00272991">
        <w:rPr>
          <w:lang w:val="en-US"/>
        </w:rPr>
        <w:t xml:space="preserve"> S., op. cit., 539; </w:t>
      </w:r>
      <w:r w:rsidRPr="00020AE8">
        <w:rPr>
          <w:lang w:val="en-US"/>
        </w:rPr>
        <w:t xml:space="preserve">Weldon-Johns M., “EU Work-Family Policies – Challenging Parental Roles or Reinforcing Gendered Stereotypes?”, </w:t>
      </w:r>
      <w:r w:rsidRPr="00020AE8">
        <w:rPr>
          <w:i/>
          <w:lang w:val="en-US"/>
        </w:rPr>
        <w:t xml:space="preserve">ELJ </w:t>
      </w:r>
      <w:r w:rsidRPr="00020AE8">
        <w:rPr>
          <w:lang w:val="en-US"/>
        </w:rPr>
        <w:t xml:space="preserve">2013, </w:t>
      </w:r>
      <w:r>
        <w:rPr>
          <w:lang w:val="en-US"/>
        </w:rPr>
        <w:t xml:space="preserve">6. </w:t>
      </w:r>
    </w:p>
  </w:footnote>
  <w:footnote w:id="566">
    <w:p w:rsidR="00551E68" w:rsidRPr="002C4B66" w:rsidRDefault="00551E68" w:rsidP="005869B3">
      <w:pPr>
        <w:pStyle w:val="Voetnoottekst"/>
        <w:jc w:val="both"/>
        <w:rPr>
          <w:lang w:val="en-US"/>
        </w:rPr>
      </w:pPr>
      <w:r>
        <w:rPr>
          <w:rStyle w:val="Voetnootmarkering"/>
        </w:rPr>
        <w:footnoteRef/>
      </w:r>
      <w:r>
        <w:rPr>
          <w:lang w:val="de-DE"/>
        </w:rPr>
        <w:t xml:space="preserve"> </w:t>
      </w:r>
      <w:r w:rsidRPr="0074455D">
        <w:rPr>
          <w:lang w:val="de-DE"/>
        </w:rPr>
        <w:t xml:space="preserve">ECJ C-184/83, </w:t>
      </w:r>
      <w:r w:rsidRPr="0074455D">
        <w:rPr>
          <w:i/>
          <w:lang w:val="de-DE"/>
        </w:rPr>
        <w:t>Ulrich Hofmann v. Barmer Ersatzkasse</w:t>
      </w:r>
      <w:r w:rsidRPr="0074455D">
        <w:rPr>
          <w:lang w:val="de-DE"/>
        </w:rPr>
        <w:t>, 1984</w:t>
      </w:r>
      <w:r>
        <w:rPr>
          <w:lang w:val="de-DE"/>
        </w:rPr>
        <w:t xml:space="preserve">, </w:t>
      </w:r>
      <w:proofErr w:type="spellStart"/>
      <w:r>
        <w:rPr>
          <w:lang w:val="de-DE"/>
        </w:rPr>
        <w:t>para</w:t>
      </w:r>
      <w:proofErr w:type="spellEnd"/>
      <w:r>
        <w:rPr>
          <w:lang w:val="de-DE"/>
        </w:rPr>
        <w:t xml:space="preserve">. </w:t>
      </w:r>
      <w:r w:rsidRPr="00C44789">
        <w:t xml:space="preserve">26; ECJ C-421/92, </w:t>
      </w:r>
      <w:proofErr w:type="spellStart"/>
      <w:r w:rsidRPr="00C44789">
        <w:rPr>
          <w:i/>
        </w:rPr>
        <w:t>Gabriele</w:t>
      </w:r>
      <w:proofErr w:type="spellEnd"/>
      <w:r w:rsidRPr="00C44789">
        <w:rPr>
          <w:i/>
        </w:rPr>
        <w:t xml:space="preserve"> </w:t>
      </w:r>
      <w:proofErr w:type="spellStart"/>
      <w:r w:rsidRPr="00C44789">
        <w:rPr>
          <w:i/>
        </w:rPr>
        <w:t>Habermann-Beltermann</w:t>
      </w:r>
      <w:proofErr w:type="spellEnd"/>
      <w:r w:rsidRPr="00C44789">
        <w:rPr>
          <w:i/>
        </w:rPr>
        <w:t xml:space="preserve"> v. </w:t>
      </w:r>
      <w:proofErr w:type="spellStart"/>
      <w:r w:rsidRPr="00C44789">
        <w:rPr>
          <w:i/>
        </w:rPr>
        <w:t>Arbeiterwohlfahrt</w:t>
      </w:r>
      <w:proofErr w:type="spellEnd"/>
      <w:r w:rsidRPr="00C44789">
        <w:t xml:space="preserve">, 1994, para. </w:t>
      </w:r>
      <w:r w:rsidRPr="002C4B66">
        <w:rPr>
          <w:lang w:val="en-US"/>
        </w:rPr>
        <w:t xml:space="preserve">22; Hervey T. and Shaw J., “Women, Work and care: Women’s dual role and double burden in EC sex equality law”, </w:t>
      </w:r>
      <w:r w:rsidRPr="002C4B66">
        <w:rPr>
          <w:i/>
          <w:lang w:val="en-US"/>
        </w:rPr>
        <w:t>JESP</w:t>
      </w:r>
      <w:r w:rsidRPr="002C4B66">
        <w:rPr>
          <w:lang w:val="en-US"/>
        </w:rPr>
        <w:t xml:space="preserve"> 1998,</w:t>
      </w:r>
      <w:r>
        <w:rPr>
          <w:lang w:val="en-US"/>
        </w:rPr>
        <w:t xml:space="preserve"> 51. </w:t>
      </w:r>
    </w:p>
  </w:footnote>
  <w:footnote w:id="567">
    <w:p w:rsidR="00551E68" w:rsidRPr="004718E7" w:rsidRDefault="00551E68" w:rsidP="005869B3">
      <w:pPr>
        <w:pStyle w:val="Voetnoottekst"/>
        <w:jc w:val="both"/>
      </w:pPr>
      <w:r>
        <w:rPr>
          <w:rStyle w:val="Voetnootmarkering"/>
        </w:rPr>
        <w:footnoteRef/>
      </w:r>
      <w:r w:rsidRPr="004718E7">
        <w:t xml:space="preserve"> </w:t>
      </w:r>
      <w:proofErr w:type="spellStart"/>
      <w:r>
        <w:t>Foubert</w:t>
      </w:r>
      <w:proofErr w:type="spellEnd"/>
      <w:r>
        <w:t xml:space="preserve"> </w:t>
      </w:r>
      <w:r w:rsidRPr="004718E7">
        <w:t xml:space="preserve">P., “Zwangerschaps- en bevallingsverlof: zegen of vloek?’ in Brems E. </w:t>
      </w:r>
      <w:proofErr w:type="spellStart"/>
      <w:r w:rsidRPr="004718E7">
        <w:t>an</w:t>
      </w:r>
      <w:r>
        <w:t>d</w:t>
      </w:r>
      <w:proofErr w:type="spellEnd"/>
      <w:r>
        <w:t xml:space="preserve"> Stevens L. (</w:t>
      </w:r>
      <w:proofErr w:type="spellStart"/>
      <w:r>
        <w:t>eds</w:t>
      </w:r>
      <w:proofErr w:type="spellEnd"/>
      <w:r>
        <w:t xml:space="preserve">.), op. </w:t>
      </w:r>
      <w:proofErr w:type="spellStart"/>
      <w:r>
        <w:t>cit</w:t>
      </w:r>
      <w:proofErr w:type="spellEnd"/>
      <w:r>
        <w:t>.</w:t>
      </w:r>
      <w:r w:rsidRPr="004718E7">
        <w:t xml:space="preserve">, 201; </w:t>
      </w:r>
      <w:proofErr w:type="spellStart"/>
      <w:r w:rsidRPr="004718E7">
        <w:t>Hervey</w:t>
      </w:r>
      <w:proofErr w:type="spellEnd"/>
      <w:r w:rsidRPr="004718E7">
        <w:t xml:space="preserve"> T. </w:t>
      </w:r>
      <w:proofErr w:type="spellStart"/>
      <w:r w:rsidRPr="004718E7">
        <w:t>and</w:t>
      </w:r>
      <w:proofErr w:type="spellEnd"/>
      <w:r w:rsidRPr="004718E7">
        <w:t xml:space="preserve"> Shaw J.,</w:t>
      </w:r>
      <w:r>
        <w:t xml:space="preserve"> op. </w:t>
      </w:r>
      <w:proofErr w:type="spellStart"/>
      <w:r>
        <w:t>cit</w:t>
      </w:r>
      <w:proofErr w:type="spellEnd"/>
      <w:r>
        <w:t xml:space="preserve">., 49; </w:t>
      </w:r>
      <w:r w:rsidRPr="000965F1">
        <w:t xml:space="preserve">Landau E. </w:t>
      </w:r>
      <w:proofErr w:type="spellStart"/>
      <w:r w:rsidRPr="000965F1">
        <w:t>and</w:t>
      </w:r>
      <w:proofErr w:type="spellEnd"/>
      <w:r w:rsidRPr="000965F1">
        <w:t xml:space="preserve"> </w:t>
      </w:r>
      <w:proofErr w:type="spellStart"/>
      <w:r>
        <w:t>Beigbeder</w:t>
      </w:r>
      <w:proofErr w:type="spellEnd"/>
      <w:r>
        <w:t xml:space="preserve"> Y., op. </w:t>
      </w:r>
      <w:proofErr w:type="spellStart"/>
      <w:r>
        <w:t>cit</w:t>
      </w:r>
      <w:proofErr w:type="spellEnd"/>
      <w:r>
        <w:t xml:space="preserve">., 115-116. </w:t>
      </w:r>
      <w:r w:rsidRPr="000965F1">
        <w:t xml:space="preserve"> </w:t>
      </w:r>
    </w:p>
  </w:footnote>
  <w:footnote w:id="568">
    <w:p w:rsidR="00551E68" w:rsidRPr="000965F1" w:rsidRDefault="00551E68" w:rsidP="005869B3">
      <w:pPr>
        <w:pStyle w:val="Voetnoottekst"/>
        <w:jc w:val="both"/>
        <w:rPr>
          <w:lang w:val="en-US"/>
        </w:rPr>
      </w:pPr>
      <w:r>
        <w:rPr>
          <w:rStyle w:val="Voetnootmarkering"/>
        </w:rPr>
        <w:footnoteRef/>
      </w:r>
      <w:r>
        <w:rPr>
          <w:lang w:val="it-IT"/>
        </w:rPr>
        <w:t xml:space="preserve"> </w:t>
      </w:r>
      <w:r w:rsidRPr="000C0DA1">
        <w:rPr>
          <w:lang w:val="it-IT"/>
        </w:rPr>
        <w:t xml:space="preserve">CEDAW CO Armenia, A/52/38/REV.1 (1997), para. </w:t>
      </w:r>
      <w:r w:rsidRPr="007937A1">
        <w:rPr>
          <w:lang w:val="it-IT"/>
        </w:rPr>
        <w:t>58; CEDAW CO Croatia, A/53/38 (1998), para 103; CEDAW CO Czech Republic, A/53/38 (1998), para. 196;</w:t>
      </w:r>
      <w:r w:rsidRPr="007937A1">
        <w:rPr>
          <w:sz w:val="24"/>
          <w:szCs w:val="24"/>
          <w:lang w:val="it-IT"/>
        </w:rPr>
        <w:t xml:space="preserve"> </w:t>
      </w:r>
      <w:r w:rsidRPr="007937A1">
        <w:rPr>
          <w:lang w:val="it-IT"/>
        </w:rPr>
        <w:t xml:space="preserve">CEDAW CO Kazakhstan, A/56/38 (2001), para. 101; CEDAW CO Slovakia, A/53/38 (1998), para. </w:t>
      </w:r>
      <w:r>
        <w:rPr>
          <w:lang w:val="en-US"/>
        </w:rPr>
        <w:t xml:space="preserve">74; </w:t>
      </w:r>
      <w:r w:rsidRPr="000965F1">
        <w:rPr>
          <w:lang w:val="en-US"/>
        </w:rPr>
        <w:t>CEDAW CO Turkmenistan, CEDAW/C/TKM/CO/3-4 (2012)</w:t>
      </w:r>
      <w:r>
        <w:rPr>
          <w:lang w:val="en-US"/>
        </w:rPr>
        <w:t xml:space="preserve">, paras 32-33; </w:t>
      </w:r>
      <w:r w:rsidRPr="000965F1">
        <w:rPr>
          <w:lang w:val="en-US"/>
        </w:rPr>
        <w:t>CEDAW CO Ukraine, A/51/38 (1996),</w:t>
      </w:r>
      <w:r>
        <w:rPr>
          <w:lang w:val="en-US"/>
        </w:rPr>
        <w:t xml:space="preserve"> para. </w:t>
      </w:r>
      <w:r w:rsidRPr="000965F1">
        <w:rPr>
          <w:lang w:val="en-US"/>
        </w:rPr>
        <w:t>283;</w:t>
      </w:r>
      <w:r w:rsidRPr="002C1F5C">
        <w:rPr>
          <w:sz w:val="24"/>
          <w:szCs w:val="24"/>
          <w:lang w:val="en-US"/>
        </w:rPr>
        <w:t xml:space="preserve"> </w:t>
      </w:r>
      <w:r>
        <w:rPr>
          <w:lang w:val="en-US"/>
        </w:rPr>
        <w:t xml:space="preserve">De Silva De </w:t>
      </w:r>
      <w:proofErr w:type="spellStart"/>
      <w:r>
        <w:rPr>
          <w:lang w:val="en-US"/>
        </w:rPr>
        <w:t>Alwis</w:t>
      </w:r>
      <w:proofErr w:type="spellEnd"/>
      <w:r>
        <w:rPr>
          <w:lang w:val="en-US"/>
        </w:rPr>
        <w:t xml:space="preserve"> R., op. cit., 316-317 and 333; </w:t>
      </w:r>
      <w:proofErr w:type="spellStart"/>
      <w:r w:rsidRPr="000965F1">
        <w:rPr>
          <w:lang w:val="en-US"/>
        </w:rPr>
        <w:t>Holtmaat</w:t>
      </w:r>
      <w:proofErr w:type="spellEnd"/>
      <w:r w:rsidRPr="000965F1">
        <w:rPr>
          <w:lang w:val="en-US"/>
        </w:rPr>
        <w:t xml:space="preserve"> R., “Article 5” in Freeman M., </w:t>
      </w:r>
      <w:proofErr w:type="spellStart"/>
      <w:r w:rsidRPr="000965F1">
        <w:rPr>
          <w:lang w:val="en-US"/>
        </w:rPr>
        <w:t>Chinkin</w:t>
      </w:r>
      <w:proofErr w:type="spellEnd"/>
      <w:r w:rsidRPr="000965F1">
        <w:rPr>
          <w:lang w:val="en-US"/>
        </w:rPr>
        <w:t xml:space="preserve"> C. and </w:t>
      </w:r>
      <w:proofErr w:type="spellStart"/>
      <w:r w:rsidRPr="000965F1">
        <w:rPr>
          <w:lang w:val="en-US"/>
        </w:rPr>
        <w:t>Beat</w:t>
      </w:r>
      <w:r>
        <w:rPr>
          <w:lang w:val="en-US"/>
        </w:rPr>
        <w:t>e</w:t>
      </w:r>
      <w:proofErr w:type="spellEnd"/>
      <w:r>
        <w:rPr>
          <w:lang w:val="en-US"/>
        </w:rPr>
        <w:t xml:space="preserve"> R. (eds.), op. cit., 157-158. </w:t>
      </w:r>
    </w:p>
  </w:footnote>
  <w:footnote w:id="569">
    <w:p w:rsidR="00551E68" w:rsidRPr="00A959EA" w:rsidRDefault="00551E68" w:rsidP="005869B3">
      <w:pPr>
        <w:pStyle w:val="Voetnoottekst"/>
        <w:jc w:val="both"/>
        <w:rPr>
          <w:lang w:val="en-GB"/>
        </w:rPr>
      </w:pPr>
      <w:r>
        <w:rPr>
          <w:rStyle w:val="Voetnootmarkering"/>
        </w:rPr>
        <w:footnoteRef/>
      </w:r>
      <w:r w:rsidRPr="00A959EA">
        <w:rPr>
          <w:lang w:val="en-US"/>
        </w:rPr>
        <w:t xml:space="preserve"> </w:t>
      </w:r>
      <w:r>
        <w:rPr>
          <w:lang w:val="en-US"/>
        </w:rPr>
        <w:t xml:space="preserve">Article 8(2) </w:t>
      </w:r>
      <w:r w:rsidRPr="00A959EA">
        <w:rPr>
          <w:lang w:val="en-GB"/>
        </w:rPr>
        <w:t>Council Directive 1</w:t>
      </w:r>
      <w:r>
        <w:rPr>
          <w:lang w:val="en-GB"/>
        </w:rPr>
        <w:t xml:space="preserve">992/85/EEC. </w:t>
      </w:r>
    </w:p>
  </w:footnote>
  <w:footnote w:id="570">
    <w:p w:rsidR="00551E68" w:rsidRPr="00A959EA" w:rsidRDefault="00551E68" w:rsidP="005869B3">
      <w:pPr>
        <w:pStyle w:val="Voetnoottekst"/>
        <w:jc w:val="both"/>
        <w:rPr>
          <w:lang w:val="en-US"/>
        </w:rPr>
      </w:pPr>
      <w:r>
        <w:rPr>
          <w:rStyle w:val="Voetnootmarkering"/>
        </w:rPr>
        <w:footnoteRef/>
      </w:r>
      <w:r>
        <w:rPr>
          <w:lang w:val="en-US"/>
        </w:rPr>
        <w:t xml:space="preserve"> </w:t>
      </w:r>
      <w:r w:rsidRPr="005F0748">
        <w:rPr>
          <w:lang w:val="en-US"/>
        </w:rPr>
        <w:t>Arti</w:t>
      </w:r>
      <w:r>
        <w:rPr>
          <w:lang w:val="en-US"/>
        </w:rPr>
        <w:t xml:space="preserve">cle 4(4) Convention no. 183; </w:t>
      </w:r>
      <w:r w:rsidRPr="005F0748">
        <w:rPr>
          <w:lang w:val="en-US"/>
        </w:rPr>
        <w:t>ESC Conclusions XVII-2, Latvia (2005), 488</w:t>
      </w:r>
      <w:r>
        <w:rPr>
          <w:lang w:val="en-US"/>
        </w:rPr>
        <w:t>.</w:t>
      </w:r>
    </w:p>
  </w:footnote>
  <w:footnote w:id="571">
    <w:p w:rsidR="00551E68" w:rsidRPr="00F7427E" w:rsidRDefault="00551E68" w:rsidP="005869B3">
      <w:pPr>
        <w:pStyle w:val="Voetnoottekst"/>
        <w:jc w:val="both"/>
        <w:rPr>
          <w:lang w:val="en-US"/>
        </w:rPr>
      </w:pPr>
      <w:r>
        <w:rPr>
          <w:rStyle w:val="Voetnootmarkering"/>
        </w:rPr>
        <w:footnoteRef/>
      </w:r>
      <w:r w:rsidRPr="00686DC6">
        <w:rPr>
          <w:lang w:val="en-US"/>
        </w:rPr>
        <w:t xml:space="preserve"> </w:t>
      </w:r>
      <w:r>
        <w:rPr>
          <w:lang w:val="en-US"/>
        </w:rPr>
        <w:t xml:space="preserve">See for example article 4(4) </w:t>
      </w:r>
      <w:r w:rsidRPr="00686DC6">
        <w:rPr>
          <w:lang w:val="en-US"/>
        </w:rPr>
        <w:t>ILO Convention no. 183;</w:t>
      </w:r>
      <w:r>
        <w:rPr>
          <w:lang w:val="en-US"/>
        </w:rPr>
        <w:t xml:space="preserve"> </w:t>
      </w:r>
      <w:r w:rsidRPr="00F7427E">
        <w:rPr>
          <w:lang w:val="en-US"/>
        </w:rPr>
        <w:t>RESC Conclusions, Statement of Interpretat</w:t>
      </w:r>
      <w:r>
        <w:rPr>
          <w:lang w:val="en-US"/>
        </w:rPr>
        <w:t xml:space="preserve">ion </w:t>
      </w:r>
      <w:proofErr w:type="spellStart"/>
      <w:r>
        <w:rPr>
          <w:lang w:val="en-US"/>
        </w:rPr>
        <w:t>on</w:t>
      </w:r>
      <w:proofErr w:type="spellEnd"/>
      <w:r>
        <w:rPr>
          <w:lang w:val="en-US"/>
        </w:rPr>
        <w:t xml:space="preserve"> Article 8(</w:t>
      </w:r>
      <w:r w:rsidRPr="00F7427E">
        <w:rPr>
          <w:lang w:val="en-US"/>
        </w:rPr>
        <w:t>1</w:t>
      </w:r>
      <w:r>
        <w:rPr>
          <w:lang w:val="en-US"/>
        </w:rPr>
        <w:t>)</w:t>
      </w:r>
      <w:r w:rsidRPr="00F7427E">
        <w:rPr>
          <w:lang w:val="en-US"/>
        </w:rPr>
        <w:t xml:space="preserve"> (2011)</w:t>
      </w:r>
      <w:r>
        <w:rPr>
          <w:lang w:val="en-US"/>
        </w:rPr>
        <w:t xml:space="preserve">, 9-10; </w:t>
      </w:r>
      <w:proofErr w:type="spellStart"/>
      <w:r w:rsidRPr="00F66B8C">
        <w:rPr>
          <w:lang w:val="en-US"/>
        </w:rPr>
        <w:t>Ciccia</w:t>
      </w:r>
      <w:proofErr w:type="spellEnd"/>
      <w:r w:rsidRPr="00F66B8C">
        <w:rPr>
          <w:lang w:val="en-US"/>
        </w:rPr>
        <w:t xml:space="preserve"> R. and </w:t>
      </w:r>
      <w:proofErr w:type="spellStart"/>
      <w:r w:rsidRPr="00F66B8C">
        <w:rPr>
          <w:lang w:val="en-US"/>
        </w:rPr>
        <w:t>Verloo</w:t>
      </w:r>
      <w:proofErr w:type="spellEnd"/>
      <w:r w:rsidRPr="00F66B8C">
        <w:rPr>
          <w:lang w:val="en-US"/>
        </w:rPr>
        <w:t xml:space="preserve"> M., “Parental leave regulations and the persistence of the male breadwinner model: using fuzzy-set ideal type analysis to assess gender equality in an enlarged Europe”, </w:t>
      </w:r>
      <w:r w:rsidRPr="00F66B8C">
        <w:rPr>
          <w:i/>
          <w:lang w:val="en-US"/>
        </w:rPr>
        <w:t>JESP</w:t>
      </w:r>
      <w:r w:rsidRPr="00F66B8C">
        <w:rPr>
          <w:lang w:val="en-US"/>
        </w:rPr>
        <w:t xml:space="preserve"> 2012, </w:t>
      </w:r>
      <w:r>
        <w:rPr>
          <w:lang w:val="en-US"/>
        </w:rPr>
        <w:t xml:space="preserve">511; </w:t>
      </w:r>
      <w:proofErr w:type="spellStart"/>
      <w:r w:rsidRPr="00686DC6">
        <w:rPr>
          <w:lang w:val="en-US"/>
        </w:rPr>
        <w:t>Cremers</w:t>
      </w:r>
      <w:proofErr w:type="spellEnd"/>
      <w:r w:rsidRPr="00686DC6">
        <w:rPr>
          <w:lang w:val="en-US"/>
        </w:rPr>
        <w:t xml:space="preserve"> E., Monster W. and </w:t>
      </w:r>
      <w:proofErr w:type="spellStart"/>
      <w:r w:rsidRPr="00686DC6">
        <w:rPr>
          <w:lang w:val="en-US"/>
        </w:rPr>
        <w:t>Willems</w:t>
      </w:r>
      <w:proofErr w:type="spellEnd"/>
      <w:r w:rsidRPr="00686DC6">
        <w:rPr>
          <w:lang w:val="en-US"/>
        </w:rPr>
        <w:t xml:space="preserve"> L.,</w:t>
      </w:r>
      <w:r>
        <w:rPr>
          <w:lang w:val="en-US"/>
        </w:rPr>
        <w:t xml:space="preserve"> op. cit.</w:t>
      </w:r>
      <w:r w:rsidRPr="00686DC6">
        <w:rPr>
          <w:lang w:val="en-US"/>
        </w:rPr>
        <w:t>, 104;</w:t>
      </w:r>
      <w:r>
        <w:rPr>
          <w:lang w:val="en-US"/>
        </w:rPr>
        <w:t xml:space="preserve"> </w:t>
      </w:r>
      <w:r w:rsidRPr="005208EA">
        <w:rPr>
          <w:lang w:val="en-US"/>
        </w:rPr>
        <w:t xml:space="preserve">International </w:t>
      </w:r>
      <w:proofErr w:type="spellStart"/>
      <w:r w:rsidRPr="005208EA">
        <w:rPr>
          <w:lang w:val="en-US"/>
        </w:rPr>
        <w:t>Labour</w:t>
      </w:r>
      <w:proofErr w:type="spellEnd"/>
      <w:r w:rsidRPr="005208EA">
        <w:rPr>
          <w:lang w:val="en-US"/>
        </w:rPr>
        <w:t xml:space="preserve"> Office, </w:t>
      </w:r>
      <w:r w:rsidRPr="005208EA">
        <w:rPr>
          <w:i/>
          <w:lang w:val="en-US"/>
        </w:rPr>
        <w:t>Maternity at Work: a review of national legislation</w:t>
      </w:r>
      <w:r w:rsidRPr="005208EA">
        <w:rPr>
          <w:lang w:val="en-US"/>
        </w:rPr>
        <w:t xml:space="preserve">, Geneva, International </w:t>
      </w:r>
      <w:proofErr w:type="spellStart"/>
      <w:r w:rsidRPr="005208EA">
        <w:rPr>
          <w:lang w:val="en-US"/>
        </w:rPr>
        <w:t>Labour</w:t>
      </w:r>
      <w:proofErr w:type="spellEnd"/>
      <w:r w:rsidRPr="005208EA">
        <w:rPr>
          <w:lang w:val="en-US"/>
        </w:rPr>
        <w:t xml:space="preserve"> Organization, 2010,</w:t>
      </w:r>
      <w:r>
        <w:rPr>
          <w:lang w:val="en-US"/>
        </w:rPr>
        <w:t xml:space="preserve"> 12; </w:t>
      </w:r>
      <w:proofErr w:type="spellStart"/>
      <w:r>
        <w:rPr>
          <w:lang w:val="en-GB"/>
        </w:rPr>
        <w:t>Mikkola</w:t>
      </w:r>
      <w:proofErr w:type="spellEnd"/>
      <w:r>
        <w:rPr>
          <w:lang w:val="en-GB"/>
        </w:rPr>
        <w:t xml:space="preserve"> M., op. cit., 456. </w:t>
      </w:r>
    </w:p>
  </w:footnote>
  <w:footnote w:id="572">
    <w:p w:rsidR="00551E68" w:rsidRPr="00882820" w:rsidRDefault="00551E68" w:rsidP="005869B3">
      <w:pPr>
        <w:pStyle w:val="Voetnoottekst"/>
        <w:jc w:val="both"/>
        <w:rPr>
          <w:u w:val="single"/>
          <w:lang w:val="en-US"/>
        </w:rPr>
      </w:pPr>
      <w:r>
        <w:rPr>
          <w:rStyle w:val="Voetnootmarkering"/>
        </w:rPr>
        <w:footnoteRef/>
      </w:r>
      <w:r>
        <w:rPr>
          <w:lang w:val="en-US"/>
        </w:rPr>
        <w:t xml:space="preserve"> </w:t>
      </w:r>
      <w:proofErr w:type="spellStart"/>
      <w:r w:rsidRPr="00882820">
        <w:rPr>
          <w:lang w:val="en-US"/>
        </w:rPr>
        <w:t>Simkin</w:t>
      </w:r>
      <w:proofErr w:type="spellEnd"/>
      <w:r w:rsidRPr="00882820">
        <w:rPr>
          <w:lang w:val="en-US"/>
        </w:rPr>
        <w:t xml:space="preserve"> P. and </w:t>
      </w:r>
      <w:proofErr w:type="spellStart"/>
      <w:r w:rsidRPr="00882820">
        <w:rPr>
          <w:lang w:val="en-US"/>
        </w:rPr>
        <w:t>Whalley</w:t>
      </w:r>
      <w:proofErr w:type="spellEnd"/>
      <w:r w:rsidRPr="00882820">
        <w:rPr>
          <w:lang w:val="en-US"/>
        </w:rPr>
        <w:t xml:space="preserve"> J., </w:t>
      </w:r>
      <w:r w:rsidRPr="00882820">
        <w:rPr>
          <w:i/>
          <w:lang w:val="en-US"/>
        </w:rPr>
        <w:t>Pregnancy, Childbirth and the Newborn: the complete guide</w:t>
      </w:r>
      <w:r w:rsidRPr="00882820">
        <w:rPr>
          <w:lang w:val="en-US"/>
        </w:rPr>
        <w:t>, Minne</w:t>
      </w:r>
      <w:r>
        <w:rPr>
          <w:lang w:val="en-US"/>
        </w:rPr>
        <w:t xml:space="preserve">tonka, Meadowbrook Press, 2010, 330 and 333-338. </w:t>
      </w:r>
    </w:p>
  </w:footnote>
  <w:footnote w:id="573">
    <w:p w:rsidR="00551E68" w:rsidRPr="00246211" w:rsidRDefault="00551E68" w:rsidP="0002095D">
      <w:pPr>
        <w:pStyle w:val="Voetnoottekst"/>
        <w:rPr>
          <w:lang w:val="en-US"/>
        </w:rPr>
      </w:pPr>
      <w:r>
        <w:rPr>
          <w:rStyle w:val="Voetnootmarkering"/>
        </w:rPr>
        <w:footnoteRef/>
      </w:r>
      <w:r>
        <w:rPr>
          <w:lang w:val="en-US"/>
        </w:rPr>
        <w:t xml:space="preserve"> See the website of the ILO for a list of ratifications: </w:t>
      </w:r>
      <w:hyperlink r:id="rId7" w:history="1">
        <w:r w:rsidRPr="000C55E9">
          <w:rPr>
            <w:rStyle w:val="Hyperlink"/>
            <w:lang w:val="en-US"/>
          </w:rPr>
          <w:t>http://www.ilo.org/dyn/normlex/en/f?p=1000:11300:0::NO::P11300_INSTRUMENT_ID:312328</w:t>
        </w:r>
      </w:hyperlink>
      <w:r>
        <w:rPr>
          <w:lang w:val="en-US"/>
        </w:rPr>
        <w:t xml:space="preserve">. </w:t>
      </w:r>
    </w:p>
  </w:footnote>
  <w:footnote w:id="574">
    <w:p w:rsidR="00551E68" w:rsidRPr="008001E2" w:rsidRDefault="00551E68" w:rsidP="005869B3">
      <w:pPr>
        <w:pStyle w:val="Voetnoottekst"/>
        <w:jc w:val="both"/>
        <w:rPr>
          <w:lang w:val="en-US"/>
        </w:rPr>
      </w:pPr>
      <w:r>
        <w:rPr>
          <w:rStyle w:val="Voetnootmarkering"/>
        </w:rPr>
        <w:footnoteRef/>
      </w:r>
      <w:r w:rsidRPr="00F5259B">
        <w:rPr>
          <w:lang w:val="en-US"/>
        </w:rPr>
        <w:t xml:space="preserve"> </w:t>
      </w:r>
      <w:r w:rsidRPr="008001E2">
        <w:rPr>
          <w:lang w:val="en-US"/>
        </w:rPr>
        <w:t>ESC Conclusions XIX-4, Denmark (2011), 4; ESC Conclusions XIX-4, United Kingdom</w:t>
      </w:r>
      <w:r>
        <w:rPr>
          <w:lang w:val="en-US"/>
        </w:rPr>
        <w:t xml:space="preserve"> (2011), 8; RESC Conclusions Sweden (2005), Dissenting Opinion of Mr. M. </w:t>
      </w:r>
      <w:proofErr w:type="spellStart"/>
      <w:r>
        <w:rPr>
          <w:lang w:val="en-US"/>
        </w:rPr>
        <w:t>Mikkola</w:t>
      </w:r>
      <w:proofErr w:type="spellEnd"/>
      <w:r>
        <w:rPr>
          <w:lang w:val="en-US"/>
        </w:rPr>
        <w:t xml:space="preserve">, 52; RESC Conclusions, Sweden (2011), 11. </w:t>
      </w:r>
    </w:p>
  </w:footnote>
  <w:footnote w:id="575">
    <w:p w:rsidR="00551E68" w:rsidRDefault="00551E68" w:rsidP="005869B3">
      <w:pPr>
        <w:pStyle w:val="Voetnoottekst"/>
        <w:jc w:val="both"/>
        <w:rPr>
          <w:lang w:val="en-US"/>
        </w:rPr>
      </w:pPr>
      <w:r>
        <w:rPr>
          <w:rStyle w:val="Voetnootmarkering"/>
        </w:rPr>
        <w:footnoteRef/>
      </w:r>
      <w:r>
        <w:rPr>
          <w:lang w:val="en-US"/>
        </w:rPr>
        <w:t xml:space="preserve"> Sweden refused to comply with the compulsory leave requirement for over 6 years. Compulsory childbirth leave has also been criticized by members of the European Committee of Social Rights and in the literature.    </w:t>
      </w:r>
    </w:p>
    <w:p w:rsidR="00551E68" w:rsidRPr="000A3F6D" w:rsidRDefault="00551E68" w:rsidP="005869B3">
      <w:pPr>
        <w:pStyle w:val="Voetnoottekst"/>
        <w:jc w:val="both"/>
        <w:rPr>
          <w:i/>
          <w:lang w:val="en-GB"/>
        </w:rPr>
      </w:pPr>
      <w:r w:rsidRPr="00EB6E23">
        <w:rPr>
          <w:lang w:val="en-US"/>
        </w:rPr>
        <w:t xml:space="preserve">ESC Conclusions VIII, Dissenting Opinion of Mr. F. </w:t>
      </w:r>
      <w:proofErr w:type="spellStart"/>
      <w:r w:rsidRPr="00EB6E23">
        <w:rPr>
          <w:lang w:val="en-US"/>
        </w:rPr>
        <w:t>Fabricius</w:t>
      </w:r>
      <w:proofErr w:type="spellEnd"/>
      <w:r>
        <w:rPr>
          <w:lang w:val="en-US"/>
        </w:rPr>
        <w:t xml:space="preserve"> (1984); </w:t>
      </w:r>
      <w:r w:rsidRPr="00EB6E23">
        <w:rPr>
          <w:lang w:val="en-US"/>
        </w:rPr>
        <w:t xml:space="preserve">ESC Conclusions XII-1, Dissenting Opinion of Ms. S. </w:t>
      </w:r>
      <w:proofErr w:type="spellStart"/>
      <w:r w:rsidRPr="00EB6E23">
        <w:rPr>
          <w:lang w:val="en-US"/>
        </w:rPr>
        <w:t>Billum</w:t>
      </w:r>
      <w:proofErr w:type="spellEnd"/>
      <w:r w:rsidRPr="00EB6E23">
        <w:rPr>
          <w:lang w:val="en-US"/>
        </w:rPr>
        <w:t xml:space="preserve"> </w:t>
      </w:r>
      <w:proofErr w:type="spellStart"/>
      <w:r w:rsidRPr="00EB6E23">
        <w:rPr>
          <w:lang w:val="en-US"/>
        </w:rPr>
        <w:t>Stegard</w:t>
      </w:r>
      <w:proofErr w:type="spellEnd"/>
      <w:r w:rsidRPr="00EB6E23">
        <w:rPr>
          <w:lang w:val="en-US"/>
        </w:rPr>
        <w:t xml:space="preserve"> (</w:t>
      </w:r>
      <w:r>
        <w:rPr>
          <w:lang w:val="en-US"/>
        </w:rPr>
        <w:t xml:space="preserve">1991-1992); </w:t>
      </w:r>
      <w:r w:rsidRPr="000B6A73">
        <w:rPr>
          <w:lang w:val="en-US"/>
        </w:rPr>
        <w:t>Report from the Commission on the implementation of council</w:t>
      </w:r>
      <w:r>
        <w:rPr>
          <w:lang w:val="en-US"/>
        </w:rPr>
        <w:t xml:space="preserve"> </w:t>
      </w:r>
      <w:r w:rsidRPr="000B6A73">
        <w:rPr>
          <w:lang w:val="en-US"/>
        </w:rPr>
        <w:t>directive 92/85/</w:t>
      </w:r>
      <w:proofErr w:type="spellStart"/>
      <w:r w:rsidRPr="000B6A73">
        <w:rPr>
          <w:lang w:val="en-US"/>
        </w:rPr>
        <w:t>eec</w:t>
      </w:r>
      <w:proofErr w:type="spellEnd"/>
      <w:r w:rsidRPr="000B6A73">
        <w:rPr>
          <w:lang w:val="en-US"/>
        </w:rPr>
        <w:t>, COM/99/0100 final</w:t>
      </w:r>
      <w:r>
        <w:rPr>
          <w:lang w:val="en-US"/>
        </w:rPr>
        <w:t xml:space="preserve">, 6; </w:t>
      </w:r>
      <w:proofErr w:type="spellStart"/>
      <w:r w:rsidRPr="008840CA">
        <w:rPr>
          <w:lang w:val="en-GB"/>
        </w:rPr>
        <w:t>B</w:t>
      </w:r>
      <w:r>
        <w:rPr>
          <w:lang w:val="en-GB"/>
        </w:rPr>
        <w:t>everidge</w:t>
      </w:r>
      <w:proofErr w:type="spellEnd"/>
      <w:r>
        <w:rPr>
          <w:lang w:val="en-GB"/>
        </w:rPr>
        <w:t xml:space="preserve"> F. and Nott S., op. cit.</w:t>
      </w:r>
      <w:r w:rsidRPr="008840CA">
        <w:rPr>
          <w:lang w:val="en-GB"/>
        </w:rPr>
        <w:t>,</w:t>
      </w:r>
      <w:r>
        <w:rPr>
          <w:lang w:val="en-GB"/>
        </w:rPr>
        <w:t xml:space="preserve"> 25-26; </w:t>
      </w:r>
      <w:r w:rsidRPr="002E1884">
        <w:rPr>
          <w:lang w:val="en-US"/>
        </w:rPr>
        <w:t xml:space="preserve">Falkner G. and </w:t>
      </w:r>
      <w:proofErr w:type="spellStart"/>
      <w:r w:rsidRPr="002E1884">
        <w:rPr>
          <w:lang w:val="en-US"/>
        </w:rPr>
        <w:t>Hartlapp</w:t>
      </w:r>
      <w:proofErr w:type="spellEnd"/>
      <w:r w:rsidRPr="002E1884">
        <w:rPr>
          <w:lang w:val="en-US"/>
        </w:rPr>
        <w:t xml:space="preserve"> M., “Non-compliance with EU directives in the Member States: Opposition through the Backdoor?”, </w:t>
      </w:r>
      <w:r w:rsidRPr="002E1884">
        <w:rPr>
          <w:i/>
          <w:lang w:val="en-US"/>
        </w:rPr>
        <w:t>W. Eur. Pol.</w:t>
      </w:r>
      <w:r w:rsidRPr="002E1884">
        <w:rPr>
          <w:lang w:val="en-US"/>
        </w:rPr>
        <w:t xml:space="preserve"> 2004, 4</w:t>
      </w:r>
      <w:r>
        <w:rPr>
          <w:lang w:val="en-US"/>
        </w:rPr>
        <w:t xml:space="preserve">58-459; Fenwick H., “Special Protections for Women in European Union Law” in </w:t>
      </w:r>
      <w:r w:rsidRPr="007E39E7">
        <w:rPr>
          <w:lang w:val="en-US"/>
        </w:rPr>
        <w:t xml:space="preserve">Hervey T. and O’Keeffe D. (eds.), </w:t>
      </w:r>
      <w:r w:rsidRPr="007E39E7">
        <w:rPr>
          <w:i/>
          <w:lang w:val="en-US"/>
        </w:rPr>
        <w:t>Sex Equality Law in the European Union</w:t>
      </w:r>
      <w:r w:rsidRPr="007E39E7">
        <w:rPr>
          <w:lang w:val="en-US"/>
        </w:rPr>
        <w:t xml:space="preserve">, </w:t>
      </w:r>
      <w:proofErr w:type="spellStart"/>
      <w:r w:rsidRPr="007E39E7">
        <w:rPr>
          <w:lang w:val="en-US"/>
        </w:rPr>
        <w:t>Chichester</w:t>
      </w:r>
      <w:proofErr w:type="spellEnd"/>
      <w:r w:rsidRPr="007E39E7">
        <w:rPr>
          <w:lang w:val="en-US"/>
        </w:rPr>
        <w:t>, J</w:t>
      </w:r>
      <w:r>
        <w:rPr>
          <w:lang w:val="en-US"/>
        </w:rPr>
        <w:t xml:space="preserve">ohn Wiley &amp; Sons, 1996, 76; Finlay </w:t>
      </w:r>
      <w:proofErr w:type="spellStart"/>
      <w:r>
        <w:rPr>
          <w:lang w:val="en-US"/>
        </w:rPr>
        <w:t>L.,</w:t>
      </w:r>
      <w:r w:rsidRPr="00246211">
        <w:rPr>
          <w:lang w:val="en-US"/>
        </w:rPr>
        <w:t>“Transcending</w:t>
      </w:r>
      <w:proofErr w:type="spellEnd"/>
      <w:r w:rsidRPr="00246211">
        <w:rPr>
          <w:lang w:val="en-US"/>
        </w:rPr>
        <w:t xml:space="preserve"> equality theory: A</w:t>
      </w:r>
      <w:r>
        <w:rPr>
          <w:lang w:val="en-US"/>
        </w:rPr>
        <w:t xml:space="preserve"> </w:t>
      </w:r>
      <w:r w:rsidRPr="00246211">
        <w:rPr>
          <w:lang w:val="en-US"/>
        </w:rPr>
        <w:t xml:space="preserve">way out of the maternity and workplace debate”, </w:t>
      </w:r>
      <w:r w:rsidRPr="00246211">
        <w:rPr>
          <w:i/>
          <w:lang w:val="en-US"/>
        </w:rPr>
        <w:t xml:space="preserve">Colum. </w:t>
      </w:r>
      <w:r w:rsidRPr="00965AAA">
        <w:rPr>
          <w:i/>
          <w:lang w:val="en-US"/>
        </w:rPr>
        <w:t>L. Rev.</w:t>
      </w:r>
      <w:r w:rsidRPr="00965AAA">
        <w:rPr>
          <w:lang w:val="en-US"/>
        </w:rPr>
        <w:t xml:space="preserve"> 1986, 1121 and 1133; Monster C., </w:t>
      </w:r>
      <w:proofErr w:type="spellStart"/>
      <w:r w:rsidRPr="00965AAA">
        <w:rPr>
          <w:i/>
          <w:lang w:val="en-US"/>
        </w:rPr>
        <w:t>Bescherming</w:t>
      </w:r>
      <w:proofErr w:type="spellEnd"/>
      <w:r w:rsidRPr="00965AAA">
        <w:rPr>
          <w:i/>
          <w:lang w:val="en-US"/>
        </w:rPr>
        <w:t xml:space="preserve"> van het </w:t>
      </w:r>
      <w:proofErr w:type="spellStart"/>
      <w:r w:rsidRPr="00965AAA">
        <w:rPr>
          <w:i/>
          <w:lang w:val="en-US"/>
        </w:rPr>
        <w:t>moederschap</w:t>
      </w:r>
      <w:proofErr w:type="spellEnd"/>
      <w:r w:rsidRPr="00965AAA">
        <w:rPr>
          <w:lang w:val="en-US"/>
        </w:rPr>
        <w:t xml:space="preserve">, Nijmegen, </w:t>
      </w:r>
      <w:proofErr w:type="spellStart"/>
      <w:r w:rsidRPr="00965AAA">
        <w:rPr>
          <w:lang w:val="en-US"/>
        </w:rPr>
        <w:t>Ars</w:t>
      </w:r>
      <w:proofErr w:type="spellEnd"/>
      <w:r w:rsidRPr="00965AAA">
        <w:rPr>
          <w:lang w:val="en-US"/>
        </w:rPr>
        <w:t xml:space="preserve"> </w:t>
      </w:r>
      <w:proofErr w:type="spellStart"/>
      <w:r w:rsidRPr="00965AAA">
        <w:rPr>
          <w:lang w:val="en-US"/>
        </w:rPr>
        <w:t>Aequi</w:t>
      </w:r>
      <w:proofErr w:type="spellEnd"/>
      <w:r w:rsidRPr="00965AAA">
        <w:rPr>
          <w:lang w:val="en-US"/>
        </w:rPr>
        <w:t xml:space="preserve"> </w:t>
      </w:r>
      <w:proofErr w:type="spellStart"/>
      <w:r w:rsidRPr="00965AAA">
        <w:rPr>
          <w:lang w:val="en-US"/>
        </w:rPr>
        <w:t>Li</w:t>
      </w:r>
      <w:r>
        <w:rPr>
          <w:lang w:val="en-US"/>
        </w:rPr>
        <w:t>bri</w:t>
      </w:r>
      <w:proofErr w:type="spellEnd"/>
      <w:r>
        <w:rPr>
          <w:lang w:val="en-US"/>
        </w:rPr>
        <w:t>, 1995, 335;</w:t>
      </w:r>
      <w:r>
        <w:rPr>
          <w:lang w:val="en-GB"/>
        </w:rPr>
        <w:t xml:space="preserve"> </w:t>
      </w:r>
      <w:r w:rsidRPr="000A3F6D">
        <w:rPr>
          <w:lang w:val="en-GB"/>
        </w:rPr>
        <w:t xml:space="preserve">Suk J., “From Antidiscrimination to Equality: Stereotypes and the Life Cycle in the United States and Europe”, </w:t>
      </w:r>
      <w:r w:rsidRPr="000A3F6D">
        <w:rPr>
          <w:i/>
          <w:lang w:val="en-GB"/>
        </w:rPr>
        <w:t>Am. J. Comp. L.</w:t>
      </w:r>
      <w:r>
        <w:rPr>
          <w:lang w:val="en-GB"/>
        </w:rPr>
        <w:t xml:space="preserve"> 2012</w:t>
      </w:r>
      <w:r>
        <w:rPr>
          <w:lang w:val="en-US"/>
        </w:rPr>
        <w:t xml:space="preserve">, </w:t>
      </w:r>
      <w:r w:rsidRPr="000A3F6D">
        <w:rPr>
          <w:lang w:val="en-US"/>
        </w:rPr>
        <w:t xml:space="preserve">78; Williams W., “Equality Riddle: Pregnancy and the Equal Treatment/Special Treatment Debate”, </w:t>
      </w:r>
      <w:r w:rsidRPr="000A3F6D">
        <w:rPr>
          <w:i/>
          <w:lang w:val="en-US"/>
        </w:rPr>
        <w:t>N. Y. U. Rev. L. &amp; Soc. Change</w:t>
      </w:r>
      <w:r w:rsidRPr="000A3F6D">
        <w:rPr>
          <w:lang w:val="en-US"/>
        </w:rPr>
        <w:t xml:space="preserve"> 1984-1985, 357-358. </w:t>
      </w:r>
    </w:p>
  </w:footnote>
  <w:footnote w:id="576">
    <w:p w:rsidR="00551E68" w:rsidRPr="00272991" w:rsidRDefault="00551E68" w:rsidP="005869B3">
      <w:pPr>
        <w:pStyle w:val="Voetnoottekst"/>
        <w:jc w:val="both"/>
        <w:rPr>
          <w:b/>
          <w:u w:val="single"/>
          <w:lang w:val="en-US"/>
        </w:rPr>
      </w:pPr>
      <w:r>
        <w:rPr>
          <w:rStyle w:val="Voetnootmarkering"/>
        </w:rPr>
        <w:footnoteRef/>
      </w:r>
      <w:r w:rsidRPr="00272991">
        <w:rPr>
          <w:lang w:val="en-US"/>
        </w:rPr>
        <w:t xml:space="preserve"> Paragraph 1(1) Recommendation no. 191; Commission of the European Communities, Proposal for a Directive of the European Parliament and of the Council amending Council Directive 92/85/EEC, Brussels 3.10.2008, COM(2008) 637 final, 7-8; </w:t>
      </w:r>
      <w:proofErr w:type="spellStart"/>
      <w:r w:rsidRPr="00272991">
        <w:rPr>
          <w:lang w:val="en-US"/>
        </w:rPr>
        <w:t>Fredman</w:t>
      </w:r>
      <w:proofErr w:type="spellEnd"/>
      <w:r w:rsidRPr="00272991">
        <w:rPr>
          <w:lang w:val="en-US"/>
        </w:rPr>
        <w:t xml:space="preserve"> S., </w:t>
      </w:r>
      <w:r w:rsidRPr="00272991">
        <w:rPr>
          <w:i/>
          <w:lang w:val="en-US"/>
        </w:rPr>
        <w:t>Women and the Law</w:t>
      </w:r>
      <w:r w:rsidRPr="00272991">
        <w:rPr>
          <w:lang w:val="en-US"/>
        </w:rPr>
        <w:t>, Oxford, Clarendon Press, 1997, 196-197; Schneider H., “</w:t>
      </w:r>
      <w:proofErr w:type="spellStart"/>
      <w:r w:rsidRPr="00272991">
        <w:rPr>
          <w:lang w:val="en-US"/>
        </w:rPr>
        <w:t>Zwangerschapsverlof-ouderschapsverlof-kinderopvang</w:t>
      </w:r>
      <w:proofErr w:type="spellEnd"/>
      <w:r w:rsidRPr="00272991">
        <w:rPr>
          <w:lang w:val="en-US"/>
        </w:rPr>
        <w:t xml:space="preserve">: </w:t>
      </w:r>
      <w:proofErr w:type="spellStart"/>
      <w:r w:rsidRPr="00272991">
        <w:rPr>
          <w:lang w:val="en-US"/>
        </w:rPr>
        <w:t>geen</w:t>
      </w:r>
      <w:proofErr w:type="spellEnd"/>
      <w:r w:rsidRPr="00272991">
        <w:rPr>
          <w:lang w:val="en-US"/>
        </w:rPr>
        <w:t xml:space="preserve"> </w:t>
      </w:r>
      <w:proofErr w:type="spellStart"/>
      <w:r w:rsidRPr="00272991">
        <w:rPr>
          <w:lang w:val="en-US"/>
        </w:rPr>
        <w:t>gemakkelijke</w:t>
      </w:r>
      <w:proofErr w:type="spellEnd"/>
      <w:r w:rsidRPr="00272991">
        <w:rPr>
          <w:lang w:val="en-US"/>
        </w:rPr>
        <w:t xml:space="preserve"> </w:t>
      </w:r>
      <w:proofErr w:type="spellStart"/>
      <w:r w:rsidRPr="00272991">
        <w:rPr>
          <w:lang w:val="en-US"/>
        </w:rPr>
        <w:t>bevalling</w:t>
      </w:r>
      <w:proofErr w:type="spellEnd"/>
      <w:r w:rsidRPr="00272991">
        <w:rPr>
          <w:lang w:val="en-US"/>
        </w:rPr>
        <w:t xml:space="preserve">” in </w:t>
      </w:r>
      <w:proofErr w:type="spellStart"/>
      <w:r w:rsidRPr="00272991">
        <w:rPr>
          <w:lang w:val="en-US"/>
        </w:rPr>
        <w:t>Heringa</w:t>
      </w:r>
      <w:proofErr w:type="spellEnd"/>
      <w:r w:rsidRPr="00272991">
        <w:rPr>
          <w:lang w:val="en-US"/>
        </w:rPr>
        <w:t xml:space="preserve"> A.,</w:t>
      </w:r>
      <w:r>
        <w:rPr>
          <w:lang w:val="en-US"/>
        </w:rPr>
        <w:t xml:space="preserve"> </w:t>
      </w:r>
      <w:proofErr w:type="spellStart"/>
      <w:r>
        <w:rPr>
          <w:lang w:val="en-US"/>
        </w:rPr>
        <w:t>Hes</w:t>
      </w:r>
      <w:proofErr w:type="spellEnd"/>
      <w:r>
        <w:rPr>
          <w:lang w:val="en-US"/>
        </w:rPr>
        <w:t xml:space="preserve"> J. and </w:t>
      </w:r>
      <w:proofErr w:type="spellStart"/>
      <w:r>
        <w:rPr>
          <w:lang w:val="en-US"/>
        </w:rPr>
        <w:t>Lijnzaad</w:t>
      </w:r>
      <w:proofErr w:type="spellEnd"/>
      <w:r>
        <w:rPr>
          <w:lang w:val="en-US"/>
        </w:rPr>
        <w:t xml:space="preserve"> L. (eds.), op. cit.</w:t>
      </w:r>
      <w:r w:rsidRPr="00272991">
        <w:rPr>
          <w:lang w:val="en-US"/>
        </w:rPr>
        <w:t xml:space="preserve">, 156.  </w:t>
      </w:r>
    </w:p>
  </w:footnote>
  <w:footnote w:id="577">
    <w:p w:rsidR="00551E68" w:rsidRPr="00102023" w:rsidRDefault="00551E68" w:rsidP="005869B3">
      <w:pPr>
        <w:pStyle w:val="Voetnoottekst"/>
        <w:jc w:val="both"/>
        <w:rPr>
          <w:i/>
          <w:lang w:val="en-GB"/>
        </w:rPr>
      </w:pPr>
      <w:r>
        <w:rPr>
          <w:rStyle w:val="Voetnootmarkering"/>
        </w:rPr>
        <w:footnoteRef/>
      </w:r>
      <w:r>
        <w:rPr>
          <w:lang w:val="en-US"/>
        </w:rPr>
        <w:t xml:space="preserve"> Which means on average 6 to 8 weeks.</w:t>
      </w:r>
      <w:r w:rsidRPr="00272991">
        <w:rPr>
          <w:sz w:val="24"/>
          <w:szCs w:val="24"/>
          <w:lang w:val="en-US"/>
        </w:rPr>
        <w:t xml:space="preserve"> </w:t>
      </w:r>
      <w:proofErr w:type="spellStart"/>
      <w:r w:rsidRPr="00272991">
        <w:rPr>
          <w:lang w:val="en-US"/>
        </w:rPr>
        <w:t>Foubert</w:t>
      </w:r>
      <w:proofErr w:type="spellEnd"/>
      <w:r w:rsidRPr="00272991">
        <w:rPr>
          <w:lang w:val="en-US"/>
        </w:rPr>
        <w:t xml:space="preserve"> P., “</w:t>
      </w:r>
      <w:proofErr w:type="spellStart"/>
      <w:r w:rsidRPr="00272991">
        <w:rPr>
          <w:lang w:val="en-US"/>
        </w:rPr>
        <w:t>Zwangerschaps</w:t>
      </w:r>
      <w:proofErr w:type="spellEnd"/>
      <w:r w:rsidRPr="00272991">
        <w:rPr>
          <w:lang w:val="en-US"/>
        </w:rPr>
        <w:t xml:space="preserve">- en </w:t>
      </w:r>
      <w:proofErr w:type="spellStart"/>
      <w:r w:rsidRPr="00272991">
        <w:rPr>
          <w:lang w:val="en-US"/>
        </w:rPr>
        <w:t>bevallingsverlof</w:t>
      </w:r>
      <w:proofErr w:type="spellEnd"/>
      <w:r w:rsidRPr="00272991">
        <w:rPr>
          <w:lang w:val="en-US"/>
        </w:rPr>
        <w:t xml:space="preserve">: </w:t>
      </w:r>
      <w:proofErr w:type="spellStart"/>
      <w:r w:rsidRPr="00272991">
        <w:rPr>
          <w:lang w:val="en-US"/>
        </w:rPr>
        <w:t>zegen</w:t>
      </w:r>
      <w:proofErr w:type="spellEnd"/>
      <w:r w:rsidRPr="00272991">
        <w:rPr>
          <w:lang w:val="en-US"/>
        </w:rPr>
        <w:t xml:space="preserve"> of </w:t>
      </w:r>
      <w:proofErr w:type="spellStart"/>
      <w:r w:rsidRPr="00272991">
        <w:rPr>
          <w:lang w:val="en-US"/>
        </w:rPr>
        <w:t>vloek</w:t>
      </w:r>
      <w:proofErr w:type="spellEnd"/>
      <w:r w:rsidRPr="00272991">
        <w:rPr>
          <w:lang w:val="en-US"/>
        </w:rPr>
        <w:t xml:space="preserve">?’ in </w:t>
      </w:r>
      <w:proofErr w:type="spellStart"/>
      <w:r w:rsidRPr="00272991">
        <w:rPr>
          <w:lang w:val="en-US"/>
        </w:rPr>
        <w:t>Brems</w:t>
      </w:r>
      <w:proofErr w:type="spellEnd"/>
      <w:r w:rsidRPr="00272991">
        <w:rPr>
          <w:lang w:val="en-US"/>
        </w:rPr>
        <w:t xml:space="preserve"> E. and Stevens L. (eds.), op. cit., 217;</w:t>
      </w:r>
      <w:r>
        <w:rPr>
          <w:lang w:val="en-US"/>
        </w:rPr>
        <w:t xml:space="preserve"> </w:t>
      </w:r>
      <w:proofErr w:type="spellStart"/>
      <w:r>
        <w:rPr>
          <w:lang w:val="en-US"/>
        </w:rPr>
        <w:t>Simkin</w:t>
      </w:r>
      <w:proofErr w:type="spellEnd"/>
      <w:r>
        <w:rPr>
          <w:lang w:val="en-US"/>
        </w:rPr>
        <w:t xml:space="preserve"> P. and </w:t>
      </w:r>
      <w:proofErr w:type="spellStart"/>
      <w:r>
        <w:rPr>
          <w:lang w:val="en-US"/>
        </w:rPr>
        <w:t>Whalley</w:t>
      </w:r>
      <w:proofErr w:type="spellEnd"/>
      <w:r>
        <w:rPr>
          <w:lang w:val="en-US"/>
        </w:rPr>
        <w:t xml:space="preserve"> J., op. cit., 330 and 333-338; </w:t>
      </w:r>
      <w:r w:rsidRPr="00102023">
        <w:rPr>
          <w:lang w:val="en-GB"/>
        </w:rPr>
        <w:t xml:space="preserve">Suk J., “Are Gender </w:t>
      </w:r>
      <w:proofErr w:type="spellStart"/>
      <w:r w:rsidRPr="00102023">
        <w:rPr>
          <w:lang w:val="en-GB"/>
        </w:rPr>
        <w:t>Steretypes</w:t>
      </w:r>
      <w:proofErr w:type="spellEnd"/>
      <w:r w:rsidRPr="00102023">
        <w:rPr>
          <w:lang w:val="en-GB"/>
        </w:rPr>
        <w:t xml:space="preserve"> Bad for Women? Rethinking Antidiscrimination Law and Work-Family Conflict”, </w:t>
      </w:r>
      <w:r w:rsidRPr="00102023">
        <w:rPr>
          <w:i/>
          <w:lang w:val="en-GB"/>
        </w:rPr>
        <w:t>Colum. L. Rev.</w:t>
      </w:r>
      <w:r w:rsidRPr="00102023">
        <w:rPr>
          <w:lang w:val="en-GB"/>
        </w:rPr>
        <w:t xml:space="preserve"> 2010,</w:t>
      </w:r>
      <w:r>
        <w:rPr>
          <w:lang w:val="en-GB"/>
        </w:rPr>
        <w:t xml:space="preserve"> 49. </w:t>
      </w:r>
    </w:p>
  </w:footnote>
  <w:footnote w:id="578">
    <w:p w:rsidR="00551E68" w:rsidRPr="0067666F" w:rsidRDefault="00551E68" w:rsidP="005869B3">
      <w:pPr>
        <w:pStyle w:val="Voetnoottekst"/>
        <w:jc w:val="both"/>
        <w:rPr>
          <w:i/>
          <w:lang w:val="en-US"/>
        </w:rPr>
      </w:pPr>
      <w:r>
        <w:rPr>
          <w:rStyle w:val="Voetnootmarkering"/>
        </w:rPr>
        <w:footnoteRef/>
      </w:r>
      <w:r w:rsidRPr="0067666F">
        <w:rPr>
          <w:lang w:val="en-US"/>
        </w:rPr>
        <w:t xml:space="preserve"> Costello C. and Davies G., op. cit.</w:t>
      </w:r>
      <w:r>
        <w:rPr>
          <w:lang w:val="en-US"/>
        </w:rPr>
        <w:t>, 1614;</w:t>
      </w:r>
      <w:r>
        <w:rPr>
          <w:i/>
          <w:lang w:val="en-US"/>
        </w:rPr>
        <w:t xml:space="preserve"> </w:t>
      </w:r>
      <w:r w:rsidRPr="00872587">
        <w:rPr>
          <w:lang w:val="en-US"/>
        </w:rPr>
        <w:t xml:space="preserve">do Rosario M., op. cit., 10; </w:t>
      </w:r>
      <w:r w:rsidRPr="00AF0620">
        <w:rPr>
          <w:lang w:val="en-GB"/>
        </w:rPr>
        <w:t>International Labour Conference, General Survey on the Reports on the Workers with Family Responsibilities Convention no. 156 and Recommendation no. 165, 80</w:t>
      </w:r>
      <w:r w:rsidRPr="00AF0620">
        <w:rPr>
          <w:vertAlign w:val="superscript"/>
          <w:lang w:val="en-GB"/>
        </w:rPr>
        <w:t>th</w:t>
      </w:r>
      <w:r w:rsidRPr="00AF0620">
        <w:rPr>
          <w:lang w:val="en-GB"/>
        </w:rPr>
        <w:t xml:space="preserve"> Session, 1993,</w:t>
      </w:r>
      <w:r>
        <w:rPr>
          <w:lang w:val="en-GB"/>
        </w:rPr>
        <w:t xml:space="preserve"> 63;</w:t>
      </w:r>
      <w:r>
        <w:rPr>
          <w:lang w:val="en-US"/>
        </w:rPr>
        <w:t xml:space="preserve"> </w:t>
      </w:r>
      <w:r w:rsidRPr="00943CF1">
        <w:rPr>
          <w:lang w:val="en-US"/>
        </w:rPr>
        <w:t>Kilpatrick C., “How long is a piece of string? European regulation of the post-birth period” in He</w:t>
      </w:r>
      <w:r>
        <w:rPr>
          <w:lang w:val="en-US"/>
        </w:rPr>
        <w:t xml:space="preserve">rvey T. and O’Keeffe D. (eds.), op. cit., 93. </w:t>
      </w:r>
    </w:p>
  </w:footnote>
  <w:footnote w:id="579">
    <w:p w:rsidR="00551E68" w:rsidRPr="00C44789" w:rsidRDefault="00551E68" w:rsidP="005869B3">
      <w:pPr>
        <w:pStyle w:val="Voetnoottekst"/>
        <w:jc w:val="both"/>
        <w:rPr>
          <w:lang w:val="en-US"/>
        </w:rPr>
      </w:pPr>
      <w:r>
        <w:rPr>
          <w:rStyle w:val="Voetnootmarkering"/>
        </w:rPr>
        <w:footnoteRef/>
      </w:r>
      <w:r w:rsidRPr="00C44789">
        <w:rPr>
          <w:lang w:val="en-US"/>
        </w:rPr>
        <w:t xml:space="preserve"> ESC Conclusions XIII-3, Portugal (1995), 313; Monster M., “</w:t>
      </w:r>
      <w:proofErr w:type="spellStart"/>
      <w:r w:rsidRPr="00C44789">
        <w:rPr>
          <w:lang w:val="en-US"/>
        </w:rPr>
        <w:t>Bescherming</w:t>
      </w:r>
      <w:proofErr w:type="spellEnd"/>
      <w:r w:rsidRPr="00C44789">
        <w:rPr>
          <w:lang w:val="en-US"/>
        </w:rPr>
        <w:t xml:space="preserve"> </w:t>
      </w:r>
      <w:proofErr w:type="spellStart"/>
      <w:r w:rsidRPr="00C44789">
        <w:rPr>
          <w:lang w:val="en-US"/>
        </w:rPr>
        <w:t>moederschap</w:t>
      </w:r>
      <w:proofErr w:type="spellEnd"/>
      <w:r w:rsidRPr="00C44789">
        <w:rPr>
          <w:lang w:val="en-US"/>
        </w:rPr>
        <w:t xml:space="preserve">”, </w:t>
      </w:r>
      <w:r w:rsidRPr="00C44789">
        <w:rPr>
          <w:i/>
          <w:lang w:val="en-US"/>
        </w:rPr>
        <w:t>Nemesis</w:t>
      </w:r>
      <w:r w:rsidRPr="00C44789">
        <w:rPr>
          <w:lang w:val="en-US"/>
        </w:rPr>
        <w:t xml:space="preserve"> 1988, 94. </w:t>
      </w:r>
    </w:p>
  </w:footnote>
  <w:footnote w:id="580">
    <w:p w:rsidR="00551E68" w:rsidRPr="00C44789" w:rsidRDefault="00551E68" w:rsidP="005869B3">
      <w:pPr>
        <w:pStyle w:val="Voetnoottekst"/>
        <w:jc w:val="both"/>
        <w:rPr>
          <w:i/>
          <w:lang w:val="en-US"/>
        </w:rPr>
      </w:pPr>
      <w:r>
        <w:rPr>
          <w:rStyle w:val="Voetnootmarkering"/>
        </w:rPr>
        <w:footnoteRef/>
      </w:r>
      <w:r w:rsidRPr="00C44789">
        <w:rPr>
          <w:lang w:val="en-US"/>
        </w:rPr>
        <w:t xml:space="preserve"> </w:t>
      </w:r>
      <w:proofErr w:type="spellStart"/>
      <w:r w:rsidRPr="00C44789">
        <w:rPr>
          <w:lang w:val="en-US"/>
        </w:rPr>
        <w:t>Fredman</w:t>
      </w:r>
      <w:proofErr w:type="spellEnd"/>
      <w:r w:rsidRPr="00C44789">
        <w:rPr>
          <w:lang w:val="en-US"/>
        </w:rPr>
        <w:t xml:space="preserve"> S., “A difference with distinction: pregnancy and parenthood reassessed”, </w:t>
      </w:r>
      <w:r w:rsidRPr="00C44789">
        <w:rPr>
          <w:i/>
          <w:lang w:val="en-US"/>
        </w:rPr>
        <w:t>L.Q.R.</w:t>
      </w:r>
      <w:r w:rsidRPr="00C44789">
        <w:rPr>
          <w:lang w:val="en-US"/>
        </w:rPr>
        <w:t xml:space="preserve"> 1994, 118;</w:t>
      </w:r>
      <w:r w:rsidRPr="00C44789">
        <w:rPr>
          <w:i/>
          <w:lang w:val="en-US"/>
        </w:rPr>
        <w:t xml:space="preserve"> </w:t>
      </w:r>
      <w:r w:rsidRPr="00C44789">
        <w:rPr>
          <w:lang w:val="en-US"/>
        </w:rPr>
        <w:t xml:space="preserve">Monster C., </w:t>
      </w:r>
      <w:proofErr w:type="spellStart"/>
      <w:r w:rsidRPr="00C44789">
        <w:rPr>
          <w:i/>
          <w:lang w:val="en-US"/>
        </w:rPr>
        <w:t>Bescherming</w:t>
      </w:r>
      <w:proofErr w:type="spellEnd"/>
      <w:r w:rsidRPr="00C44789">
        <w:rPr>
          <w:i/>
          <w:lang w:val="en-US"/>
        </w:rPr>
        <w:t xml:space="preserve"> van het </w:t>
      </w:r>
      <w:proofErr w:type="spellStart"/>
      <w:r w:rsidRPr="00C44789">
        <w:rPr>
          <w:i/>
          <w:lang w:val="en-US"/>
        </w:rPr>
        <w:t>moederschap</w:t>
      </w:r>
      <w:proofErr w:type="spellEnd"/>
      <w:r w:rsidRPr="00C44789">
        <w:rPr>
          <w:lang w:val="en-US"/>
        </w:rPr>
        <w:t xml:space="preserve">, Nijmegen, </w:t>
      </w:r>
      <w:proofErr w:type="spellStart"/>
      <w:r w:rsidRPr="00C44789">
        <w:rPr>
          <w:lang w:val="en-US"/>
        </w:rPr>
        <w:t>Ars</w:t>
      </w:r>
      <w:proofErr w:type="spellEnd"/>
      <w:r w:rsidRPr="00C44789">
        <w:rPr>
          <w:lang w:val="en-US"/>
        </w:rPr>
        <w:t xml:space="preserve"> </w:t>
      </w:r>
      <w:proofErr w:type="spellStart"/>
      <w:r w:rsidRPr="00C44789">
        <w:rPr>
          <w:lang w:val="en-US"/>
        </w:rPr>
        <w:t>Aequi</w:t>
      </w:r>
      <w:proofErr w:type="spellEnd"/>
      <w:r w:rsidRPr="00C44789">
        <w:rPr>
          <w:lang w:val="en-US"/>
        </w:rPr>
        <w:t xml:space="preserve"> </w:t>
      </w:r>
      <w:proofErr w:type="spellStart"/>
      <w:r w:rsidRPr="00C44789">
        <w:rPr>
          <w:lang w:val="en-US"/>
        </w:rPr>
        <w:t>Libri</w:t>
      </w:r>
      <w:proofErr w:type="spellEnd"/>
      <w:r w:rsidRPr="00C44789">
        <w:rPr>
          <w:lang w:val="en-US"/>
        </w:rPr>
        <w:t xml:space="preserve">, 1995, 336. </w:t>
      </w:r>
    </w:p>
  </w:footnote>
  <w:footnote w:id="581">
    <w:p w:rsidR="00551E68" w:rsidRPr="007D222E" w:rsidRDefault="00551E68" w:rsidP="005869B3">
      <w:pPr>
        <w:pStyle w:val="Voetnoottekst"/>
        <w:jc w:val="both"/>
        <w:rPr>
          <w:i/>
          <w:lang w:val="en-US"/>
        </w:rPr>
      </w:pPr>
      <w:r>
        <w:rPr>
          <w:rStyle w:val="Voetnootmarkering"/>
        </w:rPr>
        <w:footnoteRef/>
      </w:r>
      <w:r w:rsidRPr="00AA4AA3">
        <w:rPr>
          <w:lang w:val="en-US"/>
        </w:rPr>
        <w:t xml:space="preserve"> Chen M., “Protective Laws and the Convention on the Elimination of Discrimination Against Women”, </w:t>
      </w:r>
      <w:r w:rsidRPr="00AA4AA3">
        <w:rPr>
          <w:i/>
          <w:lang w:val="en-US"/>
        </w:rPr>
        <w:t xml:space="preserve">Women’s </w:t>
      </w:r>
      <w:proofErr w:type="spellStart"/>
      <w:r w:rsidRPr="00AA4AA3">
        <w:rPr>
          <w:i/>
          <w:lang w:val="en-US"/>
        </w:rPr>
        <w:t>Rts</w:t>
      </w:r>
      <w:proofErr w:type="spellEnd"/>
      <w:r w:rsidRPr="00AA4AA3">
        <w:rPr>
          <w:i/>
          <w:lang w:val="en-US"/>
        </w:rPr>
        <w:t>. L. Rep.</w:t>
      </w:r>
      <w:r w:rsidRPr="00AA4AA3">
        <w:rPr>
          <w:lang w:val="en-US"/>
        </w:rPr>
        <w:t xml:space="preserve"> 1993-1994, 16;</w:t>
      </w:r>
      <w:r>
        <w:rPr>
          <w:lang w:val="en-US"/>
        </w:rPr>
        <w:t xml:space="preserve"> </w:t>
      </w:r>
      <w:proofErr w:type="spellStart"/>
      <w:r>
        <w:rPr>
          <w:lang w:val="en-US"/>
        </w:rPr>
        <w:t>Claussen</w:t>
      </w:r>
      <w:proofErr w:type="spellEnd"/>
      <w:r>
        <w:rPr>
          <w:lang w:val="en-US"/>
        </w:rPr>
        <w:t xml:space="preserve"> C., op. cit., </w:t>
      </w:r>
      <w:r w:rsidRPr="005212CB">
        <w:rPr>
          <w:lang w:val="en-US"/>
        </w:rPr>
        <w:t>7</w:t>
      </w:r>
      <w:r>
        <w:rPr>
          <w:lang w:val="en-US"/>
        </w:rPr>
        <w:t xml:space="preserve">99; </w:t>
      </w:r>
      <w:proofErr w:type="spellStart"/>
      <w:r w:rsidRPr="007D222E">
        <w:rPr>
          <w:lang w:val="en-US"/>
        </w:rPr>
        <w:t>Cremers</w:t>
      </w:r>
      <w:proofErr w:type="spellEnd"/>
      <w:r w:rsidRPr="007D222E">
        <w:rPr>
          <w:lang w:val="en-US"/>
        </w:rPr>
        <w:t xml:space="preserve"> E., “</w:t>
      </w:r>
      <w:proofErr w:type="spellStart"/>
      <w:r w:rsidRPr="007D222E">
        <w:rPr>
          <w:lang w:val="en-US"/>
        </w:rPr>
        <w:t>Zwangerschaps</w:t>
      </w:r>
      <w:proofErr w:type="spellEnd"/>
      <w:r w:rsidRPr="007D222E">
        <w:rPr>
          <w:lang w:val="en-US"/>
        </w:rPr>
        <w:t xml:space="preserve"> – en </w:t>
      </w:r>
      <w:proofErr w:type="spellStart"/>
      <w:r w:rsidRPr="007D222E">
        <w:rPr>
          <w:lang w:val="en-US"/>
        </w:rPr>
        <w:t>Bevallingsverlof</w:t>
      </w:r>
      <w:proofErr w:type="spellEnd"/>
      <w:r w:rsidRPr="007D222E">
        <w:rPr>
          <w:lang w:val="en-US"/>
        </w:rPr>
        <w:t xml:space="preserve"> Wet </w:t>
      </w:r>
      <w:proofErr w:type="spellStart"/>
      <w:r w:rsidRPr="007D222E">
        <w:rPr>
          <w:lang w:val="en-US"/>
        </w:rPr>
        <w:t>Arbeid</w:t>
      </w:r>
      <w:proofErr w:type="spellEnd"/>
      <w:r w:rsidRPr="007D222E">
        <w:rPr>
          <w:lang w:val="en-US"/>
        </w:rPr>
        <w:t xml:space="preserve"> en </w:t>
      </w:r>
      <w:proofErr w:type="spellStart"/>
      <w:r w:rsidRPr="007D222E">
        <w:rPr>
          <w:lang w:val="en-US"/>
        </w:rPr>
        <w:t>Zorg</w:t>
      </w:r>
      <w:proofErr w:type="spellEnd"/>
      <w:r w:rsidRPr="007D222E">
        <w:rPr>
          <w:lang w:val="en-US"/>
        </w:rPr>
        <w:t xml:space="preserve">”, </w:t>
      </w:r>
      <w:r w:rsidRPr="007D222E">
        <w:rPr>
          <w:i/>
          <w:lang w:val="en-US"/>
        </w:rPr>
        <w:t xml:space="preserve">Nemesis </w:t>
      </w:r>
      <w:r w:rsidRPr="007D222E">
        <w:rPr>
          <w:lang w:val="en-US"/>
        </w:rPr>
        <w:t>2002, 1</w:t>
      </w:r>
      <w:r>
        <w:rPr>
          <w:lang w:val="en-US"/>
        </w:rPr>
        <w:t xml:space="preserve">21; </w:t>
      </w:r>
      <w:proofErr w:type="spellStart"/>
      <w:r w:rsidRPr="00AA4AA3">
        <w:rPr>
          <w:lang w:val="en-US"/>
        </w:rPr>
        <w:t>Foubert</w:t>
      </w:r>
      <w:proofErr w:type="spellEnd"/>
      <w:r w:rsidRPr="00AA4AA3">
        <w:rPr>
          <w:lang w:val="en-US"/>
        </w:rPr>
        <w:t xml:space="preserve"> P., “</w:t>
      </w:r>
      <w:proofErr w:type="spellStart"/>
      <w:r w:rsidRPr="00AA4AA3">
        <w:rPr>
          <w:lang w:val="en-US"/>
        </w:rPr>
        <w:t>Zwangerschaps</w:t>
      </w:r>
      <w:proofErr w:type="spellEnd"/>
      <w:r w:rsidRPr="00AA4AA3">
        <w:rPr>
          <w:lang w:val="en-US"/>
        </w:rPr>
        <w:t xml:space="preserve">- en </w:t>
      </w:r>
      <w:proofErr w:type="spellStart"/>
      <w:r w:rsidRPr="00AA4AA3">
        <w:rPr>
          <w:lang w:val="en-US"/>
        </w:rPr>
        <w:t>bevallingsverlof</w:t>
      </w:r>
      <w:proofErr w:type="spellEnd"/>
      <w:r w:rsidRPr="00AA4AA3">
        <w:rPr>
          <w:lang w:val="en-US"/>
        </w:rPr>
        <w:t xml:space="preserve">: </w:t>
      </w:r>
      <w:proofErr w:type="spellStart"/>
      <w:r w:rsidRPr="00AA4AA3">
        <w:rPr>
          <w:lang w:val="en-US"/>
        </w:rPr>
        <w:t>zegen</w:t>
      </w:r>
      <w:proofErr w:type="spellEnd"/>
      <w:r w:rsidRPr="00AA4AA3">
        <w:rPr>
          <w:lang w:val="en-US"/>
        </w:rPr>
        <w:t xml:space="preserve"> of </w:t>
      </w:r>
      <w:proofErr w:type="spellStart"/>
      <w:r w:rsidRPr="00AA4AA3">
        <w:rPr>
          <w:lang w:val="en-US"/>
        </w:rPr>
        <w:t>vloek</w:t>
      </w:r>
      <w:proofErr w:type="spellEnd"/>
      <w:r w:rsidRPr="00AA4AA3">
        <w:rPr>
          <w:lang w:val="en-US"/>
        </w:rPr>
        <w:t xml:space="preserve">?’ in </w:t>
      </w:r>
      <w:proofErr w:type="spellStart"/>
      <w:r w:rsidRPr="00AA4AA3">
        <w:rPr>
          <w:lang w:val="en-US"/>
        </w:rPr>
        <w:t>Brems</w:t>
      </w:r>
      <w:proofErr w:type="spellEnd"/>
      <w:r w:rsidRPr="00AA4AA3">
        <w:rPr>
          <w:lang w:val="en-US"/>
        </w:rPr>
        <w:t xml:space="preserve"> E. and Stevens L. (eds.), </w:t>
      </w:r>
      <w:r>
        <w:rPr>
          <w:lang w:val="en-US"/>
        </w:rPr>
        <w:t xml:space="preserve">op. cit., 217; </w:t>
      </w:r>
      <w:proofErr w:type="spellStart"/>
      <w:r w:rsidRPr="00AA4AA3">
        <w:rPr>
          <w:lang w:val="en-US"/>
        </w:rPr>
        <w:t>Raday</w:t>
      </w:r>
      <w:proofErr w:type="spellEnd"/>
      <w:r w:rsidRPr="00AA4AA3">
        <w:rPr>
          <w:lang w:val="en-US"/>
        </w:rPr>
        <w:t xml:space="preserve"> F., “Article 11” in Freeman M., </w:t>
      </w:r>
      <w:proofErr w:type="spellStart"/>
      <w:r>
        <w:rPr>
          <w:lang w:val="en-US"/>
        </w:rPr>
        <w:t>Chinkin</w:t>
      </w:r>
      <w:proofErr w:type="spellEnd"/>
      <w:r>
        <w:rPr>
          <w:lang w:val="en-US"/>
        </w:rPr>
        <w:t xml:space="preserve"> C. and </w:t>
      </w:r>
      <w:proofErr w:type="spellStart"/>
      <w:r>
        <w:rPr>
          <w:lang w:val="en-US"/>
        </w:rPr>
        <w:t>Beate</w:t>
      </w:r>
      <w:proofErr w:type="spellEnd"/>
      <w:r>
        <w:rPr>
          <w:lang w:val="en-US"/>
        </w:rPr>
        <w:t xml:space="preserve"> R. (eds.), op. cit., 300; </w:t>
      </w:r>
      <w:proofErr w:type="spellStart"/>
      <w:r>
        <w:rPr>
          <w:lang w:val="en-US"/>
        </w:rPr>
        <w:t>Trebilcock</w:t>
      </w:r>
      <w:proofErr w:type="spellEnd"/>
      <w:r>
        <w:rPr>
          <w:lang w:val="en-US"/>
        </w:rPr>
        <w:t xml:space="preserve"> A., “ILO Conventions and Women Workers” in </w:t>
      </w:r>
      <w:proofErr w:type="spellStart"/>
      <w:r w:rsidRPr="00076D73">
        <w:rPr>
          <w:lang w:val="en-US"/>
        </w:rPr>
        <w:t>Askin</w:t>
      </w:r>
      <w:proofErr w:type="spellEnd"/>
      <w:r w:rsidRPr="00076D73">
        <w:rPr>
          <w:lang w:val="en-US"/>
        </w:rPr>
        <w:t xml:space="preserve"> K. and Koenig D. (eds.), </w:t>
      </w:r>
      <w:r w:rsidRPr="00076D73">
        <w:rPr>
          <w:i/>
          <w:lang w:val="en-US"/>
        </w:rPr>
        <w:t>Women and International Human Rights Law</w:t>
      </w:r>
      <w:r w:rsidRPr="00076D73">
        <w:rPr>
          <w:lang w:val="en-US"/>
        </w:rPr>
        <w:t>, II, New York, Transnational Publishers, 2000,</w:t>
      </w:r>
      <w:r>
        <w:rPr>
          <w:lang w:val="en-US"/>
        </w:rPr>
        <w:t xml:space="preserve"> 311. </w:t>
      </w:r>
    </w:p>
  </w:footnote>
  <w:footnote w:id="582">
    <w:p w:rsidR="00551E68" w:rsidRPr="009564AF" w:rsidRDefault="00551E68" w:rsidP="005869B3">
      <w:pPr>
        <w:pStyle w:val="Voetnoottekst"/>
        <w:jc w:val="both"/>
        <w:rPr>
          <w:lang w:val="en-US"/>
        </w:rPr>
      </w:pPr>
      <w:r>
        <w:rPr>
          <w:rStyle w:val="Voetnootmarkering"/>
        </w:rPr>
        <w:footnoteRef/>
      </w:r>
      <w:r>
        <w:rPr>
          <w:lang w:val="en-US"/>
        </w:rPr>
        <w:t xml:space="preserve"> </w:t>
      </w:r>
      <w:proofErr w:type="spellStart"/>
      <w:r>
        <w:rPr>
          <w:lang w:val="en-US"/>
        </w:rPr>
        <w:t>Fredman</w:t>
      </w:r>
      <w:proofErr w:type="spellEnd"/>
      <w:r>
        <w:rPr>
          <w:lang w:val="en-US"/>
        </w:rPr>
        <w:t xml:space="preserve"> S., “Discrimination law in the EU: </w:t>
      </w:r>
      <w:proofErr w:type="spellStart"/>
      <w:r>
        <w:rPr>
          <w:lang w:val="en-US"/>
        </w:rPr>
        <w:t>Labour</w:t>
      </w:r>
      <w:proofErr w:type="spellEnd"/>
      <w:r>
        <w:rPr>
          <w:lang w:val="en-US"/>
        </w:rPr>
        <w:t xml:space="preserve"> market regulation or fundamental rights?” in </w:t>
      </w:r>
      <w:r w:rsidRPr="009564AF">
        <w:rPr>
          <w:lang w:val="en-US"/>
        </w:rPr>
        <w:t xml:space="preserve">Collins H., Davies P. and </w:t>
      </w:r>
      <w:proofErr w:type="spellStart"/>
      <w:r w:rsidRPr="009564AF">
        <w:rPr>
          <w:lang w:val="en-US"/>
        </w:rPr>
        <w:t>Rideout</w:t>
      </w:r>
      <w:proofErr w:type="spellEnd"/>
      <w:r w:rsidRPr="009564AF">
        <w:rPr>
          <w:lang w:val="en-US"/>
        </w:rPr>
        <w:t xml:space="preserve"> R. (eds.), </w:t>
      </w:r>
      <w:r w:rsidRPr="009564AF">
        <w:rPr>
          <w:i/>
          <w:lang w:val="en-US"/>
        </w:rPr>
        <w:t>Legal Regulation of the Employment Relation</w:t>
      </w:r>
      <w:r w:rsidRPr="009564AF">
        <w:rPr>
          <w:lang w:val="en-US"/>
        </w:rPr>
        <w:t>, Dordrecht, Kluwer Law International, 2000,</w:t>
      </w:r>
      <w:r>
        <w:rPr>
          <w:lang w:val="en-US"/>
        </w:rPr>
        <w:t xml:space="preserve"> 192; </w:t>
      </w:r>
      <w:r w:rsidRPr="003B385C">
        <w:rPr>
          <w:lang w:val="en-US"/>
        </w:rPr>
        <w:t xml:space="preserve">Ray R., </w:t>
      </w:r>
      <w:proofErr w:type="spellStart"/>
      <w:r w:rsidRPr="003B385C">
        <w:rPr>
          <w:lang w:val="en-US"/>
        </w:rPr>
        <w:t>Gornick</w:t>
      </w:r>
      <w:proofErr w:type="spellEnd"/>
      <w:r w:rsidRPr="003B385C">
        <w:rPr>
          <w:lang w:val="en-US"/>
        </w:rPr>
        <w:t xml:space="preserve"> J. and Schmitt J., “Who cares? Assessing generosity and gender equality in parental leave policy designs in 21 countries”, </w:t>
      </w:r>
      <w:r w:rsidRPr="003B385C">
        <w:rPr>
          <w:i/>
          <w:lang w:val="en-US"/>
        </w:rPr>
        <w:t>JESP</w:t>
      </w:r>
      <w:r w:rsidRPr="003B385C">
        <w:rPr>
          <w:lang w:val="en-US"/>
        </w:rPr>
        <w:t xml:space="preserve"> 2010, </w:t>
      </w:r>
      <w:r>
        <w:rPr>
          <w:lang w:val="en-US"/>
        </w:rPr>
        <w:t xml:space="preserve">209; </w:t>
      </w:r>
      <w:r w:rsidRPr="008B5407">
        <w:rPr>
          <w:lang w:val="en-US"/>
        </w:rPr>
        <w:t xml:space="preserve">Watson P., </w:t>
      </w:r>
      <w:r w:rsidRPr="008B5407">
        <w:rPr>
          <w:i/>
          <w:lang w:val="en-US"/>
        </w:rPr>
        <w:t>EU Social and Employment Law</w:t>
      </w:r>
      <w:r w:rsidRPr="008B5407">
        <w:rPr>
          <w:lang w:val="en-US"/>
        </w:rPr>
        <w:t>, Oxford, Oxford</w:t>
      </w:r>
      <w:r>
        <w:rPr>
          <w:lang w:val="en-US"/>
        </w:rPr>
        <w:t xml:space="preserve"> University Press, 2009, 256. </w:t>
      </w:r>
    </w:p>
  </w:footnote>
  <w:footnote w:id="583">
    <w:p w:rsidR="00551E68" w:rsidRPr="00925539" w:rsidRDefault="00551E68" w:rsidP="005869B3">
      <w:pPr>
        <w:pStyle w:val="Voetnoottekst"/>
        <w:jc w:val="both"/>
        <w:rPr>
          <w:b/>
          <w:u w:val="single"/>
          <w:lang w:val="en-GB"/>
        </w:rPr>
      </w:pPr>
      <w:r>
        <w:rPr>
          <w:rStyle w:val="Voetnootmarkering"/>
        </w:rPr>
        <w:footnoteRef/>
      </w:r>
      <w:r>
        <w:rPr>
          <w:lang w:val="en-GB"/>
        </w:rPr>
        <w:t xml:space="preserve"> </w:t>
      </w:r>
      <w:proofErr w:type="spellStart"/>
      <w:r w:rsidRPr="00925539">
        <w:rPr>
          <w:lang w:val="en-GB"/>
        </w:rPr>
        <w:t>Fredman</w:t>
      </w:r>
      <w:proofErr w:type="spellEnd"/>
      <w:r w:rsidRPr="00925539">
        <w:rPr>
          <w:lang w:val="en-GB"/>
        </w:rPr>
        <w:t xml:space="preserve"> S., </w:t>
      </w:r>
      <w:r w:rsidRPr="00925539">
        <w:rPr>
          <w:i/>
          <w:lang w:val="en-GB"/>
        </w:rPr>
        <w:t>Women and the Law</w:t>
      </w:r>
      <w:r w:rsidRPr="00925539">
        <w:rPr>
          <w:lang w:val="en-GB"/>
        </w:rPr>
        <w:t xml:space="preserve">, Oxford, Clarendon Press, </w:t>
      </w:r>
      <w:r>
        <w:rPr>
          <w:lang w:val="en-GB"/>
        </w:rPr>
        <w:t xml:space="preserve">1997, 208-209; </w:t>
      </w:r>
      <w:r w:rsidRPr="00D34437">
        <w:rPr>
          <w:lang w:val="en-US"/>
        </w:rPr>
        <w:t xml:space="preserve">Rosenblum D., “Unsex Mothering: Toward a New Culture of Parenting”, </w:t>
      </w:r>
      <w:r w:rsidRPr="00D34437">
        <w:rPr>
          <w:i/>
          <w:lang w:val="en-US"/>
        </w:rPr>
        <w:t>Harvard J. L. &amp; Gender</w:t>
      </w:r>
      <w:r w:rsidRPr="00D34437">
        <w:rPr>
          <w:lang w:val="en-US"/>
        </w:rPr>
        <w:t xml:space="preserve"> 2012,</w:t>
      </w:r>
      <w:r>
        <w:rPr>
          <w:lang w:val="en-US"/>
        </w:rPr>
        <w:t xml:space="preserve"> 95;</w:t>
      </w:r>
      <w:r>
        <w:rPr>
          <w:lang w:val="en-GB"/>
        </w:rPr>
        <w:t xml:space="preserve"> </w:t>
      </w:r>
      <w:r w:rsidRPr="00161B69">
        <w:rPr>
          <w:lang w:val="en-GB"/>
        </w:rPr>
        <w:t>Social Charter</w:t>
      </w:r>
      <w:r>
        <w:rPr>
          <w:lang w:val="en-GB"/>
        </w:rPr>
        <w:t xml:space="preserve"> monographs, op. cit.</w:t>
      </w:r>
      <w:r w:rsidRPr="00A4316E">
        <w:rPr>
          <w:lang w:val="en-US"/>
        </w:rPr>
        <w:t>,</w:t>
      </w:r>
      <w:r>
        <w:rPr>
          <w:lang w:val="en-US"/>
        </w:rPr>
        <w:t xml:space="preserve"> 82-83; </w:t>
      </w:r>
      <w:r w:rsidRPr="006A03D3">
        <w:rPr>
          <w:lang w:val="en-US"/>
        </w:rPr>
        <w:t xml:space="preserve">Schmidt M., “Parental Leave: Contested Procedure, Creditable Results”, </w:t>
      </w:r>
      <w:r w:rsidRPr="006A03D3">
        <w:rPr>
          <w:i/>
          <w:lang w:val="en-US"/>
        </w:rPr>
        <w:t>Int’l J. of Comp. Lab. Law and Ind. Relations</w:t>
      </w:r>
      <w:r w:rsidRPr="006A03D3">
        <w:rPr>
          <w:lang w:val="en-US"/>
        </w:rPr>
        <w:t xml:space="preserve"> 1997,</w:t>
      </w:r>
      <w:r>
        <w:rPr>
          <w:lang w:val="en-US"/>
        </w:rPr>
        <w:t xml:space="preserve"> 117. </w:t>
      </w:r>
    </w:p>
  </w:footnote>
  <w:footnote w:id="584">
    <w:p w:rsidR="00551E68" w:rsidRPr="00F37950" w:rsidRDefault="00551E68" w:rsidP="005869B3">
      <w:pPr>
        <w:pStyle w:val="Voetnoottekst"/>
        <w:jc w:val="both"/>
        <w:rPr>
          <w:lang w:val="en-GB"/>
        </w:rPr>
      </w:pPr>
      <w:r>
        <w:rPr>
          <w:rStyle w:val="Voetnootmarkering"/>
        </w:rPr>
        <w:footnoteRef/>
      </w:r>
      <w:r>
        <w:rPr>
          <w:lang w:val="en-US"/>
        </w:rPr>
        <w:t xml:space="preserve"> </w:t>
      </w:r>
      <w:r w:rsidRPr="00F37950">
        <w:rPr>
          <w:lang w:val="en-GB"/>
        </w:rPr>
        <w:t>Convention no. 156 on Workers wit</w:t>
      </w:r>
      <w:r>
        <w:rPr>
          <w:lang w:val="en-GB"/>
        </w:rPr>
        <w:t xml:space="preserve">h Family Responsibilities and </w:t>
      </w:r>
      <w:r w:rsidRPr="00F37950">
        <w:rPr>
          <w:lang w:val="en-US"/>
        </w:rPr>
        <w:t>Recommendation no. 165 on Workers with Family Responsibilities</w:t>
      </w:r>
      <w:r>
        <w:rPr>
          <w:lang w:val="en-US"/>
        </w:rPr>
        <w:t>.</w:t>
      </w:r>
    </w:p>
  </w:footnote>
  <w:footnote w:id="585">
    <w:p w:rsidR="00551E68" w:rsidRPr="009E0D10" w:rsidRDefault="00551E68" w:rsidP="005869B3">
      <w:pPr>
        <w:pStyle w:val="Voetnoottekst"/>
        <w:jc w:val="both"/>
        <w:rPr>
          <w:u w:val="single"/>
          <w:lang w:val="en-US"/>
        </w:rPr>
      </w:pPr>
      <w:r>
        <w:rPr>
          <w:rStyle w:val="Voetnootmarkering"/>
        </w:rPr>
        <w:footnoteRef/>
      </w:r>
      <w:r w:rsidRPr="00791EF0">
        <w:rPr>
          <w:lang w:val="en-US"/>
        </w:rPr>
        <w:t xml:space="preserve"> </w:t>
      </w:r>
      <w:proofErr w:type="spellStart"/>
      <w:r>
        <w:rPr>
          <w:lang w:val="en-US"/>
        </w:rPr>
        <w:t>Fusulier</w:t>
      </w:r>
      <w:proofErr w:type="spellEnd"/>
      <w:r>
        <w:rPr>
          <w:lang w:val="en-US"/>
        </w:rPr>
        <w:t xml:space="preserve"> B., “The European directive: making supra-national parental leave policy” in </w:t>
      </w:r>
      <w:proofErr w:type="spellStart"/>
      <w:r w:rsidRPr="009E0D10">
        <w:rPr>
          <w:lang w:val="en-US"/>
        </w:rPr>
        <w:t>Kamerman</w:t>
      </w:r>
      <w:proofErr w:type="spellEnd"/>
      <w:r w:rsidRPr="009E0D10">
        <w:rPr>
          <w:lang w:val="en-US"/>
        </w:rPr>
        <w:t xml:space="preserve"> S. and Moss P. (eds.), </w:t>
      </w:r>
      <w:r w:rsidRPr="009E0D10">
        <w:rPr>
          <w:i/>
          <w:lang w:val="en-US"/>
        </w:rPr>
        <w:t>The politics of parental leave policies</w:t>
      </w:r>
      <w:r w:rsidRPr="009E0D10">
        <w:rPr>
          <w:lang w:val="en-US"/>
        </w:rPr>
        <w:t>, Bristol, The Policy Press, 2009, 2</w:t>
      </w:r>
      <w:r>
        <w:rPr>
          <w:lang w:val="en-US"/>
        </w:rPr>
        <w:t xml:space="preserve">46-247. </w:t>
      </w:r>
    </w:p>
  </w:footnote>
  <w:footnote w:id="586">
    <w:p w:rsidR="00551E68" w:rsidRPr="000240FF" w:rsidRDefault="00551E68" w:rsidP="005869B3">
      <w:pPr>
        <w:pStyle w:val="Voetnoottekst"/>
        <w:jc w:val="both"/>
        <w:rPr>
          <w:lang w:val="en-US"/>
        </w:rPr>
      </w:pPr>
      <w:r>
        <w:rPr>
          <w:rStyle w:val="Voetnootmarkering"/>
        </w:rPr>
        <w:footnoteRef/>
      </w:r>
      <w:r>
        <w:rPr>
          <w:lang w:val="en-US"/>
        </w:rPr>
        <w:t xml:space="preserve"> Article 119 TEEC, </w:t>
      </w:r>
      <w:r w:rsidRPr="0040033B">
        <w:rPr>
          <w:bCs/>
          <w:lang w:val="en-US"/>
        </w:rPr>
        <w:t>Council Directive 1</w:t>
      </w:r>
      <w:r>
        <w:rPr>
          <w:bCs/>
          <w:lang w:val="en-US"/>
        </w:rPr>
        <w:t>975/117/EEC and</w:t>
      </w:r>
      <w:r>
        <w:rPr>
          <w:lang w:val="en-US"/>
        </w:rPr>
        <w:t xml:space="preserve"> </w:t>
      </w:r>
      <w:r w:rsidRPr="0040033B">
        <w:rPr>
          <w:lang w:val="en-GB"/>
        </w:rPr>
        <w:t>Council Directive</w:t>
      </w:r>
      <w:r>
        <w:rPr>
          <w:lang w:val="en-GB"/>
        </w:rPr>
        <w:t xml:space="preserve"> 1976/207/EEC. </w:t>
      </w:r>
    </w:p>
  </w:footnote>
  <w:footnote w:id="587">
    <w:p w:rsidR="00551E68" w:rsidRPr="00C44789" w:rsidRDefault="00551E68" w:rsidP="005869B3">
      <w:pPr>
        <w:pStyle w:val="Voetnoottekst"/>
        <w:jc w:val="both"/>
        <w:rPr>
          <w:u w:val="single"/>
        </w:rPr>
      </w:pPr>
      <w:r>
        <w:rPr>
          <w:rStyle w:val="Voetnootmarkering"/>
        </w:rPr>
        <w:footnoteRef/>
      </w:r>
      <w:r w:rsidRPr="0040033B">
        <w:rPr>
          <w:lang w:val="de-DE"/>
        </w:rPr>
        <w:t xml:space="preserve"> ECJ C-184/83, </w:t>
      </w:r>
      <w:r w:rsidRPr="0040033B">
        <w:rPr>
          <w:i/>
          <w:lang w:val="de-DE"/>
        </w:rPr>
        <w:t>Ulrich Hofmann v. Barmer Ersatzkasse</w:t>
      </w:r>
      <w:r w:rsidRPr="0040033B">
        <w:rPr>
          <w:lang w:val="de-DE"/>
        </w:rPr>
        <w:t xml:space="preserve">, 1984, </w:t>
      </w:r>
      <w:proofErr w:type="spellStart"/>
      <w:r w:rsidRPr="0040033B">
        <w:rPr>
          <w:lang w:val="de-DE"/>
        </w:rPr>
        <w:t>para</w:t>
      </w:r>
      <w:proofErr w:type="spellEnd"/>
      <w:r w:rsidRPr="0040033B">
        <w:rPr>
          <w:lang w:val="de-DE"/>
        </w:rPr>
        <w:t xml:space="preserve">. </w:t>
      </w:r>
      <w:r w:rsidRPr="00C44789">
        <w:t>24;</w:t>
      </w:r>
      <w:r w:rsidRPr="00C44789">
        <w:rPr>
          <w:sz w:val="24"/>
          <w:szCs w:val="24"/>
        </w:rPr>
        <w:t xml:space="preserve"> </w:t>
      </w:r>
      <w:r w:rsidRPr="00C44789">
        <w:t xml:space="preserve">Schmidt M., op. </w:t>
      </w:r>
      <w:proofErr w:type="spellStart"/>
      <w:r w:rsidRPr="00C44789">
        <w:t>cit</w:t>
      </w:r>
      <w:proofErr w:type="spellEnd"/>
      <w:r w:rsidRPr="00C44789">
        <w:t xml:space="preserve">., 119.    </w:t>
      </w:r>
    </w:p>
  </w:footnote>
  <w:footnote w:id="588">
    <w:p w:rsidR="00551E68" w:rsidRPr="00D977BF" w:rsidRDefault="00551E68" w:rsidP="005869B3">
      <w:pPr>
        <w:pStyle w:val="Voetnoottekst"/>
        <w:jc w:val="both"/>
        <w:rPr>
          <w:lang w:val="en-GB"/>
        </w:rPr>
      </w:pPr>
      <w:r>
        <w:rPr>
          <w:rStyle w:val="Voetnootmarkering"/>
        </w:rPr>
        <w:footnoteRef/>
      </w:r>
      <w:r w:rsidRPr="00996F3F">
        <w:rPr>
          <w:lang w:val="en-US"/>
        </w:rPr>
        <w:t xml:space="preserve"> </w:t>
      </w:r>
      <w:r w:rsidRPr="00996F3F">
        <w:rPr>
          <w:lang w:val="en-GB"/>
        </w:rPr>
        <w:t>Council Directive 1996/34/EC of 3 June 1996 on the framework agreement on parental leave conclud</w:t>
      </w:r>
      <w:r>
        <w:rPr>
          <w:lang w:val="en-GB"/>
        </w:rPr>
        <w:t>ed by UNICE, CEEP and the ETUC.</w:t>
      </w:r>
    </w:p>
  </w:footnote>
  <w:footnote w:id="589">
    <w:p w:rsidR="00551E68" w:rsidRPr="00882AE4" w:rsidRDefault="00551E68" w:rsidP="005869B3">
      <w:pPr>
        <w:pStyle w:val="Voetnoottekst"/>
        <w:jc w:val="both"/>
        <w:rPr>
          <w:lang w:val="en-GB"/>
        </w:rPr>
      </w:pPr>
      <w:r>
        <w:rPr>
          <w:rStyle w:val="Voetnootmarkering"/>
        </w:rPr>
        <w:footnoteRef/>
      </w:r>
      <w:r>
        <w:rPr>
          <w:lang w:val="en-US"/>
        </w:rPr>
        <w:t xml:space="preserve"> </w:t>
      </w:r>
      <w:r w:rsidRPr="00996F3F">
        <w:rPr>
          <w:bCs/>
          <w:lang w:val="en-US"/>
        </w:rPr>
        <w:t>Council Directive 2010/18/EU of 8 March 2010 implementing the revised Framework Agreement on parental leave concluded by BUSINESSEUROPE, UEAPME, CEEP and ETUC an</w:t>
      </w:r>
      <w:r>
        <w:rPr>
          <w:bCs/>
          <w:lang w:val="en-US"/>
        </w:rPr>
        <w:t>d repealing Directive 96/34/EC (</w:t>
      </w:r>
      <w:r w:rsidRPr="00882AE4">
        <w:rPr>
          <w:bCs/>
          <w:lang w:val="en-US"/>
        </w:rPr>
        <w:t>Council Directive 2010/18/EU</w:t>
      </w:r>
      <w:r>
        <w:rPr>
          <w:bCs/>
          <w:lang w:val="en-US"/>
        </w:rPr>
        <w:t>).</w:t>
      </w:r>
    </w:p>
  </w:footnote>
  <w:footnote w:id="590">
    <w:p w:rsidR="00551E68" w:rsidRPr="00F22632" w:rsidRDefault="00551E68" w:rsidP="005869B3">
      <w:pPr>
        <w:pStyle w:val="Voetnoottekst"/>
        <w:jc w:val="both"/>
        <w:rPr>
          <w:lang w:val="en-GB"/>
        </w:rPr>
      </w:pPr>
      <w:r>
        <w:rPr>
          <w:rStyle w:val="Voetnootmarkering"/>
        </w:rPr>
        <w:footnoteRef/>
      </w:r>
      <w:r>
        <w:rPr>
          <w:lang w:val="en-US"/>
        </w:rPr>
        <w:t xml:space="preserve"> Clause 1(3) </w:t>
      </w:r>
      <w:r w:rsidRPr="00F22632">
        <w:rPr>
          <w:bCs/>
          <w:lang w:val="en-US"/>
        </w:rPr>
        <w:t>Council Directive 2010/18/EU</w:t>
      </w:r>
      <w:r>
        <w:rPr>
          <w:bCs/>
          <w:lang w:val="en-US"/>
        </w:rPr>
        <w:t>.</w:t>
      </w:r>
    </w:p>
  </w:footnote>
  <w:footnote w:id="591">
    <w:p w:rsidR="00551E68" w:rsidRPr="003E2F74" w:rsidRDefault="00551E68" w:rsidP="005869B3">
      <w:pPr>
        <w:pStyle w:val="Voetnoottekst"/>
        <w:jc w:val="both"/>
        <w:rPr>
          <w:lang w:val="en-GB"/>
        </w:rPr>
      </w:pPr>
      <w:r>
        <w:rPr>
          <w:rStyle w:val="Voetnootmarkering"/>
        </w:rPr>
        <w:footnoteRef/>
      </w:r>
      <w:r w:rsidRPr="00791EF0">
        <w:rPr>
          <w:lang w:val="en-US"/>
        </w:rPr>
        <w:t xml:space="preserve"> </w:t>
      </w:r>
      <w:r>
        <w:rPr>
          <w:lang w:val="en-US"/>
        </w:rPr>
        <w:t xml:space="preserve">Clause 2(2) </w:t>
      </w:r>
      <w:r w:rsidRPr="003E2F74">
        <w:rPr>
          <w:bCs/>
          <w:lang w:val="en-US"/>
        </w:rPr>
        <w:t>Council Directive 2010/18/EU</w:t>
      </w:r>
      <w:r>
        <w:rPr>
          <w:bCs/>
          <w:lang w:val="en-US"/>
        </w:rPr>
        <w:t>.</w:t>
      </w:r>
    </w:p>
  </w:footnote>
  <w:footnote w:id="592">
    <w:p w:rsidR="00551E68" w:rsidRPr="00DA75D0" w:rsidRDefault="00551E68" w:rsidP="005869B3">
      <w:pPr>
        <w:pStyle w:val="Voetnoottekst"/>
        <w:jc w:val="both"/>
        <w:rPr>
          <w:lang w:val="en-GB"/>
        </w:rPr>
      </w:pPr>
      <w:r>
        <w:rPr>
          <w:rStyle w:val="Voetnootmarkering"/>
        </w:rPr>
        <w:footnoteRef/>
      </w:r>
      <w:r w:rsidRPr="00791EF0">
        <w:rPr>
          <w:lang w:val="en-US"/>
        </w:rPr>
        <w:t xml:space="preserve"> </w:t>
      </w:r>
      <w:r>
        <w:rPr>
          <w:lang w:val="en-US"/>
        </w:rPr>
        <w:t xml:space="preserve">Clause 2(1) </w:t>
      </w:r>
      <w:r w:rsidRPr="00DA75D0">
        <w:rPr>
          <w:bCs/>
          <w:lang w:val="en-US"/>
        </w:rPr>
        <w:t>Council Directive 2010/18/EU</w:t>
      </w:r>
      <w:r>
        <w:rPr>
          <w:bCs/>
          <w:lang w:val="en-US"/>
        </w:rPr>
        <w:t>.</w:t>
      </w:r>
    </w:p>
  </w:footnote>
  <w:footnote w:id="593">
    <w:p w:rsidR="00551E68" w:rsidRPr="00B3352D" w:rsidRDefault="00551E68" w:rsidP="005869B3">
      <w:pPr>
        <w:pStyle w:val="Voetnoottekst"/>
        <w:jc w:val="both"/>
        <w:rPr>
          <w:lang w:val="en-GB"/>
        </w:rPr>
      </w:pPr>
      <w:r>
        <w:rPr>
          <w:rStyle w:val="Voetnootmarkering"/>
        </w:rPr>
        <w:footnoteRef/>
      </w:r>
      <w:r w:rsidRPr="00791EF0">
        <w:rPr>
          <w:lang w:val="en-US"/>
        </w:rPr>
        <w:t xml:space="preserve"> </w:t>
      </w:r>
      <w:r>
        <w:rPr>
          <w:lang w:val="en-US"/>
        </w:rPr>
        <w:t xml:space="preserve">Clause 2(2) </w:t>
      </w:r>
      <w:r w:rsidRPr="00B3352D">
        <w:rPr>
          <w:bCs/>
          <w:lang w:val="en-US"/>
        </w:rPr>
        <w:t>Council Directive 2010/18/EU.</w:t>
      </w:r>
    </w:p>
  </w:footnote>
  <w:footnote w:id="594">
    <w:p w:rsidR="00551E68" w:rsidRPr="00B24BE9" w:rsidRDefault="00551E68" w:rsidP="005869B3">
      <w:pPr>
        <w:pStyle w:val="Voetnoottekst"/>
        <w:jc w:val="both"/>
        <w:rPr>
          <w:lang w:val="en-GB"/>
        </w:rPr>
      </w:pPr>
      <w:r>
        <w:rPr>
          <w:rStyle w:val="Voetnootmarkering"/>
        </w:rPr>
        <w:footnoteRef/>
      </w:r>
      <w:r w:rsidRPr="00791EF0">
        <w:rPr>
          <w:lang w:val="en-US"/>
        </w:rPr>
        <w:t xml:space="preserve"> </w:t>
      </w:r>
      <w:r>
        <w:rPr>
          <w:lang w:val="en-US"/>
        </w:rPr>
        <w:t xml:space="preserve">Recital 16 Preamble </w:t>
      </w:r>
      <w:r w:rsidRPr="00B24BE9">
        <w:rPr>
          <w:bCs/>
          <w:lang w:val="en-US"/>
        </w:rPr>
        <w:t>Council Directive 2010/18/EU.</w:t>
      </w:r>
    </w:p>
  </w:footnote>
  <w:footnote w:id="595">
    <w:p w:rsidR="00551E68" w:rsidRPr="00565BA4" w:rsidRDefault="00551E68" w:rsidP="005869B3">
      <w:pPr>
        <w:pStyle w:val="Voetnoottekst"/>
        <w:jc w:val="both"/>
        <w:rPr>
          <w:lang w:val="en-GB"/>
        </w:rPr>
      </w:pPr>
      <w:r>
        <w:rPr>
          <w:rStyle w:val="Voetnootmarkering"/>
        </w:rPr>
        <w:footnoteRef/>
      </w:r>
      <w:r>
        <w:rPr>
          <w:lang w:val="en-US"/>
        </w:rPr>
        <w:t xml:space="preserve"> Clause 3(1) </w:t>
      </w:r>
      <w:r w:rsidRPr="00565BA4">
        <w:rPr>
          <w:bCs/>
          <w:lang w:val="en-US"/>
        </w:rPr>
        <w:t>Council Directive 2010/18/EU.</w:t>
      </w:r>
    </w:p>
  </w:footnote>
  <w:footnote w:id="596">
    <w:p w:rsidR="00551E68" w:rsidRPr="00791EF0" w:rsidRDefault="00551E68" w:rsidP="005869B3">
      <w:pPr>
        <w:pStyle w:val="Voetnoottekst"/>
        <w:jc w:val="both"/>
        <w:rPr>
          <w:lang w:val="en-US"/>
        </w:rPr>
      </w:pPr>
      <w:r>
        <w:rPr>
          <w:rStyle w:val="Voetnootmarkering"/>
        </w:rPr>
        <w:footnoteRef/>
      </w:r>
      <w:r>
        <w:rPr>
          <w:lang w:val="en-US"/>
        </w:rPr>
        <w:t xml:space="preserve"> </w:t>
      </w:r>
      <w:r w:rsidRPr="006F1CF9">
        <w:rPr>
          <w:lang w:val="en-US"/>
        </w:rPr>
        <w:t>Clause 3(1)</w:t>
      </w:r>
      <w:r>
        <w:rPr>
          <w:lang w:val="en-US"/>
        </w:rPr>
        <w:t xml:space="preserve"> c) </w:t>
      </w:r>
      <w:r w:rsidRPr="006F1CF9">
        <w:rPr>
          <w:bCs/>
          <w:lang w:val="en-US"/>
        </w:rPr>
        <w:t>Council Directive 2010/18/EU.</w:t>
      </w:r>
    </w:p>
  </w:footnote>
  <w:footnote w:id="597">
    <w:p w:rsidR="00551E68" w:rsidRPr="00791EF0" w:rsidRDefault="00551E68" w:rsidP="005869B3">
      <w:pPr>
        <w:pStyle w:val="Voetnoottekst"/>
        <w:jc w:val="both"/>
        <w:rPr>
          <w:lang w:val="en-US"/>
        </w:rPr>
      </w:pPr>
      <w:r>
        <w:rPr>
          <w:rStyle w:val="Voetnootmarkering"/>
        </w:rPr>
        <w:footnoteRef/>
      </w:r>
      <w:r w:rsidRPr="00791EF0">
        <w:rPr>
          <w:lang w:val="en-US"/>
        </w:rPr>
        <w:t xml:space="preserve"> </w:t>
      </w:r>
      <w:r>
        <w:rPr>
          <w:lang w:val="en-US"/>
        </w:rPr>
        <w:t xml:space="preserve">Clause 5 </w:t>
      </w:r>
      <w:r w:rsidRPr="00651137">
        <w:rPr>
          <w:bCs/>
          <w:lang w:val="en-US"/>
        </w:rPr>
        <w:t>Council Directive 2010/18/EU.</w:t>
      </w:r>
    </w:p>
  </w:footnote>
  <w:footnote w:id="598">
    <w:p w:rsidR="00551E68" w:rsidRPr="00791EF0" w:rsidRDefault="00551E68" w:rsidP="005869B3">
      <w:pPr>
        <w:pStyle w:val="Voetnoottekst"/>
        <w:jc w:val="both"/>
        <w:rPr>
          <w:lang w:val="en-US"/>
        </w:rPr>
      </w:pPr>
      <w:r>
        <w:rPr>
          <w:rStyle w:val="Voetnootmarkering"/>
        </w:rPr>
        <w:footnoteRef/>
      </w:r>
      <w:r w:rsidRPr="00791EF0">
        <w:rPr>
          <w:lang w:val="en-US"/>
        </w:rPr>
        <w:t xml:space="preserve"> </w:t>
      </w:r>
      <w:r w:rsidRPr="007D0755">
        <w:rPr>
          <w:lang w:val="en-US"/>
        </w:rPr>
        <w:t>Clause 5</w:t>
      </w:r>
      <w:r>
        <w:rPr>
          <w:lang w:val="en-US"/>
        </w:rPr>
        <w:t xml:space="preserve">(1) </w:t>
      </w:r>
      <w:r w:rsidRPr="007D0755">
        <w:rPr>
          <w:bCs/>
          <w:lang w:val="en-US"/>
        </w:rPr>
        <w:t>Council Directive 2010/18/EU.</w:t>
      </w:r>
    </w:p>
  </w:footnote>
  <w:footnote w:id="599">
    <w:p w:rsidR="00551E68" w:rsidRPr="00791EF0" w:rsidRDefault="00551E68" w:rsidP="005869B3">
      <w:pPr>
        <w:pStyle w:val="Voetnoottekst"/>
        <w:jc w:val="both"/>
        <w:rPr>
          <w:lang w:val="en-US"/>
        </w:rPr>
      </w:pPr>
      <w:r>
        <w:rPr>
          <w:rStyle w:val="Voetnootmarkering"/>
        </w:rPr>
        <w:footnoteRef/>
      </w:r>
      <w:r w:rsidRPr="00791EF0">
        <w:rPr>
          <w:lang w:val="en-US"/>
        </w:rPr>
        <w:t xml:space="preserve"> </w:t>
      </w:r>
      <w:r w:rsidRPr="007655FF">
        <w:rPr>
          <w:lang w:val="en-US"/>
        </w:rPr>
        <w:t>Clause 5</w:t>
      </w:r>
      <w:r>
        <w:rPr>
          <w:lang w:val="en-US"/>
        </w:rPr>
        <w:t xml:space="preserve">(2) </w:t>
      </w:r>
      <w:r w:rsidRPr="007655FF">
        <w:rPr>
          <w:bCs/>
          <w:lang w:val="en-US"/>
        </w:rPr>
        <w:t>Council Directive 2010/18/EU.</w:t>
      </w:r>
    </w:p>
  </w:footnote>
  <w:footnote w:id="600">
    <w:p w:rsidR="00551E68" w:rsidRPr="00791EF0" w:rsidRDefault="00551E68" w:rsidP="005869B3">
      <w:pPr>
        <w:pStyle w:val="Voetnoottekst"/>
        <w:jc w:val="both"/>
        <w:rPr>
          <w:lang w:val="en-US"/>
        </w:rPr>
      </w:pPr>
      <w:r>
        <w:rPr>
          <w:rStyle w:val="Voetnootmarkering"/>
        </w:rPr>
        <w:footnoteRef/>
      </w:r>
      <w:r>
        <w:rPr>
          <w:lang w:val="en-US"/>
        </w:rPr>
        <w:t xml:space="preserve"> </w:t>
      </w:r>
      <w:r w:rsidRPr="00921994">
        <w:rPr>
          <w:lang w:val="en-US"/>
        </w:rPr>
        <w:t>Clause 5</w:t>
      </w:r>
      <w:r>
        <w:rPr>
          <w:lang w:val="en-US"/>
        </w:rPr>
        <w:t xml:space="preserve">(4) </w:t>
      </w:r>
      <w:r w:rsidRPr="00921994">
        <w:rPr>
          <w:bCs/>
          <w:lang w:val="en-US"/>
        </w:rPr>
        <w:t>Council Directive 2010/18/EU.</w:t>
      </w:r>
    </w:p>
  </w:footnote>
  <w:footnote w:id="601">
    <w:p w:rsidR="00551E68" w:rsidRPr="00C52B26" w:rsidRDefault="00551E68" w:rsidP="005869B3">
      <w:pPr>
        <w:pStyle w:val="Voetnoottekst"/>
        <w:jc w:val="both"/>
        <w:rPr>
          <w:b/>
          <w:u w:val="single"/>
          <w:lang w:val="en-GB"/>
        </w:rPr>
      </w:pPr>
      <w:r>
        <w:rPr>
          <w:rStyle w:val="Voetnootmarkering"/>
        </w:rPr>
        <w:footnoteRef/>
      </w:r>
      <w:r>
        <w:rPr>
          <w:lang w:val="en-US"/>
        </w:rPr>
        <w:t xml:space="preserve"> </w:t>
      </w:r>
      <w:r w:rsidRPr="00385091">
        <w:rPr>
          <w:lang w:val="en-GB"/>
        </w:rPr>
        <w:t xml:space="preserve">Busby N., “Division of labour: maternity protection in Europe”, </w:t>
      </w:r>
      <w:r w:rsidRPr="00385091">
        <w:rPr>
          <w:i/>
          <w:lang w:val="en-GB"/>
        </w:rPr>
        <w:t xml:space="preserve">J. Soc. </w:t>
      </w:r>
      <w:proofErr w:type="spellStart"/>
      <w:r w:rsidRPr="00385091">
        <w:rPr>
          <w:i/>
          <w:lang w:val="en-GB"/>
        </w:rPr>
        <w:t>Wel</w:t>
      </w:r>
      <w:proofErr w:type="spellEnd"/>
      <w:r w:rsidRPr="00385091">
        <w:rPr>
          <w:i/>
          <w:lang w:val="en-GB"/>
        </w:rPr>
        <w:t>.&amp; Fam. L.</w:t>
      </w:r>
      <w:r w:rsidRPr="00385091">
        <w:rPr>
          <w:lang w:val="en-GB"/>
        </w:rPr>
        <w:t xml:space="preserve"> 2000,</w:t>
      </w:r>
      <w:r>
        <w:rPr>
          <w:lang w:val="en-GB"/>
        </w:rPr>
        <w:t xml:space="preserve"> 292; </w:t>
      </w:r>
      <w:proofErr w:type="spellStart"/>
      <w:r w:rsidRPr="00C52B26">
        <w:rPr>
          <w:lang w:val="en-GB"/>
        </w:rPr>
        <w:t>Fredman</w:t>
      </w:r>
      <w:proofErr w:type="spellEnd"/>
      <w:r w:rsidRPr="00C52B26">
        <w:rPr>
          <w:lang w:val="en-GB"/>
        </w:rPr>
        <w:t xml:space="preserve"> S., </w:t>
      </w:r>
      <w:r w:rsidRPr="00C52B26">
        <w:rPr>
          <w:i/>
          <w:lang w:val="en-GB"/>
        </w:rPr>
        <w:t>Women and the Law</w:t>
      </w:r>
      <w:r w:rsidRPr="00C52B26">
        <w:rPr>
          <w:lang w:val="en-GB"/>
        </w:rPr>
        <w:t>, Oxford, Clarendon Press, 1997</w:t>
      </w:r>
      <w:r w:rsidRPr="00C52B26">
        <w:rPr>
          <w:lang w:val="en-US"/>
        </w:rPr>
        <w:t xml:space="preserve">, 220; </w:t>
      </w:r>
      <w:proofErr w:type="spellStart"/>
      <w:r w:rsidRPr="00C52B26">
        <w:rPr>
          <w:lang w:val="en-US"/>
        </w:rPr>
        <w:t>Guerrina</w:t>
      </w:r>
      <w:proofErr w:type="spellEnd"/>
      <w:r w:rsidRPr="00C52B26">
        <w:rPr>
          <w:lang w:val="en-US"/>
        </w:rPr>
        <w:t xml:space="preserve"> R., “Mothering in Europe: Feminist Critique of European Policies on Motherhood and Employment”, </w:t>
      </w:r>
      <w:r w:rsidRPr="00C52B26">
        <w:rPr>
          <w:i/>
          <w:lang w:val="en-US"/>
        </w:rPr>
        <w:t>European Journal of Women’s Studies</w:t>
      </w:r>
      <w:r w:rsidRPr="00C52B26">
        <w:rPr>
          <w:lang w:val="en-US"/>
        </w:rPr>
        <w:t xml:space="preserve"> 2002, 57; Schmidt M., op. cit., 124. </w:t>
      </w:r>
    </w:p>
  </w:footnote>
  <w:footnote w:id="602">
    <w:p w:rsidR="00551E68" w:rsidRPr="00390EC5" w:rsidRDefault="00551E68" w:rsidP="005869B3">
      <w:pPr>
        <w:pStyle w:val="Voetnoottekst"/>
        <w:jc w:val="both"/>
        <w:rPr>
          <w:lang w:val="en-GB"/>
        </w:rPr>
      </w:pPr>
      <w:r>
        <w:rPr>
          <w:rStyle w:val="Voetnootmarkering"/>
        </w:rPr>
        <w:footnoteRef/>
      </w:r>
      <w:r w:rsidRPr="00791EF0">
        <w:rPr>
          <w:lang w:val="en-US"/>
        </w:rPr>
        <w:t xml:space="preserve"> </w:t>
      </w:r>
      <w:r w:rsidRPr="00ED6BD3">
        <w:rPr>
          <w:lang w:val="en-GB"/>
        </w:rPr>
        <w:t xml:space="preserve">Hardy S. and </w:t>
      </w:r>
      <w:proofErr w:type="spellStart"/>
      <w:r w:rsidRPr="00ED6BD3">
        <w:rPr>
          <w:lang w:val="en-GB"/>
        </w:rPr>
        <w:t>Adnett</w:t>
      </w:r>
      <w:proofErr w:type="spellEnd"/>
      <w:r w:rsidRPr="00ED6BD3">
        <w:rPr>
          <w:lang w:val="en-GB"/>
        </w:rPr>
        <w:t xml:space="preserve"> N., “The Parental Leave Directive: Towards a ‘Family-Friendly’ Social Europe?”, </w:t>
      </w:r>
      <w:r w:rsidRPr="00ED6BD3">
        <w:rPr>
          <w:i/>
          <w:lang w:val="en-GB"/>
        </w:rPr>
        <w:t xml:space="preserve">Eur. J. Ind. </w:t>
      </w:r>
      <w:proofErr w:type="spellStart"/>
      <w:r w:rsidRPr="00ED6BD3">
        <w:rPr>
          <w:i/>
          <w:lang w:val="en-GB"/>
        </w:rPr>
        <w:t>Relat</w:t>
      </w:r>
      <w:proofErr w:type="spellEnd"/>
      <w:r w:rsidRPr="00ED6BD3">
        <w:rPr>
          <w:i/>
          <w:lang w:val="en-GB"/>
        </w:rPr>
        <w:t>.</w:t>
      </w:r>
      <w:r w:rsidRPr="00ED6BD3">
        <w:rPr>
          <w:lang w:val="en-GB"/>
        </w:rPr>
        <w:t xml:space="preserve"> 2002,</w:t>
      </w:r>
      <w:r>
        <w:rPr>
          <w:lang w:val="en-GB"/>
        </w:rPr>
        <w:t xml:space="preserve"> 169-170; </w:t>
      </w:r>
      <w:proofErr w:type="spellStart"/>
      <w:r w:rsidRPr="00390EC5">
        <w:rPr>
          <w:lang w:val="en-GB"/>
        </w:rPr>
        <w:t>McColgan</w:t>
      </w:r>
      <w:proofErr w:type="spellEnd"/>
      <w:r w:rsidRPr="00390EC5">
        <w:rPr>
          <w:lang w:val="en-GB"/>
        </w:rPr>
        <w:t xml:space="preserve"> A., “Family Friendly Frolics? The Maternity and Parental Leave etc. Regulations 1999”, </w:t>
      </w:r>
      <w:r w:rsidRPr="00390EC5">
        <w:rPr>
          <w:i/>
          <w:lang w:val="en-GB"/>
        </w:rPr>
        <w:t>Ind. L. J.</w:t>
      </w:r>
      <w:r w:rsidRPr="00390EC5">
        <w:rPr>
          <w:lang w:val="en-GB"/>
        </w:rPr>
        <w:t xml:space="preserve"> 2000, </w:t>
      </w:r>
      <w:r>
        <w:rPr>
          <w:lang w:val="en-GB"/>
        </w:rPr>
        <w:t xml:space="preserve">143; </w:t>
      </w:r>
      <w:r w:rsidRPr="00B82E14">
        <w:rPr>
          <w:lang w:val="en-US"/>
        </w:rPr>
        <w:t>Weldon-Johns M.,</w:t>
      </w:r>
      <w:r>
        <w:rPr>
          <w:lang w:val="en-US"/>
        </w:rPr>
        <w:t xml:space="preserve"> op. cit., 7-9 and 11-14.  </w:t>
      </w:r>
    </w:p>
  </w:footnote>
  <w:footnote w:id="603">
    <w:p w:rsidR="00551E68" w:rsidRPr="00AD2654" w:rsidRDefault="00551E68" w:rsidP="005869B3">
      <w:pPr>
        <w:pStyle w:val="Voetnoottekst"/>
        <w:jc w:val="both"/>
        <w:rPr>
          <w:lang w:val="en-GB"/>
        </w:rPr>
      </w:pPr>
      <w:r>
        <w:rPr>
          <w:rStyle w:val="Voetnootmarkering"/>
        </w:rPr>
        <w:footnoteRef/>
      </w:r>
      <w:r>
        <w:rPr>
          <w:lang w:val="en-US"/>
        </w:rPr>
        <w:t xml:space="preserve"> </w:t>
      </w:r>
      <w:r w:rsidRPr="006A6696">
        <w:rPr>
          <w:lang w:val="en-US"/>
        </w:rPr>
        <w:t xml:space="preserve">Collins H., </w:t>
      </w:r>
      <w:r w:rsidRPr="006A6696">
        <w:rPr>
          <w:i/>
          <w:lang w:val="en-US"/>
        </w:rPr>
        <w:t>The EU Pregnancy Directive</w:t>
      </w:r>
      <w:r w:rsidRPr="006A6696">
        <w:rPr>
          <w:lang w:val="en-US"/>
        </w:rPr>
        <w:t>, Oxford, Blackwell Publishers, 1994,</w:t>
      </w:r>
      <w:r>
        <w:rPr>
          <w:lang w:val="en-US"/>
        </w:rPr>
        <w:t xml:space="preserve"> 31; </w:t>
      </w:r>
      <w:r w:rsidRPr="007F1091">
        <w:rPr>
          <w:lang w:val="en-US"/>
        </w:rPr>
        <w:t xml:space="preserve">Drew E., </w:t>
      </w:r>
      <w:r w:rsidRPr="007F1091">
        <w:rPr>
          <w:i/>
          <w:lang w:val="en-US"/>
        </w:rPr>
        <w:t>Parental Leave in Council of Europe Member States</w:t>
      </w:r>
      <w:r w:rsidRPr="007F1091">
        <w:rPr>
          <w:lang w:val="en-US"/>
        </w:rPr>
        <w:t xml:space="preserve">, Strasbourg, Directorate General of Human Rights, 2005, </w:t>
      </w:r>
      <w:r>
        <w:rPr>
          <w:lang w:val="en-US"/>
        </w:rPr>
        <w:t>14; Morris A., “Workers first, women second?” in</w:t>
      </w:r>
      <w:r w:rsidRPr="00AD2654">
        <w:rPr>
          <w:lang w:val="en-GB"/>
        </w:rPr>
        <w:t xml:space="preserve"> Morris A. and O’Donnell T. (eds.), </w:t>
      </w:r>
      <w:r w:rsidRPr="00AD2654">
        <w:rPr>
          <w:i/>
          <w:lang w:val="en-GB"/>
        </w:rPr>
        <w:t>Feminist Perspectives on Employment Law</w:t>
      </w:r>
      <w:r w:rsidRPr="00AD2654">
        <w:rPr>
          <w:lang w:val="en-GB"/>
        </w:rPr>
        <w:t xml:space="preserve">, London, Cavendish Publishing Limited, 1999, </w:t>
      </w:r>
      <w:r>
        <w:rPr>
          <w:lang w:val="en-GB"/>
        </w:rPr>
        <w:t>194; S</w:t>
      </w:r>
      <w:r>
        <w:rPr>
          <w:lang w:val="en-US"/>
        </w:rPr>
        <w:t>haw J., Hunt J. and Wallace C. op. cit.</w:t>
      </w:r>
      <w:r w:rsidRPr="00AD2654">
        <w:rPr>
          <w:lang w:val="en-US"/>
        </w:rPr>
        <w:t>, 384;</w:t>
      </w:r>
      <w:r w:rsidRPr="00910D5F">
        <w:rPr>
          <w:lang w:val="en-GB"/>
        </w:rPr>
        <w:t xml:space="preserve"> </w:t>
      </w:r>
      <w:r>
        <w:rPr>
          <w:lang w:val="en-GB"/>
        </w:rPr>
        <w:t>Social Charter monographs, op. cit., 83.</w:t>
      </w:r>
    </w:p>
  </w:footnote>
  <w:footnote w:id="604">
    <w:p w:rsidR="00551E68" w:rsidRPr="002477A5" w:rsidRDefault="00551E68" w:rsidP="005869B3">
      <w:pPr>
        <w:pStyle w:val="Voetnoottekst"/>
        <w:jc w:val="both"/>
        <w:rPr>
          <w:lang w:val="en-US"/>
        </w:rPr>
      </w:pPr>
      <w:r>
        <w:rPr>
          <w:rStyle w:val="Voetnootmarkering"/>
        </w:rPr>
        <w:footnoteRef/>
      </w:r>
      <w:r>
        <w:rPr>
          <w:lang w:val="en-US"/>
        </w:rPr>
        <w:t xml:space="preserve"> </w:t>
      </w:r>
      <w:proofErr w:type="spellStart"/>
      <w:r w:rsidRPr="002477A5">
        <w:rPr>
          <w:lang w:val="en-US"/>
        </w:rPr>
        <w:t>Bruning</w:t>
      </w:r>
      <w:proofErr w:type="spellEnd"/>
      <w:r w:rsidRPr="002477A5">
        <w:rPr>
          <w:lang w:val="en-US"/>
        </w:rPr>
        <w:t xml:space="preserve"> G. and </w:t>
      </w:r>
      <w:proofErr w:type="spellStart"/>
      <w:r w:rsidRPr="002477A5">
        <w:rPr>
          <w:lang w:val="en-US"/>
        </w:rPr>
        <w:t>Plantenga</w:t>
      </w:r>
      <w:proofErr w:type="spellEnd"/>
      <w:r w:rsidRPr="002477A5">
        <w:rPr>
          <w:lang w:val="en-US"/>
        </w:rPr>
        <w:t xml:space="preserve"> J., “Parental Leave and Equal Opportunities: Experiences in Eight European Countries”, </w:t>
      </w:r>
      <w:r w:rsidRPr="002477A5">
        <w:rPr>
          <w:i/>
          <w:lang w:val="en-US"/>
        </w:rPr>
        <w:t>JESP</w:t>
      </w:r>
      <w:r w:rsidRPr="002477A5">
        <w:rPr>
          <w:lang w:val="en-US"/>
        </w:rPr>
        <w:t xml:space="preserve"> 1999, </w:t>
      </w:r>
      <w:r>
        <w:rPr>
          <w:lang w:val="en-US"/>
        </w:rPr>
        <w:t xml:space="preserve">207; </w:t>
      </w:r>
      <w:r w:rsidRPr="001C26FD">
        <w:rPr>
          <w:lang w:val="en-US"/>
        </w:rPr>
        <w:t xml:space="preserve">European Institute for Gender Equality, </w:t>
      </w:r>
      <w:r w:rsidRPr="001C26FD">
        <w:rPr>
          <w:i/>
          <w:lang w:val="en-US"/>
        </w:rPr>
        <w:t>Review of the Implementation of the Beijing Platform for Action: Women and the Economy</w:t>
      </w:r>
      <w:r w:rsidRPr="001C26FD">
        <w:rPr>
          <w:lang w:val="en-US"/>
        </w:rPr>
        <w:t xml:space="preserve">, Luxembourg, Publications Office of the European Union, 2011, </w:t>
      </w:r>
      <w:r>
        <w:rPr>
          <w:lang w:val="en-US"/>
        </w:rPr>
        <w:t xml:space="preserve">11; </w:t>
      </w:r>
      <w:r w:rsidRPr="00A92B64">
        <w:rPr>
          <w:lang w:val="en-US"/>
        </w:rPr>
        <w:t xml:space="preserve">Ray R., </w:t>
      </w:r>
      <w:proofErr w:type="spellStart"/>
      <w:r w:rsidRPr="00A92B64">
        <w:rPr>
          <w:lang w:val="en-US"/>
        </w:rPr>
        <w:t>Gornick</w:t>
      </w:r>
      <w:proofErr w:type="spellEnd"/>
      <w:r w:rsidRPr="00A92B64">
        <w:rPr>
          <w:lang w:val="en-US"/>
        </w:rPr>
        <w:t xml:space="preserve"> J. and Schmitt J.,</w:t>
      </w:r>
      <w:r>
        <w:rPr>
          <w:lang w:val="en-US"/>
        </w:rPr>
        <w:t xml:space="preserve"> op. cit., 199.  </w:t>
      </w:r>
    </w:p>
  </w:footnote>
  <w:footnote w:id="605">
    <w:p w:rsidR="00551E68" w:rsidRPr="008A191E" w:rsidRDefault="00551E68" w:rsidP="005869B3">
      <w:pPr>
        <w:pStyle w:val="Voetnoottekst"/>
        <w:jc w:val="both"/>
        <w:rPr>
          <w:lang w:val="en-GB"/>
        </w:rPr>
      </w:pPr>
      <w:r>
        <w:rPr>
          <w:rStyle w:val="Voetnootmarkering"/>
        </w:rPr>
        <w:footnoteRef/>
      </w:r>
      <w:r w:rsidRPr="00791EF0">
        <w:rPr>
          <w:lang w:val="en-US"/>
        </w:rPr>
        <w:t xml:space="preserve"> </w:t>
      </w:r>
      <w:r>
        <w:rPr>
          <w:lang w:val="en-US"/>
        </w:rPr>
        <w:t xml:space="preserve">Clause 2(1) </w:t>
      </w:r>
      <w:r w:rsidRPr="008A191E">
        <w:rPr>
          <w:bCs/>
          <w:lang w:val="en-US"/>
        </w:rPr>
        <w:t>Council Directive 2010/18/EU</w:t>
      </w:r>
      <w:r>
        <w:rPr>
          <w:bCs/>
          <w:lang w:val="en-US"/>
        </w:rPr>
        <w:t xml:space="preserve">. </w:t>
      </w:r>
    </w:p>
  </w:footnote>
  <w:footnote w:id="606">
    <w:p w:rsidR="00551E68" w:rsidRPr="00791EF0" w:rsidRDefault="00551E68" w:rsidP="005869B3">
      <w:pPr>
        <w:pStyle w:val="Voetnoottekst"/>
        <w:jc w:val="both"/>
        <w:rPr>
          <w:lang w:val="en-US"/>
        </w:rPr>
      </w:pPr>
      <w:r>
        <w:rPr>
          <w:rStyle w:val="Voetnootmarkering"/>
        </w:rPr>
        <w:footnoteRef/>
      </w:r>
      <w:r>
        <w:rPr>
          <w:lang w:val="en-US"/>
        </w:rPr>
        <w:t xml:space="preserve"> For example: 1 year in Lithuania and 2 years in Austria and Bulgaria. See the European Job Mobility Portal for data on each member state: </w:t>
      </w:r>
      <w:hyperlink r:id="rId8" w:history="1">
        <w:r w:rsidRPr="00272991">
          <w:rPr>
            <w:rStyle w:val="Hyperlink"/>
            <w:lang w:val="en-US"/>
          </w:rPr>
          <w:t>https://ec.europa.eu/eures/</w:t>
        </w:r>
      </w:hyperlink>
      <w:r>
        <w:rPr>
          <w:lang w:val="en-US"/>
        </w:rPr>
        <w:t xml:space="preserve">. </w:t>
      </w:r>
    </w:p>
  </w:footnote>
  <w:footnote w:id="607">
    <w:p w:rsidR="00551E68" w:rsidRPr="00C44789" w:rsidRDefault="00551E68" w:rsidP="005869B3">
      <w:pPr>
        <w:pStyle w:val="Voetnoottekst"/>
        <w:jc w:val="both"/>
        <w:rPr>
          <w:i/>
          <w:lang w:val="en-US"/>
        </w:rPr>
      </w:pPr>
      <w:r>
        <w:rPr>
          <w:rStyle w:val="Voetnootmarkering"/>
        </w:rPr>
        <w:footnoteRef/>
      </w:r>
      <w:r w:rsidRPr="00C44789">
        <w:rPr>
          <w:lang w:val="en-US"/>
        </w:rPr>
        <w:t xml:space="preserve"> </w:t>
      </w:r>
      <w:proofErr w:type="spellStart"/>
      <w:r w:rsidRPr="00C44789">
        <w:rPr>
          <w:lang w:val="en-US"/>
        </w:rPr>
        <w:t>Caracciolo</w:t>
      </w:r>
      <w:proofErr w:type="spellEnd"/>
      <w:r w:rsidRPr="00C44789">
        <w:rPr>
          <w:lang w:val="en-US"/>
        </w:rPr>
        <w:t xml:space="preserve"> E., op. cit., 335; Weldon-Johns M., op. cit., 8. </w:t>
      </w:r>
    </w:p>
  </w:footnote>
  <w:footnote w:id="608">
    <w:p w:rsidR="00551E68" w:rsidRPr="00AA5117" w:rsidRDefault="00551E68" w:rsidP="005869B3">
      <w:pPr>
        <w:pStyle w:val="Voetnoottekst"/>
        <w:jc w:val="both"/>
        <w:rPr>
          <w:lang w:val="en-US"/>
        </w:rPr>
      </w:pPr>
      <w:r>
        <w:rPr>
          <w:rStyle w:val="Voetnootmarkering"/>
        </w:rPr>
        <w:footnoteRef/>
      </w:r>
      <w:r>
        <w:rPr>
          <w:lang w:val="en-US"/>
        </w:rPr>
        <w:t xml:space="preserve"> Cohen B., “Parental Leave in Europe: Policy Implications” in </w:t>
      </w:r>
      <w:r w:rsidRPr="00F84118">
        <w:rPr>
          <w:lang w:val="en-GB"/>
        </w:rPr>
        <w:t xml:space="preserve">Moss P. and </w:t>
      </w:r>
      <w:proofErr w:type="spellStart"/>
      <w:r w:rsidRPr="00F84118">
        <w:rPr>
          <w:lang w:val="en-GB"/>
        </w:rPr>
        <w:t>Deven</w:t>
      </w:r>
      <w:proofErr w:type="spellEnd"/>
      <w:r w:rsidRPr="00F84118">
        <w:rPr>
          <w:lang w:val="en-GB"/>
        </w:rPr>
        <w:t xml:space="preserve"> F. (eds.), </w:t>
      </w:r>
      <w:r w:rsidRPr="00F84118">
        <w:rPr>
          <w:i/>
          <w:lang w:val="en-GB"/>
        </w:rPr>
        <w:t>Parental Leave: Progress or Pitfall?,</w:t>
      </w:r>
      <w:r>
        <w:rPr>
          <w:lang w:val="en-GB"/>
        </w:rPr>
        <w:t xml:space="preserve"> </w:t>
      </w:r>
      <w:r w:rsidRPr="00F84118">
        <w:rPr>
          <w:lang w:val="en-GB"/>
        </w:rPr>
        <w:t>Brussels, NIDI CBGS Publications, 1999,</w:t>
      </w:r>
      <w:r>
        <w:rPr>
          <w:lang w:val="en-GB"/>
        </w:rPr>
        <w:t xml:space="preserve"> 296-297; </w:t>
      </w:r>
      <w:proofErr w:type="spellStart"/>
      <w:r w:rsidRPr="00780A85">
        <w:rPr>
          <w:lang w:val="en-GB"/>
        </w:rPr>
        <w:t>Hanseguard</w:t>
      </w:r>
      <w:proofErr w:type="spellEnd"/>
      <w:r w:rsidRPr="00780A85">
        <w:rPr>
          <w:lang w:val="en-GB"/>
        </w:rPr>
        <w:t xml:space="preserve"> J., “</w:t>
      </w:r>
      <w:r w:rsidRPr="00780A85">
        <w:rPr>
          <w:lang w:val="en-US"/>
        </w:rPr>
        <w:t xml:space="preserve">For Paternity Leave, Sweden Asks if Two Months Is Enough”, </w:t>
      </w:r>
      <w:r w:rsidRPr="00780A85">
        <w:rPr>
          <w:i/>
          <w:lang w:val="en-US"/>
        </w:rPr>
        <w:t>The Wall Street Journal</w:t>
      </w:r>
      <w:r w:rsidRPr="00780A85">
        <w:rPr>
          <w:lang w:val="en-US"/>
        </w:rPr>
        <w:t>, 31</w:t>
      </w:r>
      <w:r w:rsidRPr="00780A85">
        <w:rPr>
          <w:vertAlign w:val="superscript"/>
          <w:lang w:val="en-US"/>
        </w:rPr>
        <w:t>st</w:t>
      </w:r>
      <w:r w:rsidRPr="00780A85">
        <w:rPr>
          <w:lang w:val="en-US"/>
        </w:rPr>
        <w:t xml:space="preserve"> of July 2012, at: </w:t>
      </w:r>
      <w:hyperlink r:id="rId9" w:history="1">
        <w:r w:rsidRPr="00780A85">
          <w:rPr>
            <w:rStyle w:val="Hyperlink"/>
            <w:lang w:val="en-GB"/>
          </w:rPr>
          <w:t>http://online.wsj.com/article/SB10000872396390444226904577561100020336384.html</w:t>
        </w:r>
      </w:hyperlink>
      <w:r>
        <w:rPr>
          <w:lang w:val="en-GB"/>
        </w:rPr>
        <w:t xml:space="preserve">; </w:t>
      </w:r>
      <w:r w:rsidRPr="00AA5117">
        <w:rPr>
          <w:lang w:val="en-US"/>
        </w:rPr>
        <w:t>Rose</w:t>
      </w:r>
      <w:r>
        <w:rPr>
          <w:lang w:val="en-US"/>
        </w:rPr>
        <w:t>nblum D., op. cit.</w:t>
      </w:r>
      <w:r w:rsidRPr="00AA5117">
        <w:rPr>
          <w:lang w:val="en-US"/>
        </w:rPr>
        <w:t>,</w:t>
      </w:r>
      <w:r>
        <w:rPr>
          <w:lang w:val="en-US"/>
        </w:rPr>
        <w:t xml:space="preserve"> 108-111. </w:t>
      </w:r>
    </w:p>
  </w:footnote>
  <w:footnote w:id="609">
    <w:p w:rsidR="00551E68" w:rsidRPr="00951A53" w:rsidRDefault="00551E68" w:rsidP="005869B3">
      <w:pPr>
        <w:pStyle w:val="Voetnoottekst"/>
        <w:jc w:val="both"/>
        <w:rPr>
          <w:lang w:val="en-US"/>
        </w:rPr>
      </w:pPr>
      <w:r>
        <w:rPr>
          <w:rStyle w:val="Voetnootmarkering"/>
        </w:rPr>
        <w:footnoteRef/>
      </w:r>
      <w:r w:rsidRPr="00791EF0">
        <w:rPr>
          <w:lang w:val="en-US"/>
        </w:rPr>
        <w:t xml:space="preserve"> </w:t>
      </w:r>
      <w:proofErr w:type="spellStart"/>
      <w:r w:rsidRPr="00D63F17">
        <w:rPr>
          <w:lang w:val="en-GB"/>
        </w:rPr>
        <w:t>Oun</w:t>
      </w:r>
      <w:proofErr w:type="spellEnd"/>
      <w:r w:rsidRPr="00D63F17">
        <w:rPr>
          <w:lang w:val="en-GB"/>
        </w:rPr>
        <w:t xml:space="preserve"> I., “Work-Family Conflict in the Nordic Countries: A Comparative Analysis”, </w:t>
      </w:r>
      <w:r w:rsidRPr="00D63F17">
        <w:rPr>
          <w:i/>
          <w:lang w:val="en-GB"/>
        </w:rPr>
        <w:t>J. of Comp. Fam. Stud.</w:t>
      </w:r>
      <w:r w:rsidRPr="00D63F17">
        <w:rPr>
          <w:lang w:val="en-GB"/>
        </w:rPr>
        <w:t xml:space="preserve"> 2012, 1</w:t>
      </w:r>
      <w:r>
        <w:rPr>
          <w:lang w:val="en-GB"/>
        </w:rPr>
        <w:t xml:space="preserve">70; Wall K. and Escobedo A., “Parental leave Policies, Gender Equity and Family Well-Being in Europe: A Comparative Perspective” in </w:t>
      </w:r>
      <w:proofErr w:type="spellStart"/>
      <w:r w:rsidRPr="00951A53">
        <w:rPr>
          <w:lang w:val="en-US"/>
        </w:rPr>
        <w:t>Minguez</w:t>
      </w:r>
      <w:proofErr w:type="spellEnd"/>
      <w:r w:rsidRPr="00951A53">
        <w:rPr>
          <w:lang w:val="en-US"/>
        </w:rPr>
        <w:t xml:space="preserve"> A. (ed.), </w:t>
      </w:r>
      <w:r w:rsidRPr="00951A53">
        <w:rPr>
          <w:i/>
          <w:lang w:val="en-US"/>
        </w:rPr>
        <w:t>Family Well-Being: European Perspectives</w:t>
      </w:r>
      <w:r w:rsidRPr="00951A53">
        <w:rPr>
          <w:lang w:val="en-US"/>
        </w:rPr>
        <w:t>, London – New York, Springer, 2013,</w:t>
      </w:r>
      <w:r>
        <w:rPr>
          <w:lang w:val="en-US"/>
        </w:rPr>
        <w:t xml:space="preserve"> 108. </w:t>
      </w:r>
    </w:p>
  </w:footnote>
  <w:footnote w:id="610">
    <w:p w:rsidR="00551E68" w:rsidRPr="0042160F" w:rsidRDefault="00551E68" w:rsidP="005869B3">
      <w:pPr>
        <w:pStyle w:val="Voetnoottekst"/>
        <w:jc w:val="both"/>
        <w:rPr>
          <w:lang w:val="en-US"/>
        </w:rPr>
      </w:pPr>
      <w:r>
        <w:rPr>
          <w:rStyle w:val="Voetnootmarkering"/>
        </w:rPr>
        <w:footnoteRef/>
      </w:r>
      <w:r w:rsidRPr="00791EF0">
        <w:rPr>
          <w:lang w:val="en-US"/>
        </w:rPr>
        <w:t xml:space="preserve"> </w:t>
      </w:r>
      <w:r>
        <w:rPr>
          <w:lang w:val="en-US"/>
        </w:rPr>
        <w:t xml:space="preserve">Drew E., op. cit., 20-21; </w:t>
      </w:r>
      <w:r w:rsidRPr="007D1FD9">
        <w:rPr>
          <w:lang w:val="en-GB"/>
        </w:rPr>
        <w:t xml:space="preserve">Wells M. and </w:t>
      </w:r>
      <w:proofErr w:type="spellStart"/>
      <w:r w:rsidRPr="007D1FD9">
        <w:rPr>
          <w:lang w:val="en-GB"/>
        </w:rPr>
        <w:t>Sarkadi</w:t>
      </w:r>
      <w:proofErr w:type="spellEnd"/>
      <w:r w:rsidRPr="007D1FD9">
        <w:rPr>
          <w:lang w:val="en-GB"/>
        </w:rPr>
        <w:t xml:space="preserve"> A., “Do Father-Friendly Policies Promote Father-Friendly Child-Rearing Practices? A Review of Swedish Parental Leave and Child Health </w:t>
      </w:r>
      <w:proofErr w:type="spellStart"/>
      <w:r w:rsidRPr="007D1FD9">
        <w:rPr>
          <w:lang w:val="en-GB"/>
        </w:rPr>
        <w:t>Centers</w:t>
      </w:r>
      <w:proofErr w:type="spellEnd"/>
      <w:r w:rsidRPr="007D1FD9">
        <w:rPr>
          <w:lang w:val="en-GB"/>
        </w:rPr>
        <w:t xml:space="preserve">”, </w:t>
      </w:r>
      <w:r w:rsidRPr="007D1FD9">
        <w:rPr>
          <w:i/>
          <w:lang w:val="en-GB"/>
        </w:rPr>
        <w:t>J. Child Fam. Stud</w:t>
      </w:r>
      <w:r w:rsidRPr="007D1FD9">
        <w:rPr>
          <w:lang w:val="en-GB"/>
        </w:rPr>
        <w:t>. 2012, 2</w:t>
      </w:r>
      <w:r>
        <w:rPr>
          <w:lang w:val="en-GB"/>
        </w:rPr>
        <w:t xml:space="preserve">6; </w:t>
      </w:r>
      <w:r w:rsidRPr="0042160F">
        <w:rPr>
          <w:lang w:val="en-GB"/>
        </w:rPr>
        <w:t xml:space="preserve">Wall K. and Escobedo A., “Parental leave Policies, Gender Equity and Family Well-Being in Europe: A Comparative Perspective” in </w:t>
      </w:r>
      <w:proofErr w:type="spellStart"/>
      <w:r w:rsidRPr="0042160F">
        <w:rPr>
          <w:lang w:val="en-US"/>
        </w:rPr>
        <w:t>Minguez</w:t>
      </w:r>
      <w:proofErr w:type="spellEnd"/>
      <w:r w:rsidRPr="0042160F">
        <w:rPr>
          <w:lang w:val="en-US"/>
        </w:rPr>
        <w:t xml:space="preserve"> A. (ed.), </w:t>
      </w:r>
      <w:r w:rsidRPr="0042160F">
        <w:rPr>
          <w:i/>
          <w:lang w:val="en-US"/>
        </w:rPr>
        <w:t>Family Well-Being: European Perspectives</w:t>
      </w:r>
      <w:r w:rsidRPr="0042160F">
        <w:rPr>
          <w:lang w:val="en-US"/>
        </w:rPr>
        <w:t>,</w:t>
      </w:r>
      <w:r>
        <w:rPr>
          <w:lang w:val="en-US"/>
        </w:rPr>
        <w:t xml:space="preserve"> op. cit.</w:t>
      </w:r>
      <w:r w:rsidRPr="0042160F">
        <w:rPr>
          <w:lang w:val="en-US"/>
        </w:rPr>
        <w:t>,</w:t>
      </w:r>
      <w:r>
        <w:rPr>
          <w:lang w:val="en-US"/>
        </w:rPr>
        <w:t xml:space="preserve"> </w:t>
      </w:r>
      <w:r w:rsidRPr="0042160F">
        <w:rPr>
          <w:lang w:val="en-US"/>
        </w:rPr>
        <w:t>10</w:t>
      </w:r>
      <w:r>
        <w:rPr>
          <w:lang w:val="en-US"/>
        </w:rPr>
        <w:t>9.</w:t>
      </w:r>
    </w:p>
  </w:footnote>
  <w:footnote w:id="611">
    <w:p w:rsidR="00551E68" w:rsidRDefault="00551E68" w:rsidP="005869B3">
      <w:pPr>
        <w:pStyle w:val="Voetnoottekst"/>
        <w:jc w:val="both"/>
        <w:rPr>
          <w:lang w:val="en-GB"/>
        </w:rPr>
      </w:pPr>
      <w:r>
        <w:rPr>
          <w:rStyle w:val="Voetnootmarkering"/>
        </w:rPr>
        <w:footnoteRef/>
      </w:r>
      <w:r>
        <w:rPr>
          <w:lang w:val="en-US"/>
        </w:rPr>
        <w:t xml:space="preserve"> </w:t>
      </w:r>
      <w:r w:rsidRPr="00270EDB">
        <w:rPr>
          <w:lang w:val="en-US"/>
        </w:rPr>
        <w:t>European Foundation for the Improvement of Living and Working Conditions, Parental Leave in European companies, Luxembourg, Office of Official Publications of the European Communities, 2007,</w:t>
      </w:r>
      <w:r>
        <w:rPr>
          <w:lang w:val="en-US"/>
        </w:rPr>
        <w:t xml:space="preserve"> 10-11; </w:t>
      </w:r>
      <w:proofErr w:type="spellStart"/>
      <w:r w:rsidRPr="00A13520">
        <w:rPr>
          <w:lang w:val="en-US"/>
        </w:rPr>
        <w:t>Bruning</w:t>
      </w:r>
      <w:proofErr w:type="spellEnd"/>
      <w:r w:rsidRPr="00A13520">
        <w:rPr>
          <w:lang w:val="en-US"/>
        </w:rPr>
        <w:t xml:space="preserve"> G. and </w:t>
      </w:r>
      <w:proofErr w:type="spellStart"/>
      <w:r w:rsidRPr="00A13520">
        <w:rPr>
          <w:lang w:val="en-US"/>
        </w:rPr>
        <w:t>P</w:t>
      </w:r>
      <w:r>
        <w:rPr>
          <w:lang w:val="en-US"/>
        </w:rPr>
        <w:t>lantenga</w:t>
      </w:r>
      <w:proofErr w:type="spellEnd"/>
      <w:r>
        <w:rPr>
          <w:lang w:val="en-US"/>
        </w:rPr>
        <w:t xml:space="preserve"> J., op. cit., 200 and 202; </w:t>
      </w:r>
      <w:r w:rsidRPr="00192E41">
        <w:rPr>
          <w:lang w:val="en-GB"/>
        </w:rPr>
        <w:t xml:space="preserve">Organization for Economic Co-operation and Development, </w:t>
      </w:r>
      <w:r w:rsidRPr="00192E41">
        <w:rPr>
          <w:i/>
          <w:lang w:val="en-GB"/>
        </w:rPr>
        <w:t>Use of childbirth-related leave by mothers and fathers</w:t>
      </w:r>
      <w:r w:rsidRPr="00192E41">
        <w:rPr>
          <w:lang w:val="en-GB"/>
        </w:rPr>
        <w:t xml:space="preserve">, 2010, </w:t>
      </w:r>
      <w:r>
        <w:rPr>
          <w:lang w:val="en-GB"/>
        </w:rPr>
        <w:t>available at:</w:t>
      </w:r>
    </w:p>
    <w:p w:rsidR="00551E68" w:rsidRPr="00791EF0" w:rsidRDefault="00551E68" w:rsidP="005869B3">
      <w:pPr>
        <w:pStyle w:val="Voetnoottekst"/>
        <w:jc w:val="both"/>
        <w:rPr>
          <w:lang w:val="en-US"/>
        </w:rPr>
      </w:pPr>
      <w:hyperlink r:id="rId10" w:history="1">
        <w:r w:rsidRPr="00192E41">
          <w:rPr>
            <w:rStyle w:val="Hyperlink"/>
            <w:lang w:val="en-US"/>
          </w:rPr>
          <w:t>http://www.oecd.org/social/soc/41927348.pdf</w:t>
        </w:r>
      </w:hyperlink>
      <w:r w:rsidRPr="00192E41">
        <w:rPr>
          <w:lang w:val="en-GB"/>
        </w:rPr>
        <w:t xml:space="preserve"> </w:t>
      </w:r>
      <w:r>
        <w:rPr>
          <w:lang w:val="en-GB"/>
        </w:rPr>
        <w:t xml:space="preserve">. </w:t>
      </w:r>
    </w:p>
  </w:footnote>
  <w:footnote w:id="612">
    <w:p w:rsidR="00551E68" w:rsidRPr="00A57BB1" w:rsidRDefault="00551E68" w:rsidP="005869B3">
      <w:pPr>
        <w:pStyle w:val="Voetnoottekst"/>
        <w:jc w:val="both"/>
        <w:rPr>
          <w:lang w:val="en-GB"/>
        </w:rPr>
      </w:pPr>
      <w:r>
        <w:rPr>
          <w:rStyle w:val="Voetnootmarkering"/>
        </w:rPr>
        <w:footnoteRef/>
      </w:r>
      <w:r>
        <w:rPr>
          <w:lang w:val="en-US"/>
        </w:rPr>
        <w:t xml:space="preserve"> </w:t>
      </w:r>
      <w:r w:rsidRPr="00A57BB1">
        <w:rPr>
          <w:lang w:val="en-GB"/>
        </w:rPr>
        <w:t xml:space="preserve">Bergmann B., “Long Leaves, Child Well-Being, and Gender Equality”, </w:t>
      </w:r>
      <w:r w:rsidRPr="00A57BB1">
        <w:rPr>
          <w:i/>
          <w:lang w:val="en-GB"/>
        </w:rPr>
        <w:t xml:space="preserve">Politics &amp; Society </w:t>
      </w:r>
      <w:r w:rsidRPr="00A57BB1">
        <w:rPr>
          <w:lang w:val="en-GB"/>
        </w:rPr>
        <w:t xml:space="preserve">2008, </w:t>
      </w:r>
      <w:r>
        <w:rPr>
          <w:lang w:val="en-GB"/>
        </w:rPr>
        <w:t xml:space="preserve">352; </w:t>
      </w:r>
      <w:r w:rsidRPr="0054568B">
        <w:rPr>
          <w:lang w:val="en-US"/>
        </w:rPr>
        <w:t xml:space="preserve">Ekberg J., Eriksson R. and </w:t>
      </w:r>
      <w:proofErr w:type="spellStart"/>
      <w:r w:rsidRPr="0054568B">
        <w:rPr>
          <w:lang w:val="en-US"/>
        </w:rPr>
        <w:t>Friebel</w:t>
      </w:r>
      <w:proofErr w:type="spellEnd"/>
      <w:r w:rsidRPr="0054568B">
        <w:rPr>
          <w:lang w:val="en-US"/>
        </w:rPr>
        <w:t xml:space="preserve"> G., “Parental leave – A policy evaluation of the Swedish “Daddy-Month” reform”, </w:t>
      </w:r>
      <w:r w:rsidRPr="0054568B">
        <w:rPr>
          <w:i/>
          <w:lang w:val="en-US"/>
        </w:rPr>
        <w:t xml:space="preserve">J. of Public Economics </w:t>
      </w:r>
      <w:r w:rsidRPr="0054568B">
        <w:rPr>
          <w:lang w:val="en-US"/>
        </w:rPr>
        <w:t>2013, 1</w:t>
      </w:r>
      <w:r>
        <w:rPr>
          <w:lang w:val="en-US"/>
        </w:rPr>
        <w:t xml:space="preserve">42. </w:t>
      </w:r>
    </w:p>
  </w:footnote>
  <w:footnote w:id="613">
    <w:p w:rsidR="00551E68" w:rsidRPr="00791EF0" w:rsidRDefault="00551E68" w:rsidP="005869B3">
      <w:pPr>
        <w:pStyle w:val="Voetnoottekst"/>
        <w:jc w:val="both"/>
        <w:rPr>
          <w:lang w:val="en-US"/>
        </w:rPr>
      </w:pPr>
      <w:r>
        <w:rPr>
          <w:rStyle w:val="Voetnootmarkering"/>
        </w:rPr>
        <w:footnoteRef/>
      </w:r>
      <w:r w:rsidRPr="00791EF0">
        <w:rPr>
          <w:lang w:val="en-US"/>
        </w:rPr>
        <w:t xml:space="preserve"> Article 33(2) EU Charter. </w:t>
      </w:r>
    </w:p>
  </w:footnote>
  <w:footnote w:id="614">
    <w:p w:rsidR="00551E68" w:rsidRPr="005305A0" w:rsidRDefault="00551E68" w:rsidP="005869B3">
      <w:pPr>
        <w:pStyle w:val="Voetnoottekst"/>
        <w:jc w:val="both"/>
        <w:rPr>
          <w:i/>
          <w:lang w:val="en-GB"/>
        </w:rPr>
      </w:pPr>
      <w:r>
        <w:rPr>
          <w:rStyle w:val="Voetnootmarkering"/>
        </w:rPr>
        <w:footnoteRef/>
      </w:r>
      <w:r>
        <w:rPr>
          <w:lang w:val="en-US"/>
        </w:rPr>
        <w:t xml:space="preserve"> </w:t>
      </w:r>
      <w:proofErr w:type="spellStart"/>
      <w:r w:rsidRPr="005305A0">
        <w:rPr>
          <w:lang w:val="en-GB"/>
        </w:rPr>
        <w:t>Caracciolo</w:t>
      </w:r>
      <w:proofErr w:type="spellEnd"/>
      <w:r w:rsidRPr="005305A0">
        <w:rPr>
          <w:lang w:val="en-GB"/>
        </w:rPr>
        <w:t xml:space="preserve"> E.,</w:t>
      </w:r>
      <w:r>
        <w:rPr>
          <w:lang w:val="en-GB"/>
        </w:rPr>
        <w:t xml:space="preserve"> op. cit., 342-343; </w:t>
      </w:r>
      <w:proofErr w:type="spellStart"/>
      <w:r w:rsidRPr="00651A06">
        <w:rPr>
          <w:lang w:val="en-US"/>
        </w:rPr>
        <w:t>McGlynn</w:t>
      </w:r>
      <w:proofErr w:type="spellEnd"/>
      <w:r w:rsidRPr="00651A06">
        <w:rPr>
          <w:lang w:val="en-US"/>
        </w:rPr>
        <w:t xml:space="preserve"> C., </w:t>
      </w:r>
      <w:r w:rsidRPr="00651A06">
        <w:rPr>
          <w:i/>
          <w:lang w:val="en-US"/>
        </w:rPr>
        <w:t>Families and the European Union</w:t>
      </w:r>
      <w:r w:rsidRPr="00651A06">
        <w:rPr>
          <w:lang w:val="en-US"/>
        </w:rPr>
        <w:t>, Cambridge, Cambridge University Press, 2006,</w:t>
      </w:r>
      <w:r>
        <w:rPr>
          <w:lang w:val="en-US"/>
        </w:rPr>
        <w:t xml:space="preserve"> 97. </w:t>
      </w:r>
    </w:p>
  </w:footnote>
  <w:footnote w:id="615">
    <w:p w:rsidR="00551E68" w:rsidRPr="00225B8C" w:rsidRDefault="00551E68" w:rsidP="005869B3">
      <w:pPr>
        <w:pStyle w:val="Voetnoottekst"/>
        <w:jc w:val="both"/>
        <w:rPr>
          <w:lang w:val="en-US"/>
        </w:rPr>
      </w:pPr>
      <w:r>
        <w:rPr>
          <w:rStyle w:val="Voetnootmarkering"/>
        </w:rPr>
        <w:footnoteRef/>
      </w:r>
      <w:r>
        <w:rPr>
          <w:lang w:val="en-US"/>
        </w:rPr>
        <w:t xml:space="preserve"> ESC Conclusions XIII-2, General Introduction </w:t>
      </w:r>
      <w:r w:rsidRPr="00DB2217">
        <w:rPr>
          <w:lang w:val="en-US"/>
        </w:rPr>
        <w:t>(1995)</w:t>
      </w:r>
      <w:r>
        <w:rPr>
          <w:lang w:val="en-US"/>
        </w:rPr>
        <w:t xml:space="preserve">, 53. </w:t>
      </w:r>
    </w:p>
  </w:footnote>
  <w:footnote w:id="616">
    <w:p w:rsidR="00551E68" w:rsidRPr="001705FA" w:rsidRDefault="00551E68" w:rsidP="005869B3">
      <w:pPr>
        <w:pStyle w:val="Voetnoottekst"/>
        <w:jc w:val="both"/>
        <w:rPr>
          <w:lang w:val="en-US"/>
        </w:rPr>
      </w:pPr>
      <w:r>
        <w:rPr>
          <w:rStyle w:val="Voetnootmarkering"/>
        </w:rPr>
        <w:footnoteRef/>
      </w:r>
      <w:r w:rsidRPr="001705FA">
        <w:rPr>
          <w:lang w:val="en-US"/>
        </w:rPr>
        <w:t xml:space="preserve"> Articles 16 and 17 ESC;</w:t>
      </w:r>
      <w:r w:rsidRPr="00A6206D">
        <w:rPr>
          <w:lang w:val="en-US"/>
        </w:rPr>
        <w:t xml:space="preserve"> ESC Conclusions XIII-2, Italy (1995)</w:t>
      </w:r>
      <w:r>
        <w:rPr>
          <w:lang w:val="en-US"/>
        </w:rPr>
        <w:t xml:space="preserve">, 163; </w:t>
      </w:r>
      <w:r w:rsidRPr="00A6206D">
        <w:rPr>
          <w:lang w:val="en-US"/>
        </w:rPr>
        <w:t>ESC Conclusions XIII-2, Norway (1995)</w:t>
      </w:r>
      <w:r>
        <w:rPr>
          <w:lang w:val="en-US"/>
        </w:rPr>
        <w:t xml:space="preserve">, 163; </w:t>
      </w:r>
      <w:r w:rsidRPr="001705FA">
        <w:rPr>
          <w:lang w:val="en-US"/>
        </w:rPr>
        <w:t>Social C</w:t>
      </w:r>
      <w:r>
        <w:rPr>
          <w:lang w:val="en-US"/>
        </w:rPr>
        <w:t xml:space="preserve">harter monographs, op. cit., 81. </w:t>
      </w:r>
    </w:p>
  </w:footnote>
  <w:footnote w:id="617">
    <w:p w:rsidR="00551E68" w:rsidRPr="00E35653" w:rsidRDefault="00551E68" w:rsidP="005869B3">
      <w:pPr>
        <w:pStyle w:val="Voetnoottekst"/>
        <w:jc w:val="both"/>
        <w:rPr>
          <w:lang w:val="en-US"/>
        </w:rPr>
      </w:pPr>
      <w:r>
        <w:rPr>
          <w:rStyle w:val="Voetnootmarkering"/>
        </w:rPr>
        <w:footnoteRef/>
      </w:r>
      <w:r>
        <w:rPr>
          <w:lang w:val="en-US"/>
        </w:rPr>
        <w:t xml:space="preserve"> Clause 2(1) and (2)</w:t>
      </w:r>
      <w:r w:rsidRPr="00E35653">
        <w:rPr>
          <w:lang w:val="en-US"/>
        </w:rPr>
        <w:t xml:space="preserve"> </w:t>
      </w:r>
      <w:r w:rsidRPr="00E35653">
        <w:rPr>
          <w:bCs/>
          <w:lang w:val="en-US"/>
        </w:rPr>
        <w:t>Council Directive 2010/18/EU</w:t>
      </w:r>
      <w:r>
        <w:rPr>
          <w:bCs/>
          <w:lang w:val="en-US"/>
        </w:rPr>
        <w:t xml:space="preserve">. </w:t>
      </w:r>
    </w:p>
  </w:footnote>
  <w:footnote w:id="618">
    <w:p w:rsidR="00551E68" w:rsidRPr="004C1FEA" w:rsidRDefault="00551E68" w:rsidP="005869B3">
      <w:pPr>
        <w:pStyle w:val="Voetnoottekst"/>
        <w:jc w:val="both"/>
        <w:rPr>
          <w:b/>
          <w:u w:val="single"/>
          <w:lang w:val="en-US"/>
        </w:rPr>
      </w:pPr>
      <w:r>
        <w:rPr>
          <w:rStyle w:val="Voetnootmarkering"/>
        </w:rPr>
        <w:footnoteRef/>
      </w:r>
      <w:r w:rsidRPr="00E35653">
        <w:rPr>
          <w:lang w:val="en-US"/>
        </w:rPr>
        <w:t xml:space="preserve"> </w:t>
      </w:r>
      <w:r w:rsidRPr="001705FA">
        <w:rPr>
          <w:lang w:val="en-US"/>
        </w:rPr>
        <w:t xml:space="preserve">ECJ C-519/03, </w:t>
      </w:r>
      <w:r w:rsidRPr="001705FA">
        <w:rPr>
          <w:i/>
          <w:lang w:val="en-US"/>
        </w:rPr>
        <w:t>Commission of the European Communities v. Luxembourg</w:t>
      </w:r>
      <w:r w:rsidRPr="001705FA">
        <w:rPr>
          <w:lang w:val="en-US"/>
        </w:rPr>
        <w:t>, 2005</w:t>
      </w:r>
      <w:r>
        <w:rPr>
          <w:lang w:val="en-US"/>
        </w:rPr>
        <w:t xml:space="preserve">, para. 32; </w:t>
      </w:r>
      <w:r w:rsidRPr="004C1FEA">
        <w:rPr>
          <w:lang w:val="en-US"/>
        </w:rPr>
        <w:t xml:space="preserve">Watson P., </w:t>
      </w:r>
      <w:r w:rsidRPr="004C1FEA">
        <w:rPr>
          <w:i/>
          <w:lang w:val="en-US"/>
        </w:rPr>
        <w:t>EU Social and Employment Law</w:t>
      </w:r>
      <w:r w:rsidRPr="004C1FEA">
        <w:rPr>
          <w:lang w:val="en-US"/>
        </w:rPr>
        <w:t>, Oxford, Oxford University Press, 2009,</w:t>
      </w:r>
      <w:r>
        <w:rPr>
          <w:lang w:val="en-US"/>
        </w:rPr>
        <w:t xml:space="preserve"> 256. </w:t>
      </w:r>
    </w:p>
  </w:footnote>
  <w:footnote w:id="619">
    <w:p w:rsidR="00551E68" w:rsidRPr="00E35653" w:rsidRDefault="00551E68" w:rsidP="005869B3">
      <w:pPr>
        <w:pStyle w:val="Voetnoottekst"/>
        <w:jc w:val="both"/>
        <w:rPr>
          <w:lang w:val="en-US"/>
        </w:rPr>
      </w:pPr>
      <w:r>
        <w:rPr>
          <w:rStyle w:val="Voetnootmarkering"/>
        </w:rPr>
        <w:footnoteRef/>
      </w:r>
      <w:r w:rsidRPr="00E35653">
        <w:rPr>
          <w:lang w:val="en-US"/>
        </w:rPr>
        <w:t xml:space="preserve"> </w:t>
      </w:r>
      <w:r w:rsidRPr="00001107">
        <w:rPr>
          <w:lang w:val="en-US"/>
        </w:rPr>
        <w:t>RESC Conclusions, Bulgaria (2011)</w:t>
      </w:r>
      <w:r>
        <w:rPr>
          <w:lang w:val="en-US"/>
        </w:rPr>
        <w:t xml:space="preserve">, 297; </w:t>
      </w:r>
      <w:r w:rsidRPr="00DA660B">
        <w:rPr>
          <w:lang w:val="en-US"/>
        </w:rPr>
        <w:t>RESC Conclusions, Estonia (2011)</w:t>
      </w:r>
      <w:r>
        <w:rPr>
          <w:lang w:val="en-US"/>
        </w:rPr>
        <w:t xml:space="preserve">, 376.  </w:t>
      </w:r>
    </w:p>
  </w:footnote>
  <w:footnote w:id="620">
    <w:p w:rsidR="00551E68" w:rsidRPr="00DF4BDE" w:rsidRDefault="00551E68" w:rsidP="005869B3">
      <w:pPr>
        <w:pStyle w:val="Voetnoottekst"/>
        <w:jc w:val="both"/>
        <w:rPr>
          <w:lang w:val="en-US"/>
        </w:rPr>
      </w:pPr>
      <w:r>
        <w:rPr>
          <w:rStyle w:val="Voetnootmarkering"/>
        </w:rPr>
        <w:footnoteRef/>
      </w:r>
      <w:r w:rsidRPr="00DF4BDE">
        <w:rPr>
          <w:lang w:val="en-US"/>
        </w:rPr>
        <w:t xml:space="preserve"> </w:t>
      </w:r>
      <w:r w:rsidRPr="0059538C">
        <w:rPr>
          <w:lang w:val="en-US"/>
        </w:rPr>
        <w:t>RE</w:t>
      </w:r>
      <w:r>
        <w:rPr>
          <w:lang w:val="en-US"/>
        </w:rPr>
        <w:t xml:space="preserve">SC Conclusions, Ireland (2011), 588-589; </w:t>
      </w:r>
      <w:r w:rsidRPr="008C09CF">
        <w:rPr>
          <w:lang w:val="en-US"/>
        </w:rPr>
        <w:t>RESC Conclusions, Turkey (2011)</w:t>
      </w:r>
      <w:r>
        <w:rPr>
          <w:lang w:val="en-US"/>
        </w:rPr>
        <w:t xml:space="preserve">, 1201.  </w:t>
      </w:r>
    </w:p>
  </w:footnote>
  <w:footnote w:id="621">
    <w:p w:rsidR="00551E68" w:rsidRPr="00001107" w:rsidRDefault="00551E68" w:rsidP="005869B3">
      <w:pPr>
        <w:pStyle w:val="Voetnoottekst"/>
        <w:jc w:val="both"/>
        <w:rPr>
          <w:lang w:val="en-US"/>
        </w:rPr>
      </w:pPr>
      <w:r>
        <w:rPr>
          <w:rStyle w:val="Voetnootmarkering"/>
        </w:rPr>
        <w:footnoteRef/>
      </w:r>
      <w:r w:rsidRPr="00DF4BDE">
        <w:rPr>
          <w:lang w:val="en-US"/>
        </w:rPr>
        <w:t xml:space="preserve"> </w:t>
      </w:r>
      <w:r w:rsidRPr="00001107">
        <w:rPr>
          <w:lang w:val="en-US"/>
        </w:rPr>
        <w:t>RESC Conclusions, Bulgaria (2011)</w:t>
      </w:r>
      <w:r>
        <w:rPr>
          <w:lang w:val="en-US"/>
        </w:rPr>
        <w:t xml:space="preserve">, 298; </w:t>
      </w:r>
      <w:r w:rsidRPr="00001107">
        <w:rPr>
          <w:lang w:val="en-US"/>
        </w:rPr>
        <w:t xml:space="preserve"> </w:t>
      </w:r>
      <w:r w:rsidRPr="00DA660B">
        <w:rPr>
          <w:lang w:val="en-US"/>
        </w:rPr>
        <w:t>RESC Conclusions, Estonia (2011)</w:t>
      </w:r>
      <w:r>
        <w:rPr>
          <w:lang w:val="en-US"/>
        </w:rPr>
        <w:t xml:space="preserve">, 377.   </w:t>
      </w:r>
    </w:p>
  </w:footnote>
  <w:footnote w:id="622">
    <w:p w:rsidR="00551E68" w:rsidRPr="00DF4BDE" w:rsidRDefault="00551E68" w:rsidP="005869B3">
      <w:pPr>
        <w:pStyle w:val="Voetnoottekst"/>
        <w:jc w:val="both"/>
        <w:rPr>
          <w:lang w:val="en-US"/>
        </w:rPr>
      </w:pPr>
      <w:r>
        <w:rPr>
          <w:rStyle w:val="Voetnootmarkering"/>
        </w:rPr>
        <w:footnoteRef/>
      </w:r>
      <w:r w:rsidRPr="00DF4BDE">
        <w:rPr>
          <w:lang w:val="en-US"/>
        </w:rPr>
        <w:t xml:space="preserve"> </w:t>
      </w:r>
      <w:r w:rsidRPr="00AE798E">
        <w:rPr>
          <w:lang w:val="en-US"/>
        </w:rPr>
        <w:t>RES</w:t>
      </w:r>
      <w:r>
        <w:rPr>
          <w:lang w:val="en-US"/>
        </w:rPr>
        <w:t xml:space="preserve">C Conclusions, Armenia (2011), 151; </w:t>
      </w:r>
      <w:r w:rsidRPr="00FE04F5">
        <w:rPr>
          <w:lang w:val="en-US"/>
        </w:rPr>
        <w:t>RE</w:t>
      </w:r>
      <w:r>
        <w:rPr>
          <w:lang w:val="en-US"/>
        </w:rPr>
        <w:t xml:space="preserve">SC Conclusions, Ireland (2011), 589. </w:t>
      </w:r>
    </w:p>
  </w:footnote>
  <w:footnote w:id="623">
    <w:p w:rsidR="00551E68" w:rsidRPr="0034510F" w:rsidRDefault="00551E68" w:rsidP="005869B3">
      <w:pPr>
        <w:pStyle w:val="Voetnoottekst"/>
        <w:jc w:val="both"/>
        <w:rPr>
          <w:lang w:val="fr-FR"/>
        </w:rPr>
      </w:pPr>
      <w:r>
        <w:rPr>
          <w:rStyle w:val="Voetnootmarkering"/>
        </w:rPr>
        <w:footnoteRef/>
      </w:r>
      <w:r w:rsidRPr="0034510F">
        <w:rPr>
          <w:lang w:val="fr-FR"/>
        </w:rPr>
        <w:t xml:space="preserve"> Clause 5(4) </w:t>
      </w:r>
      <w:r w:rsidRPr="0034510F">
        <w:rPr>
          <w:bCs/>
          <w:lang w:val="fr-FR"/>
        </w:rPr>
        <w:t xml:space="preserve">Council Directive 2010/18/EU. </w:t>
      </w:r>
      <w:r w:rsidRPr="0034510F">
        <w:rPr>
          <w:lang w:val="fr-FR"/>
        </w:rPr>
        <w:t xml:space="preserve"> </w:t>
      </w:r>
    </w:p>
  </w:footnote>
  <w:footnote w:id="624">
    <w:p w:rsidR="00551E68" w:rsidRPr="00272991" w:rsidRDefault="00551E68" w:rsidP="005869B3">
      <w:pPr>
        <w:pStyle w:val="Voetnoottekst"/>
        <w:jc w:val="both"/>
        <w:rPr>
          <w:lang w:val="fr-FR"/>
        </w:rPr>
      </w:pPr>
      <w:r>
        <w:rPr>
          <w:rStyle w:val="Voetnootmarkering"/>
        </w:rPr>
        <w:footnoteRef/>
      </w:r>
      <w:r w:rsidRPr="005432A0">
        <w:rPr>
          <w:lang w:val="fr-FR"/>
        </w:rPr>
        <w:t xml:space="preserve"> Article 27(3) RESC</w:t>
      </w:r>
      <w:r>
        <w:rPr>
          <w:lang w:val="fr-FR"/>
        </w:rPr>
        <w:t xml:space="preserve">; </w:t>
      </w:r>
      <w:r w:rsidRPr="005432A0">
        <w:rPr>
          <w:lang w:val="fr-FR"/>
        </w:rPr>
        <w:t>RESC Conclusions, Armenia (2007)</w:t>
      </w:r>
      <w:r>
        <w:rPr>
          <w:lang w:val="fr-FR"/>
        </w:rPr>
        <w:t xml:space="preserve">, 143; </w:t>
      </w:r>
      <w:r w:rsidRPr="00272991">
        <w:rPr>
          <w:lang w:val="fr-FR"/>
        </w:rPr>
        <w:t xml:space="preserve">RESC Conclusions, </w:t>
      </w:r>
      <w:proofErr w:type="spellStart"/>
      <w:r w:rsidRPr="00272991">
        <w:rPr>
          <w:lang w:val="fr-FR"/>
        </w:rPr>
        <w:t>Finland</w:t>
      </w:r>
      <w:proofErr w:type="spellEnd"/>
      <w:r w:rsidRPr="00272991">
        <w:rPr>
          <w:lang w:val="fr-FR"/>
        </w:rPr>
        <w:t xml:space="preserve"> (2011), 416-417. </w:t>
      </w:r>
    </w:p>
  </w:footnote>
  <w:footnote w:id="625">
    <w:p w:rsidR="00551E68" w:rsidRPr="001705FA" w:rsidRDefault="00551E68" w:rsidP="005869B3">
      <w:pPr>
        <w:pStyle w:val="Voetnoottekst"/>
        <w:jc w:val="both"/>
        <w:rPr>
          <w:lang w:val="fr-FR"/>
        </w:rPr>
      </w:pPr>
      <w:r>
        <w:rPr>
          <w:rStyle w:val="Voetnootmarkering"/>
        </w:rPr>
        <w:footnoteRef/>
      </w:r>
      <w:r w:rsidRPr="001705FA">
        <w:rPr>
          <w:lang w:val="fr-FR"/>
        </w:rPr>
        <w:t xml:space="preserve"> Article 8 ECHR.</w:t>
      </w:r>
    </w:p>
  </w:footnote>
  <w:footnote w:id="626">
    <w:p w:rsidR="00551E68" w:rsidRPr="00D65AE9" w:rsidRDefault="00551E68" w:rsidP="005869B3">
      <w:pPr>
        <w:pStyle w:val="Voetnoottekst"/>
        <w:jc w:val="both"/>
        <w:rPr>
          <w:lang w:val="fr-FR"/>
        </w:rPr>
      </w:pPr>
      <w:r>
        <w:rPr>
          <w:rStyle w:val="Voetnootmarkering"/>
        </w:rPr>
        <w:footnoteRef/>
      </w:r>
      <w:r w:rsidRPr="00D65AE9">
        <w:rPr>
          <w:lang w:val="fr-FR"/>
        </w:rPr>
        <w:t xml:space="preserve"> Article 14 ECHR. </w:t>
      </w:r>
    </w:p>
  </w:footnote>
  <w:footnote w:id="627">
    <w:p w:rsidR="00551E68" w:rsidRPr="00D65AE9" w:rsidRDefault="00551E68" w:rsidP="005869B3">
      <w:pPr>
        <w:pStyle w:val="Voetnoottekst"/>
        <w:jc w:val="both"/>
        <w:rPr>
          <w:u w:val="single"/>
          <w:lang w:val="fr-FR"/>
        </w:rPr>
      </w:pPr>
      <w:r>
        <w:rPr>
          <w:rStyle w:val="Voetnootmarkering"/>
        </w:rPr>
        <w:footnoteRef/>
      </w:r>
      <w:r w:rsidRPr="00D65AE9">
        <w:rPr>
          <w:lang w:val="fr-FR"/>
        </w:rPr>
        <w:t xml:space="preserve"> </w:t>
      </w:r>
      <w:proofErr w:type="spellStart"/>
      <w:r w:rsidRPr="00D65AE9">
        <w:rPr>
          <w:lang w:val="fr-FR"/>
        </w:rPr>
        <w:t>ECtHR</w:t>
      </w:r>
      <w:proofErr w:type="spellEnd"/>
      <w:r w:rsidRPr="00D65AE9">
        <w:rPr>
          <w:lang w:val="fr-FR"/>
        </w:rPr>
        <w:t xml:space="preserve">, </w:t>
      </w:r>
      <w:r w:rsidRPr="00D65AE9">
        <w:rPr>
          <w:i/>
          <w:lang w:val="fr-FR"/>
        </w:rPr>
        <w:t xml:space="preserve">Petrovic v. </w:t>
      </w:r>
      <w:proofErr w:type="spellStart"/>
      <w:r w:rsidRPr="00D65AE9">
        <w:rPr>
          <w:i/>
          <w:lang w:val="fr-FR"/>
        </w:rPr>
        <w:t>Austria</w:t>
      </w:r>
      <w:proofErr w:type="spellEnd"/>
      <w:r w:rsidRPr="00D65AE9">
        <w:rPr>
          <w:lang w:val="fr-FR"/>
        </w:rPr>
        <w:t xml:space="preserve">, 1998. </w:t>
      </w:r>
    </w:p>
  </w:footnote>
  <w:footnote w:id="628">
    <w:p w:rsidR="00551E68" w:rsidRPr="00A87598" w:rsidRDefault="00551E68" w:rsidP="005869B3">
      <w:pPr>
        <w:pStyle w:val="Voetnoottekst"/>
        <w:jc w:val="both"/>
        <w:rPr>
          <w:lang w:val="en-US"/>
        </w:rPr>
      </w:pPr>
      <w:r>
        <w:rPr>
          <w:rStyle w:val="Voetnootmarkering"/>
        </w:rPr>
        <w:footnoteRef/>
      </w:r>
      <w:r w:rsidRPr="00A87598">
        <w:rPr>
          <w:lang w:val="en-US"/>
        </w:rPr>
        <w:t xml:space="preserve"> </w:t>
      </w:r>
      <w:proofErr w:type="spellStart"/>
      <w:r w:rsidRPr="00A87598">
        <w:rPr>
          <w:lang w:val="en-US"/>
        </w:rPr>
        <w:t>ECtHR</w:t>
      </w:r>
      <w:proofErr w:type="spellEnd"/>
      <w:r w:rsidRPr="00A87598">
        <w:rPr>
          <w:lang w:val="en-US"/>
        </w:rPr>
        <w:t xml:space="preserve">, </w:t>
      </w:r>
      <w:proofErr w:type="spellStart"/>
      <w:r w:rsidRPr="00A87598">
        <w:rPr>
          <w:i/>
          <w:lang w:val="en-US"/>
        </w:rPr>
        <w:t>Petrovic</w:t>
      </w:r>
      <w:proofErr w:type="spellEnd"/>
      <w:r w:rsidRPr="00A87598">
        <w:rPr>
          <w:i/>
          <w:lang w:val="en-US"/>
        </w:rPr>
        <w:t xml:space="preserve"> v. Austria</w:t>
      </w:r>
      <w:r w:rsidRPr="00A87598">
        <w:rPr>
          <w:lang w:val="en-US"/>
        </w:rPr>
        <w:t>, 1998, paras 7-10 and 39.</w:t>
      </w:r>
      <w:r>
        <w:rPr>
          <w:lang w:val="en-US"/>
        </w:rPr>
        <w:t xml:space="preserve"> </w:t>
      </w:r>
    </w:p>
  </w:footnote>
  <w:footnote w:id="629">
    <w:p w:rsidR="00551E68" w:rsidRPr="00E934BC" w:rsidRDefault="00551E68" w:rsidP="005869B3">
      <w:pPr>
        <w:pStyle w:val="Voetnoottekst"/>
        <w:jc w:val="both"/>
        <w:rPr>
          <w:lang w:val="en-US"/>
        </w:rPr>
      </w:pPr>
      <w:r>
        <w:rPr>
          <w:rStyle w:val="Voetnootmarkering"/>
        </w:rPr>
        <w:footnoteRef/>
      </w:r>
      <w:r w:rsidRPr="00A87598">
        <w:rPr>
          <w:lang w:val="it-IT"/>
        </w:rPr>
        <w:t xml:space="preserve"> </w:t>
      </w:r>
      <w:r w:rsidRPr="00E36442">
        <w:rPr>
          <w:lang w:val="it-IT"/>
        </w:rPr>
        <w:t xml:space="preserve">ECtHR, </w:t>
      </w:r>
      <w:r w:rsidRPr="00E36442">
        <w:rPr>
          <w:i/>
          <w:lang w:val="it-IT"/>
        </w:rPr>
        <w:t>Petrovic v. Austria</w:t>
      </w:r>
      <w:r w:rsidRPr="00E36442">
        <w:rPr>
          <w:lang w:val="it-IT"/>
        </w:rPr>
        <w:t>, 1998, p</w:t>
      </w:r>
      <w:r>
        <w:rPr>
          <w:lang w:val="it-IT"/>
        </w:rPr>
        <w:t xml:space="preserve">ara. </w:t>
      </w:r>
      <w:r w:rsidRPr="00E934BC">
        <w:rPr>
          <w:lang w:val="en-US"/>
        </w:rPr>
        <w:t>36.</w:t>
      </w:r>
    </w:p>
  </w:footnote>
  <w:footnote w:id="630">
    <w:p w:rsidR="00551E68" w:rsidRPr="00E934BC" w:rsidRDefault="00551E68" w:rsidP="005869B3">
      <w:pPr>
        <w:pStyle w:val="Voetnoottekst"/>
        <w:jc w:val="both"/>
        <w:rPr>
          <w:lang w:val="en-US"/>
        </w:rPr>
      </w:pPr>
      <w:r>
        <w:rPr>
          <w:rStyle w:val="Voetnootmarkering"/>
        </w:rPr>
        <w:footnoteRef/>
      </w:r>
      <w:r w:rsidRPr="00E934BC">
        <w:rPr>
          <w:lang w:val="en-US"/>
        </w:rPr>
        <w:t xml:space="preserve"> </w:t>
      </w:r>
      <w:proofErr w:type="spellStart"/>
      <w:r w:rsidRPr="00E934BC">
        <w:rPr>
          <w:lang w:val="en-US"/>
        </w:rPr>
        <w:t>ECtHR</w:t>
      </w:r>
      <w:proofErr w:type="spellEnd"/>
      <w:r w:rsidRPr="00E934BC">
        <w:rPr>
          <w:lang w:val="en-US"/>
        </w:rPr>
        <w:t xml:space="preserve">, </w:t>
      </w:r>
      <w:r w:rsidRPr="00E934BC">
        <w:rPr>
          <w:i/>
          <w:lang w:val="en-US"/>
        </w:rPr>
        <w:t xml:space="preserve">Konstantin </w:t>
      </w:r>
      <w:proofErr w:type="spellStart"/>
      <w:r w:rsidRPr="00E934BC">
        <w:rPr>
          <w:i/>
          <w:lang w:val="en-US"/>
        </w:rPr>
        <w:t>Markin</w:t>
      </w:r>
      <w:proofErr w:type="spellEnd"/>
      <w:r w:rsidRPr="00E934BC">
        <w:rPr>
          <w:i/>
          <w:lang w:val="en-US"/>
        </w:rPr>
        <w:t xml:space="preserve"> v. Russia</w:t>
      </w:r>
      <w:r w:rsidRPr="00E934BC">
        <w:rPr>
          <w:lang w:val="en-US"/>
        </w:rPr>
        <w:t xml:space="preserve">, 2012, paras 49-55 and 63-64. </w:t>
      </w:r>
    </w:p>
  </w:footnote>
  <w:footnote w:id="631">
    <w:p w:rsidR="00551E68" w:rsidRPr="00E934BC" w:rsidRDefault="00551E68" w:rsidP="005869B3">
      <w:pPr>
        <w:pStyle w:val="Voetnoottekst"/>
        <w:jc w:val="both"/>
        <w:rPr>
          <w:lang w:val="en-US"/>
        </w:rPr>
      </w:pPr>
      <w:r>
        <w:rPr>
          <w:rStyle w:val="Voetnootmarkering"/>
        </w:rPr>
        <w:footnoteRef/>
      </w:r>
      <w:r w:rsidRPr="00E934BC">
        <w:rPr>
          <w:lang w:val="en-US"/>
        </w:rPr>
        <w:t xml:space="preserve"> </w:t>
      </w:r>
      <w:proofErr w:type="spellStart"/>
      <w:r w:rsidRPr="00E934BC">
        <w:rPr>
          <w:lang w:val="en-US"/>
        </w:rPr>
        <w:t>ECtHR</w:t>
      </w:r>
      <w:proofErr w:type="spellEnd"/>
      <w:r w:rsidRPr="00E934BC">
        <w:rPr>
          <w:lang w:val="en-US"/>
        </w:rPr>
        <w:t xml:space="preserve">, </w:t>
      </w:r>
      <w:r w:rsidRPr="00E934BC">
        <w:rPr>
          <w:i/>
          <w:lang w:val="en-US"/>
        </w:rPr>
        <w:t xml:space="preserve">Konstantin </w:t>
      </w:r>
      <w:proofErr w:type="spellStart"/>
      <w:r w:rsidRPr="00E934BC">
        <w:rPr>
          <w:i/>
          <w:lang w:val="en-US"/>
        </w:rPr>
        <w:t>Markin</w:t>
      </w:r>
      <w:proofErr w:type="spellEnd"/>
      <w:r w:rsidRPr="00E934BC">
        <w:rPr>
          <w:i/>
          <w:lang w:val="en-US"/>
        </w:rPr>
        <w:t xml:space="preserve"> v. Russia</w:t>
      </w:r>
      <w:r w:rsidRPr="00E934BC">
        <w:rPr>
          <w:lang w:val="en-US"/>
        </w:rPr>
        <w:t xml:space="preserve">, 2012, paras 139 and 141. </w:t>
      </w:r>
    </w:p>
  </w:footnote>
  <w:footnote w:id="632">
    <w:p w:rsidR="00551E68" w:rsidRPr="00E934BC" w:rsidRDefault="00551E68" w:rsidP="005869B3">
      <w:pPr>
        <w:pStyle w:val="Voetnoottekst"/>
        <w:jc w:val="both"/>
        <w:rPr>
          <w:u w:val="single"/>
          <w:lang w:val="en-US"/>
        </w:rPr>
      </w:pPr>
      <w:r>
        <w:rPr>
          <w:rStyle w:val="Voetnootmarkering"/>
        </w:rPr>
        <w:footnoteRef/>
      </w:r>
      <w:r w:rsidRPr="00387CD9">
        <w:rPr>
          <w:lang w:val="de-DE"/>
        </w:rPr>
        <w:t xml:space="preserve"> </w:t>
      </w:r>
      <w:proofErr w:type="spellStart"/>
      <w:r w:rsidRPr="00387CD9">
        <w:rPr>
          <w:lang w:val="de-DE"/>
        </w:rPr>
        <w:t>ECtHR</w:t>
      </w:r>
      <w:proofErr w:type="spellEnd"/>
      <w:r w:rsidRPr="00387CD9">
        <w:rPr>
          <w:lang w:val="de-DE"/>
        </w:rPr>
        <w:t xml:space="preserve">, </w:t>
      </w:r>
      <w:r w:rsidRPr="00387CD9">
        <w:rPr>
          <w:i/>
          <w:lang w:val="de-DE"/>
        </w:rPr>
        <w:t xml:space="preserve">Konstantin </w:t>
      </w:r>
      <w:proofErr w:type="spellStart"/>
      <w:r w:rsidRPr="00387CD9">
        <w:rPr>
          <w:i/>
          <w:lang w:val="de-DE"/>
        </w:rPr>
        <w:t>Markin</w:t>
      </w:r>
      <w:proofErr w:type="spellEnd"/>
      <w:r w:rsidRPr="00387CD9">
        <w:rPr>
          <w:i/>
          <w:lang w:val="de-DE"/>
        </w:rPr>
        <w:t xml:space="preserve"> v. </w:t>
      </w:r>
      <w:proofErr w:type="spellStart"/>
      <w:r w:rsidRPr="00387CD9">
        <w:rPr>
          <w:i/>
          <w:lang w:val="de-DE"/>
        </w:rPr>
        <w:t>Russia</w:t>
      </w:r>
      <w:proofErr w:type="spellEnd"/>
      <w:r>
        <w:rPr>
          <w:lang w:val="de-DE"/>
        </w:rPr>
        <w:t xml:space="preserve">, 2012, </w:t>
      </w:r>
      <w:proofErr w:type="spellStart"/>
      <w:r>
        <w:rPr>
          <w:lang w:val="de-DE"/>
        </w:rPr>
        <w:t>para</w:t>
      </w:r>
      <w:proofErr w:type="spellEnd"/>
      <w:r>
        <w:rPr>
          <w:lang w:val="de-DE"/>
        </w:rPr>
        <w:t xml:space="preserve">. </w:t>
      </w:r>
      <w:r w:rsidRPr="00E934BC">
        <w:rPr>
          <w:lang w:val="en-US"/>
        </w:rPr>
        <w:t>140.</w:t>
      </w:r>
    </w:p>
  </w:footnote>
  <w:footnote w:id="633">
    <w:p w:rsidR="00551E68" w:rsidRPr="00E934BC" w:rsidRDefault="00551E68" w:rsidP="005869B3">
      <w:pPr>
        <w:pStyle w:val="Voetnoottekst"/>
        <w:jc w:val="both"/>
        <w:rPr>
          <w:lang w:val="en-US"/>
        </w:rPr>
      </w:pPr>
      <w:r>
        <w:rPr>
          <w:rStyle w:val="Voetnootmarkering"/>
        </w:rPr>
        <w:footnoteRef/>
      </w:r>
      <w:r w:rsidRPr="00E934BC">
        <w:rPr>
          <w:lang w:val="en-US"/>
        </w:rPr>
        <w:t xml:space="preserve"> </w:t>
      </w:r>
      <w:proofErr w:type="spellStart"/>
      <w:r w:rsidRPr="00E934BC">
        <w:rPr>
          <w:lang w:val="en-US"/>
        </w:rPr>
        <w:t>ECtHR</w:t>
      </w:r>
      <w:proofErr w:type="spellEnd"/>
      <w:r w:rsidRPr="00E934BC">
        <w:rPr>
          <w:lang w:val="en-US"/>
        </w:rPr>
        <w:t xml:space="preserve">, </w:t>
      </w:r>
      <w:r w:rsidRPr="00E934BC">
        <w:rPr>
          <w:i/>
          <w:lang w:val="en-US"/>
        </w:rPr>
        <w:t xml:space="preserve">Konstantin </w:t>
      </w:r>
      <w:proofErr w:type="spellStart"/>
      <w:r w:rsidRPr="00E934BC">
        <w:rPr>
          <w:i/>
          <w:lang w:val="en-US"/>
        </w:rPr>
        <w:t>Markin</w:t>
      </w:r>
      <w:proofErr w:type="spellEnd"/>
      <w:r w:rsidRPr="00E934BC">
        <w:rPr>
          <w:i/>
          <w:lang w:val="en-US"/>
        </w:rPr>
        <w:t xml:space="preserve"> v. Russia</w:t>
      </w:r>
      <w:r w:rsidRPr="00E934BC">
        <w:rPr>
          <w:lang w:val="en-US"/>
        </w:rPr>
        <w:t xml:space="preserve">, 2012, paras 142-143. </w:t>
      </w:r>
    </w:p>
  </w:footnote>
  <w:footnote w:id="634">
    <w:p w:rsidR="00551E68" w:rsidRPr="00471967" w:rsidRDefault="00551E68" w:rsidP="005869B3">
      <w:pPr>
        <w:pStyle w:val="Voetnoottekst"/>
        <w:jc w:val="both"/>
        <w:rPr>
          <w:lang w:val="en-US"/>
        </w:rPr>
      </w:pPr>
      <w:r>
        <w:rPr>
          <w:rStyle w:val="Voetnootmarkering"/>
        </w:rPr>
        <w:footnoteRef/>
      </w:r>
      <w:r w:rsidRPr="00E934BC">
        <w:rPr>
          <w:lang w:val="en-US"/>
        </w:rPr>
        <w:t xml:space="preserve"> </w:t>
      </w:r>
      <w:proofErr w:type="spellStart"/>
      <w:r w:rsidRPr="00E934BC">
        <w:rPr>
          <w:lang w:val="en-US"/>
        </w:rPr>
        <w:t>ECtHR</w:t>
      </w:r>
      <w:proofErr w:type="spellEnd"/>
      <w:r w:rsidRPr="00E934BC">
        <w:rPr>
          <w:lang w:val="en-US"/>
        </w:rPr>
        <w:t xml:space="preserve">, </w:t>
      </w:r>
      <w:r w:rsidRPr="00E934BC">
        <w:rPr>
          <w:i/>
          <w:lang w:val="en-US"/>
        </w:rPr>
        <w:t xml:space="preserve">Konstantin </w:t>
      </w:r>
      <w:proofErr w:type="spellStart"/>
      <w:r w:rsidRPr="00E934BC">
        <w:rPr>
          <w:i/>
          <w:lang w:val="en-US"/>
        </w:rPr>
        <w:t>Markin</w:t>
      </w:r>
      <w:proofErr w:type="spellEnd"/>
      <w:r w:rsidRPr="00E934BC">
        <w:rPr>
          <w:i/>
          <w:lang w:val="en-US"/>
        </w:rPr>
        <w:t xml:space="preserve"> v. Russia</w:t>
      </w:r>
      <w:r w:rsidRPr="00E934BC">
        <w:rPr>
          <w:lang w:val="en-US"/>
        </w:rPr>
        <w:t xml:space="preserve">, 2012, para. </w:t>
      </w:r>
      <w:r w:rsidRPr="00471967">
        <w:rPr>
          <w:lang w:val="en-US"/>
        </w:rPr>
        <w:t>152. Confirmed in a</w:t>
      </w:r>
      <w:r>
        <w:rPr>
          <w:lang w:val="en-US"/>
        </w:rPr>
        <w:t xml:space="preserve"> subsequent case </w:t>
      </w:r>
      <w:proofErr w:type="spellStart"/>
      <w:r w:rsidRPr="00471967">
        <w:rPr>
          <w:lang w:val="en-US"/>
        </w:rPr>
        <w:t>ECtHR</w:t>
      </w:r>
      <w:proofErr w:type="spellEnd"/>
      <w:r w:rsidRPr="00471967">
        <w:rPr>
          <w:lang w:val="en-US"/>
        </w:rPr>
        <w:t xml:space="preserve">, </w:t>
      </w:r>
      <w:proofErr w:type="spellStart"/>
      <w:r w:rsidRPr="00471967">
        <w:rPr>
          <w:i/>
          <w:lang w:val="en-US"/>
        </w:rPr>
        <w:t>Hulea</w:t>
      </w:r>
      <w:proofErr w:type="spellEnd"/>
      <w:r w:rsidRPr="00471967">
        <w:rPr>
          <w:i/>
          <w:lang w:val="en-US"/>
        </w:rPr>
        <w:t xml:space="preserve"> v. Romania</w:t>
      </w:r>
      <w:r w:rsidRPr="00471967">
        <w:rPr>
          <w:lang w:val="en-US"/>
        </w:rPr>
        <w:t>, 2012</w:t>
      </w:r>
      <w:r>
        <w:rPr>
          <w:lang w:val="en-US"/>
        </w:rPr>
        <w:t>, paras 40-43 and 48.</w:t>
      </w:r>
    </w:p>
  </w:footnote>
  <w:footnote w:id="635">
    <w:p w:rsidR="00551E68" w:rsidRPr="001C0DAA" w:rsidRDefault="00551E68" w:rsidP="005869B3">
      <w:pPr>
        <w:pStyle w:val="Voetnoottekst"/>
        <w:jc w:val="both"/>
        <w:rPr>
          <w:lang w:val="en-US"/>
        </w:rPr>
      </w:pPr>
      <w:r>
        <w:rPr>
          <w:rStyle w:val="Voetnootmarkering"/>
        </w:rPr>
        <w:footnoteRef/>
      </w:r>
      <w:r w:rsidRPr="001C0DAA">
        <w:rPr>
          <w:lang w:val="en-US"/>
        </w:rPr>
        <w:t xml:space="preserve"> </w:t>
      </w:r>
      <w:proofErr w:type="spellStart"/>
      <w:r w:rsidRPr="001C0DAA">
        <w:rPr>
          <w:lang w:val="en-US"/>
        </w:rPr>
        <w:t>ECtHR</w:t>
      </w:r>
      <w:proofErr w:type="spellEnd"/>
      <w:r w:rsidRPr="001C0DAA">
        <w:rPr>
          <w:lang w:val="en-US"/>
        </w:rPr>
        <w:t xml:space="preserve">, </w:t>
      </w:r>
      <w:r w:rsidRPr="001C0DAA">
        <w:rPr>
          <w:i/>
          <w:lang w:val="en-US"/>
        </w:rPr>
        <w:t xml:space="preserve">Konstantin </w:t>
      </w:r>
      <w:proofErr w:type="spellStart"/>
      <w:r w:rsidRPr="001C0DAA">
        <w:rPr>
          <w:i/>
          <w:lang w:val="en-US"/>
        </w:rPr>
        <w:t>Markin</w:t>
      </w:r>
      <w:proofErr w:type="spellEnd"/>
      <w:r w:rsidRPr="001C0DAA">
        <w:rPr>
          <w:i/>
          <w:lang w:val="en-US"/>
        </w:rPr>
        <w:t xml:space="preserve"> v. Russia</w:t>
      </w:r>
      <w:r w:rsidRPr="001C0DAA">
        <w:rPr>
          <w:lang w:val="en-US"/>
        </w:rPr>
        <w:t>,</w:t>
      </w:r>
      <w:r>
        <w:rPr>
          <w:lang w:val="en-US"/>
        </w:rPr>
        <w:t xml:space="preserve"> 2012, </w:t>
      </w:r>
      <w:r w:rsidRPr="001C0DAA">
        <w:rPr>
          <w:lang w:val="en-US"/>
        </w:rPr>
        <w:t>Separate Opinion of</w:t>
      </w:r>
      <w:r>
        <w:rPr>
          <w:lang w:val="en-US"/>
        </w:rPr>
        <w:t xml:space="preserve"> Judge Pinto de Albuquerque, 50 and 59.  </w:t>
      </w:r>
    </w:p>
  </w:footnote>
  <w:footnote w:id="636">
    <w:p w:rsidR="00551E68" w:rsidRPr="00693B5C" w:rsidRDefault="00551E68" w:rsidP="005869B3">
      <w:pPr>
        <w:pStyle w:val="Voetnoottekst"/>
        <w:jc w:val="both"/>
        <w:rPr>
          <w:lang w:val="en-GB"/>
        </w:rPr>
      </w:pPr>
      <w:r>
        <w:rPr>
          <w:rStyle w:val="Voetnootmarkering"/>
        </w:rPr>
        <w:footnoteRef/>
      </w:r>
      <w:r>
        <w:rPr>
          <w:lang w:val="en-GB"/>
        </w:rPr>
        <w:t xml:space="preserve"> </w:t>
      </w:r>
      <w:r w:rsidRPr="00693B5C">
        <w:rPr>
          <w:lang w:val="en-GB"/>
        </w:rPr>
        <w:t>Convention no. 156 on Workers wit</w:t>
      </w:r>
      <w:r>
        <w:rPr>
          <w:lang w:val="en-GB"/>
        </w:rPr>
        <w:t>h Family Responsibilities, 1981.</w:t>
      </w:r>
    </w:p>
  </w:footnote>
  <w:footnote w:id="637">
    <w:p w:rsidR="00551E68" w:rsidRPr="00693B5C" w:rsidRDefault="00551E68" w:rsidP="005869B3">
      <w:pPr>
        <w:pStyle w:val="Voetnoottekst"/>
        <w:jc w:val="both"/>
        <w:rPr>
          <w:lang w:val="en-GB"/>
        </w:rPr>
      </w:pPr>
      <w:r>
        <w:rPr>
          <w:rStyle w:val="Voetnootmarkering"/>
        </w:rPr>
        <w:footnoteRef/>
      </w:r>
      <w:r w:rsidRPr="00693B5C">
        <w:rPr>
          <w:lang w:val="en-US"/>
        </w:rPr>
        <w:t xml:space="preserve"> </w:t>
      </w:r>
      <w:r w:rsidRPr="00693B5C">
        <w:rPr>
          <w:lang w:val="en-GB"/>
        </w:rPr>
        <w:t>Convention no. 183 on Maternity Protection, 2000.</w:t>
      </w:r>
    </w:p>
  </w:footnote>
  <w:footnote w:id="638">
    <w:p w:rsidR="00551E68" w:rsidRPr="00AC04DE" w:rsidRDefault="00551E68" w:rsidP="005869B3">
      <w:pPr>
        <w:pStyle w:val="Voetnoottekst"/>
        <w:jc w:val="both"/>
        <w:rPr>
          <w:u w:val="single"/>
          <w:lang w:val="en-GB"/>
        </w:rPr>
      </w:pPr>
      <w:r>
        <w:rPr>
          <w:rStyle w:val="Voetnootmarkering"/>
        </w:rPr>
        <w:footnoteRef/>
      </w:r>
      <w:r>
        <w:rPr>
          <w:lang w:val="en-US"/>
        </w:rPr>
        <w:t xml:space="preserve"> Paragraph 22(1) </w:t>
      </w:r>
      <w:r w:rsidRPr="00AC04DE">
        <w:rPr>
          <w:lang w:val="en-US"/>
        </w:rPr>
        <w:t>Recommendation no. 165 on Workers wit</w:t>
      </w:r>
      <w:r>
        <w:rPr>
          <w:lang w:val="en-US"/>
        </w:rPr>
        <w:t xml:space="preserve">h Family Responsibilities; Paragraph 10(3) </w:t>
      </w:r>
      <w:r w:rsidRPr="00AC04DE">
        <w:rPr>
          <w:lang w:val="en-GB"/>
        </w:rPr>
        <w:t>Recommendation no. 191</w:t>
      </w:r>
      <w:r>
        <w:rPr>
          <w:lang w:val="en-GB"/>
        </w:rPr>
        <w:t xml:space="preserve"> on Maternity Protection. </w:t>
      </w:r>
    </w:p>
  </w:footnote>
  <w:footnote w:id="639">
    <w:p w:rsidR="00551E68" w:rsidRPr="004D6792" w:rsidRDefault="00551E68" w:rsidP="005869B3">
      <w:pPr>
        <w:pStyle w:val="Voetnoottekst"/>
        <w:jc w:val="both"/>
        <w:rPr>
          <w:lang w:val="en-GB"/>
        </w:rPr>
      </w:pPr>
      <w:r>
        <w:rPr>
          <w:rStyle w:val="Voetnootmarkering"/>
        </w:rPr>
        <w:footnoteRef/>
      </w:r>
      <w:r w:rsidRPr="00793530">
        <w:rPr>
          <w:lang w:val="en-US"/>
        </w:rPr>
        <w:t xml:space="preserve"> </w:t>
      </w:r>
      <w:r>
        <w:rPr>
          <w:lang w:val="en-US"/>
        </w:rPr>
        <w:t xml:space="preserve">Paragraphs 4 and 22(3) </w:t>
      </w:r>
      <w:r w:rsidRPr="00AD4B96">
        <w:rPr>
          <w:lang w:val="en-US"/>
        </w:rPr>
        <w:t>Recommendation no. 165</w:t>
      </w:r>
      <w:r>
        <w:rPr>
          <w:lang w:val="en-US"/>
        </w:rPr>
        <w:t xml:space="preserve">; </w:t>
      </w:r>
      <w:r w:rsidRPr="004D6792">
        <w:rPr>
          <w:lang w:val="en-GB"/>
        </w:rPr>
        <w:t>International Labour Conference, General Survey on the Reports on the Workers with Family Responsibilities Convention no. 156 and Recommendation no. 165, 80</w:t>
      </w:r>
      <w:r w:rsidRPr="004D6792">
        <w:rPr>
          <w:vertAlign w:val="superscript"/>
          <w:lang w:val="en-GB"/>
        </w:rPr>
        <w:t>th</w:t>
      </w:r>
      <w:r>
        <w:rPr>
          <w:lang w:val="en-GB"/>
        </w:rPr>
        <w:t xml:space="preserve"> Session, 1993, 59. </w:t>
      </w:r>
    </w:p>
  </w:footnote>
  <w:footnote w:id="640">
    <w:p w:rsidR="00551E68" w:rsidRPr="0039440B" w:rsidRDefault="00551E68" w:rsidP="005869B3">
      <w:pPr>
        <w:pStyle w:val="Voetnoottekst"/>
        <w:jc w:val="both"/>
        <w:rPr>
          <w:lang w:val="en-GB"/>
        </w:rPr>
      </w:pPr>
      <w:r>
        <w:rPr>
          <w:rStyle w:val="Voetnootmarkering"/>
        </w:rPr>
        <w:footnoteRef/>
      </w:r>
      <w:r w:rsidRPr="00FE7254">
        <w:rPr>
          <w:lang w:val="en-US"/>
        </w:rPr>
        <w:t xml:space="preserve"> </w:t>
      </w:r>
      <w:r>
        <w:rPr>
          <w:lang w:val="en-US"/>
        </w:rPr>
        <w:t xml:space="preserve">Article 3 </w:t>
      </w:r>
      <w:r w:rsidRPr="0039440B">
        <w:rPr>
          <w:lang w:val="en-GB"/>
        </w:rPr>
        <w:t>C</w:t>
      </w:r>
      <w:r>
        <w:rPr>
          <w:lang w:val="en-GB"/>
        </w:rPr>
        <w:t xml:space="preserve">onvention no. 156 and Article 1(1) of </w:t>
      </w:r>
      <w:r w:rsidRPr="0039440B">
        <w:rPr>
          <w:lang w:val="en-GB"/>
        </w:rPr>
        <w:t>Convention no. 111</w:t>
      </w:r>
      <w:r>
        <w:rPr>
          <w:lang w:val="en-GB"/>
        </w:rPr>
        <w:t xml:space="preserve">. </w:t>
      </w:r>
    </w:p>
  </w:footnote>
  <w:footnote w:id="641">
    <w:p w:rsidR="00551E68" w:rsidRPr="005708C9" w:rsidRDefault="00551E68" w:rsidP="005869B3">
      <w:pPr>
        <w:pStyle w:val="Voetnoottekst"/>
        <w:jc w:val="both"/>
        <w:rPr>
          <w:lang w:val="en-US"/>
        </w:rPr>
      </w:pPr>
      <w:r>
        <w:rPr>
          <w:rStyle w:val="Voetnootmarkering"/>
        </w:rPr>
        <w:footnoteRef/>
      </w:r>
      <w:r>
        <w:rPr>
          <w:lang w:val="en-US"/>
        </w:rPr>
        <w:t xml:space="preserve"> Recitals 13 and 14 preamble CEDAW; </w:t>
      </w:r>
      <w:r w:rsidRPr="00E150E2">
        <w:rPr>
          <w:lang w:val="en-US"/>
        </w:rPr>
        <w:t>Rosenblum D.,</w:t>
      </w:r>
      <w:r>
        <w:rPr>
          <w:lang w:val="en-US"/>
        </w:rPr>
        <w:t xml:space="preserve"> op. cit., 98. </w:t>
      </w:r>
      <w:r w:rsidRPr="005708C9">
        <w:rPr>
          <w:lang w:val="en-US"/>
        </w:rPr>
        <w:t xml:space="preserve"> </w:t>
      </w:r>
    </w:p>
  </w:footnote>
  <w:footnote w:id="642">
    <w:p w:rsidR="00551E68" w:rsidRPr="005708C9" w:rsidRDefault="00551E68" w:rsidP="005869B3">
      <w:pPr>
        <w:pStyle w:val="Voetnoottekst"/>
        <w:jc w:val="both"/>
        <w:rPr>
          <w:lang w:val="en-US"/>
        </w:rPr>
      </w:pPr>
      <w:r>
        <w:rPr>
          <w:rStyle w:val="Voetnootmarkering"/>
        </w:rPr>
        <w:footnoteRef/>
      </w:r>
      <w:r w:rsidRPr="005708C9">
        <w:rPr>
          <w:lang w:val="en-US"/>
        </w:rPr>
        <w:t xml:space="preserve"> </w:t>
      </w:r>
      <w:r>
        <w:rPr>
          <w:lang w:val="en-US"/>
        </w:rPr>
        <w:t xml:space="preserve">Article 5, 11 and 16 CEDAW. </w:t>
      </w:r>
    </w:p>
  </w:footnote>
  <w:footnote w:id="643">
    <w:p w:rsidR="00551E68" w:rsidRPr="007002F1" w:rsidRDefault="00551E68" w:rsidP="005869B3">
      <w:pPr>
        <w:pStyle w:val="Voetnoottekst"/>
        <w:jc w:val="both"/>
        <w:rPr>
          <w:b/>
          <w:u w:val="single"/>
          <w:lang w:val="en-US"/>
        </w:rPr>
      </w:pPr>
      <w:r>
        <w:rPr>
          <w:rStyle w:val="Voetnootmarkering"/>
        </w:rPr>
        <w:footnoteRef/>
      </w:r>
      <w:r>
        <w:rPr>
          <w:lang w:val="en-US"/>
        </w:rPr>
        <w:t xml:space="preserve"> </w:t>
      </w:r>
      <w:proofErr w:type="spellStart"/>
      <w:r>
        <w:rPr>
          <w:lang w:val="en-US"/>
        </w:rPr>
        <w:t>Holtmaat</w:t>
      </w:r>
      <w:proofErr w:type="spellEnd"/>
      <w:r>
        <w:rPr>
          <w:lang w:val="en-US"/>
        </w:rPr>
        <w:t xml:space="preserve"> R., “Article 5” in </w:t>
      </w:r>
      <w:r w:rsidRPr="00674A5A">
        <w:rPr>
          <w:lang w:val="en-US"/>
        </w:rPr>
        <w:t xml:space="preserve">Freeman M., </w:t>
      </w:r>
      <w:proofErr w:type="spellStart"/>
      <w:r>
        <w:rPr>
          <w:lang w:val="en-US"/>
        </w:rPr>
        <w:t>Chinkin</w:t>
      </w:r>
      <w:proofErr w:type="spellEnd"/>
      <w:r>
        <w:rPr>
          <w:lang w:val="en-US"/>
        </w:rPr>
        <w:t xml:space="preserve"> C. and </w:t>
      </w:r>
      <w:proofErr w:type="spellStart"/>
      <w:r>
        <w:rPr>
          <w:lang w:val="en-US"/>
        </w:rPr>
        <w:t>Beate</w:t>
      </w:r>
      <w:proofErr w:type="spellEnd"/>
      <w:r>
        <w:rPr>
          <w:lang w:val="en-US"/>
        </w:rPr>
        <w:t xml:space="preserve"> R. (eds.), op. cit., 142 and 144; </w:t>
      </w:r>
      <w:proofErr w:type="spellStart"/>
      <w:r>
        <w:rPr>
          <w:lang w:val="en-US"/>
        </w:rPr>
        <w:t>Rehof</w:t>
      </w:r>
      <w:proofErr w:type="spellEnd"/>
      <w:r>
        <w:rPr>
          <w:lang w:val="en-US"/>
        </w:rPr>
        <w:t xml:space="preserve"> L., op. cit., 78-81. </w:t>
      </w:r>
    </w:p>
  </w:footnote>
  <w:footnote w:id="644">
    <w:p w:rsidR="00551E68" w:rsidRPr="00514617" w:rsidRDefault="00551E68" w:rsidP="005869B3">
      <w:pPr>
        <w:pStyle w:val="Voetnoottekst"/>
        <w:jc w:val="both"/>
        <w:rPr>
          <w:lang w:val="en-US"/>
        </w:rPr>
      </w:pPr>
      <w:r>
        <w:rPr>
          <w:rStyle w:val="Voetnootmarkering"/>
        </w:rPr>
        <w:footnoteRef/>
      </w:r>
      <w:r w:rsidRPr="00D06F17">
        <w:rPr>
          <w:lang w:val="en-US"/>
        </w:rPr>
        <w:t xml:space="preserve"> </w:t>
      </w:r>
      <w:r>
        <w:rPr>
          <w:lang w:val="en-US"/>
        </w:rPr>
        <w:t xml:space="preserve">See for example: </w:t>
      </w:r>
      <w:r w:rsidRPr="00514617">
        <w:rPr>
          <w:lang w:val="en-US"/>
        </w:rPr>
        <w:t>CEDAW CO Czech Republic, A/53/38/Rev.1 (1998), para. 206</w:t>
      </w:r>
      <w:r>
        <w:rPr>
          <w:lang w:val="en-US"/>
        </w:rPr>
        <w:t xml:space="preserve">; </w:t>
      </w:r>
      <w:r w:rsidRPr="00514617">
        <w:rPr>
          <w:lang w:val="en-US"/>
        </w:rPr>
        <w:t>CEDAW CO Estonia, A/57/38 (2002)</w:t>
      </w:r>
      <w:r>
        <w:rPr>
          <w:lang w:val="en-US"/>
        </w:rPr>
        <w:t xml:space="preserve">, paras 107-108; </w:t>
      </w:r>
      <w:r w:rsidRPr="004042C7">
        <w:rPr>
          <w:lang w:val="en-US"/>
        </w:rPr>
        <w:t>CEDAW CO Iceland, A/51/38 (1996)</w:t>
      </w:r>
      <w:r>
        <w:rPr>
          <w:lang w:val="en-US"/>
        </w:rPr>
        <w:t xml:space="preserve">, para. 94; </w:t>
      </w:r>
      <w:r w:rsidRPr="00E320B1">
        <w:rPr>
          <w:lang w:val="en-US"/>
        </w:rPr>
        <w:t>CEDAW CO Luxembourg, CEDAW/C/LUX/CO/5 (2008)</w:t>
      </w:r>
      <w:r>
        <w:rPr>
          <w:lang w:val="en-US"/>
        </w:rPr>
        <w:t xml:space="preserve">, para. 17; </w:t>
      </w:r>
      <w:r w:rsidRPr="00961B69">
        <w:rPr>
          <w:lang w:val="en-US"/>
        </w:rPr>
        <w:t>CEDAW CO Norway, A/58/38 (2003)</w:t>
      </w:r>
      <w:r>
        <w:rPr>
          <w:lang w:val="en-US"/>
        </w:rPr>
        <w:t xml:space="preserve">, para. 430; </w:t>
      </w:r>
      <w:r w:rsidRPr="00902DBE">
        <w:rPr>
          <w:lang w:val="en-US"/>
        </w:rPr>
        <w:t xml:space="preserve">CEDAW </w:t>
      </w:r>
      <w:r>
        <w:rPr>
          <w:lang w:val="en-US"/>
        </w:rPr>
        <w:t xml:space="preserve">CO Switzerland, A/58/38 (2003), para. 131. </w:t>
      </w:r>
    </w:p>
  </w:footnote>
  <w:footnote w:id="645">
    <w:p w:rsidR="00551E68" w:rsidRPr="00781D1B" w:rsidRDefault="00551E68" w:rsidP="005869B3">
      <w:pPr>
        <w:pStyle w:val="Voetnoottekst"/>
        <w:jc w:val="both"/>
        <w:rPr>
          <w:lang w:val="en-US"/>
        </w:rPr>
      </w:pPr>
      <w:r>
        <w:rPr>
          <w:rStyle w:val="Voetnootmarkering"/>
        </w:rPr>
        <w:footnoteRef/>
      </w:r>
      <w:r>
        <w:rPr>
          <w:lang w:val="en-US"/>
        </w:rPr>
        <w:t xml:space="preserve"> </w:t>
      </w:r>
      <w:r w:rsidRPr="00760035">
        <w:rPr>
          <w:lang w:val="en-US"/>
        </w:rPr>
        <w:t>CEDAW</w:t>
      </w:r>
      <w:r>
        <w:rPr>
          <w:lang w:val="en-US"/>
        </w:rPr>
        <w:t xml:space="preserve"> CO Kazakhstan, A/56/38 (2001), para. 89. </w:t>
      </w:r>
    </w:p>
  </w:footnote>
  <w:footnote w:id="646">
    <w:p w:rsidR="00551E68" w:rsidRPr="00B05E52" w:rsidRDefault="00551E68" w:rsidP="005869B3">
      <w:pPr>
        <w:pStyle w:val="Voetnoottekst"/>
        <w:jc w:val="both"/>
        <w:rPr>
          <w:lang w:val="en-US"/>
        </w:rPr>
      </w:pPr>
      <w:r>
        <w:rPr>
          <w:rStyle w:val="Voetnootmarkering"/>
        </w:rPr>
        <w:footnoteRef/>
      </w:r>
      <w:r w:rsidRPr="007D772E">
        <w:rPr>
          <w:lang w:val="en-US"/>
        </w:rPr>
        <w:t xml:space="preserve"> </w:t>
      </w:r>
      <w:r w:rsidRPr="006755F9">
        <w:rPr>
          <w:lang w:val="en-US"/>
        </w:rPr>
        <w:t>CE</w:t>
      </w:r>
      <w:r>
        <w:rPr>
          <w:lang w:val="en-US"/>
        </w:rPr>
        <w:t xml:space="preserve">DAW CO Germany, A/55/38 (2000), paras 313-314; </w:t>
      </w:r>
      <w:r w:rsidRPr="007D772E">
        <w:rPr>
          <w:lang w:val="en-US"/>
        </w:rPr>
        <w:t>CEDAW CO Liechtenstein, A/54/38/Rev.1 (1999)</w:t>
      </w:r>
      <w:r>
        <w:rPr>
          <w:lang w:val="en-US"/>
        </w:rPr>
        <w:t xml:space="preserve">, para. 163. </w:t>
      </w:r>
    </w:p>
  </w:footnote>
  <w:footnote w:id="647">
    <w:p w:rsidR="00551E68" w:rsidRPr="00A64B23" w:rsidRDefault="00551E68" w:rsidP="005869B3">
      <w:pPr>
        <w:pStyle w:val="Voetnoottekst"/>
        <w:jc w:val="both"/>
        <w:rPr>
          <w:lang w:val="en-US"/>
        </w:rPr>
      </w:pPr>
      <w:r>
        <w:rPr>
          <w:rStyle w:val="Voetnootmarkering"/>
        </w:rPr>
        <w:footnoteRef/>
      </w:r>
      <w:r>
        <w:rPr>
          <w:lang w:val="en-US"/>
        </w:rPr>
        <w:t xml:space="preserve"> </w:t>
      </w:r>
      <w:r w:rsidRPr="006755F9">
        <w:rPr>
          <w:lang w:val="en-US"/>
        </w:rPr>
        <w:t>CE</w:t>
      </w:r>
      <w:r>
        <w:rPr>
          <w:lang w:val="en-US"/>
        </w:rPr>
        <w:t xml:space="preserve">DAW CO Germany, A/55/38 (2000), para. 314; </w:t>
      </w:r>
      <w:r w:rsidRPr="00DD322E">
        <w:rPr>
          <w:lang w:val="en-US"/>
        </w:rPr>
        <w:t>CEDAW CO Hungary, A/57/38 (2002)</w:t>
      </w:r>
      <w:r>
        <w:rPr>
          <w:lang w:val="en-US"/>
        </w:rPr>
        <w:t>, para. 320;</w:t>
      </w:r>
      <w:r w:rsidRPr="00A64B23">
        <w:rPr>
          <w:lang w:val="en-US"/>
        </w:rPr>
        <w:t xml:space="preserve"> CEDAW CO Luxembourg, A/55/38 (2000)</w:t>
      </w:r>
      <w:r>
        <w:rPr>
          <w:lang w:val="en-US"/>
        </w:rPr>
        <w:t xml:space="preserve">, para. 396; </w:t>
      </w:r>
      <w:r w:rsidRPr="002F415C">
        <w:rPr>
          <w:lang w:val="en-US"/>
        </w:rPr>
        <w:t>CEDAW CO Montenegro, CEDAW/C/MNE/CO/1 (2011)</w:t>
      </w:r>
      <w:r>
        <w:rPr>
          <w:lang w:val="en-US"/>
        </w:rPr>
        <w:t xml:space="preserve">, paras 28-29. </w:t>
      </w:r>
    </w:p>
  </w:footnote>
  <w:footnote w:id="648">
    <w:p w:rsidR="00551E68" w:rsidRPr="00B1343B" w:rsidRDefault="00551E68" w:rsidP="005869B3">
      <w:pPr>
        <w:pStyle w:val="Voetnoottekst"/>
        <w:jc w:val="both"/>
        <w:rPr>
          <w:lang w:val="en-US"/>
        </w:rPr>
      </w:pPr>
      <w:r>
        <w:rPr>
          <w:rStyle w:val="Voetnootmarkering"/>
        </w:rPr>
        <w:footnoteRef/>
      </w:r>
      <w:r w:rsidRPr="00C356BC">
        <w:rPr>
          <w:lang w:val="en-US"/>
        </w:rPr>
        <w:t xml:space="preserve"> </w:t>
      </w:r>
      <w:r w:rsidRPr="00FD1FEE">
        <w:rPr>
          <w:lang w:val="en-US"/>
        </w:rPr>
        <w:t>CEDAW CO New Zealand, CEDAW/C/NZL/CO/7 (2012)</w:t>
      </w:r>
      <w:r>
        <w:rPr>
          <w:lang w:val="en-US"/>
        </w:rPr>
        <w:t xml:space="preserve">, paras 31-32; </w:t>
      </w:r>
      <w:r w:rsidRPr="00B1343B">
        <w:rPr>
          <w:lang w:val="en-US"/>
        </w:rPr>
        <w:t>CEDAW CO Norway, CEDAW/C/NOR/CO/8 (2012)</w:t>
      </w:r>
      <w:r>
        <w:rPr>
          <w:lang w:val="en-US"/>
        </w:rPr>
        <w:t xml:space="preserve">, para. 30. </w:t>
      </w:r>
    </w:p>
  </w:footnote>
  <w:footnote w:id="649">
    <w:p w:rsidR="00551E68" w:rsidRPr="00C800F3" w:rsidRDefault="00551E68" w:rsidP="005869B3">
      <w:pPr>
        <w:pStyle w:val="Voetnoottekst"/>
        <w:jc w:val="both"/>
        <w:rPr>
          <w:lang w:val="en-US"/>
        </w:rPr>
      </w:pPr>
      <w:r>
        <w:rPr>
          <w:rStyle w:val="Voetnootmarkering"/>
        </w:rPr>
        <w:footnoteRef/>
      </w:r>
      <w:r>
        <w:rPr>
          <w:lang w:val="en-US"/>
        </w:rPr>
        <w:t xml:space="preserve"> </w:t>
      </w:r>
      <w:r w:rsidRPr="0095476D">
        <w:rPr>
          <w:lang w:val="en-US"/>
        </w:rPr>
        <w:t>CEDAW CO Canada, A/58/38 (2003), paras 381-382;</w:t>
      </w:r>
      <w:r w:rsidRPr="00C02C2E">
        <w:rPr>
          <w:lang w:val="en-US"/>
        </w:rPr>
        <w:t xml:space="preserve"> CEDAW CO Italy, CEDAW/C/ITA/CO/6 (2011)</w:t>
      </w:r>
      <w:r>
        <w:rPr>
          <w:lang w:val="en-US"/>
        </w:rPr>
        <w:t xml:space="preserve">, paras 36-37; </w:t>
      </w:r>
      <w:r w:rsidRPr="0095476D">
        <w:rPr>
          <w:lang w:val="en-US"/>
        </w:rPr>
        <w:t>C</w:t>
      </w:r>
      <w:r>
        <w:rPr>
          <w:lang w:val="en-US"/>
        </w:rPr>
        <w:t xml:space="preserve">EDAW CO Japan, CEDAW/C/JNP/CO/6 </w:t>
      </w:r>
      <w:r w:rsidRPr="0095476D">
        <w:rPr>
          <w:lang w:val="en-US"/>
        </w:rPr>
        <w:t xml:space="preserve">(2009), paras 47-48; CEDAW </w:t>
      </w:r>
      <w:r>
        <w:rPr>
          <w:lang w:val="en-US"/>
        </w:rPr>
        <w:t xml:space="preserve">CO New Zealand, A/58/38 (2003), para. 412. </w:t>
      </w:r>
    </w:p>
  </w:footnote>
  <w:footnote w:id="650">
    <w:p w:rsidR="00551E68" w:rsidRPr="00734A1D" w:rsidRDefault="00551E68" w:rsidP="005869B3">
      <w:pPr>
        <w:pStyle w:val="Voetnoottekst"/>
        <w:jc w:val="both"/>
        <w:rPr>
          <w:lang w:val="en-US"/>
        </w:rPr>
      </w:pPr>
      <w:r>
        <w:rPr>
          <w:rStyle w:val="Voetnootmarkering"/>
        </w:rPr>
        <w:footnoteRef/>
      </w:r>
      <w:r w:rsidRPr="0034510F">
        <w:rPr>
          <w:lang w:val="en-US"/>
        </w:rPr>
        <w:t xml:space="preserve"> CEDAW CO Slovenia, A/52/38/Rev. 1 (1997), para. </w:t>
      </w:r>
      <w:r w:rsidRPr="00734A1D">
        <w:rPr>
          <w:lang w:val="en-US"/>
        </w:rPr>
        <w:t xml:space="preserve">115. </w:t>
      </w:r>
    </w:p>
  </w:footnote>
  <w:footnote w:id="651">
    <w:p w:rsidR="00551E68" w:rsidRPr="006D39AF" w:rsidRDefault="00551E68" w:rsidP="005869B3">
      <w:pPr>
        <w:pStyle w:val="Voetnoottekst"/>
        <w:jc w:val="both"/>
        <w:rPr>
          <w:lang w:val="en-US"/>
        </w:rPr>
      </w:pPr>
      <w:r>
        <w:rPr>
          <w:rStyle w:val="Voetnootmarkering"/>
        </w:rPr>
        <w:footnoteRef/>
      </w:r>
      <w:r w:rsidRPr="007D5A01">
        <w:rPr>
          <w:lang w:val="en-US"/>
        </w:rPr>
        <w:t xml:space="preserve"> </w:t>
      </w:r>
      <w:r w:rsidRPr="006D39AF">
        <w:rPr>
          <w:lang w:val="en-US"/>
        </w:rPr>
        <w:t>CEDAW CO Canada, CEDAW/C/CAN/CO/7 (2008)</w:t>
      </w:r>
      <w:r>
        <w:rPr>
          <w:lang w:val="en-US"/>
        </w:rPr>
        <w:t xml:space="preserve">, para. 6; </w:t>
      </w:r>
      <w:r w:rsidRPr="006D39AF">
        <w:rPr>
          <w:lang w:val="en-US"/>
        </w:rPr>
        <w:t>CEDAW CO Luxembourg, A/58/38 (2003)</w:t>
      </w:r>
      <w:r>
        <w:rPr>
          <w:lang w:val="en-US"/>
        </w:rPr>
        <w:t xml:space="preserve">, para. 298. </w:t>
      </w:r>
    </w:p>
  </w:footnote>
  <w:footnote w:id="652">
    <w:p w:rsidR="00551E68" w:rsidRPr="00513F96" w:rsidRDefault="00551E68" w:rsidP="005869B3">
      <w:pPr>
        <w:pStyle w:val="Voetnoottekst"/>
        <w:jc w:val="both"/>
        <w:rPr>
          <w:i/>
          <w:lang w:val="en-GB"/>
        </w:rPr>
      </w:pPr>
      <w:r>
        <w:rPr>
          <w:rStyle w:val="Voetnootmarkering"/>
        </w:rPr>
        <w:footnoteRef/>
      </w:r>
      <w:r w:rsidRPr="001E2B17">
        <w:rPr>
          <w:lang w:val="en-US"/>
        </w:rPr>
        <w:t xml:space="preserve"> </w:t>
      </w:r>
      <w:r>
        <w:rPr>
          <w:lang w:val="en-GB"/>
        </w:rPr>
        <w:t xml:space="preserve">Moss P. and </w:t>
      </w:r>
      <w:proofErr w:type="spellStart"/>
      <w:r>
        <w:rPr>
          <w:lang w:val="en-GB"/>
        </w:rPr>
        <w:t>Deven</w:t>
      </w:r>
      <w:proofErr w:type="spellEnd"/>
      <w:r>
        <w:rPr>
          <w:lang w:val="en-GB"/>
        </w:rPr>
        <w:t xml:space="preserve"> F., “Parental Leave in Context” in Moss P. and </w:t>
      </w:r>
      <w:proofErr w:type="spellStart"/>
      <w:r>
        <w:rPr>
          <w:lang w:val="en-GB"/>
        </w:rPr>
        <w:t>Deven</w:t>
      </w:r>
      <w:proofErr w:type="spellEnd"/>
      <w:r>
        <w:rPr>
          <w:lang w:val="en-GB"/>
        </w:rPr>
        <w:t xml:space="preserve"> F. (eds.), op. cit., 13; </w:t>
      </w:r>
      <w:r w:rsidRPr="00EE59ED">
        <w:rPr>
          <w:lang w:val="en-GB"/>
        </w:rPr>
        <w:t xml:space="preserve">Smith A. and Williams D., “Father-Friendly Legislation and Paternal Time across Western Europe”, </w:t>
      </w:r>
      <w:r w:rsidRPr="00EE59ED">
        <w:rPr>
          <w:i/>
          <w:lang w:val="en-GB"/>
        </w:rPr>
        <w:t>J</w:t>
      </w:r>
      <w:r>
        <w:rPr>
          <w:i/>
          <w:lang w:val="en-GB"/>
        </w:rPr>
        <w:t xml:space="preserve">. </w:t>
      </w:r>
      <w:r w:rsidRPr="00EE59ED">
        <w:rPr>
          <w:i/>
          <w:lang w:val="en-GB"/>
        </w:rPr>
        <w:t>of Comp</w:t>
      </w:r>
      <w:r>
        <w:rPr>
          <w:i/>
          <w:lang w:val="en-GB"/>
        </w:rPr>
        <w:t xml:space="preserve">. </w:t>
      </w:r>
      <w:proofErr w:type="spellStart"/>
      <w:r w:rsidRPr="00EE59ED">
        <w:rPr>
          <w:i/>
          <w:lang w:val="en-GB"/>
        </w:rPr>
        <w:t>Pol</w:t>
      </w:r>
      <w:r>
        <w:rPr>
          <w:i/>
          <w:lang w:val="en-GB"/>
        </w:rPr>
        <w:t>’</w:t>
      </w:r>
      <w:r w:rsidRPr="00EE59ED">
        <w:rPr>
          <w:i/>
          <w:lang w:val="en-GB"/>
        </w:rPr>
        <w:t>y</w:t>
      </w:r>
      <w:proofErr w:type="spellEnd"/>
      <w:r w:rsidRPr="00EE59ED">
        <w:rPr>
          <w:i/>
          <w:lang w:val="en-GB"/>
        </w:rPr>
        <w:t xml:space="preserve"> Analysis</w:t>
      </w:r>
      <w:r w:rsidRPr="00EE59ED">
        <w:rPr>
          <w:lang w:val="en-GB"/>
        </w:rPr>
        <w:t xml:space="preserve"> 2007, </w:t>
      </w:r>
      <w:r>
        <w:rPr>
          <w:lang w:val="en-GB"/>
        </w:rPr>
        <w:t xml:space="preserve">178; </w:t>
      </w:r>
      <w:r w:rsidRPr="001E2B17">
        <w:rPr>
          <w:lang w:val="en-US"/>
        </w:rPr>
        <w:t>Social Ch</w:t>
      </w:r>
      <w:r>
        <w:rPr>
          <w:lang w:val="en-US"/>
        </w:rPr>
        <w:t xml:space="preserve">arter monographs, op. cit., 83. </w:t>
      </w:r>
    </w:p>
  </w:footnote>
  <w:footnote w:id="653">
    <w:p w:rsidR="00551E68" w:rsidRPr="00A534D1" w:rsidRDefault="00551E68" w:rsidP="005869B3">
      <w:pPr>
        <w:pStyle w:val="Voetnoottekst"/>
        <w:jc w:val="both"/>
        <w:rPr>
          <w:lang w:val="en-US"/>
        </w:rPr>
      </w:pPr>
      <w:r>
        <w:rPr>
          <w:rStyle w:val="Voetnootmarkering"/>
        </w:rPr>
        <w:footnoteRef/>
      </w:r>
      <w:r w:rsidRPr="00A534D1">
        <w:rPr>
          <w:lang w:val="en-US"/>
        </w:rPr>
        <w:t xml:space="preserve"> C</w:t>
      </w:r>
      <w:r>
        <w:rPr>
          <w:lang w:val="en-US"/>
        </w:rPr>
        <w:t xml:space="preserve">EDAW CO Greece, A/57/38 (2002), para. 285. </w:t>
      </w:r>
    </w:p>
  </w:footnote>
  <w:footnote w:id="654">
    <w:p w:rsidR="00551E68" w:rsidRPr="001C4F5A" w:rsidRDefault="00551E68" w:rsidP="005869B3">
      <w:pPr>
        <w:pStyle w:val="Voetnoottekst"/>
        <w:jc w:val="both"/>
        <w:rPr>
          <w:i/>
          <w:lang w:val="en-GB"/>
        </w:rPr>
      </w:pPr>
      <w:r>
        <w:rPr>
          <w:rStyle w:val="Voetnootmarkering"/>
        </w:rPr>
        <w:footnoteRef/>
      </w:r>
      <w:r>
        <w:rPr>
          <w:lang w:val="en-GB"/>
        </w:rPr>
        <w:t xml:space="preserve"> </w:t>
      </w:r>
      <w:proofErr w:type="spellStart"/>
      <w:r>
        <w:rPr>
          <w:lang w:val="en-GB"/>
        </w:rPr>
        <w:t>Hadj</w:t>
      </w:r>
      <w:proofErr w:type="spellEnd"/>
      <w:r>
        <w:rPr>
          <w:lang w:val="en-GB"/>
        </w:rPr>
        <w:t xml:space="preserve"> </w:t>
      </w:r>
      <w:proofErr w:type="spellStart"/>
      <w:r>
        <w:rPr>
          <w:lang w:val="en-GB"/>
        </w:rPr>
        <w:t>A</w:t>
      </w:r>
      <w:r w:rsidRPr="00607D7C">
        <w:rPr>
          <w:lang w:val="en-GB"/>
        </w:rPr>
        <w:t>yed</w:t>
      </w:r>
      <w:proofErr w:type="spellEnd"/>
      <w:r w:rsidRPr="00607D7C">
        <w:rPr>
          <w:lang w:val="en-GB"/>
        </w:rPr>
        <w:t xml:space="preserve"> S. and </w:t>
      </w:r>
      <w:proofErr w:type="spellStart"/>
      <w:r w:rsidRPr="00607D7C">
        <w:rPr>
          <w:lang w:val="en-GB"/>
        </w:rPr>
        <w:t>Masse</w:t>
      </w:r>
      <w:r>
        <w:rPr>
          <w:lang w:val="en-GB"/>
        </w:rPr>
        <w:t>lot</w:t>
      </w:r>
      <w:proofErr w:type="spellEnd"/>
      <w:r>
        <w:rPr>
          <w:lang w:val="en-GB"/>
        </w:rPr>
        <w:t xml:space="preserve"> A., op. cit.</w:t>
      </w:r>
      <w:r w:rsidRPr="00607D7C">
        <w:rPr>
          <w:lang w:val="en-GB"/>
        </w:rPr>
        <w:t>, 3</w:t>
      </w:r>
      <w:r>
        <w:rPr>
          <w:lang w:val="en-GB"/>
        </w:rPr>
        <w:t>33;</w:t>
      </w:r>
      <w:r>
        <w:rPr>
          <w:i/>
          <w:lang w:val="en-GB"/>
        </w:rPr>
        <w:t xml:space="preserve"> </w:t>
      </w:r>
      <w:proofErr w:type="spellStart"/>
      <w:r w:rsidRPr="001C4F5A">
        <w:rPr>
          <w:lang w:val="en-GB"/>
        </w:rPr>
        <w:t>Car</w:t>
      </w:r>
      <w:r>
        <w:rPr>
          <w:lang w:val="en-GB"/>
        </w:rPr>
        <w:t>acciolo</w:t>
      </w:r>
      <w:proofErr w:type="spellEnd"/>
      <w:r>
        <w:rPr>
          <w:lang w:val="en-GB"/>
        </w:rPr>
        <w:t xml:space="preserve"> E., op. cit.</w:t>
      </w:r>
      <w:r>
        <w:rPr>
          <w:lang w:val="en-US"/>
        </w:rPr>
        <w:t xml:space="preserve">, 335; </w:t>
      </w:r>
      <w:r>
        <w:rPr>
          <w:lang w:val="en-GB"/>
        </w:rPr>
        <w:t xml:space="preserve">Hardy </w:t>
      </w:r>
      <w:r w:rsidRPr="00CF741A">
        <w:rPr>
          <w:lang w:val="en-GB"/>
        </w:rPr>
        <w:t xml:space="preserve">S. and </w:t>
      </w:r>
      <w:proofErr w:type="spellStart"/>
      <w:r w:rsidRPr="00CF741A">
        <w:rPr>
          <w:lang w:val="en-GB"/>
        </w:rPr>
        <w:t>Adnett</w:t>
      </w:r>
      <w:proofErr w:type="spellEnd"/>
      <w:r>
        <w:rPr>
          <w:lang w:val="en-GB"/>
        </w:rPr>
        <w:t xml:space="preserve"> N., op. cit.</w:t>
      </w:r>
      <w:r w:rsidRPr="00CF741A">
        <w:rPr>
          <w:lang w:val="en-GB"/>
        </w:rPr>
        <w:t>,</w:t>
      </w:r>
      <w:r>
        <w:rPr>
          <w:lang w:val="en-GB"/>
        </w:rPr>
        <w:t xml:space="preserve"> 170. </w:t>
      </w:r>
    </w:p>
  </w:footnote>
  <w:footnote w:id="655">
    <w:p w:rsidR="00551E68" w:rsidRPr="00DE1818" w:rsidRDefault="00551E68" w:rsidP="005869B3">
      <w:pPr>
        <w:pStyle w:val="Voetnoottekst"/>
        <w:jc w:val="both"/>
        <w:rPr>
          <w:u w:val="single"/>
          <w:lang w:val="en-US"/>
        </w:rPr>
      </w:pPr>
      <w:r>
        <w:rPr>
          <w:rStyle w:val="Voetnootmarkering"/>
        </w:rPr>
        <w:footnoteRef/>
      </w:r>
      <w:r>
        <w:rPr>
          <w:lang w:val="en-US"/>
        </w:rPr>
        <w:t xml:space="preserve"> </w:t>
      </w:r>
      <w:r w:rsidRPr="00DE1818">
        <w:rPr>
          <w:lang w:val="en-US"/>
        </w:rPr>
        <w:t>European Foundation for the Improvement of Living and Working Conditions, Foundations Findings: Childcare services in Europe, Luxembourg, Publications Office of the European Union, 2009,</w:t>
      </w:r>
      <w:r>
        <w:rPr>
          <w:lang w:val="en-US"/>
        </w:rPr>
        <w:t xml:space="preserve"> 7; </w:t>
      </w:r>
      <w:r w:rsidRPr="00731588">
        <w:rPr>
          <w:lang w:val="en-US"/>
        </w:rPr>
        <w:t xml:space="preserve">Hein C. and Cassirer N., </w:t>
      </w:r>
      <w:r w:rsidRPr="00731588">
        <w:rPr>
          <w:i/>
          <w:lang w:val="en-US"/>
        </w:rPr>
        <w:t>Workplace solutions for childcare</w:t>
      </w:r>
      <w:r w:rsidRPr="00731588">
        <w:rPr>
          <w:lang w:val="en-US"/>
        </w:rPr>
        <w:t xml:space="preserve">, Geneva, International </w:t>
      </w:r>
      <w:proofErr w:type="spellStart"/>
      <w:r w:rsidRPr="00731588">
        <w:rPr>
          <w:lang w:val="en-US"/>
        </w:rPr>
        <w:t>Labour</w:t>
      </w:r>
      <w:proofErr w:type="spellEnd"/>
      <w:r w:rsidRPr="00731588">
        <w:rPr>
          <w:lang w:val="en-US"/>
        </w:rPr>
        <w:t xml:space="preserve"> Office, 2010</w:t>
      </w:r>
      <w:r>
        <w:rPr>
          <w:lang w:val="en-US"/>
        </w:rPr>
        <w:t xml:space="preserve">, 5. </w:t>
      </w:r>
    </w:p>
  </w:footnote>
  <w:footnote w:id="656">
    <w:p w:rsidR="00551E68" w:rsidRPr="001E18ED" w:rsidRDefault="00551E68" w:rsidP="005869B3">
      <w:pPr>
        <w:pStyle w:val="Voetnoottekst"/>
        <w:jc w:val="both"/>
        <w:rPr>
          <w:u w:val="single"/>
          <w:lang w:val="en-US"/>
        </w:rPr>
      </w:pPr>
      <w:r>
        <w:rPr>
          <w:rStyle w:val="Voetnootmarkering"/>
        </w:rPr>
        <w:footnoteRef/>
      </w:r>
      <w:r w:rsidRPr="00A65F74">
        <w:rPr>
          <w:lang w:val="en-US"/>
        </w:rPr>
        <w:t xml:space="preserve"> </w:t>
      </w:r>
      <w:r w:rsidRPr="001E18ED">
        <w:rPr>
          <w:lang w:val="en-US"/>
        </w:rPr>
        <w:t>European</w:t>
      </w:r>
      <w:r>
        <w:rPr>
          <w:lang w:val="en-US"/>
        </w:rPr>
        <w:t xml:space="preserve"> Institute for Gender Equality, op. cit., 12; </w:t>
      </w:r>
      <w:r w:rsidRPr="00622D9E">
        <w:rPr>
          <w:lang w:val="en-US"/>
        </w:rPr>
        <w:t xml:space="preserve">Hein C. and </w:t>
      </w:r>
      <w:r>
        <w:rPr>
          <w:lang w:val="en-US"/>
        </w:rPr>
        <w:t>Cassirer N., op. cit.</w:t>
      </w:r>
      <w:r w:rsidRPr="00622D9E">
        <w:rPr>
          <w:lang w:val="en-US"/>
        </w:rPr>
        <w:t>,</w:t>
      </w:r>
      <w:r>
        <w:rPr>
          <w:lang w:val="en-US"/>
        </w:rPr>
        <w:t xml:space="preserve"> 6-7. </w:t>
      </w:r>
    </w:p>
  </w:footnote>
  <w:footnote w:id="657">
    <w:p w:rsidR="00551E68" w:rsidRPr="00CA7E53" w:rsidRDefault="00551E68" w:rsidP="005869B3">
      <w:pPr>
        <w:pStyle w:val="Voetnoottekst"/>
        <w:jc w:val="both"/>
        <w:rPr>
          <w:b/>
          <w:u w:val="single"/>
          <w:lang w:val="en-GB"/>
        </w:rPr>
      </w:pPr>
      <w:r>
        <w:rPr>
          <w:rStyle w:val="Voetnootmarkering"/>
        </w:rPr>
        <w:footnoteRef/>
      </w:r>
      <w:r w:rsidRPr="00CA7E53">
        <w:rPr>
          <w:lang w:val="en-US"/>
        </w:rPr>
        <w:t xml:space="preserve"> </w:t>
      </w:r>
      <w:proofErr w:type="spellStart"/>
      <w:r w:rsidRPr="00CA7E53">
        <w:rPr>
          <w:lang w:val="en-GB"/>
        </w:rPr>
        <w:t>Fredman</w:t>
      </w:r>
      <w:proofErr w:type="spellEnd"/>
      <w:r w:rsidRPr="00CA7E53">
        <w:rPr>
          <w:lang w:val="en-GB"/>
        </w:rPr>
        <w:t xml:space="preserve"> S., </w:t>
      </w:r>
      <w:r w:rsidRPr="00CA7E53">
        <w:rPr>
          <w:i/>
          <w:lang w:val="en-GB"/>
        </w:rPr>
        <w:t>Women and the Law</w:t>
      </w:r>
      <w:r w:rsidRPr="00CA7E53">
        <w:rPr>
          <w:lang w:val="en-GB"/>
        </w:rPr>
        <w:t>, Oxford, Clarendon Press, 1997,</w:t>
      </w:r>
      <w:r>
        <w:rPr>
          <w:lang w:val="en-GB"/>
        </w:rPr>
        <w:t xml:space="preserve"> 216-217. </w:t>
      </w:r>
    </w:p>
  </w:footnote>
  <w:footnote w:id="658">
    <w:p w:rsidR="00551E68" w:rsidRPr="00BB4FAB" w:rsidRDefault="00551E68" w:rsidP="005869B3">
      <w:pPr>
        <w:pStyle w:val="Voetnoottekst"/>
        <w:jc w:val="both"/>
        <w:rPr>
          <w:lang w:val="en-US"/>
        </w:rPr>
      </w:pPr>
      <w:r>
        <w:rPr>
          <w:rStyle w:val="Voetnootmarkering"/>
        </w:rPr>
        <w:footnoteRef/>
      </w:r>
      <w:r w:rsidRPr="00DE09A8">
        <w:rPr>
          <w:lang w:val="en-US"/>
        </w:rPr>
        <w:t xml:space="preserve"> </w:t>
      </w:r>
      <w:r w:rsidRPr="00BB4FAB">
        <w:rPr>
          <w:bCs/>
          <w:lang w:val="en-US"/>
        </w:rPr>
        <w:t>Second Council Resolution of 24 July 1986 on the promotion of equal opportunities for women, 86/C 203/02</w:t>
      </w:r>
      <w:r>
        <w:rPr>
          <w:bCs/>
          <w:lang w:val="en-US"/>
        </w:rPr>
        <w:t xml:space="preserve">; </w:t>
      </w:r>
      <w:r w:rsidRPr="00D26F2E">
        <w:rPr>
          <w:lang w:val="en-US"/>
        </w:rPr>
        <w:t>Council Recommendation of 31 March 1992 on child-care, 92/241/EEC</w:t>
      </w:r>
      <w:r>
        <w:rPr>
          <w:lang w:val="en-US"/>
        </w:rPr>
        <w:t xml:space="preserve">.  </w:t>
      </w:r>
    </w:p>
  </w:footnote>
  <w:footnote w:id="659">
    <w:p w:rsidR="00551E68" w:rsidRPr="00DE09A8" w:rsidRDefault="00551E68" w:rsidP="00505354">
      <w:pPr>
        <w:pStyle w:val="Voetnoottekst"/>
        <w:rPr>
          <w:lang w:val="en-US"/>
        </w:rPr>
      </w:pPr>
      <w:r>
        <w:rPr>
          <w:rStyle w:val="Voetnootmarkering"/>
        </w:rPr>
        <w:footnoteRef/>
      </w:r>
      <w:r>
        <w:rPr>
          <w:lang w:val="en-US"/>
        </w:rPr>
        <w:t xml:space="preserve"> </w:t>
      </w:r>
      <w:r w:rsidRPr="00DE09A8">
        <w:rPr>
          <w:lang w:val="en-US"/>
        </w:rPr>
        <w:t>The so-called ‘Barcelona targets’.</w:t>
      </w:r>
      <w:r>
        <w:rPr>
          <w:lang w:val="en-US"/>
        </w:rPr>
        <w:t xml:space="preserve"> See MEMO/08/592 on the website of the EU:               </w:t>
      </w:r>
      <w:hyperlink r:id="rId11" w:anchor="PR_metaPressRelease_bottom" w:history="1">
        <w:r w:rsidRPr="00DE09A8">
          <w:rPr>
            <w:rStyle w:val="Hyperlink"/>
            <w:lang w:val="en-US"/>
          </w:rPr>
          <w:t>http://europa.eu/rapid/press-release_MEMO-08-592_en.htm#PR_metaPressRelease_bottom</w:t>
        </w:r>
      </w:hyperlink>
      <w:r w:rsidRPr="00DE09A8">
        <w:rPr>
          <w:lang w:val="en-US"/>
        </w:rPr>
        <w:t xml:space="preserve"> </w:t>
      </w:r>
      <w:r>
        <w:rPr>
          <w:lang w:val="en-US"/>
        </w:rPr>
        <w:t>.</w:t>
      </w:r>
    </w:p>
  </w:footnote>
  <w:footnote w:id="660">
    <w:p w:rsidR="00551E68" w:rsidRPr="00F94D96" w:rsidRDefault="00551E68" w:rsidP="005869B3">
      <w:pPr>
        <w:pStyle w:val="Voetnoottekst"/>
        <w:jc w:val="both"/>
        <w:rPr>
          <w:lang w:val="en-US"/>
        </w:rPr>
      </w:pPr>
      <w:r>
        <w:rPr>
          <w:rStyle w:val="Voetnootmarkering"/>
        </w:rPr>
        <w:footnoteRef/>
      </w:r>
      <w:r>
        <w:rPr>
          <w:lang w:val="en-US"/>
        </w:rPr>
        <w:t xml:space="preserve"> Recital 11 Preamble </w:t>
      </w:r>
      <w:r>
        <w:rPr>
          <w:bCs/>
          <w:lang w:val="en-US"/>
        </w:rPr>
        <w:t xml:space="preserve">Directive 2006/54 and general considerations (5) Directive 2010/18/EU. </w:t>
      </w:r>
    </w:p>
  </w:footnote>
  <w:footnote w:id="661">
    <w:p w:rsidR="00551E68" w:rsidRPr="009C0CAF" w:rsidRDefault="00551E68" w:rsidP="005869B3">
      <w:pPr>
        <w:pStyle w:val="Voetnoottekst"/>
        <w:jc w:val="both"/>
        <w:rPr>
          <w:lang w:val="en-US"/>
        </w:rPr>
      </w:pPr>
      <w:r>
        <w:rPr>
          <w:rStyle w:val="Voetnootmarkering"/>
        </w:rPr>
        <w:footnoteRef/>
      </w:r>
      <w:r>
        <w:rPr>
          <w:lang w:val="en-US"/>
        </w:rPr>
        <w:t xml:space="preserve"> For example: well developed systems in Sweden and Denmark but underdeveloped systems in Poland and Romania. See MEMO/13/490 on the website of the EU:</w:t>
      </w:r>
      <w:r>
        <w:rPr>
          <w:sz w:val="24"/>
          <w:szCs w:val="24"/>
          <w:lang w:val="en-US"/>
        </w:rPr>
        <w:t xml:space="preserve"> </w:t>
      </w:r>
      <w:hyperlink r:id="rId12" w:history="1">
        <w:r w:rsidRPr="00272991">
          <w:rPr>
            <w:rStyle w:val="Hyperlink"/>
            <w:lang w:val="en-US"/>
          </w:rPr>
          <w:t>http://europa.eu/rapid/press-release_MEMO-13-490_en.htm</w:t>
        </w:r>
      </w:hyperlink>
      <w:r>
        <w:rPr>
          <w:lang w:val="en-US"/>
        </w:rPr>
        <w:t xml:space="preserve"> ; </w:t>
      </w:r>
      <w:r w:rsidRPr="005E4514">
        <w:rPr>
          <w:lang w:val="en-US"/>
        </w:rPr>
        <w:t>European Institute for Gender Equality,</w:t>
      </w:r>
      <w:r>
        <w:rPr>
          <w:lang w:val="en-US"/>
        </w:rPr>
        <w:t xml:space="preserve"> op. cit., 13-16; </w:t>
      </w:r>
      <w:proofErr w:type="spellStart"/>
      <w:r w:rsidRPr="00A66047">
        <w:rPr>
          <w:lang w:val="en-US"/>
        </w:rPr>
        <w:t>McGlynn</w:t>
      </w:r>
      <w:proofErr w:type="spellEnd"/>
      <w:r w:rsidRPr="00A66047">
        <w:rPr>
          <w:lang w:val="en-US"/>
        </w:rPr>
        <w:t xml:space="preserve"> C., </w:t>
      </w:r>
      <w:r w:rsidRPr="00A66047">
        <w:rPr>
          <w:i/>
          <w:lang w:val="en-US"/>
        </w:rPr>
        <w:t>Families and the European Union</w:t>
      </w:r>
      <w:r w:rsidRPr="00A66047">
        <w:rPr>
          <w:lang w:val="en-US"/>
        </w:rPr>
        <w:t>, Cambridge, Cambridge University Press, 2006,</w:t>
      </w:r>
      <w:r>
        <w:rPr>
          <w:lang w:val="en-US"/>
        </w:rPr>
        <w:t xml:space="preserve"> 85. </w:t>
      </w:r>
    </w:p>
  </w:footnote>
  <w:footnote w:id="662">
    <w:p w:rsidR="00551E68" w:rsidRPr="00FF1CCA" w:rsidRDefault="00551E68" w:rsidP="005869B3">
      <w:pPr>
        <w:pStyle w:val="Voetnoottekst"/>
        <w:jc w:val="both"/>
        <w:rPr>
          <w:lang w:val="de-DE"/>
        </w:rPr>
      </w:pPr>
      <w:r>
        <w:rPr>
          <w:rStyle w:val="Voetnootmarkering"/>
        </w:rPr>
        <w:footnoteRef/>
      </w:r>
      <w:r w:rsidRPr="00FF1CCA">
        <w:rPr>
          <w:lang w:val="de-DE"/>
        </w:rPr>
        <w:t xml:space="preserve"> ECJ C-249/97, </w:t>
      </w:r>
      <w:r w:rsidRPr="00FF1CCA">
        <w:rPr>
          <w:i/>
          <w:lang w:val="de-DE"/>
        </w:rPr>
        <w:t>Gabriele Gruber v. Silhouette International</w:t>
      </w:r>
      <w:r w:rsidRPr="00FF1CCA">
        <w:rPr>
          <w:lang w:val="de-DE"/>
        </w:rPr>
        <w:t>, 1999.</w:t>
      </w:r>
    </w:p>
  </w:footnote>
  <w:footnote w:id="663">
    <w:p w:rsidR="00551E68" w:rsidRPr="00492589" w:rsidRDefault="00551E68" w:rsidP="005869B3">
      <w:pPr>
        <w:pStyle w:val="Voetnoottekst"/>
        <w:jc w:val="both"/>
        <w:rPr>
          <w:i/>
          <w:lang w:val="en-GB"/>
        </w:rPr>
      </w:pPr>
      <w:r>
        <w:rPr>
          <w:rStyle w:val="Voetnootmarkering"/>
        </w:rPr>
        <w:footnoteRef/>
      </w:r>
      <w:r w:rsidRPr="00D773D6">
        <w:rPr>
          <w:lang w:val="en-US"/>
        </w:rPr>
        <w:t xml:space="preserve"> </w:t>
      </w:r>
      <w:proofErr w:type="spellStart"/>
      <w:r w:rsidRPr="00D773D6">
        <w:rPr>
          <w:lang w:val="en-GB"/>
        </w:rPr>
        <w:t>Hadj</w:t>
      </w:r>
      <w:proofErr w:type="spellEnd"/>
      <w:r w:rsidRPr="00D773D6">
        <w:rPr>
          <w:lang w:val="en-GB"/>
        </w:rPr>
        <w:t xml:space="preserve"> </w:t>
      </w:r>
      <w:proofErr w:type="spellStart"/>
      <w:r w:rsidRPr="00D773D6">
        <w:rPr>
          <w:lang w:val="en-GB"/>
        </w:rPr>
        <w:t>Ayed</w:t>
      </w:r>
      <w:proofErr w:type="spellEnd"/>
      <w:r w:rsidRPr="00D773D6">
        <w:rPr>
          <w:lang w:val="en-GB"/>
        </w:rPr>
        <w:t xml:space="preserve"> S. and </w:t>
      </w:r>
      <w:proofErr w:type="spellStart"/>
      <w:r w:rsidRPr="00D773D6">
        <w:rPr>
          <w:lang w:val="en-GB"/>
        </w:rPr>
        <w:t>Masselot</w:t>
      </w:r>
      <w:proofErr w:type="spellEnd"/>
      <w:r>
        <w:rPr>
          <w:lang w:val="en-GB"/>
        </w:rPr>
        <w:t xml:space="preserve"> A., op. cit., 331-332;</w:t>
      </w:r>
      <w:r>
        <w:rPr>
          <w:i/>
          <w:lang w:val="en-GB"/>
        </w:rPr>
        <w:t xml:space="preserve"> </w:t>
      </w:r>
      <w:r>
        <w:rPr>
          <w:lang w:val="en-US"/>
        </w:rPr>
        <w:t xml:space="preserve">Shaw J., “Gender and the Court of Justice” in </w:t>
      </w:r>
      <w:r w:rsidRPr="00D773D6">
        <w:rPr>
          <w:lang w:val="en-US"/>
        </w:rPr>
        <w:t xml:space="preserve">de </w:t>
      </w:r>
      <w:proofErr w:type="spellStart"/>
      <w:r w:rsidRPr="00D773D6">
        <w:rPr>
          <w:lang w:val="en-US"/>
        </w:rPr>
        <w:t>Burca</w:t>
      </w:r>
      <w:proofErr w:type="spellEnd"/>
      <w:r w:rsidRPr="00D773D6">
        <w:rPr>
          <w:lang w:val="en-US"/>
        </w:rPr>
        <w:t xml:space="preserve"> G. and </w:t>
      </w:r>
      <w:proofErr w:type="spellStart"/>
      <w:r w:rsidRPr="00D773D6">
        <w:rPr>
          <w:lang w:val="en-US"/>
        </w:rPr>
        <w:t>Weiler</w:t>
      </w:r>
      <w:proofErr w:type="spellEnd"/>
      <w:r w:rsidRPr="00D773D6">
        <w:rPr>
          <w:lang w:val="en-US"/>
        </w:rPr>
        <w:t xml:space="preserve"> J. (eds.), </w:t>
      </w:r>
      <w:r w:rsidRPr="00D773D6">
        <w:rPr>
          <w:i/>
          <w:lang w:val="en-US"/>
        </w:rPr>
        <w:t>The European Court of Justice</w:t>
      </w:r>
      <w:r w:rsidRPr="00D773D6">
        <w:rPr>
          <w:lang w:val="en-US"/>
        </w:rPr>
        <w:t>, Oxford, Oxford University Press, 2001,</w:t>
      </w:r>
      <w:r>
        <w:rPr>
          <w:lang w:val="en-US"/>
        </w:rPr>
        <w:t xml:space="preserve"> 109 and 131-132. </w:t>
      </w:r>
    </w:p>
  </w:footnote>
  <w:footnote w:id="664">
    <w:p w:rsidR="00551E68" w:rsidRPr="00DE0ABB" w:rsidRDefault="00551E68" w:rsidP="005869B3">
      <w:pPr>
        <w:pStyle w:val="Voetnoottekst"/>
        <w:jc w:val="both"/>
        <w:rPr>
          <w:u w:val="single"/>
          <w:lang w:val="en-US"/>
        </w:rPr>
      </w:pPr>
      <w:r>
        <w:rPr>
          <w:rStyle w:val="Voetnootmarkering"/>
        </w:rPr>
        <w:footnoteRef/>
      </w:r>
      <w:r w:rsidRPr="008D6337">
        <w:rPr>
          <w:lang w:val="en-US"/>
        </w:rPr>
        <w:t xml:space="preserve"> </w:t>
      </w:r>
      <w:r w:rsidRPr="00DE0ABB">
        <w:rPr>
          <w:lang w:val="en-US"/>
        </w:rPr>
        <w:t xml:space="preserve">Text of the explanations relating to the complete text of the Charter of Fundamental Rights of the European Union, </w:t>
      </w:r>
      <w:proofErr w:type="spellStart"/>
      <w:r w:rsidRPr="00DE0ABB">
        <w:rPr>
          <w:lang w:val="en-US"/>
        </w:rPr>
        <w:t>Charte</w:t>
      </w:r>
      <w:proofErr w:type="spellEnd"/>
      <w:r w:rsidRPr="00DE0ABB">
        <w:rPr>
          <w:lang w:val="en-US"/>
        </w:rPr>
        <w:t xml:space="preserve"> 4473</w:t>
      </w:r>
      <w:r>
        <w:rPr>
          <w:lang w:val="en-US"/>
        </w:rPr>
        <w:t xml:space="preserve">/00 Convent 49, 11 October 2000, 30. </w:t>
      </w:r>
    </w:p>
  </w:footnote>
  <w:footnote w:id="665">
    <w:p w:rsidR="00551E68" w:rsidRPr="008A0939" w:rsidRDefault="00551E68" w:rsidP="005869B3">
      <w:pPr>
        <w:pStyle w:val="Voetnoottekst"/>
        <w:jc w:val="both"/>
        <w:rPr>
          <w:lang w:val="en-US"/>
        </w:rPr>
      </w:pPr>
      <w:r>
        <w:rPr>
          <w:rStyle w:val="Voetnootmarkering"/>
        </w:rPr>
        <w:footnoteRef/>
      </w:r>
      <w:r>
        <w:rPr>
          <w:lang w:val="en-US"/>
        </w:rPr>
        <w:t xml:space="preserve"> </w:t>
      </w:r>
      <w:r w:rsidRPr="00391C83">
        <w:rPr>
          <w:lang w:val="en-US"/>
        </w:rPr>
        <w:t xml:space="preserve">ESC Conclusions XIII-2, General Introduction </w:t>
      </w:r>
      <w:r>
        <w:rPr>
          <w:lang w:val="en-US"/>
        </w:rPr>
        <w:t>(1995), 61; Harris D. and Darcy J., op. cit., 189;</w:t>
      </w:r>
      <w:r w:rsidRPr="0013354D">
        <w:rPr>
          <w:sz w:val="24"/>
          <w:szCs w:val="24"/>
          <w:lang w:val="en-US"/>
        </w:rPr>
        <w:t xml:space="preserve"> </w:t>
      </w:r>
      <w:r w:rsidRPr="0013354D">
        <w:rPr>
          <w:lang w:val="en-US"/>
        </w:rPr>
        <w:t>Social Charter monographs, op. cit.,</w:t>
      </w:r>
      <w:r>
        <w:rPr>
          <w:lang w:val="en-US"/>
        </w:rPr>
        <w:t xml:space="preserve"> 79-80. </w:t>
      </w:r>
    </w:p>
  </w:footnote>
  <w:footnote w:id="666">
    <w:p w:rsidR="00551E68" w:rsidRPr="00D66FB7" w:rsidRDefault="00551E68" w:rsidP="005869B3">
      <w:pPr>
        <w:pStyle w:val="Voetnoottekst"/>
        <w:jc w:val="both"/>
        <w:rPr>
          <w:lang w:val="en-US"/>
        </w:rPr>
      </w:pPr>
      <w:r>
        <w:rPr>
          <w:rStyle w:val="Voetnootmarkering"/>
        </w:rPr>
        <w:footnoteRef/>
      </w:r>
      <w:r w:rsidRPr="00D66FB7">
        <w:rPr>
          <w:lang w:val="en-US"/>
        </w:rPr>
        <w:t xml:space="preserve"> Article 16: The right of the f</w:t>
      </w:r>
      <w:r>
        <w:rPr>
          <w:lang w:val="en-US"/>
        </w:rPr>
        <w:t xml:space="preserve">amily to social, legal and economic protection. </w:t>
      </w:r>
    </w:p>
  </w:footnote>
  <w:footnote w:id="667">
    <w:p w:rsidR="00551E68" w:rsidRPr="00537099" w:rsidRDefault="00551E68" w:rsidP="005869B3">
      <w:pPr>
        <w:pStyle w:val="Voetnoottekst"/>
        <w:jc w:val="both"/>
        <w:rPr>
          <w:lang w:val="en-US"/>
        </w:rPr>
      </w:pPr>
      <w:r>
        <w:rPr>
          <w:rStyle w:val="Voetnootmarkering"/>
        </w:rPr>
        <w:footnoteRef/>
      </w:r>
      <w:r>
        <w:rPr>
          <w:lang w:val="en-US"/>
        </w:rPr>
        <w:t xml:space="preserve"> </w:t>
      </w:r>
      <w:r w:rsidRPr="00537099">
        <w:rPr>
          <w:lang w:val="en-US"/>
        </w:rPr>
        <w:t>ESC Conclusions XIX-4, Germany (2011)</w:t>
      </w:r>
      <w:r>
        <w:rPr>
          <w:lang w:val="en-US"/>
        </w:rPr>
        <w:t xml:space="preserve">, 151-152; </w:t>
      </w:r>
      <w:r w:rsidRPr="00921343">
        <w:rPr>
          <w:lang w:val="en-GB"/>
        </w:rPr>
        <w:t xml:space="preserve">European Committee of Social Rights, </w:t>
      </w:r>
      <w:r w:rsidRPr="00921343">
        <w:rPr>
          <w:i/>
          <w:lang w:val="en-GB"/>
        </w:rPr>
        <w:t>Digest of the Case Law of the European Committee of Social Rights,</w:t>
      </w:r>
      <w:r w:rsidRPr="00921343">
        <w:rPr>
          <w:lang w:val="en-GB"/>
        </w:rPr>
        <w:t xml:space="preserve"> Strasbourg, Council of Europe</w:t>
      </w:r>
      <w:r w:rsidRPr="00921343">
        <w:rPr>
          <w:i/>
          <w:lang w:val="en-GB"/>
        </w:rPr>
        <w:t xml:space="preserve"> ,</w:t>
      </w:r>
      <w:r>
        <w:rPr>
          <w:lang w:val="en-GB"/>
        </w:rPr>
        <w:t xml:space="preserve">2008, 160. </w:t>
      </w:r>
    </w:p>
  </w:footnote>
  <w:footnote w:id="668">
    <w:p w:rsidR="00551E68" w:rsidRPr="00060A9B" w:rsidRDefault="00551E68" w:rsidP="005869B3">
      <w:pPr>
        <w:pStyle w:val="Voetnoottekst"/>
        <w:jc w:val="both"/>
        <w:rPr>
          <w:lang w:val="en-US"/>
        </w:rPr>
      </w:pPr>
      <w:r>
        <w:rPr>
          <w:rStyle w:val="Voetnootmarkering"/>
        </w:rPr>
        <w:footnoteRef/>
      </w:r>
      <w:r>
        <w:rPr>
          <w:lang w:val="en-US"/>
        </w:rPr>
        <w:t xml:space="preserve"> </w:t>
      </w:r>
      <w:r w:rsidRPr="00DF15C7">
        <w:rPr>
          <w:lang w:val="en-US"/>
        </w:rPr>
        <w:t>ESC Conclusions XIX-4, Latvia (2011)</w:t>
      </w:r>
      <w:r>
        <w:rPr>
          <w:lang w:val="en-US"/>
        </w:rPr>
        <w:t xml:space="preserve">, 238; </w:t>
      </w:r>
      <w:r w:rsidRPr="00667A39">
        <w:rPr>
          <w:lang w:val="en-US"/>
        </w:rPr>
        <w:t>ESC Conclusions XVII-1, Turkey (2004)</w:t>
      </w:r>
      <w:r>
        <w:rPr>
          <w:lang w:val="en-US"/>
        </w:rPr>
        <w:t xml:space="preserve">, 490.  </w:t>
      </w:r>
    </w:p>
  </w:footnote>
  <w:footnote w:id="669">
    <w:p w:rsidR="00551E68" w:rsidRPr="00B278F7" w:rsidRDefault="00551E68" w:rsidP="005869B3">
      <w:pPr>
        <w:pStyle w:val="Voetnoottekst"/>
        <w:jc w:val="both"/>
        <w:rPr>
          <w:lang w:val="en-US"/>
        </w:rPr>
      </w:pPr>
      <w:r>
        <w:rPr>
          <w:rStyle w:val="Voetnootmarkering"/>
        </w:rPr>
        <w:footnoteRef/>
      </w:r>
      <w:r>
        <w:rPr>
          <w:lang w:val="en-US"/>
        </w:rPr>
        <w:t xml:space="preserve"> </w:t>
      </w:r>
      <w:r w:rsidRPr="00B278F7">
        <w:rPr>
          <w:lang w:val="en-US"/>
        </w:rPr>
        <w:t>ESC Conclusions XIX-4, Austria (2011)</w:t>
      </w:r>
      <w:r>
        <w:rPr>
          <w:lang w:val="en-US"/>
        </w:rPr>
        <w:t xml:space="preserve">, 39; </w:t>
      </w:r>
      <w:r w:rsidRPr="00B278F7">
        <w:rPr>
          <w:lang w:val="en-US"/>
        </w:rPr>
        <w:t>RESC Conclusions, Bosn</w:t>
      </w:r>
      <w:r>
        <w:rPr>
          <w:lang w:val="en-US"/>
        </w:rPr>
        <w:t xml:space="preserve">ia Herzegovina (2011), </w:t>
      </w:r>
      <w:r w:rsidRPr="00B278F7">
        <w:rPr>
          <w:lang w:val="en-US"/>
        </w:rPr>
        <w:t>18; RESC Conclusions, Lithuania (2006), 52</w:t>
      </w:r>
      <w:r>
        <w:rPr>
          <w:lang w:val="en-US"/>
        </w:rPr>
        <w:t xml:space="preserve">9. </w:t>
      </w:r>
    </w:p>
  </w:footnote>
  <w:footnote w:id="670">
    <w:p w:rsidR="00551E68" w:rsidRPr="00995A53" w:rsidRDefault="00551E68" w:rsidP="005869B3">
      <w:pPr>
        <w:pStyle w:val="Voetnoottekst"/>
        <w:jc w:val="both"/>
        <w:rPr>
          <w:lang w:val="en-US"/>
        </w:rPr>
      </w:pPr>
      <w:r>
        <w:rPr>
          <w:rStyle w:val="Voetnootmarkering"/>
        </w:rPr>
        <w:footnoteRef/>
      </w:r>
      <w:r w:rsidRPr="00060A9B">
        <w:rPr>
          <w:lang w:val="en-US"/>
        </w:rPr>
        <w:t xml:space="preserve"> </w:t>
      </w:r>
      <w:r w:rsidRPr="00705837">
        <w:rPr>
          <w:lang w:val="en-US"/>
        </w:rPr>
        <w:t>ESC Conclusions XIX-4, Greece (2011)</w:t>
      </w:r>
      <w:r>
        <w:rPr>
          <w:lang w:val="en-US"/>
        </w:rPr>
        <w:t xml:space="preserve">, 195; </w:t>
      </w:r>
      <w:r w:rsidRPr="00995A53">
        <w:rPr>
          <w:lang w:val="en-US"/>
        </w:rPr>
        <w:t>ESC Conclusions XIX-4, Latvia (2011)</w:t>
      </w:r>
      <w:r>
        <w:rPr>
          <w:lang w:val="en-US"/>
        </w:rPr>
        <w:t xml:space="preserve">, 239.  </w:t>
      </w:r>
    </w:p>
  </w:footnote>
  <w:footnote w:id="671">
    <w:p w:rsidR="00551E68" w:rsidRPr="00916404" w:rsidRDefault="00551E68" w:rsidP="005869B3">
      <w:pPr>
        <w:pStyle w:val="Voetnoottekst"/>
        <w:jc w:val="both"/>
        <w:rPr>
          <w:lang w:val="en-US"/>
        </w:rPr>
      </w:pPr>
      <w:r>
        <w:rPr>
          <w:rStyle w:val="Voetnootmarkering"/>
        </w:rPr>
        <w:footnoteRef/>
      </w:r>
      <w:r w:rsidRPr="00272991">
        <w:rPr>
          <w:lang w:val="en-US"/>
        </w:rPr>
        <w:t xml:space="preserve"> RESC Conclusions, Armenia (2011), 149; </w:t>
      </w:r>
      <w:r w:rsidRPr="00916404">
        <w:rPr>
          <w:lang w:val="en-US"/>
        </w:rPr>
        <w:t>RESC Conclusions, Georgia (2011)</w:t>
      </w:r>
      <w:r>
        <w:rPr>
          <w:lang w:val="en-US"/>
        </w:rPr>
        <w:t xml:space="preserve">, 538; </w:t>
      </w:r>
      <w:proofErr w:type="spellStart"/>
      <w:r w:rsidRPr="00272991">
        <w:rPr>
          <w:lang w:val="en-US"/>
        </w:rPr>
        <w:t>Mikkola</w:t>
      </w:r>
      <w:proofErr w:type="spellEnd"/>
      <w:r w:rsidRPr="00272991">
        <w:rPr>
          <w:lang w:val="en-US"/>
        </w:rPr>
        <w:t xml:space="preserve"> M., op. cit., 462. </w:t>
      </w:r>
    </w:p>
  </w:footnote>
  <w:footnote w:id="672">
    <w:p w:rsidR="00551E68" w:rsidRPr="002544CE" w:rsidRDefault="00551E68" w:rsidP="005869B3">
      <w:pPr>
        <w:pStyle w:val="Voetnoottekst"/>
        <w:jc w:val="both"/>
        <w:rPr>
          <w:lang w:val="en-US"/>
        </w:rPr>
      </w:pPr>
      <w:r>
        <w:rPr>
          <w:rStyle w:val="Voetnootmarkering"/>
        </w:rPr>
        <w:footnoteRef/>
      </w:r>
      <w:r w:rsidRPr="002544CE">
        <w:rPr>
          <w:lang w:val="en-US"/>
        </w:rPr>
        <w:t xml:space="preserve"> ESC Conclusions XIX-4, Czech Republic (2011)</w:t>
      </w:r>
      <w:r>
        <w:rPr>
          <w:lang w:val="en-US"/>
        </w:rPr>
        <w:t xml:space="preserve">, 109; </w:t>
      </w:r>
      <w:r w:rsidRPr="002544CE">
        <w:rPr>
          <w:lang w:val="en-US"/>
        </w:rPr>
        <w:t>RESC Conclu</w:t>
      </w:r>
      <w:r>
        <w:rPr>
          <w:lang w:val="en-US"/>
        </w:rPr>
        <w:t xml:space="preserve">sions, Finland (2011), 414; </w:t>
      </w:r>
      <w:r w:rsidRPr="002326DA">
        <w:rPr>
          <w:lang w:val="en-US"/>
        </w:rPr>
        <w:t>RESC Conclusions Portugal (2011</w:t>
      </w:r>
      <w:r>
        <w:rPr>
          <w:lang w:val="en-US"/>
        </w:rPr>
        <w:t xml:space="preserve">), 948; </w:t>
      </w:r>
      <w:r w:rsidRPr="002544CE">
        <w:rPr>
          <w:lang w:val="en-US"/>
        </w:rPr>
        <w:t>Social Charter monographs, op. cit., 81</w:t>
      </w:r>
      <w:r>
        <w:rPr>
          <w:lang w:val="en-US"/>
        </w:rPr>
        <w:t xml:space="preserve">. </w:t>
      </w:r>
    </w:p>
  </w:footnote>
  <w:footnote w:id="673">
    <w:p w:rsidR="00551E68" w:rsidRPr="00483047" w:rsidRDefault="00551E68" w:rsidP="005869B3">
      <w:pPr>
        <w:pStyle w:val="Voetnoottekst"/>
        <w:jc w:val="both"/>
        <w:rPr>
          <w:lang w:val="en-US"/>
        </w:rPr>
      </w:pPr>
      <w:r>
        <w:rPr>
          <w:rStyle w:val="Voetnootmarkering"/>
        </w:rPr>
        <w:footnoteRef/>
      </w:r>
      <w:r>
        <w:rPr>
          <w:lang w:val="en-US"/>
        </w:rPr>
        <w:t xml:space="preserve"> Article 11(2) c) CEDAW. </w:t>
      </w:r>
      <w:proofErr w:type="spellStart"/>
      <w:r>
        <w:rPr>
          <w:lang w:val="en-US"/>
        </w:rPr>
        <w:t>Raday</w:t>
      </w:r>
      <w:proofErr w:type="spellEnd"/>
      <w:r>
        <w:rPr>
          <w:lang w:val="en-US"/>
        </w:rPr>
        <w:t xml:space="preserve"> F., “Article 11” in</w:t>
      </w:r>
      <w:r w:rsidRPr="00483047">
        <w:rPr>
          <w:lang w:val="en-US"/>
        </w:rPr>
        <w:t xml:space="preserve"> Freeman M., </w:t>
      </w:r>
      <w:proofErr w:type="spellStart"/>
      <w:r>
        <w:rPr>
          <w:lang w:val="en-US"/>
        </w:rPr>
        <w:t>Chinkin</w:t>
      </w:r>
      <w:proofErr w:type="spellEnd"/>
      <w:r>
        <w:rPr>
          <w:lang w:val="en-US"/>
        </w:rPr>
        <w:t xml:space="preserve"> C. and </w:t>
      </w:r>
      <w:proofErr w:type="spellStart"/>
      <w:r>
        <w:rPr>
          <w:lang w:val="en-US"/>
        </w:rPr>
        <w:t>Beate</w:t>
      </w:r>
      <w:proofErr w:type="spellEnd"/>
      <w:r>
        <w:rPr>
          <w:lang w:val="en-US"/>
        </w:rPr>
        <w:t xml:space="preserve"> R. (eds.), op. cit., 301.  </w:t>
      </w:r>
    </w:p>
  </w:footnote>
  <w:footnote w:id="674">
    <w:p w:rsidR="00551E68" w:rsidRPr="00033376" w:rsidRDefault="00551E68" w:rsidP="005869B3">
      <w:pPr>
        <w:pStyle w:val="Voetnoottekst"/>
        <w:jc w:val="both"/>
        <w:rPr>
          <w:lang w:val="en-US"/>
        </w:rPr>
      </w:pPr>
      <w:r>
        <w:rPr>
          <w:rStyle w:val="Voetnootmarkering"/>
        </w:rPr>
        <w:footnoteRef/>
      </w:r>
      <w:r>
        <w:rPr>
          <w:lang w:val="en-US"/>
        </w:rPr>
        <w:t xml:space="preserve"> </w:t>
      </w:r>
      <w:r w:rsidRPr="00033376">
        <w:rPr>
          <w:lang w:val="en-US"/>
        </w:rPr>
        <w:t>Article 11(2) c) states: ‘State Parties shall</w:t>
      </w:r>
      <w:r>
        <w:rPr>
          <w:lang w:val="en-US"/>
        </w:rPr>
        <w:t xml:space="preserve"> take appropriate measures </w:t>
      </w:r>
      <w:r w:rsidRPr="00033376">
        <w:rPr>
          <w:i/>
          <w:lang w:val="en-US"/>
        </w:rPr>
        <w:t>to encourage</w:t>
      </w:r>
      <w:r>
        <w:rPr>
          <w:lang w:val="en-US"/>
        </w:rPr>
        <w:t xml:space="preserve"> the establishment and development of a network of child-care facilities’. </w:t>
      </w:r>
    </w:p>
  </w:footnote>
  <w:footnote w:id="675">
    <w:p w:rsidR="00551E68" w:rsidRPr="00AA4633" w:rsidRDefault="00551E68" w:rsidP="005869B3">
      <w:pPr>
        <w:pStyle w:val="Voetnoottekst"/>
        <w:jc w:val="both"/>
        <w:rPr>
          <w:u w:val="single"/>
        </w:rPr>
      </w:pPr>
      <w:r>
        <w:rPr>
          <w:rStyle w:val="Voetnootmarkering"/>
        </w:rPr>
        <w:footnoteRef/>
      </w:r>
      <w:r w:rsidRPr="00734A1D">
        <w:t xml:space="preserve"> Hein C. </w:t>
      </w:r>
      <w:proofErr w:type="spellStart"/>
      <w:r w:rsidRPr="00734A1D">
        <w:t>and</w:t>
      </w:r>
      <w:proofErr w:type="spellEnd"/>
      <w:r w:rsidRPr="00734A1D">
        <w:t xml:space="preserve"> </w:t>
      </w:r>
      <w:proofErr w:type="spellStart"/>
      <w:r w:rsidRPr="00734A1D">
        <w:t>Cassirer</w:t>
      </w:r>
      <w:proofErr w:type="spellEnd"/>
      <w:r w:rsidRPr="00734A1D">
        <w:t xml:space="preserve"> N., op. </w:t>
      </w:r>
      <w:proofErr w:type="spellStart"/>
      <w:r w:rsidRPr="00734A1D">
        <w:t>cit</w:t>
      </w:r>
      <w:proofErr w:type="spellEnd"/>
      <w:r w:rsidRPr="00734A1D">
        <w:t xml:space="preserve">., 11; </w:t>
      </w:r>
      <w:r>
        <w:t xml:space="preserve">Schneider H., “Zwangerschapsverlof-ouderschapsverlof-kinderopvang: geen gemakkelijke bevalling” in </w:t>
      </w:r>
      <w:r w:rsidRPr="00AA4633">
        <w:t>Heringa A.,</w:t>
      </w:r>
      <w:r>
        <w:t xml:space="preserve"> Hes J. </w:t>
      </w:r>
      <w:proofErr w:type="spellStart"/>
      <w:r>
        <w:t>and</w:t>
      </w:r>
      <w:proofErr w:type="spellEnd"/>
      <w:r>
        <w:t xml:space="preserve"> Lijnzaad L. (</w:t>
      </w:r>
      <w:proofErr w:type="spellStart"/>
      <w:r>
        <w:t>eds</w:t>
      </w:r>
      <w:proofErr w:type="spellEnd"/>
      <w:r>
        <w:t xml:space="preserve">.), op. </w:t>
      </w:r>
      <w:proofErr w:type="spellStart"/>
      <w:r>
        <w:t>cit</w:t>
      </w:r>
      <w:proofErr w:type="spellEnd"/>
      <w:r>
        <w:t xml:space="preserve">. 149; </w:t>
      </w:r>
      <w:proofErr w:type="spellStart"/>
      <w:r w:rsidRPr="00AA4633">
        <w:t>Raday</w:t>
      </w:r>
      <w:proofErr w:type="spellEnd"/>
      <w:r w:rsidRPr="00AA4633">
        <w:t xml:space="preserve"> F., “</w:t>
      </w:r>
      <w:proofErr w:type="spellStart"/>
      <w:r w:rsidRPr="00AA4633">
        <w:t>Article</w:t>
      </w:r>
      <w:proofErr w:type="spellEnd"/>
      <w:r w:rsidRPr="00AA4633">
        <w:t xml:space="preserve"> 11” in Freeman M., </w:t>
      </w:r>
      <w:proofErr w:type="spellStart"/>
      <w:r w:rsidRPr="00AA4633">
        <w:t>Chinkin</w:t>
      </w:r>
      <w:proofErr w:type="spellEnd"/>
      <w:r w:rsidRPr="00AA4633">
        <w:t xml:space="preserve"> C. </w:t>
      </w:r>
      <w:proofErr w:type="spellStart"/>
      <w:r w:rsidRPr="00AA4633">
        <w:t>and</w:t>
      </w:r>
      <w:proofErr w:type="spellEnd"/>
      <w:r w:rsidRPr="00AA4633">
        <w:t xml:space="preserve"> Be</w:t>
      </w:r>
      <w:r>
        <w:t>ate R. (</w:t>
      </w:r>
      <w:proofErr w:type="spellStart"/>
      <w:r>
        <w:t>eds</w:t>
      </w:r>
      <w:proofErr w:type="spellEnd"/>
      <w:r>
        <w:t xml:space="preserve">.), op. </w:t>
      </w:r>
      <w:proofErr w:type="spellStart"/>
      <w:r>
        <w:t>cit</w:t>
      </w:r>
      <w:proofErr w:type="spellEnd"/>
      <w:r>
        <w:t xml:space="preserve">., 301-302. </w:t>
      </w:r>
    </w:p>
  </w:footnote>
  <w:footnote w:id="676">
    <w:p w:rsidR="00551E68" w:rsidRPr="00272991" w:rsidRDefault="00551E68" w:rsidP="005869B3">
      <w:pPr>
        <w:pStyle w:val="Voetnoottekst"/>
        <w:jc w:val="both"/>
        <w:rPr>
          <w:lang w:val="en-US"/>
        </w:rPr>
      </w:pPr>
      <w:r>
        <w:rPr>
          <w:rStyle w:val="Voetnootmarkering"/>
        </w:rPr>
        <w:footnoteRef/>
      </w:r>
      <w:r w:rsidRPr="00272991">
        <w:rPr>
          <w:lang w:val="en-US"/>
        </w:rPr>
        <w:t xml:space="preserve"> </w:t>
      </w:r>
      <w:proofErr w:type="spellStart"/>
      <w:r w:rsidRPr="00272991">
        <w:rPr>
          <w:lang w:val="en-US"/>
        </w:rPr>
        <w:t>Cremers</w:t>
      </w:r>
      <w:proofErr w:type="spellEnd"/>
      <w:r w:rsidRPr="00272991">
        <w:rPr>
          <w:lang w:val="en-US"/>
        </w:rPr>
        <w:t xml:space="preserve"> E., Monster W. and </w:t>
      </w:r>
      <w:proofErr w:type="spellStart"/>
      <w:r w:rsidRPr="00272991">
        <w:rPr>
          <w:lang w:val="en-US"/>
        </w:rPr>
        <w:t>Willems</w:t>
      </w:r>
      <w:proofErr w:type="spellEnd"/>
      <w:r w:rsidRPr="00272991">
        <w:rPr>
          <w:lang w:val="en-US"/>
        </w:rPr>
        <w:t xml:space="preserve"> L., op. cit., 312-314. </w:t>
      </w:r>
    </w:p>
  </w:footnote>
  <w:footnote w:id="677">
    <w:p w:rsidR="00551E68" w:rsidRPr="00272991" w:rsidRDefault="00551E68" w:rsidP="005869B3">
      <w:pPr>
        <w:pStyle w:val="Voetnoottekst"/>
        <w:jc w:val="both"/>
        <w:rPr>
          <w:u w:val="single"/>
          <w:lang w:val="en-US"/>
        </w:rPr>
      </w:pPr>
      <w:r>
        <w:rPr>
          <w:rStyle w:val="Voetnootmarkering"/>
        </w:rPr>
        <w:footnoteRef/>
      </w:r>
      <w:r w:rsidRPr="00272991">
        <w:rPr>
          <w:lang w:val="en-US"/>
        </w:rPr>
        <w:t xml:space="preserve"> </w:t>
      </w:r>
      <w:proofErr w:type="spellStart"/>
      <w:r w:rsidRPr="00272991">
        <w:rPr>
          <w:lang w:val="en-US"/>
        </w:rPr>
        <w:t>Cremers</w:t>
      </w:r>
      <w:proofErr w:type="spellEnd"/>
      <w:r w:rsidRPr="00272991">
        <w:rPr>
          <w:lang w:val="en-US"/>
        </w:rPr>
        <w:t xml:space="preserve"> E., Monster W. and </w:t>
      </w:r>
      <w:proofErr w:type="spellStart"/>
      <w:r w:rsidRPr="00272991">
        <w:rPr>
          <w:lang w:val="en-US"/>
        </w:rPr>
        <w:t>Willems</w:t>
      </w:r>
      <w:proofErr w:type="spellEnd"/>
      <w:r w:rsidRPr="00272991">
        <w:rPr>
          <w:lang w:val="en-US"/>
        </w:rPr>
        <w:t xml:space="preserve"> L., op. cit., 312-313; </w:t>
      </w:r>
      <w:proofErr w:type="spellStart"/>
      <w:r w:rsidRPr="004C4B09">
        <w:rPr>
          <w:lang w:val="en-US"/>
        </w:rPr>
        <w:t>Rehof</w:t>
      </w:r>
      <w:proofErr w:type="spellEnd"/>
      <w:r w:rsidRPr="004C4B09">
        <w:rPr>
          <w:lang w:val="en-US"/>
        </w:rPr>
        <w:t xml:space="preserve"> L.,</w:t>
      </w:r>
      <w:r>
        <w:rPr>
          <w:lang w:val="en-US"/>
        </w:rPr>
        <w:t xml:space="preserve"> op. cit., 292 and 306. </w:t>
      </w:r>
    </w:p>
  </w:footnote>
  <w:footnote w:id="678">
    <w:p w:rsidR="00551E68" w:rsidRPr="00734A1D" w:rsidRDefault="00551E68" w:rsidP="005869B3">
      <w:pPr>
        <w:pStyle w:val="Voetnoottekst"/>
        <w:jc w:val="both"/>
        <w:rPr>
          <w:lang w:val="en-US"/>
        </w:rPr>
      </w:pPr>
      <w:r>
        <w:rPr>
          <w:rStyle w:val="Voetnootmarkering"/>
        </w:rPr>
        <w:footnoteRef/>
      </w:r>
      <w:r>
        <w:rPr>
          <w:lang w:val="en-US"/>
        </w:rPr>
        <w:t xml:space="preserve"> </w:t>
      </w:r>
      <w:r w:rsidRPr="009F066A">
        <w:rPr>
          <w:lang w:val="en-US"/>
        </w:rPr>
        <w:t>CEDAW CO Bangladesh, A/59/38 (2004)</w:t>
      </w:r>
      <w:r>
        <w:rPr>
          <w:lang w:val="en-US"/>
        </w:rPr>
        <w:t xml:space="preserve">, paras 253-254; </w:t>
      </w:r>
      <w:r w:rsidRPr="00B9349F">
        <w:rPr>
          <w:lang w:val="en-US"/>
        </w:rPr>
        <w:t>CEDAW CO Germany, A/55/38 (2000)</w:t>
      </w:r>
      <w:r>
        <w:rPr>
          <w:lang w:val="en-US"/>
        </w:rPr>
        <w:t>, paras 313-314;</w:t>
      </w:r>
      <w:r w:rsidRPr="00186AAB">
        <w:rPr>
          <w:lang w:val="en-US"/>
        </w:rPr>
        <w:t xml:space="preserve"> CEDAW CO Netherlands, A/56/38 (2001)</w:t>
      </w:r>
      <w:r>
        <w:rPr>
          <w:lang w:val="en-US"/>
        </w:rPr>
        <w:t xml:space="preserve">, paras 203-204; </w:t>
      </w:r>
      <w:r w:rsidRPr="00394D4B">
        <w:rPr>
          <w:lang w:val="en-US"/>
        </w:rPr>
        <w:t>CEDAW CO S</w:t>
      </w:r>
      <w:r w:rsidRPr="00734A1D">
        <w:rPr>
          <w:lang w:val="en-US"/>
        </w:rPr>
        <w:t xml:space="preserve">lovenia, A/52/38/Rev. 1 (1997), paras 104 and 114. </w:t>
      </w:r>
    </w:p>
  </w:footnote>
  <w:footnote w:id="679">
    <w:p w:rsidR="00551E68" w:rsidRPr="0034510F" w:rsidRDefault="00551E68" w:rsidP="005869B3">
      <w:pPr>
        <w:pStyle w:val="Voetnoottekst"/>
        <w:jc w:val="both"/>
        <w:rPr>
          <w:lang w:val="it-IT"/>
        </w:rPr>
      </w:pPr>
      <w:r>
        <w:rPr>
          <w:rStyle w:val="Voetnootmarkering"/>
        </w:rPr>
        <w:footnoteRef/>
      </w:r>
      <w:r>
        <w:rPr>
          <w:lang w:val="en-US"/>
        </w:rPr>
        <w:t xml:space="preserve"> </w:t>
      </w:r>
      <w:r w:rsidRPr="00764B25">
        <w:rPr>
          <w:lang w:val="en-US"/>
        </w:rPr>
        <w:t>CEDAW CO Belize, A/54/38/Rev.</w:t>
      </w:r>
      <w:r w:rsidRPr="006A4862">
        <w:rPr>
          <w:lang w:val="en-US"/>
        </w:rPr>
        <w:t xml:space="preserve"> 1 (1999), para. </w:t>
      </w:r>
      <w:r w:rsidRPr="006A4862">
        <w:rPr>
          <w:lang w:val="it-IT"/>
        </w:rPr>
        <w:t>55; CEDAW CO Columbia, A/</w:t>
      </w:r>
      <w:r>
        <w:rPr>
          <w:lang w:val="it-IT"/>
        </w:rPr>
        <w:t xml:space="preserve">54/38/Rev. 1 (1999), para. 388;  </w:t>
      </w:r>
      <w:r w:rsidRPr="00137B32">
        <w:rPr>
          <w:lang w:val="it-IT"/>
        </w:rPr>
        <w:t xml:space="preserve">CEDAW CO Greece, </w:t>
      </w:r>
      <w:r w:rsidRPr="00137B32">
        <w:rPr>
          <w:rFonts w:eastAsia="Calibri"/>
          <w:lang w:val="it-IT"/>
        </w:rPr>
        <w:t>CEDAW/C/GRC/CO/7</w:t>
      </w:r>
      <w:r w:rsidRPr="00137B32">
        <w:rPr>
          <w:lang w:val="it-IT"/>
        </w:rPr>
        <w:t xml:space="preserve"> (2013), para</w:t>
      </w:r>
      <w:r>
        <w:rPr>
          <w:lang w:val="it-IT"/>
        </w:rPr>
        <w:t xml:space="preserve">. 28; </w:t>
      </w:r>
      <w:r w:rsidRPr="003054AF">
        <w:rPr>
          <w:lang w:val="it-IT"/>
        </w:rPr>
        <w:t xml:space="preserve">CEDAW CO Nicaragua, A/56/38 (2001), para. </w:t>
      </w:r>
      <w:r>
        <w:rPr>
          <w:lang w:val="it-IT"/>
        </w:rPr>
        <w:t xml:space="preserve">307; </w:t>
      </w:r>
      <w:r w:rsidRPr="006A4862">
        <w:rPr>
          <w:lang w:val="it-IT"/>
        </w:rPr>
        <w:t>CEDAW CO</w:t>
      </w:r>
      <w:r>
        <w:rPr>
          <w:lang w:val="it-IT"/>
        </w:rPr>
        <w:t xml:space="preserve"> Slovakia, A/53/38 (1998), paras</w:t>
      </w:r>
      <w:r w:rsidRPr="006A4862">
        <w:rPr>
          <w:lang w:val="it-IT"/>
        </w:rPr>
        <w:t xml:space="preserve"> 89-90; CEDAW CO Slovenia, A/52/38/Rev. 1 (1997)</w:t>
      </w:r>
      <w:r>
        <w:rPr>
          <w:lang w:val="it-IT"/>
        </w:rPr>
        <w:t xml:space="preserve">, para. </w:t>
      </w:r>
      <w:r w:rsidRPr="0034510F">
        <w:rPr>
          <w:lang w:val="it-IT"/>
        </w:rPr>
        <w:t xml:space="preserve">104; CEDAW CO Switzerland, CEDAW/C/CHE/CO/3 (2009), para. 37. </w:t>
      </w:r>
    </w:p>
  </w:footnote>
  <w:footnote w:id="680">
    <w:p w:rsidR="00551E68" w:rsidRPr="0034510F" w:rsidRDefault="00551E68" w:rsidP="005869B3">
      <w:pPr>
        <w:pStyle w:val="Voetnoottekst"/>
        <w:jc w:val="both"/>
        <w:rPr>
          <w:lang w:val="it-IT"/>
        </w:rPr>
      </w:pPr>
      <w:r>
        <w:rPr>
          <w:rStyle w:val="Voetnootmarkering"/>
        </w:rPr>
        <w:footnoteRef/>
      </w:r>
      <w:r w:rsidRPr="0084143F">
        <w:rPr>
          <w:lang w:val="it-IT"/>
        </w:rPr>
        <w:t xml:space="preserve"> CEDAW </w:t>
      </w:r>
      <w:r w:rsidRPr="0084143F">
        <w:rPr>
          <w:lang w:val="it-IT"/>
        </w:rPr>
        <w:t xml:space="preserve">CO Canada, A/58/38 (2003), 379-380; CEDAW CO Japan, CEDAW/C/JNP/CO/6 (2009), para. </w:t>
      </w:r>
      <w:r w:rsidRPr="0034510F">
        <w:rPr>
          <w:lang w:val="it-IT"/>
        </w:rPr>
        <w:t xml:space="preserve">48; CEDAW CO Malta, A/59/38 (2004), para. 94; CEDAW CO Turkey, A/60/38 (2005), paras 35-36. </w:t>
      </w:r>
    </w:p>
  </w:footnote>
  <w:footnote w:id="681">
    <w:p w:rsidR="00551E68" w:rsidRPr="0034510F" w:rsidRDefault="00551E68" w:rsidP="005869B3">
      <w:pPr>
        <w:pStyle w:val="Voetnoottekst"/>
        <w:jc w:val="both"/>
        <w:rPr>
          <w:lang w:val="it-IT"/>
        </w:rPr>
      </w:pPr>
      <w:r>
        <w:rPr>
          <w:rStyle w:val="Voetnootmarkering"/>
        </w:rPr>
        <w:footnoteRef/>
      </w:r>
      <w:r w:rsidRPr="0034510F">
        <w:rPr>
          <w:lang w:val="it-IT"/>
        </w:rPr>
        <w:t xml:space="preserve"> CEDAW </w:t>
      </w:r>
      <w:r w:rsidRPr="0034510F">
        <w:rPr>
          <w:lang w:val="it-IT"/>
        </w:rPr>
        <w:t xml:space="preserve">CO Austria, A/55/38 (2000), para. 234. </w:t>
      </w:r>
    </w:p>
  </w:footnote>
  <w:footnote w:id="682">
    <w:p w:rsidR="00551E68" w:rsidRPr="0084143F" w:rsidRDefault="00551E68" w:rsidP="005869B3">
      <w:pPr>
        <w:pStyle w:val="Voetnoottekst"/>
        <w:jc w:val="both"/>
        <w:rPr>
          <w:lang w:val="it-IT"/>
        </w:rPr>
      </w:pPr>
      <w:r>
        <w:rPr>
          <w:rStyle w:val="Voetnootmarkering"/>
        </w:rPr>
        <w:footnoteRef/>
      </w:r>
      <w:r w:rsidRPr="0084143F">
        <w:rPr>
          <w:lang w:val="it-IT"/>
        </w:rPr>
        <w:t xml:space="preserve"> CEDAW </w:t>
      </w:r>
      <w:r w:rsidRPr="0084143F">
        <w:rPr>
          <w:lang w:val="it-IT"/>
        </w:rPr>
        <w:t xml:space="preserve">CO Switzerland, CEDAW/C/CHE/CO/3 (2009), paras 37-38. </w:t>
      </w:r>
    </w:p>
  </w:footnote>
  <w:footnote w:id="683">
    <w:p w:rsidR="00551E68" w:rsidRPr="008850D9" w:rsidRDefault="00551E68" w:rsidP="005869B3">
      <w:pPr>
        <w:pStyle w:val="Voetnoottekst"/>
        <w:jc w:val="both"/>
        <w:rPr>
          <w:lang w:val="en-US"/>
        </w:rPr>
      </w:pPr>
      <w:r>
        <w:rPr>
          <w:rStyle w:val="Voetnootmarkering"/>
        </w:rPr>
        <w:footnoteRef/>
      </w:r>
      <w:r>
        <w:rPr>
          <w:lang w:val="en-US"/>
        </w:rPr>
        <w:t xml:space="preserve"> </w:t>
      </w:r>
      <w:r w:rsidRPr="00AB006E">
        <w:rPr>
          <w:lang w:val="en-US"/>
        </w:rPr>
        <w:t>CEDAW CO Belarus, CEDAW/C/BLR/CO/7 (2011)</w:t>
      </w:r>
      <w:r>
        <w:rPr>
          <w:lang w:val="en-US"/>
        </w:rPr>
        <w:t xml:space="preserve">, para. </w:t>
      </w:r>
      <w:r w:rsidRPr="00492589">
        <w:rPr>
          <w:lang w:val="it-IT"/>
        </w:rPr>
        <w:t>34; CEDAW CO Mexico,</w:t>
      </w:r>
      <w:r>
        <w:rPr>
          <w:lang w:val="it-IT"/>
        </w:rPr>
        <w:t xml:space="preserve"> </w:t>
      </w:r>
      <w:r w:rsidRPr="00492589">
        <w:rPr>
          <w:lang w:val="it-IT"/>
        </w:rPr>
        <w:t>CEDAW/C/MEX/CO/7-8 (2012), para</w:t>
      </w:r>
      <w:r>
        <w:rPr>
          <w:lang w:val="it-IT"/>
        </w:rPr>
        <w:t xml:space="preserve">. </w:t>
      </w:r>
      <w:r w:rsidRPr="008850D9">
        <w:rPr>
          <w:lang w:val="en-US"/>
        </w:rPr>
        <w:t xml:space="preserve">29; </w:t>
      </w:r>
      <w:r w:rsidRPr="005819F6">
        <w:rPr>
          <w:lang w:val="en-US"/>
        </w:rPr>
        <w:t>CEDAW CO New Zealand, CEDAW/C/NZL/CO/7 (2012)</w:t>
      </w:r>
      <w:r>
        <w:rPr>
          <w:lang w:val="en-US"/>
        </w:rPr>
        <w:t>, para. 32.</w:t>
      </w:r>
    </w:p>
  </w:footnote>
  <w:footnote w:id="684">
    <w:p w:rsidR="00551E68" w:rsidRPr="00C46946" w:rsidRDefault="00551E68" w:rsidP="005869B3">
      <w:pPr>
        <w:pStyle w:val="Voetnoottekst"/>
        <w:jc w:val="both"/>
        <w:rPr>
          <w:lang w:val="en-GB"/>
        </w:rPr>
      </w:pPr>
      <w:r>
        <w:rPr>
          <w:rStyle w:val="Voetnootmarkering"/>
        </w:rPr>
        <w:footnoteRef/>
      </w:r>
      <w:r w:rsidRPr="00C46946">
        <w:rPr>
          <w:lang w:val="en-US"/>
        </w:rPr>
        <w:t xml:space="preserve"> </w:t>
      </w:r>
      <w:r w:rsidRPr="00C46946">
        <w:rPr>
          <w:lang w:val="en-GB"/>
        </w:rPr>
        <w:t>Convention no. 156 on Workers wit</w:t>
      </w:r>
      <w:r>
        <w:rPr>
          <w:lang w:val="en-GB"/>
        </w:rPr>
        <w:t xml:space="preserve">h Family Responsibilities, 1981. </w:t>
      </w:r>
    </w:p>
  </w:footnote>
  <w:footnote w:id="685">
    <w:p w:rsidR="00551E68" w:rsidRPr="006E3690" w:rsidRDefault="00551E68" w:rsidP="005869B3">
      <w:pPr>
        <w:pStyle w:val="Voetnoottekst"/>
        <w:jc w:val="both"/>
        <w:rPr>
          <w:lang w:val="en-GB"/>
        </w:rPr>
      </w:pPr>
      <w:r>
        <w:rPr>
          <w:rStyle w:val="Voetnootmarkering"/>
        </w:rPr>
        <w:footnoteRef/>
      </w:r>
      <w:r>
        <w:rPr>
          <w:lang w:val="en-US"/>
        </w:rPr>
        <w:t xml:space="preserve"> Article 5(b) </w:t>
      </w:r>
      <w:r w:rsidRPr="006E3690">
        <w:rPr>
          <w:lang w:val="en-GB"/>
        </w:rPr>
        <w:t>C</w:t>
      </w:r>
      <w:r>
        <w:rPr>
          <w:lang w:val="en-GB"/>
        </w:rPr>
        <w:t>onvention no. 156.</w:t>
      </w:r>
    </w:p>
  </w:footnote>
  <w:footnote w:id="686">
    <w:p w:rsidR="00551E68" w:rsidRPr="0029402A" w:rsidRDefault="00551E68" w:rsidP="005869B3">
      <w:pPr>
        <w:pStyle w:val="Voetnoottekst"/>
        <w:jc w:val="both"/>
        <w:rPr>
          <w:lang w:val="en-GB"/>
        </w:rPr>
      </w:pPr>
      <w:r>
        <w:rPr>
          <w:rStyle w:val="Voetnootmarkering"/>
        </w:rPr>
        <w:footnoteRef/>
      </w:r>
      <w:r>
        <w:rPr>
          <w:lang w:val="en-US"/>
        </w:rPr>
        <w:t xml:space="preserve"> Recital 5 </w:t>
      </w:r>
      <w:r w:rsidRPr="0029402A">
        <w:rPr>
          <w:lang w:val="en-US"/>
        </w:rPr>
        <w:t>preamble o</w:t>
      </w:r>
      <w:r>
        <w:rPr>
          <w:lang w:val="en-US"/>
        </w:rPr>
        <w:t xml:space="preserve">f </w:t>
      </w:r>
      <w:r w:rsidRPr="0029402A">
        <w:rPr>
          <w:lang w:val="en-GB"/>
        </w:rPr>
        <w:t>Convention no. 156 on Workers with Family Respons</w:t>
      </w:r>
      <w:r>
        <w:rPr>
          <w:lang w:val="en-GB"/>
        </w:rPr>
        <w:t xml:space="preserve">ibilities. </w:t>
      </w:r>
    </w:p>
  </w:footnote>
  <w:footnote w:id="687">
    <w:p w:rsidR="00551E68" w:rsidRPr="0079055A" w:rsidRDefault="00551E68" w:rsidP="005869B3">
      <w:pPr>
        <w:pStyle w:val="Voetnoottekst"/>
        <w:jc w:val="both"/>
        <w:rPr>
          <w:lang w:val="en-GB"/>
        </w:rPr>
      </w:pPr>
      <w:r>
        <w:rPr>
          <w:rStyle w:val="Voetnootmarkering"/>
        </w:rPr>
        <w:footnoteRef/>
      </w:r>
      <w:r w:rsidRPr="0029402A">
        <w:rPr>
          <w:lang w:val="en-US"/>
        </w:rPr>
        <w:t xml:space="preserve"> </w:t>
      </w:r>
      <w:r>
        <w:rPr>
          <w:lang w:val="en-US"/>
        </w:rPr>
        <w:t xml:space="preserve">CEDAW was adopted in 1979: 2 years before </w:t>
      </w:r>
      <w:r w:rsidRPr="0079055A">
        <w:rPr>
          <w:lang w:val="en-GB"/>
        </w:rPr>
        <w:t>C</w:t>
      </w:r>
      <w:r>
        <w:rPr>
          <w:lang w:val="en-GB"/>
        </w:rPr>
        <w:t xml:space="preserve">onvention no. 156. </w:t>
      </w:r>
    </w:p>
  </w:footnote>
  <w:footnote w:id="688">
    <w:p w:rsidR="00551E68" w:rsidRPr="0029402A" w:rsidRDefault="00551E68" w:rsidP="005869B3">
      <w:pPr>
        <w:pStyle w:val="Voetnoottekst"/>
        <w:jc w:val="both"/>
        <w:rPr>
          <w:lang w:val="en-US"/>
        </w:rPr>
      </w:pPr>
      <w:r>
        <w:rPr>
          <w:rStyle w:val="Voetnootmarkering"/>
        </w:rPr>
        <w:footnoteRef/>
      </w:r>
      <w:r w:rsidRPr="0029402A">
        <w:rPr>
          <w:lang w:val="en-US"/>
        </w:rPr>
        <w:t xml:space="preserve"> </w:t>
      </w:r>
      <w:r>
        <w:rPr>
          <w:lang w:val="en-US"/>
        </w:rPr>
        <w:t xml:space="preserve">Article 11(2) c) CEDAW. </w:t>
      </w:r>
    </w:p>
  </w:footnote>
  <w:footnote w:id="689">
    <w:p w:rsidR="00551E68" w:rsidRPr="00445377" w:rsidRDefault="00551E68" w:rsidP="005869B3">
      <w:pPr>
        <w:pStyle w:val="Voetnoottekst"/>
        <w:jc w:val="both"/>
        <w:rPr>
          <w:lang w:val="en-GB"/>
        </w:rPr>
      </w:pPr>
      <w:r>
        <w:rPr>
          <w:rStyle w:val="Voetnootmarkering"/>
        </w:rPr>
        <w:footnoteRef/>
      </w:r>
      <w:r w:rsidRPr="00445377">
        <w:rPr>
          <w:lang w:val="en-US"/>
        </w:rPr>
        <w:t xml:space="preserve"> </w:t>
      </w:r>
      <w:r>
        <w:rPr>
          <w:lang w:val="en-US"/>
        </w:rPr>
        <w:t xml:space="preserve">Paragraph 24 </w:t>
      </w:r>
      <w:r w:rsidRPr="00445377">
        <w:rPr>
          <w:lang w:val="en-US"/>
        </w:rPr>
        <w:t xml:space="preserve">Recommendation no. 165 on Workers with Family Responsibilities, 1981. </w:t>
      </w:r>
    </w:p>
  </w:footnote>
  <w:footnote w:id="690">
    <w:p w:rsidR="00551E68" w:rsidRPr="00C73D76" w:rsidRDefault="00551E68" w:rsidP="005869B3">
      <w:pPr>
        <w:pStyle w:val="Voetnoottekst"/>
        <w:jc w:val="both"/>
        <w:rPr>
          <w:lang w:val="en-GB"/>
        </w:rPr>
      </w:pPr>
      <w:r>
        <w:rPr>
          <w:rStyle w:val="Voetnootmarkering"/>
        </w:rPr>
        <w:footnoteRef/>
      </w:r>
      <w:r w:rsidRPr="0029402A">
        <w:rPr>
          <w:lang w:val="en-US"/>
        </w:rPr>
        <w:t xml:space="preserve"> </w:t>
      </w:r>
      <w:r w:rsidRPr="00C73D76">
        <w:rPr>
          <w:lang w:val="en-GB"/>
        </w:rPr>
        <w:t>International Labour Conference, General Survey on the Reports on the Workers with Family Responsibilities Convention no. 156 and Recommendation no. 165, 80</w:t>
      </w:r>
      <w:r w:rsidRPr="00C73D76">
        <w:rPr>
          <w:vertAlign w:val="superscript"/>
          <w:lang w:val="en-GB"/>
        </w:rPr>
        <w:t>th</w:t>
      </w:r>
      <w:r>
        <w:rPr>
          <w:lang w:val="en-GB"/>
        </w:rPr>
        <w:t xml:space="preserve"> Session, 1993, 77 and 80-81. </w:t>
      </w:r>
    </w:p>
  </w:footnote>
  <w:footnote w:id="691">
    <w:p w:rsidR="00551E68" w:rsidRPr="000D4897" w:rsidRDefault="00551E68" w:rsidP="005869B3">
      <w:pPr>
        <w:pStyle w:val="Voetnoottekst"/>
        <w:jc w:val="both"/>
        <w:rPr>
          <w:lang w:val="en-GB"/>
        </w:rPr>
      </w:pPr>
      <w:r>
        <w:rPr>
          <w:rStyle w:val="Voetnootmarkering"/>
        </w:rPr>
        <w:footnoteRef/>
      </w:r>
      <w:r>
        <w:rPr>
          <w:lang w:val="en-US"/>
        </w:rPr>
        <w:t xml:space="preserve"> Paragraph 25(b)</w:t>
      </w:r>
      <w:r>
        <w:rPr>
          <w:lang w:val="en-GB"/>
        </w:rPr>
        <w:t xml:space="preserve"> </w:t>
      </w:r>
      <w:r w:rsidRPr="000D4897">
        <w:rPr>
          <w:lang w:val="en-US"/>
        </w:rPr>
        <w:t>Recommendation no. 165</w:t>
      </w:r>
      <w:r>
        <w:rPr>
          <w:lang w:val="en-US"/>
        </w:rPr>
        <w:t>.</w:t>
      </w:r>
    </w:p>
  </w:footnote>
  <w:footnote w:id="692">
    <w:p w:rsidR="00551E68" w:rsidRPr="00D42E79" w:rsidRDefault="00551E68" w:rsidP="005869B3">
      <w:pPr>
        <w:pStyle w:val="Voetnoottekst"/>
        <w:jc w:val="both"/>
        <w:rPr>
          <w:lang w:val="en-US"/>
        </w:rPr>
      </w:pPr>
      <w:r>
        <w:rPr>
          <w:rStyle w:val="Voetnootmarkering"/>
        </w:rPr>
        <w:footnoteRef/>
      </w:r>
      <w:r>
        <w:rPr>
          <w:lang w:val="en-US"/>
        </w:rPr>
        <w:t xml:space="preserve"> Paragraph 26(2) and (3) </w:t>
      </w:r>
      <w:r w:rsidRPr="00D42E79">
        <w:rPr>
          <w:lang w:val="en-US"/>
        </w:rPr>
        <w:t>Recommendation no. 165</w:t>
      </w:r>
      <w:r>
        <w:rPr>
          <w:lang w:val="en-US"/>
        </w:rPr>
        <w:t xml:space="preserve">. </w:t>
      </w:r>
    </w:p>
  </w:footnote>
  <w:footnote w:id="693">
    <w:p w:rsidR="00551E68" w:rsidRPr="007D658A" w:rsidRDefault="00551E68" w:rsidP="005869B3">
      <w:pPr>
        <w:pStyle w:val="Voetnoottekst"/>
        <w:jc w:val="both"/>
        <w:rPr>
          <w:lang w:val="en-US"/>
        </w:rPr>
      </w:pPr>
      <w:r>
        <w:rPr>
          <w:rStyle w:val="Voetnootmarkering"/>
        </w:rPr>
        <w:footnoteRef/>
      </w:r>
      <w:r>
        <w:rPr>
          <w:lang w:val="en-US"/>
        </w:rPr>
        <w:t xml:space="preserve"> Article 1 Directive 2006/54/EC. </w:t>
      </w:r>
    </w:p>
  </w:footnote>
  <w:footnote w:id="694">
    <w:p w:rsidR="00551E68" w:rsidRPr="00FB520C" w:rsidRDefault="00551E68" w:rsidP="005869B3">
      <w:pPr>
        <w:pStyle w:val="Voetnoottekst"/>
        <w:jc w:val="both"/>
        <w:rPr>
          <w:lang w:val="en-US"/>
        </w:rPr>
      </w:pPr>
      <w:r>
        <w:rPr>
          <w:rStyle w:val="Voetnootmarkering"/>
        </w:rPr>
        <w:footnoteRef/>
      </w:r>
      <w:r w:rsidRPr="007D658A">
        <w:rPr>
          <w:lang w:val="en-US"/>
        </w:rPr>
        <w:t xml:space="preserve"> CEDAW CO Czech Republic, CEDAW/C/CZE/CO/3 (2006)</w:t>
      </w:r>
      <w:r>
        <w:rPr>
          <w:lang w:val="en-US"/>
        </w:rPr>
        <w:t xml:space="preserve">, para. </w:t>
      </w:r>
      <w:r w:rsidRPr="00FB520C">
        <w:rPr>
          <w:lang w:val="en-US"/>
        </w:rPr>
        <w:t>7; CE</w:t>
      </w:r>
      <w:r>
        <w:rPr>
          <w:lang w:val="en-US"/>
        </w:rPr>
        <w:t xml:space="preserve">DAW CO Germany, A/59/38 (2004), paras 26-27; </w:t>
      </w:r>
      <w:r w:rsidRPr="00FA5FA7">
        <w:rPr>
          <w:lang w:val="en-US"/>
        </w:rPr>
        <w:t xml:space="preserve">CEDAW CO Slovenia, A/58/38 (2003), paras 217-219.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8F507AD2"/>
    <w:lvl w:ilvl="0">
      <w:start w:val="1"/>
      <w:numFmt w:val="decimal"/>
      <w:pStyle w:val="Lijstnummering4"/>
      <w:lvlText w:val="%1."/>
      <w:lvlJc w:val="left"/>
      <w:pPr>
        <w:tabs>
          <w:tab w:val="num" w:pos="1209"/>
        </w:tabs>
        <w:ind w:left="1209" w:hanging="360"/>
      </w:pPr>
    </w:lvl>
  </w:abstractNum>
  <w:abstractNum w:abstractNumId="1">
    <w:nsid w:val="00653DDF"/>
    <w:multiLevelType w:val="hybridMultilevel"/>
    <w:tmpl w:val="570484F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1455E0C"/>
    <w:multiLevelType w:val="hybridMultilevel"/>
    <w:tmpl w:val="D79AC58A"/>
    <w:lvl w:ilvl="0" w:tplc="F1923224">
      <w:start w:val="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3436153"/>
    <w:multiLevelType w:val="hybridMultilevel"/>
    <w:tmpl w:val="75C6C1C2"/>
    <w:lvl w:ilvl="0" w:tplc="0E38FFA8">
      <w:start w:val="2"/>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4833884"/>
    <w:multiLevelType w:val="hybridMultilevel"/>
    <w:tmpl w:val="2C42494A"/>
    <w:lvl w:ilvl="0" w:tplc="513E13F0">
      <w:start w:val="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D120F6C"/>
    <w:multiLevelType w:val="hybridMultilevel"/>
    <w:tmpl w:val="E0188090"/>
    <w:lvl w:ilvl="0" w:tplc="9FB8C812">
      <w:start w:val="1"/>
      <w:numFmt w:val="decimal"/>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3B24B58"/>
    <w:multiLevelType w:val="hybridMultilevel"/>
    <w:tmpl w:val="E062B83A"/>
    <w:lvl w:ilvl="0" w:tplc="4864A830">
      <w:start w:val="7"/>
      <w:numFmt w:val="bullet"/>
      <w:lvlText w:val="-"/>
      <w:lvlJc w:val="left"/>
      <w:pPr>
        <w:ind w:left="720" w:hanging="360"/>
      </w:pPr>
      <w:rPr>
        <w:rFonts w:ascii="Times New Roman" w:eastAsiaTheme="minorHAnsi" w:hAnsi="Times New Roman" w:cs="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9127A95"/>
    <w:multiLevelType w:val="hybridMultilevel"/>
    <w:tmpl w:val="A894E616"/>
    <w:lvl w:ilvl="0" w:tplc="D0EC754E">
      <w:start w:val="1"/>
      <w:numFmt w:val="decimal"/>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1416219"/>
    <w:multiLevelType w:val="hybridMultilevel"/>
    <w:tmpl w:val="BC84AC64"/>
    <w:lvl w:ilvl="0" w:tplc="716CDD8C">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8C66089"/>
    <w:multiLevelType w:val="hybridMultilevel"/>
    <w:tmpl w:val="72021458"/>
    <w:lvl w:ilvl="0" w:tplc="2F589EC4">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81821BD"/>
    <w:multiLevelType w:val="hybridMultilevel"/>
    <w:tmpl w:val="E8A80ABA"/>
    <w:lvl w:ilvl="0" w:tplc="FA680C6C">
      <w:start w:val="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85E3F6C"/>
    <w:multiLevelType w:val="hybridMultilevel"/>
    <w:tmpl w:val="0010D01E"/>
    <w:lvl w:ilvl="0" w:tplc="5756E266">
      <w:start w:val="21"/>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9506BF2"/>
    <w:multiLevelType w:val="hybridMultilevel"/>
    <w:tmpl w:val="59E4177E"/>
    <w:lvl w:ilvl="0" w:tplc="85A20486">
      <w:start w:val="1"/>
      <w:numFmt w:val="upperLetter"/>
      <w:lvlText w:val="%1)"/>
      <w:lvlJc w:val="left"/>
      <w:pPr>
        <w:ind w:left="644" w:hanging="360"/>
      </w:pPr>
      <w:rPr>
        <w:rFonts w:ascii="Times New Roman" w:eastAsiaTheme="minorHAnsi" w:hAnsi="Times New Roman" w:cs="Times New Roman"/>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3">
    <w:nsid w:val="40BE7235"/>
    <w:multiLevelType w:val="hybridMultilevel"/>
    <w:tmpl w:val="52863BBA"/>
    <w:lvl w:ilvl="0" w:tplc="3A760F68">
      <w:start w:val="1"/>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42458AC"/>
    <w:multiLevelType w:val="hybridMultilevel"/>
    <w:tmpl w:val="9300CB6E"/>
    <w:lvl w:ilvl="0" w:tplc="45B80986">
      <w:start w:val="1"/>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539522D"/>
    <w:multiLevelType w:val="hybridMultilevel"/>
    <w:tmpl w:val="AD540C88"/>
    <w:lvl w:ilvl="0" w:tplc="A6045AEC">
      <w:numFmt w:val="bullet"/>
      <w:lvlText w:val="-"/>
      <w:lvlJc w:val="left"/>
      <w:pPr>
        <w:ind w:left="720" w:hanging="360"/>
      </w:pPr>
      <w:rPr>
        <w:rFonts w:ascii="Calibri" w:eastAsia="Calibri" w:hAnsi="Calibri" w:cs="Calibri" w:hint="default"/>
        <w:b w:val="0"/>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2D6C78"/>
    <w:multiLevelType w:val="hybridMultilevel"/>
    <w:tmpl w:val="983A6B38"/>
    <w:lvl w:ilvl="0" w:tplc="53C050BC">
      <w:start w:val="3"/>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3AA633C"/>
    <w:multiLevelType w:val="multilevel"/>
    <w:tmpl w:val="835608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B34B20"/>
    <w:multiLevelType w:val="hybridMultilevel"/>
    <w:tmpl w:val="07F6CDA8"/>
    <w:lvl w:ilvl="0" w:tplc="612C49A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5265F2E"/>
    <w:multiLevelType w:val="hybridMultilevel"/>
    <w:tmpl w:val="7EE4629A"/>
    <w:lvl w:ilvl="0" w:tplc="8534C47C">
      <w:start w:val="5"/>
      <w:numFmt w:val="bullet"/>
      <w:lvlText w:val=""/>
      <w:lvlJc w:val="left"/>
      <w:pPr>
        <w:ind w:left="1494" w:hanging="360"/>
      </w:pPr>
      <w:rPr>
        <w:rFonts w:ascii="Wingdings" w:eastAsiaTheme="minorHAnsi"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nsid w:val="56FD71A2"/>
    <w:multiLevelType w:val="hybridMultilevel"/>
    <w:tmpl w:val="568EED0A"/>
    <w:lvl w:ilvl="0" w:tplc="0B3A3576">
      <w:start w:val="1"/>
      <w:numFmt w:val="decimal"/>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DC7766A"/>
    <w:multiLevelType w:val="hybridMultilevel"/>
    <w:tmpl w:val="499E9214"/>
    <w:lvl w:ilvl="0" w:tplc="B1D258C0">
      <w:start w:val="1"/>
      <w:numFmt w:val="bullet"/>
      <w:lvlText w:val="-"/>
      <w:lvlJc w:val="left"/>
      <w:pPr>
        <w:ind w:left="720" w:hanging="360"/>
      </w:pPr>
      <w:rPr>
        <w:rFonts w:ascii="Book Antiqua" w:eastAsia="Times New Roman" w:hAnsi="Book Antiqua" w:hint="default"/>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F2006AD"/>
    <w:multiLevelType w:val="hybridMultilevel"/>
    <w:tmpl w:val="E236ED54"/>
    <w:lvl w:ilvl="0" w:tplc="FF7CE2E4">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07D5D94"/>
    <w:multiLevelType w:val="hybridMultilevel"/>
    <w:tmpl w:val="2A486EEC"/>
    <w:lvl w:ilvl="0" w:tplc="D3169F98">
      <w:start w:val="2"/>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09F7765"/>
    <w:multiLevelType w:val="hybridMultilevel"/>
    <w:tmpl w:val="8CC6EDE4"/>
    <w:lvl w:ilvl="0" w:tplc="6312374A">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3964CDB"/>
    <w:multiLevelType w:val="hybridMultilevel"/>
    <w:tmpl w:val="734C9640"/>
    <w:lvl w:ilvl="0" w:tplc="C5FCECC2">
      <w:start w:val="2"/>
      <w:numFmt w:val="bullet"/>
      <w:lvlText w:val="-"/>
      <w:lvlJc w:val="left"/>
      <w:pPr>
        <w:ind w:left="1080" w:hanging="360"/>
      </w:pPr>
      <w:rPr>
        <w:rFonts w:ascii="Times New Roman" w:eastAsiaTheme="minorHAnsi" w:hAnsi="Times New Roman" w:cs="Times New Roman" w:hint="default"/>
        <w:i w:val="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nsid w:val="69065C32"/>
    <w:multiLevelType w:val="hybridMultilevel"/>
    <w:tmpl w:val="04D022FA"/>
    <w:lvl w:ilvl="0" w:tplc="54F0E7CC">
      <w:numFmt w:val="bullet"/>
      <w:lvlText w:val=""/>
      <w:lvlJc w:val="left"/>
      <w:pPr>
        <w:ind w:left="1080" w:hanging="360"/>
      </w:pPr>
      <w:rPr>
        <w:rFonts w:ascii="Wingdings" w:eastAsiaTheme="minorHAnsi"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nsid w:val="6A0F1AFB"/>
    <w:multiLevelType w:val="hybridMultilevel"/>
    <w:tmpl w:val="493E40AE"/>
    <w:lvl w:ilvl="0" w:tplc="1D8E4E9C">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A825975"/>
    <w:multiLevelType w:val="hybridMultilevel"/>
    <w:tmpl w:val="5C48B71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6D0075CC"/>
    <w:multiLevelType w:val="hybridMultilevel"/>
    <w:tmpl w:val="AA10B524"/>
    <w:lvl w:ilvl="0" w:tplc="B1D258C0">
      <w:start w:val="1"/>
      <w:numFmt w:val="bullet"/>
      <w:lvlText w:val="-"/>
      <w:lvlJc w:val="left"/>
      <w:pPr>
        <w:ind w:left="720" w:hanging="360"/>
      </w:pPr>
      <w:rPr>
        <w:rFonts w:ascii="Book Antiqua" w:eastAsia="Times New Roman" w:hAnsi="Book Antiqua" w:hint="default"/>
        <w:sz w:val="24"/>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2D7014B"/>
    <w:multiLevelType w:val="hybridMultilevel"/>
    <w:tmpl w:val="7DBAB7F6"/>
    <w:lvl w:ilvl="0" w:tplc="F484F4A8">
      <w:start w:val="1"/>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36C573E"/>
    <w:multiLevelType w:val="hybridMultilevel"/>
    <w:tmpl w:val="FE1E7AEC"/>
    <w:lvl w:ilvl="0" w:tplc="8CAE72FE">
      <w:start w:val="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3A43E2E"/>
    <w:multiLevelType w:val="hybridMultilevel"/>
    <w:tmpl w:val="577A37B2"/>
    <w:lvl w:ilvl="0" w:tplc="16E2238E">
      <w:start w:val="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4756E89"/>
    <w:multiLevelType w:val="hybridMultilevel"/>
    <w:tmpl w:val="061A64BC"/>
    <w:lvl w:ilvl="0" w:tplc="68087278">
      <w:start w:val="1"/>
      <w:numFmt w:val="decimal"/>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7ACC44EB"/>
    <w:multiLevelType w:val="hybridMultilevel"/>
    <w:tmpl w:val="2E7472BC"/>
    <w:lvl w:ilvl="0" w:tplc="D6B0DEE8">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7CEA69EA"/>
    <w:multiLevelType w:val="hybridMultilevel"/>
    <w:tmpl w:val="8668EE90"/>
    <w:lvl w:ilvl="0" w:tplc="9362818E">
      <w:start w:val="1"/>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19"/>
  </w:num>
  <w:num w:numId="4">
    <w:abstractNumId w:val="15"/>
  </w:num>
  <w:num w:numId="5">
    <w:abstractNumId w:val="16"/>
  </w:num>
  <w:num w:numId="6">
    <w:abstractNumId w:val="28"/>
  </w:num>
  <w:num w:numId="7">
    <w:abstractNumId w:val="1"/>
  </w:num>
  <w:num w:numId="8">
    <w:abstractNumId w:val="21"/>
  </w:num>
  <w:num w:numId="9">
    <w:abstractNumId w:val="6"/>
  </w:num>
  <w:num w:numId="10">
    <w:abstractNumId w:val="18"/>
  </w:num>
  <w:num w:numId="11">
    <w:abstractNumId w:val="9"/>
  </w:num>
  <w:num w:numId="12">
    <w:abstractNumId w:val="13"/>
  </w:num>
  <w:num w:numId="13">
    <w:abstractNumId w:val="35"/>
  </w:num>
  <w:num w:numId="14">
    <w:abstractNumId w:val="14"/>
  </w:num>
  <w:num w:numId="15">
    <w:abstractNumId w:val="24"/>
  </w:num>
  <w:num w:numId="16">
    <w:abstractNumId w:val="31"/>
  </w:num>
  <w:num w:numId="17">
    <w:abstractNumId w:val="30"/>
  </w:num>
  <w:num w:numId="18">
    <w:abstractNumId w:val="25"/>
  </w:num>
  <w:num w:numId="19">
    <w:abstractNumId w:val="10"/>
  </w:num>
  <w:num w:numId="20">
    <w:abstractNumId w:val="2"/>
  </w:num>
  <w:num w:numId="21">
    <w:abstractNumId w:val="12"/>
  </w:num>
  <w:num w:numId="22">
    <w:abstractNumId w:val="3"/>
  </w:num>
  <w:num w:numId="23">
    <w:abstractNumId w:val="23"/>
  </w:num>
  <w:num w:numId="24">
    <w:abstractNumId w:val="5"/>
  </w:num>
  <w:num w:numId="25">
    <w:abstractNumId w:val="33"/>
  </w:num>
  <w:num w:numId="26">
    <w:abstractNumId w:val="20"/>
  </w:num>
  <w:num w:numId="27">
    <w:abstractNumId w:val="4"/>
  </w:num>
  <w:num w:numId="28">
    <w:abstractNumId w:val="17"/>
  </w:num>
  <w:num w:numId="29">
    <w:abstractNumId w:val="22"/>
  </w:num>
  <w:num w:numId="30">
    <w:abstractNumId w:val="7"/>
  </w:num>
  <w:num w:numId="31">
    <w:abstractNumId w:val="34"/>
  </w:num>
  <w:num w:numId="32">
    <w:abstractNumId w:val="26"/>
  </w:num>
  <w:num w:numId="33">
    <w:abstractNumId w:val="29"/>
  </w:num>
  <w:num w:numId="34">
    <w:abstractNumId w:val="8"/>
  </w:num>
  <w:num w:numId="35">
    <w:abstractNumId w:val="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2F6002"/>
    <w:rsid w:val="0000058B"/>
    <w:rsid w:val="00002666"/>
    <w:rsid w:val="00006000"/>
    <w:rsid w:val="00006C39"/>
    <w:rsid w:val="00006E1A"/>
    <w:rsid w:val="0000729B"/>
    <w:rsid w:val="00007B93"/>
    <w:rsid w:val="00010001"/>
    <w:rsid w:val="0001204D"/>
    <w:rsid w:val="000122ED"/>
    <w:rsid w:val="0001599F"/>
    <w:rsid w:val="00015D19"/>
    <w:rsid w:val="00015F4C"/>
    <w:rsid w:val="0001604D"/>
    <w:rsid w:val="00016EB7"/>
    <w:rsid w:val="00017F09"/>
    <w:rsid w:val="000207BA"/>
    <w:rsid w:val="0002095D"/>
    <w:rsid w:val="00020C7D"/>
    <w:rsid w:val="00022C9E"/>
    <w:rsid w:val="00023372"/>
    <w:rsid w:val="00023851"/>
    <w:rsid w:val="00023FE5"/>
    <w:rsid w:val="00030340"/>
    <w:rsid w:val="000308BB"/>
    <w:rsid w:val="00032940"/>
    <w:rsid w:val="00032A8E"/>
    <w:rsid w:val="00032CDE"/>
    <w:rsid w:val="00033F67"/>
    <w:rsid w:val="000363A6"/>
    <w:rsid w:val="00037BA3"/>
    <w:rsid w:val="0004074E"/>
    <w:rsid w:val="00040D12"/>
    <w:rsid w:val="000446B6"/>
    <w:rsid w:val="000452EB"/>
    <w:rsid w:val="00045A7C"/>
    <w:rsid w:val="000465A2"/>
    <w:rsid w:val="00046DEF"/>
    <w:rsid w:val="00050447"/>
    <w:rsid w:val="00052058"/>
    <w:rsid w:val="00052B1F"/>
    <w:rsid w:val="00052D27"/>
    <w:rsid w:val="0005453F"/>
    <w:rsid w:val="00054C1C"/>
    <w:rsid w:val="0005699C"/>
    <w:rsid w:val="000575C0"/>
    <w:rsid w:val="00060F8B"/>
    <w:rsid w:val="0006105A"/>
    <w:rsid w:val="000641F2"/>
    <w:rsid w:val="000647A3"/>
    <w:rsid w:val="00065290"/>
    <w:rsid w:val="00066372"/>
    <w:rsid w:val="00066D6D"/>
    <w:rsid w:val="00067A9B"/>
    <w:rsid w:val="000701E6"/>
    <w:rsid w:val="00070450"/>
    <w:rsid w:val="0007159F"/>
    <w:rsid w:val="000725FB"/>
    <w:rsid w:val="00075CB3"/>
    <w:rsid w:val="00075DAE"/>
    <w:rsid w:val="00076E63"/>
    <w:rsid w:val="00082265"/>
    <w:rsid w:val="00082473"/>
    <w:rsid w:val="00082C3B"/>
    <w:rsid w:val="00083C6A"/>
    <w:rsid w:val="0008469E"/>
    <w:rsid w:val="00085427"/>
    <w:rsid w:val="00087B0B"/>
    <w:rsid w:val="00090DE9"/>
    <w:rsid w:val="00091400"/>
    <w:rsid w:val="00092106"/>
    <w:rsid w:val="000924F7"/>
    <w:rsid w:val="00092CD2"/>
    <w:rsid w:val="000941B8"/>
    <w:rsid w:val="00094AA5"/>
    <w:rsid w:val="0009546D"/>
    <w:rsid w:val="0009751A"/>
    <w:rsid w:val="00097744"/>
    <w:rsid w:val="000A116F"/>
    <w:rsid w:val="000A147D"/>
    <w:rsid w:val="000A361D"/>
    <w:rsid w:val="000A3903"/>
    <w:rsid w:val="000A4A4C"/>
    <w:rsid w:val="000A50B5"/>
    <w:rsid w:val="000A5597"/>
    <w:rsid w:val="000A5847"/>
    <w:rsid w:val="000A7055"/>
    <w:rsid w:val="000A7C67"/>
    <w:rsid w:val="000B273C"/>
    <w:rsid w:val="000B2DC3"/>
    <w:rsid w:val="000B3C76"/>
    <w:rsid w:val="000B476A"/>
    <w:rsid w:val="000B69A3"/>
    <w:rsid w:val="000C0C7C"/>
    <w:rsid w:val="000C0D2F"/>
    <w:rsid w:val="000C1B13"/>
    <w:rsid w:val="000C5B00"/>
    <w:rsid w:val="000C75AF"/>
    <w:rsid w:val="000D0D69"/>
    <w:rsid w:val="000D14FC"/>
    <w:rsid w:val="000D2C91"/>
    <w:rsid w:val="000D332F"/>
    <w:rsid w:val="000D6021"/>
    <w:rsid w:val="000E05FB"/>
    <w:rsid w:val="000E139A"/>
    <w:rsid w:val="000E1412"/>
    <w:rsid w:val="000E1779"/>
    <w:rsid w:val="000E1919"/>
    <w:rsid w:val="000E3182"/>
    <w:rsid w:val="000E3675"/>
    <w:rsid w:val="000E36B2"/>
    <w:rsid w:val="000E42D9"/>
    <w:rsid w:val="000E434B"/>
    <w:rsid w:val="000E47EF"/>
    <w:rsid w:val="000E6BAD"/>
    <w:rsid w:val="000F0171"/>
    <w:rsid w:val="000F05F0"/>
    <w:rsid w:val="000F14F2"/>
    <w:rsid w:val="000F19CE"/>
    <w:rsid w:val="000F1F19"/>
    <w:rsid w:val="000F453D"/>
    <w:rsid w:val="000F6381"/>
    <w:rsid w:val="000F690E"/>
    <w:rsid w:val="000F7A44"/>
    <w:rsid w:val="000F7EB0"/>
    <w:rsid w:val="001011F8"/>
    <w:rsid w:val="00101C32"/>
    <w:rsid w:val="001030A9"/>
    <w:rsid w:val="00103E8C"/>
    <w:rsid w:val="00105172"/>
    <w:rsid w:val="00105605"/>
    <w:rsid w:val="00105E9F"/>
    <w:rsid w:val="00106E2B"/>
    <w:rsid w:val="00111233"/>
    <w:rsid w:val="00112156"/>
    <w:rsid w:val="00116161"/>
    <w:rsid w:val="0011759F"/>
    <w:rsid w:val="00120C34"/>
    <w:rsid w:val="00121599"/>
    <w:rsid w:val="00121A76"/>
    <w:rsid w:val="0012366D"/>
    <w:rsid w:val="00123CD2"/>
    <w:rsid w:val="00123E69"/>
    <w:rsid w:val="001247D8"/>
    <w:rsid w:val="00124EB8"/>
    <w:rsid w:val="00125140"/>
    <w:rsid w:val="00125985"/>
    <w:rsid w:val="00126917"/>
    <w:rsid w:val="00131332"/>
    <w:rsid w:val="001314E0"/>
    <w:rsid w:val="00132E0E"/>
    <w:rsid w:val="001337C9"/>
    <w:rsid w:val="00133C73"/>
    <w:rsid w:val="001352B9"/>
    <w:rsid w:val="001370EC"/>
    <w:rsid w:val="00137931"/>
    <w:rsid w:val="001414B3"/>
    <w:rsid w:val="00142116"/>
    <w:rsid w:val="001421AF"/>
    <w:rsid w:val="00145AA5"/>
    <w:rsid w:val="00146452"/>
    <w:rsid w:val="00146658"/>
    <w:rsid w:val="0014730D"/>
    <w:rsid w:val="00150021"/>
    <w:rsid w:val="0015272F"/>
    <w:rsid w:val="00153A70"/>
    <w:rsid w:val="00153F50"/>
    <w:rsid w:val="00154588"/>
    <w:rsid w:val="00154D11"/>
    <w:rsid w:val="001551AF"/>
    <w:rsid w:val="00156027"/>
    <w:rsid w:val="00160351"/>
    <w:rsid w:val="001609E2"/>
    <w:rsid w:val="001626D8"/>
    <w:rsid w:val="00162C57"/>
    <w:rsid w:val="00163F68"/>
    <w:rsid w:val="00166739"/>
    <w:rsid w:val="00166877"/>
    <w:rsid w:val="00170346"/>
    <w:rsid w:val="001715FE"/>
    <w:rsid w:val="00171F06"/>
    <w:rsid w:val="00172103"/>
    <w:rsid w:val="00172CEE"/>
    <w:rsid w:val="001762BE"/>
    <w:rsid w:val="00177084"/>
    <w:rsid w:val="00177F59"/>
    <w:rsid w:val="0018023B"/>
    <w:rsid w:val="0018123F"/>
    <w:rsid w:val="00182CAB"/>
    <w:rsid w:val="0018307E"/>
    <w:rsid w:val="00184D32"/>
    <w:rsid w:val="00185200"/>
    <w:rsid w:val="0018555B"/>
    <w:rsid w:val="00186813"/>
    <w:rsid w:val="00186E66"/>
    <w:rsid w:val="00187587"/>
    <w:rsid w:val="00187697"/>
    <w:rsid w:val="001915C7"/>
    <w:rsid w:val="00192C47"/>
    <w:rsid w:val="00193DB8"/>
    <w:rsid w:val="00194024"/>
    <w:rsid w:val="001957C0"/>
    <w:rsid w:val="00195B76"/>
    <w:rsid w:val="001A0E11"/>
    <w:rsid w:val="001A21B0"/>
    <w:rsid w:val="001A478F"/>
    <w:rsid w:val="001A5654"/>
    <w:rsid w:val="001A56FF"/>
    <w:rsid w:val="001A6804"/>
    <w:rsid w:val="001A6D63"/>
    <w:rsid w:val="001A72DC"/>
    <w:rsid w:val="001B0296"/>
    <w:rsid w:val="001B08AF"/>
    <w:rsid w:val="001B1071"/>
    <w:rsid w:val="001B1B3A"/>
    <w:rsid w:val="001B23BF"/>
    <w:rsid w:val="001B2AEF"/>
    <w:rsid w:val="001B3AD7"/>
    <w:rsid w:val="001B4F44"/>
    <w:rsid w:val="001B52F5"/>
    <w:rsid w:val="001B557C"/>
    <w:rsid w:val="001B6995"/>
    <w:rsid w:val="001B6F45"/>
    <w:rsid w:val="001C0D7D"/>
    <w:rsid w:val="001C0F3C"/>
    <w:rsid w:val="001C2162"/>
    <w:rsid w:val="001C4740"/>
    <w:rsid w:val="001C49A4"/>
    <w:rsid w:val="001C4D5B"/>
    <w:rsid w:val="001C6E17"/>
    <w:rsid w:val="001D2BD0"/>
    <w:rsid w:val="001D3CBD"/>
    <w:rsid w:val="001D45E2"/>
    <w:rsid w:val="001D5107"/>
    <w:rsid w:val="001D53DD"/>
    <w:rsid w:val="001D5CDF"/>
    <w:rsid w:val="001D76C1"/>
    <w:rsid w:val="001E1130"/>
    <w:rsid w:val="001E11A6"/>
    <w:rsid w:val="001E11D6"/>
    <w:rsid w:val="001E12C3"/>
    <w:rsid w:val="001E176D"/>
    <w:rsid w:val="001E2704"/>
    <w:rsid w:val="001E3168"/>
    <w:rsid w:val="001E3B7E"/>
    <w:rsid w:val="001E50AC"/>
    <w:rsid w:val="001E6679"/>
    <w:rsid w:val="001E712B"/>
    <w:rsid w:val="001E7FAE"/>
    <w:rsid w:val="001F0115"/>
    <w:rsid w:val="001F0A6A"/>
    <w:rsid w:val="001F1280"/>
    <w:rsid w:val="001F1467"/>
    <w:rsid w:val="001F264B"/>
    <w:rsid w:val="001F2850"/>
    <w:rsid w:val="001F5553"/>
    <w:rsid w:val="001F7452"/>
    <w:rsid w:val="001F7540"/>
    <w:rsid w:val="00200186"/>
    <w:rsid w:val="00201120"/>
    <w:rsid w:val="00201C61"/>
    <w:rsid w:val="00202376"/>
    <w:rsid w:val="0020419A"/>
    <w:rsid w:val="002051E8"/>
    <w:rsid w:val="00205BC0"/>
    <w:rsid w:val="00206BF1"/>
    <w:rsid w:val="00206C78"/>
    <w:rsid w:val="00206F33"/>
    <w:rsid w:val="002075C2"/>
    <w:rsid w:val="002101D0"/>
    <w:rsid w:val="002107E2"/>
    <w:rsid w:val="00210860"/>
    <w:rsid w:val="002108D1"/>
    <w:rsid w:val="00210D3B"/>
    <w:rsid w:val="00211A26"/>
    <w:rsid w:val="00212807"/>
    <w:rsid w:val="00212C93"/>
    <w:rsid w:val="00220ABB"/>
    <w:rsid w:val="00221B67"/>
    <w:rsid w:val="002232B0"/>
    <w:rsid w:val="00225D47"/>
    <w:rsid w:val="0022645C"/>
    <w:rsid w:val="0022729C"/>
    <w:rsid w:val="00227D0B"/>
    <w:rsid w:val="0023284C"/>
    <w:rsid w:val="002349CF"/>
    <w:rsid w:val="00235917"/>
    <w:rsid w:val="00236BEF"/>
    <w:rsid w:val="002373A2"/>
    <w:rsid w:val="0024086A"/>
    <w:rsid w:val="00240B77"/>
    <w:rsid w:val="00240E76"/>
    <w:rsid w:val="00241482"/>
    <w:rsid w:val="002421A2"/>
    <w:rsid w:val="0024340E"/>
    <w:rsid w:val="00243FC9"/>
    <w:rsid w:val="002442B3"/>
    <w:rsid w:val="0024443A"/>
    <w:rsid w:val="00245398"/>
    <w:rsid w:val="00247FA1"/>
    <w:rsid w:val="00250894"/>
    <w:rsid w:val="002518FC"/>
    <w:rsid w:val="00253030"/>
    <w:rsid w:val="00253091"/>
    <w:rsid w:val="002532FE"/>
    <w:rsid w:val="00253750"/>
    <w:rsid w:val="00253C06"/>
    <w:rsid w:val="00260DDF"/>
    <w:rsid w:val="002618FA"/>
    <w:rsid w:val="00262271"/>
    <w:rsid w:val="00263C6B"/>
    <w:rsid w:val="002648A3"/>
    <w:rsid w:val="00265358"/>
    <w:rsid w:val="002661AA"/>
    <w:rsid w:val="002673E2"/>
    <w:rsid w:val="002679F0"/>
    <w:rsid w:val="00274AE4"/>
    <w:rsid w:val="00274CE1"/>
    <w:rsid w:val="00275392"/>
    <w:rsid w:val="002768BB"/>
    <w:rsid w:val="00277324"/>
    <w:rsid w:val="00277456"/>
    <w:rsid w:val="00280014"/>
    <w:rsid w:val="00280238"/>
    <w:rsid w:val="00280BAA"/>
    <w:rsid w:val="00280FB8"/>
    <w:rsid w:val="002813F7"/>
    <w:rsid w:val="00282095"/>
    <w:rsid w:val="00282D77"/>
    <w:rsid w:val="002832CB"/>
    <w:rsid w:val="002833BC"/>
    <w:rsid w:val="00283620"/>
    <w:rsid w:val="00283B2E"/>
    <w:rsid w:val="002841A6"/>
    <w:rsid w:val="00284B08"/>
    <w:rsid w:val="00284DE2"/>
    <w:rsid w:val="002855AD"/>
    <w:rsid w:val="00285812"/>
    <w:rsid w:val="002858C0"/>
    <w:rsid w:val="00287E19"/>
    <w:rsid w:val="00292FD8"/>
    <w:rsid w:val="00293306"/>
    <w:rsid w:val="00293A40"/>
    <w:rsid w:val="0029468D"/>
    <w:rsid w:val="00294C9D"/>
    <w:rsid w:val="002977C8"/>
    <w:rsid w:val="002A17D3"/>
    <w:rsid w:val="002A3009"/>
    <w:rsid w:val="002A3D13"/>
    <w:rsid w:val="002A5733"/>
    <w:rsid w:val="002A58B4"/>
    <w:rsid w:val="002A6FB6"/>
    <w:rsid w:val="002B1656"/>
    <w:rsid w:val="002B2600"/>
    <w:rsid w:val="002B32E7"/>
    <w:rsid w:val="002B5023"/>
    <w:rsid w:val="002B5768"/>
    <w:rsid w:val="002B6055"/>
    <w:rsid w:val="002B6771"/>
    <w:rsid w:val="002B7377"/>
    <w:rsid w:val="002B75BC"/>
    <w:rsid w:val="002C10A3"/>
    <w:rsid w:val="002C23CC"/>
    <w:rsid w:val="002C2FDC"/>
    <w:rsid w:val="002C38BC"/>
    <w:rsid w:val="002C3949"/>
    <w:rsid w:val="002C43F0"/>
    <w:rsid w:val="002C53B8"/>
    <w:rsid w:val="002C77F7"/>
    <w:rsid w:val="002D119C"/>
    <w:rsid w:val="002D17E1"/>
    <w:rsid w:val="002D181F"/>
    <w:rsid w:val="002D1E12"/>
    <w:rsid w:val="002D2B61"/>
    <w:rsid w:val="002D36B5"/>
    <w:rsid w:val="002D3C37"/>
    <w:rsid w:val="002D4048"/>
    <w:rsid w:val="002D52F9"/>
    <w:rsid w:val="002D55F4"/>
    <w:rsid w:val="002D6257"/>
    <w:rsid w:val="002E094A"/>
    <w:rsid w:val="002E1A14"/>
    <w:rsid w:val="002E28E9"/>
    <w:rsid w:val="002E3D17"/>
    <w:rsid w:val="002E5CA3"/>
    <w:rsid w:val="002E5D0B"/>
    <w:rsid w:val="002E6A39"/>
    <w:rsid w:val="002E6F0C"/>
    <w:rsid w:val="002E7066"/>
    <w:rsid w:val="002E7661"/>
    <w:rsid w:val="002F0082"/>
    <w:rsid w:val="002F0CAB"/>
    <w:rsid w:val="002F3870"/>
    <w:rsid w:val="002F6002"/>
    <w:rsid w:val="002F78FA"/>
    <w:rsid w:val="002F7CDA"/>
    <w:rsid w:val="002F7D56"/>
    <w:rsid w:val="00300693"/>
    <w:rsid w:val="00301113"/>
    <w:rsid w:val="0030286C"/>
    <w:rsid w:val="00303AEB"/>
    <w:rsid w:val="00303DD8"/>
    <w:rsid w:val="0030737F"/>
    <w:rsid w:val="00307E55"/>
    <w:rsid w:val="00311DF4"/>
    <w:rsid w:val="003133B3"/>
    <w:rsid w:val="003148E9"/>
    <w:rsid w:val="00316547"/>
    <w:rsid w:val="0032049F"/>
    <w:rsid w:val="00320527"/>
    <w:rsid w:val="003212F2"/>
    <w:rsid w:val="00322CD9"/>
    <w:rsid w:val="00322DA0"/>
    <w:rsid w:val="00323A78"/>
    <w:rsid w:val="00323AAA"/>
    <w:rsid w:val="00323AC2"/>
    <w:rsid w:val="00323FFA"/>
    <w:rsid w:val="0032548E"/>
    <w:rsid w:val="00325FED"/>
    <w:rsid w:val="0032754A"/>
    <w:rsid w:val="00330E03"/>
    <w:rsid w:val="0033194E"/>
    <w:rsid w:val="00332DBE"/>
    <w:rsid w:val="00334290"/>
    <w:rsid w:val="003348F4"/>
    <w:rsid w:val="003375B4"/>
    <w:rsid w:val="00342137"/>
    <w:rsid w:val="0034268C"/>
    <w:rsid w:val="00342CB9"/>
    <w:rsid w:val="00343422"/>
    <w:rsid w:val="0034560B"/>
    <w:rsid w:val="003466CA"/>
    <w:rsid w:val="00347BB8"/>
    <w:rsid w:val="00347FBF"/>
    <w:rsid w:val="00350C56"/>
    <w:rsid w:val="0035206E"/>
    <w:rsid w:val="00353F4E"/>
    <w:rsid w:val="003560FB"/>
    <w:rsid w:val="00364E88"/>
    <w:rsid w:val="00366200"/>
    <w:rsid w:val="003669F3"/>
    <w:rsid w:val="00370425"/>
    <w:rsid w:val="00372983"/>
    <w:rsid w:val="00373202"/>
    <w:rsid w:val="003736BC"/>
    <w:rsid w:val="003740E8"/>
    <w:rsid w:val="00376090"/>
    <w:rsid w:val="00376A48"/>
    <w:rsid w:val="00376DC4"/>
    <w:rsid w:val="00376DE7"/>
    <w:rsid w:val="00376E34"/>
    <w:rsid w:val="0037724F"/>
    <w:rsid w:val="003779DE"/>
    <w:rsid w:val="00380830"/>
    <w:rsid w:val="003808E4"/>
    <w:rsid w:val="00381744"/>
    <w:rsid w:val="00383F4B"/>
    <w:rsid w:val="00385075"/>
    <w:rsid w:val="003855E9"/>
    <w:rsid w:val="00386015"/>
    <w:rsid w:val="00387057"/>
    <w:rsid w:val="00387C62"/>
    <w:rsid w:val="00390DC2"/>
    <w:rsid w:val="003915FA"/>
    <w:rsid w:val="00391C47"/>
    <w:rsid w:val="00393909"/>
    <w:rsid w:val="003948A3"/>
    <w:rsid w:val="00394C89"/>
    <w:rsid w:val="0039577A"/>
    <w:rsid w:val="003961D0"/>
    <w:rsid w:val="00396340"/>
    <w:rsid w:val="00397F99"/>
    <w:rsid w:val="003A083B"/>
    <w:rsid w:val="003A216F"/>
    <w:rsid w:val="003A2A5E"/>
    <w:rsid w:val="003A3AF9"/>
    <w:rsid w:val="003A4CD8"/>
    <w:rsid w:val="003A4D5A"/>
    <w:rsid w:val="003A55E2"/>
    <w:rsid w:val="003A5A40"/>
    <w:rsid w:val="003A68FC"/>
    <w:rsid w:val="003A6FEF"/>
    <w:rsid w:val="003B0E2C"/>
    <w:rsid w:val="003B121C"/>
    <w:rsid w:val="003B139E"/>
    <w:rsid w:val="003B33FA"/>
    <w:rsid w:val="003B5664"/>
    <w:rsid w:val="003B6534"/>
    <w:rsid w:val="003B6E67"/>
    <w:rsid w:val="003B7E4B"/>
    <w:rsid w:val="003C2797"/>
    <w:rsid w:val="003C58A3"/>
    <w:rsid w:val="003C74AF"/>
    <w:rsid w:val="003C78A9"/>
    <w:rsid w:val="003C7FCA"/>
    <w:rsid w:val="003D1E48"/>
    <w:rsid w:val="003D38B2"/>
    <w:rsid w:val="003D39C0"/>
    <w:rsid w:val="003D45DB"/>
    <w:rsid w:val="003D48DA"/>
    <w:rsid w:val="003D643C"/>
    <w:rsid w:val="003D6A11"/>
    <w:rsid w:val="003D6AF9"/>
    <w:rsid w:val="003E023A"/>
    <w:rsid w:val="003E2AC6"/>
    <w:rsid w:val="003E2B6D"/>
    <w:rsid w:val="003E4346"/>
    <w:rsid w:val="003E47BA"/>
    <w:rsid w:val="003E5F15"/>
    <w:rsid w:val="003E6977"/>
    <w:rsid w:val="003E7318"/>
    <w:rsid w:val="003F04F7"/>
    <w:rsid w:val="003F21F7"/>
    <w:rsid w:val="003F289F"/>
    <w:rsid w:val="003F29FC"/>
    <w:rsid w:val="003F3286"/>
    <w:rsid w:val="003F368E"/>
    <w:rsid w:val="003F36CE"/>
    <w:rsid w:val="003F498C"/>
    <w:rsid w:val="003F650E"/>
    <w:rsid w:val="003F6DD7"/>
    <w:rsid w:val="003F7621"/>
    <w:rsid w:val="003F7C14"/>
    <w:rsid w:val="003F7C7B"/>
    <w:rsid w:val="004009B5"/>
    <w:rsid w:val="00401968"/>
    <w:rsid w:val="00401F40"/>
    <w:rsid w:val="00401F55"/>
    <w:rsid w:val="004024F9"/>
    <w:rsid w:val="00402B2D"/>
    <w:rsid w:val="004032A2"/>
    <w:rsid w:val="00405FC1"/>
    <w:rsid w:val="00406844"/>
    <w:rsid w:val="00406903"/>
    <w:rsid w:val="00406AC8"/>
    <w:rsid w:val="0041027E"/>
    <w:rsid w:val="004120BF"/>
    <w:rsid w:val="0041228D"/>
    <w:rsid w:val="004123CF"/>
    <w:rsid w:val="00412883"/>
    <w:rsid w:val="00412D2F"/>
    <w:rsid w:val="00414E49"/>
    <w:rsid w:val="004153F4"/>
    <w:rsid w:val="00416DA9"/>
    <w:rsid w:val="00416DE7"/>
    <w:rsid w:val="004173BE"/>
    <w:rsid w:val="00420309"/>
    <w:rsid w:val="00420C73"/>
    <w:rsid w:val="00424CE9"/>
    <w:rsid w:val="00426C36"/>
    <w:rsid w:val="004300AD"/>
    <w:rsid w:val="00430154"/>
    <w:rsid w:val="00431B5C"/>
    <w:rsid w:val="0043278D"/>
    <w:rsid w:val="00433793"/>
    <w:rsid w:val="00433B9F"/>
    <w:rsid w:val="0043416A"/>
    <w:rsid w:val="0043627A"/>
    <w:rsid w:val="004364FA"/>
    <w:rsid w:val="0043662D"/>
    <w:rsid w:val="0043712C"/>
    <w:rsid w:val="00437CB2"/>
    <w:rsid w:val="00437E88"/>
    <w:rsid w:val="0044332C"/>
    <w:rsid w:val="004444A2"/>
    <w:rsid w:val="00445EF9"/>
    <w:rsid w:val="004468DA"/>
    <w:rsid w:val="00447F5F"/>
    <w:rsid w:val="00450499"/>
    <w:rsid w:val="0045051A"/>
    <w:rsid w:val="00451147"/>
    <w:rsid w:val="004524F1"/>
    <w:rsid w:val="0045407C"/>
    <w:rsid w:val="00454139"/>
    <w:rsid w:val="004547BA"/>
    <w:rsid w:val="00455128"/>
    <w:rsid w:val="00455145"/>
    <w:rsid w:val="00461D83"/>
    <w:rsid w:val="004625CE"/>
    <w:rsid w:val="004628C2"/>
    <w:rsid w:val="004636DF"/>
    <w:rsid w:val="004643C9"/>
    <w:rsid w:val="00465D1D"/>
    <w:rsid w:val="00467245"/>
    <w:rsid w:val="00471CE4"/>
    <w:rsid w:val="00473AC6"/>
    <w:rsid w:val="004744FF"/>
    <w:rsid w:val="00474C50"/>
    <w:rsid w:val="00475FD9"/>
    <w:rsid w:val="00476258"/>
    <w:rsid w:val="00476678"/>
    <w:rsid w:val="00477550"/>
    <w:rsid w:val="00482F3E"/>
    <w:rsid w:val="0048374E"/>
    <w:rsid w:val="004857B9"/>
    <w:rsid w:val="00485E69"/>
    <w:rsid w:val="004863F3"/>
    <w:rsid w:val="00486A4D"/>
    <w:rsid w:val="0049252E"/>
    <w:rsid w:val="004934C1"/>
    <w:rsid w:val="004946C1"/>
    <w:rsid w:val="00495E56"/>
    <w:rsid w:val="004A3D45"/>
    <w:rsid w:val="004A5571"/>
    <w:rsid w:val="004A6E6E"/>
    <w:rsid w:val="004A766C"/>
    <w:rsid w:val="004B0BF7"/>
    <w:rsid w:val="004B0DFB"/>
    <w:rsid w:val="004B13E3"/>
    <w:rsid w:val="004B17FD"/>
    <w:rsid w:val="004B1B1A"/>
    <w:rsid w:val="004B3B8E"/>
    <w:rsid w:val="004B4D68"/>
    <w:rsid w:val="004B549A"/>
    <w:rsid w:val="004B5D64"/>
    <w:rsid w:val="004B5F71"/>
    <w:rsid w:val="004B7AC1"/>
    <w:rsid w:val="004C08A5"/>
    <w:rsid w:val="004C0D7E"/>
    <w:rsid w:val="004C1505"/>
    <w:rsid w:val="004C1E51"/>
    <w:rsid w:val="004C2244"/>
    <w:rsid w:val="004C3FA3"/>
    <w:rsid w:val="004C4BD0"/>
    <w:rsid w:val="004C5168"/>
    <w:rsid w:val="004C632E"/>
    <w:rsid w:val="004D2F98"/>
    <w:rsid w:val="004D3834"/>
    <w:rsid w:val="004D3876"/>
    <w:rsid w:val="004D40FD"/>
    <w:rsid w:val="004D49B2"/>
    <w:rsid w:val="004D4B3D"/>
    <w:rsid w:val="004D54D3"/>
    <w:rsid w:val="004D5D55"/>
    <w:rsid w:val="004D63A9"/>
    <w:rsid w:val="004D73E1"/>
    <w:rsid w:val="004D7409"/>
    <w:rsid w:val="004D7A0C"/>
    <w:rsid w:val="004D7B33"/>
    <w:rsid w:val="004E14D6"/>
    <w:rsid w:val="004E187F"/>
    <w:rsid w:val="004E3235"/>
    <w:rsid w:val="004E356D"/>
    <w:rsid w:val="004E43DD"/>
    <w:rsid w:val="004E46CD"/>
    <w:rsid w:val="004E74BF"/>
    <w:rsid w:val="004F182E"/>
    <w:rsid w:val="004F1848"/>
    <w:rsid w:val="004F25FA"/>
    <w:rsid w:val="004F2C80"/>
    <w:rsid w:val="004F4A99"/>
    <w:rsid w:val="004F51B8"/>
    <w:rsid w:val="004F5EC2"/>
    <w:rsid w:val="00502000"/>
    <w:rsid w:val="005027DA"/>
    <w:rsid w:val="0050292D"/>
    <w:rsid w:val="0050478E"/>
    <w:rsid w:val="00505354"/>
    <w:rsid w:val="00506768"/>
    <w:rsid w:val="00510EBA"/>
    <w:rsid w:val="005110D7"/>
    <w:rsid w:val="00513634"/>
    <w:rsid w:val="00515182"/>
    <w:rsid w:val="005166B1"/>
    <w:rsid w:val="00520FB4"/>
    <w:rsid w:val="00522F6E"/>
    <w:rsid w:val="005234B9"/>
    <w:rsid w:val="00523947"/>
    <w:rsid w:val="00523F19"/>
    <w:rsid w:val="0052587E"/>
    <w:rsid w:val="00525D69"/>
    <w:rsid w:val="00526045"/>
    <w:rsid w:val="00526B09"/>
    <w:rsid w:val="00527DC7"/>
    <w:rsid w:val="00530B26"/>
    <w:rsid w:val="00531FCE"/>
    <w:rsid w:val="00534501"/>
    <w:rsid w:val="00534C99"/>
    <w:rsid w:val="005372FD"/>
    <w:rsid w:val="00541856"/>
    <w:rsid w:val="00542814"/>
    <w:rsid w:val="00542E44"/>
    <w:rsid w:val="005436D3"/>
    <w:rsid w:val="005449B6"/>
    <w:rsid w:val="00544D6D"/>
    <w:rsid w:val="0054608A"/>
    <w:rsid w:val="00547D47"/>
    <w:rsid w:val="0055110C"/>
    <w:rsid w:val="00551245"/>
    <w:rsid w:val="00551855"/>
    <w:rsid w:val="00551E68"/>
    <w:rsid w:val="00552853"/>
    <w:rsid w:val="00552865"/>
    <w:rsid w:val="0055377A"/>
    <w:rsid w:val="005544FF"/>
    <w:rsid w:val="005548EE"/>
    <w:rsid w:val="0055690D"/>
    <w:rsid w:val="00557303"/>
    <w:rsid w:val="00560B34"/>
    <w:rsid w:val="00562AA2"/>
    <w:rsid w:val="00563C1E"/>
    <w:rsid w:val="00563F79"/>
    <w:rsid w:val="0056487C"/>
    <w:rsid w:val="00564B36"/>
    <w:rsid w:val="00564B99"/>
    <w:rsid w:val="00565255"/>
    <w:rsid w:val="00565598"/>
    <w:rsid w:val="00566797"/>
    <w:rsid w:val="005715A7"/>
    <w:rsid w:val="00572767"/>
    <w:rsid w:val="005731AB"/>
    <w:rsid w:val="00573231"/>
    <w:rsid w:val="005734CC"/>
    <w:rsid w:val="00573B7E"/>
    <w:rsid w:val="005741FC"/>
    <w:rsid w:val="0057511A"/>
    <w:rsid w:val="00577165"/>
    <w:rsid w:val="005773B0"/>
    <w:rsid w:val="00580B37"/>
    <w:rsid w:val="00581DE0"/>
    <w:rsid w:val="00581F13"/>
    <w:rsid w:val="005824BF"/>
    <w:rsid w:val="00583179"/>
    <w:rsid w:val="0058318F"/>
    <w:rsid w:val="0058321A"/>
    <w:rsid w:val="00584A6B"/>
    <w:rsid w:val="00586401"/>
    <w:rsid w:val="005869B3"/>
    <w:rsid w:val="00587BD4"/>
    <w:rsid w:val="00587FB2"/>
    <w:rsid w:val="00591EF4"/>
    <w:rsid w:val="00597542"/>
    <w:rsid w:val="005A0C6C"/>
    <w:rsid w:val="005A0C8A"/>
    <w:rsid w:val="005A1DCD"/>
    <w:rsid w:val="005A2D10"/>
    <w:rsid w:val="005A4377"/>
    <w:rsid w:val="005A4460"/>
    <w:rsid w:val="005A664F"/>
    <w:rsid w:val="005B16F7"/>
    <w:rsid w:val="005B1FAE"/>
    <w:rsid w:val="005B2F0B"/>
    <w:rsid w:val="005B3C53"/>
    <w:rsid w:val="005B51FA"/>
    <w:rsid w:val="005B61A6"/>
    <w:rsid w:val="005C0199"/>
    <w:rsid w:val="005C0E19"/>
    <w:rsid w:val="005C1187"/>
    <w:rsid w:val="005C1CD2"/>
    <w:rsid w:val="005C2135"/>
    <w:rsid w:val="005C359C"/>
    <w:rsid w:val="005C3CA4"/>
    <w:rsid w:val="005C48F8"/>
    <w:rsid w:val="005C4EF8"/>
    <w:rsid w:val="005C54D1"/>
    <w:rsid w:val="005C5E57"/>
    <w:rsid w:val="005C6C59"/>
    <w:rsid w:val="005C7075"/>
    <w:rsid w:val="005D07BA"/>
    <w:rsid w:val="005D2AA7"/>
    <w:rsid w:val="005D35B0"/>
    <w:rsid w:val="005D3DA0"/>
    <w:rsid w:val="005D4E88"/>
    <w:rsid w:val="005D57F9"/>
    <w:rsid w:val="005D61D6"/>
    <w:rsid w:val="005D66BD"/>
    <w:rsid w:val="005E06DB"/>
    <w:rsid w:val="005E0ECC"/>
    <w:rsid w:val="005E2568"/>
    <w:rsid w:val="005E2D8C"/>
    <w:rsid w:val="005E7386"/>
    <w:rsid w:val="005E7655"/>
    <w:rsid w:val="005F0193"/>
    <w:rsid w:val="005F07E2"/>
    <w:rsid w:val="005F0A9E"/>
    <w:rsid w:val="005F174C"/>
    <w:rsid w:val="005F2ADD"/>
    <w:rsid w:val="005F2D05"/>
    <w:rsid w:val="005F6899"/>
    <w:rsid w:val="005F6A71"/>
    <w:rsid w:val="005F762C"/>
    <w:rsid w:val="005F76D8"/>
    <w:rsid w:val="005F7E50"/>
    <w:rsid w:val="00600F39"/>
    <w:rsid w:val="00601750"/>
    <w:rsid w:val="00601D80"/>
    <w:rsid w:val="00602E79"/>
    <w:rsid w:val="006034A4"/>
    <w:rsid w:val="00603E72"/>
    <w:rsid w:val="0060636E"/>
    <w:rsid w:val="006067B2"/>
    <w:rsid w:val="00606EBE"/>
    <w:rsid w:val="006103D6"/>
    <w:rsid w:val="006107BD"/>
    <w:rsid w:val="00610C44"/>
    <w:rsid w:val="006157CC"/>
    <w:rsid w:val="0061723E"/>
    <w:rsid w:val="00617B68"/>
    <w:rsid w:val="00617FBD"/>
    <w:rsid w:val="00621558"/>
    <w:rsid w:val="00621E62"/>
    <w:rsid w:val="006224B0"/>
    <w:rsid w:val="00624BFA"/>
    <w:rsid w:val="00626FD2"/>
    <w:rsid w:val="006272ED"/>
    <w:rsid w:val="0063481A"/>
    <w:rsid w:val="00635135"/>
    <w:rsid w:val="006351BF"/>
    <w:rsid w:val="0063582A"/>
    <w:rsid w:val="00636AD1"/>
    <w:rsid w:val="00637098"/>
    <w:rsid w:val="00640BEC"/>
    <w:rsid w:val="00641039"/>
    <w:rsid w:val="006410ED"/>
    <w:rsid w:val="006416D1"/>
    <w:rsid w:val="00642E9E"/>
    <w:rsid w:val="006441A1"/>
    <w:rsid w:val="006471EB"/>
    <w:rsid w:val="006474EA"/>
    <w:rsid w:val="00653108"/>
    <w:rsid w:val="00655422"/>
    <w:rsid w:val="00657505"/>
    <w:rsid w:val="006604FE"/>
    <w:rsid w:val="00662C88"/>
    <w:rsid w:val="00663426"/>
    <w:rsid w:val="00663BAE"/>
    <w:rsid w:val="00663F51"/>
    <w:rsid w:val="00664A5E"/>
    <w:rsid w:val="00664C52"/>
    <w:rsid w:val="006657AE"/>
    <w:rsid w:val="00665900"/>
    <w:rsid w:val="00665E78"/>
    <w:rsid w:val="00665EB6"/>
    <w:rsid w:val="00670715"/>
    <w:rsid w:val="00670EFA"/>
    <w:rsid w:val="00671326"/>
    <w:rsid w:val="00671645"/>
    <w:rsid w:val="006728F5"/>
    <w:rsid w:val="006731F8"/>
    <w:rsid w:val="00673920"/>
    <w:rsid w:val="0067471B"/>
    <w:rsid w:val="006755A5"/>
    <w:rsid w:val="0067744D"/>
    <w:rsid w:val="006774A7"/>
    <w:rsid w:val="00680BF0"/>
    <w:rsid w:val="00682516"/>
    <w:rsid w:val="00682B93"/>
    <w:rsid w:val="00682BBC"/>
    <w:rsid w:val="0068707D"/>
    <w:rsid w:val="006870FC"/>
    <w:rsid w:val="00687D8A"/>
    <w:rsid w:val="00687E2A"/>
    <w:rsid w:val="00687EDF"/>
    <w:rsid w:val="00691078"/>
    <w:rsid w:val="006927DB"/>
    <w:rsid w:val="00692E08"/>
    <w:rsid w:val="00695527"/>
    <w:rsid w:val="00697DA2"/>
    <w:rsid w:val="006A010C"/>
    <w:rsid w:val="006A0436"/>
    <w:rsid w:val="006A05A9"/>
    <w:rsid w:val="006A1147"/>
    <w:rsid w:val="006A1884"/>
    <w:rsid w:val="006A1B07"/>
    <w:rsid w:val="006A2115"/>
    <w:rsid w:val="006A35F4"/>
    <w:rsid w:val="006A3A45"/>
    <w:rsid w:val="006A4480"/>
    <w:rsid w:val="006A4F94"/>
    <w:rsid w:val="006A7950"/>
    <w:rsid w:val="006B094B"/>
    <w:rsid w:val="006B098C"/>
    <w:rsid w:val="006B20D4"/>
    <w:rsid w:val="006B3BE8"/>
    <w:rsid w:val="006B49F5"/>
    <w:rsid w:val="006B4EB7"/>
    <w:rsid w:val="006B4EFD"/>
    <w:rsid w:val="006B500E"/>
    <w:rsid w:val="006B5292"/>
    <w:rsid w:val="006B740C"/>
    <w:rsid w:val="006B796E"/>
    <w:rsid w:val="006C0399"/>
    <w:rsid w:val="006C08EA"/>
    <w:rsid w:val="006C0AF7"/>
    <w:rsid w:val="006C103E"/>
    <w:rsid w:val="006C16BA"/>
    <w:rsid w:val="006C183E"/>
    <w:rsid w:val="006C1D0F"/>
    <w:rsid w:val="006C2431"/>
    <w:rsid w:val="006C3899"/>
    <w:rsid w:val="006C3ADF"/>
    <w:rsid w:val="006C3DE7"/>
    <w:rsid w:val="006C4453"/>
    <w:rsid w:val="006C6356"/>
    <w:rsid w:val="006C6E1E"/>
    <w:rsid w:val="006D152D"/>
    <w:rsid w:val="006D1EBC"/>
    <w:rsid w:val="006D3BBF"/>
    <w:rsid w:val="006D49BA"/>
    <w:rsid w:val="006D5B91"/>
    <w:rsid w:val="006D5CB2"/>
    <w:rsid w:val="006D5D77"/>
    <w:rsid w:val="006D5FD8"/>
    <w:rsid w:val="006D6D82"/>
    <w:rsid w:val="006E08FE"/>
    <w:rsid w:val="006E26B8"/>
    <w:rsid w:val="006E48B3"/>
    <w:rsid w:val="006E4E8C"/>
    <w:rsid w:val="006E5B2F"/>
    <w:rsid w:val="006E6972"/>
    <w:rsid w:val="006E7A83"/>
    <w:rsid w:val="006F0BF9"/>
    <w:rsid w:val="006F1881"/>
    <w:rsid w:val="006F51F1"/>
    <w:rsid w:val="006F5F66"/>
    <w:rsid w:val="006F6722"/>
    <w:rsid w:val="007002F1"/>
    <w:rsid w:val="00700876"/>
    <w:rsid w:val="007020BD"/>
    <w:rsid w:val="007025DD"/>
    <w:rsid w:val="00704690"/>
    <w:rsid w:val="007046E8"/>
    <w:rsid w:val="00704D9A"/>
    <w:rsid w:val="007050A7"/>
    <w:rsid w:val="00705751"/>
    <w:rsid w:val="007061B7"/>
    <w:rsid w:val="00706A38"/>
    <w:rsid w:val="00706BB4"/>
    <w:rsid w:val="00706EFD"/>
    <w:rsid w:val="00706FC3"/>
    <w:rsid w:val="0070732B"/>
    <w:rsid w:val="0070738C"/>
    <w:rsid w:val="00707668"/>
    <w:rsid w:val="00707C1B"/>
    <w:rsid w:val="00710869"/>
    <w:rsid w:val="00711560"/>
    <w:rsid w:val="007115A4"/>
    <w:rsid w:val="00712C31"/>
    <w:rsid w:val="0071454D"/>
    <w:rsid w:val="0071494F"/>
    <w:rsid w:val="00714E14"/>
    <w:rsid w:val="00716603"/>
    <w:rsid w:val="00716F62"/>
    <w:rsid w:val="00720879"/>
    <w:rsid w:val="00721D0E"/>
    <w:rsid w:val="0072208D"/>
    <w:rsid w:val="007228C1"/>
    <w:rsid w:val="007231FC"/>
    <w:rsid w:val="00724BC9"/>
    <w:rsid w:val="00725D1F"/>
    <w:rsid w:val="00726B98"/>
    <w:rsid w:val="00727656"/>
    <w:rsid w:val="007306D0"/>
    <w:rsid w:val="00730B92"/>
    <w:rsid w:val="007325A5"/>
    <w:rsid w:val="00732F99"/>
    <w:rsid w:val="00735BAD"/>
    <w:rsid w:val="00737987"/>
    <w:rsid w:val="00737A9C"/>
    <w:rsid w:val="0074119A"/>
    <w:rsid w:val="00741B9A"/>
    <w:rsid w:val="00742595"/>
    <w:rsid w:val="00745580"/>
    <w:rsid w:val="00745BDB"/>
    <w:rsid w:val="00745F8A"/>
    <w:rsid w:val="00746020"/>
    <w:rsid w:val="00752049"/>
    <w:rsid w:val="007527E3"/>
    <w:rsid w:val="007535D8"/>
    <w:rsid w:val="0075458E"/>
    <w:rsid w:val="00754D28"/>
    <w:rsid w:val="00755002"/>
    <w:rsid w:val="0075502E"/>
    <w:rsid w:val="00755D92"/>
    <w:rsid w:val="007561DF"/>
    <w:rsid w:val="007568E7"/>
    <w:rsid w:val="00757599"/>
    <w:rsid w:val="007602D9"/>
    <w:rsid w:val="00762A40"/>
    <w:rsid w:val="0076417D"/>
    <w:rsid w:val="007667F1"/>
    <w:rsid w:val="0076709F"/>
    <w:rsid w:val="007676E1"/>
    <w:rsid w:val="007677D4"/>
    <w:rsid w:val="007716C1"/>
    <w:rsid w:val="007739B9"/>
    <w:rsid w:val="00773A0C"/>
    <w:rsid w:val="00776107"/>
    <w:rsid w:val="007762C3"/>
    <w:rsid w:val="00777DC4"/>
    <w:rsid w:val="00777DC6"/>
    <w:rsid w:val="007801B5"/>
    <w:rsid w:val="007825A8"/>
    <w:rsid w:val="007831A8"/>
    <w:rsid w:val="00783FC0"/>
    <w:rsid w:val="00784198"/>
    <w:rsid w:val="00784234"/>
    <w:rsid w:val="00784993"/>
    <w:rsid w:val="0078530B"/>
    <w:rsid w:val="00785ABD"/>
    <w:rsid w:val="00785C24"/>
    <w:rsid w:val="007860D1"/>
    <w:rsid w:val="00786548"/>
    <w:rsid w:val="00786F38"/>
    <w:rsid w:val="0078744D"/>
    <w:rsid w:val="00787946"/>
    <w:rsid w:val="00787957"/>
    <w:rsid w:val="0079099E"/>
    <w:rsid w:val="0079180F"/>
    <w:rsid w:val="00792537"/>
    <w:rsid w:val="007937C5"/>
    <w:rsid w:val="00793A69"/>
    <w:rsid w:val="00794666"/>
    <w:rsid w:val="007948CF"/>
    <w:rsid w:val="007950EE"/>
    <w:rsid w:val="007956E7"/>
    <w:rsid w:val="007960A7"/>
    <w:rsid w:val="00797922"/>
    <w:rsid w:val="007A04D5"/>
    <w:rsid w:val="007A1A7E"/>
    <w:rsid w:val="007A351B"/>
    <w:rsid w:val="007A53E2"/>
    <w:rsid w:val="007A76B9"/>
    <w:rsid w:val="007A7B6D"/>
    <w:rsid w:val="007A7C9B"/>
    <w:rsid w:val="007A7CE5"/>
    <w:rsid w:val="007B024D"/>
    <w:rsid w:val="007B09DD"/>
    <w:rsid w:val="007B28DF"/>
    <w:rsid w:val="007B3FE3"/>
    <w:rsid w:val="007B4042"/>
    <w:rsid w:val="007B4A9F"/>
    <w:rsid w:val="007B51F7"/>
    <w:rsid w:val="007B5325"/>
    <w:rsid w:val="007B543E"/>
    <w:rsid w:val="007B57B6"/>
    <w:rsid w:val="007B68E0"/>
    <w:rsid w:val="007B71F1"/>
    <w:rsid w:val="007B7320"/>
    <w:rsid w:val="007B7C03"/>
    <w:rsid w:val="007C014D"/>
    <w:rsid w:val="007C0A2C"/>
    <w:rsid w:val="007C2AA3"/>
    <w:rsid w:val="007C4712"/>
    <w:rsid w:val="007C481A"/>
    <w:rsid w:val="007C5E4A"/>
    <w:rsid w:val="007C661B"/>
    <w:rsid w:val="007D1900"/>
    <w:rsid w:val="007D24E9"/>
    <w:rsid w:val="007D3375"/>
    <w:rsid w:val="007D3714"/>
    <w:rsid w:val="007D4E7D"/>
    <w:rsid w:val="007D5CB7"/>
    <w:rsid w:val="007D645B"/>
    <w:rsid w:val="007D658A"/>
    <w:rsid w:val="007D6C31"/>
    <w:rsid w:val="007D7C81"/>
    <w:rsid w:val="007E133A"/>
    <w:rsid w:val="007E16C0"/>
    <w:rsid w:val="007E2BFB"/>
    <w:rsid w:val="007E2D46"/>
    <w:rsid w:val="007E2D8D"/>
    <w:rsid w:val="007E3410"/>
    <w:rsid w:val="007E34DC"/>
    <w:rsid w:val="007E3A8F"/>
    <w:rsid w:val="007E51E5"/>
    <w:rsid w:val="007E5FF5"/>
    <w:rsid w:val="007E65AC"/>
    <w:rsid w:val="007E6611"/>
    <w:rsid w:val="007E68B3"/>
    <w:rsid w:val="007F0115"/>
    <w:rsid w:val="007F0519"/>
    <w:rsid w:val="007F0804"/>
    <w:rsid w:val="007F1693"/>
    <w:rsid w:val="007F17E5"/>
    <w:rsid w:val="007F3F08"/>
    <w:rsid w:val="007F5A90"/>
    <w:rsid w:val="007F6E7A"/>
    <w:rsid w:val="007F7CF8"/>
    <w:rsid w:val="007F7DA8"/>
    <w:rsid w:val="008002AC"/>
    <w:rsid w:val="00800961"/>
    <w:rsid w:val="008044D9"/>
    <w:rsid w:val="00805534"/>
    <w:rsid w:val="00807B7D"/>
    <w:rsid w:val="00810B03"/>
    <w:rsid w:val="00812C2F"/>
    <w:rsid w:val="00812C64"/>
    <w:rsid w:val="00812DD1"/>
    <w:rsid w:val="0081324D"/>
    <w:rsid w:val="00813466"/>
    <w:rsid w:val="00820110"/>
    <w:rsid w:val="008208FE"/>
    <w:rsid w:val="00820B6A"/>
    <w:rsid w:val="0082258D"/>
    <w:rsid w:val="00822C92"/>
    <w:rsid w:val="00823089"/>
    <w:rsid w:val="00823281"/>
    <w:rsid w:val="008236FF"/>
    <w:rsid w:val="008242DB"/>
    <w:rsid w:val="00824528"/>
    <w:rsid w:val="0082544B"/>
    <w:rsid w:val="008263E9"/>
    <w:rsid w:val="00826608"/>
    <w:rsid w:val="00826BA5"/>
    <w:rsid w:val="008271F6"/>
    <w:rsid w:val="0083142E"/>
    <w:rsid w:val="00832C3C"/>
    <w:rsid w:val="00833C71"/>
    <w:rsid w:val="00834149"/>
    <w:rsid w:val="0083579F"/>
    <w:rsid w:val="00835C3A"/>
    <w:rsid w:val="008366D4"/>
    <w:rsid w:val="0083670A"/>
    <w:rsid w:val="00836AB7"/>
    <w:rsid w:val="00836E38"/>
    <w:rsid w:val="0084056D"/>
    <w:rsid w:val="00840C4E"/>
    <w:rsid w:val="00840D07"/>
    <w:rsid w:val="0084143F"/>
    <w:rsid w:val="0084256A"/>
    <w:rsid w:val="00842D24"/>
    <w:rsid w:val="00843323"/>
    <w:rsid w:val="008452DC"/>
    <w:rsid w:val="0084625B"/>
    <w:rsid w:val="008469F7"/>
    <w:rsid w:val="00850569"/>
    <w:rsid w:val="008518C3"/>
    <w:rsid w:val="0085193D"/>
    <w:rsid w:val="00852051"/>
    <w:rsid w:val="0085268D"/>
    <w:rsid w:val="008546D1"/>
    <w:rsid w:val="008546EE"/>
    <w:rsid w:val="008555E7"/>
    <w:rsid w:val="00855924"/>
    <w:rsid w:val="00855FDE"/>
    <w:rsid w:val="00860E06"/>
    <w:rsid w:val="0086131B"/>
    <w:rsid w:val="0086131C"/>
    <w:rsid w:val="0086341E"/>
    <w:rsid w:val="00863522"/>
    <w:rsid w:val="00863D56"/>
    <w:rsid w:val="00864DB2"/>
    <w:rsid w:val="008659C9"/>
    <w:rsid w:val="008660E6"/>
    <w:rsid w:val="0087025C"/>
    <w:rsid w:val="008702AB"/>
    <w:rsid w:val="00870814"/>
    <w:rsid w:val="008714E5"/>
    <w:rsid w:val="00872B10"/>
    <w:rsid w:val="008734EC"/>
    <w:rsid w:val="00874167"/>
    <w:rsid w:val="008760E7"/>
    <w:rsid w:val="00877233"/>
    <w:rsid w:val="00877FF7"/>
    <w:rsid w:val="0088226D"/>
    <w:rsid w:val="0088249D"/>
    <w:rsid w:val="00882FFE"/>
    <w:rsid w:val="008838A5"/>
    <w:rsid w:val="008842DC"/>
    <w:rsid w:val="00884A90"/>
    <w:rsid w:val="00884C33"/>
    <w:rsid w:val="008878C1"/>
    <w:rsid w:val="0089241C"/>
    <w:rsid w:val="00893D03"/>
    <w:rsid w:val="00895EDA"/>
    <w:rsid w:val="0089607D"/>
    <w:rsid w:val="008A0AEE"/>
    <w:rsid w:val="008A12EF"/>
    <w:rsid w:val="008A14D3"/>
    <w:rsid w:val="008A1583"/>
    <w:rsid w:val="008A2128"/>
    <w:rsid w:val="008A312D"/>
    <w:rsid w:val="008A48C4"/>
    <w:rsid w:val="008A4F44"/>
    <w:rsid w:val="008A5902"/>
    <w:rsid w:val="008A6A72"/>
    <w:rsid w:val="008A75C8"/>
    <w:rsid w:val="008B0299"/>
    <w:rsid w:val="008B06BC"/>
    <w:rsid w:val="008B13ED"/>
    <w:rsid w:val="008B1B03"/>
    <w:rsid w:val="008B2529"/>
    <w:rsid w:val="008B25BB"/>
    <w:rsid w:val="008B3C24"/>
    <w:rsid w:val="008B4088"/>
    <w:rsid w:val="008B5DD6"/>
    <w:rsid w:val="008C030B"/>
    <w:rsid w:val="008C055C"/>
    <w:rsid w:val="008C0C3A"/>
    <w:rsid w:val="008C1048"/>
    <w:rsid w:val="008C2203"/>
    <w:rsid w:val="008C2B79"/>
    <w:rsid w:val="008C365A"/>
    <w:rsid w:val="008C3C47"/>
    <w:rsid w:val="008C586B"/>
    <w:rsid w:val="008C741A"/>
    <w:rsid w:val="008C7579"/>
    <w:rsid w:val="008D0876"/>
    <w:rsid w:val="008D136E"/>
    <w:rsid w:val="008D15EB"/>
    <w:rsid w:val="008D1A50"/>
    <w:rsid w:val="008D1A52"/>
    <w:rsid w:val="008D2A94"/>
    <w:rsid w:val="008D2F59"/>
    <w:rsid w:val="008D4B56"/>
    <w:rsid w:val="008D50DE"/>
    <w:rsid w:val="008D566B"/>
    <w:rsid w:val="008D590A"/>
    <w:rsid w:val="008D5DA0"/>
    <w:rsid w:val="008D6337"/>
    <w:rsid w:val="008D63C0"/>
    <w:rsid w:val="008D6A0F"/>
    <w:rsid w:val="008D6B93"/>
    <w:rsid w:val="008D711F"/>
    <w:rsid w:val="008D7A4F"/>
    <w:rsid w:val="008E1549"/>
    <w:rsid w:val="008E2EB6"/>
    <w:rsid w:val="008E3163"/>
    <w:rsid w:val="008E32C7"/>
    <w:rsid w:val="008E5B3B"/>
    <w:rsid w:val="008E61AA"/>
    <w:rsid w:val="008E6BF7"/>
    <w:rsid w:val="008E796B"/>
    <w:rsid w:val="008F0372"/>
    <w:rsid w:val="008F2D96"/>
    <w:rsid w:val="008F42A3"/>
    <w:rsid w:val="008F526D"/>
    <w:rsid w:val="008F66F9"/>
    <w:rsid w:val="008F7170"/>
    <w:rsid w:val="00900487"/>
    <w:rsid w:val="00900F20"/>
    <w:rsid w:val="00901FEE"/>
    <w:rsid w:val="009046F8"/>
    <w:rsid w:val="0090526F"/>
    <w:rsid w:val="00906A0B"/>
    <w:rsid w:val="00906B13"/>
    <w:rsid w:val="009101B1"/>
    <w:rsid w:val="00911D53"/>
    <w:rsid w:val="0091217E"/>
    <w:rsid w:val="00913CDA"/>
    <w:rsid w:val="009166D4"/>
    <w:rsid w:val="00916820"/>
    <w:rsid w:val="00916E35"/>
    <w:rsid w:val="00917ECA"/>
    <w:rsid w:val="00920793"/>
    <w:rsid w:val="009219B6"/>
    <w:rsid w:val="009250B3"/>
    <w:rsid w:val="00925694"/>
    <w:rsid w:val="009259B8"/>
    <w:rsid w:val="0092781E"/>
    <w:rsid w:val="00927FD1"/>
    <w:rsid w:val="00930A89"/>
    <w:rsid w:val="00931EFC"/>
    <w:rsid w:val="00934B60"/>
    <w:rsid w:val="00936851"/>
    <w:rsid w:val="00937405"/>
    <w:rsid w:val="009418C9"/>
    <w:rsid w:val="00941C3F"/>
    <w:rsid w:val="0094207D"/>
    <w:rsid w:val="00942C07"/>
    <w:rsid w:val="00943770"/>
    <w:rsid w:val="00943E9E"/>
    <w:rsid w:val="00944304"/>
    <w:rsid w:val="00944367"/>
    <w:rsid w:val="00944AAC"/>
    <w:rsid w:val="00946531"/>
    <w:rsid w:val="00946FB2"/>
    <w:rsid w:val="009500F8"/>
    <w:rsid w:val="00951B56"/>
    <w:rsid w:val="009533CA"/>
    <w:rsid w:val="00954F9F"/>
    <w:rsid w:val="009551D9"/>
    <w:rsid w:val="009568E5"/>
    <w:rsid w:val="0095703E"/>
    <w:rsid w:val="009573A3"/>
    <w:rsid w:val="009611DB"/>
    <w:rsid w:val="0096168C"/>
    <w:rsid w:val="00962432"/>
    <w:rsid w:val="00964A58"/>
    <w:rsid w:val="0096520D"/>
    <w:rsid w:val="00965340"/>
    <w:rsid w:val="009655CD"/>
    <w:rsid w:val="009667DA"/>
    <w:rsid w:val="00967348"/>
    <w:rsid w:val="00970C80"/>
    <w:rsid w:val="00971489"/>
    <w:rsid w:val="0097260F"/>
    <w:rsid w:val="009728A1"/>
    <w:rsid w:val="00972973"/>
    <w:rsid w:val="00972E5F"/>
    <w:rsid w:val="0097465A"/>
    <w:rsid w:val="00976405"/>
    <w:rsid w:val="00976F4B"/>
    <w:rsid w:val="009774DE"/>
    <w:rsid w:val="00980242"/>
    <w:rsid w:val="00983CBF"/>
    <w:rsid w:val="00983DE9"/>
    <w:rsid w:val="00986190"/>
    <w:rsid w:val="00986606"/>
    <w:rsid w:val="0098781E"/>
    <w:rsid w:val="0099134A"/>
    <w:rsid w:val="00991C38"/>
    <w:rsid w:val="009925AF"/>
    <w:rsid w:val="00992DB0"/>
    <w:rsid w:val="0099401B"/>
    <w:rsid w:val="00994E7E"/>
    <w:rsid w:val="00995D23"/>
    <w:rsid w:val="00995ED7"/>
    <w:rsid w:val="00996F51"/>
    <w:rsid w:val="00997324"/>
    <w:rsid w:val="00997859"/>
    <w:rsid w:val="00997CAD"/>
    <w:rsid w:val="009A02F0"/>
    <w:rsid w:val="009A1E60"/>
    <w:rsid w:val="009A1ED3"/>
    <w:rsid w:val="009A3633"/>
    <w:rsid w:val="009A395E"/>
    <w:rsid w:val="009A4850"/>
    <w:rsid w:val="009A5CB6"/>
    <w:rsid w:val="009A76E1"/>
    <w:rsid w:val="009A7B02"/>
    <w:rsid w:val="009B01CB"/>
    <w:rsid w:val="009B0AAD"/>
    <w:rsid w:val="009B19F1"/>
    <w:rsid w:val="009B4805"/>
    <w:rsid w:val="009B4C1B"/>
    <w:rsid w:val="009B4CB5"/>
    <w:rsid w:val="009B5736"/>
    <w:rsid w:val="009B7514"/>
    <w:rsid w:val="009B7601"/>
    <w:rsid w:val="009C0336"/>
    <w:rsid w:val="009C08D3"/>
    <w:rsid w:val="009C115E"/>
    <w:rsid w:val="009C1FC0"/>
    <w:rsid w:val="009C220F"/>
    <w:rsid w:val="009C27AD"/>
    <w:rsid w:val="009C2A4F"/>
    <w:rsid w:val="009C4122"/>
    <w:rsid w:val="009C4F29"/>
    <w:rsid w:val="009C5E0A"/>
    <w:rsid w:val="009C638B"/>
    <w:rsid w:val="009C64DB"/>
    <w:rsid w:val="009C7769"/>
    <w:rsid w:val="009D0B9C"/>
    <w:rsid w:val="009D0BD6"/>
    <w:rsid w:val="009D33CA"/>
    <w:rsid w:val="009D375D"/>
    <w:rsid w:val="009D390B"/>
    <w:rsid w:val="009D4E8A"/>
    <w:rsid w:val="009D56D2"/>
    <w:rsid w:val="009D6814"/>
    <w:rsid w:val="009D709F"/>
    <w:rsid w:val="009D7878"/>
    <w:rsid w:val="009E20C1"/>
    <w:rsid w:val="009E2B2E"/>
    <w:rsid w:val="009E2C6B"/>
    <w:rsid w:val="009E3D5C"/>
    <w:rsid w:val="009E4843"/>
    <w:rsid w:val="009E4F69"/>
    <w:rsid w:val="009E5374"/>
    <w:rsid w:val="009E538B"/>
    <w:rsid w:val="009E645C"/>
    <w:rsid w:val="009E728C"/>
    <w:rsid w:val="009E7696"/>
    <w:rsid w:val="009F0849"/>
    <w:rsid w:val="009F09A5"/>
    <w:rsid w:val="009F100D"/>
    <w:rsid w:val="009F1C1B"/>
    <w:rsid w:val="009F3F18"/>
    <w:rsid w:val="009F4D3C"/>
    <w:rsid w:val="009F7020"/>
    <w:rsid w:val="009F72F2"/>
    <w:rsid w:val="009F731E"/>
    <w:rsid w:val="009F745E"/>
    <w:rsid w:val="009F7778"/>
    <w:rsid w:val="009F78B5"/>
    <w:rsid w:val="00A0025C"/>
    <w:rsid w:val="00A00798"/>
    <w:rsid w:val="00A0172C"/>
    <w:rsid w:val="00A02CFE"/>
    <w:rsid w:val="00A03EDE"/>
    <w:rsid w:val="00A044F4"/>
    <w:rsid w:val="00A0687E"/>
    <w:rsid w:val="00A101BB"/>
    <w:rsid w:val="00A1134D"/>
    <w:rsid w:val="00A11538"/>
    <w:rsid w:val="00A116E2"/>
    <w:rsid w:val="00A11CDE"/>
    <w:rsid w:val="00A121D3"/>
    <w:rsid w:val="00A16AEB"/>
    <w:rsid w:val="00A171FB"/>
    <w:rsid w:val="00A17FD0"/>
    <w:rsid w:val="00A20DD7"/>
    <w:rsid w:val="00A224DB"/>
    <w:rsid w:val="00A2311D"/>
    <w:rsid w:val="00A23857"/>
    <w:rsid w:val="00A23DF6"/>
    <w:rsid w:val="00A2437E"/>
    <w:rsid w:val="00A24D05"/>
    <w:rsid w:val="00A263F1"/>
    <w:rsid w:val="00A2789D"/>
    <w:rsid w:val="00A3068C"/>
    <w:rsid w:val="00A31E65"/>
    <w:rsid w:val="00A32075"/>
    <w:rsid w:val="00A32E23"/>
    <w:rsid w:val="00A333C3"/>
    <w:rsid w:val="00A33EA4"/>
    <w:rsid w:val="00A351E3"/>
    <w:rsid w:val="00A35219"/>
    <w:rsid w:val="00A353C0"/>
    <w:rsid w:val="00A35499"/>
    <w:rsid w:val="00A3687A"/>
    <w:rsid w:val="00A36B15"/>
    <w:rsid w:val="00A37096"/>
    <w:rsid w:val="00A37FC5"/>
    <w:rsid w:val="00A400C6"/>
    <w:rsid w:val="00A40482"/>
    <w:rsid w:val="00A43025"/>
    <w:rsid w:val="00A44273"/>
    <w:rsid w:val="00A44FCF"/>
    <w:rsid w:val="00A47553"/>
    <w:rsid w:val="00A47663"/>
    <w:rsid w:val="00A47A2F"/>
    <w:rsid w:val="00A5007A"/>
    <w:rsid w:val="00A50C08"/>
    <w:rsid w:val="00A50D07"/>
    <w:rsid w:val="00A52612"/>
    <w:rsid w:val="00A52A2B"/>
    <w:rsid w:val="00A53296"/>
    <w:rsid w:val="00A53BB0"/>
    <w:rsid w:val="00A5571F"/>
    <w:rsid w:val="00A562A2"/>
    <w:rsid w:val="00A564A1"/>
    <w:rsid w:val="00A56A2C"/>
    <w:rsid w:val="00A57596"/>
    <w:rsid w:val="00A57EE5"/>
    <w:rsid w:val="00A60F70"/>
    <w:rsid w:val="00A61421"/>
    <w:rsid w:val="00A62F9F"/>
    <w:rsid w:val="00A641C2"/>
    <w:rsid w:val="00A64EB7"/>
    <w:rsid w:val="00A65268"/>
    <w:rsid w:val="00A65DD3"/>
    <w:rsid w:val="00A677E5"/>
    <w:rsid w:val="00A70D29"/>
    <w:rsid w:val="00A718ED"/>
    <w:rsid w:val="00A730CD"/>
    <w:rsid w:val="00A731EF"/>
    <w:rsid w:val="00A73916"/>
    <w:rsid w:val="00A744C3"/>
    <w:rsid w:val="00A746E3"/>
    <w:rsid w:val="00A757FD"/>
    <w:rsid w:val="00A76B72"/>
    <w:rsid w:val="00A77870"/>
    <w:rsid w:val="00A80379"/>
    <w:rsid w:val="00A8052F"/>
    <w:rsid w:val="00A8088C"/>
    <w:rsid w:val="00A80A0F"/>
    <w:rsid w:val="00A8107A"/>
    <w:rsid w:val="00A82B35"/>
    <w:rsid w:val="00A83519"/>
    <w:rsid w:val="00A83EC3"/>
    <w:rsid w:val="00A851C2"/>
    <w:rsid w:val="00A86A76"/>
    <w:rsid w:val="00A871E6"/>
    <w:rsid w:val="00A87707"/>
    <w:rsid w:val="00A90C39"/>
    <w:rsid w:val="00A91B41"/>
    <w:rsid w:val="00A95175"/>
    <w:rsid w:val="00A952A7"/>
    <w:rsid w:val="00A953AA"/>
    <w:rsid w:val="00A95487"/>
    <w:rsid w:val="00A960B6"/>
    <w:rsid w:val="00A97640"/>
    <w:rsid w:val="00A9787F"/>
    <w:rsid w:val="00A97E2B"/>
    <w:rsid w:val="00AA033C"/>
    <w:rsid w:val="00AA0C80"/>
    <w:rsid w:val="00AA1D22"/>
    <w:rsid w:val="00AA1EC2"/>
    <w:rsid w:val="00AA2A52"/>
    <w:rsid w:val="00AA310B"/>
    <w:rsid w:val="00AA55CF"/>
    <w:rsid w:val="00AA6842"/>
    <w:rsid w:val="00AA68E6"/>
    <w:rsid w:val="00AA6914"/>
    <w:rsid w:val="00AA7B0C"/>
    <w:rsid w:val="00AA7B74"/>
    <w:rsid w:val="00AB26BA"/>
    <w:rsid w:val="00AB2E5D"/>
    <w:rsid w:val="00AB4E17"/>
    <w:rsid w:val="00AB5963"/>
    <w:rsid w:val="00AB607F"/>
    <w:rsid w:val="00AB627F"/>
    <w:rsid w:val="00AB70E7"/>
    <w:rsid w:val="00AB7B2A"/>
    <w:rsid w:val="00AC00B2"/>
    <w:rsid w:val="00AC0C6C"/>
    <w:rsid w:val="00AC24E8"/>
    <w:rsid w:val="00AC3DF1"/>
    <w:rsid w:val="00AC576F"/>
    <w:rsid w:val="00AD051C"/>
    <w:rsid w:val="00AD14A2"/>
    <w:rsid w:val="00AD23D9"/>
    <w:rsid w:val="00AD28D6"/>
    <w:rsid w:val="00AD3BA2"/>
    <w:rsid w:val="00AD55F9"/>
    <w:rsid w:val="00AD7296"/>
    <w:rsid w:val="00AD7A0B"/>
    <w:rsid w:val="00AD7F0D"/>
    <w:rsid w:val="00AE0468"/>
    <w:rsid w:val="00AE1582"/>
    <w:rsid w:val="00AE2AB5"/>
    <w:rsid w:val="00AE60F3"/>
    <w:rsid w:val="00AE6CBF"/>
    <w:rsid w:val="00AE717E"/>
    <w:rsid w:val="00AE7B76"/>
    <w:rsid w:val="00AF2143"/>
    <w:rsid w:val="00AF5B99"/>
    <w:rsid w:val="00AF5CEE"/>
    <w:rsid w:val="00AF5E16"/>
    <w:rsid w:val="00AF6001"/>
    <w:rsid w:val="00AF646A"/>
    <w:rsid w:val="00AF6B0B"/>
    <w:rsid w:val="00AF6FAC"/>
    <w:rsid w:val="00B02626"/>
    <w:rsid w:val="00B02EF1"/>
    <w:rsid w:val="00B043C4"/>
    <w:rsid w:val="00B04C64"/>
    <w:rsid w:val="00B07372"/>
    <w:rsid w:val="00B074C5"/>
    <w:rsid w:val="00B07A3C"/>
    <w:rsid w:val="00B104F9"/>
    <w:rsid w:val="00B12622"/>
    <w:rsid w:val="00B128AB"/>
    <w:rsid w:val="00B12C45"/>
    <w:rsid w:val="00B137E1"/>
    <w:rsid w:val="00B13EE2"/>
    <w:rsid w:val="00B15692"/>
    <w:rsid w:val="00B158D6"/>
    <w:rsid w:val="00B17328"/>
    <w:rsid w:val="00B17623"/>
    <w:rsid w:val="00B179F8"/>
    <w:rsid w:val="00B21070"/>
    <w:rsid w:val="00B21603"/>
    <w:rsid w:val="00B22943"/>
    <w:rsid w:val="00B22FC0"/>
    <w:rsid w:val="00B233AC"/>
    <w:rsid w:val="00B23C04"/>
    <w:rsid w:val="00B23F30"/>
    <w:rsid w:val="00B254F2"/>
    <w:rsid w:val="00B2691B"/>
    <w:rsid w:val="00B2722F"/>
    <w:rsid w:val="00B27F3C"/>
    <w:rsid w:val="00B30247"/>
    <w:rsid w:val="00B314F3"/>
    <w:rsid w:val="00B31BD8"/>
    <w:rsid w:val="00B33554"/>
    <w:rsid w:val="00B33803"/>
    <w:rsid w:val="00B33D2F"/>
    <w:rsid w:val="00B3499D"/>
    <w:rsid w:val="00B36817"/>
    <w:rsid w:val="00B36DCF"/>
    <w:rsid w:val="00B37F1C"/>
    <w:rsid w:val="00B4115A"/>
    <w:rsid w:val="00B41FAB"/>
    <w:rsid w:val="00B41FEA"/>
    <w:rsid w:val="00B4220B"/>
    <w:rsid w:val="00B422AF"/>
    <w:rsid w:val="00B42A07"/>
    <w:rsid w:val="00B43785"/>
    <w:rsid w:val="00B43C41"/>
    <w:rsid w:val="00B44029"/>
    <w:rsid w:val="00B44AC8"/>
    <w:rsid w:val="00B461B4"/>
    <w:rsid w:val="00B46684"/>
    <w:rsid w:val="00B466C3"/>
    <w:rsid w:val="00B50163"/>
    <w:rsid w:val="00B50B97"/>
    <w:rsid w:val="00B54768"/>
    <w:rsid w:val="00B5567E"/>
    <w:rsid w:val="00B55DB9"/>
    <w:rsid w:val="00B55FF6"/>
    <w:rsid w:val="00B57551"/>
    <w:rsid w:val="00B57E9E"/>
    <w:rsid w:val="00B60759"/>
    <w:rsid w:val="00B61DBA"/>
    <w:rsid w:val="00B625EB"/>
    <w:rsid w:val="00B62E02"/>
    <w:rsid w:val="00B63B6D"/>
    <w:rsid w:val="00B64942"/>
    <w:rsid w:val="00B64FF6"/>
    <w:rsid w:val="00B65882"/>
    <w:rsid w:val="00B66524"/>
    <w:rsid w:val="00B70885"/>
    <w:rsid w:val="00B711F6"/>
    <w:rsid w:val="00B72CDE"/>
    <w:rsid w:val="00B7322D"/>
    <w:rsid w:val="00B732EA"/>
    <w:rsid w:val="00B73BAE"/>
    <w:rsid w:val="00B740CC"/>
    <w:rsid w:val="00B7566B"/>
    <w:rsid w:val="00B76656"/>
    <w:rsid w:val="00B77DAA"/>
    <w:rsid w:val="00B81F43"/>
    <w:rsid w:val="00B82899"/>
    <w:rsid w:val="00B83FD5"/>
    <w:rsid w:val="00B841DD"/>
    <w:rsid w:val="00B86258"/>
    <w:rsid w:val="00B864DA"/>
    <w:rsid w:val="00B86C0D"/>
    <w:rsid w:val="00B86C8A"/>
    <w:rsid w:val="00B91648"/>
    <w:rsid w:val="00B92F3A"/>
    <w:rsid w:val="00B92FF8"/>
    <w:rsid w:val="00B93FF7"/>
    <w:rsid w:val="00B9570C"/>
    <w:rsid w:val="00B96700"/>
    <w:rsid w:val="00B969D3"/>
    <w:rsid w:val="00B96BF9"/>
    <w:rsid w:val="00BA07A7"/>
    <w:rsid w:val="00BA2942"/>
    <w:rsid w:val="00BA5AFA"/>
    <w:rsid w:val="00BA618B"/>
    <w:rsid w:val="00BA712D"/>
    <w:rsid w:val="00BA74D8"/>
    <w:rsid w:val="00BA779C"/>
    <w:rsid w:val="00BB050D"/>
    <w:rsid w:val="00BB0C71"/>
    <w:rsid w:val="00BB0F75"/>
    <w:rsid w:val="00BB114F"/>
    <w:rsid w:val="00BB1ACF"/>
    <w:rsid w:val="00BB4870"/>
    <w:rsid w:val="00BB6348"/>
    <w:rsid w:val="00BB69FB"/>
    <w:rsid w:val="00BB6DFD"/>
    <w:rsid w:val="00BC0056"/>
    <w:rsid w:val="00BC02B7"/>
    <w:rsid w:val="00BC0DB6"/>
    <w:rsid w:val="00BC310D"/>
    <w:rsid w:val="00BC3494"/>
    <w:rsid w:val="00BC3ED1"/>
    <w:rsid w:val="00BC3F79"/>
    <w:rsid w:val="00BC415D"/>
    <w:rsid w:val="00BC456D"/>
    <w:rsid w:val="00BC4CD6"/>
    <w:rsid w:val="00BC4EBA"/>
    <w:rsid w:val="00BC5205"/>
    <w:rsid w:val="00BC6DC7"/>
    <w:rsid w:val="00BC701D"/>
    <w:rsid w:val="00BC7906"/>
    <w:rsid w:val="00BD001C"/>
    <w:rsid w:val="00BD0D08"/>
    <w:rsid w:val="00BD211E"/>
    <w:rsid w:val="00BD2482"/>
    <w:rsid w:val="00BD322A"/>
    <w:rsid w:val="00BD33BD"/>
    <w:rsid w:val="00BD3DFC"/>
    <w:rsid w:val="00BD420E"/>
    <w:rsid w:val="00BD4478"/>
    <w:rsid w:val="00BD47AC"/>
    <w:rsid w:val="00BD4D5C"/>
    <w:rsid w:val="00BD4D6E"/>
    <w:rsid w:val="00BD5858"/>
    <w:rsid w:val="00BD61D3"/>
    <w:rsid w:val="00BE02F4"/>
    <w:rsid w:val="00BE12CE"/>
    <w:rsid w:val="00BE22B9"/>
    <w:rsid w:val="00BE29E6"/>
    <w:rsid w:val="00BE3266"/>
    <w:rsid w:val="00BE3ACA"/>
    <w:rsid w:val="00BE4709"/>
    <w:rsid w:val="00BE54E8"/>
    <w:rsid w:val="00BE5BA2"/>
    <w:rsid w:val="00BE675A"/>
    <w:rsid w:val="00BF0230"/>
    <w:rsid w:val="00BF2249"/>
    <w:rsid w:val="00BF2DB6"/>
    <w:rsid w:val="00BF2EC0"/>
    <w:rsid w:val="00BF3716"/>
    <w:rsid w:val="00BF3780"/>
    <w:rsid w:val="00BF44D5"/>
    <w:rsid w:val="00BF4575"/>
    <w:rsid w:val="00BF5AF9"/>
    <w:rsid w:val="00BF7E0C"/>
    <w:rsid w:val="00C0010C"/>
    <w:rsid w:val="00C015C2"/>
    <w:rsid w:val="00C032B2"/>
    <w:rsid w:val="00C041AA"/>
    <w:rsid w:val="00C04305"/>
    <w:rsid w:val="00C043CE"/>
    <w:rsid w:val="00C04D1C"/>
    <w:rsid w:val="00C053B7"/>
    <w:rsid w:val="00C06FB8"/>
    <w:rsid w:val="00C07705"/>
    <w:rsid w:val="00C10009"/>
    <w:rsid w:val="00C10703"/>
    <w:rsid w:val="00C10BD7"/>
    <w:rsid w:val="00C10EF4"/>
    <w:rsid w:val="00C10F8C"/>
    <w:rsid w:val="00C11712"/>
    <w:rsid w:val="00C11A7C"/>
    <w:rsid w:val="00C11FCB"/>
    <w:rsid w:val="00C14214"/>
    <w:rsid w:val="00C1534F"/>
    <w:rsid w:val="00C157AE"/>
    <w:rsid w:val="00C2225B"/>
    <w:rsid w:val="00C22B2F"/>
    <w:rsid w:val="00C234FA"/>
    <w:rsid w:val="00C240CB"/>
    <w:rsid w:val="00C24A7A"/>
    <w:rsid w:val="00C25086"/>
    <w:rsid w:val="00C2577E"/>
    <w:rsid w:val="00C25C7C"/>
    <w:rsid w:val="00C26348"/>
    <w:rsid w:val="00C27099"/>
    <w:rsid w:val="00C31AF9"/>
    <w:rsid w:val="00C31AFD"/>
    <w:rsid w:val="00C32A06"/>
    <w:rsid w:val="00C33A9E"/>
    <w:rsid w:val="00C33D48"/>
    <w:rsid w:val="00C34D39"/>
    <w:rsid w:val="00C35B7A"/>
    <w:rsid w:val="00C362A7"/>
    <w:rsid w:val="00C403CE"/>
    <w:rsid w:val="00C40A52"/>
    <w:rsid w:val="00C40E1B"/>
    <w:rsid w:val="00C414AC"/>
    <w:rsid w:val="00C419AA"/>
    <w:rsid w:val="00C42158"/>
    <w:rsid w:val="00C428E0"/>
    <w:rsid w:val="00C42981"/>
    <w:rsid w:val="00C43FE2"/>
    <w:rsid w:val="00C44789"/>
    <w:rsid w:val="00C46B8E"/>
    <w:rsid w:val="00C50291"/>
    <w:rsid w:val="00C50596"/>
    <w:rsid w:val="00C50AB8"/>
    <w:rsid w:val="00C50EC5"/>
    <w:rsid w:val="00C5120B"/>
    <w:rsid w:val="00C51A65"/>
    <w:rsid w:val="00C51C68"/>
    <w:rsid w:val="00C51E79"/>
    <w:rsid w:val="00C51FF1"/>
    <w:rsid w:val="00C52A7C"/>
    <w:rsid w:val="00C57B2D"/>
    <w:rsid w:val="00C60036"/>
    <w:rsid w:val="00C60E22"/>
    <w:rsid w:val="00C62809"/>
    <w:rsid w:val="00C631D3"/>
    <w:rsid w:val="00C63D28"/>
    <w:rsid w:val="00C64D72"/>
    <w:rsid w:val="00C656C9"/>
    <w:rsid w:val="00C65A7F"/>
    <w:rsid w:val="00C65F5A"/>
    <w:rsid w:val="00C65F7E"/>
    <w:rsid w:val="00C66386"/>
    <w:rsid w:val="00C67CFC"/>
    <w:rsid w:val="00C718B9"/>
    <w:rsid w:val="00C718D4"/>
    <w:rsid w:val="00C72902"/>
    <w:rsid w:val="00C735CA"/>
    <w:rsid w:val="00C73B64"/>
    <w:rsid w:val="00C73DDC"/>
    <w:rsid w:val="00C74CDB"/>
    <w:rsid w:val="00C75352"/>
    <w:rsid w:val="00C769FB"/>
    <w:rsid w:val="00C76DE4"/>
    <w:rsid w:val="00C80690"/>
    <w:rsid w:val="00C80B59"/>
    <w:rsid w:val="00C810F3"/>
    <w:rsid w:val="00C811DC"/>
    <w:rsid w:val="00C81B03"/>
    <w:rsid w:val="00C841E6"/>
    <w:rsid w:val="00C842D1"/>
    <w:rsid w:val="00C849A7"/>
    <w:rsid w:val="00C84C1A"/>
    <w:rsid w:val="00C85143"/>
    <w:rsid w:val="00C86992"/>
    <w:rsid w:val="00C87FDE"/>
    <w:rsid w:val="00C94456"/>
    <w:rsid w:val="00C9592B"/>
    <w:rsid w:val="00C96E72"/>
    <w:rsid w:val="00C9760D"/>
    <w:rsid w:val="00C97A91"/>
    <w:rsid w:val="00C97B99"/>
    <w:rsid w:val="00CA1881"/>
    <w:rsid w:val="00CA3040"/>
    <w:rsid w:val="00CA307A"/>
    <w:rsid w:val="00CA3B9D"/>
    <w:rsid w:val="00CA3DB8"/>
    <w:rsid w:val="00CA4ADA"/>
    <w:rsid w:val="00CA5AFB"/>
    <w:rsid w:val="00CA74D2"/>
    <w:rsid w:val="00CA7A20"/>
    <w:rsid w:val="00CB0476"/>
    <w:rsid w:val="00CB095E"/>
    <w:rsid w:val="00CB0BA0"/>
    <w:rsid w:val="00CB2598"/>
    <w:rsid w:val="00CB2DCE"/>
    <w:rsid w:val="00CB37AA"/>
    <w:rsid w:val="00CB418A"/>
    <w:rsid w:val="00CB5734"/>
    <w:rsid w:val="00CB6C05"/>
    <w:rsid w:val="00CC2047"/>
    <w:rsid w:val="00CC326B"/>
    <w:rsid w:val="00CC4457"/>
    <w:rsid w:val="00CC7238"/>
    <w:rsid w:val="00CD1861"/>
    <w:rsid w:val="00CD3503"/>
    <w:rsid w:val="00CD52CC"/>
    <w:rsid w:val="00CD6152"/>
    <w:rsid w:val="00CD754B"/>
    <w:rsid w:val="00CE150A"/>
    <w:rsid w:val="00CE194C"/>
    <w:rsid w:val="00CE227F"/>
    <w:rsid w:val="00CE2B56"/>
    <w:rsid w:val="00CE35A6"/>
    <w:rsid w:val="00CE4C28"/>
    <w:rsid w:val="00CE4C46"/>
    <w:rsid w:val="00CE621B"/>
    <w:rsid w:val="00CE76F0"/>
    <w:rsid w:val="00CE79B9"/>
    <w:rsid w:val="00CF2021"/>
    <w:rsid w:val="00CF4AA8"/>
    <w:rsid w:val="00CF6DD4"/>
    <w:rsid w:val="00CF79D2"/>
    <w:rsid w:val="00D0163E"/>
    <w:rsid w:val="00D02CA0"/>
    <w:rsid w:val="00D05F6D"/>
    <w:rsid w:val="00D060CF"/>
    <w:rsid w:val="00D0739A"/>
    <w:rsid w:val="00D124F5"/>
    <w:rsid w:val="00D1378E"/>
    <w:rsid w:val="00D156F2"/>
    <w:rsid w:val="00D15755"/>
    <w:rsid w:val="00D15D56"/>
    <w:rsid w:val="00D1677E"/>
    <w:rsid w:val="00D174DC"/>
    <w:rsid w:val="00D20038"/>
    <w:rsid w:val="00D2468E"/>
    <w:rsid w:val="00D24B22"/>
    <w:rsid w:val="00D25986"/>
    <w:rsid w:val="00D260FF"/>
    <w:rsid w:val="00D2701F"/>
    <w:rsid w:val="00D2785A"/>
    <w:rsid w:val="00D27926"/>
    <w:rsid w:val="00D32264"/>
    <w:rsid w:val="00D33B77"/>
    <w:rsid w:val="00D347E8"/>
    <w:rsid w:val="00D34B69"/>
    <w:rsid w:val="00D35AB4"/>
    <w:rsid w:val="00D35B14"/>
    <w:rsid w:val="00D37BB1"/>
    <w:rsid w:val="00D37D58"/>
    <w:rsid w:val="00D40B28"/>
    <w:rsid w:val="00D40FBE"/>
    <w:rsid w:val="00D429A0"/>
    <w:rsid w:val="00D429CF"/>
    <w:rsid w:val="00D42E65"/>
    <w:rsid w:val="00D44BB1"/>
    <w:rsid w:val="00D46232"/>
    <w:rsid w:val="00D47677"/>
    <w:rsid w:val="00D52857"/>
    <w:rsid w:val="00D531E2"/>
    <w:rsid w:val="00D6007E"/>
    <w:rsid w:val="00D608F7"/>
    <w:rsid w:val="00D60964"/>
    <w:rsid w:val="00D615B8"/>
    <w:rsid w:val="00D61E35"/>
    <w:rsid w:val="00D62A6C"/>
    <w:rsid w:val="00D62CA3"/>
    <w:rsid w:val="00D64CFB"/>
    <w:rsid w:val="00D66331"/>
    <w:rsid w:val="00D663E0"/>
    <w:rsid w:val="00D665D0"/>
    <w:rsid w:val="00D70701"/>
    <w:rsid w:val="00D718FF"/>
    <w:rsid w:val="00D7300A"/>
    <w:rsid w:val="00D735E2"/>
    <w:rsid w:val="00D73761"/>
    <w:rsid w:val="00D7408C"/>
    <w:rsid w:val="00D7414E"/>
    <w:rsid w:val="00D75012"/>
    <w:rsid w:val="00D76D5C"/>
    <w:rsid w:val="00D824D3"/>
    <w:rsid w:val="00D82AB6"/>
    <w:rsid w:val="00D84794"/>
    <w:rsid w:val="00D867D5"/>
    <w:rsid w:val="00D86FBF"/>
    <w:rsid w:val="00D90C3B"/>
    <w:rsid w:val="00D92DA7"/>
    <w:rsid w:val="00D9352D"/>
    <w:rsid w:val="00D93E8E"/>
    <w:rsid w:val="00D94757"/>
    <w:rsid w:val="00D94DC7"/>
    <w:rsid w:val="00D9721B"/>
    <w:rsid w:val="00D97D1C"/>
    <w:rsid w:val="00DA0932"/>
    <w:rsid w:val="00DA0CBD"/>
    <w:rsid w:val="00DA2985"/>
    <w:rsid w:val="00DA2E77"/>
    <w:rsid w:val="00DA3223"/>
    <w:rsid w:val="00DA5246"/>
    <w:rsid w:val="00DA551D"/>
    <w:rsid w:val="00DA6C64"/>
    <w:rsid w:val="00DA76C9"/>
    <w:rsid w:val="00DB1472"/>
    <w:rsid w:val="00DB28F0"/>
    <w:rsid w:val="00DB4DBF"/>
    <w:rsid w:val="00DB7592"/>
    <w:rsid w:val="00DB76EE"/>
    <w:rsid w:val="00DB79A4"/>
    <w:rsid w:val="00DB7A11"/>
    <w:rsid w:val="00DB7FCF"/>
    <w:rsid w:val="00DC0D9A"/>
    <w:rsid w:val="00DC0E9F"/>
    <w:rsid w:val="00DC1002"/>
    <w:rsid w:val="00DC2B7F"/>
    <w:rsid w:val="00DC2F25"/>
    <w:rsid w:val="00DC590B"/>
    <w:rsid w:val="00DC6C17"/>
    <w:rsid w:val="00DC6E0A"/>
    <w:rsid w:val="00DC7076"/>
    <w:rsid w:val="00DD0B13"/>
    <w:rsid w:val="00DD0F30"/>
    <w:rsid w:val="00DD227A"/>
    <w:rsid w:val="00DD31E7"/>
    <w:rsid w:val="00DD3915"/>
    <w:rsid w:val="00DD3AE0"/>
    <w:rsid w:val="00DD4020"/>
    <w:rsid w:val="00DD4629"/>
    <w:rsid w:val="00DD4DAB"/>
    <w:rsid w:val="00DD5451"/>
    <w:rsid w:val="00DD57A4"/>
    <w:rsid w:val="00DD6219"/>
    <w:rsid w:val="00DD6851"/>
    <w:rsid w:val="00DD6B39"/>
    <w:rsid w:val="00DD7EFF"/>
    <w:rsid w:val="00DE03E9"/>
    <w:rsid w:val="00DE0ABB"/>
    <w:rsid w:val="00DE2D8A"/>
    <w:rsid w:val="00DE3F0F"/>
    <w:rsid w:val="00DE4E2E"/>
    <w:rsid w:val="00DE4F25"/>
    <w:rsid w:val="00DE5EC1"/>
    <w:rsid w:val="00DE6155"/>
    <w:rsid w:val="00DF01B2"/>
    <w:rsid w:val="00DF0CC4"/>
    <w:rsid w:val="00DF0DE1"/>
    <w:rsid w:val="00DF1FB9"/>
    <w:rsid w:val="00DF401C"/>
    <w:rsid w:val="00DF4826"/>
    <w:rsid w:val="00DF7842"/>
    <w:rsid w:val="00E0021D"/>
    <w:rsid w:val="00E01119"/>
    <w:rsid w:val="00E02869"/>
    <w:rsid w:val="00E02888"/>
    <w:rsid w:val="00E02DBF"/>
    <w:rsid w:val="00E03237"/>
    <w:rsid w:val="00E03DC6"/>
    <w:rsid w:val="00E0440F"/>
    <w:rsid w:val="00E05BC8"/>
    <w:rsid w:val="00E0604C"/>
    <w:rsid w:val="00E06653"/>
    <w:rsid w:val="00E06F35"/>
    <w:rsid w:val="00E07ABB"/>
    <w:rsid w:val="00E102E7"/>
    <w:rsid w:val="00E10398"/>
    <w:rsid w:val="00E10840"/>
    <w:rsid w:val="00E10B81"/>
    <w:rsid w:val="00E10BD4"/>
    <w:rsid w:val="00E136C1"/>
    <w:rsid w:val="00E13788"/>
    <w:rsid w:val="00E15900"/>
    <w:rsid w:val="00E164F9"/>
    <w:rsid w:val="00E17643"/>
    <w:rsid w:val="00E211EC"/>
    <w:rsid w:val="00E215DA"/>
    <w:rsid w:val="00E21ACF"/>
    <w:rsid w:val="00E2211D"/>
    <w:rsid w:val="00E226A8"/>
    <w:rsid w:val="00E22841"/>
    <w:rsid w:val="00E22FBE"/>
    <w:rsid w:val="00E23363"/>
    <w:rsid w:val="00E23BA4"/>
    <w:rsid w:val="00E24CC0"/>
    <w:rsid w:val="00E25443"/>
    <w:rsid w:val="00E25C1D"/>
    <w:rsid w:val="00E266C5"/>
    <w:rsid w:val="00E275A4"/>
    <w:rsid w:val="00E30B95"/>
    <w:rsid w:val="00E30C2C"/>
    <w:rsid w:val="00E31943"/>
    <w:rsid w:val="00E3426F"/>
    <w:rsid w:val="00E34FFE"/>
    <w:rsid w:val="00E35D72"/>
    <w:rsid w:val="00E36EAC"/>
    <w:rsid w:val="00E407AB"/>
    <w:rsid w:val="00E42B10"/>
    <w:rsid w:val="00E43773"/>
    <w:rsid w:val="00E43C4D"/>
    <w:rsid w:val="00E44F14"/>
    <w:rsid w:val="00E46188"/>
    <w:rsid w:val="00E4673A"/>
    <w:rsid w:val="00E47531"/>
    <w:rsid w:val="00E5046F"/>
    <w:rsid w:val="00E50DBE"/>
    <w:rsid w:val="00E52833"/>
    <w:rsid w:val="00E52C66"/>
    <w:rsid w:val="00E541CF"/>
    <w:rsid w:val="00E55A16"/>
    <w:rsid w:val="00E5685E"/>
    <w:rsid w:val="00E577C2"/>
    <w:rsid w:val="00E60F47"/>
    <w:rsid w:val="00E61156"/>
    <w:rsid w:val="00E611E8"/>
    <w:rsid w:val="00E61D67"/>
    <w:rsid w:val="00E62193"/>
    <w:rsid w:val="00E64A9A"/>
    <w:rsid w:val="00E65511"/>
    <w:rsid w:val="00E65964"/>
    <w:rsid w:val="00E673D7"/>
    <w:rsid w:val="00E67640"/>
    <w:rsid w:val="00E67B0A"/>
    <w:rsid w:val="00E7119D"/>
    <w:rsid w:val="00E721FD"/>
    <w:rsid w:val="00E72D67"/>
    <w:rsid w:val="00E7326B"/>
    <w:rsid w:val="00E74817"/>
    <w:rsid w:val="00E764D1"/>
    <w:rsid w:val="00E766E9"/>
    <w:rsid w:val="00E804BF"/>
    <w:rsid w:val="00E80E68"/>
    <w:rsid w:val="00E820F4"/>
    <w:rsid w:val="00E82A60"/>
    <w:rsid w:val="00E82AFF"/>
    <w:rsid w:val="00E838D6"/>
    <w:rsid w:val="00E84BF6"/>
    <w:rsid w:val="00E861FD"/>
    <w:rsid w:val="00E8671E"/>
    <w:rsid w:val="00E8698D"/>
    <w:rsid w:val="00E87A5A"/>
    <w:rsid w:val="00E90BA1"/>
    <w:rsid w:val="00E91A3A"/>
    <w:rsid w:val="00E91AA3"/>
    <w:rsid w:val="00E92DF9"/>
    <w:rsid w:val="00E93344"/>
    <w:rsid w:val="00E94184"/>
    <w:rsid w:val="00E94284"/>
    <w:rsid w:val="00E959BD"/>
    <w:rsid w:val="00E9606F"/>
    <w:rsid w:val="00E9737F"/>
    <w:rsid w:val="00E97775"/>
    <w:rsid w:val="00E97F70"/>
    <w:rsid w:val="00EA000F"/>
    <w:rsid w:val="00EA04B8"/>
    <w:rsid w:val="00EA1A92"/>
    <w:rsid w:val="00EA1E95"/>
    <w:rsid w:val="00EA21B4"/>
    <w:rsid w:val="00EA329A"/>
    <w:rsid w:val="00EA61F3"/>
    <w:rsid w:val="00EA71CA"/>
    <w:rsid w:val="00EB0FA9"/>
    <w:rsid w:val="00EB130D"/>
    <w:rsid w:val="00EB1811"/>
    <w:rsid w:val="00EB2DE3"/>
    <w:rsid w:val="00EB36D6"/>
    <w:rsid w:val="00EB39C7"/>
    <w:rsid w:val="00EB4777"/>
    <w:rsid w:val="00EB5ACD"/>
    <w:rsid w:val="00EB6806"/>
    <w:rsid w:val="00EB6BD1"/>
    <w:rsid w:val="00EC05DB"/>
    <w:rsid w:val="00EC092A"/>
    <w:rsid w:val="00EC0A46"/>
    <w:rsid w:val="00EC1F91"/>
    <w:rsid w:val="00EC383D"/>
    <w:rsid w:val="00EC4D15"/>
    <w:rsid w:val="00EC4FF1"/>
    <w:rsid w:val="00EC52B3"/>
    <w:rsid w:val="00EC56C5"/>
    <w:rsid w:val="00ED1281"/>
    <w:rsid w:val="00ED1B25"/>
    <w:rsid w:val="00ED20BD"/>
    <w:rsid w:val="00ED255D"/>
    <w:rsid w:val="00ED2ABC"/>
    <w:rsid w:val="00ED3662"/>
    <w:rsid w:val="00ED64F6"/>
    <w:rsid w:val="00ED6C9F"/>
    <w:rsid w:val="00ED77EA"/>
    <w:rsid w:val="00ED7CAD"/>
    <w:rsid w:val="00EE4866"/>
    <w:rsid w:val="00EE4CED"/>
    <w:rsid w:val="00EE62F7"/>
    <w:rsid w:val="00EE65D8"/>
    <w:rsid w:val="00EE6BC2"/>
    <w:rsid w:val="00EE717D"/>
    <w:rsid w:val="00EF09CF"/>
    <w:rsid w:val="00EF1C7A"/>
    <w:rsid w:val="00EF22A8"/>
    <w:rsid w:val="00EF2FA5"/>
    <w:rsid w:val="00EF3035"/>
    <w:rsid w:val="00EF3982"/>
    <w:rsid w:val="00EF3FE1"/>
    <w:rsid w:val="00EF5269"/>
    <w:rsid w:val="00EF5299"/>
    <w:rsid w:val="00EF617D"/>
    <w:rsid w:val="00EF630E"/>
    <w:rsid w:val="00EF6690"/>
    <w:rsid w:val="00F005BE"/>
    <w:rsid w:val="00F010FE"/>
    <w:rsid w:val="00F04839"/>
    <w:rsid w:val="00F0486B"/>
    <w:rsid w:val="00F04A4D"/>
    <w:rsid w:val="00F05CE7"/>
    <w:rsid w:val="00F07911"/>
    <w:rsid w:val="00F07F6E"/>
    <w:rsid w:val="00F12582"/>
    <w:rsid w:val="00F1288B"/>
    <w:rsid w:val="00F13CB7"/>
    <w:rsid w:val="00F15749"/>
    <w:rsid w:val="00F16680"/>
    <w:rsid w:val="00F16CAA"/>
    <w:rsid w:val="00F16EEC"/>
    <w:rsid w:val="00F17419"/>
    <w:rsid w:val="00F175D1"/>
    <w:rsid w:val="00F175FD"/>
    <w:rsid w:val="00F17AB6"/>
    <w:rsid w:val="00F17F3F"/>
    <w:rsid w:val="00F2071E"/>
    <w:rsid w:val="00F20BE0"/>
    <w:rsid w:val="00F20EA5"/>
    <w:rsid w:val="00F20F6C"/>
    <w:rsid w:val="00F217C0"/>
    <w:rsid w:val="00F22A81"/>
    <w:rsid w:val="00F2352C"/>
    <w:rsid w:val="00F23ACA"/>
    <w:rsid w:val="00F23F15"/>
    <w:rsid w:val="00F23F58"/>
    <w:rsid w:val="00F242F6"/>
    <w:rsid w:val="00F24E23"/>
    <w:rsid w:val="00F26529"/>
    <w:rsid w:val="00F277A3"/>
    <w:rsid w:val="00F3537D"/>
    <w:rsid w:val="00F3599B"/>
    <w:rsid w:val="00F35BD4"/>
    <w:rsid w:val="00F3628B"/>
    <w:rsid w:val="00F3700D"/>
    <w:rsid w:val="00F37573"/>
    <w:rsid w:val="00F37847"/>
    <w:rsid w:val="00F4014C"/>
    <w:rsid w:val="00F410FC"/>
    <w:rsid w:val="00F4285B"/>
    <w:rsid w:val="00F42D75"/>
    <w:rsid w:val="00F433A0"/>
    <w:rsid w:val="00F44621"/>
    <w:rsid w:val="00F44992"/>
    <w:rsid w:val="00F45787"/>
    <w:rsid w:val="00F45B01"/>
    <w:rsid w:val="00F4705F"/>
    <w:rsid w:val="00F4724E"/>
    <w:rsid w:val="00F50969"/>
    <w:rsid w:val="00F50CC2"/>
    <w:rsid w:val="00F52A8E"/>
    <w:rsid w:val="00F52EF1"/>
    <w:rsid w:val="00F53749"/>
    <w:rsid w:val="00F53E96"/>
    <w:rsid w:val="00F53ED3"/>
    <w:rsid w:val="00F54780"/>
    <w:rsid w:val="00F54DD3"/>
    <w:rsid w:val="00F54E55"/>
    <w:rsid w:val="00F54E76"/>
    <w:rsid w:val="00F5688A"/>
    <w:rsid w:val="00F5699F"/>
    <w:rsid w:val="00F56E21"/>
    <w:rsid w:val="00F5713D"/>
    <w:rsid w:val="00F57768"/>
    <w:rsid w:val="00F57E08"/>
    <w:rsid w:val="00F57FAC"/>
    <w:rsid w:val="00F60116"/>
    <w:rsid w:val="00F60DE4"/>
    <w:rsid w:val="00F62DD4"/>
    <w:rsid w:val="00F62E64"/>
    <w:rsid w:val="00F64E18"/>
    <w:rsid w:val="00F64E90"/>
    <w:rsid w:val="00F652E6"/>
    <w:rsid w:val="00F658FE"/>
    <w:rsid w:val="00F65C3C"/>
    <w:rsid w:val="00F65E80"/>
    <w:rsid w:val="00F67775"/>
    <w:rsid w:val="00F67AFF"/>
    <w:rsid w:val="00F70ED3"/>
    <w:rsid w:val="00F71293"/>
    <w:rsid w:val="00F71469"/>
    <w:rsid w:val="00F719D2"/>
    <w:rsid w:val="00F72559"/>
    <w:rsid w:val="00F7369B"/>
    <w:rsid w:val="00F745D9"/>
    <w:rsid w:val="00F7574A"/>
    <w:rsid w:val="00F80642"/>
    <w:rsid w:val="00F813EF"/>
    <w:rsid w:val="00F81795"/>
    <w:rsid w:val="00F82219"/>
    <w:rsid w:val="00F8335D"/>
    <w:rsid w:val="00F83D0C"/>
    <w:rsid w:val="00F840BB"/>
    <w:rsid w:val="00F84424"/>
    <w:rsid w:val="00F84ED3"/>
    <w:rsid w:val="00F8609C"/>
    <w:rsid w:val="00F872D9"/>
    <w:rsid w:val="00F87BB9"/>
    <w:rsid w:val="00F90E41"/>
    <w:rsid w:val="00F913AB"/>
    <w:rsid w:val="00F91563"/>
    <w:rsid w:val="00F91C78"/>
    <w:rsid w:val="00F935DF"/>
    <w:rsid w:val="00F9384D"/>
    <w:rsid w:val="00F93C4D"/>
    <w:rsid w:val="00F93E18"/>
    <w:rsid w:val="00F94A3E"/>
    <w:rsid w:val="00F950AC"/>
    <w:rsid w:val="00F95DDD"/>
    <w:rsid w:val="00F9669D"/>
    <w:rsid w:val="00F966B8"/>
    <w:rsid w:val="00F96A2C"/>
    <w:rsid w:val="00F973C7"/>
    <w:rsid w:val="00F97804"/>
    <w:rsid w:val="00F978C0"/>
    <w:rsid w:val="00FA5788"/>
    <w:rsid w:val="00FA5FA7"/>
    <w:rsid w:val="00FB1732"/>
    <w:rsid w:val="00FB2316"/>
    <w:rsid w:val="00FB2F0B"/>
    <w:rsid w:val="00FB3445"/>
    <w:rsid w:val="00FB362D"/>
    <w:rsid w:val="00FB38BA"/>
    <w:rsid w:val="00FB3CED"/>
    <w:rsid w:val="00FB3D16"/>
    <w:rsid w:val="00FB4DFE"/>
    <w:rsid w:val="00FB4E0A"/>
    <w:rsid w:val="00FB520C"/>
    <w:rsid w:val="00FB792B"/>
    <w:rsid w:val="00FC0D12"/>
    <w:rsid w:val="00FC46A6"/>
    <w:rsid w:val="00FC4FB4"/>
    <w:rsid w:val="00FC6F52"/>
    <w:rsid w:val="00FC709E"/>
    <w:rsid w:val="00FC7967"/>
    <w:rsid w:val="00FD0BF8"/>
    <w:rsid w:val="00FD0EBC"/>
    <w:rsid w:val="00FD26C6"/>
    <w:rsid w:val="00FD3D0A"/>
    <w:rsid w:val="00FD44CB"/>
    <w:rsid w:val="00FD4577"/>
    <w:rsid w:val="00FD5781"/>
    <w:rsid w:val="00FD6CF3"/>
    <w:rsid w:val="00FE055D"/>
    <w:rsid w:val="00FE1B4E"/>
    <w:rsid w:val="00FE279B"/>
    <w:rsid w:val="00FE29FE"/>
    <w:rsid w:val="00FE3594"/>
    <w:rsid w:val="00FE4BB8"/>
    <w:rsid w:val="00FE5C84"/>
    <w:rsid w:val="00FE6F60"/>
    <w:rsid w:val="00FF1E07"/>
    <w:rsid w:val="00FF217A"/>
    <w:rsid w:val="00FF2592"/>
    <w:rsid w:val="00FF2F41"/>
    <w:rsid w:val="00FF3636"/>
    <w:rsid w:val="00FF5CBD"/>
    <w:rsid w:val="00FF5F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0582C138-B73A-4F92-943A-B525A2C4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5D72"/>
  </w:style>
  <w:style w:type="paragraph" w:styleId="Kop1">
    <w:name w:val="heading 1"/>
    <w:basedOn w:val="Standaard"/>
    <w:next w:val="Standaard"/>
    <w:link w:val="Kop1Char"/>
    <w:uiPriority w:val="9"/>
    <w:qFormat/>
    <w:rsid w:val="002F60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51E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2F6002"/>
    <w:pPr>
      <w:spacing w:before="100" w:beforeAutospacing="1" w:after="100" w:afterAutospacing="1" w:line="240" w:lineRule="auto"/>
      <w:outlineLvl w:val="2"/>
    </w:pPr>
    <w:rPr>
      <w:rFonts w:eastAsia="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6002"/>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2F6002"/>
    <w:rPr>
      <w:rFonts w:eastAsia="Times New Roman"/>
      <w:b/>
      <w:bCs/>
      <w:sz w:val="27"/>
      <w:szCs w:val="27"/>
      <w:lang w:eastAsia="nl-BE"/>
    </w:rPr>
  </w:style>
  <w:style w:type="paragraph" w:styleId="Koptekst">
    <w:name w:val="header"/>
    <w:basedOn w:val="Standaard"/>
    <w:link w:val="KoptekstChar"/>
    <w:uiPriority w:val="99"/>
    <w:semiHidden/>
    <w:unhideWhenUsed/>
    <w:rsid w:val="002F60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F6002"/>
  </w:style>
  <w:style w:type="paragraph" w:styleId="Voettekst">
    <w:name w:val="footer"/>
    <w:basedOn w:val="Standaard"/>
    <w:link w:val="VoettekstChar"/>
    <w:uiPriority w:val="99"/>
    <w:unhideWhenUsed/>
    <w:rsid w:val="002F60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6002"/>
  </w:style>
  <w:style w:type="paragraph" w:styleId="Lijstalinea">
    <w:name w:val="List Paragraph"/>
    <w:basedOn w:val="Standaard"/>
    <w:uiPriority w:val="34"/>
    <w:qFormat/>
    <w:rsid w:val="002F6002"/>
    <w:pPr>
      <w:ind w:left="720"/>
      <w:contextualSpacing/>
    </w:pPr>
  </w:style>
  <w:style w:type="paragraph" w:styleId="Voetnoottekst">
    <w:name w:val="footnote text"/>
    <w:basedOn w:val="Standaard"/>
    <w:link w:val="VoetnoottekstChar"/>
    <w:uiPriority w:val="99"/>
    <w:unhideWhenUsed/>
    <w:rsid w:val="002F6002"/>
    <w:pPr>
      <w:spacing w:after="0" w:line="240" w:lineRule="auto"/>
    </w:pPr>
    <w:rPr>
      <w:sz w:val="20"/>
      <w:szCs w:val="20"/>
    </w:rPr>
  </w:style>
  <w:style w:type="character" w:customStyle="1" w:styleId="VoetnoottekstChar">
    <w:name w:val="Voetnoottekst Char"/>
    <w:basedOn w:val="Standaardalinea-lettertype"/>
    <w:link w:val="Voetnoottekst"/>
    <w:uiPriority w:val="99"/>
    <w:rsid w:val="002F6002"/>
    <w:rPr>
      <w:sz w:val="20"/>
      <w:szCs w:val="20"/>
    </w:rPr>
  </w:style>
  <w:style w:type="character" w:styleId="Voetnootmarkering">
    <w:name w:val="footnote reference"/>
    <w:basedOn w:val="Standaardalinea-lettertype"/>
    <w:uiPriority w:val="99"/>
    <w:semiHidden/>
    <w:unhideWhenUsed/>
    <w:rsid w:val="002F6002"/>
    <w:rPr>
      <w:vertAlign w:val="superscript"/>
    </w:rPr>
  </w:style>
  <w:style w:type="character" w:styleId="Hyperlink">
    <w:name w:val="Hyperlink"/>
    <w:basedOn w:val="Standaardalinea-lettertype"/>
    <w:uiPriority w:val="99"/>
    <w:unhideWhenUsed/>
    <w:rsid w:val="002F6002"/>
    <w:rPr>
      <w:color w:val="0000FF" w:themeColor="hyperlink"/>
      <w:u w:val="single"/>
    </w:rPr>
  </w:style>
  <w:style w:type="paragraph" w:styleId="Ballontekst">
    <w:name w:val="Balloon Text"/>
    <w:basedOn w:val="Standaard"/>
    <w:link w:val="BallontekstChar"/>
    <w:uiPriority w:val="99"/>
    <w:semiHidden/>
    <w:unhideWhenUsed/>
    <w:rsid w:val="002F60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6002"/>
    <w:rPr>
      <w:rFonts w:ascii="Tahoma" w:hAnsi="Tahoma" w:cs="Tahoma"/>
      <w:sz w:val="16"/>
      <w:szCs w:val="16"/>
    </w:rPr>
  </w:style>
  <w:style w:type="paragraph" w:styleId="Normaalweb">
    <w:name w:val="Normal (Web)"/>
    <w:basedOn w:val="Standaard"/>
    <w:uiPriority w:val="99"/>
    <w:semiHidden/>
    <w:unhideWhenUsed/>
    <w:rsid w:val="002F6002"/>
  </w:style>
  <w:style w:type="paragraph" w:styleId="Geenafstand">
    <w:name w:val="No Spacing"/>
    <w:uiPriority w:val="1"/>
    <w:qFormat/>
    <w:rsid w:val="002F6002"/>
    <w:pPr>
      <w:spacing w:after="0" w:line="240" w:lineRule="auto"/>
    </w:pPr>
  </w:style>
  <w:style w:type="paragraph" w:customStyle="1" w:styleId="c02alineaalta">
    <w:name w:val="c02alineaalta"/>
    <w:basedOn w:val="Standaard"/>
    <w:rsid w:val="00777DC6"/>
    <w:pPr>
      <w:spacing w:before="100" w:beforeAutospacing="1" w:after="100" w:afterAutospacing="1" w:line="240" w:lineRule="auto"/>
    </w:pPr>
    <w:rPr>
      <w:rFonts w:eastAsia="Times New Roman"/>
      <w:lang w:eastAsia="nl-BE"/>
    </w:rPr>
  </w:style>
  <w:style w:type="paragraph" w:customStyle="1" w:styleId="c19centre">
    <w:name w:val="c19centre"/>
    <w:basedOn w:val="Standaard"/>
    <w:rsid w:val="00777DC6"/>
    <w:pPr>
      <w:spacing w:before="100" w:beforeAutospacing="1" w:after="100" w:afterAutospacing="1" w:line="240" w:lineRule="auto"/>
    </w:pPr>
    <w:rPr>
      <w:rFonts w:eastAsia="Times New Roman"/>
      <w:lang w:eastAsia="nl-BE"/>
    </w:rPr>
  </w:style>
  <w:style w:type="character" w:customStyle="1" w:styleId="apple-converted-space">
    <w:name w:val="apple-converted-space"/>
    <w:basedOn w:val="Standaardalinea-lettertype"/>
    <w:rsid w:val="00777DC6"/>
  </w:style>
  <w:style w:type="paragraph" w:styleId="Lijstnummering4">
    <w:name w:val="List Number 4"/>
    <w:basedOn w:val="Standaard"/>
    <w:semiHidden/>
    <w:rsid w:val="00777DC6"/>
    <w:pPr>
      <w:numPr>
        <w:numId w:val="35"/>
      </w:numPr>
      <w:suppressAutoHyphens/>
      <w:spacing w:after="0" w:line="240" w:lineRule="atLeast"/>
    </w:pPr>
    <w:rPr>
      <w:rFonts w:eastAsia="Times New Roman"/>
      <w:sz w:val="20"/>
      <w:szCs w:val="20"/>
      <w:lang w:val="en-GB"/>
    </w:rPr>
  </w:style>
  <w:style w:type="paragraph" w:styleId="Plattetekst2">
    <w:name w:val="Body Text 2"/>
    <w:basedOn w:val="Standaard"/>
    <w:link w:val="Plattetekst2Char"/>
    <w:uiPriority w:val="99"/>
    <w:semiHidden/>
    <w:unhideWhenUsed/>
    <w:rsid w:val="00777DC6"/>
    <w:pPr>
      <w:spacing w:after="120" w:line="480" w:lineRule="auto"/>
    </w:pPr>
  </w:style>
  <w:style w:type="character" w:customStyle="1" w:styleId="Plattetekst2Char">
    <w:name w:val="Platte tekst 2 Char"/>
    <w:basedOn w:val="Standaardalinea-lettertype"/>
    <w:link w:val="Plattetekst2"/>
    <w:uiPriority w:val="99"/>
    <w:semiHidden/>
    <w:rsid w:val="00777DC6"/>
  </w:style>
  <w:style w:type="paragraph" w:styleId="Kopvaninhoudsopgave">
    <w:name w:val="TOC Heading"/>
    <w:basedOn w:val="Kop1"/>
    <w:next w:val="Standaard"/>
    <w:uiPriority w:val="39"/>
    <w:unhideWhenUsed/>
    <w:qFormat/>
    <w:rsid w:val="00551E68"/>
    <w:pPr>
      <w:spacing w:before="240" w:line="259" w:lineRule="auto"/>
      <w:outlineLvl w:val="9"/>
    </w:pPr>
    <w:rPr>
      <w:b w:val="0"/>
      <w:bCs w:val="0"/>
      <w:sz w:val="32"/>
      <w:szCs w:val="32"/>
      <w:lang w:eastAsia="nl-BE"/>
    </w:rPr>
  </w:style>
  <w:style w:type="paragraph" w:styleId="Inhopg2">
    <w:name w:val="toc 2"/>
    <w:basedOn w:val="Standaard"/>
    <w:next w:val="Standaard"/>
    <w:autoRedefine/>
    <w:uiPriority w:val="39"/>
    <w:unhideWhenUsed/>
    <w:rsid w:val="00551E68"/>
    <w:pPr>
      <w:spacing w:after="100" w:line="259" w:lineRule="auto"/>
      <w:ind w:left="220"/>
    </w:pPr>
    <w:rPr>
      <w:rFonts w:asciiTheme="minorHAnsi" w:eastAsiaTheme="minorEastAsia" w:hAnsiTheme="minorHAnsi"/>
      <w:sz w:val="22"/>
      <w:szCs w:val="22"/>
      <w:lang w:eastAsia="nl-BE"/>
    </w:rPr>
  </w:style>
  <w:style w:type="paragraph" w:styleId="Inhopg1">
    <w:name w:val="toc 1"/>
    <w:basedOn w:val="Standaard"/>
    <w:next w:val="Standaard"/>
    <w:autoRedefine/>
    <w:uiPriority w:val="39"/>
    <w:unhideWhenUsed/>
    <w:rsid w:val="00551E68"/>
    <w:pPr>
      <w:spacing w:after="100" w:line="259" w:lineRule="auto"/>
    </w:pPr>
    <w:rPr>
      <w:rFonts w:asciiTheme="minorHAnsi" w:eastAsiaTheme="minorEastAsia" w:hAnsiTheme="minorHAnsi"/>
      <w:sz w:val="22"/>
      <w:szCs w:val="22"/>
      <w:lang w:eastAsia="nl-BE"/>
    </w:rPr>
  </w:style>
  <w:style w:type="paragraph" w:styleId="Inhopg3">
    <w:name w:val="toc 3"/>
    <w:basedOn w:val="Standaard"/>
    <w:next w:val="Standaard"/>
    <w:autoRedefine/>
    <w:uiPriority w:val="39"/>
    <w:unhideWhenUsed/>
    <w:rsid w:val="00551E68"/>
    <w:pPr>
      <w:spacing w:after="100" w:line="259" w:lineRule="auto"/>
      <w:ind w:left="440"/>
    </w:pPr>
    <w:rPr>
      <w:rFonts w:asciiTheme="minorHAnsi" w:eastAsiaTheme="minorEastAsia" w:hAnsiTheme="minorHAnsi"/>
      <w:sz w:val="22"/>
      <w:szCs w:val="22"/>
      <w:lang w:eastAsia="nl-BE"/>
    </w:rPr>
  </w:style>
  <w:style w:type="character" w:customStyle="1" w:styleId="Kop2Char">
    <w:name w:val="Kop 2 Char"/>
    <w:basedOn w:val="Standaardalinea-lettertype"/>
    <w:link w:val="Kop2"/>
    <w:uiPriority w:val="9"/>
    <w:rsid w:val="00551E6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264741">
      <w:bodyDiv w:val="1"/>
      <w:marLeft w:val="0"/>
      <w:marRight w:val="0"/>
      <w:marTop w:val="0"/>
      <w:marBottom w:val="0"/>
      <w:divBdr>
        <w:top w:val="none" w:sz="0" w:space="0" w:color="auto"/>
        <w:left w:val="none" w:sz="0" w:space="0" w:color="auto"/>
        <w:bottom w:val="none" w:sz="0" w:space="0" w:color="auto"/>
        <w:right w:val="none" w:sz="0" w:space="0" w:color="auto"/>
      </w:divBdr>
    </w:div>
    <w:div w:id="1410493641">
      <w:bodyDiv w:val="1"/>
      <w:marLeft w:val="0"/>
      <w:marRight w:val="0"/>
      <w:marTop w:val="0"/>
      <w:marBottom w:val="0"/>
      <w:divBdr>
        <w:top w:val="none" w:sz="0" w:space="0" w:color="auto"/>
        <w:left w:val="none" w:sz="0" w:space="0" w:color="auto"/>
        <w:bottom w:val="none" w:sz="0" w:space="0" w:color="auto"/>
        <w:right w:val="none" w:sz="0" w:space="0" w:color="auto"/>
      </w:divBdr>
    </w:div>
    <w:div w:id="1695960943">
      <w:bodyDiv w:val="1"/>
      <w:marLeft w:val="0"/>
      <w:marRight w:val="0"/>
      <w:marTop w:val="0"/>
      <w:marBottom w:val="0"/>
      <w:divBdr>
        <w:top w:val="none" w:sz="0" w:space="0" w:color="auto"/>
        <w:left w:val="none" w:sz="0" w:space="0" w:color="auto"/>
        <w:bottom w:val="none" w:sz="0" w:space="0" w:color="auto"/>
        <w:right w:val="none" w:sz="0" w:space="0" w:color="auto"/>
      </w:divBdr>
    </w:div>
    <w:div w:id="180862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lo.org/global/lang--en/index.htm" TargetMode="External"/><Relationship Id="rId18" Type="http://schemas.openxmlformats.org/officeDocument/2006/relationships/hyperlink" Target="http://www.theguardian.com/uk" TargetMode="External"/><Relationship Id="rId3" Type="http://schemas.openxmlformats.org/officeDocument/2006/relationships/styles" Target="styles.xml"/><Relationship Id="rId21" Type="http://schemas.openxmlformats.org/officeDocument/2006/relationships/hyperlink" Target="http://www.washingtontimes.com/news/2006/aug/11/20060811-123451-2280r/" TargetMode="External"/><Relationship Id="rId7" Type="http://schemas.openxmlformats.org/officeDocument/2006/relationships/endnotes" Target="endnotes.xml"/><Relationship Id="rId12" Type="http://schemas.openxmlformats.org/officeDocument/2006/relationships/hyperlink" Target="http://www.amnesty.eu/en/home/" TargetMode="External"/><Relationship Id="rId17" Type="http://schemas.openxmlformats.org/officeDocument/2006/relationships/hyperlink" Target="http://www.oecd.org/" TargetMode="External"/><Relationship Id="rId2" Type="http://schemas.openxmlformats.org/officeDocument/2006/relationships/numbering" Target="numbering.xml"/><Relationship Id="rId16" Type="http://schemas.openxmlformats.org/officeDocument/2006/relationships/hyperlink" Target="http://fra.europa.eu/en" TargetMode="External"/><Relationship Id="rId20" Type="http://schemas.openxmlformats.org/officeDocument/2006/relationships/hyperlink" Target="http://www.oecd.org/social/soc/4192734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eures/home.jsp" TargetMode="External"/><Relationship Id="rId23"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yperlink" Target="http://online.wsj.com/article/SB10000872396390444226904577561100020336384.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uropa.eu/index_en.ht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es/" TargetMode="External"/><Relationship Id="rId3" Type="http://schemas.openxmlformats.org/officeDocument/2006/relationships/hyperlink" Target="http://www.amnesty.eu/en/press-releases/all/amnesty-criticizes-eu-double-standards-on-human-rights-european-parliament-public-hearing-0114/" TargetMode="External"/><Relationship Id="rId7" Type="http://schemas.openxmlformats.org/officeDocument/2006/relationships/hyperlink" Target="http://www.ilo.org/dyn/normlex/en/f?p=1000:11300:0::NO::P11300_INSTRUMENT_ID:312328" TargetMode="External"/><Relationship Id="rId12" Type="http://schemas.openxmlformats.org/officeDocument/2006/relationships/hyperlink" Target="http://europa.eu/rapid/press-release_MEMO-13-490_en.htm" TargetMode="External"/><Relationship Id="rId2" Type="http://schemas.openxmlformats.org/officeDocument/2006/relationships/hyperlink" Target="http://fra.europa.eu/en/about-fra/what-we-do" TargetMode="External"/><Relationship Id="rId1" Type="http://schemas.openxmlformats.org/officeDocument/2006/relationships/hyperlink" Target="http://www.theguardian.com/global-development/interactive/2011/jul/06/un-women-vote-timeline-interactive" TargetMode="External"/><Relationship Id="rId6" Type="http://schemas.openxmlformats.org/officeDocument/2006/relationships/hyperlink" Target="http://www.washingtontimes.com/news/2006/aug/11/20060811-123451-2280r/" TargetMode="External"/><Relationship Id="rId11" Type="http://schemas.openxmlformats.org/officeDocument/2006/relationships/hyperlink" Target="http://europa.eu/rapid/press-release_MEMO-08-592_en.htm" TargetMode="External"/><Relationship Id="rId5" Type="http://schemas.openxmlformats.org/officeDocument/2006/relationships/hyperlink" Target="http://www.ilo.org/global/standards/introduction-to-international-labour-standards/conventions-and-recommendations/lang--en/index.htm" TargetMode="External"/><Relationship Id="rId10" Type="http://schemas.openxmlformats.org/officeDocument/2006/relationships/hyperlink" Target="http://www.oecd.org/social/soc/41927348.pdf" TargetMode="External"/><Relationship Id="rId4" Type="http://schemas.openxmlformats.org/officeDocument/2006/relationships/hyperlink" Target="http://www.ilo.org/global/standards/introduction-to-international-labour-standards/conventions-and-recommendations/lang--en/index.htm" TargetMode="External"/><Relationship Id="rId9" Type="http://schemas.openxmlformats.org/officeDocument/2006/relationships/hyperlink" Target="http://online.wsj.com/article/SB10000872396390444226904577561100020336384.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34"/>
    <w:rsid w:val="006242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1C7CB8806F7468E8F51CB1D80062729">
    <w:name w:val="31C7CB8806F7468E8F51CB1D80062729"/>
    <w:rsid w:val="00624234"/>
  </w:style>
  <w:style w:type="paragraph" w:customStyle="1" w:styleId="25F562B48E91442488F209E3C887DFA2">
    <w:name w:val="25F562B48E91442488F209E3C887DFA2"/>
    <w:rsid w:val="00624234"/>
  </w:style>
  <w:style w:type="paragraph" w:customStyle="1" w:styleId="D5D70D1DFB8542E9BC5EBDEA84C898FC">
    <w:name w:val="D5D70D1DFB8542E9BC5EBDEA84C898FC"/>
    <w:rsid w:val="00624234"/>
  </w:style>
  <w:style w:type="paragraph" w:customStyle="1" w:styleId="CAE80DF7BD3E4196BA6080B07F425EC8">
    <w:name w:val="CAE80DF7BD3E4196BA6080B07F425EC8"/>
    <w:rsid w:val="00624234"/>
  </w:style>
  <w:style w:type="paragraph" w:customStyle="1" w:styleId="25C90352D73A4197BB8CA7EE7BB4839F">
    <w:name w:val="25C90352D73A4197BB8CA7EE7BB4839F"/>
    <w:rsid w:val="00624234"/>
  </w:style>
  <w:style w:type="paragraph" w:customStyle="1" w:styleId="C1E956660DEE4271B3D2C1BD2F7DAC84">
    <w:name w:val="C1E956660DEE4271B3D2C1BD2F7DAC84"/>
    <w:rsid w:val="00624234"/>
  </w:style>
  <w:style w:type="paragraph" w:customStyle="1" w:styleId="BD0C8BC381BE4236B303291036BEAB7F">
    <w:name w:val="BD0C8BC381BE4236B303291036BEAB7F"/>
    <w:rsid w:val="00624234"/>
  </w:style>
  <w:style w:type="paragraph" w:customStyle="1" w:styleId="A587FEF1449A4A91AB0690E3F5EEF79F">
    <w:name w:val="A587FEF1449A4A91AB0690E3F5EEF79F"/>
    <w:rsid w:val="00624234"/>
  </w:style>
  <w:style w:type="paragraph" w:customStyle="1" w:styleId="22E76CEE1A3F4E6B9DBE870B93AC2141">
    <w:name w:val="22E76CEE1A3F4E6B9DBE870B93AC2141"/>
    <w:rsid w:val="00624234"/>
  </w:style>
  <w:style w:type="paragraph" w:customStyle="1" w:styleId="89475CCC275C43A5B96F2599164E7C04">
    <w:name w:val="89475CCC275C43A5B96F2599164E7C04"/>
    <w:rsid w:val="00624234"/>
  </w:style>
  <w:style w:type="paragraph" w:customStyle="1" w:styleId="5008821EDBC144BA82BD22A8D6A8FD78">
    <w:name w:val="5008821EDBC144BA82BD22A8D6A8FD78"/>
    <w:rsid w:val="00624234"/>
  </w:style>
  <w:style w:type="paragraph" w:customStyle="1" w:styleId="498EAA14B9ED47B88612DB54CDF15DC5">
    <w:name w:val="498EAA14B9ED47B88612DB54CDF15DC5"/>
    <w:rsid w:val="00624234"/>
  </w:style>
  <w:style w:type="paragraph" w:customStyle="1" w:styleId="FC9D39F89DFD4386BE6A3A860DEB3BE1">
    <w:name w:val="FC9D39F89DFD4386BE6A3A860DEB3BE1"/>
    <w:rsid w:val="00624234"/>
  </w:style>
  <w:style w:type="paragraph" w:customStyle="1" w:styleId="37919EAE7B3A49E9BFF53C01C829ED38">
    <w:name w:val="37919EAE7B3A49E9BFF53C01C829ED38"/>
    <w:rsid w:val="00624234"/>
  </w:style>
  <w:style w:type="paragraph" w:customStyle="1" w:styleId="711512901AA440348F5F84A773E57841">
    <w:name w:val="711512901AA440348F5F84A773E57841"/>
    <w:rsid w:val="00624234"/>
  </w:style>
  <w:style w:type="paragraph" w:customStyle="1" w:styleId="86EE29AE725E4E98BE72892AD3BEA229">
    <w:name w:val="86EE29AE725E4E98BE72892AD3BEA229"/>
    <w:rsid w:val="00624234"/>
  </w:style>
  <w:style w:type="paragraph" w:customStyle="1" w:styleId="BF6C9E9BB5934ACEB2FA057474A36E58">
    <w:name w:val="BF6C9E9BB5934ACEB2FA057474A36E58"/>
    <w:rsid w:val="00624234"/>
  </w:style>
  <w:style w:type="paragraph" w:customStyle="1" w:styleId="5257F8619FD643E2941E4EF274B861CF">
    <w:name w:val="5257F8619FD643E2941E4EF274B861CF"/>
    <w:rsid w:val="00624234"/>
  </w:style>
  <w:style w:type="paragraph" w:customStyle="1" w:styleId="A41E149FF45F49A58EFCEE3FA8712453">
    <w:name w:val="A41E149FF45F49A58EFCEE3FA8712453"/>
    <w:rsid w:val="00624234"/>
  </w:style>
  <w:style w:type="paragraph" w:customStyle="1" w:styleId="94A26C8B155A41B987D54303CEA86E1E">
    <w:name w:val="94A26C8B155A41B987D54303CEA86E1E"/>
    <w:rsid w:val="00624234"/>
  </w:style>
  <w:style w:type="paragraph" w:customStyle="1" w:styleId="9A38DF47720640A68C5EC528D0A31B5E">
    <w:name w:val="9A38DF47720640A68C5EC528D0A31B5E"/>
    <w:rsid w:val="00624234"/>
  </w:style>
  <w:style w:type="paragraph" w:customStyle="1" w:styleId="48090C27E1E648BFB0D38957D68881AD">
    <w:name w:val="48090C27E1E648BFB0D38957D68881AD"/>
    <w:rsid w:val="00624234"/>
  </w:style>
  <w:style w:type="paragraph" w:customStyle="1" w:styleId="FA7CBD2A9CB44881A228D407C98F4FD2">
    <w:name w:val="FA7CBD2A9CB44881A228D407C98F4FD2"/>
    <w:rsid w:val="006242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3D84A-3DA5-444B-86BB-C6DB6F3F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139</Pages>
  <Words>34225</Words>
  <Characters>188239</Characters>
  <Application>Microsoft Office Word</Application>
  <DocSecurity>0</DocSecurity>
  <Lines>1568</Lines>
  <Paragraphs>444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PVDB</dc:creator>
  <cp:lastModifiedBy>Philippine</cp:lastModifiedBy>
  <cp:revision>86</cp:revision>
  <cp:lastPrinted>2013-08-19T19:42:00Z</cp:lastPrinted>
  <dcterms:created xsi:type="dcterms:W3CDTF">2013-08-20T07:26:00Z</dcterms:created>
  <dcterms:modified xsi:type="dcterms:W3CDTF">2013-10-06T01:20:00Z</dcterms:modified>
</cp:coreProperties>
</file>