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9AA13" w14:textId="0E24343F" w:rsidR="00B81C10" w:rsidRPr="002A0C60" w:rsidRDefault="00BC74C7" w:rsidP="005E187E">
      <w:pPr>
        <w:spacing w:line="360" w:lineRule="auto"/>
        <w:jc w:val="center"/>
      </w:pPr>
      <w:r w:rsidRPr="002A0C60">
        <w:rPr>
          <w:noProof/>
        </w:rPr>
        <w:drawing>
          <wp:inline distT="0" distB="0" distL="0" distR="0" wp14:anchorId="7F361473" wp14:editId="6EFAD7BA">
            <wp:extent cx="1031031" cy="1727673"/>
            <wp:effectExtent l="0" t="0" r="10795" b="0"/>
            <wp:docPr id="1" name="Afbeelding 1" descr="Sed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es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706" cy="1757291"/>
                    </a:xfrm>
                    <a:prstGeom prst="rect">
                      <a:avLst/>
                    </a:prstGeom>
                    <a:noFill/>
                    <a:ln>
                      <a:noFill/>
                    </a:ln>
                  </pic:spPr>
                </pic:pic>
              </a:graphicData>
            </a:graphic>
          </wp:inline>
        </w:drawing>
      </w:r>
    </w:p>
    <w:p w14:paraId="3D5E89CC" w14:textId="77777777" w:rsidR="00B81C10" w:rsidRPr="002A0C60" w:rsidRDefault="00B81C10" w:rsidP="005E187E">
      <w:pPr>
        <w:spacing w:before="480" w:line="360" w:lineRule="auto"/>
        <w:jc w:val="center"/>
        <w:rPr>
          <w:sz w:val="28"/>
          <w:szCs w:val="28"/>
        </w:rPr>
      </w:pPr>
      <w:r w:rsidRPr="002A0C60">
        <w:rPr>
          <w:sz w:val="28"/>
          <w:szCs w:val="28"/>
        </w:rPr>
        <w:t>KATHOLIEKE UNIVERSITEIT LEUVEN</w:t>
      </w:r>
    </w:p>
    <w:p w14:paraId="6ED92A5A" w14:textId="77777777" w:rsidR="00B81C10" w:rsidRPr="002A0C60" w:rsidRDefault="00B81C10" w:rsidP="005E187E">
      <w:pPr>
        <w:spacing w:line="360" w:lineRule="auto"/>
        <w:jc w:val="center"/>
      </w:pPr>
      <w:r w:rsidRPr="002A0C60">
        <w:t>Faculteit Rechtsgeleerdheid</w:t>
      </w:r>
    </w:p>
    <w:p w14:paraId="13C215D3" w14:textId="17CC0C62" w:rsidR="003241FF" w:rsidRPr="002A0C60" w:rsidRDefault="003241FF" w:rsidP="005E187E">
      <w:pPr>
        <w:spacing w:line="360" w:lineRule="auto"/>
        <w:jc w:val="center"/>
      </w:pPr>
      <w:r w:rsidRPr="002A0C60">
        <w:t>Academiejaar 2015-2016</w:t>
      </w:r>
    </w:p>
    <w:p w14:paraId="1C3AB755" w14:textId="205633CD" w:rsidR="00EA6B9D" w:rsidRPr="002A0C60" w:rsidRDefault="00623AC8" w:rsidP="005E187E">
      <w:pPr>
        <w:spacing w:before="1920" w:line="360" w:lineRule="auto"/>
        <w:jc w:val="center"/>
        <w:rPr>
          <w:b/>
          <w:bCs/>
          <w:sz w:val="36"/>
        </w:rPr>
      </w:pPr>
      <w:r w:rsidRPr="002A0C60">
        <w:rPr>
          <w:b/>
          <w:bCs/>
          <w:sz w:val="36"/>
        </w:rPr>
        <w:t>Artikel 2279 Burgerlijk Wetboek en de nieuwe Pandwet</w:t>
      </w:r>
      <w:r w:rsidR="00EA6B9D" w:rsidRPr="002A0C60">
        <w:rPr>
          <w:b/>
          <w:bCs/>
          <w:sz w:val="36"/>
        </w:rPr>
        <w:br/>
      </w:r>
    </w:p>
    <w:p w14:paraId="1FC542EC" w14:textId="77777777" w:rsidR="00EA6B9D" w:rsidRPr="002A0C60" w:rsidRDefault="00EA6B9D" w:rsidP="005E187E">
      <w:pPr>
        <w:spacing w:before="120" w:line="360" w:lineRule="auto"/>
        <w:rPr>
          <w:bCs/>
          <w:smallCaps/>
          <w:sz w:val="28"/>
        </w:rPr>
      </w:pPr>
    </w:p>
    <w:p w14:paraId="11C857F4" w14:textId="2F092D72" w:rsidR="002B4A74" w:rsidRPr="002A0C60" w:rsidRDefault="002B4A74" w:rsidP="005E187E">
      <w:pPr>
        <w:spacing w:line="360" w:lineRule="auto"/>
      </w:pPr>
    </w:p>
    <w:p w14:paraId="0E2127BD" w14:textId="77777777" w:rsidR="00623AC8" w:rsidRPr="002A0C60" w:rsidRDefault="00623AC8" w:rsidP="005E187E">
      <w:pPr>
        <w:spacing w:line="360" w:lineRule="auto"/>
      </w:pPr>
    </w:p>
    <w:p w14:paraId="18CB67C1" w14:textId="77777777" w:rsidR="00623AC8" w:rsidRPr="002A0C60" w:rsidRDefault="00623AC8" w:rsidP="005E187E">
      <w:pPr>
        <w:spacing w:line="360" w:lineRule="auto"/>
      </w:pPr>
    </w:p>
    <w:p w14:paraId="3A6DC05D" w14:textId="77777777" w:rsidR="00623AC8" w:rsidRPr="002A0C60" w:rsidRDefault="00623AC8" w:rsidP="005E187E">
      <w:pPr>
        <w:spacing w:line="360" w:lineRule="auto"/>
      </w:pPr>
    </w:p>
    <w:p w14:paraId="118554A0" w14:textId="77777777" w:rsidR="00623AC8" w:rsidRPr="002A0C60" w:rsidRDefault="00623AC8" w:rsidP="005E187E">
      <w:pPr>
        <w:spacing w:line="360" w:lineRule="auto"/>
      </w:pPr>
    </w:p>
    <w:p w14:paraId="430C27C9" w14:textId="512F8E16" w:rsidR="00623AC8" w:rsidRPr="002A0C60" w:rsidRDefault="00623AC8" w:rsidP="005E187E">
      <w:pPr>
        <w:spacing w:line="360" w:lineRule="auto"/>
      </w:pPr>
      <w:r w:rsidRPr="002A0C60">
        <w:t>Promotor: Professor V. Sagaert</w:t>
      </w:r>
    </w:p>
    <w:p w14:paraId="21B4AC0E" w14:textId="565D9321" w:rsidR="00623AC8" w:rsidRPr="002A0C60" w:rsidRDefault="00623AC8" w:rsidP="005E187E">
      <w:pPr>
        <w:spacing w:line="360" w:lineRule="auto"/>
      </w:pPr>
      <w:r w:rsidRPr="002A0C60">
        <w:t>Begeleider: Mevrouw A. Apers</w:t>
      </w:r>
    </w:p>
    <w:p w14:paraId="52FC8CD3" w14:textId="77777777" w:rsidR="00623AC8" w:rsidRPr="002A0C60" w:rsidRDefault="00623AC8" w:rsidP="00623AC8">
      <w:pPr>
        <w:spacing w:line="360" w:lineRule="auto"/>
        <w:jc w:val="right"/>
      </w:pPr>
      <w:r w:rsidRPr="002A0C60">
        <w:t>Masterscriptie, ingediend door</w:t>
      </w:r>
    </w:p>
    <w:p w14:paraId="3DB34A3A" w14:textId="7F025D8A" w:rsidR="00623AC8" w:rsidRPr="002A0C60" w:rsidRDefault="00623AC8" w:rsidP="00623AC8">
      <w:pPr>
        <w:spacing w:line="360" w:lineRule="auto"/>
        <w:jc w:val="right"/>
      </w:pPr>
      <w:r w:rsidRPr="002A0C60">
        <w:t>Julie DE MEESTER</w:t>
      </w:r>
    </w:p>
    <w:p w14:paraId="5EE2470E" w14:textId="77777777" w:rsidR="00623AC8" w:rsidRPr="002A0C60" w:rsidRDefault="00623AC8" w:rsidP="00623AC8">
      <w:pPr>
        <w:spacing w:line="360" w:lineRule="auto"/>
        <w:jc w:val="right"/>
      </w:pPr>
      <w:proofErr w:type="gramStart"/>
      <w:r w:rsidRPr="002A0C60">
        <w:t>bij</w:t>
      </w:r>
      <w:proofErr w:type="gramEnd"/>
      <w:r w:rsidRPr="002A0C60">
        <w:t xml:space="preserve"> het eindexamen voor de graad van </w:t>
      </w:r>
    </w:p>
    <w:p w14:paraId="2B39481D" w14:textId="29CCDDC5" w:rsidR="00623AC8" w:rsidRPr="002A0C60" w:rsidRDefault="00623AC8" w:rsidP="00623AC8">
      <w:pPr>
        <w:spacing w:line="360" w:lineRule="auto"/>
        <w:jc w:val="right"/>
      </w:pPr>
      <w:r w:rsidRPr="002A0C60">
        <w:t>MASTER IN DE RECHTEN</w:t>
      </w:r>
    </w:p>
    <w:p w14:paraId="3BF365E3" w14:textId="77777777" w:rsidR="00D17FA5" w:rsidRPr="002A0C60" w:rsidRDefault="00D17FA5" w:rsidP="00D17FA5">
      <w:pPr>
        <w:spacing w:line="360" w:lineRule="auto"/>
        <w:jc w:val="center"/>
      </w:pPr>
      <w:r w:rsidRPr="002A0C60">
        <w:rPr>
          <w:noProof/>
        </w:rPr>
        <w:lastRenderedPageBreak/>
        <w:drawing>
          <wp:inline distT="0" distB="0" distL="0" distR="0" wp14:anchorId="60B392B7" wp14:editId="641072B6">
            <wp:extent cx="1031031" cy="1727673"/>
            <wp:effectExtent l="0" t="0" r="10795" b="0"/>
            <wp:docPr id="2" name="Afbeelding 2" descr="Sed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es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706" cy="1757291"/>
                    </a:xfrm>
                    <a:prstGeom prst="rect">
                      <a:avLst/>
                    </a:prstGeom>
                    <a:noFill/>
                    <a:ln>
                      <a:noFill/>
                    </a:ln>
                  </pic:spPr>
                </pic:pic>
              </a:graphicData>
            </a:graphic>
          </wp:inline>
        </w:drawing>
      </w:r>
    </w:p>
    <w:p w14:paraId="03987CBA" w14:textId="77777777" w:rsidR="00D17FA5" w:rsidRPr="002A0C60" w:rsidRDefault="00D17FA5" w:rsidP="00D17FA5">
      <w:pPr>
        <w:spacing w:before="480" w:line="360" w:lineRule="auto"/>
        <w:jc w:val="center"/>
        <w:rPr>
          <w:sz w:val="28"/>
          <w:szCs w:val="28"/>
        </w:rPr>
      </w:pPr>
      <w:r w:rsidRPr="002A0C60">
        <w:rPr>
          <w:sz w:val="28"/>
          <w:szCs w:val="28"/>
        </w:rPr>
        <w:t>KATHOLIEKE UNIVERSITEIT LEUVEN</w:t>
      </w:r>
    </w:p>
    <w:p w14:paraId="0BF59516" w14:textId="77777777" w:rsidR="00D17FA5" w:rsidRPr="002A0C60" w:rsidRDefault="00D17FA5" w:rsidP="00D17FA5">
      <w:pPr>
        <w:spacing w:line="360" w:lineRule="auto"/>
        <w:jc w:val="center"/>
      </w:pPr>
      <w:r w:rsidRPr="002A0C60">
        <w:t>Faculteit Rechtsgeleerdheid</w:t>
      </w:r>
    </w:p>
    <w:p w14:paraId="6765123B" w14:textId="77777777" w:rsidR="00D17FA5" w:rsidRPr="002A0C60" w:rsidRDefault="00D17FA5" w:rsidP="00D17FA5">
      <w:pPr>
        <w:spacing w:line="360" w:lineRule="auto"/>
        <w:jc w:val="center"/>
      </w:pPr>
      <w:r w:rsidRPr="002A0C60">
        <w:t>Academiejaar 2015-2016</w:t>
      </w:r>
    </w:p>
    <w:p w14:paraId="2B7945D7" w14:textId="77777777" w:rsidR="00D17FA5" w:rsidRPr="002A0C60" w:rsidRDefault="00D17FA5" w:rsidP="00D17FA5">
      <w:pPr>
        <w:spacing w:before="1920" w:line="360" w:lineRule="auto"/>
        <w:jc w:val="center"/>
        <w:rPr>
          <w:b/>
          <w:bCs/>
          <w:sz w:val="36"/>
        </w:rPr>
      </w:pPr>
      <w:r w:rsidRPr="002A0C60">
        <w:rPr>
          <w:b/>
          <w:bCs/>
          <w:sz w:val="36"/>
        </w:rPr>
        <w:t>Artikel 2279 Burgerlijk Wetboek en de nieuwe Pandwet</w:t>
      </w:r>
      <w:r w:rsidRPr="002A0C60">
        <w:rPr>
          <w:b/>
          <w:bCs/>
          <w:sz w:val="36"/>
        </w:rPr>
        <w:br/>
      </w:r>
    </w:p>
    <w:p w14:paraId="66790BDD" w14:textId="77777777" w:rsidR="00D17FA5" w:rsidRPr="002A0C60" w:rsidRDefault="00D17FA5" w:rsidP="00D17FA5">
      <w:pPr>
        <w:spacing w:before="120" w:line="360" w:lineRule="auto"/>
        <w:rPr>
          <w:bCs/>
          <w:smallCaps/>
          <w:sz w:val="28"/>
        </w:rPr>
      </w:pPr>
    </w:p>
    <w:p w14:paraId="4CC9176B" w14:textId="77777777" w:rsidR="00D17FA5" w:rsidRPr="002A0C60" w:rsidRDefault="00D17FA5" w:rsidP="00D17FA5">
      <w:pPr>
        <w:spacing w:line="360" w:lineRule="auto"/>
      </w:pPr>
    </w:p>
    <w:p w14:paraId="5994408E" w14:textId="77777777" w:rsidR="00D17FA5" w:rsidRPr="002A0C60" w:rsidRDefault="00D17FA5" w:rsidP="00D17FA5">
      <w:pPr>
        <w:spacing w:line="360" w:lineRule="auto"/>
      </w:pPr>
    </w:p>
    <w:p w14:paraId="277D7BE0" w14:textId="77777777" w:rsidR="00D17FA5" w:rsidRPr="002A0C60" w:rsidRDefault="00D17FA5" w:rsidP="00D17FA5">
      <w:pPr>
        <w:spacing w:line="360" w:lineRule="auto"/>
      </w:pPr>
    </w:p>
    <w:p w14:paraId="1406169F" w14:textId="77777777" w:rsidR="00D17FA5" w:rsidRPr="002A0C60" w:rsidRDefault="00D17FA5" w:rsidP="00D17FA5">
      <w:pPr>
        <w:spacing w:line="360" w:lineRule="auto"/>
      </w:pPr>
    </w:p>
    <w:p w14:paraId="489E87DC" w14:textId="77777777" w:rsidR="00D17FA5" w:rsidRPr="002A0C60" w:rsidRDefault="00D17FA5" w:rsidP="00D17FA5">
      <w:pPr>
        <w:spacing w:line="360" w:lineRule="auto"/>
      </w:pPr>
    </w:p>
    <w:p w14:paraId="04CEE24F" w14:textId="77777777" w:rsidR="00D17FA5" w:rsidRPr="002A0C60" w:rsidRDefault="00D17FA5" w:rsidP="00D17FA5">
      <w:pPr>
        <w:spacing w:line="360" w:lineRule="auto"/>
      </w:pPr>
      <w:r w:rsidRPr="002A0C60">
        <w:t>Promotor: Professor V. Sagaert</w:t>
      </w:r>
    </w:p>
    <w:p w14:paraId="0FCCACF2" w14:textId="77777777" w:rsidR="00D17FA5" w:rsidRPr="002A0C60" w:rsidRDefault="00D17FA5" w:rsidP="00D17FA5">
      <w:pPr>
        <w:spacing w:line="360" w:lineRule="auto"/>
      </w:pPr>
      <w:r w:rsidRPr="002A0C60">
        <w:t>Begeleider: Mevrouw A. Apers</w:t>
      </w:r>
    </w:p>
    <w:p w14:paraId="3A1374E4" w14:textId="77777777" w:rsidR="00D17FA5" w:rsidRPr="002A0C60" w:rsidRDefault="00D17FA5" w:rsidP="00D17FA5">
      <w:pPr>
        <w:spacing w:line="360" w:lineRule="auto"/>
        <w:jc w:val="right"/>
      </w:pPr>
      <w:r w:rsidRPr="002A0C60">
        <w:t>Masterscriptie, ingediend door</w:t>
      </w:r>
    </w:p>
    <w:p w14:paraId="1778126B" w14:textId="77777777" w:rsidR="00D17FA5" w:rsidRPr="002A0C60" w:rsidRDefault="00D17FA5" w:rsidP="00D17FA5">
      <w:pPr>
        <w:spacing w:line="360" w:lineRule="auto"/>
        <w:jc w:val="right"/>
      </w:pPr>
      <w:r w:rsidRPr="002A0C60">
        <w:t>Julie DE MEESTER</w:t>
      </w:r>
    </w:p>
    <w:p w14:paraId="74674033" w14:textId="77777777" w:rsidR="00D17FA5" w:rsidRPr="002A0C60" w:rsidRDefault="00D17FA5" w:rsidP="00D17FA5">
      <w:pPr>
        <w:spacing w:line="360" w:lineRule="auto"/>
        <w:jc w:val="right"/>
      </w:pPr>
      <w:proofErr w:type="gramStart"/>
      <w:r w:rsidRPr="002A0C60">
        <w:t>bij</w:t>
      </w:r>
      <w:proofErr w:type="gramEnd"/>
      <w:r w:rsidRPr="002A0C60">
        <w:t xml:space="preserve"> het eindexamen voor de graad van </w:t>
      </w:r>
    </w:p>
    <w:p w14:paraId="0A4DACB6" w14:textId="029A60A5" w:rsidR="006460FD" w:rsidRPr="002A0C60" w:rsidRDefault="00D17FA5" w:rsidP="00D17FA5">
      <w:pPr>
        <w:spacing w:line="360" w:lineRule="auto"/>
        <w:jc w:val="right"/>
        <w:sectPr w:rsidR="006460FD" w:rsidRPr="002A0C60" w:rsidSect="006460FD">
          <w:footerReference w:type="even" r:id="rId9"/>
          <w:footerReference w:type="first" r:id="rId10"/>
          <w:pgSz w:w="11906" w:h="16838" w:code="9"/>
          <w:pgMar w:top="1418" w:right="1134" w:bottom="2268" w:left="1701" w:header="0" w:footer="850" w:gutter="0"/>
          <w:pgNumType w:start="1"/>
          <w:cols w:space="708"/>
          <w:titlePg/>
          <w:docGrid w:linePitch="360"/>
        </w:sectPr>
      </w:pPr>
      <w:r w:rsidRPr="002A0C60">
        <w:t xml:space="preserve">MASTER </w:t>
      </w:r>
      <w:r w:rsidR="00F46269">
        <w:t>IN DE RECHTEN</w:t>
      </w:r>
    </w:p>
    <w:p w14:paraId="5FF359C9" w14:textId="2BADD996" w:rsidR="001B24A6" w:rsidRPr="002A0C60" w:rsidRDefault="003D4F0D" w:rsidP="001B24A6">
      <w:pPr>
        <w:pStyle w:val="Kop1"/>
        <w:numPr>
          <w:ilvl w:val="0"/>
          <w:numId w:val="0"/>
        </w:numPr>
      </w:pPr>
      <w:bookmarkStart w:id="0" w:name="_Toc449982168"/>
      <w:r w:rsidRPr="002A0C60">
        <w:lastRenderedPageBreak/>
        <w:t>samenvatting</w:t>
      </w:r>
      <w:bookmarkEnd w:id="0"/>
    </w:p>
    <w:p w14:paraId="6B897487" w14:textId="79296873" w:rsidR="003D4F0D" w:rsidRPr="002A0C60" w:rsidRDefault="001B24A6" w:rsidP="005A06B5">
      <w:pPr>
        <w:pStyle w:val="Nummer"/>
        <w:numPr>
          <w:ilvl w:val="0"/>
          <w:numId w:val="0"/>
        </w:numPr>
        <w:spacing w:line="360" w:lineRule="auto"/>
      </w:pPr>
      <w:r w:rsidRPr="002A0C60">
        <w:rPr>
          <w:smallCaps/>
        </w:rPr>
        <w:t xml:space="preserve">Wet 11 juli 2011 - </w:t>
      </w:r>
      <w:r w:rsidR="00192459">
        <w:t>Door de wet van 11 juli 2013</w:t>
      </w:r>
      <w:r w:rsidR="003D4F0D" w:rsidRPr="002A0C60">
        <w:t xml:space="preserve"> tot wijziging van het Burgerlijk Wetboek wat de zakelijke zekerheden op roerende goederen betreft en tot opheffing van diverse </w:t>
      </w:r>
      <w:bookmarkStart w:id="1" w:name="_GoBack"/>
      <w:r w:rsidR="003D4F0D" w:rsidRPr="002A0C60">
        <w:t xml:space="preserve">bepalingen ter zake (Pandwet) heeft de Belgische wetgever in navolging van verscheidene </w:t>
      </w:r>
      <w:bookmarkEnd w:id="1"/>
      <w:r w:rsidR="003D4F0D" w:rsidRPr="002A0C60">
        <w:t xml:space="preserve">buurlanden (waaronder Frankrijk en Nederland) en Europeesrechtelijke initiatieven (waaronder </w:t>
      </w:r>
      <w:r w:rsidR="003D4F0D" w:rsidRPr="002A0C60">
        <w:rPr>
          <w:i/>
        </w:rPr>
        <w:t xml:space="preserve">Draft Common Frame of Reference </w:t>
      </w:r>
      <w:r w:rsidR="003D4F0D" w:rsidRPr="002A0C60">
        <w:t xml:space="preserve">en UNCITRAL Legislative Guide on Secured Transactions) een bezitloos pandrecht ingevoerd. </w:t>
      </w:r>
      <w:r w:rsidRPr="002A0C60">
        <w:t>De inwerkingtreding van deze wet is echter uitgesteld tot 1 januari 2017.</w:t>
      </w:r>
    </w:p>
    <w:p w14:paraId="5AFC1FBD" w14:textId="69FFF125" w:rsidR="003D4F0D" w:rsidRPr="002A0C60" w:rsidRDefault="001B24A6" w:rsidP="005A06B5">
      <w:pPr>
        <w:pStyle w:val="Nummer"/>
        <w:numPr>
          <w:ilvl w:val="0"/>
          <w:numId w:val="0"/>
        </w:numPr>
        <w:spacing w:line="360" w:lineRule="auto"/>
      </w:pPr>
      <w:r w:rsidRPr="002A0C60">
        <w:rPr>
          <w:smallCaps/>
        </w:rPr>
        <w:t xml:space="preserve">Invloed Pandwet op bescherming pandhouder - </w:t>
      </w:r>
      <w:r w:rsidR="003D4F0D" w:rsidRPr="002A0C60">
        <w:t xml:space="preserve">Deze Pandwet heeft een invloed op de traditionele werking van artikel 2279 Burgerlijk Wetboek. Ten eerste beïnvloedt de </w:t>
      </w:r>
      <w:r w:rsidR="002A0C60" w:rsidRPr="002A0C60">
        <w:t>Pandwet</w:t>
      </w:r>
      <w:r w:rsidR="003D4F0D" w:rsidRPr="002A0C60">
        <w:t xml:space="preserve"> de werking van artikel 2279 Burgerlijk</w:t>
      </w:r>
      <w:r w:rsidR="00D47367">
        <w:t xml:space="preserve"> Wetboek</w:t>
      </w:r>
      <w:r w:rsidR="003D4F0D" w:rsidRPr="002A0C60">
        <w:t xml:space="preserve"> in de situatie waar een pandhouder beroep doet op de bescherming ervan wanneer deze </w:t>
      </w:r>
      <w:r w:rsidR="00576B0B" w:rsidRPr="002A0C60">
        <w:t xml:space="preserve">een pand </w:t>
      </w:r>
      <w:r w:rsidR="003D4F0D" w:rsidRPr="002A0C60">
        <w:t xml:space="preserve">heeft verkregen van een onbevoegde pandgever. Deze hypothese wordt geregeld door artikel 6 Pandwet. Onder het huidige recht </w:t>
      </w:r>
      <w:r w:rsidR="00E43A81" w:rsidRPr="002A0C60">
        <w:t>kunnen</w:t>
      </w:r>
      <w:r w:rsidR="003D4F0D" w:rsidRPr="002A0C60">
        <w:t xml:space="preserve"> </w:t>
      </w:r>
      <w:r w:rsidR="00E43A81" w:rsidRPr="002A0C60">
        <w:t>de</w:t>
      </w:r>
      <w:r w:rsidR="003D4F0D" w:rsidRPr="002A0C60">
        <w:t xml:space="preserve"> vuistpandhouder</w:t>
      </w:r>
      <w:r w:rsidR="00E43A81" w:rsidRPr="002A0C60">
        <w:t xml:space="preserve"> en de houder van een landbouwvoorrecht </w:t>
      </w:r>
      <w:r w:rsidR="003D4F0D" w:rsidRPr="002A0C60">
        <w:t>ook al beroep doen op de bescherming van artikel 2279 Burgerlijk Wetboek, artikel 6 breidt dit echter uit naar alle registerpanden. Onder het huidige recht kan de pandhouder op de handelszaak namelijk geen beroep doen op deze bescherming. Daarnaast kan de pandhouder ook beroep</w:t>
      </w:r>
      <w:r w:rsidR="00C718A0">
        <w:t xml:space="preserve"> doen</w:t>
      </w:r>
      <w:r w:rsidR="003D4F0D" w:rsidRPr="002A0C60">
        <w:t xml:space="preserve"> op de bescherming de eerste drie jaar bij verlies of diefstal, onder het huidige recht is dit niet mogelijk.</w:t>
      </w:r>
    </w:p>
    <w:p w14:paraId="4A5768F4" w14:textId="2A7FFC00" w:rsidR="001B24A6" w:rsidRPr="002A0C60" w:rsidRDefault="001B24A6" w:rsidP="005A06B5">
      <w:pPr>
        <w:pStyle w:val="Nummer"/>
        <w:numPr>
          <w:ilvl w:val="0"/>
          <w:numId w:val="0"/>
        </w:numPr>
        <w:spacing w:line="360" w:lineRule="auto"/>
      </w:pPr>
      <w:r w:rsidRPr="002A0C60">
        <w:rPr>
          <w:smallCaps/>
        </w:rPr>
        <w:t xml:space="preserve">Invloed Pandwet op bescherming derde-verkrijger - </w:t>
      </w:r>
      <w:r w:rsidR="003D4F0D" w:rsidRPr="002A0C60">
        <w:t xml:space="preserve">Doordat de pandgever de in pand gegeven goederen onder zich mag houden bestaat het risico dat hij deze goederen zal vervreemden. Een derde-verkrijger zal enkel een beroep kunnen doen op de bescherming van artikel 2279 Burgerlijk Wetboek wanneer hij deze goederen niet heeft verkregen </w:t>
      </w:r>
      <w:r w:rsidR="003D4F0D" w:rsidRPr="002A0C60">
        <w:rPr>
          <w:i/>
        </w:rPr>
        <w:t>“in</w:t>
      </w:r>
      <w:r w:rsidR="00C718A0">
        <w:rPr>
          <w:i/>
        </w:rPr>
        <w:t xml:space="preserve"> het</w:t>
      </w:r>
      <w:r w:rsidR="003D4F0D" w:rsidRPr="002A0C60">
        <w:rPr>
          <w:i/>
        </w:rPr>
        <w:t xml:space="preserve"> raam van zijn bedrijf of beroep” </w:t>
      </w:r>
      <w:r w:rsidR="003D4F0D" w:rsidRPr="002A0C60">
        <w:t>(artikel 24 jo. Artikel 25 Pandwet). Deze bescherming is echter alleen noodzakelijk wanneer deze derde-verkrijger bedrijfsuitrusting of machines en dergelijke verkrijgt aangezien artikel 21 Pandwet stelt</w:t>
      </w:r>
      <w:r w:rsidR="00C718A0">
        <w:t xml:space="preserve"> dat</w:t>
      </w:r>
      <w:r w:rsidR="003D4F0D" w:rsidRPr="002A0C60">
        <w:t xml:space="preserve"> de pandgever de in pand </w:t>
      </w:r>
      <w:r w:rsidR="002A0C60" w:rsidRPr="002A0C60">
        <w:t>gegeven</w:t>
      </w:r>
      <w:r w:rsidR="003D4F0D" w:rsidRPr="002A0C60">
        <w:t xml:space="preserve"> goederen mag vervreemden wanneer dit gebeurt in de normale exploitatie van zijn onderneming. Het zullen echter vooral professionele verkrijgers zijn die machines en bedrijfsuitrusting verkrijgen en net voor hen is een beroep op artikel 2279 Burgerlijk Wetboek </w:t>
      </w:r>
      <w:r w:rsidR="003D4F0D" w:rsidRPr="002A0C60">
        <w:lastRenderedPageBreak/>
        <w:t>uitgesloten. Hierdoor komt de vlotheid van het handelsverkeer van roerende goederen, die wordt gewaarborgd door artikel 2279 Burgerlijk Wetboek, in het gedrang.</w:t>
      </w:r>
    </w:p>
    <w:p w14:paraId="40D81096" w14:textId="48309948" w:rsidR="003D4F0D" w:rsidRPr="002A0C60" w:rsidRDefault="001B24A6" w:rsidP="001B24A6">
      <w:pPr>
        <w:jc w:val="left"/>
      </w:pPr>
      <w:r w:rsidRPr="002A0C60">
        <w:br w:type="page"/>
      </w:r>
    </w:p>
    <w:p w14:paraId="7D6D4658" w14:textId="3F839929" w:rsidR="00500CA3" w:rsidRPr="002A0C60" w:rsidRDefault="003D4F0D" w:rsidP="00500CA3">
      <w:pPr>
        <w:pStyle w:val="Kop1"/>
        <w:numPr>
          <w:ilvl w:val="0"/>
          <w:numId w:val="0"/>
        </w:numPr>
      </w:pPr>
      <w:bookmarkStart w:id="2" w:name="_Toc449982169"/>
      <w:r w:rsidRPr="002A0C60">
        <w:lastRenderedPageBreak/>
        <w:t>dankwoord</w:t>
      </w:r>
      <w:bookmarkEnd w:id="2"/>
    </w:p>
    <w:p w14:paraId="0A393CD3" w14:textId="352B7274" w:rsidR="00500CA3" w:rsidRPr="002A0C60" w:rsidRDefault="005D4E84" w:rsidP="00C87530">
      <w:pPr>
        <w:pStyle w:val="Nummer"/>
        <w:numPr>
          <w:ilvl w:val="0"/>
          <w:numId w:val="0"/>
        </w:numPr>
        <w:spacing w:line="360" w:lineRule="auto"/>
      </w:pPr>
      <w:r w:rsidRPr="002A0C60">
        <w:t>In de eerste plaats wens ik profe</w:t>
      </w:r>
      <w:r w:rsidR="00D65232" w:rsidRPr="002A0C60">
        <w:t>ssor Vincent Sagaert te bedanken</w:t>
      </w:r>
      <w:r w:rsidR="00500CA3" w:rsidRPr="002A0C60">
        <w:t xml:space="preserve">, niet alleen </w:t>
      </w:r>
      <w:r w:rsidR="00D65232" w:rsidRPr="002A0C60">
        <w:t xml:space="preserve">voor het aanreiken van dit </w:t>
      </w:r>
      <w:r w:rsidR="00500CA3" w:rsidRPr="002A0C60">
        <w:t xml:space="preserve">uiterst interessante onderwerp maar ook voor de wijze raad, </w:t>
      </w:r>
      <w:r w:rsidR="00F46269">
        <w:t>zowel</w:t>
      </w:r>
      <w:r w:rsidR="00500CA3" w:rsidRPr="002A0C60">
        <w:t xml:space="preserve"> bij het schrijven van deze masterscriptie </w:t>
      </w:r>
      <w:r w:rsidR="00F46269">
        <w:t>als</w:t>
      </w:r>
      <w:r w:rsidR="00500CA3" w:rsidRPr="002A0C60">
        <w:t xml:space="preserve"> met betrekking tot het leven in het algemeen. Daarnaast wens ik ook mijn begeleidster A</w:t>
      </w:r>
      <w:r w:rsidR="00E4452E">
        <w:t>n</w:t>
      </w:r>
      <w:r w:rsidR="00500CA3" w:rsidRPr="002A0C60">
        <w:t xml:space="preserve">n Apers te bedanken. Zonder haar tips, raadgevingen en bijsturingen zou deze </w:t>
      </w:r>
      <w:r w:rsidR="002A0C60" w:rsidRPr="002A0C60">
        <w:t>masterscript</w:t>
      </w:r>
      <w:r w:rsidR="002A0C60">
        <w:t>i</w:t>
      </w:r>
      <w:r w:rsidR="002A0C60" w:rsidRPr="002A0C60">
        <w:t>e</w:t>
      </w:r>
      <w:r w:rsidR="00500CA3" w:rsidRPr="002A0C60">
        <w:t xml:space="preserve"> er volledig anders uitzien.</w:t>
      </w:r>
    </w:p>
    <w:p w14:paraId="6B1198C3" w14:textId="2F60405C" w:rsidR="00FC46E8" w:rsidRPr="002A0C60" w:rsidRDefault="00D65232" w:rsidP="00C87530">
      <w:pPr>
        <w:pStyle w:val="Nummer"/>
        <w:numPr>
          <w:ilvl w:val="0"/>
          <w:numId w:val="0"/>
        </w:numPr>
        <w:spacing w:line="360" w:lineRule="auto"/>
      </w:pPr>
      <w:r w:rsidRPr="002A0C60">
        <w:t>“</w:t>
      </w:r>
      <w:r w:rsidRPr="002A0C60">
        <w:rPr>
          <w:i/>
        </w:rPr>
        <w:t xml:space="preserve">No one ever achieves anything alone”. </w:t>
      </w:r>
      <w:r w:rsidR="00500CA3" w:rsidRPr="002A0C60">
        <w:t>De voorbije vijf jaar waren een tijd waarin hard gewerkt werd om dit uiteindelijk</w:t>
      </w:r>
      <w:r w:rsidR="00C87530" w:rsidRPr="002A0C60">
        <w:t>e</w:t>
      </w:r>
      <w:r w:rsidR="00500CA3" w:rsidRPr="002A0C60">
        <w:t xml:space="preserve"> doel te bereiken. Maar nog meer dan door hard werk werden deze vijf jaar gekenmerkt door de liefde en vriendschap van vrienden en familie. Daarom gaat een speciaal woord van dank uit naar een aantal heel b</w:t>
      </w:r>
      <w:r w:rsidR="00FC46E8" w:rsidRPr="002A0C60">
        <w:t>ijzondere mensen in mijn leven.</w:t>
      </w:r>
    </w:p>
    <w:p w14:paraId="2F9F35E3" w14:textId="5CDE371C" w:rsidR="00FC46E8" w:rsidRPr="002A0C60" w:rsidRDefault="00FC46E8" w:rsidP="00C87530">
      <w:pPr>
        <w:pStyle w:val="Nummer"/>
        <w:numPr>
          <w:ilvl w:val="0"/>
          <w:numId w:val="0"/>
        </w:numPr>
        <w:spacing w:line="360" w:lineRule="auto"/>
      </w:pPr>
      <w:r w:rsidRPr="002A0C60">
        <w:t>Eerst en vooral mijn mama, Kathleen Duyck, niet alleen voor het zorgvuldig nalezen van deze masterscriptie, maar ook voor het engelengeduld dat ze met mij moet hebben en voor het prachtige voorbeeld dat zij al jaren stelt.</w:t>
      </w:r>
    </w:p>
    <w:p w14:paraId="712A6423" w14:textId="60C90F5C" w:rsidR="00E34435" w:rsidRPr="002A0C60" w:rsidRDefault="00FC46E8" w:rsidP="00C87530">
      <w:pPr>
        <w:pStyle w:val="Nummer"/>
        <w:numPr>
          <w:ilvl w:val="0"/>
          <w:numId w:val="0"/>
        </w:numPr>
        <w:spacing w:line="360" w:lineRule="auto"/>
      </w:pPr>
      <w:r w:rsidRPr="002A0C60">
        <w:t>Daarnaast wens ik ook mijn vriendinnen te bedanken voor de mateloze aanmoedigen en grenzeloze steun. In het bijzonder Laurence Demets</w:t>
      </w:r>
      <w:r w:rsidR="00C87530" w:rsidRPr="002A0C60">
        <w:t xml:space="preserve"> en Jessica Florizoone</w:t>
      </w:r>
      <w:r w:rsidRPr="002A0C60">
        <w:t>,</w:t>
      </w:r>
      <w:r w:rsidR="002275D0" w:rsidRPr="002A0C60">
        <w:t xml:space="preserve"> </w:t>
      </w:r>
      <w:r w:rsidR="00C87530" w:rsidRPr="002A0C60">
        <w:t>voor vriendschappen uit de duizend</w:t>
      </w:r>
      <w:r w:rsidR="00332AFA" w:rsidRPr="002A0C60">
        <w:t xml:space="preserve"> en</w:t>
      </w:r>
      <w:r w:rsidR="00C87530" w:rsidRPr="002A0C60">
        <w:t xml:space="preserve"> voor de interventies in tijden van crisis. </w:t>
      </w:r>
    </w:p>
    <w:p w14:paraId="4878ED80" w14:textId="1A91D600" w:rsidR="00E34435" w:rsidRPr="002A0C60" w:rsidRDefault="00C87530" w:rsidP="00C87530">
      <w:pPr>
        <w:pStyle w:val="Nummer"/>
        <w:numPr>
          <w:ilvl w:val="0"/>
          <w:numId w:val="0"/>
        </w:numPr>
        <w:spacing w:line="360" w:lineRule="auto"/>
      </w:pPr>
      <w:r w:rsidRPr="002A0C60">
        <w:t>Als allerlaatste wil ik mijn papa, Geert De Meester bedanken. Er was niemand die mij liever had zien afstuderen dan hij. Aan hem en aan mijn mama draag ik dan ook deze masterscriptie op.</w:t>
      </w:r>
    </w:p>
    <w:p w14:paraId="422DBA0C" w14:textId="77777777" w:rsidR="002B4A74" w:rsidRPr="002A0C60" w:rsidRDefault="002B4A74" w:rsidP="005E187E">
      <w:pPr>
        <w:spacing w:line="360" w:lineRule="auto"/>
      </w:pPr>
    </w:p>
    <w:p w14:paraId="6F474263" w14:textId="77777777" w:rsidR="002B4A74" w:rsidRPr="002A0C60" w:rsidRDefault="002B4A74" w:rsidP="005E187E">
      <w:pPr>
        <w:spacing w:line="360" w:lineRule="auto"/>
      </w:pPr>
    </w:p>
    <w:p w14:paraId="1BCABC9D" w14:textId="77777777" w:rsidR="002B4A74" w:rsidRPr="002A0C60" w:rsidRDefault="002B4A74" w:rsidP="005E187E">
      <w:pPr>
        <w:spacing w:line="360" w:lineRule="auto"/>
      </w:pPr>
    </w:p>
    <w:p w14:paraId="4BB29532" w14:textId="77777777" w:rsidR="002B4A74" w:rsidRPr="002A0C60" w:rsidRDefault="002B4A74" w:rsidP="005E187E">
      <w:pPr>
        <w:spacing w:line="360" w:lineRule="auto"/>
      </w:pPr>
    </w:p>
    <w:p w14:paraId="1D1287EB" w14:textId="77777777" w:rsidR="002B4A74" w:rsidRPr="002A0C60" w:rsidRDefault="002B4A74" w:rsidP="005E187E">
      <w:pPr>
        <w:spacing w:line="360" w:lineRule="auto"/>
      </w:pPr>
    </w:p>
    <w:p w14:paraId="6AF4F34C" w14:textId="77777777" w:rsidR="002B4A74" w:rsidRPr="002A0C60" w:rsidRDefault="002B4A74" w:rsidP="005E187E">
      <w:pPr>
        <w:spacing w:line="360" w:lineRule="auto"/>
      </w:pPr>
    </w:p>
    <w:p w14:paraId="52269BE6" w14:textId="77777777" w:rsidR="002B4A74" w:rsidRPr="002A0C60" w:rsidRDefault="002B4A74" w:rsidP="005E187E">
      <w:pPr>
        <w:spacing w:line="360" w:lineRule="auto"/>
      </w:pPr>
    </w:p>
    <w:p w14:paraId="3651BC82" w14:textId="77777777" w:rsidR="00DD7034" w:rsidRPr="002A0C60" w:rsidRDefault="00DD7034" w:rsidP="005E187E">
      <w:pPr>
        <w:pStyle w:val="Nummer"/>
        <w:numPr>
          <w:ilvl w:val="0"/>
          <w:numId w:val="0"/>
        </w:numPr>
        <w:spacing w:line="360" w:lineRule="auto"/>
      </w:pPr>
    </w:p>
    <w:p w14:paraId="6DB62159" w14:textId="134F9D7D" w:rsidR="000E4608" w:rsidRPr="002A0C60" w:rsidRDefault="000E4608" w:rsidP="005E187E">
      <w:pPr>
        <w:pStyle w:val="Kop1"/>
        <w:numPr>
          <w:ilvl w:val="0"/>
          <w:numId w:val="0"/>
        </w:numPr>
        <w:spacing w:line="360" w:lineRule="auto"/>
      </w:pPr>
      <w:bookmarkStart w:id="3" w:name="_Toc449982170"/>
      <w:r w:rsidRPr="002A0C60">
        <w:lastRenderedPageBreak/>
        <w:t>inhoudstafel</w:t>
      </w:r>
      <w:bookmarkEnd w:id="3"/>
      <w:r w:rsidRPr="002A0C60">
        <w:t xml:space="preserve"> </w:t>
      </w:r>
    </w:p>
    <w:p w14:paraId="14DEE2CE" w14:textId="77777777" w:rsidR="00D5731A" w:rsidRDefault="000E4608">
      <w:pPr>
        <w:pStyle w:val="Inhopg1"/>
        <w:rPr>
          <w:rFonts w:asciiTheme="minorHAnsi" w:eastAsiaTheme="minorEastAsia" w:hAnsiTheme="minorHAnsi" w:cstheme="minorBidi"/>
          <w:b w:val="0"/>
          <w:caps w:val="0"/>
        </w:rPr>
      </w:pPr>
      <w:r w:rsidRPr="002A0C60">
        <w:fldChar w:fldCharType="begin"/>
      </w:r>
      <w:r w:rsidRPr="002A0C60">
        <w:instrText xml:space="preserve"> TOC \o "1-6" </w:instrText>
      </w:r>
      <w:r w:rsidRPr="002A0C60">
        <w:fldChar w:fldCharType="separate"/>
      </w:r>
      <w:r w:rsidR="00D5731A">
        <w:t>samenvatting</w:t>
      </w:r>
      <w:r w:rsidR="00D5731A">
        <w:tab/>
      </w:r>
      <w:r w:rsidR="00D5731A">
        <w:fldChar w:fldCharType="begin"/>
      </w:r>
      <w:r w:rsidR="00D5731A">
        <w:instrText xml:space="preserve"> PAGEREF _Toc449982168 \h </w:instrText>
      </w:r>
      <w:r w:rsidR="00D5731A">
        <w:fldChar w:fldCharType="separate"/>
      </w:r>
      <w:r w:rsidR="00D5731A">
        <w:t>i</w:t>
      </w:r>
      <w:r w:rsidR="00D5731A">
        <w:fldChar w:fldCharType="end"/>
      </w:r>
    </w:p>
    <w:p w14:paraId="45AFB647" w14:textId="77777777" w:rsidR="00D5731A" w:rsidRDefault="00D5731A">
      <w:pPr>
        <w:pStyle w:val="Inhopg1"/>
        <w:rPr>
          <w:rFonts w:asciiTheme="minorHAnsi" w:eastAsiaTheme="minorEastAsia" w:hAnsiTheme="minorHAnsi" w:cstheme="minorBidi"/>
          <w:b w:val="0"/>
          <w:caps w:val="0"/>
        </w:rPr>
      </w:pPr>
      <w:r>
        <w:t>dankwoord</w:t>
      </w:r>
      <w:r>
        <w:tab/>
      </w:r>
      <w:r>
        <w:fldChar w:fldCharType="begin"/>
      </w:r>
      <w:r>
        <w:instrText xml:space="preserve"> PAGEREF _Toc449982169 \h </w:instrText>
      </w:r>
      <w:r>
        <w:fldChar w:fldCharType="separate"/>
      </w:r>
      <w:r>
        <w:t>iii</w:t>
      </w:r>
      <w:r>
        <w:fldChar w:fldCharType="end"/>
      </w:r>
    </w:p>
    <w:p w14:paraId="00F0998A" w14:textId="77777777" w:rsidR="00D5731A" w:rsidRDefault="00D5731A">
      <w:pPr>
        <w:pStyle w:val="Inhopg1"/>
        <w:rPr>
          <w:rFonts w:asciiTheme="minorHAnsi" w:eastAsiaTheme="minorEastAsia" w:hAnsiTheme="minorHAnsi" w:cstheme="minorBidi"/>
          <w:b w:val="0"/>
          <w:caps w:val="0"/>
        </w:rPr>
      </w:pPr>
      <w:r>
        <w:t>inhoudstafel</w:t>
      </w:r>
      <w:r>
        <w:tab/>
      </w:r>
      <w:r>
        <w:fldChar w:fldCharType="begin"/>
      </w:r>
      <w:r>
        <w:instrText xml:space="preserve"> PAGEREF _Toc449982170 \h </w:instrText>
      </w:r>
      <w:r>
        <w:fldChar w:fldCharType="separate"/>
      </w:r>
      <w:r>
        <w:t>iv</w:t>
      </w:r>
      <w:r>
        <w:fldChar w:fldCharType="end"/>
      </w:r>
    </w:p>
    <w:p w14:paraId="293EEB25" w14:textId="77777777" w:rsidR="00D5731A" w:rsidRDefault="00D5731A">
      <w:pPr>
        <w:pStyle w:val="Inhopg1"/>
        <w:rPr>
          <w:rFonts w:asciiTheme="minorHAnsi" w:eastAsiaTheme="minorEastAsia" w:hAnsiTheme="minorHAnsi" w:cstheme="minorBidi"/>
          <w:b w:val="0"/>
          <w:caps w:val="0"/>
        </w:rPr>
      </w:pPr>
      <w:r>
        <w:t>Inleiding</w:t>
      </w:r>
      <w:r>
        <w:tab/>
      </w:r>
      <w:r>
        <w:fldChar w:fldCharType="begin"/>
      </w:r>
      <w:r>
        <w:instrText xml:space="preserve"> PAGEREF _Toc449982171 \h </w:instrText>
      </w:r>
      <w:r>
        <w:fldChar w:fldCharType="separate"/>
      </w:r>
      <w:r>
        <w:t>1</w:t>
      </w:r>
      <w:r>
        <w:fldChar w:fldCharType="end"/>
      </w:r>
    </w:p>
    <w:p w14:paraId="6DCFC421" w14:textId="77777777" w:rsidR="00D5731A" w:rsidRDefault="00D5731A">
      <w:pPr>
        <w:pStyle w:val="Inhopg1"/>
        <w:rPr>
          <w:rFonts w:asciiTheme="minorHAnsi" w:eastAsiaTheme="minorEastAsia" w:hAnsiTheme="minorHAnsi" w:cstheme="minorBidi"/>
          <w:b w:val="0"/>
          <w:caps w:val="0"/>
        </w:rPr>
      </w:pPr>
      <w:r>
        <w:t>Deel I: traditionele werking van artikel 2279 BW</w:t>
      </w:r>
      <w:r>
        <w:tab/>
      </w:r>
      <w:r>
        <w:fldChar w:fldCharType="begin"/>
      </w:r>
      <w:r>
        <w:instrText xml:space="preserve"> PAGEREF _Toc449982172 \h </w:instrText>
      </w:r>
      <w:r>
        <w:fldChar w:fldCharType="separate"/>
      </w:r>
      <w:r>
        <w:t>4</w:t>
      </w:r>
      <w:r>
        <w:fldChar w:fldCharType="end"/>
      </w:r>
    </w:p>
    <w:p w14:paraId="56A41B96" w14:textId="77777777" w:rsidR="00D5731A" w:rsidRDefault="00D5731A">
      <w:pPr>
        <w:pStyle w:val="Inhopg2"/>
        <w:rPr>
          <w:rFonts w:asciiTheme="minorHAnsi" w:eastAsiaTheme="minorEastAsia" w:hAnsiTheme="minorHAnsi" w:cstheme="minorBidi"/>
          <w:b w:val="0"/>
          <w:bCs w:val="0"/>
          <w:caps w:val="0"/>
        </w:rPr>
      </w:pPr>
      <w:r>
        <w:t>Hoofdstuk I. Bezitsbescherming in het algemeen</w:t>
      </w:r>
      <w:r>
        <w:tab/>
      </w:r>
      <w:r>
        <w:fldChar w:fldCharType="begin"/>
      </w:r>
      <w:r>
        <w:instrText xml:space="preserve"> PAGEREF _Toc449982173 \h </w:instrText>
      </w:r>
      <w:r>
        <w:fldChar w:fldCharType="separate"/>
      </w:r>
      <w:r>
        <w:t>4</w:t>
      </w:r>
      <w:r>
        <w:fldChar w:fldCharType="end"/>
      </w:r>
    </w:p>
    <w:p w14:paraId="70C339CF" w14:textId="77777777" w:rsidR="00D5731A" w:rsidRDefault="00D5731A">
      <w:pPr>
        <w:pStyle w:val="Inhopg3"/>
        <w:rPr>
          <w:rFonts w:asciiTheme="minorHAnsi" w:eastAsiaTheme="minorEastAsia" w:hAnsiTheme="minorHAnsi" w:cstheme="minorBidi"/>
          <w:smallCaps w:val="0"/>
        </w:rPr>
      </w:pPr>
      <w:r>
        <w:t>Afdeling I. Algemeen</w:t>
      </w:r>
      <w:r>
        <w:tab/>
      </w:r>
      <w:r>
        <w:fldChar w:fldCharType="begin"/>
      </w:r>
      <w:r>
        <w:instrText xml:space="preserve"> PAGEREF _Toc449982174 \h </w:instrText>
      </w:r>
      <w:r>
        <w:fldChar w:fldCharType="separate"/>
      </w:r>
      <w:r>
        <w:t>4</w:t>
      </w:r>
      <w:r>
        <w:fldChar w:fldCharType="end"/>
      </w:r>
    </w:p>
    <w:p w14:paraId="0C8D9EC2" w14:textId="77777777" w:rsidR="00D5731A" w:rsidRDefault="00D5731A">
      <w:pPr>
        <w:pStyle w:val="Inhopg4"/>
        <w:rPr>
          <w:rFonts w:asciiTheme="minorHAnsi" w:eastAsiaTheme="minorEastAsia" w:hAnsiTheme="minorHAnsi" w:cstheme="minorBidi"/>
          <w:i w:val="0"/>
          <w:iCs w:val="0"/>
        </w:rPr>
      </w:pPr>
      <w:r>
        <w:t>§1. Basishypothese</w:t>
      </w:r>
      <w:r>
        <w:tab/>
      </w:r>
      <w:r>
        <w:fldChar w:fldCharType="begin"/>
      </w:r>
      <w:r>
        <w:instrText xml:space="preserve"> PAGEREF _Toc449982175 \h </w:instrText>
      </w:r>
      <w:r>
        <w:fldChar w:fldCharType="separate"/>
      </w:r>
      <w:r>
        <w:t>4</w:t>
      </w:r>
      <w:r>
        <w:fldChar w:fldCharType="end"/>
      </w:r>
    </w:p>
    <w:p w14:paraId="301022F6" w14:textId="77777777" w:rsidR="00D5731A" w:rsidRDefault="00D5731A">
      <w:pPr>
        <w:pStyle w:val="Inhopg4"/>
        <w:rPr>
          <w:rFonts w:asciiTheme="minorHAnsi" w:eastAsiaTheme="minorEastAsia" w:hAnsiTheme="minorHAnsi" w:cstheme="minorBidi"/>
          <w:i w:val="0"/>
          <w:iCs w:val="0"/>
        </w:rPr>
      </w:pPr>
      <w:r>
        <w:t>§2. Functies van artikel 2279 Burgerlijk Wetboek</w:t>
      </w:r>
      <w:r>
        <w:tab/>
      </w:r>
      <w:r>
        <w:fldChar w:fldCharType="begin"/>
      </w:r>
      <w:r>
        <w:instrText xml:space="preserve"> PAGEREF _Toc449982176 \h </w:instrText>
      </w:r>
      <w:r>
        <w:fldChar w:fldCharType="separate"/>
      </w:r>
      <w:r>
        <w:t>5</w:t>
      </w:r>
      <w:r>
        <w:fldChar w:fldCharType="end"/>
      </w:r>
    </w:p>
    <w:p w14:paraId="761A10D4" w14:textId="77777777" w:rsidR="00D5731A" w:rsidRDefault="00D5731A">
      <w:pPr>
        <w:pStyle w:val="Inhopg4"/>
        <w:rPr>
          <w:rFonts w:asciiTheme="minorHAnsi" w:eastAsiaTheme="minorEastAsia" w:hAnsiTheme="minorHAnsi" w:cstheme="minorBidi"/>
          <w:i w:val="0"/>
          <w:iCs w:val="0"/>
        </w:rPr>
      </w:pPr>
      <w:r>
        <w:t>§3.</w:t>
      </w:r>
      <w:r w:rsidRPr="00A2239D">
        <w:t xml:space="preserve"> Ratio legis</w:t>
      </w:r>
      <w:r>
        <w:t xml:space="preserve"> van artikel 2279 Burgerlijk Wetboek</w:t>
      </w:r>
      <w:r>
        <w:tab/>
      </w:r>
      <w:r>
        <w:fldChar w:fldCharType="begin"/>
      </w:r>
      <w:r>
        <w:instrText xml:space="preserve"> PAGEREF _Toc449982177 \h </w:instrText>
      </w:r>
      <w:r>
        <w:fldChar w:fldCharType="separate"/>
      </w:r>
      <w:r>
        <w:t>5</w:t>
      </w:r>
      <w:r>
        <w:fldChar w:fldCharType="end"/>
      </w:r>
    </w:p>
    <w:p w14:paraId="61049092" w14:textId="77777777" w:rsidR="00D5731A" w:rsidRDefault="00D5731A">
      <w:pPr>
        <w:pStyle w:val="Inhopg4"/>
        <w:rPr>
          <w:rFonts w:asciiTheme="minorHAnsi" w:eastAsiaTheme="minorEastAsia" w:hAnsiTheme="minorHAnsi" w:cstheme="minorBidi"/>
          <w:i w:val="0"/>
          <w:iCs w:val="0"/>
        </w:rPr>
      </w:pPr>
      <w:r>
        <w:t>§4. Onderscheid tussen vrijwillige en onvrijwillige buitenbezitstelling</w:t>
      </w:r>
      <w:r>
        <w:tab/>
      </w:r>
      <w:r>
        <w:fldChar w:fldCharType="begin"/>
      </w:r>
      <w:r>
        <w:instrText xml:space="preserve"> PAGEREF _Toc449982178 \h </w:instrText>
      </w:r>
      <w:r>
        <w:fldChar w:fldCharType="separate"/>
      </w:r>
      <w:r>
        <w:t>6</w:t>
      </w:r>
      <w:r>
        <w:fldChar w:fldCharType="end"/>
      </w:r>
    </w:p>
    <w:p w14:paraId="072B1F1D" w14:textId="77777777" w:rsidR="00D5731A" w:rsidRDefault="00D5731A">
      <w:pPr>
        <w:pStyle w:val="Inhopg4"/>
        <w:rPr>
          <w:rFonts w:asciiTheme="minorHAnsi" w:eastAsiaTheme="minorEastAsia" w:hAnsiTheme="minorHAnsi" w:cstheme="minorBidi"/>
          <w:i w:val="0"/>
          <w:iCs w:val="0"/>
        </w:rPr>
      </w:pPr>
      <w:r>
        <w:t>§5. Zowel eigenaar als beperkt zakelijk gerechtigde</w:t>
      </w:r>
      <w:r>
        <w:tab/>
      </w:r>
      <w:r>
        <w:fldChar w:fldCharType="begin"/>
      </w:r>
      <w:r>
        <w:instrText xml:space="preserve"> PAGEREF _Toc449982179 \h </w:instrText>
      </w:r>
      <w:r>
        <w:fldChar w:fldCharType="separate"/>
      </w:r>
      <w:r>
        <w:t>8</w:t>
      </w:r>
      <w:r>
        <w:fldChar w:fldCharType="end"/>
      </w:r>
    </w:p>
    <w:p w14:paraId="1C55487F" w14:textId="77777777" w:rsidR="00D5731A" w:rsidRDefault="00D5731A">
      <w:pPr>
        <w:pStyle w:val="Inhopg3"/>
        <w:rPr>
          <w:rFonts w:asciiTheme="minorHAnsi" w:eastAsiaTheme="minorEastAsia" w:hAnsiTheme="minorHAnsi" w:cstheme="minorBidi"/>
          <w:smallCaps w:val="0"/>
        </w:rPr>
      </w:pPr>
      <w:r>
        <w:t>Afdeling II. voorwaarden voor bezitsbescherming</w:t>
      </w:r>
      <w:r>
        <w:tab/>
      </w:r>
      <w:r>
        <w:fldChar w:fldCharType="begin"/>
      </w:r>
      <w:r>
        <w:instrText xml:space="preserve"> PAGEREF _Toc449982180 \h </w:instrText>
      </w:r>
      <w:r>
        <w:fldChar w:fldCharType="separate"/>
      </w:r>
      <w:r>
        <w:t>9</w:t>
      </w:r>
      <w:r>
        <w:fldChar w:fldCharType="end"/>
      </w:r>
    </w:p>
    <w:p w14:paraId="0ECAE304" w14:textId="77777777" w:rsidR="00D5731A" w:rsidRDefault="00D5731A">
      <w:pPr>
        <w:pStyle w:val="Inhopg4"/>
        <w:rPr>
          <w:rFonts w:asciiTheme="minorHAnsi" w:eastAsiaTheme="minorEastAsia" w:hAnsiTheme="minorHAnsi" w:cstheme="minorBidi"/>
          <w:i w:val="0"/>
          <w:iCs w:val="0"/>
        </w:rPr>
      </w:pPr>
      <w:r>
        <w:t>§1. Voorwaarden met betrekking tot de aard van goed</w:t>
      </w:r>
      <w:r>
        <w:tab/>
      </w:r>
      <w:r>
        <w:fldChar w:fldCharType="begin"/>
      </w:r>
      <w:r>
        <w:instrText xml:space="preserve"> PAGEREF _Toc449982181 \h </w:instrText>
      </w:r>
      <w:r>
        <w:fldChar w:fldCharType="separate"/>
      </w:r>
      <w:r>
        <w:t>11</w:t>
      </w:r>
      <w:r>
        <w:fldChar w:fldCharType="end"/>
      </w:r>
    </w:p>
    <w:p w14:paraId="1873D0BF" w14:textId="77777777" w:rsidR="00D5731A" w:rsidRDefault="00D5731A">
      <w:pPr>
        <w:pStyle w:val="Inhopg4"/>
        <w:rPr>
          <w:rFonts w:asciiTheme="minorHAnsi" w:eastAsiaTheme="minorEastAsia" w:hAnsiTheme="minorHAnsi" w:cstheme="minorBidi"/>
          <w:i w:val="0"/>
          <w:iCs w:val="0"/>
        </w:rPr>
      </w:pPr>
      <w:r>
        <w:t>§2. Voorwaarden met betrekking tot het bezit</w:t>
      </w:r>
      <w:r>
        <w:tab/>
      </w:r>
      <w:r>
        <w:fldChar w:fldCharType="begin"/>
      </w:r>
      <w:r>
        <w:instrText xml:space="preserve"> PAGEREF _Toc449982182 \h </w:instrText>
      </w:r>
      <w:r>
        <w:fldChar w:fldCharType="separate"/>
      </w:r>
      <w:r>
        <w:t>13</w:t>
      </w:r>
      <w:r>
        <w:fldChar w:fldCharType="end"/>
      </w:r>
    </w:p>
    <w:p w14:paraId="2E1BDD05" w14:textId="77777777" w:rsidR="00D5731A" w:rsidRDefault="00D5731A">
      <w:pPr>
        <w:pStyle w:val="Inhopg5"/>
        <w:rPr>
          <w:rFonts w:asciiTheme="minorHAnsi" w:eastAsiaTheme="minorEastAsia" w:hAnsiTheme="minorHAnsi" w:cstheme="minorBidi"/>
        </w:rPr>
      </w:pPr>
      <w:r>
        <w:t>A. Werkelijk juridisch bezit</w:t>
      </w:r>
      <w:r>
        <w:tab/>
      </w:r>
      <w:r>
        <w:fldChar w:fldCharType="begin"/>
      </w:r>
      <w:r>
        <w:instrText xml:space="preserve"> PAGEREF _Toc449982183 \h </w:instrText>
      </w:r>
      <w:r>
        <w:fldChar w:fldCharType="separate"/>
      </w:r>
      <w:r>
        <w:t>13</w:t>
      </w:r>
      <w:r>
        <w:fldChar w:fldCharType="end"/>
      </w:r>
    </w:p>
    <w:p w14:paraId="7DFAD40A" w14:textId="77777777" w:rsidR="00D5731A" w:rsidRDefault="00D5731A">
      <w:pPr>
        <w:pStyle w:val="Inhopg5"/>
        <w:rPr>
          <w:rFonts w:asciiTheme="minorHAnsi" w:eastAsiaTheme="minorEastAsia" w:hAnsiTheme="minorHAnsi" w:cstheme="minorBidi"/>
        </w:rPr>
      </w:pPr>
      <w:r>
        <w:t>B. Bezit te goeder trouw</w:t>
      </w:r>
      <w:r>
        <w:tab/>
      </w:r>
      <w:r>
        <w:fldChar w:fldCharType="begin"/>
      </w:r>
      <w:r>
        <w:instrText xml:space="preserve"> PAGEREF _Toc449982184 \h </w:instrText>
      </w:r>
      <w:r>
        <w:fldChar w:fldCharType="separate"/>
      </w:r>
      <w:r>
        <w:t>15</w:t>
      </w:r>
      <w:r>
        <w:fldChar w:fldCharType="end"/>
      </w:r>
    </w:p>
    <w:p w14:paraId="1AA591ED" w14:textId="77777777" w:rsidR="00D5731A" w:rsidRDefault="00D5731A">
      <w:pPr>
        <w:pStyle w:val="Inhopg5"/>
        <w:rPr>
          <w:rFonts w:asciiTheme="minorHAnsi" w:eastAsiaTheme="minorEastAsia" w:hAnsiTheme="minorHAnsi" w:cstheme="minorBidi"/>
        </w:rPr>
      </w:pPr>
      <w:r>
        <w:t>C. Deugdelijk bezit</w:t>
      </w:r>
      <w:r>
        <w:tab/>
      </w:r>
      <w:r>
        <w:fldChar w:fldCharType="begin"/>
      </w:r>
      <w:r>
        <w:instrText xml:space="preserve"> PAGEREF _Toc449982185 \h </w:instrText>
      </w:r>
      <w:r>
        <w:fldChar w:fldCharType="separate"/>
      </w:r>
      <w:r>
        <w:t>19</w:t>
      </w:r>
      <w:r>
        <w:fldChar w:fldCharType="end"/>
      </w:r>
    </w:p>
    <w:p w14:paraId="5CDBE22D" w14:textId="77777777" w:rsidR="00D5731A" w:rsidRDefault="00D5731A">
      <w:pPr>
        <w:pStyle w:val="Inhopg6"/>
        <w:rPr>
          <w:rFonts w:asciiTheme="minorHAnsi" w:eastAsiaTheme="minorEastAsia" w:hAnsiTheme="minorHAnsi" w:cstheme="minorBidi"/>
        </w:rPr>
      </w:pPr>
      <w:r>
        <w:t>1. Voortdurend</w:t>
      </w:r>
      <w:r>
        <w:tab/>
      </w:r>
      <w:r>
        <w:fldChar w:fldCharType="begin"/>
      </w:r>
      <w:r>
        <w:instrText xml:space="preserve"> PAGEREF _Toc449982186 \h </w:instrText>
      </w:r>
      <w:r>
        <w:fldChar w:fldCharType="separate"/>
      </w:r>
      <w:r>
        <w:t>21</w:t>
      </w:r>
      <w:r>
        <w:fldChar w:fldCharType="end"/>
      </w:r>
    </w:p>
    <w:p w14:paraId="7A80B136" w14:textId="77777777" w:rsidR="00D5731A" w:rsidRDefault="00D5731A">
      <w:pPr>
        <w:pStyle w:val="Inhopg6"/>
        <w:rPr>
          <w:rFonts w:asciiTheme="minorHAnsi" w:eastAsiaTheme="minorEastAsia" w:hAnsiTheme="minorHAnsi" w:cstheme="minorBidi"/>
        </w:rPr>
      </w:pPr>
      <w:r>
        <w:t>2. Ongestoord</w:t>
      </w:r>
      <w:r>
        <w:tab/>
      </w:r>
      <w:r>
        <w:fldChar w:fldCharType="begin"/>
      </w:r>
      <w:r>
        <w:instrText xml:space="preserve"> PAGEREF _Toc449982187 \h </w:instrText>
      </w:r>
      <w:r>
        <w:fldChar w:fldCharType="separate"/>
      </w:r>
      <w:r>
        <w:t>22</w:t>
      </w:r>
      <w:r>
        <w:fldChar w:fldCharType="end"/>
      </w:r>
    </w:p>
    <w:p w14:paraId="361B4ECB" w14:textId="77777777" w:rsidR="00D5731A" w:rsidRDefault="00D5731A">
      <w:pPr>
        <w:pStyle w:val="Inhopg6"/>
        <w:rPr>
          <w:rFonts w:asciiTheme="minorHAnsi" w:eastAsiaTheme="minorEastAsia" w:hAnsiTheme="minorHAnsi" w:cstheme="minorBidi"/>
        </w:rPr>
      </w:pPr>
      <w:r>
        <w:t>3. Openbaar</w:t>
      </w:r>
      <w:r>
        <w:tab/>
      </w:r>
      <w:r>
        <w:fldChar w:fldCharType="begin"/>
      </w:r>
      <w:r>
        <w:instrText xml:space="preserve"> PAGEREF _Toc449982188 \h </w:instrText>
      </w:r>
      <w:r>
        <w:fldChar w:fldCharType="separate"/>
      </w:r>
      <w:r>
        <w:t>24</w:t>
      </w:r>
      <w:r>
        <w:fldChar w:fldCharType="end"/>
      </w:r>
    </w:p>
    <w:p w14:paraId="50AA840F" w14:textId="77777777" w:rsidR="00D5731A" w:rsidRDefault="00D5731A">
      <w:pPr>
        <w:pStyle w:val="Inhopg6"/>
        <w:rPr>
          <w:rFonts w:asciiTheme="minorHAnsi" w:eastAsiaTheme="minorEastAsia" w:hAnsiTheme="minorHAnsi" w:cstheme="minorBidi"/>
        </w:rPr>
      </w:pPr>
      <w:r>
        <w:t>4. Ondubbelzinnig</w:t>
      </w:r>
      <w:r>
        <w:tab/>
      </w:r>
      <w:r>
        <w:fldChar w:fldCharType="begin"/>
      </w:r>
      <w:r>
        <w:instrText xml:space="preserve"> PAGEREF _Toc449982189 \h </w:instrText>
      </w:r>
      <w:r>
        <w:fldChar w:fldCharType="separate"/>
      </w:r>
      <w:r>
        <w:t>24</w:t>
      </w:r>
      <w:r>
        <w:fldChar w:fldCharType="end"/>
      </w:r>
    </w:p>
    <w:p w14:paraId="389903C6" w14:textId="77777777" w:rsidR="00D5731A" w:rsidRDefault="00D5731A">
      <w:pPr>
        <w:pStyle w:val="Inhopg2"/>
        <w:rPr>
          <w:rFonts w:asciiTheme="minorHAnsi" w:eastAsiaTheme="minorEastAsia" w:hAnsiTheme="minorHAnsi" w:cstheme="minorBidi"/>
          <w:b w:val="0"/>
          <w:bCs w:val="0"/>
          <w:caps w:val="0"/>
        </w:rPr>
      </w:pPr>
      <w:r>
        <w:t>Hoofdstuk II. Bescherming van de pandhouder te goeder trouw</w:t>
      </w:r>
      <w:r>
        <w:tab/>
      </w:r>
      <w:r>
        <w:fldChar w:fldCharType="begin"/>
      </w:r>
      <w:r>
        <w:instrText xml:space="preserve"> PAGEREF _Toc449982190 \h </w:instrText>
      </w:r>
      <w:r>
        <w:fldChar w:fldCharType="separate"/>
      </w:r>
      <w:r>
        <w:t>25</w:t>
      </w:r>
      <w:r>
        <w:fldChar w:fldCharType="end"/>
      </w:r>
    </w:p>
    <w:p w14:paraId="613291FA" w14:textId="77777777" w:rsidR="00D5731A" w:rsidRDefault="00D5731A">
      <w:pPr>
        <w:pStyle w:val="Inhopg3"/>
        <w:rPr>
          <w:rFonts w:asciiTheme="minorHAnsi" w:eastAsiaTheme="minorEastAsia" w:hAnsiTheme="minorHAnsi" w:cstheme="minorBidi"/>
          <w:smallCaps w:val="0"/>
        </w:rPr>
      </w:pPr>
      <w:r>
        <w:t>Afdeling I. Wie is bevoegd om een pandrecht te vestigen?</w:t>
      </w:r>
      <w:r>
        <w:tab/>
      </w:r>
      <w:r>
        <w:fldChar w:fldCharType="begin"/>
      </w:r>
      <w:r>
        <w:instrText xml:space="preserve"> PAGEREF _Toc449982191 \h </w:instrText>
      </w:r>
      <w:r>
        <w:fldChar w:fldCharType="separate"/>
      </w:r>
      <w:r>
        <w:t>25</w:t>
      </w:r>
      <w:r>
        <w:fldChar w:fldCharType="end"/>
      </w:r>
    </w:p>
    <w:p w14:paraId="6C1715DC" w14:textId="77777777" w:rsidR="00D5731A" w:rsidRDefault="00D5731A">
      <w:pPr>
        <w:pStyle w:val="Inhopg3"/>
        <w:rPr>
          <w:rFonts w:asciiTheme="minorHAnsi" w:eastAsiaTheme="minorEastAsia" w:hAnsiTheme="minorHAnsi" w:cstheme="minorBidi"/>
          <w:smallCaps w:val="0"/>
        </w:rPr>
      </w:pPr>
      <w:r>
        <w:t>Afdeling II. vuistpand</w:t>
      </w:r>
      <w:r>
        <w:tab/>
      </w:r>
      <w:r>
        <w:fldChar w:fldCharType="begin"/>
      </w:r>
      <w:r>
        <w:instrText xml:space="preserve"> PAGEREF _Toc449982192 \h </w:instrText>
      </w:r>
      <w:r>
        <w:fldChar w:fldCharType="separate"/>
      </w:r>
      <w:r>
        <w:t>27</w:t>
      </w:r>
      <w:r>
        <w:fldChar w:fldCharType="end"/>
      </w:r>
    </w:p>
    <w:p w14:paraId="4CAE844B" w14:textId="77777777" w:rsidR="00D5731A" w:rsidRDefault="00D5731A">
      <w:pPr>
        <w:pStyle w:val="Inhopg4"/>
        <w:rPr>
          <w:rFonts w:asciiTheme="minorHAnsi" w:eastAsiaTheme="minorEastAsia" w:hAnsiTheme="minorHAnsi" w:cstheme="minorBidi"/>
          <w:i w:val="0"/>
          <w:iCs w:val="0"/>
        </w:rPr>
      </w:pPr>
      <w:r>
        <w:t>§1. Conflicten tussen meerdere zekerheidsrechten</w:t>
      </w:r>
      <w:r>
        <w:tab/>
      </w:r>
      <w:r>
        <w:fldChar w:fldCharType="begin"/>
      </w:r>
      <w:r>
        <w:instrText xml:space="preserve"> PAGEREF _Toc449982193 \h </w:instrText>
      </w:r>
      <w:r>
        <w:fldChar w:fldCharType="separate"/>
      </w:r>
      <w:r>
        <w:t>27</w:t>
      </w:r>
      <w:r>
        <w:fldChar w:fldCharType="end"/>
      </w:r>
    </w:p>
    <w:p w14:paraId="5E161653" w14:textId="77777777" w:rsidR="00D5731A" w:rsidRDefault="00D5731A">
      <w:pPr>
        <w:pStyle w:val="Inhopg4"/>
        <w:rPr>
          <w:rFonts w:asciiTheme="minorHAnsi" w:eastAsiaTheme="minorEastAsia" w:hAnsiTheme="minorHAnsi" w:cstheme="minorBidi"/>
          <w:i w:val="0"/>
          <w:iCs w:val="0"/>
        </w:rPr>
      </w:pPr>
      <w:r>
        <w:t>§2. Toepassingsvoorwaarden artikel 2279 Burgerlijk Wetboek</w:t>
      </w:r>
      <w:r>
        <w:tab/>
      </w:r>
      <w:r>
        <w:fldChar w:fldCharType="begin"/>
      </w:r>
      <w:r>
        <w:instrText xml:space="preserve"> PAGEREF _Toc449982194 \h </w:instrText>
      </w:r>
      <w:r>
        <w:fldChar w:fldCharType="separate"/>
      </w:r>
      <w:r>
        <w:t>29</w:t>
      </w:r>
      <w:r>
        <w:fldChar w:fldCharType="end"/>
      </w:r>
    </w:p>
    <w:p w14:paraId="10634945" w14:textId="77777777" w:rsidR="00D5731A" w:rsidRDefault="00D5731A">
      <w:pPr>
        <w:pStyle w:val="Inhopg5"/>
        <w:rPr>
          <w:rFonts w:asciiTheme="minorHAnsi" w:eastAsiaTheme="minorEastAsia" w:hAnsiTheme="minorHAnsi" w:cstheme="minorBidi"/>
        </w:rPr>
      </w:pPr>
      <w:r>
        <w:t>A. Bezit</w:t>
      </w:r>
      <w:r>
        <w:tab/>
      </w:r>
      <w:r>
        <w:fldChar w:fldCharType="begin"/>
      </w:r>
      <w:r>
        <w:instrText xml:space="preserve"> PAGEREF _Toc449982195 \h </w:instrText>
      </w:r>
      <w:r>
        <w:fldChar w:fldCharType="separate"/>
      </w:r>
      <w:r>
        <w:t>29</w:t>
      </w:r>
      <w:r>
        <w:fldChar w:fldCharType="end"/>
      </w:r>
    </w:p>
    <w:p w14:paraId="4BFE8ABF" w14:textId="77777777" w:rsidR="00D5731A" w:rsidRDefault="00D5731A">
      <w:pPr>
        <w:pStyle w:val="Inhopg5"/>
        <w:rPr>
          <w:rFonts w:asciiTheme="minorHAnsi" w:eastAsiaTheme="minorEastAsia" w:hAnsiTheme="minorHAnsi" w:cstheme="minorBidi"/>
        </w:rPr>
      </w:pPr>
      <w:r>
        <w:t>B. Goede trouw</w:t>
      </w:r>
      <w:r>
        <w:tab/>
      </w:r>
      <w:r>
        <w:fldChar w:fldCharType="begin"/>
      </w:r>
      <w:r>
        <w:instrText xml:space="preserve"> PAGEREF _Toc449982196 \h </w:instrText>
      </w:r>
      <w:r>
        <w:fldChar w:fldCharType="separate"/>
      </w:r>
      <w:r>
        <w:t>29</w:t>
      </w:r>
      <w:r>
        <w:fldChar w:fldCharType="end"/>
      </w:r>
    </w:p>
    <w:p w14:paraId="7F1DA171" w14:textId="77777777" w:rsidR="00D5731A" w:rsidRDefault="00D5731A">
      <w:pPr>
        <w:pStyle w:val="Inhopg5"/>
        <w:rPr>
          <w:rFonts w:asciiTheme="minorHAnsi" w:eastAsiaTheme="minorEastAsia" w:hAnsiTheme="minorHAnsi" w:cstheme="minorBidi"/>
        </w:rPr>
      </w:pPr>
      <w:r>
        <w:t>C. Geldige rechtstitel</w:t>
      </w:r>
      <w:r>
        <w:tab/>
      </w:r>
      <w:r>
        <w:fldChar w:fldCharType="begin"/>
      </w:r>
      <w:r>
        <w:instrText xml:space="preserve"> PAGEREF _Toc449982197 \h </w:instrText>
      </w:r>
      <w:r>
        <w:fldChar w:fldCharType="separate"/>
      </w:r>
      <w:r>
        <w:t>31</w:t>
      </w:r>
      <w:r>
        <w:fldChar w:fldCharType="end"/>
      </w:r>
    </w:p>
    <w:p w14:paraId="2EC76702" w14:textId="77777777" w:rsidR="00D5731A" w:rsidRDefault="00D5731A">
      <w:pPr>
        <w:pStyle w:val="Inhopg5"/>
        <w:rPr>
          <w:rFonts w:asciiTheme="minorHAnsi" w:eastAsiaTheme="minorEastAsia" w:hAnsiTheme="minorHAnsi" w:cstheme="minorBidi"/>
        </w:rPr>
      </w:pPr>
      <w:r>
        <w:lastRenderedPageBreak/>
        <w:t>D. Onvrijwillig bezitsverlies</w:t>
      </w:r>
      <w:r>
        <w:tab/>
      </w:r>
      <w:r>
        <w:fldChar w:fldCharType="begin"/>
      </w:r>
      <w:r>
        <w:instrText xml:space="preserve"> PAGEREF _Toc449982198 \h </w:instrText>
      </w:r>
      <w:r>
        <w:fldChar w:fldCharType="separate"/>
      </w:r>
      <w:r>
        <w:t>32</w:t>
      </w:r>
      <w:r>
        <w:fldChar w:fldCharType="end"/>
      </w:r>
    </w:p>
    <w:p w14:paraId="32C7946A" w14:textId="77777777" w:rsidR="00D5731A" w:rsidRDefault="00D5731A">
      <w:pPr>
        <w:pStyle w:val="Inhopg4"/>
        <w:rPr>
          <w:rFonts w:asciiTheme="minorHAnsi" w:eastAsiaTheme="minorEastAsia" w:hAnsiTheme="minorHAnsi" w:cstheme="minorBidi"/>
          <w:i w:val="0"/>
          <w:iCs w:val="0"/>
        </w:rPr>
      </w:pPr>
      <w:r>
        <w:t>§3. Herverpanding</w:t>
      </w:r>
      <w:r>
        <w:tab/>
      </w:r>
      <w:r>
        <w:fldChar w:fldCharType="begin"/>
      </w:r>
      <w:r>
        <w:instrText xml:space="preserve"> PAGEREF _Toc449982199 \h </w:instrText>
      </w:r>
      <w:r>
        <w:fldChar w:fldCharType="separate"/>
      </w:r>
      <w:r>
        <w:t>32</w:t>
      </w:r>
      <w:r>
        <w:fldChar w:fldCharType="end"/>
      </w:r>
    </w:p>
    <w:p w14:paraId="2D95746F" w14:textId="77777777" w:rsidR="00D5731A" w:rsidRDefault="00D5731A">
      <w:pPr>
        <w:pStyle w:val="Inhopg3"/>
        <w:rPr>
          <w:rFonts w:asciiTheme="minorHAnsi" w:eastAsiaTheme="minorEastAsia" w:hAnsiTheme="minorHAnsi" w:cstheme="minorBidi"/>
          <w:smallCaps w:val="0"/>
        </w:rPr>
      </w:pPr>
      <w:r>
        <w:t>Afdeling III. Pand op een handelszaak en landbouwvoorrecht</w:t>
      </w:r>
      <w:r>
        <w:tab/>
      </w:r>
      <w:r>
        <w:fldChar w:fldCharType="begin"/>
      </w:r>
      <w:r>
        <w:instrText xml:space="preserve"> PAGEREF _Toc449982200 \h </w:instrText>
      </w:r>
      <w:r>
        <w:fldChar w:fldCharType="separate"/>
      </w:r>
      <w:r>
        <w:t>32</w:t>
      </w:r>
      <w:r>
        <w:fldChar w:fldCharType="end"/>
      </w:r>
    </w:p>
    <w:p w14:paraId="59A09C91" w14:textId="77777777" w:rsidR="00D5731A" w:rsidRDefault="00D5731A">
      <w:pPr>
        <w:pStyle w:val="Inhopg4"/>
        <w:rPr>
          <w:rFonts w:asciiTheme="minorHAnsi" w:eastAsiaTheme="minorEastAsia" w:hAnsiTheme="minorHAnsi" w:cstheme="minorBidi"/>
          <w:i w:val="0"/>
          <w:iCs w:val="0"/>
        </w:rPr>
      </w:pPr>
      <w:r>
        <w:t>§1. Pand op een handelszaak</w:t>
      </w:r>
      <w:r>
        <w:tab/>
      </w:r>
      <w:r>
        <w:fldChar w:fldCharType="begin"/>
      </w:r>
      <w:r>
        <w:instrText xml:space="preserve"> PAGEREF _Toc449982201 \h </w:instrText>
      </w:r>
      <w:r>
        <w:fldChar w:fldCharType="separate"/>
      </w:r>
      <w:r>
        <w:t>33</w:t>
      </w:r>
      <w:r>
        <w:fldChar w:fldCharType="end"/>
      </w:r>
    </w:p>
    <w:p w14:paraId="01A34324" w14:textId="77777777" w:rsidR="00D5731A" w:rsidRDefault="00D5731A">
      <w:pPr>
        <w:pStyle w:val="Inhopg5"/>
        <w:rPr>
          <w:rFonts w:asciiTheme="minorHAnsi" w:eastAsiaTheme="minorEastAsia" w:hAnsiTheme="minorHAnsi" w:cstheme="minorBidi"/>
        </w:rPr>
      </w:pPr>
      <w:r>
        <w:t>A. Tegenwerpelijkheid door registratie</w:t>
      </w:r>
      <w:r>
        <w:tab/>
      </w:r>
      <w:r>
        <w:fldChar w:fldCharType="begin"/>
      </w:r>
      <w:r>
        <w:instrText xml:space="preserve"> PAGEREF _Toc449982202 \h </w:instrText>
      </w:r>
      <w:r>
        <w:fldChar w:fldCharType="separate"/>
      </w:r>
      <w:r>
        <w:t>33</w:t>
      </w:r>
      <w:r>
        <w:fldChar w:fldCharType="end"/>
      </w:r>
    </w:p>
    <w:p w14:paraId="6F537519" w14:textId="77777777" w:rsidR="00D5731A" w:rsidRDefault="00D5731A">
      <w:pPr>
        <w:pStyle w:val="Inhopg5"/>
        <w:rPr>
          <w:rFonts w:asciiTheme="minorHAnsi" w:eastAsiaTheme="minorEastAsia" w:hAnsiTheme="minorHAnsi" w:cstheme="minorBidi"/>
        </w:rPr>
      </w:pPr>
      <w:r>
        <w:t>B. Geen bescherming voor pandhouder op basis van artikel 2279 Burgerlijk Wetboek</w:t>
      </w:r>
      <w:r>
        <w:tab/>
      </w:r>
      <w:r>
        <w:fldChar w:fldCharType="begin"/>
      </w:r>
      <w:r>
        <w:instrText xml:space="preserve"> PAGEREF _Toc449982203 \h </w:instrText>
      </w:r>
      <w:r>
        <w:fldChar w:fldCharType="separate"/>
      </w:r>
      <w:r>
        <w:t>35</w:t>
      </w:r>
      <w:r>
        <w:fldChar w:fldCharType="end"/>
      </w:r>
    </w:p>
    <w:p w14:paraId="6FC022B0" w14:textId="77777777" w:rsidR="00D5731A" w:rsidRDefault="00D5731A">
      <w:pPr>
        <w:pStyle w:val="Inhopg4"/>
        <w:rPr>
          <w:rFonts w:asciiTheme="minorHAnsi" w:eastAsiaTheme="minorEastAsia" w:hAnsiTheme="minorHAnsi" w:cstheme="minorBidi"/>
          <w:i w:val="0"/>
          <w:iCs w:val="0"/>
        </w:rPr>
      </w:pPr>
      <w:r>
        <w:t>§2. Landbouwvoorrecht</w:t>
      </w:r>
      <w:r>
        <w:tab/>
      </w:r>
      <w:r>
        <w:fldChar w:fldCharType="begin"/>
      </w:r>
      <w:r>
        <w:instrText xml:space="preserve"> PAGEREF _Toc449982204 \h </w:instrText>
      </w:r>
      <w:r>
        <w:fldChar w:fldCharType="separate"/>
      </w:r>
      <w:r>
        <w:t>37</w:t>
      </w:r>
      <w:r>
        <w:fldChar w:fldCharType="end"/>
      </w:r>
    </w:p>
    <w:p w14:paraId="38FFA0D1" w14:textId="77777777" w:rsidR="00D5731A" w:rsidRDefault="00D5731A">
      <w:pPr>
        <w:pStyle w:val="Inhopg2"/>
        <w:rPr>
          <w:rFonts w:asciiTheme="minorHAnsi" w:eastAsiaTheme="minorEastAsia" w:hAnsiTheme="minorHAnsi" w:cstheme="minorBidi"/>
          <w:b w:val="0"/>
          <w:bCs w:val="0"/>
          <w:caps w:val="0"/>
        </w:rPr>
      </w:pPr>
      <w:r>
        <w:t>Hoofdstuk III. bescherming van de verkrijger te goeder trouw</w:t>
      </w:r>
      <w:r>
        <w:tab/>
      </w:r>
      <w:r>
        <w:fldChar w:fldCharType="begin"/>
      </w:r>
      <w:r>
        <w:instrText xml:space="preserve"> PAGEREF _Toc449982205 \h </w:instrText>
      </w:r>
      <w:r>
        <w:fldChar w:fldCharType="separate"/>
      </w:r>
      <w:r>
        <w:t>38</w:t>
      </w:r>
      <w:r>
        <w:fldChar w:fldCharType="end"/>
      </w:r>
    </w:p>
    <w:p w14:paraId="41C9348A" w14:textId="77777777" w:rsidR="00D5731A" w:rsidRDefault="00D5731A">
      <w:pPr>
        <w:pStyle w:val="Inhopg3"/>
        <w:rPr>
          <w:rFonts w:asciiTheme="minorHAnsi" w:eastAsiaTheme="minorEastAsia" w:hAnsiTheme="minorHAnsi" w:cstheme="minorBidi"/>
          <w:smallCaps w:val="0"/>
        </w:rPr>
      </w:pPr>
      <w:r>
        <w:t>Afdeling I. Vuistpand</w:t>
      </w:r>
      <w:r>
        <w:tab/>
      </w:r>
      <w:r>
        <w:fldChar w:fldCharType="begin"/>
      </w:r>
      <w:r>
        <w:instrText xml:space="preserve"> PAGEREF _Toc449982206 \h </w:instrText>
      </w:r>
      <w:r>
        <w:fldChar w:fldCharType="separate"/>
      </w:r>
      <w:r>
        <w:t>39</w:t>
      </w:r>
      <w:r>
        <w:fldChar w:fldCharType="end"/>
      </w:r>
    </w:p>
    <w:p w14:paraId="5EF157F7" w14:textId="77777777" w:rsidR="00D5731A" w:rsidRDefault="00D5731A">
      <w:pPr>
        <w:pStyle w:val="Inhopg3"/>
        <w:rPr>
          <w:rFonts w:asciiTheme="minorHAnsi" w:eastAsiaTheme="minorEastAsia" w:hAnsiTheme="minorHAnsi" w:cstheme="minorBidi"/>
          <w:smallCaps w:val="0"/>
        </w:rPr>
      </w:pPr>
      <w:r>
        <w:t>Afdeling II. pand op de handelszaak en landbouwvoorrecht</w:t>
      </w:r>
      <w:r>
        <w:tab/>
      </w:r>
      <w:r>
        <w:fldChar w:fldCharType="begin"/>
      </w:r>
      <w:r>
        <w:instrText xml:space="preserve"> PAGEREF _Toc449982207 \h </w:instrText>
      </w:r>
      <w:r>
        <w:fldChar w:fldCharType="separate"/>
      </w:r>
      <w:r>
        <w:t>41</w:t>
      </w:r>
      <w:r>
        <w:fldChar w:fldCharType="end"/>
      </w:r>
    </w:p>
    <w:p w14:paraId="6BC883A8" w14:textId="77777777" w:rsidR="00D5731A" w:rsidRDefault="00D5731A">
      <w:pPr>
        <w:pStyle w:val="Inhopg4"/>
        <w:rPr>
          <w:rFonts w:asciiTheme="minorHAnsi" w:eastAsiaTheme="minorEastAsia" w:hAnsiTheme="minorHAnsi" w:cstheme="minorBidi"/>
          <w:i w:val="0"/>
          <w:iCs w:val="0"/>
        </w:rPr>
      </w:pPr>
      <w:r>
        <w:t>§1. Pand op de handelszaak</w:t>
      </w:r>
      <w:r>
        <w:tab/>
      </w:r>
      <w:r>
        <w:fldChar w:fldCharType="begin"/>
      </w:r>
      <w:r>
        <w:instrText xml:space="preserve"> PAGEREF _Toc449982208 \h </w:instrText>
      </w:r>
      <w:r>
        <w:fldChar w:fldCharType="separate"/>
      </w:r>
      <w:r>
        <w:t>41</w:t>
      </w:r>
      <w:r>
        <w:fldChar w:fldCharType="end"/>
      </w:r>
    </w:p>
    <w:p w14:paraId="066FB793" w14:textId="77777777" w:rsidR="00D5731A" w:rsidRDefault="00D5731A">
      <w:pPr>
        <w:pStyle w:val="Inhopg5"/>
        <w:rPr>
          <w:rFonts w:asciiTheme="minorHAnsi" w:eastAsiaTheme="minorEastAsia" w:hAnsiTheme="minorHAnsi" w:cstheme="minorBidi"/>
        </w:rPr>
      </w:pPr>
      <w:r>
        <w:t>A. Beperkt volgrecht</w:t>
      </w:r>
      <w:r>
        <w:tab/>
      </w:r>
      <w:r>
        <w:fldChar w:fldCharType="begin"/>
      </w:r>
      <w:r>
        <w:instrText xml:space="preserve"> PAGEREF _Toc449982209 \h </w:instrText>
      </w:r>
      <w:r>
        <w:fldChar w:fldCharType="separate"/>
      </w:r>
      <w:r>
        <w:t>41</w:t>
      </w:r>
      <w:r>
        <w:fldChar w:fldCharType="end"/>
      </w:r>
    </w:p>
    <w:p w14:paraId="06E2397A" w14:textId="77777777" w:rsidR="00D5731A" w:rsidRDefault="00D5731A">
      <w:pPr>
        <w:pStyle w:val="Inhopg6"/>
        <w:rPr>
          <w:rFonts w:asciiTheme="minorHAnsi" w:eastAsiaTheme="minorEastAsia" w:hAnsiTheme="minorHAnsi" w:cstheme="minorBidi"/>
        </w:rPr>
      </w:pPr>
      <w:r>
        <w:t>1. Artikel 11, II Wet Pand Handelszaak</w:t>
      </w:r>
      <w:r>
        <w:tab/>
      </w:r>
      <w:r>
        <w:fldChar w:fldCharType="begin"/>
      </w:r>
      <w:r>
        <w:instrText xml:space="preserve"> PAGEREF _Toc449982210 \h </w:instrText>
      </w:r>
      <w:r>
        <w:fldChar w:fldCharType="separate"/>
      </w:r>
      <w:r>
        <w:t>41</w:t>
      </w:r>
      <w:r>
        <w:fldChar w:fldCharType="end"/>
      </w:r>
    </w:p>
    <w:p w14:paraId="2FC3C434" w14:textId="77777777" w:rsidR="00D5731A" w:rsidRDefault="00D5731A">
      <w:pPr>
        <w:pStyle w:val="Inhopg6"/>
        <w:rPr>
          <w:rFonts w:asciiTheme="minorHAnsi" w:eastAsiaTheme="minorEastAsia" w:hAnsiTheme="minorHAnsi" w:cstheme="minorBidi"/>
        </w:rPr>
      </w:pPr>
      <w:r>
        <w:t>2. Bescherming derde-verkrijger te goeder trouw</w:t>
      </w:r>
      <w:r>
        <w:tab/>
      </w:r>
      <w:r>
        <w:fldChar w:fldCharType="begin"/>
      </w:r>
      <w:r>
        <w:instrText xml:space="preserve"> PAGEREF _Toc449982211 \h </w:instrText>
      </w:r>
      <w:r>
        <w:fldChar w:fldCharType="separate"/>
      </w:r>
      <w:r>
        <w:t>42</w:t>
      </w:r>
      <w:r>
        <w:fldChar w:fldCharType="end"/>
      </w:r>
    </w:p>
    <w:p w14:paraId="044AD24A" w14:textId="77777777" w:rsidR="00D5731A" w:rsidRDefault="00D5731A">
      <w:pPr>
        <w:pStyle w:val="Inhopg6"/>
        <w:rPr>
          <w:rFonts w:asciiTheme="minorHAnsi" w:eastAsiaTheme="minorEastAsia" w:hAnsiTheme="minorHAnsi" w:cstheme="minorBidi"/>
        </w:rPr>
      </w:pPr>
      <w:r>
        <w:t>3. Handelingen binnen het normaal beheer van de handelszaak</w:t>
      </w:r>
      <w:r>
        <w:tab/>
      </w:r>
      <w:r>
        <w:fldChar w:fldCharType="begin"/>
      </w:r>
      <w:r>
        <w:instrText xml:space="preserve"> PAGEREF _Toc449982212 \h </w:instrText>
      </w:r>
      <w:r>
        <w:fldChar w:fldCharType="separate"/>
      </w:r>
      <w:r>
        <w:t>45</w:t>
      </w:r>
      <w:r>
        <w:fldChar w:fldCharType="end"/>
      </w:r>
    </w:p>
    <w:p w14:paraId="45721ABA" w14:textId="77777777" w:rsidR="00D5731A" w:rsidRDefault="00D5731A">
      <w:pPr>
        <w:pStyle w:val="Inhopg5"/>
        <w:rPr>
          <w:rFonts w:asciiTheme="minorHAnsi" w:eastAsiaTheme="minorEastAsia" w:hAnsiTheme="minorHAnsi" w:cstheme="minorBidi"/>
        </w:rPr>
      </w:pPr>
      <w:r>
        <w:t>B. Algemeen volgrecht</w:t>
      </w:r>
      <w:r>
        <w:tab/>
      </w:r>
      <w:r>
        <w:fldChar w:fldCharType="begin"/>
      </w:r>
      <w:r>
        <w:instrText xml:space="preserve"> PAGEREF _Toc449982213 \h </w:instrText>
      </w:r>
      <w:r>
        <w:fldChar w:fldCharType="separate"/>
      </w:r>
      <w:r>
        <w:t>46</w:t>
      </w:r>
      <w:r>
        <w:fldChar w:fldCharType="end"/>
      </w:r>
    </w:p>
    <w:p w14:paraId="4578341A" w14:textId="77777777" w:rsidR="00D5731A" w:rsidRDefault="00D5731A">
      <w:pPr>
        <w:pStyle w:val="Inhopg5"/>
        <w:rPr>
          <w:rFonts w:asciiTheme="minorHAnsi" w:eastAsiaTheme="minorEastAsia" w:hAnsiTheme="minorHAnsi" w:cstheme="minorBidi"/>
        </w:rPr>
      </w:pPr>
      <w:r>
        <w:t>C. Sanctie misbruik van vertrouwen</w:t>
      </w:r>
      <w:r>
        <w:tab/>
      </w:r>
      <w:r>
        <w:fldChar w:fldCharType="begin"/>
      </w:r>
      <w:r>
        <w:instrText xml:space="preserve"> PAGEREF _Toc449982214 \h </w:instrText>
      </w:r>
      <w:r>
        <w:fldChar w:fldCharType="separate"/>
      </w:r>
      <w:r>
        <w:t>47</w:t>
      </w:r>
      <w:r>
        <w:fldChar w:fldCharType="end"/>
      </w:r>
    </w:p>
    <w:p w14:paraId="2F739DD1" w14:textId="77777777" w:rsidR="00D5731A" w:rsidRDefault="00D5731A">
      <w:pPr>
        <w:pStyle w:val="Inhopg4"/>
        <w:rPr>
          <w:rFonts w:asciiTheme="minorHAnsi" w:eastAsiaTheme="minorEastAsia" w:hAnsiTheme="minorHAnsi" w:cstheme="minorBidi"/>
          <w:i w:val="0"/>
          <w:iCs w:val="0"/>
        </w:rPr>
      </w:pPr>
      <w:r>
        <w:t>§2. Landbouwvoorrecht</w:t>
      </w:r>
      <w:r>
        <w:tab/>
      </w:r>
      <w:r>
        <w:fldChar w:fldCharType="begin"/>
      </w:r>
      <w:r>
        <w:instrText xml:space="preserve"> PAGEREF _Toc449982215 \h </w:instrText>
      </w:r>
      <w:r>
        <w:fldChar w:fldCharType="separate"/>
      </w:r>
      <w:r>
        <w:t>47</w:t>
      </w:r>
      <w:r>
        <w:fldChar w:fldCharType="end"/>
      </w:r>
    </w:p>
    <w:p w14:paraId="017A22A3" w14:textId="77777777" w:rsidR="00D5731A" w:rsidRDefault="00D5731A">
      <w:pPr>
        <w:pStyle w:val="Inhopg1"/>
        <w:rPr>
          <w:rFonts w:asciiTheme="minorHAnsi" w:eastAsiaTheme="minorEastAsia" w:hAnsiTheme="minorHAnsi" w:cstheme="minorBidi"/>
          <w:b w:val="0"/>
          <w:caps w:val="0"/>
        </w:rPr>
      </w:pPr>
      <w:r>
        <w:t>Deel II: Wet 11 juli 2013</w:t>
      </w:r>
      <w:r>
        <w:tab/>
      </w:r>
      <w:r>
        <w:fldChar w:fldCharType="begin"/>
      </w:r>
      <w:r>
        <w:instrText xml:space="preserve"> PAGEREF _Toc449982216 \h </w:instrText>
      </w:r>
      <w:r>
        <w:fldChar w:fldCharType="separate"/>
      </w:r>
      <w:r>
        <w:t>49</w:t>
      </w:r>
      <w:r>
        <w:fldChar w:fldCharType="end"/>
      </w:r>
    </w:p>
    <w:p w14:paraId="458F742C" w14:textId="77777777" w:rsidR="00D5731A" w:rsidRDefault="00D5731A">
      <w:pPr>
        <w:pStyle w:val="Inhopg2"/>
        <w:rPr>
          <w:rFonts w:asciiTheme="minorHAnsi" w:eastAsiaTheme="minorEastAsia" w:hAnsiTheme="minorHAnsi" w:cstheme="minorBidi"/>
          <w:b w:val="0"/>
          <w:bCs w:val="0"/>
          <w:caps w:val="0"/>
        </w:rPr>
      </w:pPr>
      <w:r>
        <w:t>Hoofdstuk I. krachtlijnen van de hervorming</w:t>
      </w:r>
      <w:r>
        <w:tab/>
      </w:r>
      <w:r>
        <w:fldChar w:fldCharType="begin"/>
      </w:r>
      <w:r>
        <w:instrText xml:space="preserve"> PAGEREF _Toc449982217 \h </w:instrText>
      </w:r>
      <w:r>
        <w:fldChar w:fldCharType="separate"/>
      </w:r>
      <w:r>
        <w:t>49</w:t>
      </w:r>
      <w:r>
        <w:fldChar w:fldCharType="end"/>
      </w:r>
    </w:p>
    <w:p w14:paraId="2B68953A" w14:textId="77777777" w:rsidR="00D5731A" w:rsidRDefault="00D5731A">
      <w:pPr>
        <w:pStyle w:val="Inhopg3"/>
        <w:rPr>
          <w:rFonts w:asciiTheme="minorHAnsi" w:eastAsiaTheme="minorEastAsia" w:hAnsiTheme="minorHAnsi" w:cstheme="minorBidi"/>
          <w:smallCaps w:val="0"/>
        </w:rPr>
      </w:pPr>
      <w:r>
        <w:t>Afdeling I. algemeen</w:t>
      </w:r>
      <w:r>
        <w:tab/>
      </w:r>
      <w:r>
        <w:fldChar w:fldCharType="begin"/>
      </w:r>
      <w:r>
        <w:instrText xml:space="preserve"> PAGEREF _Toc449982218 \h </w:instrText>
      </w:r>
      <w:r>
        <w:fldChar w:fldCharType="separate"/>
      </w:r>
      <w:r>
        <w:t>49</w:t>
      </w:r>
      <w:r>
        <w:fldChar w:fldCharType="end"/>
      </w:r>
    </w:p>
    <w:p w14:paraId="66319DD2" w14:textId="77777777" w:rsidR="00D5731A" w:rsidRDefault="00D5731A">
      <w:pPr>
        <w:pStyle w:val="Inhopg3"/>
        <w:rPr>
          <w:rFonts w:asciiTheme="minorHAnsi" w:eastAsiaTheme="minorEastAsia" w:hAnsiTheme="minorHAnsi" w:cstheme="minorBidi"/>
          <w:smallCaps w:val="0"/>
        </w:rPr>
      </w:pPr>
      <w:r>
        <w:t>Afdeling II. afschaffing van buitenbezitstelling</w:t>
      </w:r>
      <w:r>
        <w:tab/>
      </w:r>
      <w:r>
        <w:fldChar w:fldCharType="begin"/>
      </w:r>
      <w:r>
        <w:instrText xml:space="preserve"> PAGEREF _Toc449982219 \h </w:instrText>
      </w:r>
      <w:r>
        <w:fldChar w:fldCharType="separate"/>
      </w:r>
      <w:r>
        <w:t>49</w:t>
      </w:r>
      <w:r>
        <w:fldChar w:fldCharType="end"/>
      </w:r>
    </w:p>
    <w:p w14:paraId="188073A2" w14:textId="77777777" w:rsidR="00D5731A" w:rsidRDefault="00D5731A">
      <w:pPr>
        <w:pStyle w:val="Inhopg3"/>
        <w:rPr>
          <w:rFonts w:asciiTheme="minorHAnsi" w:eastAsiaTheme="minorEastAsia" w:hAnsiTheme="minorHAnsi" w:cstheme="minorBidi"/>
          <w:smallCaps w:val="0"/>
        </w:rPr>
      </w:pPr>
      <w:r>
        <w:t>Afdeling III. organisatie van tegenwerpelijkheid</w:t>
      </w:r>
      <w:r>
        <w:tab/>
      </w:r>
      <w:r>
        <w:fldChar w:fldCharType="begin"/>
      </w:r>
      <w:r>
        <w:instrText xml:space="preserve"> PAGEREF _Toc449982220 \h </w:instrText>
      </w:r>
      <w:r>
        <w:fldChar w:fldCharType="separate"/>
      </w:r>
      <w:r>
        <w:t>51</w:t>
      </w:r>
      <w:r>
        <w:fldChar w:fldCharType="end"/>
      </w:r>
    </w:p>
    <w:p w14:paraId="12E0C860" w14:textId="77777777" w:rsidR="00D5731A" w:rsidRDefault="00D5731A">
      <w:pPr>
        <w:pStyle w:val="Inhopg4"/>
        <w:rPr>
          <w:rFonts w:asciiTheme="minorHAnsi" w:eastAsiaTheme="minorEastAsia" w:hAnsiTheme="minorHAnsi" w:cstheme="minorBidi"/>
          <w:i w:val="0"/>
          <w:iCs w:val="0"/>
        </w:rPr>
      </w:pPr>
      <w:r>
        <w:t>§1. Registerpand</w:t>
      </w:r>
      <w:r>
        <w:tab/>
      </w:r>
      <w:r>
        <w:fldChar w:fldCharType="begin"/>
      </w:r>
      <w:r>
        <w:instrText xml:space="preserve"> PAGEREF _Toc449982221 \h </w:instrText>
      </w:r>
      <w:r>
        <w:fldChar w:fldCharType="separate"/>
      </w:r>
      <w:r>
        <w:t>51</w:t>
      </w:r>
      <w:r>
        <w:fldChar w:fldCharType="end"/>
      </w:r>
    </w:p>
    <w:p w14:paraId="5473B908" w14:textId="77777777" w:rsidR="00D5731A" w:rsidRDefault="00D5731A">
      <w:pPr>
        <w:pStyle w:val="Inhopg4"/>
        <w:rPr>
          <w:rFonts w:asciiTheme="minorHAnsi" w:eastAsiaTheme="minorEastAsia" w:hAnsiTheme="minorHAnsi" w:cstheme="minorBidi"/>
          <w:i w:val="0"/>
          <w:iCs w:val="0"/>
        </w:rPr>
      </w:pPr>
      <w:r>
        <w:t>§2. Vuistpand</w:t>
      </w:r>
      <w:r>
        <w:tab/>
      </w:r>
      <w:r>
        <w:fldChar w:fldCharType="begin"/>
      </w:r>
      <w:r>
        <w:instrText xml:space="preserve"> PAGEREF _Toc449982222 \h </w:instrText>
      </w:r>
      <w:r>
        <w:fldChar w:fldCharType="separate"/>
      </w:r>
      <w:r>
        <w:t>52</w:t>
      </w:r>
      <w:r>
        <w:fldChar w:fldCharType="end"/>
      </w:r>
    </w:p>
    <w:p w14:paraId="768E3D8C" w14:textId="77777777" w:rsidR="00D5731A" w:rsidRDefault="00D5731A">
      <w:pPr>
        <w:pStyle w:val="Inhopg3"/>
        <w:rPr>
          <w:rFonts w:asciiTheme="minorHAnsi" w:eastAsiaTheme="minorEastAsia" w:hAnsiTheme="minorHAnsi" w:cstheme="minorBidi"/>
          <w:smallCaps w:val="0"/>
        </w:rPr>
      </w:pPr>
      <w:r>
        <w:t>Afdeling IV. Pand op handelszaak en landbouwvoorrecht</w:t>
      </w:r>
      <w:r>
        <w:tab/>
      </w:r>
      <w:r>
        <w:fldChar w:fldCharType="begin"/>
      </w:r>
      <w:r>
        <w:instrText xml:space="preserve"> PAGEREF _Toc449982223 \h </w:instrText>
      </w:r>
      <w:r>
        <w:fldChar w:fldCharType="separate"/>
      </w:r>
      <w:r>
        <w:t>53</w:t>
      </w:r>
      <w:r>
        <w:fldChar w:fldCharType="end"/>
      </w:r>
    </w:p>
    <w:p w14:paraId="49DC154D" w14:textId="77777777" w:rsidR="00D5731A" w:rsidRDefault="00D5731A">
      <w:pPr>
        <w:pStyle w:val="Inhopg2"/>
        <w:rPr>
          <w:rFonts w:asciiTheme="minorHAnsi" w:eastAsiaTheme="minorEastAsia" w:hAnsiTheme="minorHAnsi" w:cstheme="minorBidi"/>
          <w:b w:val="0"/>
          <w:bCs w:val="0"/>
          <w:caps w:val="0"/>
        </w:rPr>
      </w:pPr>
      <w:r>
        <w:t>Hoofdstuk II. BESCHERMING VAN DE PANDHOUDER TE GOEDER TROUW</w:t>
      </w:r>
      <w:r>
        <w:tab/>
      </w:r>
      <w:r>
        <w:fldChar w:fldCharType="begin"/>
      </w:r>
      <w:r>
        <w:instrText xml:space="preserve"> PAGEREF _Toc449982224 \h </w:instrText>
      </w:r>
      <w:r>
        <w:fldChar w:fldCharType="separate"/>
      </w:r>
      <w:r>
        <w:t>53</w:t>
      </w:r>
      <w:r>
        <w:fldChar w:fldCharType="end"/>
      </w:r>
    </w:p>
    <w:p w14:paraId="1B2A051D" w14:textId="77777777" w:rsidR="00D5731A" w:rsidRDefault="00D5731A">
      <w:pPr>
        <w:pStyle w:val="Inhopg3"/>
        <w:rPr>
          <w:rFonts w:asciiTheme="minorHAnsi" w:eastAsiaTheme="minorEastAsia" w:hAnsiTheme="minorHAnsi" w:cstheme="minorBidi"/>
          <w:smallCaps w:val="0"/>
        </w:rPr>
      </w:pPr>
      <w:r>
        <w:t>Afdeling I. Bevoegdheid tot verpanden</w:t>
      </w:r>
      <w:r>
        <w:tab/>
      </w:r>
      <w:r>
        <w:fldChar w:fldCharType="begin"/>
      </w:r>
      <w:r>
        <w:instrText xml:space="preserve"> PAGEREF _Toc449982225 \h </w:instrText>
      </w:r>
      <w:r>
        <w:fldChar w:fldCharType="separate"/>
      </w:r>
      <w:r>
        <w:t>53</w:t>
      </w:r>
      <w:r>
        <w:fldChar w:fldCharType="end"/>
      </w:r>
    </w:p>
    <w:p w14:paraId="3612F0B8" w14:textId="77777777" w:rsidR="00D5731A" w:rsidRDefault="00D5731A">
      <w:pPr>
        <w:pStyle w:val="Inhopg3"/>
        <w:rPr>
          <w:rFonts w:asciiTheme="minorHAnsi" w:eastAsiaTheme="minorEastAsia" w:hAnsiTheme="minorHAnsi" w:cstheme="minorBidi"/>
          <w:smallCaps w:val="0"/>
        </w:rPr>
      </w:pPr>
      <w:r>
        <w:t>Afdeling II. Bescherming van de pandhouder te goeder trouw</w:t>
      </w:r>
      <w:r>
        <w:tab/>
      </w:r>
      <w:r>
        <w:fldChar w:fldCharType="begin"/>
      </w:r>
      <w:r>
        <w:instrText xml:space="preserve"> PAGEREF _Toc449982226 \h </w:instrText>
      </w:r>
      <w:r>
        <w:fldChar w:fldCharType="separate"/>
      </w:r>
      <w:r>
        <w:t>55</w:t>
      </w:r>
      <w:r>
        <w:fldChar w:fldCharType="end"/>
      </w:r>
    </w:p>
    <w:p w14:paraId="0FA98BC1" w14:textId="77777777" w:rsidR="00D5731A" w:rsidRDefault="00D5731A">
      <w:pPr>
        <w:pStyle w:val="Inhopg4"/>
        <w:rPr>
          <w:rFonts w:asciiTheme="minorHAnsi" w:eastAsiaTheme="minorEastAsia" w:hAnsiTheme="minorHAnsi" w:cstheme="minorBidi"/>
          <w:i w:val="0"/>
          <w:iCs w:val="0"/>
        </w:rPr>
      </w:pPr>
      <w:r>
        <w:t>§1. Algemeen</w:t>
      </w:r>
      <w:r>
        <w:tab/>
      </w:r>
      <w:r>
        <w:fldChar w:fldCharType="begin"/>
      </w:r>
      <w:r>
        <w:instrText xml:space="preserve"> PAGEREF _Toc449982227 \h </w:instrText>
      </w:r>
      <w:r>
        <w:fldChar w:fldCharType="separate"/>
      </w:r>
      <w:r>
        <w:t>55</w:t>
      </w:r>
      <w:r>
        <w:fldChar w:fldCharType="end"/>
      </w:r>
    </w:p>
    <w:p w14:paraId="76631479" w14:textId="77777777" w:rsidR="00D5731A" w:rsidRDefault="00D5731A">
      <w:pPr>
        <w:pStyle w:val="Inhopg4"/>
        <w:rPr>
          <w:rFonts w:asciiTheme="minorHAnsi" w:eastAsiaTheme="minorEastAsia" w:hAnsiTheme="minorHAnsi" w:cstheme="minorBidi"/>
          <w:i w:val="0"/>
          <w:iCs w:val="0"/>
        </w:rPr>
      </w:pPr>
      <w:r>
        <w:t>§2. Bescherming pandhouder handelszaak en landbouwvoorrecht</w:t>
      </w:r>
      <w:r>
        <w:tab/>
      </w:r>
      <w:r>
        <w:fldChar w:fldCharType="begin"/>
      </w:r>
      <w:r>
        <w:instrText xml:space="preserve"> PAGEREF _Toc449982228 \h </w:instrText>
      </w:r>
      <w:r>
        <w:fldChar w:fldCharType="separate"/>
      </w:r>
      <w:r>
        <w:t>57</w:t>
      </w:r>
      <w:r>
        <w:fldChar w:fldCharType="end"/>
      </w:r>
    </w:p>
    <w:p w14:paraId="521549FC" w14:textId="77777777" w:rsidR="00D5731A" w:rsidRDefault="00D5731A">
      <w:pPr>
        <w:pStyle w:val="Inhopg4"/>
        <w:rPr>
          <w:rFonts w:asciiTheme="minorHAnsi" w:eastAsiaTheme="minorEastAsia" w:hAnsiTheme="minorHAnsi" w:cstheme="minorBidi"/>
          <w:i w:val="0"/>
          <w:iCs w:val="0"/>
        </w:rPr>
      </w:pPr>
      <w:r>
        <w:t>§3. Draagwijdte bescherming</w:t>
      </w:r>
      <w:r>
        <w:tab/>
      </w:r>
      <w:r>
        <w:fldChar w:fldCharType="begin"/>
      </w:r>
      <w:r>
        <w:instrText xml:space="preserve"> PAGEREF _Toc449982229 \h </w:instrText>
      </w:r>
      <w:r>
        <w:fldChar w:fldCharType="separate"/>
      </w:r>
      <w:r>
        <w:t>58</w:t>
      </w:r>
      <w:r>
        <w:fldChar w:fldCharType="end"/>
      </w:r>
    </w:p>
    <w:p w14:paraId="15C43545" w14:textId="77777777" w:rsidR="00D5731A" w:rsidRDefault="00D5731A">
      <w:pPr>
        <w:pStyle w:val="Inhopg2"/>
        <w:rPr>
          <w:rFonts w:asciiTheme="minorHAnsi" w:eastAsiaTheme="minorEastAsia" w:hAnsiTheme="minorHAnsi" w:cstheme="minorBidi"/>
          <w:b w:val="0"/>
          <w:bCs w:val="0"/>
          <w:caps w:val="0"/>
        </w:rPr>
      </w:pPr>
      <w:r>
        <w:lastRenderedPageBreak/>
        <w:t>Hoofdstuk III. BESCHERMING VAN DE verkrijger TE GOEDER TROUW</w:t>
      </w:r>
      <w:r>
        <w:tab/>
      </w:r>
      <w:r>
        <w:fldChar w:fldCharType="begin"/>
      </w:r>
      <w:r>
        <w:instrText xml:space="preserve"> PAGEREF _Toc449982230 \h </w:instrText>
      </w:r>
      <w:r>
        <w:fldChar w:fldCharType="separate"/>
      </w:r>
      <w:r>
        <w:t>60</w:t>
      </w:r>
      <w:r>
        <w:fldChar w:fldCharType="end"/>
      </w:r>
    </w:p>
    <w:p w14:paraId="233C610C" w14:textId="77777777" w:rsidR="00D5731A" w:rsidRDefault="00D5731A">
      <w:pPr>
        <w:pStyle w:val="Inhopg3"/>
        <w:rPr>
          <w:rFonts w:asciiTheme="minorHAnsi" w:eastAsiaTheme="minorEastAsia" w:hAnsiTheme="minorHAnsi" w:cstheme="minorBidi"/>
          <w:smallCaps w:val="0"/>
        </w:rPr>
      </w:pPr>
      <w:r>
        <w:t>Afdeling I. Volgrecht en beroep op artikel 2279 Burgerlijk Wetboek</w:t>
      </w:r>
      <w:r>
        <w:tab/>
      </w:r>
      <w:r>
        <w:fldChar w:fldCharType="begin"/>
      </w:r>
      <w:r>
        <w:instrText xml:space="preserve"> PAGEREF _Toc449982231 \h </w:instrText>
      </w:r>
      <w:r>
        <w:fldChar w:fldCharType="separate"/>
      </w:r>
      <w:r>
        <w:t>60</w:t>
      </w:r>
      <w:r>
        <w:fldChar w:fldCharType="end"/>
      </w:r>
    </w:p>
    <w:p w14:paraId="5E63E00D" w14:textId="77777777" w:rsidR="00D5731A" w:rsidRDefault="00D5731A">
      <w:pPr>
        <w:pStyle w:val="Inhopg3"/>
        <w:rPr>
          <w:rFonts w:asciiTheme="minorHAnsi" w:eastAsiaTheme="minorEastAsia" w:hAnsiTheme="minorHAnsi" w:cstheme="minorBidi"/>
          <w:smallCaps w:val="0"/>
        </w:rPr>
      </w:pPr>
      <w:r>
        <w:t>Afdeling II. Uitsluiting artikel 2279 Burgerlijk Wetboek voor professionelen</w:t>
      </w:r>
      <w:r>
        <w:tab/>
      </w:r>
      <w:r>
        <w:fldChar w:fldCharType="begin"/>
      </w:r>
      <w:r>
        <w:instrText xml:space="preserve"> PAGEREF _Toc449982232 \h </w:instrText>
      </w:r>
      <w:r>
        <w:fldChar w:fldCharType="separate"/>
      </w:r>
      <w:r>
        <w:t>64</w:t>
      </w:r>
      <w:r>
        <w:fldChar w:fldCharType="end"/>
      </w:r>
    </w:p>
    <w:p w14:paraId="389732A2" w14:textId="77777777" w:rsidR="00D5731A" w:rsidRDefault="00D5731A">
      <w:pPr>
        <w:pStyle w:val="Inhopg4"/>
        <w:rPr>
          <w:rFonts w:asciiTheme="minorHAnsi" w:eastAsiaTheme="minorEastAsia" w:hAnsiTheme="minorHAnsi" w:cstheme="minorBidi"/>
          <w:i w:val="0"/>
          <w:iCs w:val="0"/>
        </w:rPr>
      </w:pPr>
      <w:r>
        <w:t>§1. Onderscheid professionelen en consumenten</w:t>
      </w:r>
      <w:r>
        <w:tab/>
      </w:r>
      <w:r>
        <w:fldChar w:fldCharType="begin"/>
      </w:r>
      <w:r>
        <w:instrText xml:space="preserve"> PAGEREF _Toc449982233 \h </w:instrText>
      </w:r>
      <w:r>
        <w:fldChar w:fldCharType="separate"/>
      </w:r>
      <w:r>
        <w:t>64</w:t>
      </w:r>
      <w:r>
        <w:fldChar w:fldCharType="end"/>
      </w:r>
    </w:p>
    <w:p w14:paraId="1B7E3783" w14:textId="77777777" w:rsidR="00D5731A" w:rsidRDefault="00D5731A">
      <w:pPr>
        <w:pStyle w:val="Inhopg5"/>
        <w:rPr>
          <w:rFonts w:asciiTheme="minorHAnsi" w:eastAsiaTheme="minorEastAsia" w:hAnsiTheme="minorHAnsi" w:cstheme="minorBidi"/>
        </w:rPr>
      </w:pPr>
      <w:r>
        <w:t>A. Ratio legis</w:t>
      </w:r>
      <w:r>
        <w:tab/>
      </w:r>
      <w:r>
        <w:fldChar w:fldCharType="begin"/>
      </w:r>
      <w:r>
        <w:instrText xml:space="preserve"> PAGEREF _Toc449982234 \h </w:instrText>
      </w:r>
      <w:r>
        <w:fldChar w:fldCharType="separate"/>
      </w:r>
      <w:r>
        <w:t>64</w:t>
      </w:r>
      <w:r>
        <w:fldChar w:fldCharType="end"/>
      </w:r>
    </w:p>
    <w:p w14:paraId="54245B14" w14:textId="77777777" w:rsidR="00D5731A" w:rsidRDefault="00D5731A">
      <w:pPr>
        <w:pStyle w:val="Inhopg5"/>
        <w:rPr>
          <w:rFonts w:asciiTheme="minorHAnsi" w:eastAsiaTheme="minorEastAsia" w:hAnsiTheme="minorHAnsi" w:cstheme="minorBidi"/>
        </w:rPr>
      </w:pPr>
      <w:r>
        <w:t>B. Consumenten</w:t>
      </w:r>
      <w:r>
        <w:tab/>
      </w:r>
      <w:r>
        <w:fldChar w:fldCharType="begin"/>
      </w:r>
      <w:r>
        <w:instrText xml:space="preserve"> PAGEREF _Toc449982235 \h </w:instrText>
      </w:r>
      <w:r>
        <w:fldChar w:fldCharType="separate"/>
      </w:r>
      <w:r>
        <w:t>65</w:t>
      </w:r>
      <w:r>
        <w:fldChar w:fldCharType="end"/>
      </w:r>
    </w:p>
    <w:p w14:paraId="11C6FAD7" w14:textId="77777777" w:rsidR="00D5731A" w:rsidRDefault="00D5731A">
      <w:pPr>
        <w:pStyle w:val="Inhopg6"/>
        <w:rPr>
          <w:rFonts w:asciiTheme="minorHAnsi" w:eastAsiaTheme="minorEastAsia" w:hAnsiTheme="minorHAnsi" w:cstheme="minorBidi"/>
        </w:rPr>
      </w:pPr>
      <w:r>
        <w:t>1. Begrip consument</w:t>
      </w:r>
      <w:r>
        <w:tab/>
      </w:r>
      <w:r>
        <w:fldChar w:fldCharType="begin"/>
      </w:r>
      <w:r>
        <w:instrText xml:space="preserve"> PAGEREF _Toc449982236 \h </w:instrText>
      </w:r>
      <w:r>
        <w:fldChar w:fldCharType="separate"/>
      </w:r>
      <w:r>
        <w:t>65</w:t>
      </w:r>
      <w:r>
        <w:fldChar w:fldCharType="end"/>
      </w:r>
    </w:p>
    <w:p w14:paraId="1991C527" w14:textId="77777777" w:rsidR="00D5731A" w:rsidRDefault="00D5731A">
      <w:pPr>
        <w:pStyle w:val="Inhopg6"/>
        <w:rPr>
          <w:rFonts w:asciiTheme="minorHAnsi" w:eastAsiaTheme="minorEastAsia" w:hAnsiTheme="minorHAnsi" w:cstheme="minorBidi"/>
        </w:rPr>
      </w:pPr>
      <w:r>
        <w:t>2. Beroep op bescherming artikel 2279 Burgerlijk Wetboek</w:t>
      </w:r>
      <w:r>
        <w:tab/>
      </w:r>
      <w:r>
        <w:fldChar w:fldCharType="begin"/>
      </w:r>
      <w:r>
        <w:instrText xml:space="preserve"> PAGEREF _Toc449982237 \h </w:instrText>
      </w:r>
      <w:r>
        <w:fldChar w:fldCharType="separate"/>
      </w:r>
      <w:r>
        <w:t>66</w:t>
      </w:r>
      <w:r>
        <w:fldChar w:fldCharType="end"/>
      </w:r>
    </w:p>
    <w:p w14:paraId="084521BE" w14:textId="77777777" w:rsidR="00D5731A" w:rsidRDefault="00D5731A">
      <w:pPr>
        <w:pStyle w:val="Inhopg6"/>
        <w:rPr>
          <w:rFonts w:asciiTheme="minorHAnsi" w:eastAsiaTheme="minorEastAsia" w:hAnsiTheme="minorHAnsi" w:cstheme="minorBidi"/>
        </w:rPr>
      </w:pPr>
      <w:r>
        <w:t>3. Andere vormen van bescherming voor consumenten</w:t>
      </w:r>
      <w:r>
        <w:tab/>
      </w:r>
      <w:r>
        <w:fldChar w:fldCharType="begin"/>
      </w:r>
      <w:r>
        <w:instrText xml:space="preserve"> PAGEREF _Toc449982238 \h </w:instrText>
      </w:r>
      <w:r>
        <w:fldChar w:fldCharType="separate"/>
      </w:r>
      <w:r>
        <w:t>67</w:t>
      </w:r>
      <w:r>
        <w:fldChar w:fldCharType="end"/>
      </w:r>
    </w:p>
    <w:p w14:paraId="5F2C2ED1" w14:textId="77777777" w:rsidR="00D5731A" w:rsidRDefault="00D5731A">
      <w:pPr>
        <w:pStyle w:val="Inhopg6"/>
        <w:rPr>
          <w:rFonts w:asciiTheme="minorHAnsi" w:eastAsiaTheme="minorEastAsia" w:hAnsiTheme="minorHAnsi" w:cstheme="minorBidi"/>
        </w:rPr>
      </w:pPr>
      <w:r>
        <w:t>4. Aanleiding tot misbruiken?</w:t>
      </w:r>
      <w:r>
        <w:tab/>
      </w:r>
      <w:r>
        <w:fldChar w:fldCharType="begin"/>
      </w:r>
      <w:r>
        <w:instrText xml:space="preserve"> PAGEREF _Toc449982239 \h </w:instrText>
      </w:r>
      <w:r>
        <w:fldChar w:fldCharType="separate"/>
      </w:r>
      <w:r>
        <w:t>68</w:t>
      </w:r>
      <w:r>
        <w:fldChar w:fldCharType="end"/>
      </w:r>
    </w:p>
    <w:p w14:paraId="3D0CFBFD" w14:textId="77777777" w:rsidR="00D5731A" w:rsidRDefault="00D5731A">
      <w:pPr>
        <w:pStyle w:val="Inhopg5"/>
        <w:rPr>
          <w:rFonts w:asciiTheme="minorHAnsi" w:eastAsiaTheme="minorEastAsia" w:hAnsiTheme="minorHAnsi" w:cstheme="minorBidi"/>
        </w:rPr>
      </w:pPr>
      <w:r>
        <w:t>C. Professionelen</w:t>
      </w:r>
      <w:r>
        <w:tab/>
      </w:r>
      <w:r>
        <w:fldChar w:fldCharType="begin"/>
      </w:r>
      <w:r>
        <w:instrText xml:space="preserve"> PAGEREF _Toc449982240 \h </w:instrText>
      </w:r>
      <w:r>
        <w:fldChar w:fldCharType="separate"/>
      </w:r>
      <w:r>
        <w:t>68</w:t>
      </w:r>
      <w:r>
        <w:fldChar w:fldCharType="end"/>
      </w:r>
    </w:p>
    <w:p w14:paraId="362C009D" w14:textId="77777777" w:rsidR="00D5731A" w:rsidRDefault="00D5731A">
      <w:pPr>
        <w:pStyle w:val="Inhopg6"/>
        <w:rPr>
          <w:rFonts w:asciiTheme="minorHAnsi" w:eastAsiaTheme="minorEastAsia" w:hAnsiTheme="minorHAnsi" w:cstheme="minorBidi"/>
        </w:rPr>
      </w:pPr>
      <w:r>
        <w:t>1. Enkel directe rechtsverkrijgers</w:t>
      </w:r>
      <w:r>
        <w:tab/>
      </w:r>
      <w:r>
        <w:fldChar w:fldCharType="begin"/>
      </w:r>
      <w:r>
        <w:instrText xml:space="preserve"> PAGEREF _Toc449982241 \h </w:instrText>
      </w:r>
      <w:r>
        <w:fldChar w:fldCharType="separate"/>
      </w:r>
      <w:r>
        <w:t>68</w:t>
      </w:r>
      <w:r>
        <w:fldChar w:fldCharType="end"/>
      </w:r>
    </w:p>
    <w:p w14:paraId="5120497F" w14:textId="77777777" w:rsidR="00D5731A" w:rsidRDefault="00D5731A">
      <w:pPr>
        <w:pStyle w:val="Inhopg6"/>
        <w:rPr>
          <w:rFonts w:asciiTheme="minorHAnsi" w:eastAsiaTheme="minorEastAsia" w:hAnsiTheme="minorHAnsi" w:cstheme="minorBidi"/>
        </w:rPr>
      </w:pPr>
      <w:r>
        <w:t>2. Noodzaak aan een makkelijk toegankelijk register</w:t>
      </w:r>
      <w:r>
        <w:tab/>
      </w:r>
      <w:r>
        <w:fldChar w:fldCharType="begin"/>
      </w:r>
      <w:r>
        <w:instrText xml:space="preserve"> PAGEREF _Toc449982242 \h </w:instrText>
      </w:r>
      <w:r>
        <w:fldChar w:fldCharType="separate"/>
      </w:r>
      <w:r>
        <w:t>69</w:t>
      </w:r>
      <w:r>
        <w:fldChar w:fldCharType="end"/>
      </w:r>
    </w:p>
    <w:p w14:paraId="5EB06B65" w14:textId="77777777" w:rsidR="00D5731A" w:rsidRDefault="00D5731A">
      <w:pPr>
        <w:pStyle w:val="Inhopg6"/>
        <w:rPr>
          <w:rFonts w:asciiTheme="minorHAnsi" w:eastAsiaTheme="minorEastAsia" w:hAnsiTheme="minorHAnsi" w:cstheme="minorBidi"/>
        </w:rPr>
      </w:pPr>
      <w:r>
        <w:t>3. Implicaties voor de professionele verkoper</w:t>
      </w:r>
      <w:r>
        <w:tab/>
      </w:r>
      <w:r>
        <w:fldChar w:fldCharType="begin"/>
      </w:r>
      <w:r>
        <w:instrText xml:space="preserve"> PAGEREF _Toc449982243 \h </w:instrText>
      </w:r>
      <w:r>
        <w:fldChar w:fldCharType="separate"/>
      </w:r>
      <w:r>
        <w:t>69</w:t>
      </w:r>
      <w:r>
        <w:fldChar w:fldCharType="end"/>
      </w:r>
    </w:p>
    <w:p w14:paraId="3114EEDD" w14:textId="77777777" w:rsidR="00D5731A" w:rsidRDefault="00D5731A">
      <w:pPr>
        <w:pStyle w:val="Inhopg4"/>
        <w:rPr>
          <w:rFonts w:asciiTheme="minorHAnsi" w:eastAsiaTheme="minorEastAsia" w:hAnsiTheme="minorHAnsi" w:cstheme="minorBidi"/>
          <w:i w:val="0"/>
          <w:iCs w:val="0"/>
        </w:rPr>
      </w:pPr>
      <w:r>
        <w:t>§2. Terugkoppeling naar registerpanden onder huidige recht</w:t>
      </w:r>
      <w:r>
        <w:tab/>
      </w:r>
      <w:r>
        <w:fldChar w:fldCharType="begin"/>
      </w:r>
      <w:r>
        <w:instrText xml:space="preserve"> PAGEREF _Toc449982244 \h </w:instrText>
      </w:r>
      <w:r>
        <w:fldChar w:fldCharType="separate"/>
      </w:r>
      <w:r>
        <w:t>70</w:t>
      </w:r>
      <w:r>
        <w:fldChar w:fldCharType="end"/>
      </w:r>
    </w:p>
    <w:p w14:paraId="0B1C60B7" w14:textId="77777777" w:rsidR="00D5731A" w:rsidRDefault="00D5731A">
      <w:pPr>
        <w:pStyle w:val="Inhopg4"/>
        <w:rPr>
          <w:rFonts w:asciiTheme="minorHAnsi" w:eastAsiaTheme="minorEastAsia" w:hAnsiTheme="minorHAnsi" w:cstheme="minorBidi"/>
          <w:i w:val="0"/>
          <w:iCs w:val="0"/>
        </w:rPr>
      </w:pPr>
      <w:r>
        <w:t>§3. Misbruik van vertrouwen</w:t>
      </w:r>
      <w:r>
        <w:tab/>
      </w:r>
      <w:r>
        <w:fldChar w:fldCharType="begin"/>
      </w:r>
      <w:r>
        <w:instrText xml:space="preserve"> PAGEREF _Toc449982245 \h </w:instrText>
      </w:r>
      <w:r>
        <w:fldChar w:fldCharType="separate"/>
      </w:r>
      <w:r>
        <w:t>71</w:t>
      </w:r>
      <w:r>
        <w:fldChar w:fldCharType="end"/>
      </w:r>
    </w:p>
    <w:p w14:paraId="5AB70A72" w14:textId="77777777" w:rsidR="00D5731A" w:rsidRDefault="00D5731A">
      <w:pPr>
        <w:pStyle w:val="Inhopg4"/>
        <w:rPr>
          <w:rFonts w:asciiTheme="minorHAnsi" w:eastAsiaTheme="minorEastAsia" w:hAnsiTheme="minorHAnsi" w:cstheme="minorBidi"/>
          <w:i w:val="0"/>
          <w:iCs w:val="0"/>
        </w:rPr>
      </w:pPr>
      <w:r>
        <w:t>§4. Kritiek op de uitsluiting</w:t>
      </w:r>
      <w:r>
        <w:tab/>
      </w:r>
      <w:r>
        <w:fldChar w:fldCharType="begin"/>
      </w:r>
      <w:r>
        <w:instrText xml:space="preserve"> PAGEREF _Toc449982246 \h </w:instrText>
      </w:r>
      <w:r>
        <w:fldChar w:fldCharType="separate"/>
      </w:r>
      <w:r>
        <w:t>71</w:t>
      </w:r>
      <w:r>
        <w:fldChar w:fldCharType="end"/>
      </w:r>
    </w:p>
    <w:p w14:paraId="3B189992" w14:textId="77777777" w:rsidR="00D5731A" w:rsidRDefault="00D5731A">
      <w:pPr>
        <w:pStyle w:val="Inhopg4"/>
        <w:rPr>
          <w:rFonts w:asciiTheme="minorHAnsi" w:eastAsiaTheme="minorEastAsia" w:hAnsiTheme="minorHAnsi" w:cstheme="minorBidi"/>
          <w:i w:val="0"/>
          <w:iCs w:val="0"/>
        </w:rPr>
      </w:pPr>
      <w:r>
        <w:t>§5. Gevolgen uitsluiting volgrecht</w:t>
      </w:r>
      <w:r>
        <w:tab/>
      </w:r>
      <w:r>
        <w:fldChar w:fldCharType="begin"/>
      </w:r>
      <w:r>
        <w:instrText xml:space="preserve"> PAGEREF _Toc449982247 \h </w:instrText>
      </w:r>
      <w:r>
        <w:fldChar w:fldCharType="separate"/>
      </w:r>
      <w:r>
        <w:t>72</w:t>
      </w:r>
      <w:r>
        <w:fldChar w:fldCharType="end"/>
      </w:r>
    </w:p>
    <w:p w14:paraId="39C84DEE" w14:textId="77777777" w:rsidR="00D5731A" w:rsidRDefault="00D5731A">
      <w:pPr>
        <w:pStyle w:val="Inhopg3"/>
        <w:rPr>
          <w:rFonts w:asciiTheme="minorHAnsi" w:eastAsiaTheme="minorEastAsia" w:hAnsiTheme="minorHAnsi" w:cstheme="minorBidi"/>
          <w:smallCaps w:val="0"/>
        </w:rPr>
      </w:pPr>
      <w:r>
        <w:t>Afdeling III. Neutralisatie uitsluiting artikel 2279 Burgerlijk Wetboek?</w:t>
      </w:r>
      <w:r>
        <w:tab/>
      </w:r>
      <w:r>
        <w:fldChar w:fldCharType="begin"/>
      </w:r>
      <w:r>
        <w:instrText xml:space="preserve"> PAGEREF _Toc449982248 \h </w:instrText>
      </w:r>
      <w:r>
        <w:fldChar w:fldCharType="separate"/>
      </w:r>
      <w:r>
        <w:t>73</w:t>
      </w:r>
      <w:r>
        <w:fldChar w:fldCharType="end"/>
      </w:r>
    </w:p>
    <w:p w14:paraId="54627FC6" w14:textId="77777777" w:rsidR="00D5731A" w:rsidRDefault="00D5731A">
      <w:pPr>
        <w:pStyle w:val="Inhopg4"/>
        <w:rPr>
          <w:rFonts w:asciiTheme="minorHAnsi" w:eastAsiaTheme="minorEastAsia" w:hAnsiTheme="minorHAnsi" w:cstheme="minorBidi"/>
          <w:i w:val="0"/>
          <w:iCs w:val="0"/>
        </w:rPr>
      </w:pPr>
      <w:r>
        <w:t>§1. Neutralisatie door beschikking binnen de normale bedrijfsuitvoering</w:t>
      </w:r>
      <w:r>
        <w:tab/>
      </w:r>
      <w:r>
        <w:fldChar w:fldCharType="begin"/>
      </w:r>
      <w:r>
        <w:instrText xml:space="preserve"> PAGEREF _Toc449982249 \h </w:instrText>
      </w:r>
      <w:r>
        <w:fldChar w:fldCharType="separate"/>
      </w:r>
      <w:r>
        <w:t>73</w:t>
      </w:r>
      <w:r>
        <w:fldChar w:fldCharType="end"/>
      </w:r>
    </w:p>
    <w:p w14:paraId="61CCA060" w14:textId="77777777" w:rsidR="00D5731A" w:rsidRDefault="00D5731A">
      <w:pPr>
        <w:pStyle w:val="Inhopg5"/>
        <w:rPr>
          <w:rFonts w:asciiTheme="minorHAnsi" w:eastAsiaTheme="minorEastAsia" w:hAnsiTheme="minorHAnsi" w:cstheme="minorBidi"/>
        </w:rPr>
      </w:pPr>
      <w:r>
        <w:t>A. Regel</w:t>
      </w:r>
      <w:r>
        <w:tab/>
      </w:r>
      <w:r>
        <w:fldChar w:fldCharType="begin"/>
      </w:r>
      <w:r>
        <w:instrText xml:space="preserve"> PAGEREF _Toc449982250 \h </w:instrText>
      </w:r>
      <w:r>
        <w:fldChar w:fldCharType="separate"/>
      </w:r>
      <w:r>
        <w:t>73</w:t>
      </w:r>
      <w:r>
        <w:fldChar w:fldCharType="end"/>
      </w:r>
    </w:p>
    <w:p w14:paraId="02316DBA" w14:textId="77777777" w:rsidR="00D5731A" w:rsidRDefault="00D5731A">
      <w:pPr>
        <w:pStyle w:val="Inhopg5"/>
        <w:rPr>
          <w:rFonts w:asciiTheme="minorHAnsi" w:eastAsiaTheme="minorEastAsia" w:hAnsiTheme="minorHAnsi" w:cstheme="minorBidi"/>
        </w:rPr>
      </w:pPr>
      <w:r>
        <w:t>B. Ratio legis</w:t>
      </w:r>
      <w:r>
        <w:tab/>
      </w:r>
      <w:r>
        <w:fldChar w:fldCharType="begin"/>
      </w:r>
      <w:r>
        <w:instrText xml:space="preserve"> PAGEREF _Toc449982251 \h </w:instrText>
      </w:r>
      <w:r>
        <w:fldChar w:fldCharType="separate"/>
      </w:r>
      <w:r>
        <w:t>74</w:t>
      </w:r>
      <w:r>
        <w:fldChar w:fldCharType="end"/>
      </w:r>
    </w:p>
    <w:p w14:paraId="3D4B2CCC" w14:textId="77777777" w:rsidR="00D5731A" w:rsidRDefault="00D5731A">
      <w:pPr>
        <w:pStyle w:val="Inhopg5"/>
        <w:rPr>
          <w:rFonts w:asciiTheme="minorHAnsi" w:eastAsiaTheme="minorEastAsia" w:hAnsiTheme="minorHAnsi" w:cstheme="minorBidi"/>
        </w:rPr>
      </w:pPr>
      <w:r>
        <w:t>C. Begrip</w:t>
      </w:r>
      <w:r>
        <w:tab/>
      </w:r>
      <w:r>
        <w:fldChar w:fldCharType="begin"/>
      </w:r>
      <w:r>
        <w:instrText xml:space="preserve"> PAGEREF _Toc449982252 \h </w:instrText>
      </w:r>
      <w:r>
        <w:fldChar w:fldCharType="separate"/>
      </w:r>
      <w:r>
        <w:t>75</w:t>
      </w:r>
      <w:r>
        <w:fldChar w:fldCharType="end"/>
      </w:r>
    </w:p>
    <w:p w14:paraId="080258BE" w14:textId="77777777" w:rsidR="00D5731A" w:rsidRDefault="00D5731A">
      <w:pPr>
        <w:pStyle w:val="Inhopg5"/>
        <w:rPr>
          <w:rFonts w:asciiTheme="minorHAnsi" w:eastAsiaTheme="minorEastAsia" w:hAnsiTheme="minorHAnsi" w:cstheme="minorBidi"/>
        </w:rPr>
      </w:pPr>
      <w:r>
        <w:t>D. Uitsluitingen of beperkingen</w:t>
      </w:r>
      <w:r>
        <w:tab/>
      </w:r>
      <w:r>
        <w:fldChar w:fldCharType="begin"/>
      </w:r>
      <w:r>
        <w:instrText xml:space="preserve"> PAGEREF _Toc449982253 \h </w:instrText>
      </w:r>
      <w:r>
        <w:fldChar w:fldCharType="separate"/>
      </w:r>
      <w:r>
        <w:t>75</w:t>
      </w:r>
      <w:r>
        <w:fldChar w:fldCharType="end"/>
      </w:r>
    </w:p>
    <w:p w14:paraId="5D133834" w14:textId="77777777" w:rsidR="00D5731A" w:rsidRDefault="00D5731A">
      <w:pPr>
        <w:pStyle w:val="Inhopg4"/>
        <w:rPr>
          <w:rFonts w:asciiTheme="minorHAnsi" w:eastAsiaTheme="minorEastAsia" w:hAnsiTheme="minorHAnsi" w:cstheme="minorBidi"/>
          <w:i w:val="0"/>
          <w:iCs w:val="0"/>
        </w:rPr>
      </w:pPr>
      <w:r>
        <w:t>§2. Illustratie aan de hand van een voorbeeld</w:t>
      </w:r>
      <w:r>
        <w:tab/>
      </w:r>
      <w:r>
        <w:fldChar w:fldCharType="begin"/>
      </w:r>
      <w:r>
        <w:instrText xml:space="preserve"> PAGEREF _Toc449982254 \h </w:instrText>
      </w:r>
      <w:r>
        <w:fldChar w:fldCharType="separate"/>
      </w:r>
      <w:r>
        <w:t>76</w:t>
      </w:r>
      <w:r>
        <w:fldChar w:fldCharType="end"/>
      </w:r>
    </w:p>
    <w:p w14:paraId="45601229" w14:textId="77777777" w:rsidR="00D5731A" w:rsidRDefault="00D5731A">
      <w:pPr>
        <w:pStyle w:val="Inhopg4"/>
        <w:rPr>
          <w:rFonts w:asciiTheme="minorHAnsi" w:eastAsiaTheme="minorEastAsia" w:hAnsiTheme="minorHAnsi" w:cstheme="minorBidi"/>
          <w:i w:val="0"/>
          <w:iCs w:val="0"/>
        </w:rPr>
      </w:pPr>
      <w:r>
        <w:t>§3. Nuancering neutralisatie artikel 2279 Burgerlijk Wetboek</w:t>
      </w:r>
      <w:r>
        <w:tab/>
      </w:r>
      <w:r>
        <w:fldChar w:fldCharType="begin"/>
      </w:r>
      <w:r>
        <w:instrText xml:space="preserve"> PAGEREF _Toc449982255 \h </w:instrText>
      </w:r>
      <w:r>
        <w:fldChar w:fldCharType="separate"/>
      </w:r>
      <w:r>
        <w:t>77</w:t>
      </w:r>
      <w:r>
        <w:fldChar w:fldCharType="end"/>
      </w:r>
    </w:p>
    <w:p w14:paraId="11A57E9F" w14:textId="77777777" w:rsidR="00D5731A" w:rsidRDefault="00D5731A">
      <w:pPr>
        <w:pStyle w:val="Inhopg1"/>
        <w:rPr>
          <w:rFonts w:asciiTheme="minorHAnsi" w:eastAsiaTheme="minorEastAsia" w:hAnsiTheme="minorHAnsi" w:cstheme="minorBidi"/>
          <w:b w:val="0"/>
          <w:caps w:val="0"/>
        </w:rPr>
      </w:pPr>
      <w:r w:rsidRPr="00A2239D">
        <w:rPr>
          <w:rFonts w:eastAsia="MS Mincho"/>
        </w:rPr>
        <w:t>besluit</w:t>
      </w:r>
      <w:r>
        <w:tab/>
      </w:r>
      <w:r>
        <w:fldChar w:fldCharType="begin"/>
      </w:r>
      <w:r>
        <w:instrText xml:space="preserve"> PAGEREF _Toc449982256 \h </w:instrText>
      </w:r>
      <w:r>
        <w:fldChar w:fldCharType="separate"/>
      </w:r>
      <w:r>
        <w:t>79</w:t>
      </w:r>
      <w:r>
        <w:fldChar w:fldCharType="end"/>
      </w:r>
    </w:p>
    <w:p w14:paraId="14F7576E" w14:textId="77777777" w:rsidR="00D5731A" w:rsidRDefault="00D5731A">
      <w:pPr>
        <w:pStyle w:val="Inhopg1"/>
        <w:rPr>
          <w:rFonts w:asciiTheme="minorHAnsi" w:eastAsiaTheme="minorEastAsia" w:hAnsiTheme="minorHAnsi" w:cstheme="minorBidi"/>
          <w:b w:val="0"/>
          <w:caps w:val="0"/>
        </w:rPr>
      </w:pPr>
      <w:r>
        <w:t>bibliografie</w:t>
      </w:r>
      <w:r>
        <w:tab/>
      </w:r>
      <w:r>
        <w:fldChar w:fldCharType="begin"/>
      </w:r>
      <w:r>
        <w:instrText xml:space="preserve"> PAGEREF _Toc449982257 \h </w:instrText>
      </w:r>
      <w:r>
        <w:fldChar w:fldCharType="separate"/>
      </w:r>
      <w:r>
        <w:t>83</w:t>
      </w:r>
      <w:r>
        <w:fldChar w:fldCharType="end"/>
      </w:r>
    </w:p>
    <w:p w14:paraId="6FE1DD3E" w14:textId="77777777" w:rsidR="00D5731A" w:rsidRDefault="00D5731A">
      <w:pPr>
        <w:pStyle w:val="Inhopg2"/>
        <w:rPr>
          <w:rFonts w:asciiTheme="minorHAnsi" w:eastAsiaTheme="minorEastAsia" w:hAnsiTheme="minorHAnsi" w:cstheme="minorBidi"/>
          <w:b w:val="0"/>
          <w:bCs w:val="0"/>
          <w:caps w:val="0"/>
        </w:rPr>
      </w:pPr>
      <w:r>
        <w:t>België</w:t>
      </w:r>
      <w:r>
        <w:tab/>
      </w:r>
      <w:r>
        <w:fldChar w:fldCharType="begin"/>
      </w:r>
      <w:r>
        <w:instrText xml:space="preserve"> PAGEREF _Toc449982258 \h </w:instrText>
      </w:r>
      <w:r>
        <w:fldChar w:fldCharType="separate"/>
      </w:r>
      <w:r>
        <w:t>83</w:t>
      </w:r>
      <w:r>
        <w:fldChar w:fldCharType="end"/>
      </w:r>
    </w:p>
    <w:p w14:paraId="46F17BE6" w14:textId="77777777" w:rsidR="00D5731A" w:rsidRDefault="00D5731A">
      <w:pPr>
        <w:pStyle w:val="Inhopg4"/>
        <w:rPr>
          <w:rFonts w:asciiTheme="minorHAnsi" w:eastAsiaTheme="minorEastAsia" w:hAnsiTheme="minorHAnsi" w:cstheme="minorBidi"/>
          <w:i w:val="0"/>
          <w:iCs w:val="0"/>
        </w:rPr>
      </w:pPr>
      <w:r>
        <w:t>§1. Wetgeving, parlementaire stukken en adviezen</w:t>
      </w:r>
      <w:r>
        <w:tab/>
      </w:r>
      <w:r>
        <w:fldChar w:fldCharType="begin"/>
      </w:r>
      <w:r>
        <w:instrText xml:space="preserve"> PAGEREF _Toc449982259 \h </w:instrText>
      </w:r>
      <w:r>
        <w:fldChar w:fldCharType="separate"/>
      </w:r>
      <w:r>
        <w:t>83</w:t>
      </w:r>
      <w:r>
        <w:fldChar w:fldCharType="end"/>
      </w:r>
    </w:p>
    <w:p w14:paraId="392B0172" w14:textId="77777777" w:rsidR="00D5731A" w:rsidRDefault="00D5731A">
      <w:pPr>
        <w:pStyle w:val="Inhopg4"/>
        <w:rPr>
          <w:rFonts w:asciiTheme="minorHAnsi" w:eastAsiaTheme="minorEastAsia" w:hAnsiTheme="minorHAnsi" w:cstheme="minorBidi"/>
          <w:i w:val="0"/>
          <w:iCs w:val="0"/>
        </w:rPr>
      </w:pPr>
      <w:r>
        <w:t>§2. Rechtspraak</w:t>
      </w:r>
      <w:r>
        <w:tab/>
      </w:r>
      <w:r>
        <w:fldChar w:fldCharType="begin"/>
      </w:r>
      <w:r>
        <w:instrText xml:space="preserve"> PAGEREF _Toc449982260 \h </w:instrText>
      </w:r>
      <w:r>
        <w:fldChar w:fldCharType="separate"/>
      </w:r>
      <w:r>
        <w:t>84</w:t>
      </w:r>
      <w:r>
        <w:fldChar w:fldCharType="end"/>
      </w:r>
    </w:p>
    <w:p w14:paraId="41E3328E" w14:textId="77777777" w:rsidR="00D5731A" w:rsidRDefault="00D5731A">
      <w:pPr>
        <w:pStyle w:val="Inhopg4"/>
        <w:rPr>
          <w:rFonts w:asciiTheme="minorHAnsi" w:eastAsiaTheme="minorEastAsia" w:hAnsiTheme="minorHAnsi" w:cstheme="minorBidi"/>
          <w:i w:val="0"/>
          <w:iCs w:val="0"/>
        </w:rPr>
      </w:pPr>
      <w:r>
        <w:t>§3. Rechtsleer</w:t>
      </w:r>
      <w:r>
        <w:tab/>
      </w:r>
      <w:r>
        <w:fldChar w:fldCharType="begin"/>
      </w:r>
      <w:r>
        <w:instrText xml:space="preserve"> PAGEREF _Toc449982261 \h </w:instrText>
      </w:r>
      <w:r>
        <w:fldChar w:fldCharType="separate"/>
      </w:r>
      <w:r>
        <w:t>87</w:t>
      </w:r>
      <w:r>
        <w:fldChar w:fldCharType="end"/>
      </w:r>
    </w:p>
    <w:p w14:paraId="441737A5" w14:textId="77777777" w:rsidR="00D5731A" w:rsidRDefault="00D5731A">
      <w:pPr>
        <w:pStyle w:val="Inhopg5"/>
        <w:rPr>
          <w:rFonts w:asciiTheme="minorHAnsi" w:eastAsiaTheme="minorEastAsia" w:hAnsiTheme="minorHAnsi" w:cstheme="minorBidi"/>
        </w:rPr>
      </w:pPr>
      <w:r>
        <w:t>A. Boeken</w:t>
      </w:r>
      <w:r>
        <w:tab/>
      </w:r>
      <w:r>
        <w:fldChar w:fldCharType="begin"/>
      </w:r>
      <w:r>
        <w:instrText xml:space="preserve"> PAGEREF _Toc449982262 \h </w:instrText>
      </w:r>
      <w:r>
        <w:fldChar w:fldCharType="separate"/>
      </w:r>
      <w:r>
        <w:t>87</w:t>
      </w:r>
      <w:r>
        <w:fldChar w:fldCharType="end"/>
      </w:r>
    </w:p>
    <w:p w14:paraId="49BE8869" w14:textId="77777777" w:rsidR="00D5731A" w:rsidRDefault="00D5731A">
      <w:pPr>
        <w:pStyle w:val="Inhopg5"/>
        <w:rPr>
          <w:rFonts w:asciiTheme="minorHAnsi" w:eastAsiaTheme="minorEastAsia" w:hAnsiTheme="minorHAnsi" w:cstheme="minorBidi"/>
        </w:rPr>
      </w:pPr>
      <w:r>
        <w:t>B. Tijdschriftartikelen</w:t>
      </w:r>
      <w:r>
        <w:tab/>
      </w:r>
      <w:r>
        <w:fldChar w:fldCharType="begin"/>
      </w:r>
      <w:r>
        <w:instrText xml:space="preserve"> PAGEREF _Toc449982263 \h </w:instrText>
      </w:r>
      <w:r>
        <w:fldChar w:fldCharType="separate"/>
      </w:r>
      <w:r>
        <w:t>91</w:t>
      </w:r>
      <w:r>
        <w:fldChar w:fldCharType="end"/>
      </w:r>
    </w:p>
    <w:p w14:paraId="2D840B52" w14:textId="77777777" w:rsidR="00D5731A" w:rsidRDefault="00D5731A">
      <w:pPr>
        <w:pStyle w:val="Inhopg2"/>
        <w:rPr>
          <w:rFonts w:asciiTheme="minorHAnsi" w:eastAsiaTheme="minorEastAsia" w:hAnsiTheme="minorHAnsi" w:cstheme="minorBidi"/>
          <w:b w:val="0"/>
          <w:bCs w:val="0"/>
          <w:caps w:val="0"/>
        </w:rPr>
      </w:pPr>
      <w:r>
        <w:t>Frankrijk</w:t>
      </w:r>
      <w:r>
        <w:tab/>
      </w:r>
      <w:r>
        <w:fldChar w:fldCharType="begin"/>
      </w:r>
      <w:r>
        <w:instrText xml:space="preserve"> PAGEREF _Toc449982264 \h </w:instrText>
      </w:r>
      <w:r>
        <w:fldChar w:fldCharType="separate"/>
      </w:r>
      <w:r>
        <w:t>96</w:t>
      </w:r>
      <w:r>
        <w:fldChar w:fldCharType="end"/>
      </w:r>
    </w:p>
    <w:p w14:paraId="3DB32733" w14:textId="77777777" w:rsidR="00D5731A" w:rsidRDefault="00D5731A">
      <w:pPr>
        <w:pStyle w:val="Inhopg4"/>
        <w:rPr>
          <w:rFonts w:asciiTheme="minorHAnsi" w:eastAsiaTheme="minorEastAsia" w:hAnsiTheme="minorHAnsi" w:cstheme="minorBidi"/>
          <w:i w:val="0"/>
          <w:iCs w:val="0"/>
        </w:rPr>
      </w:pPr>
      <w:r>
        <w:t>§1. Wetgeving</w:t>
      </w:r>
      <w:r>
        <w:tab/>
      </w:r>
      <w:r>
        <w:fldChar w:fldCharType="begin"/>
      </w:r>
      <w:r>
        <w:instrText xml:space="preserve"> PAGEREF _Toc449982265 \h </w:instrText>
      </w:r>
      <w:r>
        <w:fldChar w:fldCharType="separate"/>
      </w:r>
      <w:r>
        <w:t>96</w:t>
      </w:r>
      <w:r>
        <w:fldChar w:fldCharType="end"/>
      </w:r>
    </w:p>
    <w:p w14:paraId="1CF3A446" w14:textId="77777777" w:rsidR="00D5731A" w:rsidRDefault="00D5731A">
      <w:pPr>
        <w:pStyle w:val="Inhopg4"/>
        <w:rPr>
          <w:rFonts w:asciiTheme="minorHAnsi" w:eastAsiaTheme="minorEastAsia" w:hAnsiTheme="minorHAnsi" w:cstheme="minorBidi"/>
          <w:i w:val="0"/>
          <w:iCs w:val="0"/>
        </w:rPr>
      </w:pPr>
      <w:r>
        <w:t>§2. Rechtspraak</w:t>
      </w:r>
      <w:r>
        <w:tab/>
      </w:r>
      <w:r>
        <w:fldChar w:fldCharType="begin"/>
      </w:r>
      <w:r>
        <w:instrText xml:space="preserve"> PAGEREF _Toc449982266 \h </w:instrText>
      </w:r>
      <w:r>
        <w:fldChar w:fldCharType="separate"/>
      </w:r>
      <w:r>
        <w:t>96</w:t>
      </w:r>
      <w:r>
        <w:fldChar w:fldCharType="end"/>
      </w:r>
    </w:p>
    <w:p w14:paraId="49F1D59D" w14:textId="77777777" w:rsidR="00D5731A" w:rsidRDefault="00D5731A">
      <w:pPr>
        <w:pStyle w:val="Inhopg4"/>
        <w:rPr>
          <w:rFonts w:asciiTheme="minorHAnsi" w:eastAsiaTheme="minorEastAsia" w:hAnsiTheme="minorHAnsi" w:cstheme="minorBidi"/>
          <w:i w:val="0"/>
          <w:iCs w:val="0"/>
        </w:rPr>
      </w:pPr>
      <w:r>
        <w:t>§3. Rechtsleer</w:t>
      </w:r>
      <w:r>
        <w:tab/>
      </w:r>
      <w:r>
        <w:fldChar w:fldCharType="begin"/>
      </w:r>
      <w:r>
        <w:instrText xml:space="preserve"> PAGEREF _Toc449982267 \h </w:instrText>
      </w:r>
      <w:r>
        <w:fldChar w:fldCharType="separate"/>
      </w:r>
      <w:r>
        <w:t>96</w:t>
      </w:r>
      <w:r>
        <w:fldChar w:fldCharType="end"/>
      </w:r>
    </w:p>
    <w:p w14:paraId="5D9CCD1D" w14:textId="77777777" w:rsidR="00D5731A" w:rsidRDefault="00D5731A">
      <w:pPr>
        <w:pStyle w:val="Inhopg5"/>
        <w:rPr>
          <w:rFonts w:asciiTheme="minorHAnsi" w:eastAsiaTheme="minorEastAsia" w:hAnsiTheme="minorHAnsi" w:cstheme="minorBidi"/>
        </w:rPr>
      </w:pPr>
      <w:r>
        <w:lastRenderedPageBreak/>
        <w:t>A. Boeken</w:t>
      </w:r>
      <w:r>
        <w:tab/>
      </w:r>
      <w:r>
        <w:fldChar w:fldCharType="begin"/>
      </w:r>
      <w:r>
        <w:instrText xml:space="preserve"> PAGEREF _Toc449982268 \h </w:instrText>
      </w:r>
      <w:r>
        <w:fldChar w:fldCharType="separate"/>
      </w:r>
      <w:r>
        <w:t>96</w:t>
      </w:r>
      <w:r>
        <w:fldChar w:fldCharType="end"/>
      </w:r>
    </w:p>
    <w:p w14:paraId="6375ACA5" w14:textId="77777777" w:rsidR="00D5731A" w:rsidRDefault="00D5731A">
      <w:pPr>
        <w:pStyle w:val="Inhopg5"/>
        <w:rPr>
          <w:rFonts w:asciiTheme="minorHAnsi" w:eastAsiaTheme="minorEastAsia" w:hAnsiTheme="minorHAnsi" w:cstheme="minorBidi"/>
        </w:rPr>
      </w:pPr>
      <w:r>
        <w:t>B. Tijdschriftartikelen</w:t>
      </w:r>
      <w:r>
        <w:tab/>
      </w:r>
      <w:r>
        <w:fldChar w:fldCharType="begin"/>
      </w:r>
      <w:r>
        <w:instrText xml:space="preserve"> PAGEREF _Toc449982269 \h </w:instrText>
      </w:r>
      <w:r>
        <w:fldChar w:fldCharType="separate"/>
      </w:r>
      <w:r>
        <w:t>98</w:t>
      </w:r>
      <w:r>
        <w:fldChar w:fldCharType="end"/>
      </w:r>
    </w:p>
    <w:p w14:paraId="346D3159" w14:textId="77777777" w:rsidR="00D5731A" w:rsidRDefault="00D5731A">
      <w:pPr>
        <w:pStyle w:val="Inhopg2"/>
        <w:rPr>
          <w:rFonts w:asciiTheme="minorHAnsi" w:eastAsiaTheme="minorEastAsia" w:hAnsiTheme="minorHAnsi" w:cstheme="minorBidi"/>
          <w:b w:val="0"/>
          <w:bCs w:val="0"/>
          <w:caps w:val="0"/>
        </w:rPr>
      </w:pPr>
      <w:r>
        <w:t>Nederland</w:t>
      </w:r>
      <w:r>
        <w:tab/>
      </w:r>
      <w:r>
        <w:fldChar w:fldCharType="begin"/>
      </w:r>
      <w:r>
        <w:instrText xml:space="preserve"> PAGEREF _Toc449982270 \h </w:instrText>
      </w:r>
      <w:r>
        <w:fldChar w:fldCharType="separate"/>
      </w:r>
      <w:r>
        <w:t>99</w:t>
      </w:r>
      <w:r>
        <w:fldChar w:fldCharType="end"/>
      </w:r>
    </w:p>
    <w:p w14:paraId="5C0B0364" w14:textId="77777777" w:rsidR="00D5731A" w:rsidRDefault="00D5731A">
      <w:pPr>
        <w:pStyle w:val="Inhopg4"/>
        <w:rPr>
          <w:rFonts w:asciiTheme="minorHAnsi" w:eastAsiaTheme="minorEastAsia" w:hAnsiTheme="minorHAnsi" w:cstheme="minorBidi"/>
          <w:i w:val="0"/>
          <w:iCs w:val="0"/>
        </w:rPr>
      </w:pPr>
      <w:r>
        <w:t>§1. Wetgeving</w:t>
      </w:r>
      <w:r>
        <w:tab/>
      </w:r>
      <w:r>
        <w:fldChar w:fldCharType="begin"/>
      </w:r>
      <w:r>
        <w:instrText xml:space="preserve"> PAGEREF _Toc449982271 \h </w:instrText>
      </w:r>
      <w:r>
        <w:fldChar w:fldCharType="separate"/>
      </w:r>
      <w:r>
        <w:t>99</w:t>
      </w:r>
      <w:r>
        <w:fldChar w:fldCharType="end"/>
      </w:r>
    </w:p>
    <w:p w14:paraId="2D8DE7EC" w14:textId="77777777" w:rsidR="00D5731A" w:rsidRDefault="00D5731A">
      <w:pPr>
        <w:pStyle w:val="Inhopg4"/>
        <w:rPr>
          <w:rFonts w:asciiTheme="minorHAnsi" w:eastAsiaTheme="minorEastAsia" w:hAnsiTheme="minorHAnsi" w:cstheme="minorBidi"/>
          <w:i w:val="0"/>
          <w:iCs w:val="0"/>
        </w:rPr>
      </w:pPr>
      <w:r>
        <w:t>§2. Rechtspraak</w:t>
      </w:r>
      <w:r>
        <w:tab/>
      </w:r>
      <w:r>
        <w:fldChar w:fldCharType="begin"/>
      </w:r>
      <w:r>
        <w:instrText xml:space="preserve"> PAGEREF _Toc449982272 \h </w:instrText>
      </w:r>
      <w:r>
        <w:fldChar w:fldCharType="separate"/>
      </w:r>
      <w:r>
        <w:t>100</w:t>
      </w:r>
      <w:r>
        <w:fldChar w:fldCharType="end"/>
      </w:r>
    </w:p>
    <w:p w14:paraId="38072559" w14:textId="77777777" w:rsidR="00D5731A" w:rsidRDefault="00D5731A">
      <w:pPr>
        <w:pStyle w:val="Inhopg4"/>
        <w:rPr>
          <w:rFonts w:asciiTheme="minorHAnsi" w:eastAsiaTheme="minorEastAsia" w:hAnsiTheme="minorHAnsi" w:cstheme="minorBidi"/>
          <w:i w:val="0"/>
          <w:iCs w:val="0"/>
        </w:rPr>
      </w:pPr>
      <w:r>
        <w:t>§3. Rechtsleer</w:t>
      </w:r>
      <w:r>
        <w:tab/>
      </w:r>
      <w:r>
        <w:fldChar w:fldCharType="begin"/>
      </w:r>
      <w:r>
        <w:instrText xml:space="preserve"> PAGEREF _Toc449982273 \h </w:instrText>
      </w:r>
      <w:r>
        <w:fldChar w:fldCharType="separate"/>
      </w:r>
      <w:r>
        <w:t>100</w:t>
      </w:r>
      <w:r>
        <w:fldChar w:fldCharType="end"/>
      </w:r>
    </w:p>
    <w:p w14:paraId="05308E4B" w14:textId="77777777" w:rsidR="00D5731A" w:rsidRDefault="00D5731A">
      <w:pPr>
        <w:pStyle w:val="Inhopg5"/>
        <w:rPr>
          <w:rFonts w:asciiTheme="minorHAnsi" w:eastAsiaTheme="minorEastAsia" w:hAnsiTheme="minorHAnsi" w:cstheme="minorBidi"/>
        </w:rPr>
      </w:pPr>
      <w:r>
        <w:t>A. Boeken</w:t>
      </w:r>
      <w:r>
        <w:tab/>
      </w:r>
      <w:r>
        <w:fldChar w:fldCharType="begin"/>
      </w:r>
      <w:r>
        <w:instrText xml:space="preserve"> PAGEREF _Toc449982274 \h </w:instrText>
      </w:r>
      <w:r>
        <w:fldChar w:fldCharType="separate"/>
      </w:r>
      <w:r>
        <w:t>100</w:t>
      </w:r>
      <w:r>
        <w:fldChar w:fldCharType="end"/>
      </w:r>
    </w:p>
    <w:p w14:paraId="32CF873F" w14:textId="77777777" w:rsidR="00D5731A" w:rsidRDefault="00D5731A">
      <w:pPr>
        <w:pStyle w:val="Inhopg5"/>
        <w:rPr>
          <w:rFonts w:asciiTheme="minorHAnsi" w:eastAsiaTheme="minorEastAsia" w:hAnsiTheme="minorHAnsi" w:cstheme="minorBidi"/>
        </w:rPr>
      </w:pPr>
      <w:r>
        <w:t>B. Tijdschriftartikelen</w:t>
      </w:r>
      <w:r>
        <w:tab/>
      </w:r>
      <w:r>
        <w:fldChar w:fldCharType="begin"/>
      </w:r>
      <w:r>
        <w:instrText xml:space="preserve"> PAGEREF _Toc449982275 \h </w:instrText>
      </w:r>
      <w:r>
        <w:fldChar w:fldCharType="separate"/>
      </w:r>
      <w:r>
        <w:t>101</w:t>
      </w:r>
      <w:r>
        <w:fldChar w:fldCharType="end"/>
      </w:r>
    </w:p>
    <w:p w14:paraId="5E8457F9" w14:textId="77777777" w:rsidR="00D5731A" w:rsidRDefault="00D5731A">
      <w:pPr>
        <w:pStyle w:val="Inhopg2"/>
        <w:rPr>
          <w:rFonts w:asciiTheme="minorHAnsi" w:eastAsiaTheme="minorEastAsia" w:hAnsiTheme="minorHAnsi" w:cstheme="minorBidi"/>
          <w:b w:val="0"/>
          <w:bCs w:val="0"/>
          <w:caps w:val="0"/>
        </w:rPr>
      </w:pPr>
      <w:r>
        <w:t>Draft common frame of reference</w:t>
      </w:r>
      <w:r>
        <w:tab/>
      </w:r>
      <w:r>
        <w:fldChar w:fldCharType="begin"/>
      </w:r>
      <w:r>
        <w:instrText xml:space="preserve"> PAGEREF _Toc449982276 \h </w:instrText>
      </w:r>
      <w:r>
        <w:fldChar w:fldCharType="separate"/>
      </w:r>
      <w:r>
        <w:t>101</w:t>
      </w:r>
      <w:r>
        <w:fldChar w:fldCharType="end"/>
      </w:r>
    </w:p>
    <w:p w14:paraId="162FCE5E" w14:textId="77777777" w:rsidR="00D5731A" w:rsidRDefault="00D5731A">
      <w:pPr>
        <w:pStyle w:val="Inhopg4"/>
        <w:rPr>
          <w:rFonts w:asciiTheme="minorHAnsi" w:eastAsiaTheme="minorEastAsia" w:hAnsiTheme="minorHAnsi" w:cstheme="minorBidi"/>
          <w:i w:val="0"/>
          <w:iCs w:val="0"/>
        </w:rPr>
      </w:pPr>
      <w:r>
        <w:t>§1. Wetgeving</w:t>
      </w:r>
      <w:r>
        <w:tab/>
      </w:r>
      <w:r>
        <w:fldChar w:fldCharType="begin"/>
      </w:r>
      <w:r>
        <w:instrText xml:space="preserve"> PAGEREF _Toc449982277 \h </w:instrText>
      </w:r>
      <w:r>
        <w:fldChar w:fldCharType="separate"/>
      </w:r>
      <w:r>
        <w:t>101</w:t>
      </w:r>
      <w:r>
        <w:fldChar w:fldCharType="end"/>
      </w:r>
    </w:p>
    <w:p w14:paraId="430C96A2" w14:textId="77777777" w:rsidR="00D5731A" w:rsidRDefault="00D5731A">
      <w:pPr>
        <w:pStyle w:val="Inhopg4"/>
        <w:rPr>
          <w:rFonts w:asciiTheme="minorHAnsi" w:eastAsiaTheme="minorEastAsia" w:hAnsiTheme="minorHAnsi" w:cstheme="minorBidi"/>
          <w:i w:val="0"/>
          <w:iCs w:val="0"/>
        </w:rPr>
      </w:pPr>
      <w:r>
        <w:t>§2. Rechtspraak</w:t>
      </w:r>
      <w:r>
        <w:tab/>
      </w:r>
      <w:r>
        <w:fldChar w:fldCharType="begin"/>
      </w:r>
      <w:r>
        <w:instrText xml:space="preserve"> PAGEREF _Toc449982278 \h </w:instrText>
      </w:r>
      <w:r>
        <w:fldChar w:fldCharType="separate"/>
      </w:r>
      <w:r>
        <w:t>101</w:t>
      </w:r>
      <w:r>
        <w:fldChar w:fldCharType="end"/>
      </w:r>
    </w:p>
    <w:p w14:paraId="54FB9E51" w14:textId="77777777" w:rsidR="00D5731A" w:rsidRDefault="00D5731A">
      <w:pPr>
        <w:pStyle w:val="Inhopg4"/>
        <w:rPr>
          <w:rFonts w:asciiTheme="minorHAnsi" w:eastAsiaTheme="minorEastAsia" w:hAnsiTheme="minorHAnsi" w:cstheme="minorBidi"/>
          <w:i w:val="0"/>
          <w:iCs w:val="0"/>
        </w:rPr>
      </w:pPr>
      <w:r>
        <w:t>§3. Rechtsleer</w:t>
      </w:r>
      <w:r>
        <w:tab/>
      </w:r>
      <w:r>
        <w:fldChar w:fldCharType="begin"/>
      </w:r>
      <w:r>
        <w:instrText xml:space="preserve"> PAGEREF _Toc449982279 \h </w:instrText>
      </w:r>
      <w:r>
        <w:fldChar w:fldCharType="separate"/>
      </w:r>
      <w:r>
        <w:t>101</w:t>
      </w:r>
      <w:r>
        <w:fldChar w:fldCharType="end"/>
      </w:r>
    </w:p>
    <w:p w14:paraId="53F55E9E" w14:textId="77777777" w:rsidR="00D5731A" w:rsidRDefault="00D5731A">
      <w:pPr>
        <w:pStyle w:val="Inhopg5"/>
        <w:rPr>
          <w:rFonts w:asciiTheme="minorHAnsi" w:eastAsiaTheme="minorEastAsia" w:hAnsiTheme="minorHAnsi" w:cstheme="minorBidi"/>
        </w:rPr>
      </w:pPr>
      <w:r>
        <w:t>A. Boeken</w:t>
      </w:r>
      <w:r>
        <w:tab/>
      </w:r>
      <w:r>
        <w:fldChar w:fldCharType="begin"/>
      </w:r>
      <w:r>
        <w:instrText xml:space="preserve"> PAGEREF _Toc449982280 \h </w:instrText>
      </w:r>
      <w:r>
        <w:fldChar w:fldCharType="separate"/>
      </w:r>
      <w:r>
        <w:t>101</w:t>
      </w:r>
      <w:r>
        <w:fldChar w:fldCharType="end"/>
      </w:r>
    </w:p>
    <w:p w14:paraId="073BC166" w14:textId="77777777" w:rsidR="00D5731A" w:rsidRDefault="00D5731A">
      <w:pPr>
        <w:pStyle w:val="Inhopg5"/>
        <w:rPr>
          <w:rFonts w:asciiTheme="minorHAnsi" w:eastAsiaTheme="minorEastAsia" w:hAnsiTheme="minorHAnsi" w:cstheme="minorBidi"/>
        </w:rPr>
      </w:pPr>
      <w:r>
        <w:t>B. Tijdschriftartikelen</w:t>
      </w:r>
      <w:r>
        <w:tab/>
      </w:r>
      <w:r>
        <w:fldChar w:fldCharType="begin"/>
      </w:r>
      <w:r>
        <w:instrText xml:space="preserve"> PAGEREF _Toc449982281 \h </w:instrText>
      </w:r>
      <w:r>
        <w:fldChar w:fldCharType="separate"/>
      </w:r>
      <w:r>
        <w:t>101</w:t>
      </w:r>
      <w:r>
        <w:fldChar w:fldCharType="end"/>
      </w:r>
    </w:p>
    <w:p w14:paraId="64798527" w14:textId="13450667" w:rsidR="000B0AA4" w:rsidRPr="002A0C60" w:rsidRDefault="000E4608" w:rsidP="00E0407D">
      <w:pPr>
        <w:spacing w:line="360" w:lineRule="auto"/>
      </w:pPr>
      <w:r w:rsidRPr="002A0C60">
        <w:fldChar w:fldCharType="end"/>
      </w:r>
    </w:p>
    <w:p w14:paraId="1130C00B" w14:textId="69FFA0A3" w:rsidR="006460FD" w:rsidRPr="002A0C60" w:rsidRDefault="006460FD" w:rsidP="003D4F0D">
      <w:pPr>
        <w:jc w:val="left"/>
        <w:sectPr w:rsidR="006460FD" w:rsidRPr="002A0C60" w:rsidSect="006460FD">
          <w:footerReference w:type="default" r:id="rId11"/>
          <w:footerReference w:type="first" r:id="rId12"/>
          <w:pgSz w:w="11906" w:h="16838" w:code="9"/>
          <w:pgMar w:top="1418" w:right="1134" w:bottom="2268" w:left="1701" w:header="0" w:footer="850" w:gutter="0"/>
          <w:pgNumType w:fmt="lowerRoman" w:start="1"/>
          <w:cols w:space="708"/>
          <w:docGrid w:linePitch="360"/>
        </w:sectPr>
      </w:pPr>
    </w:p>
    <w:p w14:paraId="43891D2F" w14:textId="2492075A" w:rsidR="00160A34" w:rsidRPr="002A0C60" w:rsidRDefault="00160A34" w:rsidP="003D4F0D">
      <w:pPr>
        <w:jc w:val="left"/>
      </w:pPr>
    </w:p>
    <w:p w14:paraId="4120792C" w14:textId="28053A56" w:rsidR="003E5E30" w:rsidRPr="002A0C60" w:rsidRDefault="00B22738" w:rsidP="005E187E">
      <w:pPr>
        <w:pStyle w:val="Kop1"/>
        <w:numPr>
          <w:ilvl w:val="0"/>
          <w:numId w:val="0"/>
        </w:numPr>
        <w:spacing w:line="360" w:lineRule="auto"/>
      </w:pPr>
      <w:bookmarkStart w:id="4" w:name="_Toc449982171"/>
      <w:r w:rsidRPr="002A0C60">
        <w:t>Inleiding</w:t>
      </w:r>
      <w:bookmarkEnd w:id="4"/>
      <w:r w:rsidRPr="002A0C60">
        <w:t xml:space="preserve"> </w:t>
      </w:r>
    </w:p>
    <w:p w14:paraId="76D7C737" w14:textId="2DF9FF98" w:rsidR="00CC4C31" w:rsidRPr="002A0C60" w:rsidRDefault="003E5E30" w:rsidP="00144C42">
      <w:pPr>
        <w:pStyle w:val="Nummer"/>
        <w:numPr>
          <w:ilvl w:val="0"/>
          <w:numId w:val="19"/>
        </w:numPr>
        <w:spacing w:after="200" w:line="360" w:lineRule="auto"/>
      </w:pPr>
      <w:r w:rsidRPr="002A0C60">
        <w:rPr>
          <w:smallCaps/>
        </w:rPr>
        <w:t xml:space="preserve">Wet 11 juli 2013 - </w:t>
      </w:r>
      <w:r w:rsidRPr="002A0C60">
        <w:t>Het recht betreffende de zakelijke zekerheden in ons Burgerlijk Wetboek is grondig gewijzigd door de invoering van de wet van 11 juli 2013 tot wijziging van het Burgerlijk Wetboek wat de zakelijke zekerheden op roerende goederen betreft en tot opheffing van diverse bepalingen ter zake (hierna: Pandwet).</w:t>
      </w:r>
      <w:r w:rsidRPr="002A0C60">
        <w:rPr>
          <w:rStyle w:val="Voetnootmarkering"/>
        </w:rPr>
        <w:footnoteReference w:id="1"/>
      </w:r>
      <w:r w:rsidRPr="002A0C60">
        <w:t xml:space="preserve"> Deze wet voegt in het Burgerlijk Wetboek een nieuwe titel XVII “Zakelijke zekerheden op roerende goederen” in.</w:t>
      </w:r>
      <w:r w:rsidRPr="002A0C60">
        <w:rPr>
          <w:rStyle w:val="Voetnootmarkering"/>
        </w:rPr>
        <w:footnoteReference w:id="2"/>
      </w:r>
      <w:r w:rsidRPr="002A0C60">
        <w:t xml:space="preserve"> </w:t>
      </w:r>
    </w:p>
    <w:p w14:paraId="706D2BE9" w14:textId="4B691143" w:rsidR="007A2293" w:rsidRPr="002A0C60" w:rsidRDefault="007A2293" w:rsidP="005E187E">
      <w:pPr>
        <w:pStyle w:val="Lijstalinea"/>
        <w:spacing w:line="360" w:lineRule="auto"/>
        <w:ind w:left="0"/>
        <w:jc w:val="both"/>
        <w:rPr>
          <w:rFonts w:ascii="Times New Roman" w:hAnsi="Times New Roman"/>
        </w:rPr>
      </w:pPr>
      <w:r w:rsidRPr="002A0C60">
        <w:rPr>
          <w:rFonts w:ascii="Times New Roman" w:hAnsi="Times New Roman"/>
        </w:rPr>
        <w:t xml:space="preserve">De inwerkingtreding van de Pandwet was voorzien ten laatste </w:t>
      </w:r>
      <w:r w:rsidR="00D65232" w:rsidRPr="002A0C60">
        <w:rPr>
          <w:rFonts w:ascii="Times New Roman" w:hAnsi="Times New Roman"/>
        </w:rPr>
        <w:t xml:space="preserve">op </w:t>
      </w:r>
      <w:r w:rsidRPr="002A0C60">
        <w:rPr>
          <w:rFonts w:ascii="Times New Roman" w:hAnsi="Times New Roman"/>
        </w:rPr>
        <w:t>1 december 2014, deze is echter verdaagd tot uiterlijk 1 januari 2017. De reden hiervoor is dat de oprichting van het pandregister erg moeizaam verloopt.</w:t>
      </w:r>
      <w:r w:rsidRPr="002A0C60">
        <w:rPr>
          <w:rStyle w:val="Voetnootmarkering"/>
          <w:rFonts w:ascii="Times New Roman" w:hAnsi="Times New Roman"/>
        </w:rPr>
        <w:footnoteReference w:id="3"/>
      </w:r>
      <w:r w:rsidRPr="002A0C60">
        <w:rPr>
          <w:rFonts w:ascii="Times New Roman" w:hAnsi="Times New Roman"/>
        </w:rPr>
        <w:t xml:space="preserve"> </w:t>
      </w:r>
    </w:p>
    <w:p w14:paraId="77930FD8" w14:textId="18C81D2C" w:rsidR="00CE455E" w:rsidRPr="002A0C60" w:rsidRDefault="00CE455E" w:rsidP="005D4E84">
      <w:pPr>
        <w:pStyle w:val="Nummer"/>
        <w:numPr>
          <w:ilvl w:val="0"/>
          <w:numId w:val="0"/>
        </w:numPr>
        <w:spacing w:after="200" w:line="360" w:lineRule="auto"/>
      </w:pPr>
      <w:r w:rsidRPr="002A0C60">
        <w:t>De bepalingen inzake het pandrecht waren niet meer van deze tijd. Vooral het feit dat het onmogelijk was om een pandrecht tot stand te laten komen zonder het goed buiten bezit te stellen werd gezien als een hinderpaal.</w:t>
      </w:r>
      <w:r w:rsidRPr="002A0C60">
        <w:rPr>
          <w:rStyle w:val="Voetnootmarkering"/>
        </w:rPr>
        <w:footnoteReference w:id="4"/>
      </w:r>
      <w:r w:rsidRPr="002A0C60">
        <w:t xml:space="preserve"> De belangrijkste innovatie van de nieuwe Pandwet is dat de pandovereenkomst niet langer een zakelijke maar een consensuele overeenkomst is. Voor de geldige totstandkoming van de overeenkomst is niet langer de buitenbezitstelling van het pand vereist. Opdat het pand tegenwerpelijk zou zijn aan derden moet dit worden ingeschreven in het pandregister.</w:t>
      </w:r>
      <w:r w:rsidRPr="002A0C60">
        <w:rPr>
          <w:rStyle w:val="Voetnootmarkering"/>
        </w:rPr>
        <w:footnoteReference w:id="5"/>
      </w:r>
    </w:p>
    <w:p w14:paraId="6BA9AF73" w14:textId="3E7E2D4B" w:rsidR="003E5E30" w:rsidRPr="002A0C60" w:rsidRDefault="003422AD" w:rsidP="005E187E">
      <w:pPr>
        <w:pStyle w:val="Nummer"/>
        <w:spacing w:after="200" w:line="360" w:lineRule="auto"/>
      </w:pPr>
      <w:r w:rsidRPr="002A0C60">
        <w:rPr>
          <w:smallCaps/>
        </w:rPr>
        <w:t>Beïnvloeding traditionele werking Artikel 2279 BW</w:t>
      </w:r>
      <w:r w:rsidRPr="002A0C60">
        <w:t xml:space="preserve"> - Door de invoering van de nieuwe Pandwet wordt aan de traditionele werking van artikel 2279 Burgerlijk Wetboek gesleuteld. Deze beïnvloeding zal in </w:t>
      </w:r>
      <w:r w:rsidR="00F7687A">
        <w:t>de</w:t>
      </w:r>
      <w:r w:rsidRPr="002A0C60">
        <w:t xml:space="preserve"> masterscriptie worden onderzocht</w:t>
      </w:r>
      <w:r w:rsidR="00EB72C0" w:rsidRPr="002A0C60">
        <w:t xml:space="preserve"> aan de hand van de volgende onderzoeksvraag: </w:t>
      </w:r>
    </w:p>
    <w:p w14:paraId="646FB6ED" w14:textId="5013CEB1" w:rsidR="00EB72C0" w:rsidRPr="002A0C60" w:rsidRDefault="00EB72C0" w:rsidP="005E187E">
      <w:pPr>
        <w:pStyle w:val="Nummer"/>
        <w:numPr>
          <w:ilvl w:val="0"/>
          <w:numId w:val="0"/>
        </w:numPr>
        <w:spacing w:after="200" w:line="360" w:lineRule="auto"/>
      </w:pPr>
      <w:r w:rsidRPr="002A0C60">
        <w:lastRenderedPageBreak/>
        <w:t>In welke mate wordt de traditionele werking van artikel 2279 Burgerlijk Wetboek veranderd door de Wet van 11 juli 2013 tot wijziging van het Burgerlijk Wetboek wat de zakelijke zekerheden op roerende goederen betreft en tot opheffing van diverse bepalingen ter zake?</w:t>
      </w:r>
    </w:p>
    <w:p w14:paraId="19A56042" w14:textId="22ED2E80" w:rsidR="00EB72C0" w:rsidRPr="002A0C60" w:rsidRDefault="00EB72C0" w:rsidP="005E187E">
      <w:pPr>
        <w:spacing w:after="200" w:line="360" w:lineRule="auto"/>
      </w:pPr>
      <w:r w:rsidRPr="002A0C60">
        <w:t xml:space="preserve">Hoe beïnvloedt de nieuwe Pandwet de bezitsbescherming van de pandhouder die verkrijgt van een onbevoegde pandgever? </w:t>
      </w:r>
    </w:p>
    <w:p w14:paraId="29F0EA47" w14:textId="001DA1F2" w:rsidR="00EB72C0" w:rsidRPr="002A0C60" w:rsidRDefault="00EB72C0" w:rsidP="00781B71">
      <w:pPr>
        <w:spacing w:after="200" w:line="360" w:lineRule="auto"/>
      </w:pPr>
      <w:r w:rsidRPr="002A0C60">
        <w:t xml:space="preserve">Hoe beïnvloedt de nieuwe Pandwet de bezitsbescherming van de derde-verkrijger die een goed verkrijgt waarop een pandrecht rust? </w:t>
      </w:r>
    </w:p>
    <w:p w14:paraId="08EDAAAF" w14:textId="29AAEF55" w:rsidR="00781B71" w:rsidRPr="002A0C60" w:rsidRDefault="003E5E30" w:rsidP="00781B71">
      <w:pPr>
        <w:spacing w:after="200" w:line="360" w:lineRule="auto"/>
      </w:pPr>
      <w:r w:rsidRPr="002A0C60">
        <w:t>Doordat het voorwerp van het pand niet langer buitenbezit moet worden gesteld bestaat de kans dat de pandgever het goed vervreem</w:t>
      </w:r>
      <w:r w:rsidR="003422AD" w:rsidRPr="002A0C60">
        <w:t xml:space="preserve">dt tijdens de pandovereenkomst. Wanneer hij dit doet bevinden we ons in de klassieke hypothese </w:t>
      </w:r>
      <w:r w:rsidR="00B246B6" w:rsidRPr="002A0C60">
        <w:t xml:space="preserve">van artikel 2279 </w:t>
      </w:r>
      <w:r w:rsidR="002A0C60" w:rsidRPr="002A0C60">
        <w:t>Burgerlijk</w:t>
      </w:r>
      <w:r w:rsidR="00B246B6" w:rsidRPr="002A0C60">
        <w:t xml:space="preserve"> Wetboek. In deze masterscriptie wordt </w:t>
      </w:r>
      <w:r w:rsidR="009C5B69" w:rsidRPr="002A0C60">
        <w:t>onderzocht of en in hoeverre een derde-verkrijger op artikel 2279 Burgerlijk Wetboek beroep kan doen.</w:t>
      </w:r>
    </w:p>
    <w:p w14:paraId="40BAA3EC" w14:textId="1DAC5D5B" w:rsidR="00781B71" w:rsidRPr="002A0C60" w:rsidRDefault="00895528" w:rsidP="00781B71">
      <w:pPr>
        <w:spacing w:after="200" w:line="360" w:lineRule="auto"/>
      </w:pPr>
      <w:r w:rsidRPr="002A0C60">
        <w:t xml:space="preserve">Daarnaast is het ook mogelijk dat een onbevoegde pandgever een goed in pand geeft. Dit </w:t>
      </w:r>
      <w:r w:rsidR="00CE455E" w:rsidRPr="002A0C60">
        <w:t>brengt</w:t>
      </w:r>
      <w:r w:rsidRPr="002A0C60">
        <w:t xml:space="preserve"> ons ook in de hypothese van artikel 2279 Burgerlijk Wetboek. De vraag die zich hier opdringt is of de pandhouder een beroep kan doen op artikel 2279 Burgerlijk Wetboek om toch een geldig pandrecht op het goed te verkrijgen.</w:t>
      </w:r>
    </w:p>
    <w:p w14:paraId="10B4CBE5" w14:textId="6179A822" w:rsidR="00895528" w:rsidRPr="002A0C60" w:rsidRDefault="00CE455E" w:rsidP="005E187E">
      <w:pPr>
        <w:pStyle w:val="Nummer"/>
        <w:spacing w:after="200" w:line="360" w:lineRule="auto"/>
      </w:pPr>
      <w:r w:rsidRPr="002A0C60">
        <w:rPr>
          <w:smallCaps/>
        </w:rPr>
        <w:t xml:space="preserve">Bestaande pandrechten zonder buitenbezitstelling - </w:t>
      </w:r>
      <w:r w:rsidRPr="002A0C60">
        <w:t>In het Belgische recht bestaan al sinds de 19</w:t>
      </w:r>
      <w:r w:rsidRPr="002A0C60">
        <w:rPr>
          <w:vertAlign w:val="superscript"/>
        </w:rPr>
        <w:t>e</w:t>
      </w:r>
      <w:r w:rsidRPr="002A0C60">
        <w:t xml:space="preserve"> eeuw twee pandregimes zonder buitenbezitstelling,</w:t>
      </w:r>
      <w:r w:rsidR="00693F95" w:rsidRPr="002A0C60">
        <w:t xml:space="preserve"> namelijk</w:t>
      </w:r>
      <w:r w:rsidRPr="002A0C60">
        <w:t xml:space="preserve"> het pand op de handelszaak en het landbouwvoorrecht.</w:t>
      </w:r>
      <w:r w:rsidR="008153D5" w:rsidRPr="002A0C60">
        <w:rPr>
          <w:rStyle w:val="Voetnootmarkering"/>
        </w:rPr>
        <w:footnoteReference w:id="6"/>
      </w:r>
      <w:r w:rsidRPr="002A0C60">
        <w:t xml:space="preserve"> De relatie tussen deze regimes en artikel 2279 Burgerlijk Wetboek zal dan ook uitgebreid besproken worden en vergeleken met de oplossing waarvoor de wetgever bij de invoering van de nieuwe Pandwet heeft gekozen.</w:t>
      </w:r>
    </w:p>
    <w:p w14:paraId="6AEEF711" w14:textId="70DCB20D" w:rsidR="00CE455E" w:rsidRPr="002A0C60" w:rsidRDefault="00CE455E" w:rsidP="005E187E">
      <w:pPr>
        <w:pStyle w:val="Nummer"/>
        <w:spacing w:after="200" w:line="360" w:lineRule="auto"/>
      </w:pPr>
      <w:r w:rsidRPr="002A0C60">
        <w:rPr>
          <w:smallCaps/>
        </w:rPr>
        <w:t xml:space="preserve">Methode - </w:t>
      </w:r>
      <w:r w:rsidRPr="002A0C60">
        <w:t>De uitkomst voor deze beide hypotheses wordt besproken zowel onder het huidige recht als onder de nieuwe Pandwet. Vervolgens zal normatief geëvalueerd worden wat nu juist de impact is van de nieuwe Pandwet op de traditionele werking van artikel 2279 Burgerlijk Wetboek.</w:t>
      </w:r>
    </w:p>
    <w:p w14:paraId="4817DEE5" w14:textId="78863EDA" w:rsidR="000A502B" w:rsidRPr="002A0C60" w:rsidRDefault="00693F95" w:rsidP="005E187E">
      <w:pPr>
        <w:pStyle w:val="Lijstalinea"/>
        <w:spacing w:line="360" w:lineRule="auto"/>
        <w:ind w:left="0"/>
        <w:jc w:val="both"/>
        <w:rPr>
          <w:rFonts w:ascii="Times New Roman" w:hAnsi="Times New Roman"/>
        </w:rPr>
      </w:pPr>
      <w:r w:rsidRPr="002A0C60">
        <w:rPr>
          <w:rFonts w:ascii="Times New Roman" w:hAnsi="Times New Roman"/>
        </w:rPr>
        <w:lastRenderedPageBreak/>
        <w:t>In 2006 heeft de Franse wetgever een substantiële hervorming doorgevoerd in het Franse Burgerlijk Wetboek met betrekking tot het zekerheidsrecht.</w:t>
      </w:r>
      <w:r w:rsidRPr="002A0C60">
        <w:rPr>
          <w:rStyle w:val="Voetnootmarkering"/>
          <w:rFonts w:ascii="Times New Roman" w:hAnsi="Times New Roman"/>
        </w:rPr>
        <w:footnoteReference w:id="7"/>
      </w:r>
      <w:r w:rsidRPr="002A0C60">
        <w:rPr>
          <w:rFonts w:ascii="Times New Roman" w:hAnsi="Times New Roman"/>
        </w:rPr>
        <w:t xml:space="preserve"> Het Belgische pandrecht voor de wet van 11 juli 2013 leek erg op het oude Franse zekerheidsrecht van voor de hervorming van 2006. Beide systemen waren archaïsch en complex. De Belgische wetgever haalde dan ook vooral haar inspiratie uit de nieuwe Franse regeling. Het Belgische recht is namelijk ingeschreven in de civielrechtelijke traditie. De algemene principes die het zekerheidsrecht bepalen zijn dezelfde in België en Frankrijk.</w:t>
      </w:r>
      <w:r w:rsidRPr="002A0C60">
        <w:rPr>
          <w:rStyle w:val="Voetnootmarkering"/>
          <w:rFonts w:ascii="Times New Roman" w:hAnsi="Times New Roman"/>
        </w:rPr>
        <w:footnoteReference w:id="8"/>
      </w:r>
      <w:r w:rsidRPr="002A0C60">
        <w:rPr>
          <w:rFonts w:ascii="Times New Roman" w:hAnsi="Times New Roman"/>
        </w:rPr>
        <w:t xml:space="preserve"> De nieuwe Pandwet vond haar inspiratie dan wel in de Franse regeling, maar wijkt er toch op enkele punten van af. Net daarom is het interessant om de vergelijking te maken met het Franse recht en na te gaan hoe de Franse wetgever omging met de problematiek van artikel 2279 Burgerlijk Wetboek. </w:t>
      </w:r>
    </w:p>
    <w:p w14:paraId="19AD7AF6" w14:textId="51262662" w:rsidR="00693F95" w:rsidRPr="002A0C60" w:rsidRDefault="00693F95" w:rsidP="005D4E84">
      <w:pPr>
        <w:pStyle w:val="Nummer"/>
        <w:numPr>
          <w:ilvl w:val="0"/>
          <w:numId w:val="0"/>
        </w:numPr>
        <w:spacing w:after="200" w:line="360" w:lineRule="auto"/>
        <w:rPr>
          <w:i/>
        </w:rPr>
      </w:pPr>
      <w:r w:rsidRPr="002A0C60">
        <w:t>Ook in het Nederlandse recht werd een hervorming van de zekerheidsrechten doorgevoerd, meer bepaald bij de invoering van het Nieuw Burgerlijk Wetboek in 1992.</w:t>
      </w:r>
      <w:r w:rsidRPr="002A0C60">
        <w:rPr>
          <w:rStyle w:val="Voetnootmarkering"/>
        </w:rPr>
        <w:footnoteReference w:id="9"/>
      </w:r>
      <w:r w:rsidRPr="002A0C60">
        <w:t xml:space="preserve"> Ook hier is het interessant om te kijken hoe de Nederlandse wetgever de vernieuwing van het zekerheidsrecht heeft aangepakt. Vooral omdat hier de hervorming meer dan twee decennia geleden heeft plaatsgevonden, nog voor de harmoniserende initiatieven op Europees niveau. In dit opzicht lijkt het interessant om de verschillen tussen het Belgische en het Nederlandse recht te zien in het licht van deze initiatieven en meer bepaald in het licht van de </w:t>
      </w:r>
      <w:r w:rsidRPr="002A0C60">
        <w:rPr>
          <w:i/>
        </w:rPr>
        <w:t xml:space="preserve">Draft Common Frame of Reference. </w:t>
      </w:r>
    </w:p>
    <w:p w14:paraId="2C837358" w14:textId="6EE2A88E" w:rsidR="005D4E84" w:rsidRPr="00973BCF" w:rsidRDefault="00693F95" w:rsidP="00973BCF">
      <w:pPr>
        <w:pStyle w:val="Nummer"/>
        <w:numPr>
          <w:ilvl w:val="0"/>
          <w:numId w:val="0"/>
        </w:numPr>
        <w:spacing w:after="200" w:line="360" w:lineRule="auto"/>
        <w:rPr>
          <w:i/>
        </w:rPr>
      </w:pPr>
      <w:r w:rsidRPr="002A0C60">
        <w:t xml:space="preserve">De wet van 11 juli 2013 probeert zoveel als mogelijk aansluiting te zoeken bij de Europese ontwikkelingen, met het oog op de centrale plaats van België binnen Europa en het belang </w:t>
      </w:r>
      <w:r w:rsidR="00973BCF">
        <w:t>van de handel met de buurlanden</w:t>
      </w:r>
      <w:r w:rsidRPr="002A0C60">
        <w:rPr>
          <w:i/>
        </w:rPr>
        <w:t>.</w:t>
      </w:r>
      <w:r w:rsidRPr="002A0C60">
        <w:rPr>
          <w:rStyle w:val="Voetnootmarkering"/>
          <w:i/>
        </w:rPr>
        <w:footnoteReference w:id="10"/>
      </w:r>
      <w:r w:rsidRPr="002A0C60">
        <w:t xml:space="preserve">Daarom zal in deze masterscriptie ook op regelmatige wijze worden teruggegrepen naar het </w:t>
      </w:r>
      <w:r w:rsidRPr="002A0C60">
        <w:rPr>
          <w:i/>
        </w:rPr>
        <w:t xml:space="preserve">Draft </w:t>
      </w:r>
      <w:r w:rsidR="00192459">
        <w:rPr>
          <w:i/>
        </w:rPr>
        <w:t>Common Frame of</w:t>
      </w:r>
      <w:r w:rsidRPr="002A0C60">
        <w:rPr>
          <w:i/>
        </w:rPr>
        <w:t xml:space="preserve"> Reference </w:t>
      </w:r>
      <w:r w:rsidRPr="002A0C60">
        <w:t xml:space="preserve">en zal worden gekeken op welke manier deze een impact heeft gehad op de wet van 11 juli 2013 en meer bepaald op de relatie tussen het pandrecht en artikel 2279 Burgerlijk Wetboek. </w:t>
      </w:r>
    </w:p>
    <w:p w14:paraId="002026EC" w14:textId="6F89C722" w:rsidR="00781B71" w:rsidRPr="002A0C60" w:rsidRDefault="005D4E84" w:rsidP="005D4E84">
      <w:pPr>
        <w:jc w:val="left"/>
      </w:pPr>
      <w:r w:rsidRPr="002A0C60">
        <w:br w:type="page"/>
      </w:r>
    </w:p>
    <w:p w14:paraId="440C0B51" w14:textId="77777777" w:rsidR="009C5BD9" w:rsidRPr="002A0C60" w:rsidRDefault="009C5BD9" w:rsidP="008367D0">
      <w:pPr>
        <w:pStyle w:val="Kop1"/>
        <w:numPr>
          <w:ilvl w:val="0"/>
          <w:numId w:val="0"/>
        </w:numPr>
        <w:spacing w:line="360" w:lineRule="auto"/>
      </w:pPr>
    </w:p>
    <w:p w14:paraId="02B56130" w14:textId="77777777" w:rsidR="008841D2" w:rsidRDefault="008841D2" w:rsidP="008367D0">
      <w:pPr>
        <w:pStyle w:val="Kop1"/>
      </w:pPr>
      <w:bookmarkStart w:id="5" w:name="_Toc449982172"/>
      <w:r w:rsidRPr="002A0C60">
        <w:t>traditionele werking van artikel 2279 BW</w:t>
      </w:r>
      <w:bookmarkEnd w:id="5"/>
    </w:p>
    <w:p w14:paraId="5ED86D81" w14:textId="77777777" w:rsidR="008367D0" w:rsidRPr="008367D0" w:rsidRDefault="008367D0" w:rsidP="008367D0">
      <w:pPr>
        <w:pStyle w:val="Kop2"/>
        <w:numPr>
          <w:ilvl w:val="0"/>
          <w:numId w:val="0"/>
        </w:numPr>
      </w:pPr>
    </w:p>
    <w:p w14:paraId="23E61DFF" w14:textId="2276345A" w:rsidR="00781B71" w:rsidRPr="002A0C60" w:rsidRDefault="00781B71" w:rsidP="00781B71">
      <w:pPr>
        <w:spacing w:line="360" w:lineRule="auto"/>
        <w:rPr>
          <w:i/>
        </w:rPr>
      </w:pPr>
      <w:r w:rsidRPr="002A0C60">
        <w:rPr>
          <w:i/>
        </w:rPr>
        <w:t>In dit eerste deel wordt de traditionele werking van artikel 2279 Burgerlijk Wetboek besproken. Het eerste hoofdstuk bespreekt de werking van artikel 2279 Burgerlijk in het algemeen. In het tweede</w:t>
      </w:r>
      <w:r w:rsidR="008C0766" w:rsidRPr="002A0C60">
        <w:rPr>
          <w:i/>
        </w:rPr>
        <w:t xml:space="preserve"> en derde hoofdstuk wordt de</w:t>
      </w:r>
      <w:r w:rsidRPr="002A0C60">
        <w:rPr>
          <w:i/>
        </w:rPr>
        <w:t xml:space="preserve"> relatie tussen artikel 2279 Burgerlijk Wetboek en het pandrecht onder het huidige recht belicht.</w:t>
      </w:r>
    </w:p>
    <w:p w14:paraId="33F25C0D" w14:textId="2A31377B" w:rsidR="007C3569" w:rsidRPr="007C3569" w:rsidRDefault="008841D2" w:rsidP="007C3569">
      <w:pPr>
        <w:pStyle w:val="Kop2"/>
        <w:spacing w:line="360" w:lineRule="auto"/>
      </w:pPr>
      <w:bookmarkStart w:id="6" w:name="_Toc449982173"/>
      <w:r w:rsidRPr="002A0C60">
        <w:t>Bezitsbescherming in het algemeen</w:t>
      </w:r>
      <w:bookmarkEnd w:id="6"/>
    </w:p>
    <w:p w14:paraId="2CBCBB01" w14:textId="531208DA" w:rsidR="009F65E4" w:rsidRPr="002A0C60" w:rsidRDefault="009F65E4" w:rsidP="005E187E">
      <w:pPr>
        <w:pStyle w:val="Kop3"/>
        <w:spacing w:line="360" w:lineRule="auto"/>
      </w:pPr>
      <w:bookmarkStart w:id="7" w:name="_Toc449982174"/>
      <w:r w:rsidRPr="002A0C60">
        <w:t>Algemeen</w:t>
      </w:r>
      <w:bookmarkEnd w:id="7"/>
      <w:r w:rsidRPr="002A0C60">
        <w:t xml:space="preserve"> </w:t>
      </w:r>
    </w:p>
    <w:p w14:paraId="51B14BFD" w14:textId="539718FF" w:rsidR="003216BE" w:rsidRPr="002A0C60" w:rsidRDefault="003216BE" w:rsidP="005E187E">
      <w:pPr>
        <w:pStyle w:val="Kop4"/>
        <w:spacing w:line="360" w:lineRule="auto"/>
      </w:pPr>
      <w:bookmarkStart w:id="8" w:name="_Toc449982175"/>
      <w:r w:rsidRPr="002A0C60">
        <w:t>Basishypothese</w:t>
      </w:r>
      <w:bookmarkEnd w:id="8"/>
    </w:p>
    <w:p w14:paraId="3A4AB13F" w14:textId="58415D41" w:rsidR="00921CC4" w:rsidRPr="002A0C60" w:rsidRDefault="008B0A36" w:rsidP="005E187E">
      <w:pPr>
        <w:pStyle w:val="Nummer"/>
        <w:spacing w:after="200" w:line="360" w:lineRule="auto"/>
      </w:pPr>
      <w:r>
        <w:rPr>
          <w:smallCaps/>
        </w:rPr>
        <w:t xml:space="preserve">Bezit geldt als titel - </w:t>
      </w:r>
      <w:r w:rsidR="001D0EC5" w:rsidRPr="002A0C60">
        <w:t>Artikel 2279 lid 1 Burgerlijk Wetboek stelt dat ten aanzien van roerende goederen</w:t>
      </w:r>
      <w:r w:rsidR="00567A42" w:rsidRPr="002A0C60">
        <w:t xml:space="preserve"> bezit als titel geldt</w:t>
      </w:r>
      <w:r w:rsidR="001D0EC5" w:rsidRPr="002A0C60">
        <w:t xml:space="preserve">. Dit artikel regelt ten gronde de situatie waar een derde-verkrijger een goed verkrijgt van een onbevoegde beschikker. Dit artikel is dus een uitzondering op het adagium </w:t>
      </w:r>
      <w:r w:rsidR="001D0EC5" w:rsidRPr="002A0C60">
        <w:rPr>
          <w:i/>
        </w:rPr>
        <w:t>nemo plus juris ad alium transferre potest quam ipse habet</w:t>
      </w:r>
      <w:r w:rsidR="00FE247F" w:rsidRPr="002A0C60">
        <w:t>.</w:t>
      </w:r>
      <w:r w:rsidR="00FE247F" w:rsidRPr="002A0C60">
        <w:rPr>
          <w:rStyle w:val="Voetnootmarkering"/>
        </w:rPr>
        <w:t xml:space="preserve"> </w:t>
      </w:r>
      <w:r w:rsidR="00FE247F" w:rsidRPr="002A0C60">
        <w:rPr>
          <w:rStyle w:val="Voetnootmarkering"/>
        </w:rPr>
        <w:footnoteReference w:id="11"/>
      </w:r>
    </w:p>
    <w:p w14:paraId="549929F7" w14:textId="2C06B938" w:rsidR="001C38A7" w:rsidRPr="002A0C60" w:rsidRDefault="001C38A7" w:rsidP="005E187E">
      <w:pPr>
        <w:pStyle w:val="Nummer"/>
        <w:numPr>
          <w:ilvl w:val="0"/>
          <w:numId w:val="0"/>
        </w:numPr>
        <w:spacing w:after="200" w:line="360" w:lineRule="auto"/>
      </w:pPr>
      <w:r w:rsidRPr="002A0C60">
        <w:lastRenderedPageBreak/>
        <w:t>In het Franse recht wordt deze basishypo</w:t>
      </w:r>
      <w:r w:rsidR="00502C94" w:rsidRPr="002A0C60">
        <w:t>these geregeld door artikel 2276</w:t>
      </w:r>
      <w:r w:rsidRPr="002A0C60">
        <w:t xml:space="preserve"> Code Civil</w:t>
      </w:r>
      <w:r w:rsidR="006E1453" w:rsidRPr="002A0C60">
        <w:t xml:space="preserve"> français</w:t>
      </w:r>
      <w:r w:rsidRPr="002A0C60">
        <w:t>.</w:t>
      </w:r>
      <w:r w:rsidR="002511CA" w:rsidRPr="002A0C60">
        <w:t xml:space="preserve"> Het Nederlandse recht kent ook een bescherming van de derdeverkrijger, namelijk in artikel 3:86 Nieuw Burgerlijk Wetboek.</w:t>
      </w:r>
      <w:r w:rsidR="00B77DCB" w:rsidRPr="002A0C60">
        <w:t xml:space="preserve"> Naast de bescherming van de derde-verkrijger kent het Nederlandse recht ook de verkrijgende verjaring voor de bezitter te goeder trouw ingevolge artikel 3:99 Nieuw Burgerlijk Wetboek.</w:t>
      </w:r>
      <w:r w:rsidR="004D4CA4" w:rsidRPr="002A0C60">
        <w:t xml:space="preserve"> </w:t>
      </w:r>
      <w:r w:rsidR="00BF74ED" w:rsidRPr="002A0C60">
        <w:t xml:space="preserve">Ook het </w:t>
      </w:r>
      <w:r w:rsidR="00BF74ED" w:rsidRPr="002A0C60">
        <w:rPr>
          <w:i/>
        </w:rPr>
        <w:t xml:space="preserve">Draft Common Frame of reference </w:t>
      </w:r>
      <w:r w:rsidR="00BF74ED" w:rsidRPr="002A0C60">
        <w:t>kent een bepaling inzake de bes</w:t>
      </w:r>
      <w:r w:rsidR="00787BBC" w:rsidRPr="002A0C60">
        <w:t>cherming van derde-verkrijgers.</w:t>
      </w:r>
      <w:r w:rsidR="00787BBC" w:rsidRPr="002A0C60">
        <w:rPr>
          <w:rStyle w:val="Voetnootmarkering"/>
        </w:rPr>
        <w:footnoteReference w:id="12"/>
      </w:r>
    </w:p>
    <w:p w14:paraId="32830FFA" w14:textId="3BFD7FEA" w:rsidR="00921CC4" w:rsidRPr="002A0C60" w:rsidRDefault="00921CC4" w:rsidP="005E187E">
      <w:pPr>
        <w:pStyle w:val="Kop4"/>
        <w:spacing w:line="360" w:lineRule="auto"/>
      </w:pPr>
      <w:bookmarkStart w:id="9" w:name="_Toc449982176"/>
      <w:r w:rsidRPr="002A0C60">
        <w:t>Functies van artikel 2279 Burgerlijk Wetboek</w:t>
      </w:r>
      <w:bookmarkEnd w:id="9"/>
      <w:r w:rsidRPr="002A0C60">
        <w:t xml:space="preserve"> </w:t>
      </w:r>
    </w:p>
    <w:p w14:paraId="1D1859EF" w14:textId="15DE8B17" w:rsidR="00E578A6" w:rsidRPr="002A0C60" w:rsidRDefault="006C3A24" w:rsidP="005E187E">
      <w:pPr>
        <w:pStyle w:val="Nummer"/>
        <w:spacing w:after="200" w:line="360" w:lineRule="auto"/>
      </w:pPr>
      <w:r w:rsidRPr="002A0C60">
        <w:rPr>
          <w:smallCaps/>
        </w:rPr>
        <w:t xml:space="preserve">Dubbele functie - </w:t>
      </w:r>
      <w:r w:rsidR="00921CC4" w:rsidRPr="002A0C60">
        <w:t xml:space="preserve">Artikel 2279 Burgerlijk Wetboek heeft traditioneel een dubbele functie. </w:t>
      </w:r>
      <w:r w:rsidR="00E578A6" w:rsidRPr="002A0C60">
        <w:t xml:space="preserve">In de eerste plaats heeft bezit een eigendomsverkrijgende functie. </w:t>
      </w:r>
      <w:r w:rsidR="00344AC9" w:rsidRPr="002A0C60">
        <w:t>Daarnaast heeft het bezit ook bewijsrechtelijke functie. Het schept namelijk een vermoeden van eigendom.</w:t>
      </w:r>
      <w:r w:rsidR="00344AC9" w:rsidRPr="002A0C60">
        <w:rPr>
          <w:rStyle w:val="Voetnootmarkering"/>
        </w:rPr>
        <w:footnoteReference w:id="13"/>
      </w:r>
    </w:p>
    <w:p w14:paraId="0C8DAA19" w14:textId="7DB1B50A" w:rsidR="003F05CE" w:rsidRPr="002A0C60" w:rsidRDefault="00921CC4" w:rsidP="005E187E">
      <w:pPr>
        <w:pStyle w:val="Kop4"/>
        <w:spacing w:line="360" w:lineRule="auto"/>
      </w:pPr>
      <w:bookmarkStart w:id="10" w:name="_Toc449982177"/>
      <w:r w:rsidRPr="002A0C60">
        <w:rPr>
          <w:i/>
        </w:rPr>
        <w:t>Ratio legis</w:t>
      </w:r>
      <w:r w:rsidR="003F05CE" w:rsidRPr="002A0C60">
        <w:t xml:space="preserve"> van artikel 2279 Burgerlijk Wetboek</w:t>
      </w:r>
      <w:bookmarkEnd w:id="10"/>
    </w:p>
    <w:p w14:paraId="0F40B0D7" w14:textId="3A5F048C" w:rsidR="005C1303" w:rsidRPr="002A0C60" w:rsidRDefault="00BC765E" w:rsidP="005E187E">
      <w:pPr>
        <w:pStyle w:val="Nummer"/>
        <w:spacing w:after="200" w:line="360" w:lineRule="auto"/>
      </w:pPr>
      <w:r w:rsidRPr="002A0C60">
        <w:rPr>
          <w:smallCaps/>
        </w:rPr>
        <w:t xml:space="preserve">Ratio legis - </w:t>
      </w:r>
      <w:r w:rsidR="003F05CE" w:rsidRPr="002A0C60">
        <w:t>De bezitsbescherming van artikel 2279 Burgerlijk Wetboek is opgenomen in de Code Civil omwille</w:t>
      </w:r>
      <w:r w:rsidR="00016A66" w:rsidRPr="002A0C60">
        <w:t xml:space="preserve"> van een reden van openbaar belang en een billijkheidsreden. </w:t>
      </w:r>
    </w:p>
    <w:p w14:paraId="73A46B50" w14:textId="5EA3653F" w:rsidR="00483272" w:rsidRPr="002A0C60" w:rsidRDefault="00016A66" w:rsidP="005E187E">
      <w:pPr>
        <w:pStyle w:val="Nummer"/>
        <w:numPr>
          <w:ilvl w:val="0"/>
          <w:numId w:val="0"/>
        </w:numPr>
        <w:spacing w:after="200" w:line="360" w:lineRule="auto"/>
      </w:pPr>
      <w:r w:rsidRPr="002A0C60">
        <w:t xml:space="preserve">De </w:t>
      </w:r>
      <w:r w:rsidR="005C1303" w:rsidRPr="002A0C60">
        <w:t>reden van openbaar belang</w:t>
      </w:r>
      <w:r w:rsidRPr="002A0C60">
        <w:t xml:space="preserve"> </w:t>
      </w:r>
      <w:r w:rsidR="00F00FF7" w:rsidRPr="002A0C60">
        <w:t>houdt in</w:t>
      </w:r>
      <w:r w:rsidRPr="002A0C60">
        <w:t xml:space="preserve"> dat het handelsverkeer een</w:t>
      </w:r>
      <w:r w:rsidR="003F05CE" w:rsidRPr="002A0C60">
        <w:t xml:space="preserve"> snelheid en veiligheid van handelstransacties </w:t>
      </w:r>
      <w:r w:rsidR="00F00FF7" w:rsidRPr="002A0C60">
        <w:t>met betrekking tot</w:t>
      </w:r>
      <w:r w:rsidR="003F05CE" w:rsidRPr="002A0C60">
        <w:t xml:space="preserve"> roerende goederen</w:t>
      </w:r>
      <w:r w:rsidRPr="002A0C60">
        <w:t xml:space="preserve"> veronderstelt.</w:t>
      </w:r>
      <w:r w:rsidR="00307304" w:rsidRPr="002A0C60">
        <w:t xml:space="preserve"> Het handelsverkeer, dat is in essentie kop</w:t>
      </w:r>
      <w:r w:rsidR="006C6A39" w:rsidRPr="002A0C60">
        <w:t>en en verkopen</w:t>
      </w:r>
      <w:r w:rsidR="00307304" w:rsidRPr="002A0C60">
        <w:t>.</w:t>
      </w:r>
      <w:r w:rsidR="003F05CE" w:rsidRPr="002A0C60">
        <w:t xml:space="preserve"> </w:t>
      </w:r>
      <w:r w:rsidR="00307304" w:rsidRPr="002A0C60">
        <w:t xml:space="preserve">Als de eigenaar het goed zou kunnen revindiceren bij de werkelijke eigenaar zou dit resulteren in tien processen. </w:t>
      </w:r>
      <w:r w:rsidR="005055A6" w:rsidRPr="002A0C60">
        <w:t xml:space="preserve">De rechtszekerheid </w:t>
      </w:r>
      <w:r w:rsidR="00307304" w:rsidRPr="002A0C60">
        <w:t xml:space="preserve">vereist dat deze </w:t>
      </w:r>
      <w:r w:rsidR="00307304" w:rsidRPr="002A0C60">
        <w:lastRenderedPageBreak/>
        <w:t xml:space="preserve">vermeden worden, het is een noodzakelijke voorwaarde voor de handel. Door artikel 2279 Burgerlijk Wetboek </w:t>
      </w:r>
      <w:r w:rsidR="008F7B3D" w:rsidRPr="002A0C60">
        <w:t>mogen alle derde-verkrijgers</w:t>
      </w:r>
      <w:r w:rsidR="00483272" w:rsidRPr="002A0C60">
        <w:t xml:space="preserve"> er vol vertrouwen in hebben dat de bezitter van een roerend goed daar ook “juridisch” eigenaar van is. Dit vertrouwen is noodzakelijk om tot een vlot handelsverkeer te komen. Men hecht dus een hogere waarde aan een vlot handelsverkeer dan aan de rechten van de werkelijke eigenaar.</w:t>
      </w:r>
      <w:r w:rsidR="00483272" w:rsidRPr="002A0C60">
        <w:rPr>
          <w:rStyle w:val="Voetnootmarkering"/>
        </w:rPr>
        <w:t xml:space="preserve"> </w:t>
      </w:r>
      <w:r w:rsidR="00483272" w:rsidRPr="002A0C60">
        <w:rPr>
          <w:rStyle w:val="Voetnootmarkering"/>
        </w:rPr>
        <w:footnoteReference w:id="14"/>
      </w:r>
    </w:p>
    <w:p w14:paraId="7F19314D" w14:textId="3D700B89" w:rsidR="003F05CE" w:rsidRPr="002A0C60" w:rsidRDefault="00016A66" w:rsidP="000B0AA4">
      <w:pPr>
        <w:pStyle w:val="Nummer"/>
        <w:numPr>
          <w:ilvl w:val="0"/>
          <w:numId w:val="0"/>
        </w:numPr>
        <w:spacing w:after="200" w:line="360" w:lineRule="auto"/>
      </w:pPr>
      <w:r w:rsidRPr="002A0C60">
        <w:t xml:space="preserve">De billijkheidsreden </w:t>
      </w:r>
      <w:r w:rsidR="00483272" w:rsidRPr="002A0C60">
        <w:t>betreft het feit dat de derde-verkrijger die te goeder trouw is geen enkele fout te verwijten valt, de eigenaar wordt afgestraft omdat hij zijn vertrouwen in de verkeerde persoon heeft gesteld.</w:t>
      </w:r>
      <w:r w:rsidR="00483272" w:rsidRPr="002A0C60">
        <w:rPr>
          <w:rStyle w:val="Voetnootmarkering"/>
        </w:rPr>
        <w:footnoteReference w:id="15"/>
      </w:r>
    </w:p>
    <w:p w14:paraId="7AC7FC63" w14:textId="652A4DC9" w:rsidR="003216BE" w:rsidRPr="002A0C60" w:rsidRDefault="003216BE" w:rsidP="005E187E">
      <w:pPr>
        <w:pStyle w:val="Kop4"/>
        <w:spacing w:line="360" w:lineRule="auto"/>
      </w:pPr>
      <w:bookmarkStart w:id="11" w:name="_Toc449982178"/>
      <w:r w:rsidRPr="002A0C60">
        <w:t>Onderscheid tussen vrijwillige en onvrijwillige buitenbezitstelling</w:t>
      </w:r>
      <w:bookmarkEnd w:id="11"/>
    </w:p>
    <w:p w14:paraId="5C2461C7" w14:textId="178EAB78" w:rsidR="003216BE" w:rsidRPr="002A0C60" w:rsidRDefault="00C754EB" w:rsidP="005E187E">
      <w:pPr>
        <w:pStyle w:val="Nummer"/>
        <w:spacing w:line="360" w:lineRule="auto"/>
      </w:pPr>
      <w:r w:rsidRPr="002A0C60">
        <w:rPr>
          <w:smallCaps/>
        </w:rPr>
        <w:t xml:space="preserve">Twee situaties - </w:t>
      </w:r>
      <w:r w:rsidR="003216BE" w:rsidRPr="002A0C60">
        <w:t xml:space="preserve">Ook al is de basishypothese steeds dezelfde, </w:t>
      </w:r>
      <w:r w:rsidR="00AE038D" w:rsidRPr="002A0C60">
        <w:t xml:space="preserve">toch kunnen twee </w:t>
      </w:r>
      <w:r w:rsidR="009A41F9" w:rsidRPr="002A0C60">
        <w:t>verschillende situaties</w:t>
      </w:r>
      <w:r w:rsidR="0010112E" w:rsidRPr="002A0C60">
        <w:t xml:space="preserve"> worden onderscheide</w:t>
      </w:r>
      <w:r w:rsidR="007E6307" w:rsidRPr="002A0C60">
        <w:t>n, zowel in het Belgische</w:t>
      </w:r>
      <w:r w:rsidR="00832F47" w:rsidRPr="002A0C60">
        <w:t>,</w:t>
      </w:r>
      <w:r w:rsidR="0010112E" w:rsidRPr="002A0C60">
        <w:t xml:space="preserve"> het Franse recht</w:t>
      </w:r>
      <w:r w:rsidR="007E6307" w:rsidRPr="002A0C60">
        <w:t>, als het Nederlandse recht</w:t>
      </w:r>
      <w:r w:rsidR="0010112E" w:rsidRPr="002A0C60">
        <w:t>.</w:t>
      </w:r>
      <w:r w:rsidR="00AE038D" w:rsidRPr="002A0C60">
        <w:t xml:space="preserve"> Namelijk deze waar sprake is van vrijwillig bezitsverlies en deze waar sprake is van onvrijwillig bezitsverlies.</w:t>
      </w:r>
      <w:r w:rsidR="00AE038D" w:rsidRPr="002A0C60">
        <w:rPr>
          <w:rStyle w:val="Voetnootmarkering"/>
        </w:rPr>
        <w:footnoteReference w:id="16"/>
      </w:r>
    </w:p>
    <w:p w14:paraId="694475F6" w14:textId="0E7764F5" w:rsidR="000F3509" w:rsidRPr="002A0C60" w:rsidRDefault="000F3509" w:rsidP="005E187E">
      <w:pPr>
        <w:pStyle w:val="Nummer"/>
        <w:numPr>
          <w:ilvl w:val="0"/>
          <w:numId w:val="0"/>
        </w:numPr>
        <w:spacing w:line="360" w:lineRule="auto"/>
      </w:pPr>
      <w:r w:rsidRPr="002A0C60">
        <w:lastRenderedPageBreak/>
        <w:t>Er is sprake van vrijwillig bezitsverlies wanneer een persoon het bezit van een goed verkrijgt, zonder de eigendom te verkrijgen</w:t>
      </w:r>
      <w:r w:rsidR="00832F47" w:rsidRPr="002A0C60">
        <w:t>,</w:t>
      </w:r>
      <w:r w:rsidRPr="002A0C60">
        <w:t xml:space="preserve"> als gevolg van een contract zoals een bruikleen, een bewaargeving en dus ook een pandovereenkomst.</w:t>
      </w:r>
      <w:r w:rsidR="00DD68C1" w:rsidRPr="002A0C60">
        <w:t xml:space="preserve"> In dit geval ontneemt artikel 2279 lid 1 Burgerlijk Wetboek de revindicatievordering aan de eigenaar. De rechten van de derde-verkrijger krijgen dus voorrang boven deze van de eigenaar.</w:t>
      </w:r>
      <w:r w:rsidRPr="002A0C60">
        <w:rPr>
          <w:rStyle w:val="Voetnootmarkering"/>
        </w:rPr>
        <w:footnoteReference w:id="17"/>
      </w:r>
      <w:r w:rsidR="00DD68C1" w:rsidRPr="002A0C60">
        <w:t xml:space="preserve"> </w:t>
      </w:r>
    </w:p>
    <w:p w14:paraId="25FD4753" w14:textId="1568CAD9" w:rsidR="000F3509" w:rsidRPr="002A0C60" w:rsidRDefault="000F3509" w:rsidP="005E187E">
      <w:pPr>
        <w:pStyle w:val="Nummer"/>
        <w:numPr>
          <w:ilvl w:val="0"/>
          <w:numId w:val="0"/>
        </w:numPr>
        <w:spacing w:line="360" w:lineRule="auto"/>
      </w:pPr>
      <w:r w:rsidRPr="002A0C60">
        <w:t xml:space="preserve">Van onvrijwillig bezitsverlies is dan weer sprake </w:t>
      </w:r>
      <w:r w:rsidR="00CF66F9" w:rsidRPr="002A0C60">
        <w:t>wanneer men het bezit van een goed verkrijgt door verlies of door diefstal.</w:t>
      </w:r>
      <w:r w:rsidR="00DE6E31" w:rsidRPr="002A0C60">
        <w:t xml:space="preserve"> In het Nederlandse recht slaat de uitzondering van artikel 3:86 lid 3 Nieuw Burgerlijk Wetboek enkel op diefstal.</w:t>
      </w:r>
      <w:r w:rsidR="00DD68C1" w:rsidRPr="002A0C60">
        <w:rPr>
          <w:rStyle w:val="Voetnootmarkering"/>
        </w:rPr>
        <w:footnoteReference w:id="18"/>
      </w:r>
      <w:r w:rsidR="00DD68C1" w:rsidRPr="002A0C60">
        <w:t xml:space="preserve">  In het geval van onvrijwillig bezitsverlies wordt de revindicatievordering van de eig</w:t>
      </w:r>
      <w:r w:rsidR="00832F47" w:rsidRPr="002A0C60">
        <w:t>enaar, zowel in het Belgische, het Franse en het Nederlandse recht gelimiteerd tot drie jaar.</w:t>
      </w:r>
      <w:r w:rsidR="00DD68C1" w:rsidRPr="002A0C60">
        <w:rPr>
          <w:rStyle w:val="Voetnootmarkering"/>
        </w:rPr>
        <w:footnoteReference w:id="19"/>
      </w:r>
      <w:r w:rsidR="000B0AA4" w:rsidRPr="002A0C60">
        <w:t xml:space="preserve"> In de </w:t>
      </w:r>
      <w:r w:rsidR="000B0AA4" w:rsidRPr="002A0C60">
        <w:rPr>
          <w:i/>
        </w:rPr>
        <w:t xml:space="preserve">Draft Common Frame of Reference </w:t>
      </w:r>
      <w:r w:rsidR="000B0AA4" w:rsidRPr="002A0C60">
        <w:t xml:space="preserve">echter wordt geen derdenbescherming verleend indien de zaak gestolen is. Hiervan </w:t>
      </w:r>
      <w:r w:rsidR="000B0AA4" w:rsidRPr="002A0C60">
        <w:lastRenderedPageBreak/>
        <w:t>wordt wel afgeweken wanneer de derde-verkrijger het goed heeft verkregen van vervreemder die handelde in de normale uitoefening van zijn bedrijf.</w:t>
      </w:r>
      <w:r w:rsidR="000B0AA4" w:rsidRPr="002A0C60">
        <w:rPr>
          <w:rStyle w:val="Voetnootmarkering"/>
        </w:rPr>
        <w:footnoteReference w:id="20"/>
      </w:r>
    </w:p>
    <w:p w14:paraId="4462990F" w14:textId="07A3A716" w:rsidR="00DD68C1" w:rsidRPr="002A0C60" w:rsidRDefault="000B0AA4" w:rsidP="008B0A36">
      <w:pPr>
        <w:pStyle w:val="Nummer"/>
        <w:spacing w:line="360" w:lineRule="auto"/>
      </w:pPr>
      <w:r w:rsidRPr="002A0C60">
        <w:rPr>
          <w:smallCaps/>
        </w:rPr>
        <w:t xml:space="preserve">Geen onderscheid toegewijde vs. niet-toegewijde eigenaar - </w:t>
      </w:r>
      <w:r w:rsidR="00DD68C1" w:rsidRPr="002A0C60">
        <w:t xml:space="preserve">Er wordt geen onderscheid </w:t>
      </w:r>
      <w:r w:rsidR="003F05CE" w:rsidRPr="002A0C60">
        <w:t>gemaakt tussen een toegewijde eigenaar en een minder toegewijde eigenaar. De toepassing van artikel 2279 Burgerlijk Wetboek is niet afhankelijk van het feit dat de eigenaar alle normale voorzorgen heeft genomen om ervoor te zorgen dat de zaak niet verloren of gestolen was.</w:t>
      </w:r>
      <w:r w:rsidR="003F05CE" w:rsidRPr="002A0C60">
        <w:rPr>
          <w:rStyle w:val="Voetnootmarkering"/>
        </w:rPr>
        <w:footnoteReference w:id="21"/>
      </w:r>
      <w:r w:rsidR="003F05CE" w:rsidRPr="002A0C60">
        <w:t xml:space="preserve"> </w:t>
      </w:r>
    </w:p>
    <w:p w14:paraId="2B71F4A4" w14:textId="5F01BDA6" w:rsidR="005C1303" w:rsidRPr="002A0C60" w:rsidRDefault="005C1303" w:rsidP="005E187E">
      <w:pPr>
        <w:pStyle w:val="Kop4"/>
        <w:spacing w:line="360" w:lineRule="auto"/>
      </w:pPr>
      <w:bookmarkStart w:id="12" w:name="_Toc449982179"/>
      <w:r w:rsidRPr="002A0C60">
        <w:t>Zowel eigenaar als beperkt zakelijk gerechtigde</w:t>
      </w:r>
      <w:bookmarkEnd w:id="12"/>
    </w:p>
    <w:p w14:paraId="4510F34D" w14:textId="049E292F" w:rsidR="009F65E4" w:rsidRPr="002A0C60" w:rsidRDefault="009F65E4" w:rsidP="00574C1D">
      <w:pPr>
        <w:pStyle w:val="Nummer"/>
        <w:spacing w:line="360" w:lineRule="auto"/>
      </w:pPr>
      <w:r w:rsidRPr="002A0C60">
        <w:rPr>
          <w:smallCaps/>
        </w:rPr>
        <w:t xml:space="preserve">Eigenaar of beperkt zakelijk gerechtigde - </w:t>
      </w:r>
      <w:r w:rsidRPr="002A0C60">
        <w:t>De bescherming van artikel 2279 Burgerlijk Wetboek kan alleen worden ingeroepen door de eigenaar of door een beperkt zakelijk gerechtigde. Dit houdt in dat ook de pandhouder en de bevoorrechte schuldeisers wiens voorrecht op een pandrecht is gebaseerd een beroep kunnen doen op de bescherming van artikel 2279 Burgerlijk Wetboek</w:t>
      </w:r>
      <w:r w:rsidR="000D5CD2" w:rsidRPr="002A0C60">
        <w:t xml:space="preserve"> (</w:t>
      </w:r>
      <w:r w:rsidR="000D5CD2" w:rsidRPr="002A0C60">
        <w:rPr>
          <w:i/>
        </w:rPr>
        <w:t>infra</w:t>
      </w:r>
      <w:r w:rsidR="006A4DFF">
        <w:rPr>
          <w:i/>
        </w:rPr>
        <w:t>,</w:t>
      </w:r>
      <w:r w:rsidR="000D5CD2" w:rsidRPr="002A0C60">
        <w:rPr>
          <w:i/>
        </w:rPr>
        <w:t xml:space="preserve"> </w:t>
      </w:r>
      <w:r w:rsidR="000D5CD2" w:rsidRPr="002A0C60">
        <w:t>nr.</w:t>
      </w:r>
      <w:r w:rsidR="002566FD">
        <w:t xml:space="preserve"> 44</w:t>
      </w:r>
      <w:r w:rsidR="000D5CD2" w:rsidRPr="002A0C60">
        <w:t>)</w:t>
      </w:r>
      <w:r w:rsidRPr="002A0C60">
        <w:t>.</w:t>
      </w:r>
      <w:r w:rsidR="00E3790D" w:rsidRPr="002A0C60">
        <w:t xml:space="preserve"> Daarnaast kunnen ook de retentor</w:t>
      </w:r>
      <w:r w:rsidR="00DF5C81" w:rsidRPr="002A0C60">
        <w:rPr>
          <w:rStyle w:val="Voetnootmarkering"/>
        </w:rPr>
        <w:footnoteReference w:id="22"/>
      </w:r>
      <w:r w:rsidR="00E3790D" w:rsidRPr="002A0C60">
        <w:t xml:space="preserve"> en de vruchtgebruiker een beroep doen op de bescherming van artikel 2279 Burgerlijk Wetboek.</w:t>
      </w:r>
      <w:r w:rsidRPr="002A0C60">
        <w:rPr>
          <w:rStyle w:val="Voetnootmarkering"/>
        </w:rPr>
        <w:footnoteReference w:id="23"/>
      </w:r>
      <w:r w:rsidR="00574C1D" w:rsidRPr="002A0C60">
        <w:t xml:space="preserve"> </w:t>
      </w:r>
      <w:r w:rsidR="000D5CD2" w:rsidRPr="002A0C60">
        <w:t>Ook in het Franse en het Nederlandse recht kunnen beperkt zakelijke gerechtigden een beroep doen op de bezitsbescherming.</w:t>
      </w:r>
      <w:r w:rsidR="000D5CD2" w:rsidRPr="002A0C60">
        <w:rPr>
          <w:rStyle w:val="Voetnootmarkering"/>
        </w:rPr>
        <w:footnoteReference w:id="24"/>
      </w:r>
    </w:p>
    <w:p w14:paraId="4B9E4B0F" w14:textId="5DE421DF" w:rsidR="009F65E4" w:rsidRPr="002A0C60" w:rsidRDefault="00B13F2B" w:rsidP="005E187E">
      <w:pPr>
        <w:pStyle w:val="Kop3"/>
        <w:spacing w:line="360" w:lineRule="auto"/>
      </w:pPr>
      <w:bookmarkStart w:id="13" w:name="_Toc449982180"/>
      <w:r w:rsidRPr="002A0C60">
        <w:lastRenderedPageBreak/>
        <w:t xml:space="preserve">voorwaarden </w:t>
      </w:r>
      <w:r w:rsidR="004A1872" w:rsidRPr="002A0C60">
        <w:t>voor bezitsbescherming</w:t>
      </w:r>
      <w:bookmarkEnd w:id="13"/>
    </w:p>
    <w:p w14:paraId="26718F14" w14:textId="4010395F" w:rsidR="00DD68C1" w:rsidRPr="002A0C60" w:rsidRDefault="004A1872" w:rsidP="005E187E">
      <w:pPr>
        <w:pStyle w:val="Nummer"/>
        <w:spacing w:after="200" w:line="360" w:lineRule="auto"/>
      </w:pPr>
      <w:r w:rsidRPr="002A0C60">
        <w:rPr>
          <w:smallCaps/>
        </w:rPr>
        <w:t xml:space="preserve">Voorwaarden Frans &amp; Belgisch recht - </w:t>
      </w:r>
      <w:r w:rsidRPr="002A0C60">
        <w:t xml:space="preserve">Opdat een derde-verkrijger op de bezitsbescherming van artikel 2279 Burgerlijk Wetboek beroep kan doen moeten enkele voorwaarden vervuld zijn. </w:t>
      </w:r>
      <w:r w:rsidR="00FE247F" w:rsidRPr="002A0C60">
        <w:t xml:space="preserve">In de eerste plaats </w:t>
      </w:r>
      <w:r w:rsidR="008F7B3D" w:rsidRPr="002A0C60">
        <w:t>gaat het om</w:t>
      </w:r>
      <w:r w:rsidR="00FE247F" w:rsidRPr="002A0C60">
        <w:t xml:space="preserve"> voorwaarden met betrekki</w:t>
      </w:r>
      <w:r w:rsidR="008F7B3D" w:rsidRPr="002A0C60">
        <w:t>ng tot het goed</w:t>
      </w:r>
      <w:r w:rsidR="00FE247F" w:rsidRPr="002A0C60">
        <w:t xml:space="preserve">. </w:t>
      </w:r>
      <w:r w:rsidR="00DD68C1" w:rsidRPr="002A0C60">
        <w:t>Ten tweede bestaan er voorwaarden met betrekking tot het bezit. Deze voorwaarden vinden we zowel in het Belgische als in het Franse recht terug.</w:t>
      </w:r>
      <w:r w:rsidR="00DD68C1" w:rsidRPr="002A0C60">
        <w:rPr>
          <w:rStyle w:val="Voetnootmarkering"/>
        </w:rPr>
        <w:footnoteReference w:id="25"/>
      </w:r>
    </w:p>
    <w:p w14:paraId="202E07EB" w14:textId="77777777" w:rsidR="006F4368" w:rsidRPr="002A0C60" w:rsidRDefault="00B77DCB" w:rsidP="008B0A36">
      <w:pPr>
        <w:pStyle w:val="Nummer"/>
        <w:spacing w:after="200" w:line="360" w:lineRule="auto"/>
      </w:pPr>
      <w:r w:rsidRPr="002A0C60">
        <w:rPr>
          <w:smallCaps/>
        </w:rPr>
        <w:t>Derdenbescherming</w:t>
      </w:r>
      <w:r w:rsidR="004A1872" w:rsidRPr="002A0C60">
        <w:rPr>
          <w:smallCaps/>
        </w:rPr>
        <w:t xml:space="preserve"> Nederlands recht - </w:t>
      </w:r>
      <w:r w:rsidR="004A1872" w:rsidRPr="002A0C60">
        <w:t>In het Nederlandse recht moeten</w:t>
      </w:r>
      <w:r w:rsidR="000E1112" w:rsidRPr="002A0C60">
        <w:t xml:space="preserve"> echter</w:t>
      </w:r>
      <w:r w:rsidR="004A1872" w:rsidRPr="002A0C60">
        <w:t xml:space="preserve"> andere voorwaarden vervuld worden. Daar stelt artikel 3:86 Nieuw Burgerlijk Wetboek dat op de bescherming van dat artikel enkel een beroep kan worden gedaan wanneer aan volgende voorwaarden is voldaan: (i) Het moet gaan om een geldige levering, (ii) krachtens een geldige titel. (iii) Daarnaast moet de derdeverkrijger te goeder trouw zijn op het ogenblik dat aan hem de macht over de zaak werd gegeven. (iv) De verkrijging moet daarnaast ook anders dan om niet geweest zijn. (v) De derdeverkrijger moet om de bescherming gevraagd hebben krachtens artikel 3:87 Nieuw Burgerlijk Wetboek.</w:t>
      </w:r>
      <w:r w:rsidR="004A1872" w:rsidRPr="002A0C60">
        <w:rPr>
          <w:rStyle w:val="Voetnootmarkering"/>
        </w:rPr>
        <w:footnoteReference w:id="26"/>
      </w:r>
      <w:r w:rsidR="00A555E3" w:rsidRPr="002A0C60">
        <w:rPr>
          <w:smallCaps/>
        </w:rPr>
        <w:t xml:space="preserve"> </w:t>
      </w:r>
    </w:p>
    <w:p w14:paraId="067E9497" w14:textId="77777777" w:rsidR="006F4368" w:rsidRPr="002A0C60" w:rsidRDefault="00336153" w:rsidP="008B0A36">
      <w:pPr>
        <w:pStyle w:val="Nummer"/>
        <w:spacing w:after="200" w:line="360" w:lineRule="auto"/>
      </w:pPr>
      <w:r w:rsidRPr="002A0C60">
        <w:rPr>
          <w:smallCaps/>
        </w:rPr>
        <w:t xml:space="preserve">Geldige levering - </w:t>
      </w:r>
      <w:r w:rsidRPr="002A0C60">
        <w:t xml:space="preserve">Vereist is een geldige levering. Deze bepaling laat alleen de vereiste van beschikkingsbevoegdheid van de vervreemder vervallen. Aan de andere eisen voor een overdracht uit artikel 3:84 Nieuw Burgerlijk Wetboek moet nog steeds voldaan zijn. Er moet </w:t>
      </w:r>
      <w:r w:rsidRPr="002A0C60">
        <w:lastRenderedPageBreak/>
        <w:t>ook uitdrukkelijk of stilzwijgend medewerking zijn verleend door iemand die de zaak op het tijdstip van de levering in zijn macht had (als bezitter of als houder).</w:t>
      </w:r>
      <w:r w:rsidRPr="002A0C60">
        <w:rPr>
          <w:rStyle w:val="Voetnootmarkering"/>
        </w:rPr>
        <w:footnoteReference w:id="27"/>
      </w:r>
    </w:p>
    <w:p w14:paraId="54110312" w14:textId="77777777" w:rsidR="006F4368" w:rsidRPr="002A0C60" w:rsidRDefault="00257C36" w:rsidP="008B0A36">
      <w:pPr>
        <w:pStyle w:val="Nummer"/>
        <w:spacing w:after="200" w:line="360" w:lineRule="auto"/>
      </w:pPr>
      <w:r w:rsidRPr="002A0C60">
        <w:rPr>
          <w:smallCaps/>
        </w:rPr>
        <w:t xml:space="preserve">Wettige titel  - </w:t>
      </w:r>
      <w:r w:rsidRPr="002A0C60">
        <w:t xml:space="preserve">De vereiste van een geldige titel vinden we ook terug onder de </w:t>
      </w:r>
      <w:r w:rsidRPr="002A0C60">
        <w:rPr>
          <w:i/>
        </w:rPr>
        <w:t>Draft Common Frame of Reference.</w:t>
      </w:r>
      <w:r w:rsidRPr="002A0C60">
        <w:rPr>
          <w:rStyle w:val="Voetnootmarkering"/>
          <w:i/>
        </w:rPr>
        <w:footnoteReference w:id="28"/>
      </w:r>
      <w:r w:rsidRPr="002A0C60">
        <w:rPr>
          <w:i/>
        </w:rPr>
        <w:t xml:space="preserve"> </w:t>
      </w:r>
      <w:r w:rsidRPr="002A0C60">
        <w:t>In het Belgische en het Franse recht daarentegen wordt aangenomen dat het voor de toepassing van artikel 2279 Burgerlijk Wetboek niet nodig is dat de bezitter kan steunen op een wettige titel. Dit werd uitdrukkelijk bevestigd door het Hof van Cassatie, “</w:t>
      </w:r>
      <w:r w:rsidRPr="002A0C60">
        <w:rPr>
          <w:i/>
        </w:rPr>
        <w:t>bezit geldt als titel zonder dat de bezitter de oorsprong van zijn bezit hoeft te bewijzen.”</w:t>
      </w:r>
      <w:r w:rsidRPr="002A0C60">
        <w:rPr>
          <w:rStyle w:val="Voetnootmarkering"/>
        </w:rPr>
        <w:footnoteReference w:id="29"/>
      </w:r>
      <w:r w:rsidRPr="002A0C60">
        <w:t xml:space="preserve"> </w:t>
      </w:r>
    </w:p>
    <w:p w14:paraId="01269C30" w14:textId="429E9324" w:rsidR="006F4368" w:rsidRPr="002A0C60" w:rsidRDefault="00257C36" w:rsidP="008B0A36">
      <w:pPr>
        <w:pStyle w:val="Nummer"/>
        <w:spacing w:after="200" w:line="360" w:lineRule="auto"/>
      </w:pPr>
      <w:r w:rsidRPr="002A0C60">
        <w:rPr>
          <w:smallCaps/>
        </w:rPr>
        <w:t xml:space="preserve">Goede trouw – </w:t>
      </w:r>
      <w:r w:rsidRPr="002A0C60">
        <w:rPr>
          <w:i/>
        </w:rPr>
        <w:t>infra</w:t>
      </w:r>
      <w:r w:rsidR="006A4DFF">
        <w:rPr>
          <w:i/>
        </w:rPr>
        <w:t>,</w:t>
      </w:r>
      <w:r w:rsidRPr="002A0C60">
        <w:rPr>
          <w:i/>
        </w:rPr>
        <w:t xml:space="preserve"> </w:t>
      </w:r>
      <w:r w:rsidRPr="002A0C60">
        <w:t xml:space="preserve">nr. </w:t>
      </w:r>
      <w:r w:rsidR="002566FD">
        <w:t>23-27.</w:t>
      </w:r>
    </w:p>
    <w:p w14:paraId="01739BFD" w14:textId="77777777" w:rsidR="006F4368" w:rsidRPr="002A0C60" w:rsidRDefault="00257C36" w:rsidP="008B0A36">
      <w:pPr>
        <w:pStyle w:val="Nummer"/>
        <w:spacing w:after="200" w:line="360" w:lineRule="auto"/>
      </w:pPr>
      <w:r w:rsidRPr="002A0C60">
        <w:rPr>
          <w:smallCaps/>
        </w:rPr>
        <w:t xml:space="preserve">Anders dan om niet - </w:t>
      </w:r>
      <w:r w:rsidRPr="002A0C60">
        <w:t>Het goed moet ook anders dan om niet verkregen zijn. Dit in tegenstelling tot het Belgische recht, daar zal de bezitter op de bescherming van artikel 2279 Burgerlijk Wetboek kunnen rekenen ongeacht of het goed verkregen is om niet of onder bezwarende titel.</w:t>
      </w:r>
      <w:r w:rsidRPr="002A0C60">
        <w:rPr>
          <w:rStyle w:val="Voetnootmarkering"/>
        </w:rPr>
        <w:footnoteReference w:id="30"/>
      </w:r>
    </w:p>
    <w:p w14:paraId="67B3F38B" w14:textId="4B33E006" w:rsidR="00257C36" w:rsidRPr="002A0C60" w:rsidRDefault="00257C36" w:rsidP="008B0A36">
      <w:pPr>
        <w:pStyle w:val="Nummer"/>
        <w:spacing w:after="200" w:line="360" w:lineRule="auto"/>
      </w:pPr>
      <w:r w:rsidRPr="002A0C60">
        <w:rPr>
          <w:smallCaps/>
        </w:rPr>
        <w:t xml:space="preserve">Wegwijsverplichting - </w:t>
      </w:r>
      <w:r w:rsidRPr="002A0C60">
        <w:t xml:space="preserve">De derdeverkrijger kan geen beroep doen op de bescherming van artikel 3:86 Nieuw Burgerlijk Wetboek wanneer hij krachtens artikel 3:87 Nieuw Burgerlijk Wetboek niet binnen de drie jaar na zijn verkrijging niet de gegevens verstrekt die noodzakelijk zijn om de vervreemder terug te vinden. Deze bepaling wordt gezien als een </w:t>
      </w:r>
      <w:r w:rsidRPr="002A0C60">
        <w:lastRenderedPageBreak/>
        <w:t>aanvulling op de vereiste van de goede trouw uit artikel 3:86 Nieuw Burgerlijk Wetboek. Deze verplichting wordt de wegwijsverplichting genoemd.</w:t>
      </w:r>
      <w:r w:rsidRPr="002A0C60">
        <w:rPr>
          <w:rStyle w:val="Voetnootmarkering"/>
        </w:rPr>
        <w:footnoteReference w:id="31"/>
      </w:r>
    </w:p>
    <w:p w14:paraId="7D92FC26" w14:textId="708095A1" w:rsidR="00257C36" w:rsidRPr="002A0C60" w:rsidRDefault="008B0A36" w:rsidP="008B0A36">
      <w:pPr>
        <w:pStyle w:val="Nummer"/>
        <w:spacing w:after="200" w:line="360" w:lineRule="auto"/>
      </w:pPr>
      <w:r>
        <w:rPr>
          <w:smallCaps/>
        </w:rPr>
        <w:t xml:space="preserve">Verkrijgende verjaring - </w:t>
      </w:r>
      <w:r w:rsidR="00257C36" w:rsidRPr="002A0C60">
        <w:t>Zoals reeds vermeld bestaat in het Nederlandse recht niet alleen de derdenbescherming van artikel 3:86 Nieuw Burgerlijk Wetboek, maar ook de verkrijgende verjaring ten gunste van de verkrijger te goeder trouw geregeld door artikel 3:99 Nieuw Burgerlijk Wetboek. Deze verkrijgende verjaring treedt in na een onafgebroken bezit te goeder trouw wanneer het bezit betrekking heeft op een recht (waaronder begrepen het eigendomsrecht) op een roerende, niet-registerzaak, een recht aan toonder of een recht aan order. Heeft het bezit betrekking op “andere goederen” zal het bezit tien jaar onafgebroken moeten zijn. Drie vereisten kunnen dus worden onderscheiden: (i) bezit,  (ii) te goeder trouw, (iii) van een bepaald soort goed.</w:t>
      </w:r>
      <w:r w:rsidR="00257C36" w:rsidRPr="002A0C60">
        <w:rPr>
          <w:rStyle w:val="Voetnootmarkering"/>
        </w:rPr>
        <w:footnoteReference w:id="32"/>
      </w:r>
    </w:p>
    <w:p w14:paraId="0AE04A26" w14:textId="77777777" w:rsidR="00257C36" w:rsidRPr="002A0C60" w:rsidRDefault="00257C36" w:rsidP="005E187E">
      <w:pPr>
        <w:pStyle w:val="Kop4"/>
        <w:spacing w:line="360" w:lineRule="auto"/>
      </w:pPr>
      <w:bookmarkStart w:id="14" w:name="_Toc449982181"/>
      <w:r w:rsidRPr="002A0C60">
        <w:t>Voorwaarden met betrekking tot de aard van goed</w:t>
      </w:r>
      <w:bookmarkEnd w:id="14"/>
    </w:p>
    <w:p w14:paraId="59894F85" w14:textId="1D9C051D" w:rsidR="00257C36" w:rsidRPr="002A0C60" w:rsidRDefault="00257C36" w:rsidP="005E187E">
      <w:pPr>
        <w:pStyle w:val="Nummer"/>
        <w:spacing w:line="360" w:lineRule="auto"/>
      </w:pPr>
      <w:r w:rsidRPr="002A0C60">
        <w:rPr>
          <w:smallCaps/>
        </w:rPr>
        <w:t xml:space="preserve">Enkel roerende lichamelijke goederen - </w:t>
      </w:r>
      <w:r w:rsidRPr="002A0C60">
        <w:t>Ondanks de algemene formulering van artikel 2279 Burgerlijk Wetboek is het artikel enkel van toepassing op roerende lichamelijke goederen waarvan de overdracht gewoonlijk door traditie gebeurt. De waarde, soort en mobiliteit is van geen belang.</w:t>
      </w:r>
      <w:r w:rsidRPr="002A0C60">
        <w:rPr>
          <w:rStyle w:val="Voetnootmarkering"/>
        </w:rPr>
        <w:footnoteReference w:id="33"/>
      </w:r>
      <w:r w:rsidRPr="002A0C60">
        <w:t xml:space="preserve"> Ook in het Franse recht is artikel 2276 Code Civil français enkel van toepassing op roerende lichamelijke goederen.</w:t>
      </w:r>
      <w:r w:rsidRPr="002A0C60">
        <w:rPr>
          <w:rStyle w:val="Voetnootmarkering"/>
        </w:rPr>
        <w:footnoteReference w:id="34"/>
      </w:r>
      <w:r w:rsidRPr="002A0C60">
        <w:t xml:space="preserve"> Derhalve vallen universaliteiten en </w:t>
      </w:r>
      <w:r w:rsidRPr="002A0C60">
        <w:lastRenderedPageBreak/>
        <w:t>schuldvorderingen niet onder het toepassingsgebied van artikel 2279 Burgerlijk Wetboek. Daarnaast worden ook geldbiljetten expliciet uitgesloten van het toepassingsgebied.</w:t>
      </w:r>
      <w:r w:rsidRPr="002A0C60">
        <w:rPr>
          <w:rStyle w:val="Voetnootmarkering"/>
        </w:rPr>
        <w:footnoteReference w:id="35"/>
      </w:r>
    </w:p>
    <w:p w14:paraId="03BC989B" w14:textId="0FF94058" w:rsidR="00257C36" w:rsidRPr="002A0C60" w:rsidRDefault="00257C36" w:rsidP="005E187E">
      <w:pPr>
        <w:pStyle w:val="Nummer"/>
        <w:numPr>
          <w:ilvl w:val="0"/>
          <w:numId w:val="0"/>
        </w:numPr>
        <w:spacing w:line="360" w:lineRule="auto"/>
      </w:pPr>
      <w:r w:rsidRPr="002A0C60">
        <w:t>Zowel Artikel 2279 Burgerlijk Wetboek als artikel 2276 Code Civil français zijn van toepassing op goederen die terug roerend zijn geworden nadat ze eerst onroerend door bestemming of incorporatie waren. Het is evenwel niet van toepassing op roerende goederen door anticipatie.</w:t>
      </w:r>
      <w:r w:rsidRPr="002A0C60">
        <w:rPr>
          <w:rStyle w:val="Voetnootmarkering"/>
        </w:rPr>
        <w:footnoteReference w:id="36"/>
      </w:r>
      <w:r w:rsidRPr="002A0C60">
        <w:t xml:space="preserve"> </w:t>
      </w:r>
    </w:p>
    <w:p w14:paraId="75372C60" w14:textId="49BA89AB" w:rsidR="00257C36" w:rsidRPr="002A0C60" w:rsidRDefault="00257C36" w:rsidP="000E7E55">
      <w:pPr>
        <w:pStyle w:val="Nummer"/>
        <w:spacing w:line="360" w:lineRule="auto"/>
      </w:pPr>
      <w:r w:rsidRPr="002A0C60">
        <w:rPr>
          <w:smallCaps/>
        </w:rPr>
        <w:t xml:space="preserve">Roerende lichamelijke goederen waarop artikel 2279 BW niet van toepassing is - </w:t>
      </w:r>
      <w:r w:rsidRPr="002A0C60">
        <w:t>Sommige roerende lichamelijke goederen vallen niet onder het toepassingsgebied van artikel 2279 Burgerlijk Wetboek. Het gaat ten eerste</w:t>
      </w:r>
      <w:r w:rsidR="00882BEA" w:rsidRPr="002A0C60">
        <w:t xml:space="preserve"> om </w:t>
      </w:r>
      <w:r w:rsidRPr="002A0C60">
        <w:t>roerende lichamelijke goederen die deel uitmaken van het publiek domein. Dit geldt ook in het Franse recht.</w:t>
      </w:r>
      <w:r w:rsidRPr="002A0C60">
        <w:rPr>
          <w:rStyle w:val="Voetnootmarkering"/>
        </w:rPr>
        <w:footnoteReference w:id="37"/>
      </w:r>
      <w:r w:rsidRPr="002A0C60">
        <w:t xml:space="preserve"> Daarnaast vallen ook roerende goederen waarvan de overd</w:t>
      </w:r>
      <w:r w:rsidR="008F7B3D" w:rsidRPr="002A0C60">
        <w:t>r</w:t>
      </w:r>
      <w:r w:rsidRPr="002A0C60">
        <w:t xml:space="preserve">acht afhankelijk is van publiciteit niet onder het toepassingsgebied van artikel 2279 Burgerlijk Wetboek. De </w:t>
      </w:r>
      <w:r w:rsidRPr="002A0C60">
        <w:rPr>
          <w:i/>
        </w:rPr>
        <w:t xml:space="preserve">lex specialis </w:t>
      </w:r>
      <w:r w:rsidRPr="002A0C60">
        <w:t xml:space="preserve">die in de publiciteit voorziet zal de </w:t>
      </w:r>
      <w:r w:rsidRPr="002A0C60">
        <w:rPr>
          <w:i/>
        </w:rPr>
        <w:t xml:space="preserve">lex generalis </w:t>
      </w:r>
      <w:r w:rsidRPr="002A0C60">
        <w:t>van artikel 2279 Burgerlijk Wetboek uitsluiten. Dit is het geval voor schepen en boten, deze uitzondering geldt ook in het Franse recht.</w:t>
      </w:r>
      <w:r w:rsidRPr="002A0C60">
        <w:rPr>
          <w:rStyle w:val="Voetnootmarkering"/>
        </w:rPr>
        <w:footnoteReference w:id="38"/>
      </w:r>
      <w:r w:rsidRPr="002A0C60">
        <w:t xml:space="preserve"> Ook de Pandwet sluit expliciet artikel 2279 Burgerlijk W</w:t>
      </w:r>
      <w:r w:rsidR="00882BEA" w:rsidRPr="002A0C60">
        <w:t xml:space="preserve">etboek uit voor professionelen aangezien het pandregister in publiciteit voorziet. </w:t>
      </w:r>
      <w:r w:rsidRPr="002A0C60">
        <w:t xml:space="preserve">Daarnaast is artikel 2279 Burgerlijk Wetboek ook niet van </w:t>
      </w:r>
      <w:r w:rsidRPr="002A0C60">
        <w:lastRenderedPageBreak/>
        <w:t>toepassing op lichamelijke roerende goederen die het voorwerp vormen van specifieke wetgeving die afwijkt van het principe van artikel 2279 Burgerlijk Wetboek.</w:t>
      </w:r>
      <w:r w:rsidRPr="002A0C60">
        <w:rPr>
          <w:rStyle w:val="Voetnootmarkering"/>
        </w:rPr>
        <w:footnoteReference w:id="39"/>
      </w:r>
      <w:r w:rsidRPr="002A0C60">
        <w:t xml:space="preserve"> </w:t>
      </w:r>
    </w:p>
    <w:p w14:paraId="60AE564F" w14:textId="68263760" w:rsidR="00257C36" w:rsidRPr="002A0C60" w:rsidRDefault="00257C36" w:rsidP="005E187E">
      <w:pPr>
        <w:pStyle w:val="Nummer"/>
        <w:numPr>
          <w:ilvl w:val="0"/>
          <w:numId w:val="0"/>
        </w:numPr>
        <w:spacing w:after="200" w:line="360" w:lineRule="auto"/>
      </w:pPr>
      <w:r w:rsidRPr="002A0C60">
        <w:t>Ook in het Nederlandse recht is artikel 3:86 Nieuw Burgerlijk Wetboek enkel van toepassing op roerende lichamelijke goederen. Het artikel stipuleert ook uitdrukkelijk dat het niet toepasselijk is op registergoederen. Ook artikel 2279 Burgerlijk Wetboek is niet van toepassing op registergoederen.</w:t>
      </w:r>
      <w:r w:rsidRPr="002A0C60">
        <w:rPr>
          <w:rStyle w:val="Voetnootmarkering"/>
        </w:rPr>
        <w:footnoteReference w:id="40"/>
      </w:r>
      <w:r w:rsidRPr="002A0C60">
        <w:t xml:space="preserve"> Het is ook niet van toepassing op vorderingen op naam.</w:t>
      </w:r>
      <w:r w:rsidRPr="002A0C60">
        <w:rPr>
          <w:rStyle w:val="Voetnootmarkering"/>
        </w:rPr>
        <w:footnoteReference w:id="41"/>
      </w:r>
      <w:r w:rsidRPr="002A0C60">
        <w:rPr>
          <w:rStyle w:val="Voetnootmarkering"/>
        </w:rPr>
        <w:t xml:space="preserve"> </w:t>
      </w:r>
      <w:r w:rsidRPr="002A0C60">
        <w:t>Artikel 3:99 Nieuw Burgerlijk Wetboek heeft ook enkel betrekking op roerende goederen. Het maakt een onderscheid tussen “niet-registergoederen, rechten aan toonder of order” en “andere goederen”. Voor de eerste categorie is een onafgebroken bezit van drie jaar vereist en voor de tweede een onafgebroken bezit van tien jaar.</w:t>
      </w:r>
      <w:r w:rsidRPr="002A0C60">
        <w:rPr>
          <w:rStyle w:val="Voetnootmarkering"/>
        </w:rPr>
        <w:footnoteReference w:id="42"/>
      </w:r>
    </w:p>
    <w:p w14:paraId="1B320339" w14:textId="77777777" w:rsidR="00257C36" w:rsidRPr="002A0C60" w:rsidRDefault="00257C36" w:rsidP="005E187E">
      <w:pPr>
        <w:pStyle w:val="Kop4"/>
        <w:spacing w:line="360" w:lineRule="auto"/>
      </w:pPr>
      <w:bookmarkStart w:id="15" w:name="_Toc449982182"/>
      <w:r w:rsidRPr="002A0C60">
        <w:t>Voorwaarden met betrekking tot het bezit</w:t>
      </w:r>
      <w:bookmarkEnd w:id="15"/>
      <w:r w:rsidRPr="002A0C60">
        <w:t xml:space="preserve"> </w:t>
      </w:r>
    </w:p>
    <w:p w14:paraId="68B2521C" w14:textId="77777777" w:rsidR="00257C36" w:rsidRPr="002A0C60" w:rsidRDefault="00257C36" w:rsidP="005E187E">
      <w:pPr>
        <w:pStyle w:val="Kop5"/>
        <w:spacing w:line="360" w:lineRule="auto"/>
      </w:pPr>
      <w:bookmarkStart w:id="16" w:name="_Toc449982183"/>
      <w:r w:rsidRPr="002A0C60">
        <w:t>Werkelijk juridisch bezit</w:t>
      </w:r>
      <w:bookmarkEnd w:id="16"/>
    </w:p>
    <w:p w14:paraId="1C04E30D" w14:textId="1AB6B2B4" w:rsidR="00257C36" w:rsidRPr="002A0C60" w:rsidRDefault="00726851" w:rsidP="005E187E">
      <w:pPr>
        <w:pStyle w:val="Nummer"/>
        <w:spacing w:line="360" w:lineRule="auto"/>
      </w:pPr>
      <w:r w:rsidRPr="002A0C60">
        <w:rPr>
          <w:smallCaps/>
        </w:rPr>
        <w:t xml:space="preserve">Juridisch bezit - </w:t>
      </w:r>
      <w:r w:rsidR="00257C36" w:rsidRPr="002A0C60">
        <w:t xml:space="preserve">De verkrijger </w:t>
      </w:r>
      <w:r w:rsidR="00257C36" w:rsidRPr="002A0C60">
        <w:rPr>
          <w:i/>
        </w:rPr>
        <w:t xml:space="preserve">a non domino </w:t>
      </w:r>
      <w:r w:rsidR="00257C36" w:rsidRPr="002A0C60">
        <w:t xml:space="preserve">moet een juridisch bezit aantonen. Hij moet het bezit voor zichzelf uitoefenen en niet voor een derde. Zo’n bezit bestaat uit twee elementen, </w:t>
      </w:r>
      <w:r w:rsidR="00257C36" w:rsidRPr="002A0C60">
        <w:rPr>
          <w:i/>
        </w:rPr>
        <w:t xml:space="preserve">corpus </w:t>
      </w:r>
      <w:r w:rsidR="00257C36" w:rsidRPr="002A0C60">
        <w:t xml:space="preserve">en </w:t>
      </w:r>
      <w:r w:rsidR="00257C36" w:rsidRPr="002A0C60">
        <w:rPr>
          <w:i/>
        </w:rPr>
        <w:t xml:space="preserve">animus pro suo. </w:t>
      </w:r>
      <w:r w:rsidR="00257C36" w:rsidRPr="002A0C60">
        <w:t>Het is mogelijk dat de derde-verkrijger het bezit uitoefent als eigenaar, maar het kan evengoed als titularis van een zakelijk recht of een zakelijke zekerheid, zoals een pandhoudende schuldeiser.</w:t>
      </w:r>
      <w:r w:rsidR="00257C36" w:rsidRPr="002A0C60">
        <w:rPr>
          <w:rStyle w:val="Voetnootmarkering"/>
        </w:rPr>
        <w:footnoteReference w:id="43"/>
      </w:r>
      <w:r w:rsidR="00257C36" w:rsidRPr="002A0C60">
        <w:t xml:space="preserve"> Een loutere houder van de zaak, </w:t>
      </w:r>
      <w:r w:rsidR="00257C36" w:rsidRPr="002A0C60">
        <w:lastRenderedPageBreak/>
        <w:t xml:space="preserve">zoals </w:t>
      </w:r>
      <w:r w:rsidR="008F7B3D" w:rsidRPr="002A0C60">
        <w:t>een</w:t>
      </w:r>
      <w:r w:rsidR="00257C36" w:rsidRPr="002A0C60">
        <w:t xml:space="preserve"> huurder of een bewaarnemer kunnen door deze voorwaarde geen beroep doen op artikel 2279 Burgerlijk Wetboek.</w:t>
      </w:r>
      <w:r w:rsidR="00257C36" w:rsidRPr="002A0C60">
        <w:rPr>
          <w:rStyle w:val="Voetnootmarkering"/>
        </w:rPr>
        <w:footnoteReference w:id="44"/>
      </w:r>
      <w:r w:rsidR="00257C36" w:rsidRPr="002A0C60">
        <w:t xml:space="preserve"> Deze voorwaarde wordt ook teruggevonden in het Franse recht.</w:t>
      </w:r>
      <w:r w:rsidR="00257C36" w:rsidRPr="002A0C60">
        <w:rPr>
          <w:rStyle w:val="Voetnootmarkering"/>
        </w:rPr>
        <w:footnoteReference w:id="45"/>
      </w:r>
    </w:p>
    <w:p w14:paraId="02872C43" w14:textId="55C967AB" w:rsidR="00257C36" w:rsidRPr="002A0C60" w:rsidRDefault="000E7E55" w:rsidP="008B0A36">
      <w:pPr>
        <w:pStyle w:val="Nummer"/>
        <w:spacing w:line="360" w:lineRule="auto"/>
      </w:pPr>
      <w:r w:rsidRPr="002A0C60">
        <w:rPr>
          <w:smallCaps/>
        </w:rPr>
        <w:t xml:space="preserve">Werkelijk bezit - </w:t>
      </w:r>
      <w:r w:rsidR="00257C36" w:rsidRPr="002A0C60">
        <w:t xml:space="preserve">Bepaalde doctrine stelt dat artikel 2279 Burgerlijk Wetboek niet van toepassing is wanneer er geen sprake is van werkelijk bezit. Het moet met andere woorden gaan om een bezit </w:t>
      </w:r>
      <w:r w:rsidR="00257C36" w:rsidRPr="002A0C60">
        <w:rPr>
          <w:i/>
        </w:rPr>
        <w:t>corpore suo.</w:t>
      </w:r>
      <w:r w:rsidR="00257C36" w:rsidRPr="002A0C60">
        <w:rPr>
          <w:rStyle w:val="Voetnootmarkering"/>
        </w:rPr>
        <w:footnoteReference w:id="46"/>
      </w:r>
      <w:r w:rsidR="00882BEA" w:rsidRPr="002A0C60">
        <w:rPr>
          <w:i/>
        </w:rPr>
        <w:t xml:space="preserve"> </w:t>
      </w:r>
      <w:r w:rsidR="00257C36" w:rsidRPr="002A0C60">
        <w:t>Andere doctrine is dan weer iets genuanceerder en bevordert het bezit door een derde wanneer deze voortvloeit uit een uitdrukkelijke bepaling tussen de partijen. Toch is ook deze strekking aarzelend om het toepassingsgebied van artikel 2279 Burgerlijk Wetboek uit te breiden.</w:t>
      </w:r>
      <w:r w:rsidR="00257C36" w:rsidRPr="002A0C60">
        <w:rPr>
          <w:rStyle w:val="Voetnootmarkering"/>
        </w:rPr>
        <w:footnoteReference w:id="47"/>
      </w:r>
      <w:r w:rsidR="00257C36" w:rsidRPr="002A0C60">
        <w:t xml:space="preserve"> In het Franse recht is de rechtspraak van oordeel dat het bezit uitgeoefend kan worden door tussenkomst van een derde-detentor.</w:t>
      </w:r>
      <w:r w:rsidR="00257C36" w:rsidRPr="002A0C60">
        <w:rPr>
          <w:rStyle w:val="Voetnootmarkering"/>
        </w:rPr>
        <w:footnoteReference w:id="48"/>
      </w:r>
      <w:r w:rsidR="00257C36" w:rsidRPr="002A0C60">
        <w:t xml:space="preserve"> </w:t>
      </w:r>
    </w:p>
    <w:p w14:paraId="16B9C535" w14:textId="47AD0ADA" w:rsidR="00257C36" w:rsidRPr="002A0C60" w:rsidRDefault="00257C36" w:rsidP="005E187E">
      <w:pPr>
        <w:pStyle w:val="Nummer"/>
        <w:numPr>
          <w:ilvl w:val="0"/>
          <w:numId w:val="0"/>
        </w:numPr>
        <w:spacing w:line="360" w:lineRule="auto"/>
      </w:pPr>
      <w:r w:rsidRPr="002A0C60">
        <w:t>Er zijn enkele vonnissen en arresten die de toepassing van artikel 2279 Burgerlijk Wetboek weigeren wanneer men niet in het daadwerkelijk bezit is van de zaak.</w:t>
      </w:r>
      <w:r w:rsidRPr="002A0C60">
        <w:rPr>
          <w:rStyle w:val="Voetnootmarkering"/>
        </w:rPr>
        <w:footnoteReference w:id="49"/>
      </w:r>
      <w:r w:rsidRPr="002A0C60">
        <w:t xml:space="preserve"> Deze opvatting vinden we ook terug in het Nederlandse recht. Wanneer men ingevolge van wilsovereenstemming tussen de partijen de feitelijke macht over een goed verkrijgt geldt er een bescherming tegen de juridische onmogelijkheid van de overdrager om zijn leveringsplicht te voldoen.</w:t>
      </w:r>
      <w:r w:rsidRPr="002A0C60">
        <w:rPr>
          <w:rStyle w:val="Voetnootmarkering"/>
        </w:rPr>
        <w:footnoteReference w:id="50"/>
      </w:r>
      <w:r w:rsidRPr="002A0C60">
        <w:t xml:space="preserve"> Onder de </w:t>
      </w:r>
      <w:r w:rsidRPr="002A0C60">
        <w:rPr>
          <w:i/>
        </w:rPr>
        <w:t xml:space="preserve">Draft </w:t>
      </w:r>
      <w:r w:rsidR="00192459">
        <w:rPr>
          <w:i/>
        </w:rPr>
        <w:t>Common Frame of</w:t>
      </w:r>
      <w:r w:rsidRPr="002A0C60">
        <w:rPr>
          <w:i/>
        </w:rPr>
        <w:t xml:space="preserve"> Reference </w:t>
      </w:r>
      <w:r w:rsidRPr="002A0C60">
        <w:t xml:space="preserve">geldt hetzelfde, de verkrijger die heeft verkregen door </w:t>
      </w:r>
      <w:r w:rsidRPr="002A0C60">
        <w:lastRenderedPageBreak/>
        <w:t xml:space="preserve">een </w:t>
      </w:r>
      <w:r w:rsidRPr="002A0C60">
        <w:rPr>
          <w:i/>
        </w:rPr>
        <w:t>traditio brevi manu</w:t>
      </w:r>
      <w:r w:rsidRPr="002A0C60">
        <w:t xml:space="preserve"> zal van bescherming genieten wanneer is voldaan aan de vereisten van artikel VIII.-3:101.</w:t>
      </w:r>
      <w:r w:rsidRPr="002A0C60">
        <w:rPr>
          <w:rStyle w:val="Voetnootmarkering"/>
        </w:rPr>
        <w:footnoteReference w:id="51"/>
      </w:r>
    </w:p>
    <w:p w14:paraId="7D94B55A" w14:textId="77777777" w:rsidR="00257C36" w:rsidRPr="002A0C60" w:rsidRDefault="00257C36" w:rsidP="005E187E">
      <w:pPr>
        <w:pStyle w:val="Kop5"/>
        <w:spacing w:line="360" w:lineRule="auto"/>
      </w:pPr>
      <w:bookmarkStart w:id="17" w:name="_Toc449982184"/>
      <w:r w:rsidRPr="002A0C60">
        <w:t>Bezit te goeder trouw</w:t>
      </w:r>
      <w:bookmarkEnd w:id="17"/>
      <w:r w:rsidRPr="002A0C60">
        <w:t xml:space="preserve"> </w:t>
      </w:r>
    </w:p>
    <w:p w14:paraId="5048F5EC" w14:textId="64AF5104" w:rsidR="00257C36" w:rsidRPr="002A0C60" w:rsidRDefault="000E7E55" w:rsidP="000E7E55">
      <w:pPr>
        <w:pStyle w:val="Nummer"/>
        <w:spacing w:line="360" w:lineRule="auto"/>
      </w:pPr>
      <w:r w:rsidRPr="002A0C60">
        <w:rPr>
          <w:smallCaps/>
        </w:rPr>
        <w:t xml:space="preserve">Bezitter te goeder trouw - </w:t>
      </w:r>
      <w:r w:rsidR="00257C36" w:rsidRPr="002A0C60">
        <w:t xml:space="preserve">De bezitter moet te goeder trouw zijn. </w:t>
      </w:r>
      <w:r w:rsidR="008F7B3D" w:rsidRPr="002A0C60">
        <w:t>Deze</w:t>
      </w:r>
      <w:r w:rsidR="00257C36" w:rsidRPr="002A0C60">
        <w:t xml:space="preserve"> vereiste wordt nergens expliciet in de wet vooropgesteld, maar wordt algemeen aanvaard door rechtspraak en rechtsleer. Deze leiden de vereiste van de goede trouw af uit de combinatie van artikel 2279 Burgerlijk Wetboek en artikel 1141 Burgerlijk Wetboek.</w:t>
      </w:r>
      <w:r w:rsidR="00257C36" w:rsidRPr="002A0C60">
        <w:rPr>
          <w:rStyle w:val="Voetnootmarkering"/>
        </w:rPr>
        <w:footnoteReference w:id="52"/>
      </w:r>
    </w:p>
    <w:p w14:paraId="50412357" w14:textId="767CD5A2" w:rsidR="00257C36" w:rsidRPr="002A0C60" w:rsidRDefault="000E7E55" w:rsidP="008B0A36">
      <w:pPr>
        <w:pStyle w:val="Nummer"/>
        <w:spacing w:line="360" w:lineRule="auto"/>
      </w:pPr>
      <w:r w:rsidRPr="002A0C60">
        <w:rPr>
          <w:smallCaps/>
        </w:rPr>
        <w:t xml:space="preserve">Niet weten of niet behoren te weten - </w:t>
      </w:r>
      <w:r w:rsidR="00257C36" w:rsidRPr="002A0C60">
        <w:t>Om te goeder trouw te zijn wordt vereist dat men niet wist en ook niet behoorde te weten dat de overdrager onmogelijk zijn juridische leveringsplicht kon nakomen omdat deze beschikkingsonbevoegd was.</w:t>
      </w:r>
      <w:r w:rsidR="00257C36" w:rsidRPr="002A0C60">
        <w:rPr>
          <w:rStyle w:val="Voetnootmarkering"/>
        </w:rPr>
        <w:footnoteReference w:id="53"/>
      </w:r>
      <w:r w:rsidR="00257C36" w:rsidRPr="002A0C60">
        <w:t xml:space="preserve"> </w:t>
      </w:r>
      <w:r w:rsidR="00257C36" w:rsidRPr="002A0C60">
        <w:rPr>
          <w:smallCaps/>
        </w:rPr>
        <w:t xml:space="preserve">Derine, Van Neste </w:t>
      </w:r>
      <w:r w:rsidR="00257C36" w:rsidRPr="002A0C60">
        <w:lastRenderedPageBreak/>
        <w:t xml:space="preserve">en </w:t>
      </w:r>
      <w:r w:rsidR="00257C36" w:rsidRPr="002A0C60">
        <w:rPr>
          <w:smallCaps/>
        </w:rPr>
        <w:t xml:space="preserve">Vandenberghe </w:t>
      </w:r>
      <w:r w:rsidR="008F7B3D" w:rsidRPr="002A0C60">
        <w:t>beschouwen goede trouw in het goederen</w:t>
      </w:r>
      <w:r w:rsidR="00257C36" w:rsidRPr="002A0C60">
        <w:t>recht als een verschoonbare dwaling met betrekking tot een gebrek in het bezit.</w:t>
      </w:r>
      <w:r w:rsidR="00257C36" w:rsidRPr="002A0C60">
        <w:rPr>
          <w:rStyle w:val="Voetnootmarkering"/>
        </w:rPr>
        <w:footnoteReference w:id="54"/>
      </w:r>
      <w:r w:rsidR="00257C36" w:rsidRPr="002A0C60">
        <w:t xml:space="preserve"> Was de verkrijger echter te kwader trouw maar voldoet hij toch aan de voorwaarden voor een deugdelijk bezit dan kan hij na dertig jaar nog steeds door verkrijgende verjaring eigenaar worden.</w:t>
      </w:r>
      <w:r w:rsidR="00257C36" w:rsidRPr="002A0C60">
        <w:rPr>
          <w:rStyle w:val="Voetnootmarkering"/>
        </w:rPr>
        <w:footnoteReference w:id="55"/>
      </w:r>
      <w:r w:rsidR="00257C36" w:rsidRPr="002A0C60">
        <w:t xml:space="preserve"> Dezelfde invulling van het begrip kan zowel worden gevonden in het Franse, als in het Nederlandse recht. In het Nederlandse recht maakt het niet uit dat de derde-verkrijger niet wist of </w:t>
      </w:r>
      <w:r w:rsidR="008F7B3D" w:rsidRPr="002A0C60">
        <w:t xml:space="preserve">niet </w:t>
      </w:r>
      <w:r w:rsidR="00257C36" w:rsidRPr="002A0C60">
        <w:t>behoorde te weten dat de eigendomsoverdragende titel ongeldig was.</w:t>
      </w:r>
      <w:r w:rsidR="00257C36" w:rsidRPr="002A0C60">
        <w:rPr>
          <w:rStyle w:val="Voetnootmarkering"/>
        </w:rPr>
        <w:footnoteReference w:id="56"/>
      </w:r>
      <w:r w:rsidR="00257C36" w:rsidRPr="002A0C60">
        <w:t xml:space="preserve"> In de </w:t>
      </w:r>
      <w:r w:rsidR="00257C36" w:rsidRPr="002A0C60">
        <w:rPr>
          <w:i/>
        </w:rPr>
        <w:t xml:space="preserve">Draft Common Frame of Reference </w:t>
      </w:r>
      <w:r w:rsidR="00257C36" w:rsidRPr="002A0C60">
        <w:t>heeft de goede trouw ook betrekking op zowel de eigendom als de beschikkingsbevoegdheid van de vervreemder. Kwade trouw wordt echter veel sneller aangenomen dan in het Belgische, Franse of Nederlandse</w:t>
      </w:r>
      <w:r w:rsidR="008026A8" w:rsidRPr="002A0C60">
        <w:t xml:space="preserve"> recht.</w:t>
      </w:r>
      <w:r w:rsidR="00257C36" w:rsidRPr="002A0C60">
        <w:rPr>
          <w:rStyle w:val="Voetnootmarkering"/>
        </w:rPr>
        <w:footnoteReference w:id="57"/>
      </w:r>
    </w:p>
    <w:p w14:paraId="6DF5B0EC" w14:textId="72A91E7A" w:rsidR="00257C36" w:rsidRPr="002A0C60" w:rsidRDefault="00257C36" w:rsidP="008026A8">
      <w:pPr>
        <w:pStyle w:val="Nummer"/>
        <w:spacing w:line="360" w:lineRule="auto"/>
      </w:pPr>
      <w:r w:rsidRPr="002A0C60">
        <w:rPr>
          <w:smallCaps/>
        </w:rPr>
        <w:t xml:space="preserve">Onderzoeksplicht – </w:t>
      </w:r>
      <w:r w:rsidRPr="002A0C60">
        <w:t>De derde</w:t>
      </w:r>
      <w:r w:rsidR="008026A8" w:rsidRPr="002A0C60">
        <w:t>-</w:t>
      </w:r>
      <w:r w:rsidRPr="002A0C60">
        <w:t>verkrijger mag erop voortgaan dat wanneer een goed in het feitelijk bezit van de vervreemder is, hij ook de bevoegdheid heeft om hierover te beschikken. Het is echter mogelijk dat aan de derde</w:t>
      </w:r>
      <w:r w:rsidR="008026A8" w:rsidRPr="002A0C60">
        <w:t>-</w:t>
      </w:r>
      <w:r w:rsidRPr="002A0C60">
        <w:t>verkrijger een onderzoeksplicht wordt opgelegd. Deze houdt in dat de derde</w:t>
      </w:r>
      <w:r w:rsidR="008026A8" w:rsidRPr="002A0C60">
        <w:t>-</w:t>
      </w:r>
      <w:r w:rsidRPr="002A0C60">
        <w:t xml:space="preserve">verkrijger een onderzoek moet voeren naar de juridische mogelijkheid van de overdrager om aan zijn leveringsplicht te voldoen. Ook het Nederlandse recht kent de mogelijkheid tot oplegging van een onderzoeksplicht, vooral in gevallen waarbij het relatief eenvoudig is om de relevante documentatie te raadplegen. Zo </w:t>
      </w:r>
      <w:r w:rsidRPr="002A0C60">
        <w:lastRenderedPageBreak/>
        <w:t>oordeelde de Hoge Raad dat de verkrijger van een tweedehands auto minstens de autopapieren dient te onderzoeken.</w:t>
      </w:r>
      <w:r w:rsidRPr="002A0C60">
        <w:rPr>
          <w:rStyle w:val="Voetnootmarkering"/>
        </w:rPr>
        <w:footnoteReference w:id="58"/>
      </w:r>
      <w:r w:rsidRPr="002A0C60">
        <w:t xml:space="preserve"> </w:t>
      </w:r>
    </w:p>
    <w:p w14:paraId="39753145" w14:textId="234AF14E" w:rsidR="006F4368" w:rsidRPr="002A0C60" w:rsidRDefault="00257C36" w:rsidP="006F4368">
      <w:pPr>
        <w:pStyle w:val="Nummer"/>
        <w:numPr>
          <w:ilvl w:val="0"/>
          <w:numId w:val="0"/>
        </w:numPr>
        <w:spacing w:line="360" w:lineRule="auto"/>
      </w:pPr>
      <w:r w:rsidRPr="002A0C60">
        <w:t xml:space="preserve">In het Belgische recht is de </w:t>
      </w:r>
      <w:r w:rsidR="008026A8" w:rsidRPr="002A0C60">
        <w:t>omvang</w:t>
      </w:r>
      <w:r w:rsidRPr="002A0C60">
        <w:t xml:space="preserve"> van deze onderzoeksplicht niet alleen afhankelijk van de aard van de goederen, maar ook van de hoedanigheid van de derdeverkrijger aan wie de onderzoeksplicht wordt opgelegd. Aan particuliere kopers wordt een minder zware onderzoeksplicht opgelegd dan aan professionele verkopers.</w:t>
      </w:r>
      <w:r w:rsidRPr="002A0C60">
        <w:rPr>
          <w:rStyle w:val="Voetnootmarkering"/>
        </w:rPr>
        <w:footnoteReference w:id="59"/>
      </w:r>
      <w:r w:rsidRPr="002A0C60">
        <w:t xml:space="preserve"> </w:t>
      </w:r>
    </w:p>
    <w:p w14:paraId="2BEA3181" w14:textId="56CDF2D0" w:rsidR="00257C36" w:rsidRPr="002A0C60" w:rsidRDefault="00257C36" w:rsidP="005E187E">
      <w:pPr>
        <w:pStyle w:val="Nummer"/>
        <w:spacing w:line="360" w:lineRule="auto"/>
      </w:pPr>
      <w:r w:rsidRPr="002A0C60">
        <w:rPr>
          <w:smallCaps/>
        </w:rPr>
        <w:t xml:space="preserve">Vermoeden van goede trouw - </w:t>
      </w:r>
      <w:r w:rsidRPr="002A0C60">
        <w:t>Artikel 2268 Burgerlijk Wetboek stelt dat goede trouw wordt vermoed. Degene die zich op de kwade</w:t>
      </w:r>
      <w:r w:rsidR="008026A8" w:rsidRPr="002A0C60">
        <w:t xml:space="preserve"> trouw</w:t>
      </w:r>
      <w:r w:rsidRPr="002A0C60">
        <w:t xml:space="preserve"> beroept moet deze bewijzen. De kwade trouw kan bewezen worden met alle rechtsmiddelen.</w:t>
      </w:r>
      <w:r w:rsidRPr="002A0C60">
        <w:rPr>
          <w:rStyle w:val="Voetnootmarkering"/>
        </w:rPr>
        <w:footnoteReference w:id="60"/>
      </w:r>
      <w:r w:rsidRPr="002A0C60">
        <w:t xml:space="preserve">  Het is voldoende dat aangetoond wordt dat de derde-verkrijger twijfel had of behoorde te hebben met betrekking tot zijn rechtsvoorganger.</w:t>
      </w:r>
      <w:r w:rsidRPr="002A0C60">
        <w:rPr>
          <w:rStyle w:val="Voetnootmarkering"/>
        </w:rPr>
        <w:footnoteReference w:id="61"/>
      </w:r>
      <w:r w:rsidRPr="002A0C60">
        <w:t xml:space="preserve"> Dit vermoeden bestaat ook in het Franse recht.</w:t>
      </w:r>
      <w:r w:rsidRPr="002A0C60">
        <w:rPr>
          <w:rStyle w:val="Voetnootmarkering"/>
        </w:rPr>
        <w:footnoteReference w:id="62"/>
      </w:r>
      <w:r w:rsidRPr="002A0C60">
        <w:t xml:space="preserve"> In Nederland zal degene die zich op de goede trouw beroept de daarvoor noodzakelijke feiten moeten stellen. Het zal dus aan de derde-verkrijger zijn om te stellen dat hij ervan kon uitgaan dat de vervreemder </w:t>
      </w:r>
      <w:r w:rsidRPr="002A0C60">
        <w:lastRenderedPageBreak/>
        <w:t>bevoegd was. De bewijslast rust echter op de persoon die de afgifte van de zaak vordert.</w:t>
      </w:r>
      <w:r w:rsidRPr="002A0C60">
        <w:rPr>
          <w:rStyle w:val="Voetnootmarkering"/>
        </w:rPr>
        <w:footnoteReference w:id="63"/>
      </w:r>
      <w:r w:rsidRPr="002A0C60">
        <w:t xml:space="preserve"> In De </w:t>
      </w:r>
      <w:r w:rsidRPr="002A0C60">
        <w:rPr>
          <w:i/>
        </w:rPr>
        <w:t xml:space="preserve">Draft Common Frame of Reference </w:t>
      </w:r>
      <w:r w:rsidRPr="002A0C60">
        <w:t>wordt de goede</w:t>
      </w:r>
      <w:r w:rsidRPr="002A0C60">
        <w:rPr>
          <w:i/>
        </w:rPr>
        <w:t xml:space="preserve"> </w:t>
      </w:r>
      <w:r w:rsidRPr="002A0C60">
        <w:t>trouw echter niet vermoed. Daar rust de bewijslast op de derde-verkrijger. De derde-verkrijger moet aantonen dat hij te goeder trouw was op het moment waarop aan alle vereisten voor een overdracht voldaan is.</w:t>
      </w:r>
      <w:r w:rsidRPr="002A0C60">
        <w:rPr>
          <w:rStyle w:val="Voetnootmarkering"/>
        </w:rPr>
        <w:footnoteReference w:id="64"/>
      </w:r>
    </w:p>
    <w:p w14:paraId="36583CBA" w14:textId="0796CFAA" w:rsidR="006F4368" w:rsidRPr="002A0C60" w:rsidRDefault="00257C36" w:rsidP="006F4368">
      <w:pPr>
        <w:pStyle w:val="Nummer"/>
        <w:spacing w:line="360" w:lineRule="auto"/>
      </w:pPr>
      <w:r w:rsidRPr="002A0C60">
        <w:rPr>
          <w:smallCaps/>
        </w:rPr>
        <w:t xml:space="preserve">Tijdstip beoordeling - </w:t>
      </w:r>
      <w:r w:rsidRPr="002A0C60">
        <w:t>De beoordeling van de goede trouw gebeurt op het tijdstip waarop de verkrijger rechtstreeks of onrechtstreeks in het bezit komt van het goed. Dit is dus het tijdstip waarop de eigendom zou zijn overgegaan had de overdrager zijn  juridische leververingplicht kunnen nakomen.</w:t>
      </w:r>
      <w:r w:rsidRPr="002A0C60">
        <w:rPr>
          <w:rStyle w:val="Voetnootmarkering"/>
        </w:rPr>
        <w:footnoteReference w:id="65"/>
      </w:r>
      <w:r w:rsidRPr="002A0C60">
        <w:t xml:space="preserve"> Wanneer men nadien kennis krijgt van</w:t>
      </w:r>
      <w:r w:rsidR="008F7B3D" w:rsidRPr="002A0C60">
        <w:t xml:space="preserve"> de onbevoegdheid om t</w:t>
      </w:r>
      <w:r w:rsidRPr="002A0C60">
        <w:t>e beschikken heeft dit geen enkel gevolg.</w:t>
      </w:r>
      <w:r w:rsidRPr="002A0C60">
        <w:rPr>
          <w:rStyle w:val="Voetnootmarkering"/>
        </w:rPr>
        <w:footnoteReference w:id="66"/>
      </w:r>
      <w:r w:rsidRPr="002A0C60">
        <w:t xml:space="preserve"> Ook in het Nederlandse en het Franse recht wordt de goede trouw beoordeeld op het ogenblik dat de derdeverkrijger in het bezit wordt gesteld van de zaak.</w:t>
      </w:r>
      <w:r w:rsidRPr="002A0C60">
        <w:rPr>
          <w:rStyle w:val="Voetnootmarkering"/>
        </w:rPr>
        <w:footnoteReference w:id="67"/>
      </w:r>
      <w:r w:rsidRPr="002A0C60">
        <w:t xml:space="preserve"> </w:t>
      </w:r>
    </w:p>
    <w:p w14:paraId="790C835A" w14:textId="0D18057F" w:rsidR="006F4368" w:rsidRPr="002A0C60" w:rsidRDefault="00257C36" w:rsidP="005758D9">
      <w:pPr>
        <w:pStyle w:val="Nummer"/>
        <w:numPr>
          <w:ilvl w:val="0"/>
          <w:numId w:val="0"/>
        </w:numPr>
        <w:spacing w:line="360" w:lineRule="auto"/>
      </w:pPr>
      <w:r w:rsidRPr="002A0C60">
        <w:t xml:space="preserve">De </w:t>
      </w:r>
      <w:r w:rsidRPr="002A0C60">
        <w:rPr>
          <w:i/>
        </w:rPr>
        <w:t xml:space="preserve">Draft Common Frame of Reference </w:t>
      </w:r>
      <w:r w:rsidRPr="002A0C60">
        <w:t xml:space="preserve"> vereist dat de verkrijger te goeder trouw is op het ogenblik waarop aan alle voorwaarden voor bezitsoverdracht voldaan is, met name, het </w:t>
      </w:r>
      <w:r w:rsidRPr="002A0C60">
        <w:lastRenderedPageBreak/>
        <w:t>ogenblik waarop de eigendom zou zijn overgegaan als de overdrager beschikkingsbevoegd zou zijn geweest.</w:t>
      </w:r>
      <w:r w:rsidRPr="002A0C60">
        <w:rPr>
          <w:rStyle w:val="Voetnootmarkering"/>
        </w:rPr>
        <w:footnoteReference w:id="68"/>
      </w:r>
      <w:r w:rsidRPr="002A0C60">
        <w:t xml:space="preserve"> </w:t>
      </w:r>
    </w:p>
    <w:p w14:paraId="2F6B5FF6" w14:textId="23069DBD" w:rsidR="00257C36" w:rsidRPr="002A0C60" w:rsidRDefault="00257C36" w:rsidP="005758D9">
      <w:pPr>
        <w:pStyle w:val="Nummer"/>
        <w:numPr>
          <w:ilvl w:val="0"/>
          <w:numId w:val="0"/>
        </w:numPr>
        <w:spacing w:line="360" w:lineRule="auto"/>
      </w:pPr>
      <w:r w:rsidRPr="002A0C60">
        <w:t>Deze aanpak heeft twee gevolgen. Ten eerste is het niet noodzakelijk dat de derde-verkrijger weet dat de overdrager eigenaar is van het over te dragen goed op het ogenblik van het sluiten van het contract. De derde-verkrijger kan nog steeds te goeder touw zijn wanneer het duidelijk is dat op het ogenblik van het sluiten van het contract de overdrager het goed zelf nog moet kopen. Ten tweede blijft het feit dat de derde-verkrijger informatie krijgt over de kwade trouw van de overdrager na het tijdstip dat hij rechtstreeks of onrechtstreeks in het bezit van het goed</w:t>
      </w:r>
      <w:r w:rsidR="008F7B3D" w:rsidRPr="002A0C60">
        <w:t xml:space="preserve"> kwam</w:t>
      </w:r>
      <w:r w:rsidRPr="002A0C60">
        <w:t xml:space="preserve"> zonder gevolg.</w:t>
      </w:r>
      <w:r w:rsidRPr="002A0C60">
        <w:rPr>
          <w:rStyle w:val="Voetnootmarkering"/>
        </w:rPr>
        <w:footnoteReference w:id="69"/>
      </w:r>
    </w:p>
    <w:p w14:paraId="454D22FA" w14:textId="77777777" w:rsidR="00257C36" w:rsidRPr="002A0C60" w:rsidRDefault="00257C36" w:rsidP="005E187E">
      <w:pPr>
        <w:pStyle w:val="Kop5"/>
        <w:spacing w:line="360" w:lineRule="auto"/>
      </w:pPr>
      <w:bookmarkStart w:id="18" w:name="_Toc449982185"/>
      <w:r w:rsidRPr="002A0C60">
        <w:t>Deugdelijk bezit</w:t>
      </w:r>
      <w:bookmarkEnd w:id="18"/>
      <w:r w:rsidRPr="002A0C60">
        <w:t xml:space="preserve"> </w:t>
      </w:r>
    </w:p>
    <w:p w14:paraId="7D6EA7C6" w14:textId="1DA59703" w:rsidR="00257C36" w:rsidRPr="000334CD" w:rsidRDefault="006F4368" w:rsidP="005E187E">
      <w:pPr>
        <w:pStyle w:val="Nummer"/>
        <w:spacing w:line="360" w:lineRule="auto"/>
      </w:pPr>
      <w:r w:rsidRPr="000334CD">
        <w:rPr>
          <w:smallCaps/>
        </w:rPr>
        <w:t xml:space="preserve">Deugdelijk bezit - </w:t>
      </w:r>
      <w:r w:rsidR="00257C36" w:rsidRPr="000334CD">
        <w:t>In overeenstemming met de artikelen 2279 en 2229 Burgerlijk Wetboek zal een bezit te goeder trouw van roerende goederen enkel een eigendomsrecht doen ontstaan wanneer het deugdelijk is.</w:t>
      </w:r>
      <w:r w:rsidR="00257C36" w:rsidRPr="000334CD">
        <w:rPr>
          <w:rStyle w:val="Voetnootmarkering"/>
        </w:rPr>
        <w:footnoteReference w:id="70"/>
      </w:r>
      <w:r w:rsidR="00257C36" w:rsidRPr="000334CD">
        <w:t xml:space="preserve"> </w:t>
      </w:r>
    </w:p>
    <w:p w14:paraId="19275A95" w14:textId="6D97898A" w:rsidR="00257C36" w:rsidRPr="002A0C60" w:rsidRDefault="00257C36" w:rsidP="0045530B">
      <w:pPr>
        <w:pStyle w:val="Nummer"/>
        <w:numPr>
          <w:ilvl w:val="0"/>
          <w:numId w:val="0"/>
        </w:numPr>
        <w:spacing w:line="360" w:lineRule="auto"/>
      </w:pPr>
      <w:r w:rsidRPr="002A0C60">
        <w:t>Het Belgische en het Franse stellen dat een bezit deugdelijk is, wanneer dit vrij is van bezitsgebreken. De vereisten voor een deugdelijk bezit zijn opgesomd in artikel 2229 Burgerlijk Wetboek.  Het is vereist dat het bezit  (i) voortdurend, (ii) ongestoord, (iii) openbaar, (iv) en niet dubbelzinnig is.</w:t>
      </w:r>
      <w:r w:rsidRPr="002A0C60">
        <w:rPr>
          <w:rStyle w:val="Voetnootmarkering"/>
        </w:rPr>
        <w:footnoteReference w:id="71"/>
      </w:r>
    </w:p>
    <w:p w14:paraId="1E13F76A" w14:textId="37EDC8F4" w:rsidR="00257C36" w:rsidRPr="002A0C60" w:rsidRDefault="0045530B" w:rsidP="005E187E">
      <w:pPr>
        <w:pStyle w:val="Nummer"/>
        <w:spacing w:line="360" w:lineRule="auto"/>
      </w:pPr>
      <w:r w:rsidRPr="002A0C60">
        <w:rPr>
          <w:smallCaps/>
        </w:rPr>
        <w:lastRenderedPageBreak/>
        <w:t xml:space="preserve">Onafgebroken bezit als eigenaar - </w:t>
      </w:r>
      <w:r w:rsidR="00257C36" w:rsidRPr="002A0C60">
        <w:t>Artikel 2229 Burgerlijk</w:t>
      </w:r>
      <w:r w:rsidR="00192459">
        <w:t xml:space="preserve"> Wetboek</w:t>
      </w:r>
      <w:r w:rsidR="00257C36" w:rsidRPr="002A0C60">
        <w:t xml:space="preserve"> vereist daarnaast ook dat het bezit onafgebroken is en dat het gaat om een bezit “als eigenaar”. De doctrine stelt echter dat deze voorwaarden niet vereist zijn opdat sprake zou zijn van een deugdelijk bezit, maar eerder bestaansvoorwaarden zijn van het bezit zelf.</w:t>
      </w:r>
      <w:r w:rsidR="00257C36" w:rsidRPr="002A0C60">
        <w:rPr>
          <w:rStyle w:val="Voetnootmarkering"/>
        </w:rPr>
        <w:footnoteReference w:id="72"/>
      </w:r>
    </w:p>
    <w:p w14:paraId="1378C348" w14:textId="69845A02" w:rsidR="0045530B" w:rsidRPr="002A0C60" w:rsidRDefault="00257C36" w:rsidP="0045530B">
      <w:pPr>
        <w:pStyle w:val="Nummer"/>
        <w:numPr>
          <w:ilvl w:val="0"/>
          <w:numId w:val="0"/>
        </w:numPr>
        <w:spacing w:line="360" w:lineRule="auto"/>
      </w:pPr>
      <w:r w:rsidRPr="002A0C60">
        <w:t>In het Nederlandse recht daarentegen stelt artikel 3:99 Nieuw Burgerlijk Wetboek geen verdere eisen aan het bezit, behalve dat het te goeder trouw moet zijn.</w:t>
      </w:r>
      <w:r w:rsidRPr="002A0C60">
        <w:rPr>
          <w:rStyle w:val="Voetnootmarkering"/>
        </w:rPr>
        <w:footnoteReference w:id="73"/>
      </w:r>
    </w:p>
    <w:p w14:paraId="2A2DD473" w14:textId="30A0BAE2" w:rsidR="0045530B" w:rsidRPr="002A0C60" w:rsidRDefault="00257C36" w:rsidP="0045530B">
      <w:pPr>
        <w:pStyle w:val="Nummer"/>
        <w:spacing w:line="360" w:lineRule="auto"/>
      </w:pPr>
      <w:r w:rsidRPr="002A0C60">
        <w:rPr>
          <w:smallCaps/>
        </w:rPr>
        <w:t xml:space="preserve">tijdstip beoordeling – </w:t>
      </w:r>
      <w:r w:rsidRPr="002A0C60">
        <w:t>De deugdelijkheid wordt, net zoals de goede trouw beoordeeld op het ogenblik waarop de derdeverkrijger het bezit van het goed, rechtstreeks of onrechtstreeks heeft verkregen.</w:t>
      </w:r>
      <w:r w:rsidRPr="002A0C60">
        <w:rPr>
          <w:rStyle w:val="Voetnootmarkering"/>
        </w:rPr>
        <w:footnoteReference w:id="74"/>
      </w:r>
      <w:r w:rsidRPr="002A0C60">
        <w:t xml:space="preserve"> De voorwaarden openbaar bezit en voortdurend bezit zullen pas beoordeeld worden </w:t>
      </w:r>
      <w:r w:rsidR="008F7B3D" w:rsidRPr="002A0C60">
        <w:t>nadat</w:t>
      </w:r>
      <w:r w:rsidRPr="002A0C60">
        <w:t xml:space="preserve"> de verkrijger het bezit van het goed heeft verkregen. Dit houdt in dat deze voorwaarden zonder voorwerp zijn voor de rechtsverkrijgende werking van bezit.</w:t>
      </w:r>
      <w:r w:rsidRPr="002A0C60">
        <w:rPr>
          <w:rStyle w:val="Voetnootmarkering"/>
        </w:rPr>
        <w:footnoteReference w:id="75"/>
      </w:r>
    </w:p>
    <w:p w14:paraId="6FB03676" w14:textId="3623F378" w:rsidR="00257C36" w:rsidRPr="002A0C60" w:rsidRDefault="00257C36" w:rsidP="0045530B">
      <w:pPr>
        <w:pStyle w:val="Nummer"/>
        <w:spacing w:line="360" w:lineRule="auto"/>
      </w:pPr>
      <w:r w:rsidRPr="002A0C60">
        <w:rPr>
          <w:smallCaps/>
        </w:rPr>
        <w:t xml:space="preserve">Bewijslast - </w:t>
      </w:r>
      <w:r w:rsidRPr="002A0C60">
        <w:t>Degene die beweert dat het bezit gebrekkig is draagt de bewijslast hiervan, dit geldt zowel in het Franse als in het Belgische recht. Deze kan de ondeugdelijkheid van het bezit met alle middelen van recht bewijzen. Behalve voor de continuïteit bestaat er geen wettelijk vermoeden van deugdelijkheid.</w:t>
      </w:r>
      <w:r w:rsidRPr="002A0C60">
        <w:rPr>
          <w:rStyle w:val="Voetnootmarkering"/>
        </w:rPr>
        <w:footnoteReference w:id="76"/>
      </w:r>
      <w:r w:rsidRPr="002A0C60">
        <w:t xml:space="preserve"> Er wordt door de rechtspraak en rechtsleer wel een </w:t>
      </w:r>
      <w:r w:rsidRPr="002A0C60">
        <w:lastRenderedPageBreak/>
        <w:t>feitelijk vermoeden aanvaard. Dit komt overeen  met de gemeenrechtelijke regel “</w:t>
      </w:r>
      <w:r w:rsidR="0045530B" w:rsidRPr="002A0C60">
        <w:rPr>
          <w:i/>
        </w:rPr>
        <w:t>actori incumbit probatio”</w:t>
      </w:r>
      <w:r w:rsidRPr="002A0C60">
        <w:t>.</w:t>
      </w:r>
      <w:r w:rsidRPr="002A0C60">
        <w:rPr>
          <w:rStyle w:val="Voetnootmarkering"/>
        </w:rPr>
        <w:footnoteReference w:id="77"/>
      </w:r>
      <w:r w:rsidRPr="002A0C60">
        <w:t xml:space="preserve"> </w:t>
      </w:r>
    </w:p>
    <w:p w14:paraId="56263EC2" w14:textId="295D78C6" w:rsidR="00257C36" w:rsidRPr="002A0C60" w:rsidRDefault="0045530B" w:rsidP="008B0A36">
      <w:pPr>
        <w:pStyle w:val="Nummer"/>
        <w:spacing w:line="360" w:lineRule="auto"/>
      </w:pPr>
      <w:r w:rsidRPr="002A0C60">
        <w:rPr>
          <w:smallCaps/>
        </w:rPr>
        <w:t xml:space="preserve">Soevereine beoordeling feitenrechter - </w:t>
      </w:r>
      <w:r w:rsidR="00257C36" w:rsidRPr="002A0C60">
        <w:t>Het is de feitenrechter die soeverein beoordeelt of de voorwaarden van artikel 2229 Burgerlijk Wetboek vervuld zijn. Het is echter niet noodzakelijk dat hij zich over elke hoedanigheid afzonderlijk uitspreekt.</w:t>
      </w:r>
      <w:r w:rsidR="00257C36" w:rsidRPr="002A0C60">
        <w:rPr>
          <w:rStyle w:val="Voetnootmarkering"/>
        </w:rPr>
        <w:footnoteReference w:id="78"/>
      </w:r>
    </w:p>
    <w:p w14:paraId="144275EA" w14:textId="77777777" w:rsidR="00257C36" w:rsidRPr="002A0C60" w:rsidRDefault="00257C36" w:rsidP="005E187E">
      <w:pPr>
        <w:pStyle w:val="Kop6"/>
        <w:spacing w:line="360" w:lineRule="auto"/>
      </w:pPr>
      <w:bookmarkStart w:id="19" w:name="_Toc449982186"/>
      <w:r w:rsidRPr="002A0C60">
        <w:t>Voortdurend</w:t>
      </w:r>
      <w:bookmarkEnd w:id="19"/>
      <w:r w:rsidRPr="002A0C60">
        <w:t xml:space="preserve"> </w:t>
      </w:r>
    </w:p>
    <w:p w14:paraId="54B258E4" w14:textId="30C3ECD7" w:rsidR="00257C36" w:rsidRPr="002A0C60" w:rsidRDefault="00924E76" w:rsidP="005E187E">
      <w:pPr>
        <w:pStyle w:val="Nummer"/>
        <w:spacing w:after="200" w:line="360" w:lineRule="auto"/>
      </w:pPr>
      <w:r w:rsidRPr="002A0C60">
        <w:rPr>
          <w:smallCaps/>
        </w:rPr>
        <w:t xml:space="preserve">Op regelmatige basis gedragingen stellen als eigenaar - </w:t>
      </w:r>
      <w:r w:rsidR="00257C36" w:rsidRPr="002A0C60">
        <w:t>Opdat sprake zou zijn van deugdelijk bezit vereisen zowel het Franse als het Belgische recht dat het bezit voortdurend is. Een voortdurend bezit houdt in dat de bezitter op regelmatige basis gedragingen m</w:t>
      </w:r>
      <w:r w:rsidRPr="002A0C60">
        <w:t xml:space="preserve">oet stellen zoals een eigenaar. </w:t>
      </w:r>
      <w:r w:rsidR="00257C36" w:rsidRPr="002A0C60">
        <w:t>Het is niet noodzakelijk dat de bezitter op elk ogenblik actief moet optreden. Er is alleen sprake van discontinuïteit wanneer er een abnormale onderbreking is in zijn optreden. Discontinuïteit betreft een absoluut bezitsgebrek, dit houdt in dat het door eenieder kan worden ingeroepen. Daarnaast gaat het ook om een tijdelijk bezitsgebrek, het kan ophouden.</w:t>
      </w:r>
      <w:r w:rsidR="00257C36" w:rsidRPr="002A0C60">
        <w:rPr>
          <w:rStyle w:val="Voetnootmarkering"/>
        </w:rPr>
        <w:footnoteReference w:id="79"/>
      </w:r>
      <w:r w:rsidR="00257C36" w:rsidRPr="002A0C60">
        <w:t xml:space="preserve"> </w:t>
      </w:r>
    </w:p>
    <w:p w14:paraId="668761B0" w14:textId="61FE9F65" w:rsidR="00924E76" w:rsidRPr="002A0C60" w:rsidRDefault="00924E76" w:rsidP="007C3569">
      <w:pPr>
        <w:pStyle w:val="Nummer"/>
        <w:spacing w:after="200" w:line="360" w:lineRule="auto"/>
      </w:pPr>
      <w:r w:rsidRPr="002A0C60">
        <w:rPr>
          <w:smallCaps/>
        </w:rPr>
        <w:lastRenderedPageBreak/>
        <w:t xml:space="preserve">Vermoeden voor actuele bezitter - </w:t>
      </w:r>
      <w:r w:rsidR="00257C36" w:rsidRPr="002A0C60">
        <w:t>Er is een wettelijk vermoeden dat de actuele bezitter die kan aantonen dat hij het bezit ook voordien had ook het bezit had in de tussentijd.</w:t>
      </w:r>
      <w:r w:rsidR="00257C36" w:rsidRPr="002A0C60">
        <w:rPr>
          <w:rStyle w:val="Voetnootmarkering"/>
        </w:rPr>
        <w:footnoteReference w:id="80"/>
      </w:r>
    </w:p>
    <w:p w14:paraId="391AF95C" w14:textId="13423BC3" w:rsidR="00257C36" w:rsidRPr="002A0C60" w:rsidRDefault="00924E76" w:rsidP="007C3569">
      <w:pPr>
        <w:pStyle w:val="Nummer"/>
        <w:spacing w:after="200" w:line="360" w:lineRule="auto"/>
      </w:pPr>
      <w:r w:rsidRPr="002A0C60">
        <w:rPr>
          <w:smallCaps/>
        </w:rPr>
        <w:t xml:space="preserve">Weinig belang - </w:t>
      </w:r>
      <w:r w:rsidR="00257C36" w:rsidRPr="002A0C60">
        <w:t>De derde-verkrijger</w:t>
      </w:r>
      <w:r w:rsidRPr="002A0C60">
        <w:t xml:space="preserve"> wordt</w:t>
      </w:r>
      <w:r w:rsidR="00257C36" w:rsidRPr="002A0C60">
        <w:t xml:space="preserve"> direct eigenaar wanneer hij het bezit van het goed verkrijgt</w:t>
      </w:r>
      <w:r w:rsidRPr="002A0C60">
        <w:t>, daarom is deze voorwaarde</w:t>
      </w:r>
      <w:r w:rsidR="00257C36" w:rsidRPr="002A0C60">
        <w:t xml:space="preserve"> eigenlijk van weinig belang voor de toepassing van artikel 2279 Burgerlijk Wetboek en van artikel 2276 Code Civil français.</w:t>
      </w:r>
      <w:r w:rsidR="00257C36" w:rsidRPr="002A0C60">
        <w:rPr>
          <w:rStyle w:val="Voetnootmarkering"/>
        </w:rPr>
        <w:footnoteReference w:id="81"/>
      </w:r>
    </w:p>
    <w:p w14:paraId="5ADD17A9" w14:textId="77777777" w:rsidR="00257C36" w:rsidRPr="002A0C60" w:rsidRDefault="00257C36" w:rsidP="005E187E">
      <w:pPr>
        <w:pStyle w:val="Kop6"/>
        <w:spacing w:line="360" w:lineRule="auto"/>
      </w:pPr>
      <w:bookmarkStart w:id="20" w:name="_Toc449982187"/>
      <w:r w:rsidRPr="002A0C60">
        <w:t>Ongestoord</w:t>
      </w:r>
      <w:bookmarkEnd w:id="20"/>
    </w:p>
    <w:p w14:paraId="0E1B936B" w14:textId="77777777" w:rsidR="00924E76" w:rsidRPr="002A0C60" w:rsidRDefault="00924E76" w:rsidP="00924E76">
      <w:pPr>
        <w:pStyle w:val="Nummer"/>
        <w:spacing w:line="360" w:lineRule="auto"/>
      </w:pPr>
      <w:r w:rsidRPr="002A0C60">
        <w:rPr>
          <w:smallCaps/>
        </w:rPr>
        <w:t xml:space="preserve">Niet door geweld verkregen - </w:t>
      </w:r>
      <w:r w:rsidR="00257C36" w:rsidRPr="002A0C60">
        <w:t xml:space="preserve">Zowel het Franse als het Belgische recht vereisen dat </w:t>
      </w:r>
      <w:r w:rsidRPr="002A0C60">
        <w:t xml:space="preserve">het </w:t>
      </w:r>
      <w:r w:rsidR="00257C36" w:rsidRPr="002A0C60">
        <w:t>bezit niet door geweld verkregen is. Het bezitsgebrek geweld kan op twee manieren worden begrepen. Ten eerste is er sprake van geweld wanneer de bezitter door geweld in het bezit van het goed is gekomen. Het geweld moet van die aard zijn dat het indruk kan maken op een redelijk persoon en het moet hem laten vrezen dat hijzelf, zijn vermogen, zijn echtgenoot of zijn bloedverwanten in opgaande of neerdalende lijn aan een aanzienlijk en dadelijk kwaad zijn blootgesteld.</w:t>
      </w:r>
      <w:r w:rsidR="00257C36" w:rsidRPr="002A0C60">
        <w:rPr>
          <w:rStyle w:val="Voetnootmarkering"/>
        </w:rPr>
        <w:footnoteReference w:id="82"/>
      </w:r>
      <w:r w:rsidR="00257C36" w:rsidRPr="002A0C60">
        <w:t xml:space="preserve"> Ten tweede is er ook sprake van geweld wanneer dit uitgaat van een derde tijdens het bezit en waar niet door de bezitter op wordt gereageerd als </w:t>
      </w:r>
      <w:r w:rsidR="00257C36" w:rsidRPr="002A0C60">
        <w:lastRenderedPageBreak/>
        <w:t>een normaal zorgvuldig huisvader. Dit creëert namelijk het vermoeden van een gebrekkig bezit.</w:t>
      </w:r>
      <w:r w:rsidR="00257C36" w:rsidRPr="002A0C60">
        <w:rPr>
          <w:rStyle w:val="Voetnootmarkering"/>
        </w:rPr>
        <w:footnoteReference w:id="83"/>
      </w:r>
    </w:p>
    <w:p w14:paraId="589625C1" w14:textId="3E8EF859" w:rsidR="00257C36" w:rsidRPr="002A0C60" w:rsidRDefault="00257C36" w:rsidP="00924E76">
      <w:pPr>
        <w:pStyle w:val="Nummer"/>
        <w:numPr>
          <w:ilvl w:val="0"/>
          <w:numId w:val="0"/>
        </w:numPr>
        <w:spacing w:line="360" w:lineRule="auto"/>
      </w:pPr>
      <w:r w:rsidRPr="002A0C60">
        <w:t>Het is enkel van belang of de derdeverkrijger door geweld in het bezit van het goed is gekomen, dat hij hierna overgaat tot geweld speelt geen rol, hij wordt immers al geacht eigenaar te zijn. Het verdedigen van zijn bezit is namelijk een handeling die normaal door de eigenaar wordt gesteld. Het gaat om een tijdelijk gebrek, het geweld kan van voorbijgaande aard zijn. Daarnaast gaat het om een relatief gebrek, het mag enkel ingeroepen worden door de eigenaar.</w:t>
      </w:r>
      <w:r w:rsidRPr="002A0C60">
        <w:rPr>
          <w:rStyle w:val="Voetnootmarkering"/>
        </w:rPr>
        <w:footnoteReference w:id="84"/>
      </w:r>
    </w:p>
    <w:p w14:paraId="3312B144" w14:textId="6DE91E40" w:rsidR="00257C36" w:rsidRPr="002A0C60" w:rsidRDefault="00523CC3" w:rsidP="005E187E">
      <w:pPr>
        <w:pStyle w:val="Nummer"/>
        <w:spacing w:line="360" w:lineRule="auto"/>
      </w:pPr>
      <w:r w:rsidRPr="002A0C60">
        <w:rPr>
          <w:smallCaps/>
        </w:rPr>
        <w:t xml:space="preserve">Onmogelijkheid goede trouw bij bezit door geweld - </w:t>
      </w:r>
      <w:r w:rsidR="00257C36" w:rsidRPr="002A0C60">
        <w:t>Bepaalde doctrine stelt dat een verkrijger die het bezit heeft verkregen door geweld onmogelijk te goeder trouw kan zijn. Het is namelijk zo dat wanneer de verkrijger het goed door geweld heeft verkregen, dat ook de onderliggende overeenkomst door geweld tot stand is gekomen. Geweld vormt dan niet alleen een bezitsgebrek maar ook een wilsgebrek. Dit houdt in dat de verkrijger het goed heeft verkregen op basis van een gebrekkige titel. Het is dus niet mogelijk voor de verkrijger om eigenaar van het goed te zijn geworden, aangezien het Belgische recht een geldige titel vereist voor een eigendomsoverdracht. Aangezien de verkrijger wist dat aan de eigendomsoverdracht geen geldige titel kon ten grondslag liggen (deze was namelijk door zijn toedoen gebrekkig) is het onmogelijk dat hij te goeder trouw is. Volgens deze zienswijze is de voorwaarde van ongestoord bezit reeds begrepen in de voorwaarde van de goede trouw en maakt deze niet veel uit voor de toepassing van artikel 2279 Burgerlijk Wetboek.</w:t>
      </w:r>
      <w:r w:rsidR="00257C36" w:rsidRPr="002A0C60">
        <w:rPr>
          <w:rStyle w:val="Voetnootmarkering"/>
        </w:rPr>
        <w:footnoteReference w:id="85"/>
      </w:r>
    </w:p>
    <w:p w14:paraId="521A0F65" w14:textId="34ED13EF" w:rsidR="00257C36" w:rsidRPr="002A0C60" w:rsidRDefault="00257C36" w:rsidP="005E187E">
      <w:pPr>
        <w:pStyle w:val="Nummer"/>
        <w:spacing w:line="360" w:lineRule="auto"/>
      </w:pPr>
      <w:r w:rsidRPr="002A0C60">
        <w:rPr>
          <w:smallCaps/>
        </w:rPr>
        <w:lastRenderedPageBreak/>
        <w:t xml:space="preserve">Boufflette </w:t>
      </w:r>
      <w:r w:rsidRPr="002A0C60">
        <w:t xml:space="preserve">en </w:t>
      </w:r>
      <w:r w:rsidRPr="002A0C60">
        <w:rPr>
          <w:smallCaps/>
        </w:rPr>
        <w:t xml:space="preserve">Hansenne </w:t>
      </w:r>
      <w:r w:rsidRPr="002A0C60">
        <w:t>zijn echter van mening dat kwade trouw en ongestoordheid verre van synoniemen zijn. Zelfs wanneer iemand het bezit van een goed verkrijgt door middel van geweld, kan deze nog perfect te goeder trouw zijn.</w:t>
      </w:r>
      <w:r w:rsidRPr="002A0C60">
        <w:rPr>
          <w:rStyle w:val="Voetnootmarkering"/>
        </w:rPr>
        <w:footnoteReference w:id="86"/>
      </w:r>
      <w:r w:rsidRPr="002A0C60">
        <w:rPr>
          <w:smallCaps/>
        </w:rPr>
        <w:t xml:space="preserve"> </w:t>
      </w:r>
    </w:p>
    <w:p w14:paraId="4CCD680A" w14:textId="7DF2DA1C" w:rsidR="00257C36" w:rsidRPr="002A0C60" w:rsidRDefault="00257C36" w:rsidP="005E187E">
      <w:pPr>
        <w:pStyle w:val="Kop6"/>
        <w:spacing w:line="360" w:lineRule="auto"/>
      </w:pPr>
      <w:bookmarkStart w:id="21" w:name="_Toc449982188"/>
      <w:r w:rsidRPr="002A0C60">
        <w:t>Openbaar</w:t>
      </w:r>
      <w:bookmarkEnd w:id="21"/>
      <w:r w:rsidRPr="002A0C60">
        <w:t xml:space="preserve"> </w:t>
      </w:r>
    </w:p>
    <w:p w14:paraId="7F1D1302" w14:textId="77777777" w:rsidR="00257C36" w:rsidRPr="002A0C60" w:rsidRDefault="00257C36" w:rsidP="005E187E">
      <w:pPr>
        <w:pStyle w:val="Nummer"/>
        <w:spacing w:line="360" w:lineRule="auto"/>
      </w:pPr>
      <w:r w:rsidRPr="002A0C60">
        <w:rPr>
          <w:smallCaps/>
        </w:rPr>
        <w:t xml:space="preserve">Openbaar – </w:t>
      </w:r>
      <w:r w:rsidRPr="002A0C60">
        <w:t>Ten derde wordt zowel door het Franse als door het Belgische recht vereist dat het bezit openbaar is. Een openbaar bezit houdt in dat de bezitter geen handelingen heeft gesteld die tot doel hebben om het bezit geheim te houden ten aanzien van de ware eigenaar. Dit is van belang zodat iedereen die er belang bij heeft het bezit of de bezitsdaden kan vaststellen en zo de nodige stappen kan zetten om zich te verzetten tegen de verjaring. Het is mogelijk dat het bezit openbaar is voor sommigen, maar dat het toch ten opzichte van anderen geen openbaar karakter heeft.</w:t>
      </w:r>
      <w:r w:rsidRPr="002A0C60">
        <w:rPr>
          <w:rStyle w:val="Voetnootmarkering"/>
        </w:rPr>
        <w:footnoteReference w:id="87"/>
      </w:r>
      <w:r w:rsidRPr="002A0C60">
        <w:t xml:space="preserve"> Heimelijkheid is een tijdelijk en relatief bezitsgebrek.</w:t>
      </w:r>
      <w:r w:rsidRPr="002A0C60">
        <w:rPr>
          <w:rStyle w:val="Voetnootmarkering"/>
        </w:rPr>
        <w:footnoteReference w:id="88"/>
      </w:r>
    </w:p>
    <w:p w14:paraId="196F2997" w14:textId="77777777" w:rsidR="00257C36" w:rsidRPr="002A0C60" w:rsidRDefault="00257C36" w:rsidP="005E187E">
      <w:pPr>
        <w:pStyle w:val="Kop6"/>
        <w:spacing w:line="360" w:lineRule="auto"/>
      </w:pPr>
      <w:bookmarkStart w:id="22" w:name="_Toc449982189"/>
      <w:r w:rsidRPr="002A0C60">
        <w:t>Ondubbelzinnig</w:t>
      </w:r>
      <w:bookmarkEnd w:id="22"/>
      <w:r w:rsidRPr="002A0C60">
        <w:t xml:space="preserve"> </w:t>
      </w:r>
    </w:p>
    <w:p w14:paraId="589B550E" w14:textId="77777777" w:rsidR="00257C36" w:rsidRPr="002A0C60" w:rsidRDefault="00257C36" w:rsidP="005E187E">
      <w:pPr>
        <w:pStyle w:val="Nummer"/>
        <w:spacing w:line="360" w:lineRule="auto"/>
      </w:pPr>
      <w:r w:rsidRPr="002A0C60">
        <w:rPr>
          <w:smallCaps/>
        </w:rPr>
        <w:t xml:space="preserve">Ondubbelzinnig - </w:t>
      </w:r>
      <w:r w:rsidRPr="002A0C60">
        <w:t>Het bezit moet ook ondubbelzinnig zijn. Deze vereiste wordt wederom zowel door het Franse als door het Belgische recht gesteld. Er is sprake van een dubbelzinnig bezit wanneer men eraan kan twijfelen of de bezitter het goed onder zich heeft als houder dan wel als eigenaar. Dubbelzinnigheid is een absoluut en een tijdelijk bezitsgebrek.</w:t>
      </w:r>
      <w:r w:rsidRPr="002A0C60">
        <w:rPr>
          <w:rStyle w:val="Voetnootmarkering"/>
        </w:rPr>
        <w:footnoteReference w:id="89"/>
      </w:r>
    </w:p>
    <w:p w14:paraId="5A1AD3B3" w14:textId="77777777" w:rsidR="00257C36" w:rsidRPr="002A0C60" w:rsidRDefault="00257C36" w:rsidP="005E187E">
      <w:pPr>
        <w:pStyle w:val="Kop2"/>
        <w:spacing w:line="360" w:lineRule="auto"/>
      </w:pPr>
      <w:bookmarkStart w:id="23" w:name="_Toc449982190"/>
      <w:r w:rsidRPr="002A0C60">
        <w:lastRenderedPageBreak/>
        <w:t>Bescherming van de pandhouder te goeder trouw</w:t>
      </w:r>
      <w:bookmarkEnd w:id="23"/>
    </w:p>
    <w:p w14:paraId="52385D28" w14:textId="77777777" w:rsidR="00257C36" w:rsidRPr="002A0C60" w:rsidRDefault="00257C36" w:rsidP="005E187E">
      <w:pPr>
        <w:pStyle w:val="Nummer"/>
        <w:numPr>
          <w:ilvl w:val="0"/>
          <w:numId w:val="0"/>
        </w:numPr>
        <w:spacing w:line="360" w:lineRule="auto"/>
      </w:pPr>
      <w:r w:rsidRPr="002A0C60">
        <w:t>De vestiging van een pandrecht, net zoals deze van elk zakelijk recht of een eigendomsoverdracht vereist dat de verpander beschikkingsbevoegd is.</w:t>
      </w:r>
      <w:r w:rsidRPr="002A0C60">
        <w:rPr>
          <w:rStyle w:val="Voetnootmarkering"/>
        </w:rPr>
        <w:footnoteReference w:id="90"/>
      </w:r>
      <w:r w:rsidRPr="002A0C60">
        <w:t xml:space="preserve"> In dit hoofdstuk zal worden besproken wat de gevolgen zijn onder het huidige recht wanneer een pandhouder een pandrecht op een goed verkrijgt van een pandgever die eigenlijk niet tot verpanding bevoegd was. De hoofdvraag die men zich moet stellen is of de regels met betrekking tot derdenbescherming uit artikel 2279 BW van toepassing zijn op de overdracht van een zakelijk recht, zoals een pandrecht. </w:t>
      </w:r>
    </w:p>
    <w:p w14:paraId="575AAD48" w14:textId="77777777" w:rsidR="00257C36" w:rsidRPr="002A0C60" w:rsidRDefault="00257C36" w:rsidP="005E187E">
      <w:pPr>
        <w:pStyle w:val="Nummer"/>
        <w:numPr>
          <w:ilvl w:val="0"/>
          <w:numId w:val="0"/>
        </w:numPr>
        <w:spacing w:line="360" w:lineRule="auto"/>
        <w:rPr>
          <w:sz w:val="20"/>
          <w:szCs w:val="20"/>
        </w:rPr>
      </w:pPr>
      <w:r w:rsidRPr="002A0C60">
        <w:rPr>
          <w:sz w:val="20"/>
          <w:szCs w:val="20"/>
          <w:u w:val="single"/>
        </w:rPr>
        <w:t>Voorbeeld:</w:t>
      </w:r>
      <w:r w:rsidRPr="002A0C60">
        <w:rPr>
          <w:sz w:val="20"/>
          <w:szCs w:val="20"/>
        </w:rPr>
        <w:t xml:space="preserve"> Een fabrikant A van tapijten geeft weefmachines in pand bij een bank B. Deze weefmachines zijn echter in bruikleen van een andere fabrikant van tapijten C. A is dus niet bevoegd om een pandrecht op deze machines te vestigen. Hier is bank B de bezitter van het pandrecht en A de onbevoegde beschikker.</w:t>
      </w:r>
    </w:p>
    <w:p w14:paraId="4CB6969F" w14:textId="77777777" w:rsidR="00257C36" w:rsidRPr="002A0C60" w:rsidRDefault="00257C36" w:rsidP="005E187E">
      <w:pPr>
        <w:pStyle w:val="Kop3"/>
        <w:spacing w:line="360" w:lineRule="auto"/>
      </w:pPr>
      <w:bookmarkStart w:id="24" w:name="_Toc449982191"/>
      <w:r w:rsidRPr="002A0C60">
        <w:t>Wie is bevoegd om een pandrecht te vestigen?</w:t>
      </w:r>
      <w:bookmarkEnd w:id="24"/>
    </w:p>
    <w:p w14:paraId="5AB76AB2" w14:textId="0BF8DC1E" w:rsidR="00257C36" w:rsidRPr="002A0C60" w:rsidRDefault="00A257F5" w:rsidP="00896DF3">
      <w:pPr>
        <w:pStyle w:val="Nummer"/>
        <w:spacing w:line="360" w:lineRule="auto"/>
      </w:pPr>
      <w:r w:rsidRPr="002A0C60">
        <w:rPr>
          <w:smallCaps/>
        </w:rPr>
        <w:t xml:space="preserve">Eigenaar en bevoegdheid tot vervreemding - </w:t>
      </w:r>
      <w:r w:rsidR="00257C36" w:rsidRPr="002A0C60">
        <w:t>Om rechtsgeldig een pandrecht te vestigen is het niet enkel noodzakelijk dat de pandhouder eigenaar is van het goed, maar ook dat deze de bevoegdheid heeft om het goed te vervreemden.</w:t>
      </w:r>
      <w:r w:rsidR="00212009" w:rsidRPr="002A0C60">
        <w:t xml:space="preserve"> Deze voorwaarde geldt zowel voor het Belgische als voor het Franse recht.</w:t>
      </w:r>
      <w:r w:rsidR="00257C36" w:rsidRPr="002A0C60">
        <w:t xml:space="preserve"> Het is door deze noodzakelijke beschikkingsbevoegdheid dat de beschikkingshandeling zakenrechtelijke uitwerking krijgt. De eigenaar kan zowel een derde als de schuldenaar zijn. Dit principe wordt gevat in het adagium “</w:t>
      </w:r>
      <w:r w:rsidR="00257C36" w:rsidRPr="002A0C60">
        <w:rPr>
          <w:i/>
        </w:rPr>
        <w:t xml:space="preserve">Nemo plus iure transfere potest quam ipse habet”. </w:t>
      </w:r>
      <w:r w:rsidR="00257C36" w:rsidRPr="002A0C60">
        <w:t>Het verpanden van andermans zaak is dan ook relatief nietig.</w:t>
      </w:r>
      <w:r w:rsidR="00FB1258" w:rsidRPr="002A0C60">
        <w:rPr>
          <w:rStyle w:val="Voetnootmarkering"/>
        </w:rPr>
        <w:footnoteReference w:id="91"/>
      </w:r>
      <w:r w:rsidR="00257C36" w:rsidRPr="002A0C60">
        <w:t xml:space="preserve"> Deze nietighei</w:t>
      </w:r>
      <w:r w:rsidR="001C507B" w:rsidRPr="002A0C60">
        <w:t>d kan enkel worden gevorderd</w:t>
      </w:r>
      <w:r w:rsidR="00257C36" w:rsidRPr="002A0C60">
        <w:t xml:space="preserve"> door de </w:t>
      </w:r>
      <w:r w:rsidR="00257C36" w:rsidRPr="002A0C60">
        <w:lastRenderedPageBreak/>
        <w:t>pandhouder. De echte eigenaar kan dit niet aangezien deze geen partij is bij de pandovereenkomst.</w:t>
      </w:r>
      <w:r w:rsidR="00257C36" w:rsidRPr="002A0C60">
        <w:rPr>
          <w:rStyle w:val="Voetnootmarkering"/>
        </w:rPr>
        <w:footnoteReference w:id="92"/>
      </w:r>
      <w:r w:rsidR="00257C36" w:rsidRPr="002A0C60">
        <w:t xml:space="preserve"> </w:t>
      </w:r>
      <w:r w:rsidR="001C507B" w:rsidRPr="002A0C60">
        <w:rPr>
          <w:smallCaps/>
        </w:rPr>
        <w:t>De P</w:t>
      </w:r>
      <w:r w:rsidR="00257C36" w:rsidRPr="002A0C60">
        <w:rPr>
          <w:smallCaps/>
        </w:rPr>
        <w:t xml:space="preserve">age </w:t>
      </w:r>
      <w:r w:rsidR="00257C36" w:rsidRPr="002A0C60">
        <w:t>stelt echter dat een</w:t>
      </w:r>
      <w:r w:rsidR="000A502B" w:rsidRPr="002A0C60">
        <w:t xml:space="preserve"> </w:t>
      </w:r>
      <w:r w:rsidR="00257C36" w:rsidRPr="002A0C60">
        <w:t>uitzondering moet worden gemaakt wanneer de pandhouder te kwader trouw is.</w:t>
      </w:r>
      <w:r w:rsidR="00257C36" w:rsidRPr="002A0C60">
        <w:rPr>
          <w:rStyle w:val="Voetnootmarkering"/>
        </w:rPr>
        <w:footnoteReference w:id="93"/>
      </w:r>
      <w:r w:rsidR="00257C36" w:rsidRPr="002A0C60">
        <w:t xml:space="preserve"> Ook in het Nederlandse recht vinden we deze gedachte terug. Daar is deze zelfs expliciet opgenomen in het Nieuw Burgerlijk Wetboek in artikel 3:84 lid 1. Dit artikel stelt dat voor de overdracht van een goed</w:t>
      </w:r>
      <w:r w:rsidR="00EB528C">
        <w:t>,</w:t>
      </w:r>
      <w:r w:rsidR="00257C36" w:rsidRPr="002A0C60">
        <w:t xml:space="preserve"> naast een levering krachtens een geldige titel ook vereist is dat deze wordt uitgevoerd door een persoon die bevoegd is te beschikken.</w:t>
      </w:r>
      <w:r w:rsidR="00257C36" w:rsidRPr="002A0C60">
        <w:rPr>
          <w:rStyle w:val="Voetnootmarkering"/>
        </w:rPr>
        <w:footnoteReference w:id="94"/>
      </w:r>
      <w:r w:rsidR="00257C36" w:rsidRPr="002A0C60">
        <w:t xml:space="preserve"> </w:t>
      </w:r>
    </w:p>
    <w:p w14:paraId="498509ED" w14:textId="1BFDBEDF" w:rsidR="00257C36" w:rsidRPr="002A0C60" w:rsidRDefault="003B66E8" w:rsidP="003B66E8">
      <w:pPr>
        <w:pStyle w:val="Nummer"/>
        <w:spacing w:line="360" w:lineRule="auto"/>
      </w:pPr>
      <w:r w:rsidRPr="002A0C60">
        <w:rPr>
          <w:smallCaps/>
        </w:rPr>
        <w:t xml:space="preserve">Causale stelsels van overdracht - </w:t>
      </w:r>
      <w:r w:rsidR="00257C36" w:rsidRPr="002A0C60">
        <w:t>Zowel in België, Nederland, als Frankrijk vinden we causale stelsels van overdracht. Deze causale stelsels vereisen steeds een titel om eigendom over te dragen of om een zakelijk recht te vestigen. In het Nieuw Nederlands Burgerlijk Wetboek vinden we deze voorwaarden expliciet terug in artikel 3:84. Deze verbintenisrechtelijke titel vormt de grondslag voor de zakenrechtelijke verschuiving en moet noodzakelijk aanwezig blijven. Valt deze om enige reden dan ook weg, dan zal ook de zakenrechtelijke overdracht of vestiging vervallen.</w:t>
      </w:r>
      <w:r w:rsidR="00257C36" w:rsidRPr="002A0C60">
        <w:rPr>
          <w:rStyle w:val="Voetnootmarkering"/>
        </w:rPr>
        <w:footnoteReference w:id="95"/>
      </w:r>
      <w:r w:rsidR="00257C36" w:rsidRPr="002A0C60">
        <w:t xml:space="preserve"> </w:t>
      </w:r>
    </w:p>
    <w:p w14:paraId="0FDAAC15" w14:textId="4D7EDD10" w:rsidR="00257C36" w:rsidRPr="002A0C60" w:rsidRDefault="00DF1003" w:rsidP="00DF1003">
      <w:pPr>
        <w:pStyle w:val="Nummer"/>
        <w:spacing w:line="360" w:lineRule="auto"/>
      </w:pPr>
      <w:r w:rsidRPr="002A0C60">
        <w:rPr>
          <w:smallCaps/>
        </w:rPr>
        <w:lastRenderedPageBreak/>
        <w:t xml:space="preserve">Onbevoegd na eerdere inpandgeving - </w:t>
      </w:r>
      <w:r w:rsidR="00257C36" w:rsidRPr="002A0C60">
        <w:t>De pandgever is beschikkingsonbevoegd wanneer hij het goed al eerder in pand had gegeven. Het pandrecht zal enke</w:t>
      </w:r>
      <w:r w:rsidRPr="002A0C60">
        <w:t>l toekomen aan de pandhouder in</w:t>
      </w:r>
      <w:r w:rsidR="00257C36" w:rsidRPr="002A0C60">
        <w:t xml:space="preserve"> wiens bezit de zaak werd gesteld (</w:t>
      </w:r>
      <w:r w:rsidR="00257C36" w:rsidRPr="002A0C60">
        <w:rPr>
          <w:i/>
        </w:rPr>
        <w:t>Nantissement sur nantissement ne vaut</w:t>
      </w:r>
      <w:r w:rsidR="00257C36" w:rsidRPr="002A0C60">
        <w:t>).</w:t>
      </w:r>
      <w:r w:rsidR="00257C36" w:rsidRPr="002A0C60">
        <w:rPr>
          <w:rStyle w:val="Voetnootmarkering"/>
        </w:rPr>
        <w:footnoteReference w:id="96"/>
      </w:r>
      <w:r w:rsidR="00F84576" w:rsidRPr="002A0C60">
        <w:t xml:space="preserve"> In het Franse recht</w:t>
      </w:r>
      <w:r w:rsidR="00A2087B">
        <w:t xml:space="preserve"> en het Nederlandse recht</w:t>
      </w:r>
      <w:r w:rsidR="00F84576" w:rsidRPr="002A0C60">
        <w:t xml:space="preserve"> is opeenvolgende inpandgeving echter wel mogelijk (</w:t>
      </w:r>
      <w:r w:rsidR="00F84576" w:rsidRPr="002A0C60">
        <w:rPr>
          <w:i/>
        </w:rPr>
        <w:t xml:space="preserve">infra, </w:t>
      </w:r>
      <w:r w:rsidR="00F84576" w:rsidRPr="002A0C60">
        <w:t>nr.</w:t>
      </w:r>
      <w:r w:rsidR="002566FD">
        <w:t xml:space="preserve"> 88</w:t>
      </w:r>
      <w:r w:rsidR="00F84576" w:rsidRPr="002A0C60">
        <w:t>).</w:t>
      </w:r>
      <w:r w:rsidR="00F84576" w:rsidRPr="002A0C60">
        <w:rPr>
          <w:rStyle w:val="Voetnootmarkering"/>
        </w:rPr>
        <w:footnoteReference w:id="97"/>
      </w:r>
    </w:p>
    <w:p w14:paraId="53085315" w14:textId="77777777" w:rsidR="00257C36" w:rsidRPr="002A0C60" w:rsidRDefault="00257C36" w:rsidP="005E187E">
      <w:pPr>
        <w:pStyle w:val="Kop3"/>
        <w:spacing w:line="360" w:lineRule="auto"/>
      </w:pPr>
      <w:bookmarkStart w:id="25" w:name="_Toc449982192"/>
      <w:r w:rsidRPr="002A0C60">
        <w:t>vuistpand</w:t>
      </w:r>
      <w:bookmarkEnd w:id="25"/>
    </w:p>
    <w:p w14:paraId="016821FA" w14:textId="77777777" w:rsidR="00257C36" w:rsidRPr="002A0C60" w:rsidRDefault="00257C36" w:rsidP="005E187E">
      <w:pPr>
        <w:pStyle w:val="Kop4"/>
        <w:spacing w:line="360" w:lineRule="auto"/>
      </w:pPr>
      <w:bookmarkStart w:id="26" w:name="_Toc449982193"/>
      <w:r w:rsidRPr="002A0C60">
        <w:t>Conflicten tussen meerdere zekerheidsrechten</w:t>
      </w:r>
      <w:bookmarkEnd w:id="26"/>
      <w:r w:rsidRPr="002A0C60">
        <w:t xml:space="preserve"> </w:t>
      </w:r>
    </w:p>
    <w:p w14:paraId="12EC2307" w14:textId="3D0F515E" w:rsidR="00257C36" w:rsidRPr="002A0C60" w:rsidRDefault="00257C36" w:rsidP="005E187E">
      <w:pPr>
        <w:pStyle w:val="Nummer"/>
        <w:spacing w:after="200" w:line="360" w:lineRule="auto"/>
      </w:pPr>
      <w:r w:rsidRPr="002A0C60">
        <w:rPr>
          <w:smallCaps/>
        </w:rPr>
        <w:t xml:space="preserve">Enkel pandrecht bij bevoegde pandgever - </w:t>
      </w:r>
      <w:r w:rsidRPr="002A0C60">
        <w:t xml:space="preserve">Bij conflicten tussen meerdere zekerheidsrechten geldt het anterioriteitsbeginsel. In toepassing van de </w:t>
      </w:r>
      <w:r w:rsidRPr="002A0C60">
        <w:rPr>
          <w:i/>
        </w:rPr>
        <w:t>nemo dat quo non habet</w:t>
      </w:r>
      <w:r w:rsidR="006F40EB" w:rsidRPr="002A0C60">
        <w:rPr>
          <w:i/>
        </w:rPr>
        <w:t xml:space="preserve"> </w:t>
      </w:r>
      <w:r w:rsidR="006F40EB" w:rsidRPr="002A0C60">
        <w:t xml:space="preserve">- </w:t>
      </w:r>
      <w:r w:rsidRPr="002A0C60">
        <w:t>regel zal de pandhouder enkel een pandrecht verkrijgen in zoverre de pandgever bevoegd is om op deze zaak een pandrecht toe te staan. Uit de combinatie van deze twee principes vloeit voort dat het oudste recht zal voorgaan, tenzij de pandgever de bevoegdheid had om een recht toe te staan in strijd met het oudere recht. Dit kan het geval zijn wanneer de pandgever machtiging of toestemming geeft.</w:t>
      </w:r>
      <w:r w:rsidRPr="002A0C60">
        <w:rPr>
          <w:rStyle w:val="Voetnootmarkering"/>
        </w:rPr>
        <w:footnoteReference w:id="98"/>
      </w:r>
      <w:r w:rsidRPr="002A0C60">
        <w:t xml:space="preserve"> </w:t>
      </w:r>
      <w:r w:rsidR="00EB528C">
        <w:t xml:space="preserve"> </w:t>
      </w:r>
    </w:p>
    <w:p w14:paraId="080887A8" w14:textId="23B91708" w:rsidR="00257C36" w:rsidRPr="002A0C60" w:rsidRDefault="00257C36" w:rsidP="00057C6A">
      <w:pPr>
        <w:pStyle w:val="Nummer"/>
        <w:numPr>
          <w:ilvl w:val="0"/>
          <w:numId w:val="0"/>
        </w:numPr>
        <w:spacing w:after="200" w:line="360" w:lineRule="auto"/>
      </w:pPr>
      <w:r w:rsidRPr="002A0C60">
        <w:t>Op basis van deze redenering zou in het voorgaande voorbeeld pandhouder B geen pandrecht verkrijgen op de w</w:t>
      </w:r>
      <w:r w:rsidR="00EB528C">
        <w:t>eefmachines, ook al kon deze er</w:t>
      </w:r>
      <w:r w:rsidRPr="002A0C60">
        <w:t xml:space="preserve">op vertrouwen dat </w:t>
      </w:r>
      <w:proofErr w:type="gramStart"/>
      <w:r w:rsidRPr="002A0C60">
        <w:t>A eigenaar</w:t>
      </w:r>
      <w:proofErr w:type="gramEnd"/>
      <w:r w:rsidRPr="002A0C60">
        <w:t xml:space="preserve"> was van deze machines. Het wordt echter algemeen aanvaard dat de regel van artikel 2279 BW van toepassing is bij een vuistpandrecht.</w:t>
      </w:r>
      <w:r w:rsidRPr="002A0C60">
        <w:rPr>
          <w:rStyle w:val="Voetnootmarkering"/>
        </w:rPr>
        <w:footnoteReference w:id="99"/>
      </w:r>
      <w:r w:rsidRPr="002A0C60">
        <w:t xml:space="preserve"> Een vuistpand komt namelijk pas geldig tot stand </w:t>
      </w:r>
      <w:r w:rsidRPr="002A0C60">
        <w:lastRenderedPageBreak/>
        <w:t>wa</w:t>
      </w:r>
      <w:r w:rsidR="00EB528C">
        <w:t>nneer het goed waarop men beoogt</w:t>
      </w:r>
      <w:r w:rsidRPr="002A0C60">
        <w:t xml:space="preserve"> een pandrecht te vestigen buitenbezit wordt gesteld aan de schuldeiser. Hierdoor zal deze schuldeiser niet enkel detentor worden van het goed maar ook titularis van het pandrecht.</w:t>
      </w:r>
      <w:r w:rsidRPr="002A0C60">
        <w:rPr>
          <w:rStyle w:val="Voetnootmarkering"/>
        </w:rPr>
        <w:t xml:space="preserve"> </w:t>
      </w:r>
      <w:r w:rsidRPr="002A0C60">
        <w:rPr>
          <w:rStyle w:val="Voetnootmarkering"/>
        </w:rPr>
        <w:footnoteReference w:id="100"/>
      </w:r>
      <w:r w:rsidRPr="002A0C60">
        <w:t xml:space="preserve"> Door toepassing van artikel 2279 Burgerlijk Wetboek zal B dus wel een pandrecht verkrijgen op de weefmachines wanneer hij te goeder trouw was.</w:t>
      </w:r>
      <w:r w:rsidR="00057C6A" w:rsidRPr="002A0C60">
        <w:t xml:space="preserve"> Zowel in het Franse als in het Nederlandse recht kunnen pandhouders die een pandrecht hebben verkregen van een onbevoegde pandgever beroep doen op de bezitsbescherming van enerzijds artikel 2276 Code Civil français en anderzijds artikel 3:238 Nieuw Burgerlijk Wetboek.</w:t>
      </w:r>
      <w:r w:rsidR="00057C6A" w:rsidRPr="002A0C60">
        <w:rPr>
          <w:rStyle w:val="Voetnootmarkering"/>
        </w:rPr>
        <w:footnoteReference w:id="101"/>
      </w:r>
    </w:p>
    <w:p w14:paraId="7B70156A" w14:textId="05FFCDA7" w:rsidR="00DD4ADC" w:rsidRPr="002A0C60" w:rsidRDefault="00057C6A" w:rsidP="00057C6A">
      <w:pPr>
        <w:pStyle w:val="Nummer"/>
        <w:spacing w:after="200" w:line="360" w:lineRule="auto"/>
      </w:pPr>
      <w:r w:rsidRPr="002A0C60">
        <w:rPr>
          <w:smallCaps/>
        </w:rPr>
        <w:t xml:space="preserve">Nuancering artikel 2279 BW enkel toepasselijk op lichamelijke zaken - </w:t>
      </w:r>
      <w:r w:rsidR="00DD4ADC" w:rsidRPr="002A0C60">
        <w:t xml:space="preserve">Het feit </w:t>
      </w:r>
      <w:r w:rsidR="00AF782A" w:rsidRPr="002A0C60">
        <w:t>dat een pandhouder een beroep kan doen op de bescherming van artikel 2279 Burgerlijk Wetboek is een nuancering van het feit dat dit artikel enkel van toepassing is op roerende lichamelijke zaken (</w:t>
      </w:r>
      <w:r w:rsidR="00AF782A" w:rsidRPr="002A0C60">
        <w:rPr>
          <w:i/>
        </w:rPr>
        <w:t xml:space="preserve">supra, </w:t>
      </w:r>
      <w:r w:rsidR="00AF782A" w:rsidRPr="002A0C60">
        <w:t>nr.</w:t>
      </w:r>
      <w:r w:rsidR="00966EEB">
        <w:t xml:space="preserve"> 19</w:t>
      </w:r>
      <w:r w:rsidR="00AF782A" w:rsidRPr="002A0C60">
        <w:t>).</w:t>
      </w:r>
      <w:r w:rsidR="00AF782A" w:rsidRPr="002A0C60">
        <w:rPr>
          <w:rStyle w:val="Voetnootmarkering"/>
        </w:rPr>
        <w:footnoteReference w:id="102"/>
      </w:r>
    </w:p>
    <w:p w14:paraId="6CDCC0AC" w14:textId="77777777" w:rsidR="00257C36" w:rsidRPr="002A0C60" w:rsidRDefault="00257C36" w:rsidP="005E187E">
      <w:pPr>
        <w:pStyle w:val="Kop4"/>
        <w:spacing w:line="360" w:lineRule="auto"/>
      </w:pPr>
      <w:bookmarkStart w:id="27" w:name="_Toc449982194"/>
      <w:r w:rsidRPr="002A0C60">
        <w:lastRenderedPageBreak/>
        <w:t>Toepassingsvoorwaarden artikel 2279 Burgerlijk Wetboek</w:t>
      </w:r>
      <w:bookmarkEnd w:id="27"/>
      <w:r w:rsidRPr="002A0C60">
        <w:t xml:space="preserve"> </w:t>
      </w:r>
    </w:p>
    <w:p w14:paraId="6BD881F7" w14:textId="77777777" w:rsidR="00257C36" w:rsidRPr="002A0C60" w:rsidRDefault="00257C36" w:rsidP="005E187E">
      <w:pPr>
        <w:pStyle w:val="Nummer"/>
        <w:spacing w:after="200" w:line="360" w:lineRule="auto"/>
      </w:pPr>
      <w:r w:rsidRPr="002A0C60">
        <w:rPr>
          <w:smallCaps/>
        </w:rPr>
        <w:t xml:space="preserve">Voorwaarden artikel 2279 BW - </w:t>
      </w:r>
      <w:r w:rsidRPr="002A0C60">
        <w:t xml:space="preserve">Zoals hierboven uiteengezet gelden twee vereisten om beroep te mogen doen op de bezitsbescherming van artikel 2279 BW, namelijk bezit in de zin van artikel 2279 BW en goede trouw op het ogenblik van de bezitsverkrijging. </w:t>
      </w:r>
    </w:p>
    <w:p w14:paraId="25CBBBAD" w14:textId="0DDA5357" w:rsidR="00BA1CA1" w:rsidRPr="002A0C60" w:rsidRDefault="00257C36" w:rsidP="00BA1CA1">
      <w:pPr>
        <w:pStyle w:val="Lijstalinea"/>
        <w:spacing w:before="240" w:line="360" w:lineRule="auto"/>
        <w:ind w:left="0"/>
        <w:jc w:val="both"/>
        <w:rPr>
          <w:rFonts w:ascii="Times New Roman" w:hAnsi="Times New Roman"/>
        </w:rPr>
      </w:pPr>
      <w:r w:rsidRPr="002A0C60">
        <w:rPr>
          <w:rFonts w:ascii="Times New Roman" w:hAnsi="Times New Roman"/>
        </w:rPr>
        <w:t>In het Nederlandse recht bestaan twee manieren van bescherming. Gaat het om een pandgever die volledig beschikkingsonbevoegd was, dan bestaat de bescherming erin dat het pandrecht toch geldig tot stand komt. Bij verlies of diefstal, wanneer het andere goederen betreft dan geld of toonder- of orderpapier dan zal de eigenaar van de zaak deze gedurende drie jaar onbezwaard van een pandrecht kunnen opeisen.</w:t>
      </w:r>
      <w:r w:rsidRPr="002A0C60">
        <w:rPr>
          <w:rStyle w:val="Voetnootmarkering"/>
          <w:rFonts w:ascii="Times New Roman" w:hAnsi="Times New Roman"/>
        </w:rPr>
        <w:footnoteReference w:id="103"/>
      </w:r>
      <w:r w:rsidRPr="002A0C60">
        <w:rPr>
          <w:rFonts w:ascii="Times New Roman" w:hAnsi="Times New Roman"/>
        </w:rPr>
        <w:t xml:space="preserve"> Hier vinden we een gelijkaardige bescherming als in het Franse en het Belgische recht.</w:t>
      </w:r>
    </w:p>
    <w:p w14:paraId="5626E9A7" w14:textId="45854C45" w:rsidR="00EA63FC" w:rsidRPr="002A0C60" w:rsidRDefault="00257C36" w:rsidP="00BA1CA1">
      <w:pPr>
        <w:pStyle w:val="Nummer"/>
        <w:numPr>
          <w:ilvl w:val="0"/>
          <w:numId w:val="0"/>
        </w:numPr>
        <w:spacing w:after="200" w:line="360" w:lineRule="auto"/>
      </w:pPr>
      <w:r w:rsidRPr="002A0C60">
        <w:t>Gaat het echter om een pandgever die gedeeltelijk beschikkingsonbevoegd was, dan zal een rangwisseling plaatsvinden. Het pandrecht zal rang in nemen boven het oudere beperkte recht. Met gedeeltelijk beschikkingsonbevoegd wordt bedoeld dat het verpande goed al met een ander beperkt recht was bezwaard.</w:t>
      </w:r>
      <w:r w:rsidRPr="002A0C60">
        <w:rPr>
          <w:rStyle w:val="Voetnootmarkering"/>
        </w:rPr>
        <w:footnoteReference w:id="104"/>
      </w:r>
    </w:p>
    <w:p w14:paraId="44FF5DE6" w14:textId="77777777" w:rsidR="00257C36" w:rsidRPr="002A0C60" w:rsidRDefault="00257C36" w:rsidP="005E187E">
      <w:pPr>
        <w:pStyle w:val="Kop5"/>
        <w:spacing w:line="360" w:lineRule="auto"/>
      </w:pPr>
      <w:bookmarkStart w:id="28" w:name="_Toc449982195"/>
      <w:r w:rsidRPr="002A0C60">
        <w:t>Bezit</w:t>
      </w:r>
      <w:bookmarkEnd w:id="28"/>
      <w:r w:rsidRPr="002A0C60">
        <w:t xml:space="preserve"> </w:t>
      </w:r>
    </w:p>
    <w:p w14:paraId="13C228EF" w14:textId="63BAB4E7" w:rsidR="00257C36" w:rsidRPr="002A0C60" w:rsidRDefault="00E35A3D" w:rsidP="005E187E">
      <w:pPr>
        <w:pStyle w:val="Nummer"/>
        <w:spacing w:line="360" w:lineRule="auto"/>
      </w:pPr>
      <w:r w:rsidRPr="002A0C60">
        <w:rPr>
          <w:smallCaps/>
        </w:rPr>
        <w:t xml:space="preserve">Titularis zakelijk recht - </w:t>
      </w:r>
      <w:r w:rsidR="00257C36" w:rsidRPr="002A0C60">
        <w:t xml:space="preserve">De pandhouder heeft geen </w:t>
      </w:r>
      <w:r w:rsidR="00257C36" w:rsidRPr="002A0C60">
        <w:rPr>
          <w:i/>
        </w:rPr>
        <w:t>animus</w:t>
      </w:r>
      <w:r w:rsidR="00257C36" w:rsidRPr="002A0C60">
        <w:t xml:space="preserve"> </w:t>
      </w:r>
      <w:r w:rsidR="00257C36" w:rsidRPr="002A0C60">
        <w:rPr>
          <w:i/>
        </w:rPr>
        <w:t xml:space="preserve">possidendi, </w:t>
      </w:r>
      <w:r w:rsidR="00257C36" w:rsidRPr="002A0C60">
        <w:t>maar hij is wel ti</w:t>
      </w:r>
      <w:r w:rsidR="00966EEB">
        <w:t>tularis van een zakelijk recht</w:t>
      </w:r>
      <w:r w:rsidR="00257C36" w:rsidRPr="002A0C60">
        <w:t>.</w:t>
      </w:r>
      <w:r w:rsidR="00257C36" w:rsidRPr="002A0C60">
        <w:rPr>
          <w:rStyle w:val="Voetnootmarkering"/>
        </w:rPr>
        <w:footnoteReference w:id="105"/>
      </w:r>
      <w:r w:rsidR="00257C36" w:rsidRPr="002A0C60">
        <w:t xml:space="preserve"> </w:t>
      </w:r>
    </w:p>
    <w:p w14:paraId="1AA90D47" w14:textId="77777777" w:rsidR="00257C36" w:rsidRPr="002A0C60" w:rsidRDefault="00257C36" w:rsidP="005E187E">
      <w:pPr>
        <w:pStyle w:val="Kop5"/>
        <w:spacing w:line="360" w:lineRule="auto"/>
      </w:pPr>
      <w:bookmarkStart w:id="29" w:name="_Toc449982196"/>
      <w:r w:rsidRPr="002A0C60">
        <w:t>Goede trouw</w:t>
      </w:r>
      <w:bookmarkEnd w:id="29"/>
    </w:p>
    <w:p w14:paraId="626F15F6" w14:textId="57F8D1F7" w:rsidR="00257C36" w:rsidRPr="002A0C60" w:rsidRDefault="00257C36" w:rsidP="00BA1CA1">
      <w:pPr>
        <w:pStyle w:val="Nummer"/>
        <w:spacing w:line="360" w:lineRule="auto"/>
      </w:pPr>
      <w:r w:rsidRPr="002A0C60">
        <w:rPr>
          <w:smallCaps/>
        </w:rPr>
        <w:t xml:space="preserve">Vermoeden van goede trouw – </w:t>
      </w:r>
      <w:r w:rsidRPr="002A0C60">
        <w:t xml:space="preserve">De goede trouw wordt in overeenstemming met het gemene recht vermoed tot het tegenbewijs is geleverd. Er is sprake van kwade trouw wanneer </w:t>
      </w:r>
      <w:r w:rsidRPr="002A0C60">
        <w:lastRenderedPageBreak/>
        <w:t>de pandhouder kennis had van elementen die niet in overeenstemming waren met de verklaring van de pandgever dat deze tot inpandgeving bevoegd was.</w:t>
      </w:r>
      <w:r w:rsidRPr="002A0C60">
        <w:rPr>
          <w:rStyle w:val="Voetnootmarkering"/>
        </w:rPr>
        <w:footnoteReference w:id="106"/>
      </w:r>
      <w:r w:rsidR="00BA1CA1" w:rsidRPr="002A0C60">
        <w:t xml:space="preserve"> </w:t>
      </w:r>
    </w:p>
    <w:p w14:paraId="5AAA6EE8" w14:textId="0EB54A87" w:rsidR="00257C36" w:rsidRPr="002A0C60" w:rsidRDefault="00257C36" w:rsidP="00BA1CA1">
      <w:pPr>
        <w:pStyle w:val="Nummer"/>
        <w:spacing w:line="360" w:lineRule="auto"/>
      </w:pPr>
      <w:r w:rsidRPr="002A0C60">
        <w:rPr>
          <w:smallCaps/>
        </w:rPr>
        <w:t xml:space="preserve">Beoordeling tijdstip goede trouw - </w:t>
      </w:r>
      <w:r w:rsidRPr="002A0C60">
        <w:t>De goede trouw van de pandhouder moet beoordeeld worden op het tijdstip waarop het pandrecht ontstaat. In artikel 23 Hypotheekwet is sprake van “ontvangst” van de zaak.</w:t>
      </w:r>
      <w:r w:rsidRPr="002A0C60">
        <w:rPr>
          <w:rStyle w:val="Voetnootmarkering"/>
        </w:rPr>
        <w:footnoteReference w:id="107"/>
      </w:r>
      <w:r w:rsidRPr="002A0C60">
        <w:t xml:space="preserve"> Dit houdt een toepassing</w:t>
      </w:r>
      <w:r w:rsidR="00EB528C">
        <w:t xml:space="preserve"> in</w:t>
      </w:r>
      <w:r w:rsidRPr="002A0C60">
        <w:t xml:space="preserve"> van de regel dat de beoordeling van de goede trouw moet plaatsvinden op het ogenblik waarop de verkrijger rechtstreeks of onrechtstreeks het bezit verkrijgt en de vervreemder het bezit verliest. Tussen de toepassing op het pandrecht en de algemene verwoording bestaat in de praktijk geen verschil, dit omdat het pandrecht bij een vuistpand ontstaat door een buitenbezitsstelling. Door het cassatie-arrest van 21 maart 2003 wordt dan ook nog eens expliciet duidelijk gemaakt dat het gaat om het tijdstip waarop het pandrecht ontstaat en niet op het tijdstip waarop de pandovereenkomst zijn ontstaan kent.</w:t>
      </w:r>
      <w:r w:rsidRPr="002A0C60">
        <w:rPr>
          <w:rStyle w:val="Voetnootmarkering"/>
        </w:rPr>
        <w:footnoteReference w:id="108"/>
      </w:r>
      <w:r w:rsidRPr="002A0C60">
        <w:t xml:space="preserve"> </w:t>
      </w:r>
    </w:p>
    <w:p w14:paraId="576DB3BD" w14:textId="77777777" w:rsidR="00257C36" w:rsidRPr="002A0C60" w:rsidRDefault="00257C36" w:rsidP="005E187E">
      <w:pPr>
        <w:pStyle w:val="Nummer"/>
        <w:numPr>
          <w:ilvl w:val="0"/>
          <w:numId w:val="0"/>
        </w:numPr>
        <w:spacing w:line="360" w:lineRule="auto"/>
      </w:pPr>
      <w:r w:rsidRPr="002A0C60">
        <w:t>Het Nederlandse recht vereist dat de pandhouder te goeder trouw is op het ogenblik dat de zaak die in pand gegeven wordt in de macht van de pandhouder of van een derde is gebracht. Het maakt niet uit of er meteen sprake is van een vuistpandrecht of dat de zaak pas later in de macht van de pandhouder of van de derde is gebracht.</w:t>
      </w:r>
      <w:r w:rsidRPr="002A0C60">
        <w:rPr>
          <w:rStyle w:val="Voetnootmarkering"/>
        </w:rPr>
        <w:footnoteReference w:id="109"/>
      </w:r>
      <w:r w:rsidRPr="002A0C60">
        <w:t xml:space="preserve"> </w:t>
      </w:r>
    </w:p>
    <w:p w14:paraId="2695445C" w14:textId="2A84AF58" w:rsidR="00257C36" w:rsidRPr="002A0C60" w:rsidRDefault="00257C36" w:rsidP="00BA1CA1">
      <w:pPr>
        <w:pStyle w:val="Nummer"/>
        <w:spacing w:line="360" w:lineRule="auto"/>
      </w:pPr>
      <w:r w:rsidRPr="002A0C60">
        <w:rPr>
          <w:smallCaps/>
        </w:rPr>
        <w:t xml:space="preserve">Voorwerp van de goede trouw - </w:t>
      </w:r>
      <w:r w:rsidRPr="002A0C60">
        <w:t xml:space="preserve">Het voorwerp van de goede trouw is de eigenlijke beschikkingsbevoegdheid van de pandgever. De pandgever moet over de bevoegdheid beschikken om de zaak met een zekerheidsrecht te bezwaren. Het gaat dus niet om het feit of de pandhouder ervan uit mocht gaan dat de pandgever eigenaar is, in tegenstelling tot wat in </w:t>
      </w:r>
      <w:r w:rsidRPr="002A0C60">
        <w:lastRenderedPageBreak/>
        <w:t xml:space="preserve">het verleden vaak geleerd werd. Dit wordt bevestigd door het cassatie-arrest van 12 februari 2004. Dit houdt in dat zelfs in gevallen waarin de pandhouder wist, dan wel behoorde te weten dat de pandgever geen eigenaar was van de in pandgegeven zaak, hij het pandrecht toch te goeder trouw kan verkrijgen. Dit is bijvoorbeeld het geval bij een bewindvoerder bij een beslag die </w:t>
      </w:r>
      <w:r w:rsidRPr="002A0C60">
        <w:rPr>
          <w:i/>
        </w:rPr>
        <w:t xml:space="preserve">qualitate qua </w:t>
      </w:r>
      <w:r w:rsidRPr="002A0C60">
        <w:t xml:space="preserve">over de zaak mag beschikken. Deze schijn van bevoegdheid moet </w:t>
      </w:r>
      <w:r w:rsidRPr="002A0C60">
        <w:rPr>
          <w:i/>
        </w:rPr>
        <w:t>in concreto</w:t>
      </w:r>
      <w:r w:rsidRPr="002A0C60">
        <w:t xml:space="preserve"> beoordeeld worden.</w:t>
      </w:r>
      <w:r w:rsidRPr="002A0C60">
        <w:rPr>
          <w:rStyle w:val="Voetnootmarkering"/>
        </w:rPr>
        <w:footnoteReference w:id="110"/>
      </w:r>
      <w:r w:rsidRPr="002A0C60">
        <w:t xml:space="preserve"> </w:t>
      </w:r>
    </w:p>
    <w:p w14:paraId="476C4A13" w14:textId="77777777" w:rsidR="00257C36" w:rsidRPr="002A0C60" w:rsidRDefault="00257C36" w:rsidP="00BA1CA1">
      <w:pPr>
        <w:pStyle w:val="Nummer"/>
        <w:spacing w:line="360" w:lineRule="auto"/>
      </w:pPr>
      <w:r w:rsidRPr="002A0C60">
        <w:rPr>
          <w:smallCaps/>
        </w:rPr>
        <w:t xml:space="preserve">Onderzoeksplicht - </w:t>
      </w:r>
      <w:r w:rsidRPr="002A0C60">
        <w:t>Het Hof van Cassatie stelt dat op de pandgever geen onderzoeksplicht rust, behoudens bijzondere omstandigheden.</w:t>
      </w:r>
      <w:r w:rsidRPr="002A0C60">
        <w:rPr>
          <w:rStyle w:val="Voetnootmarkering"/>
        </w:rPr>
        <w:footnoteReference w:id="111"/>
      </w:r>
      <w:r w:rsidRPr="002A0C60">
        <w:t xml:space="preserve"> </w:t>
      </w:r>
      <w:r w:rsidRPr="002A0C60">
        <w:rPr>
          <w:smallCaps/>
        </w:rPr>
        <w:t xml:space="preserve">Storme </w:t>
      </w:r>
      <w:r w:rsidRPr="002A0C60">
        <w:t>stelt dat deze omstandigheden afhankelijk zijn van de hoedanigheid van de partijen (al dan niet professioneel), de aard van de zaak en de aard van de verzekerde schuldvordering.</w:t>
      </w:r>
      <w:r w:rsidRPr="002A0C60">
        <w:rPr>
          <w:rStyle w:val="Voetnootmarkering"/>
        </w:rPr>
        <w:footnoteReference w:id="112"/>
      </w:r>
      <w:r w:rsidRPr="002A0C60">
        <w:t xml:space="preserve"> De Nederlandse Hoge Raad stelt dat de enkele omstandigheid dat het recht van de pandgever slechts een voorwaardelijk recht is niet voldoende is om van kwade trouw te spreken.</w:t>
      </w:r>
      <w:r w:rsidRPr="002A0C60">
        <w:rPr>
          <w:rStyle w:val="Voetnootmarkering"/>
        </w:rPr>
        <w:footnoteReference w:id="113"/>
      </w:r>
    </w:p>
    <w:p w14:paraId="20628DC6" w14:textId="77777777" w:rsidR="00257C36" w:rsidRPr="002A0C60" w:rsidRDefault="00257C36" w:rsidP="005E187E">
      <w:pPr>
        <w:pStyle w:val="Kop5"/>
        <w:spacing w:line="360" w:lineRule="auto"/>
      </w:pPr>
      <w:bookmarkStart w:id="30" w:name="_Toc449982197"/>
      <w:r w:rsidRPr="002A0C60">
        <w:t>Geldige rechtstitel</w:t>
      </w:r>
      <w:bookmarkEnd w:id="30"/>
    </w:p>
    <w:p w14:paraId="7FE5BAB8" w14:textId="0BBBDE64" w:rsidR="00257C36" w:rsidRPr="002A0C60" w:rsidRDefault="007C3569" w:rsidP="00BA1CA1">
      <w:pPr>
        <w:pStyle w:val="Nummer"/>
        <w:spacing w:line="360" w:lineRule="auto"/>
      </w:pPr>
      <w:r>
        <w:rPr>
          <w:smallCaps/>
        </w:rPr>
        <w:t xml:space="preserve">Geldige rechtstitel - </w:t>
      </w:r>
      <w:r w:rsidR="00257C36" w:rsidRPr="002A0C60">
        <w:t>Wanneer de pandhouder titularis is van het pandrecht en niet de zaak zelf bezit, is het noodzakelijk dat het pandrecht rechtsgeldig tot stand is gekomen. Aangezien het pand slechts op grond van een geldige rechtstitel tot stand kan komen dient de pandhoudende schuldeiser naast de goede trouw ook een geldige rechtstitel voor te leggen. Wanneer de pandhouder verzaakt aan het pand of het bezit verliest kan hij zich niet langer op artikel 2279 Burgerlijk Wetboek beroepen.</w:t>
      </w:r>
      <w:r w:rsidR="00257C36" w:rsidRPr="002A0C60">
        <w:rPr>
          <w:rStyle w:val="Voetnootmarkering"/>
        </w:rPr>
        <w:footnoteReference w:id="114"/>
      </w:r>
      <w:r w:rsidR="00257C36" w:rsidRPr="002A0C60">
        <w:t xml:space="preserve"> De Franse auteur </w:t>
      </w:r>
      <w:r w:rsidR="00257C36" w:rsidRPr="002A0C60">
        <w:rPr>
          <w:smallCaps/>
        </w:rPr>
        <w:t xml:space="preserve">Dross </w:t>
      </w:r>
      <w:r w:rsidR="00257C36" w:rsidRPr="002A0C60">
        <w:t xml:space="preserve">gaat nog een stapje verder en stelt wanneer men enkel titularis kan zijn van een pandrecht wanneer dit bestaat, dat </w:t>
      </w:r>
      <w:r w:rsidR="00257C36" w:rsidRPr="002A0C60">
        <w:lastRenderedPageBreak/>
        <w:t>dit impliceert dat de werkelijke eigenaar van het goed hiermee heeft ingestemd. Met andere woorden, artikel 2276 Code Civil français is enkel van toepassing op de pandhouder wanneer hij daar eigenlijk geen nood aan heeft.</w:t>
      </w:r>
      <w:r w:rsidR="00257C36" w:rsidRPr="002A0C60">
        <w:rPr>
          <w:rStyle w:val="Voetnootmarkering"/>
        </w:rPr>
        <w:footnoteReference w:id="115"/>
      </w:r>
    </w:p>
    <w:p w14:paraId="2B392439" w14:textId="77777777" w:rsidR="00257C36" w:rsidRPr="002A0C60" w:rsidRDefault="00257C36" w:rsidP="005E187E">
      <w:pPr>
        <w:pStyle w:val="Kop5"/>
        <w:spacing w:line="360" w:lineRule="auto"/>
      </w:pPr>
      <w:bookmarkStart w:id="31" w:name="_Toc449982198"/>
      <w:r w:rsidRPr="002A0C60">
        <w:t>Onvrijwillig bezitsverlies</w:t>
      </w:r>
      <w:bookmarkEnd w:id="31"/>
      <w:r w:rsidRPr="002A0C60">
        <w:t xml:space="preserve"> </w:t>
      </w:r>
    </w:p>
    <w:p w14:paraId="4A2F7074" w14:textId="77777777" w:rsidR="00257C36" w:rsidRPr="002A0C60" w:rsidRDefault="00257C36" w:rsidP="005E187E">
      <w:pPr>
        <w:pStyle w:val="Nummer"/>
        <w:spacing w:after="200" w:line="360" w:lineRule="auto"/>
      </w:pPr>
      <w:r w:rsidRPr="002A0C60">
        <w:rPr>
          <w:smallCaps/>
        </w:rPr>
        <w:t xml:space="preserve">Onvrijwillig bezitsverlies - </w:t>
      </w:r>
      <w:r w:rsidRPr="002A0C60">
        <w:t>In het geval van onvrijwillig bezitsverlies kan de pandhouder niet alleen een beroep doen op het tweede lid van artikel 2279 Burgerlijk Wetboek, maar is hij is hiertoe verplicht. Hij is er namelijk toegehouden om in te staan voor het behoud van de zaak.</w:t>
      </w:r>
      <w:r w:rsidRPr="002A0C60">
        <w:rPr>
          <w:rStyle w:val="Voetnootmarkering"/>
        </w:rPr>
        <w:footnoteReference w:id="116"/>
      </w:r>
      <w:r w:rsidRPr="002A0C60">
        <w:t xml:space="preserve"> </w:t>
      </w:r>
    </w:p>
    <w:p w14:paraId="18F9F280" w14:textId="77777777" w:rsidR="00257C36" w:rsidRPr="002A0C60" w:rsidRDefault="00257C36" w:rsidP="005E187E">
      <w:pPr>
        <w:pStyle w:val="Kop4"/>
        <w:spacing w:line="360" w:lineRule="auto"/>
      </w:pPr>
      <w:bookmarkStart w:id="32" w:name="_Toc449982199"/>
      <w:r w:rsidRPr="002A0C60">
        <w:t>Herverpanding</w:t>
      </w:r>
      <w:bookmarkEnd w:id="32"/>
      <w:r w:rsidRPr="002A0C60">
        <w:t xml:space="preserve"> </w:t>
      </w:r>
    </w:p>
    <w:p w14:paraId="47D8E29B" w14:textId="414F5521" w:rsidR="00257C36" w:rsidRPr="002A0C60" w:rsidRDefault="007C3569" w:rsidP="005E187E">
      <w:pPr>
        <w:pStyle w:val="Nummer"/>
        <w:spacing w:after="200" w:line="360" w:lineRule="auto"/>
      </w:pPr>
      <w:r>
        <w:rPr>
          <w:smallCaps/>
        </w:rPr>
        <w:t xml:space="preserve">Herverpanding - </w:t>
      </w:r>
      <w:r w:rsidR="00257C36" w:rsidRPr="002A0C60">
        <w:t>Men spreekt van herverpanding wanneer het in pand gegeven goed aangewend wordt door de pandhouder tot zekerheid van een eigen schuld.  Dit is niet toegestaan, tenzij de pandgever met de herverpanding instemt. Gebeurde de herverpanding echter zonder toestemming van de pandgever dan wordt de herpandhouder beschermd op basis van artikel 2279 Burgerlijk Wetboek wanneer deze te goeder trouw is.</w:t>
      </w:r>
      <w:r w:rsidR="00257C36" w:rsidRPr="002A0C60">
        <w:rPr>
          <w:rStyle w:val="Voetnootmarkering"/>
        </w:rPr>
        <w:footnoteReference w:id="117"/>
      </w:r>
    </w:p>
    <w:p w14:paraId="667A206F" w14:textId="77777777" w:rsidR="00257C36" w:rsidRPr="002A0C60" w:rsidRDefault="00257C36" w:rsidP="005E187E">
      <w:pPr>
        <w:pStyle w:val="Kop3"/>
        <w:spacing w:line="360" w:lineRule="auto"/>
      </w:pPr>
      <w:bookmarkStart w:id="33" w:name="_Toc449982200"/>
      <w:r w:rsidRPr="002A0C60">
        <w:t>Pand op een handelszaak en landbouwvoorrecht</w:t>
      </w:r>
      <w:bookmarkEnd w:id="33"/>
    </w:p>
    <w:p w14:paraId="763B3124" w14:textId="59B04899" w:rsidR="00257C36" w:rsidRPr="002A0C60" w:rsidRDefault="007C3569" w:rsidP="005E187E">
      <w:pPr>
        <w:pStyle w:val="Nummer"/>
        <w:spacing w:after="200" w:line="360" w:lineRule="auto"/>
      </w:pPr>
      <w:r>
        <w:rPr>
          <w:smallCaps/>
        </w:rPr>
        <w:t>Registerpand  sinds 19</w:t>
      </w:r>
      <w:r w:rsidRPr="007C3569">
        <w:rPr>
          <w:smallCaps/>
          <w:vertAlign w:val="superscript"/>
        </w:rPr>
        <w:t>e</w:t>
      </w:r>
      <w:r>
        <w:rPr>
          <w:smallCaps/>
        </w:rPr>
        <w:t xml:space="preserve"> eeuw - </w:t>
      </w:r>
      <w:r w:rsidR="00257C36" w:rsidRPr="002A0C60">
        <w:t>Het pand op de handelszaak en het landbouwvoor</w:t>
      </w:r>
      <w:r w:rsidR="00EB528C">
        <w:t>r</w:t>
      </w:r>
      <w:r w:rsidR="00257C36" w:rsidRPr="002A0C60">
        <w:t>echt zijn al van oudsher registerpanden. Reeds in de late 19</w:t>
      </w:r>
      <w:r w:rsidR="00257C36" w:rsidRPr="002A0C60">
        <w:rPr>
          <w:vertAlign w:val="superscript"/>
        </w:rPr>
        <w:t>e</w:t>
      </w:r>
      <w:r w:rsidR="00257C36" w:rsidRPr="002A0C60">
        <w:t xml:space="preserve"> eeuw voerde de wetgever voor het pand op de handelszaak en het landbouwvoorrecht een pand zonder buitenbezitstelling in. Tegenwerpelijkheid werd in beide gevallen verzekerd door een registratie in een register.</w:t>
      </w:r>
      <w:r w:rsidR="00257C36" w:rsidRPr="002A0C60">
        <w:rPr>
          <w:rStyle w:val="Voetnootmarkering"/>
        </w:rPr>
        <w:footnoteReference w:id="118"/>
      </w:r>
      <w:r w:rsidR="00257C36" w:rsidRPr="002A0C60">
        <w:t xml:space="preserve"> In </w:t>
      </w:r>
      <w:r w:rsidR="00257C36" w:rsidRPr="002A0C60">
        <w:lastRenderedPageBreak/>
        <w:t xml:space="preserve">het Franse recht vinden we ook een </w:t>
      </w:r>
      <w:r w:rsidR="00257C36" w:rsidRPr="002A0C60">
        <w:rPr>
          <w:i/>
        </w:rPr>
        <w:t>nantissement sur le fonds de commerce</w:t>
      </w:r>
      <w:r w:rsidR="00257C36" w:rsidRPr="002A0C60">
        <w:t xml:space="preserve">. Daarnaast bestaat ook nog een </w:t>
      </w:r>
      <w:r w:rsidR="00257C36" w:rsidRPr="002A0C60">
        <w:rPr>
          <w:i/>
        </w:rPr>
        <w:t>gage des stocks.</w:t>
      </w:r>
      <w:r w:rsidR="00257C36" w:rsidRPr="002A0C60">
        <w:rPr>
          <w:rStyle w:val="Voetnootmarkering"/>
        </w:rPr>
        <w:footnoteReference w:id="119"/>
      </w:r>
    </w:p>
    <w:p w14:paraId="57D924B8" w14:textId="77777777" w:rsidR="00257C36" w:rsidRPr="002A0C60" w:rsidRDefault="00257C36" w:rsidP="005E187E">
      <w:pPr>
        <w:pStyle w:val="Nummer"/>
        <w:numPr>
          <w:ilvl w:val="0"/>
          <w:numId w:val="0"/>
        </w:numPr>
        <w:spacing w:after="200" w:line="360" w:lineRule="auto"/>
      </w:pPr>
      <w:r w:rsidRPr="002A0C60">
        <w:t>Omdat het handelspand en het landbouwvoorrecht al een registerpand waren voor de hervorming is het uiterst interessant om te zien hoe de wetgever al sinds de 19</w:t>
      </w:r>
      <w:r w:rsidRPr="002A0C60">
        <w:rPr>
          <w:vertAlign w:val="superscript"/>
        </w:rPr>
        <w:t>e</w:t>
      </w:r>
      <w:r w:rsidRPr="002A0C60">
        <w:t xml:space="preserve"> eeuw omging met registerpanden. Een bespreking van deze registerpanden zal duidelijk maken waar de wetgever afweek bij de opstelling van de nieuwe Pandwet.</w:t>
      </w:r>
    </w:p>
    <w:p w14:paraId="40627D63" w14:textId="77777777" w:rsidR="00257C36" w:rsidRPr="002A0C60" w:rsidRDefault="00257C36" w:rsidP="005E187E">
      <w:pPr>
        <w:pStyle w:val="Kop4"/>
        <w:spacing w:line="360" w:lineRule="auto"/>
      </w:pPr>
      <w:bookmarkStart w:id="34" w:name="_Toc449982201"/>
      <w:r w:rsidRPr="002A0C60">
        <w:t>Pand op een handelszaak</w:t>
      </w:r>
      <w:bookmarkEnd w:id="34"/>
    </w:p>
    <w:p w14:paraId="1D7110F0" w14:textId="77777777" w:rsidR="00257C36" w:rsidRPr="002A0C60" w:rsidRDefault="00257C36" w:rsidP="005E187E">
      <w:pPr>
        <w:pStyle w:val="Kop5"/>
        <w:spacing w:line="360" w:lineRule="auto"/>
      </w:pPr>
      <w:bookmarkStart w:id="35" w:name="_Toc449982202"/>
      <w:r w:rsidRPr="002A0C60">
        <w:t>Tegenwerpelijkheid door registratie</w:t>
      </w:r>
      <w:bookmarkEnd w:id="35"/>
      <w:r w:rsidRPr="002A0C60">
        <w:t xml:space="preserve"> </w:t>
      </w:r>
    </w:p>
    <w:p w14:paraId="15A39617" w14:textId="77777777" w:rsidR="00257C36" w:rsidRPr="002A0C60" w:rsidRDefault="00257C36" w:rsidP="005E187E">
      <w:pPr>
        <w:pStyle w:val="Nummer"/>
        <w:spacing w:after="200" w:line="360" w:lineRule="auto"/>
      </w:pPr>
      <w:r w:rsidRPr="002A0C60">
        <w:rPr>
          <w:smallCaps/>
        </w:rPr>
        <w:t xml:space="preserve">Registerpand - </w:t>
      </w:r>
      <w:r w:rsidRPr="002A0C60">
        <w:t>Het pand op een handelszaak wordt beheerst door de Wet 25 oktober 1919.</w:t>
      </w:r>
      <w:r w:rsidRPr="002A0C60">
        <w:rPr>
          <w:rStyle w:val="Voetnootmarkering"/>
        </w:rPr>
        <w:footnoteReference w:id="120"/>
      </w:r>
      <w:r w:rsidRPr="002A0C60">
        <w:t xml:space="preserve"> Het pand op een handelszaak is een registerpand, er is geen buitenbezitstelling noodzakelijk voor de geldige totstandkoming. Om de publiciteit tegenover derden te </w:t>
      </w:r>
      <w:r w:rsidRPr="002A0C60">
        <w:lastRenderedPageBreak/>
        <w:t>verzekeren wordt wel voorzien in een registratie op het hypotheekkantoor in het arrondissement waarbinnen de handelszaak gelegen is.</w:t>
      </w:r>
      <w:r w:rsidRPr="002A0C60">
        <w:rPr>
          <w:rStyle w:val="Voetnootmarkering"/>
        </w:rPr>
        <w:t xml:space="preserve"> </w:t>
      </w:r>
      <w:r w:rsidRPr="002A0C60">
        <w:rPr>
          <w:rStyle w:val="Voetnootmarkering"/>
        </w:rPr>
        <w:footnoteReference w:id="121"/>
      </w:r>
    </w:p>
    <w:p w14:paraId="3FC1AE19" w14:textId="6A8B170E" w:rsidR="00257C36" w:rsidRPr="002A0C60" w:rsidRDefault="00257C36" w:rsidP="005E187E">
      <w:pPr>
        <w:pStyle w:val="Nummer"/>
        <w:numPr>
          <w:ilvl w:val="0"/>
          <w:numId w:val="0"/>
        </w:numPr>
        <w:spacing w:after="200" w:line="360" w:lineRule="auto"/>
      </w:pPr>
      <w:r w:rsidRPr="002A0C60">
        <w:t>In het Franse recht kan ook al sinds de 19</w:t>
      </w:r>
      <w:r w:rsidRPr="002A0C60">
        <w:rPr>
          <w:vertAlign w:val="superscript"/>
        </w:rPr>
        <w:t>e</w:t>
      </w:r>
      <w:r w:rsidRPr="002A0C60">
        <w:t xml:space="preserve"> eeuw de handelszaak in pand worden gegeven. Het is echter pas sinds de hervorming in 1909 dat het mogelijk is om een pand te vestigen zonder buitenbezitstelling.</w:t>
      </w:r>
      <w:r w:rsidRPr="002A0C60">
        <w:rPr>
          <w:rStyle w:val="Voetnootmarkering"/>
        </w:rPr>
        <w:footnoteReference w:id="122"/>
      </w:r>
      <w:r w:rsidRPr="002A0C60">
        <w:t xml:space="preserve"> Met de hervorming in 2006 voerde de Franse wetgever een </w:t>
      </w:r>
      <w:r w:rsidRPr="002A0C60">
        <w:rPr>
          <w:i/>
        </w:rPr>
        <w:t xml:space="preserve">gage des stocks </w:t>
      </w:r>
      <w:r w:rsidR="00EB528C">
        <w:t>in</w:t>
      </w:r>
      <w:r w:rsidRPr="002A0C60">
        <w:rPr>
          <w:i/>
        </w:rPr>
        <w:t xml:space="preserve">, </w:t>
      </w:r>
      <w:r w:rsidRPr="002A0C60">
        <w:t>dit pand kan zowel met als zonder buitenbezitstelling gevestigd worden.  Het nut is van deze invoering is betwistbaar aangezien dit eigenlijk een overlapping vormt met het hervormde pand zonder buitenbezitstelling van de hervorming.</w:t>
      </w:r>
      <w:r w:rsidRPr="002A0C60">
        <w:rPr>
          <w:rStyle w:val="Voetnootmarkering"/>
        </w:rPr>
        <w:footnoteReference w:id="123"/>
      </w:r>
      <w:r w:rsidRPr="002A0C60">
        <w:t xml:space="preserve"> De voorraden kunnen niet </w:t>
      </w:r>
      <w:r w:rsidRPr="002A0C60">
        <w:lastRenderedPageBreak/>
        <w:t xml:space="preserve">in pand worden gegeven via een pand op de handelszaak, daarvoor moet beroep gedaan worden op een </w:t>
      </w:r>
      <w:r w:rsidRPr="002A0C60">
        <w:rPr>
          <w:i/>
        </w:rPr>
        <w:t>gage des stocks.</w:t>
      </w:r>
      <w:r w:rsidRPr="002A0C60">
        <w:rPr>
          <w:rStyle w:val="Voetnootmarkering"/>
        </w:rPr>
        <w:footnoteReference w:id="124"/>
      </w:r>
    </w:p>
    <w:p w14:paraId="436C1B22" w14:textId="03C7E22F" w:rsidR="00257C36" w:rsidRPr="002A0C60" w:rsidRDefault="00257C36" w:rsidP="005E187E">
      <w:pPr>
        <w:pStyle w:val="Nummer"/>
        <w:numPr>
          <w:ilvl w:val="0"/>
          <w:numId w:val="0"/>
        </w:numPr>
        <w:spacing w:after="200" w:line="360" w:lineRule="auto"/>
      </w:pPr>
      <w:r w:rsidRPr="002A0C60">
        <w:t xml:space="preserve">Zowel het pand op de handelszaak als het </w:t>
      </w:r>
      <w:r w:rsidRPr="002A0C60">
        <w:rPr>
          <w:i/>
        </w:rPr>
        <w:t xml:space="preserve">gage des stocks </w:t>
      </w:r>
      <w:r w:rsidRPr="002A0C60">
        <w:t>in het Franse recht heeft maar effect wanneer het ingeschreven is in een publiek register.</w:t>
      </w:r>
      <w:r w:rsidRPr="002A0C60">
        <w:rPr>
          <w:rStyle w:val="Voetnootmarkering"/>
        </w:rPr>
        <w:footnoteReference w:id="125"/>
      </w:r>
      <w:r w:rsidR="000E1E46" w:rsidRPr="002A0C60">
        <w:t xml:space="preserve"> </w:t>
      </w:r>
      <w:r w:rsidRPr="002A0C60">
        <w:t xml:space="preserve">In het Nederlandse recht echter wordt enkel een onderscheid gemaakt tussen een stil pandrecht en een vuistpandrecht. </w:t>
      </w:r>
    </w:p>
    <w:p w14:paraId="2559C28B" w14:textId="77777777" w:rsidR="00257C36" w:rsidRPr="002A0C60" w:rsidRDefault="00257C36" w:rsidP="007C3569">
      <w:pPr>
        <w:pStyle w:val="Nummer"/>
        <w:spacing w:after="200" w:line="360" w:lineRule="auto"/>
      </w:pPr>
      <w:r w:rsidRPr="002A0C60">
        <w:rPr>
          <w:smallCaps/>
        </w:rPr>
        <w:t xml:space="preserve">Ratio legis - </w:t>
      </w:r>
      <w:r w:rsidRPr="002A0C60">
        <w:t xml:space="preserve">Deze afwijkende regeling werd in 1919 door de Belgische wetgever in het leven geroepen omdat de handelszaak vaak het enige vermogensbestanddeel was uit het vermogen van handelaars waarop een waarborg kon worden gevestigd. Voor een handelaar is het onmogelijk om nog zaken te doen wanneer hij zijn handelszaak buiten bezit moet stellen. Dezelfde </w:t>
      </w:r>
      <w:r w:rsidRPr="002A0C60">
        <w:rPr>
          <w:i/>
        </w:rPr>
        <w:t xml:space="preserve">ratio legis </w:t>
      </w:r>
      <w:r w:rsidRPr="002A0C60">
        <w:t>vinden we terug in de Memorie van Toelichting van de Wet van 11 juli 2013.</w:t>
      </w:r>
      <w:r w:rsidRPr="002A0C60">
        <w:rPr>
          <w:rStyle w:val="Voetnootmarkering"/>
        </w:rPr>
        <w:footnoteReference w:id="126"/>
      </w:r>
    </w:p>
    <w:p w14:paraId="7F890424" w14:textId="77777777" w:rsidR="00257C36" w:rsidRPr="002A0C60" w:rsidRDefault="00257C36" w:rsidP="005E187E">
      <w:pPr>
        <w:pStyle w:val="Kop5"/>
        <w:spacing w:line="360" w:lineRule="auto"/>
      </w:pPr>
      <w:bookmarkStart w:id="36" w:name="_Toc449982203"/>
      <w:r w:rsidRPr="002A0C60">
        <w:t>Geen bescherming voor pandhouder op basis van artikel 2279 Burgerlijk Wetboek</w:t>
      </w:r>
      <w:bookmarkEnd w:id="36"/>
    </w:p>
    <w:p w14:paraId="4670DB61" w14:textId="75007170" w:rsidR="00257C36" w:rsidRPr="002A0C60" w:rsidRDefault="00257C36" w:rsidP="005E187E">
      <w:pPr>
        <w:pStyle w:val="Nummer"/>
        <w:spacing w:after="200" w:line="360" w:lineRule="auto"/>
      </w:pPr>
      <w:r w:rsidRPr="002A0C60">
        <w:rPr>
          <w:smallCaps/>
        </w:rPr>
        <w:t xml:space="preserve">Geen beroep op artikel 2279 BW - </w:t>
      </w:r>
      <w:r w:rsidRPr="002A0C60">
        <w:t xml:space="preserve">Het is mogelijk dat hoewel de pandgever eigenaar is van de handelszaak hij geen eigenaar </w:t>
      </w:r>
      <w:r w:rsidR="00EB528C">
        <w:t xml:space="preserve">is </w:t>
      </w:r>
      <w:r w:rsidRPr="002A0C60">
        <w:t xml:space="preserve">bepaalde bestanddelen ervan (bv. omdat deze gekocht zijn of aangekocht onder eigendomsvoorbehoud). De pandhouder van de handelszaak kan in </w:t>
      </w:r>
      <w:r w:rsidRPr="002A0C60">
        <w:lastRenderedPageBreak/>
        <w:t>dit geval geen beroep doen op de bescherming van artikel 2279 Burgerlijk Wetboek. Hoewel de inschrijving in het register dienstdoet als publiciteitsvorm, gaat dit niet om een bezit in de zin van artikel 2279 Burgerlijk Wetboek. Dit wordt verantwoord door het feit dat de rechten van een houder van een ouder recht niet worden bedreigd.</w:t>
      </w:r>
      <w:r w:rsidRPr="002A0C60">
        <w:rPr>
          <w:rStyle w:val="Voetnootmarkering"/>
        </w:rPr>
        <w:footnoteReference w:id="127"/>
      </w:r>
      <w:r w:rsidRPr="002A0C60">
        <w:t xml:space="preserve"> Ook de Franse pandhouder van een </w:t>
      </w:r>
      <w:r w:rsidRPr="002A0C60">
        <w:rPr>
          <w:i/>
        </w:rPr>
        <w:t xml:space="preserve">nantenissement de fonds de commerce </w:t>
      </w:r>
      <w:r w:rsidRPr="002A0C60">
        <w:t>kan geen beroep doen op artikel 2276 Code Civil français. Artikel 2276 heeft enkel betrekking op lichamelijke roerende goederen en niet op universaliteiten zoals een handelszaak.</w:t>
      </w:r>
      <w:r w:rsidRPr="002A0C60">
        <w:rPr>
          <w:rStyle w:val="Voetnootmarkering"/>
        </w:rPr>
        <w:footnoteReference w:id="128"/>
      </w:r>
    </w:p>
    <w:p w14:paraId="729CED47" w14:textId="76DD0D16" w:rsidR="00257C36" w:rsidRPr="002A0C60" w:rsidRDefault="00257C36" w:rsidP="007C3569">
      <w:pPr>
        <w:pStyle w:val="Nummer"/>
        <w:spacing w:after="200" w:line="360" w:lineRule="auto"/>
      </w:pPr>
      <w:r w:rsidRPr="002A0C60">
        <w:rPr>
          <w:smallCaps/>
        </w:rPr>
        <w:t xml:space="preserve">Wel beroep op vertrouwensleer - </w:t>
      </w:r>
      <w:r w:rsidRPr="002A0C60">
        <w:t xml:space="preserve">De pandhouder kan wel een beroep op de vertrouwensleer. Opdat hij dat kan doen is het noodzakelijk dat hij kan aantonen dat hij </w:t>
      </w:r>
      <w:r w:rsidR="000C5FCC">
        <w:t xml:space="preserve">er </w:t>
      </w:r>
      <w:r w:rsidRPr="002A0C60">
        <w:t>ten tijde van de pandvestiging gezien alle omstandigheden van kon uitgaan dat zij eigendom van de pandgever waren. Een professionele kredietgever zal meestal geacht worden op de hoogte te zijn van de werkelijke situatie.</w:t>
      </w:r>
      <w:r w:rsidRPr="002A0C60">
        <w:rPr>
          <w:rStyle w:val="Voetnootmarkering"/>
        </w:rPr>
        <w:footnoteReference w:id="129"/>
      </w:r>
    </w:p>
    <w:p w14:paraId="0947C338" w14:textId="39F13850" w:rsidR="00257C36" w:rsidRPr="002A0C60" w:rsidRDefault="00F63ECF" w:rsidP="00F63ECF">
      <w:pPr>
        <w:pStyle w:val="Nummer"/>
        <w:spacing w:after="200" w:line="360" w:lineRule="auto"/>
      </w:pPr>
      <w:r w:rsidRPr="002A0C60">
        <w:rPr>
          <w:smallCaps/>
        </w:rPr>
        <w:t xml:space="preserve">Voorrang laatst tot stand gekomen pandrecht - </w:t>
      </w:r>
      <w:r w:rsidR="00257C36" w:rsidRPr="002A0C60">
        <w:t>Wanneer een pandrecht wordt gevestigd op een handelszaak die reeds in pand is gegeven neemt een gedeelte van rechtsleer aan dat voorrang moet worden verleend aan het laatst tot stand gekomen pandrecht op basis van artikel 2279 BW. Dit wordt gemotiveerd door de stelling dat het verpanden van voorraden past in het normaal beheer van de handelszaak. En dit rechtvaardigt de goede trouw van de tweede pandhouder, hoewel het eerste pandrecht aan publiciteit was onderworpen. Volgens de meerderheidstrekking dient dit conflict echter te worden opgelost aan de hand van het anterioriteitsbeginsel.</w:t>
      </w:r>
      <w:r w:rsidR="00257C36" w:rsidRPr="002A0C60">
        <w:rPr>
          <w:rStyle w:val="Voetnootmarkering"/>
        </w:rPr>
        <w:footnoteReference w:id="130"/>
      </w:r>
    </w:p>
    <w:p w14:paraId="2118E9BA" w14:textId="77777777" w:rsidR="00257C36" w:rsidRPr="002A0C60" w:rsidRDefault="00257C36" w:rsidP="005E187E">
      <w:pPr>
        <w:pStyle w:val="Kop4"/>
        <w:spacing w:line="360" w:lineRule="auto"/>
      </w:pPr>
      <w:bookmarkStart w:id="37" w:name="_Toc449982204"/>
      <w:r w:rsidRPr="002A0C60">
        <w:lastRenderedPageBreak/>
        <w:t>Landbouwvoorrecht</w:t>
      </w:r>
      <w:bookmarkEnd w:id="37"/>
      <w:r w:rsidRPr="002A0C60">
        <w:t xml:space="preserve"> </w:t>
      </w:r>
    </w:p>
    <w:p w14:paraId="53CB48C1" w14:textId="2B623AA6" w:rsidR="00257C36" w:rsidRPr="002A0C60" w:rsidRDefault="00F63ECF" w:rsidP="005E187E">
      <w:pPr>
        <w:pStyle w:val="Nummer"/>
        <w:spacing w:after="200" w:line="360" w:lineRule="auto"/>
      </w:pPr>
      <w:r w:rsidRPr="002A0C60">
        <w:rPr>
          <w:smallCaps/>
        </w:rPr>
        <w:t xml:space="preserve">Begrip landbouwvoorrecht - </w:t>
      </w:r>
      <w:r w:rsidR="00257C36" w:rsidRPr="002A0C60">
        <w:t>Het landbouwvoorrecht wordt geregeld door de wet van 15 april 1884. Als zekerheid voor een landbouwlening wordt aan de lener een voorrecht gegeven op alles wat het hof stoffeert, de vruchten van de oogst van het jaar en alles wat tot uitbating dienstig is. Opdat de landbouwer zijn krediet kan terugbetalen zal hij de goederen waarop het voorrecht rust kunnen blijven aanwenden. Daardoor blij</w:t>
      </w:r>
      <w:r w:rsidR="000C5FCC">
        <w:t>ven deze ook in zijn bezit. Aan</w:t>
      </w:r>
      <w:r w:rsidR="00257C36" w:rsidRPr="002A0C60">
        <w:t>gezien geen buitenbezitstelling plaatsvindt moet een akte worden openbaar gemaakt door inschrijving.</w:t>
      </w:r>
      <w:r w:rsidR="00257C36" w:rsidRPr="002A0C60">
        <w:rPr>
          <w:rStyle w:val="Voetnootmarkering"/>
        </w:rPr>
        <w:footnoteReference w:id="131"/>
      </w:r>
      <w:r w:rsidR="00257C36" w:rsidRPr="002A0C60">
        <w:t xml:space="preserve"> Hier kan een duidelijke parallel gezien worden met het pand op de handelszaak. Dit voorrecht wordt dan ook eerder als een pand zonder buitenbezitstelling beschouwd dan als een voorrecht in de strikte zin van het woord.</w:t>
      </w:r>
      <w:r w:rsidR="00257C36" w:rsidRPr="002A0C60">
        <w:rPr>
          <w:rStyle w:val="Voetnootmarkering"/>
        </w:rPr>
        <w:footnoteReference w:id="132"/>
      </w:r>
    </w:p>
    <w:p w14:paraId="38B2F931" w14:textId="559B3BC9" w:rsidR="00257C36" w:rsidRPr="002A0C60" w:rsidRDefault="00F63ECF" w:rsidP="00F63ECF">
      <w:pPr>
        <w:pStyle w:val="Nummer"/>
        <w:spacing w:after="200" w:line="360" w:lineRule="auto"/>
      </w:pPr>
      <w:r w:rsidRPr="002A0C60">
        <w:rPr>
          <w:smallCaps/>
        </w:rPr>
        <w:t xml:space="preserve">Bescherming artikel 2279 BW - </w:t>
      </w:r>
      <w:r w:rsidR="00257C36" w:rsidRPr="002A0C60">
        <w:t>De houder van een landbouwvoorrecht wordt wel beschermd door artikel 2279 Burgerlijk Wetboek. Het landbouwvoorrecht wordt namelijk gelijkgesteld met het voorrecht van de verhuurder en van de verpachter. In principe zou de houder van een landbouwvoor</w:t>
      </w:r>
      <w:r w:rsidR="000C5FCC">
        <w:t>r</w:t>
      </w:r>
      <w:r w:rsidR="00257C36" w:rsidRPr="002A0C60">
        <w:t xml:space="preserve">echt of de verhuurder </w:t>
      </w:r>
      <w:r w:rsidR="000C5FCC">
        <w:t>zich nooit</w:t>
      </w:r>
      <w:r w:rsidR="00257C36" w:rsidRPr="002A0C60">
        <w:t xml:space="preserve"> kunnen beroepen op de derdenbescherming van artikel 2279 BW zonder dat hij effectief in het bezit gesteld is van het goed (cf. pand op de handelszaak). Een vestiging </w:t>
      </w:r>
      <w:r w:rsidR="00257C36" w:rsidRPr="002A0C60">
        <w:rPr>
          <w:i/>
        </w:rPr>
        <w:t>constitutuo possessorio</w:t>
      </w:r>
      <w:r w:rsidR="00257C36" w:rsidRPr="002A0C60">
        <w:t xml:space="preserve"> zal hiervoor niet volstaan. Van dit principe wordt echter afgeweken in het voordeel van de verhuurder (en dus ook voor de houder van het landbouwvoorrecht). Hier creëert de rechtspraak een inversie van </w:t>
      </w:r>
      <w:r w:rsidR="00257C36" w:rsidRPr="002A0C60">
        <w:lastRenderedPageBreak/>
        <w:t>titel waardoor de houder van het landbouwvoorrecht zijn voorrecht kan uitoef</w:t>
      </w:r>
      <w:r w:rsidR="006B2DA0" w:rsidRPr="002A0C60">
        <w:t>enen op de goederen van derden.</w:t>
      </w:r>
      <w:r w:rsidR="00257C36" w:rsidRPr="002A0C60">
        <w:rPr>
          <w:rStyle w:val="Voetnootmarkering"/>
        </w:rPr>
        <w:footnoteReference w:id="133"/>
      </w:r>
      <w:r w:rsidR="009B033F" w:rsidRPr="002A0C60">
        <w:t xml:space="preserve"> </w:t>
      </w:r>
    </w:p>
    <w:p w14:paraId="450EA7EA" w14:textId="77777777" w:rsidR="00257C36" w:rsidRPr="002A0C60" w:rsidRDefault="00257C36" w:rsidP="005E187E">
      <w:pPr>
        <w:pStyle w:val="Nummer"/>
        <w:numPr>
          <w:ilvl w:val="0"/>
          <w:numId w:val="0"/>
        </w:numPr>
        <w:spacing w:after="200" w:line="360" w:lineRule="auto"/>
      </w:pPr>
      <w:r w:rsidRPr="002A0C60">
        <w:t xml:space="preserve">In het Franse recht werd het juridisch statuut van het pand op de handelszaak in 2006 getransponeerd op het Franse equivalent van het landbouwvoorrecht, het </w:t>
      </w:r>
      <w:r w:rsidRPr="002A0C60">
        <w:rPr>
          <w:i/>
        </w:rPr>
        <w:t>nantissement du fonds agricole.</w:t>
      </w:r>
      <w:r w:rsidRPr="002A0C60">
        <w:rPr>
          <w:rStyle w:val="Voetnootmarkering"/>
        </w:rPr>
        <w:footnoteReference w:id="134"/>
      </w:r>
      <w:r w:rsidRPr="002A0C60">
        <w:rPr>
          <w:i/>
        </w:rPr>
        <w:t xml:space="preserve"> </w:t>
      </w:r>
    </w:p>
    <w:p w14:paraId="5E4C910D" w14:textId="77777777" w:rsidR="00257C36" w:rsidRPr="002A0C60" w:rsidRDefault="00257C36" w:rsidP="005E187E">
      <w:pPr>
        <w:pStyle w:val="Kop2"/>
        <w:spacing w:after="200" w:line="360" w:lineRule="auto"/>
      </w:pPr>
      <w:bookmarkStart w:id="38" w:name="_Toc449982205"/>
      <w:r w:rsidRPr="002A0C60">
        <w:t>bescherming van de verkrijger te goeder trouw</w:t>
      </w:r>
      <w:bookmarkEnd w:id="38"/>
    </w:p>
    <w:p w14:paraId="3A657FC8" w14:textId="257842B4" w:rsidR="00257C36" w:rsidRPr="002A0C60" w:rsidRDefault="00257C36" w:rsidP="005E187E">
      <w:pPr>
        <w:pStyle w:val="Nummer"/>
        <w:numPr>
          <w:ilvl w:val="0"/>
          <w:numId w:val="0"/>
        </w:numPr>
        <w:spacing w:after="200" w:line="360" w:lineRule="auto"/>
      </w:pPr>
      <w:r w:rsidRPr="002A0C60">
        <w:t>In wat volgt wordt onderzocht wat de gevolgen zijn voor het pandrecht en voor de derdeverkrijger wanneer een goed dat in pand werd gegeven vervreemd wordt. Aangezien in het huidige recht enkel een pand zonder buitenbezitstelling mogelijk is, zal het de pandhouder zijn die het goed moet vervreemden aan een derde-verkrijger. De vraag die moet gesteld worden is of deze derde-verkrijger een beroep zal kunnen doen op de bescherming van artikel 2279 Burgerlijk Wetboek.</w:t>
      </w:r>
      <w:r w:rsidRPr="002A0C60">
        <w:rPr>
          <w:rStyle w:val="Voetnootmarkering"/>
        </w:rPr>
        <w:footnoteReference w:id="135"/>
      </w:r>
      <w:r w:rsidRPr="002A0C60">
        <w:t xml:space="preserve"> Aangezien de eigenaar het bezit over de zaak verliest door een pandovereenkomst, is er sprake van vrijwillig bezitsverlies en zal de derde-verkrijger meteen de revindicatievordering van de eigenaar kunnen tegenhouden met artikel 2279 Burgerlijk Wetboek (</w:t>
      </w:r>
      <w:r w:rsidRPr="002A0C60">
        <w:rPr>
          <w:i/>
        </w:rPr>
        <w:t xml:space="preserve">supra, </w:t>
      </w:r>
      <w:r w:rsidRPr="002A0C60">
        <w:t>nr.</w:t>
      </w:r>
      <w:r w:rsidR="00894B83">
        <w:t xml:space="preserve"> 8</w:t>
      </w:r>
      <w:r w:rsidRPr="002A0C60">
        <w:t>) Om de situatie wat te verduidelijken wordt deze geïllustreerd aan de hand van een voorbeeld.</w:t>
      </w:r>
    </w:p>
    <w:p w14:paraId="62E3F040" w14:textId="77777777" w:rsidR="00257C36" w:rsidRPr="002A0C60" w:rsidRDefault="00257C36" w:rsidP="005E187E">
      <w:pPr>
        <w:pStyle w:val="Nummer"/>
        <w:numPr>
          <w:ilvl w:val="0"/>
          <w:numId w:val="0"/>
        </w:numPr>
        <w:spacing w:after="200" w:line="360" w:lineRule="auto"/>
        <w:rPr>
          <w:sz w:val="20"/>
          <w:szCs w:val="20"/>
        </w:rPr>
      </w:pPr>
      <w:r w:rsidRPr="002A0C60">
        <w:rPr>
          <w:sz w:val="20"/>
          <w:szCs w:val="20"/>
          <w:u w:val="single"/>
        </w:rPr>
        <w:t>Voorbeeld:</w:t>
      </w:r>
      <w:r w:rsidRPr="002A0C60">
        <w:rPr>
          <w:sz w:val="20"/>
          <w:szCs w:val="20"/>
        </w:rPr>
        <w:t xml:space="preserve"> Een fabrikant A van tapijten geeft zijn weefmachines in pand aan een bank B. Opdat deze pandovereenkomst geldig tot komt, moet A deze weefmachines in het bezit van B stellen. B verkoopt deze machines echter aan een onwetende, andere fabrikant in tapijten C. In dit voorbeeld neemt A de positie in van werkelijke eigenaar, B de positie van onbevoegde vervreemder en C deze van derde-verkrijger (koper).</w:t>
      </w:r>
    </w:p>
    <w:p w14:paraId="5D84A3DC" w14:textId="77777777" w:rsidR="00257C36" w:rsidRPr="002A0C60" w:rsidRDefault="00257C36" w:rsidP="005E187E">
      <w:pPr>
        <w:pStyle w:val="Kop3"/>
        <w:spacing w:after="200" w:line="360" w:lineRule="auto"/>
      </w:pPr>
      <w:bookmarkStart w:id="39" w:name="_Toc449982206"/>
      <w:r w:rsidRPr="002A0C60">
        <w:lastRenderedPageBreak/>
        <w:t>Vuistpand</w:t>
      </w:r>
      <w:bookmarkEnd w:id="39"/>
      <w:r w:rsidRPr="002A0C60">
        <w:t xml:space="preserve"> </w:t>
      </w:r>
    </w:p>
    <w:p w14:paraId="2DFAF686" w14:textId="0277E4B9" w:rsidR="00003271" w:rsidRDefault="00257C36" w:rsidP="00310E5E">
      <w:pPr>
        <w:pStyle w:val="Nummer"/>
        <w:spacing w:line="360" w:lineRule="auto"/>
      </w:pPr>
      <w:r w:rsidRPr="002A0C60">
        <w:rPr>
          <w:smallCaps/>
        </w:rPr>
        <w:t xml:space="preserve">Nooit vervulling voorwaarden artikel 2279 Burgerlijk Wetboek - </w:t>
      </w:r>
      <w:r w:rsidRPr="002A0C60">
        <w:t>Een overeenkomst tot vestiging van een vuistpand is een zakelijk contract. Dit houdt in dat dit contract pas tot stand komt bij de overdracht van het goed dat in pand gegeven wordt. Wanneer de pandhouder de macht over de in pand gegeven zaken verliest, zal zijn voorrecht ook tenietgaan.</w:t>
      </w:r>
      <w:r w:rsidR="00E6743F" w:rsidRPr="002A0C60">
        <w:rPr>
          <w:rStyle w:val="Voetnootmarkering"/>
        </w:rPr>
        <w:footnoteReference w:id="136"/>
      </w:r>
      <w:r w:rsidR="00E6743F" w:rsidRPr="002A0C60">
        <w:t xml:space="preserve"> </w:t>
      </w:r>
      <w:r w:rsidRPr="002A0C60">
        <w:t xml:space="preserve">Draagt de pandhouder dit goed over aan een derde zal dit dus logischerwijze nooit gepaard gaan met een effectieve buitenbezitstelling, aangezien dit zijn </w:t>
      </w:r>
      <w:r w:rsidR="0094511A" w:rsidRPr="002A0C60">
        <w:t xml:space="preserve">pandrecht teniet zou doen. </w:t>
      </w:r>
      <w:r w:rsidRPr="002A0C60">
        <w:t>Een derde-verkrijger zal dus nooit aan de voorwaarde van bezit voldoen, waardoor een beroep op de bescherming van artikel 2279 Burgerlijk Wetboek niet mogelijk zal zijn, ongeacht zijn goede trouw. Verschaft de pandhouder toch effectief bezit aan de derde-verkrijger gaat zijn pandrecht teniet en verkrijgt deze derde het goed onbezwaard van het pandrecht en is een beroep op artikel 2279 Burgerlijk Wetboek niet nodig.</w:t>
      </w:r>
      <w:r w:rsidRPr="002A0C60">
        <w:rPr>
          <w:rStyle w:val="Voetnootmarkering"/>
        </w:rPr>
        <w:footnoteReference w:id="137"/>
      </w:r>
      <w:r w:rsidRPr="002A0C60">
        <w:t xml:space="preserve"> </w:t>
      </w:r>
      <w:r w:rsidR="00003271" w:rsidRPr="002A0C60">
        <w:t xml:space="preserve">In het Franse recht daarentegen </w:t>
      </w:r>
      <w:r w:rsidR="004064DF" w:rsidRPr="002A0C60">
        <w:t xml:space="preserve">is de buitenbezitstelling sinds de hervorming in 2006 geen bestaansvoorwaarde meer voor de pandovereenkomst, enkel een voorwaarde voor de tegenwerpelijkheid. Daarom is het wel mogelijk dat de </w:t>
      </w:r>
      <w:r w:rsidR="002A0C60" w:rsidRPr="002A0C60">
        <w:t>pandovereenkomst</w:t>
      </w:r>
      <w:r w:rsidR="004064DF" w:rsidRPr="002A0C60">
        <w:t xml:space="preserve"> blijft bestaan wanneer de pandhouder het bezit over het goed verliest. Een derde-verkrijger te goeder trouw zal in het Franse recht dus wel aan de voorwaarden van artikel </w:t>
      </w:r>
      <w:r w:rsidR="00D83700" w:rsidRPr="002A0C60">
        <w:t>2276 Code Civil français</w:t>
      </w:r>
      <w:r w:rsidR="004064DF" w:rsidRPr="002A0C60">
        <w:t xml:space="preserve"> kunnen voldoen.</w:t>
      </w:r>
      <w:r w:rsidR="004064DF" w:rsidRPr="002A0C60">
        <w:rPr>
          <w:rStyle w:val="Voetnootmarkering"/>
        </w:rPr>
        <w:footnoteReference w:id="138"/>
      </w:r>
      <w:r w:rsidR="004064DF" w:rsidRPr="002A0C60">
        <w:t xml:space="preserve"> </w:t>
      </w:r>
    </w:p>
    <w:p w14:paraId="4E7EBD1D" w14:textId="50536CA7" w:rsidR="007C3569" w:rsidRPr="002A0C60" w:rsidRDefault="007C3569" w:rsidP="007C3569">
      <w:pPr>
        <w:pStyle w:val="Nummer"/>
        <w:spacing w:line="360" w:lineRule="auto"/>
      </w:pPr>
      <w:r w:rsidRPr="002A0C60">
        <w:rPr>
          <w:smallCaps/>
        </w:rPr>
        <w:lastRenderedPageBreak/>
        <w:t xml:space="preserve">Wel beroep op artikel 3:86 Nieuw Burgerlijk Wetboek - </w:t>
      </w:r>
      <w:r w:rsidRPr="002A0C60">
        <w:t>Wanneer in het Nederlandse recht de pandgever het verpande goed vervreemdt zonder te vermelden dat op dit goed een pandrecht rust en terwijl hij niet tot vervreemding bevoegd was, zal in de regel het pandrecht op dit goed blijven rusten. De derde-verkrijger zal echter beroep kunnen doen op artikel 3:86 lid Nieuw Burgerlijk Wetboek. Voldoet hij aan de voorwaarden (</w:t>
      </w:r>
      <w:r w:rsidRPr="002A0C60">
        <w:rPr>
          <w:i/>
        </w:rPr>
        <w:t>supra</w:t>
      </w:r>
      <w:r w:rsidR="00894B83">
        <w:rPr>
          <w:i/>
        </w:rPr>
        <w:t>,</w:t>
      </w:r>
      <w:r w:rsidRPr="002A0C60">
        <w:rPr>
          <w:i/>
        </w:rPr>
        <w:t xml:space="preserve"> </w:t>
      </w:r>
      <w:r w:rsidRPr="002A0C60">
        <w:t>nr.</w:t>
      </w:r>
      <w:r w:rsidR="00894B83">
        <w:t xml:space="preserve"> 12</w:t>
      </w:r>
      <w:r w:rsidRPr="002A0C60">
        <w:t>) dan zal hij het goed onbezwaard van het pandrecht verkrijgen. Dit houdt in dat hij op het tijdstip van de vestiging van het pandrecht te goeder trouw was in de zin van artikel 3:11 Nieuw Burgerlijk Wetboek.</w:t>
      </w:r>
      <w:r w:rsidRPr="002A0C60">
        <w:rPr>
          <w:rStyle w:val="Voetnootmarkering"/>
        </w:rPr>
        <w:footnoteReference w:id="139"/>
      </w:r>
      <w:r>
        <w:t xml:space="preserve"> </w:t>
      </w:r>
    </w:p>
    <w:p w14:paraId="413B50E3" w14:textId="2EDA03E7" w:rsidR="00257C36" w:rsidRPr="002A0C60" w:rsidRDefault="00257C36" w:rsidP="007C3569">
      <w:pPr>
        <w:pStyle w:val="Nummer"/>
        <w:spacing w:line="360" w:lineRule="auto"/>
      </w:pPr>
      <w:r w:rsidRPr="002A0C60">
        <w:rPr>
          <w:smallCaps/>
        </w:rPr>
        <w:t xml:space="preserve">Geen behoefte aan een volgrecht - </w:t>
      </w:r>
      <w:r w:rsidRPr="002A0C60">
        <w:t>Een vuistpandrecht heeft ook helemaal geen behoefte aan een volgrecht. Het is voldoende dat</w:t>
      </w:r>
      <w:r w:rsidR="003101BA" w:rsidRPr="002A0C60">
        <w:t xml:space="preserve"> het</w:t>
      </w:r>
      <w:r w:rsidRPr="002A0C60">
        <w:t xml:space="preserve"> recht van de derdeverkrijger niet tegenwerpelijk is aan de pandhouder. Hier kan enkel worden gesproken van een atypisch volgrecht. Een derde krijgt de goederen handen, de pandhouder kan vervolgens zijn rechten uitoefenen op dat goed dat zich in het vermogen van deze derde bevindt. </w:t>
      </w:r>
      <w:r w:rsidR="0094511A" w:rsidRPr="002A0C60">
        <w:t xml:space="preserve">De detentie van het goed is echter onveranderd gebleven. </w:t>
      </w:r>
      <w:r w:rsidRPr="002A0C60">
        <w:t>Dit atypische volgrecht vormt ook de verklaring waarom het toegestaan is om het goed te verkopen.</w:t>
      </w:r>
      <w:r w:rsidRPr="002A0C60">
        <w:rPr>
          <w:rStyle w:val="Voetnootmarkering"/>
        </w:rPr>
        <w:footnoteReference w:id="140"/>
      </w:r>
    </w:p>
    <w:p w14:paraId="220B3421" w14:textId="77777777" w:rsidR="00257C36" w:rsidRPr="002A0C60" w:rsidRDefault="00257C36" w:rsidP="005E187E">
      <w:pPr>
        <w:pStyle w:val="Nummer"/>
        <w:spacing w:after="200" w:line="360" w:lineRule="auto"/>
      </w:pPr>
      <w:r w:rsidRPr="002A0C60">
        <w:rPr>
          <w:smallCaps/>
        </w:rPr>
        <w:t xml:space="preserve">Handhaving pandrecht - </w:t>
      </w:r>
      <w:r w:rsidRPr="002A0C60">
        <w:t>Gaat het pandrecht op de zaak zelf verloren dan is het mogelijk dat het pandrecht als zakelijk recht wel gehandhaafd blijft op andere goederen. Dit kan door zakelijke subrogatie of op andere goederen van dezelfde soort door een wisselpand.</w:t>
      </w:r>
      <w:r w:rsidRPr="002A0C60">
        <w:rPr>
          <w:rStyle w:val="Voetnootmarkering"/>
        </w:rPr>
        <w:footnoteReference w:id="141"/>
      </w:r>
    </w:p>
    <w:p w14:paraId="22DBA6D7" w14:textId="77777777" w:rsidR="00257C36" w:rsidRPr="002A0C60" w:rsidRDefault="00257C36" w:rsidP="005E187E">
      <w:pPr>
        <w:pStyle w:val="Kop3"/>
        <w:spacing w:after="200" w:line="360" w:lineRule="auto"/>
      </w:pPr>
      <w:bookmarkStart w:id="40" w:name="_Toc449982207"/>
      <w:r w:rsidRPr="002A0C60">
        <w:lastRenderedPageBreak/>
        <w:t>pand op de handelszaak en landbouwvoorrecht</w:t>
      </w:r>
      <w:bookmarkEnd w:id="40"/>
    </w:p>
    <w:p w14:paraId="5F9C3934" w14:textId="77777777" w:rsidR="00257C36" w:rsidRPr="002A0C60" w:rsidRDefault="00257C36" w:rsidP="005E187E">
      <w:pPr>
        <w:pStyle w:val="Kop4"/>
        <w:spacing w:line="360" w:lineRule="auto"/>
      </w:pPr>
      <w:bookmarkStart w:id="41" w:name="_Toc449982208"/>
      <w:r w:rsidRPr="002A0C60">
        <w:t>Pand op de handelszaak</w:t>
      </w:r>
      <w:bookmarkEnd w:id="41"/>
    </w:p>
    <w:p w14:paraId="074B7B73" w14:textId="77777777" w:rsidR="00257C36" w:rsidRPr="002A0C60" w:rsidRDefault="00257C36" w:rsidP="005E187E">
      <w:pPr>
        <w:pStyle w:val="Kop5"/>
        <w:spacing w:line="360" w:lineRule="auto"/>
      </w:pPr>
      <w:bookmarkStart w:id="42" w:name="_Toc449982209"/>
      <w:r w:rsidRPr="002A0C60">
        <w:t>Beperkt volgrecht</w:t>
      </w:r>
      <w:bookmarkEnd w:id="42"/>
      <w:r w:rsidRPr="002A0C60">
        <w:t xml:space="preserve"> </w:t>
      </w:r>
    </w:p>
    <w:p w14:paraId="75CBB268" w14:textId="77777777" w:rsidR="00257C36" w:rsidRPr="002A0C60" w:rsidRDefault="00257C36" w:rsidP="005E187E">
      <w:pPr>
        <w:pStyle w:val="Kop6"/>
        <w:spacing w:line="360" w:lineRule="auto"/>
      </w:pPr>
      <w:bookmarkStart w:id="43" w:name="_Toc449982210"/>
      <w:r w:rsidRPr="002A0C60">
        <w:t>Artikel 11, II Wet Pand Handelszaak</w:t>
      </w:r>
      <w:bookmarkEnd w:id="43"/>
    </w:p>
    <w:p w14:paraId="22883280" w14:textId="77777777" w:rsidR="00257C36" w:rsidRPr="002A0C60" w:rsidRDefault="00257C36" w:rsidP="005E187E">
      <w:pPr>
        <w:pStyle w:val="Nummer"/>
        <w:spacing w:after="200" w:line="360" w:lineRule="auto"/>
      </w:pPr>
      <w:r w:rsidRPr="002A0C60">
        <w:rPr>
          <w:smallCaps/>
        </w:rPr>
        <w:t xml:space="preserve">Beperkt volgrecht – </w:t>
      </w:r>
      <w:r w:rsidRPr="002A0C60">
        <w:t>Aangezien voor een pand op een handelszaak geen buitenbezitstelling vereist is, is het noodzakelijk om een volgrecht toe te kennen aan de pandhouder. Voor het pand op de handelszaak ontstaat dit volgrecht door middel van artikel 11, II, eerste lid Wet Pand Handelszaak. De pandhouder krijgt hierdoor het recht om de grondstoffen, het materieel en de gereedschappen die zonder zijn toestemming verplaatst werden in beslag te nemen bij de derden waar ze zich bevinden wanneer hij dit terugvorderingsrecht uitoefent binnen de 6 maanden. Deze opsomming is niet limitatief.</w:t>
      </w:r>
      <w:r w:rsidRPr="002A0C60">
        <w:rPr>
          <w:rStyle w:val="Voetnootmarkering"/>
        </w:rPr>
        <w:footnoteReference w:id="142"/>
      </w:r>
      <w:r w:rsidRPr="002A0C60">
        <w:t xml:space="preserve"> Het volgrecht kan alleen uitgeoefend worden bij lichamelijke roerende goederen. Het volgrecht kan bijgevolg niet uitgeoefend worden op een verzekeringsportefeuille.</w:t>
      </w:r>
      <w:r w:rsidRPr="002A0C60">
        <w:rPr>
          <w:rStyle w:val="Voetnootmarkering"/>
        </w:rPr>
        <w:footnoteReference w:id="143"/>
      </w:r>
      <w:r w:rsidRPr="002A0C60">
        <w:t xml:space="preserve"> Zo krijgt de pandhouder een specifiek en beperkt volgrecht.  Dit volgrecht toont de onbevoegdheid van de pandgever aan om onbezwaard over deze goederen te beschikken.</w:t>
      </w:r>
      <w:r w:rsidRPr="002A0C60">
        <w:rPr>
          <w:rStyle w:val="Voetnootmarkering"/>
        </w:rPr>
        <w:footnoteReference w:id="144"/>
      </w:r>
      <w:r w:rsidRPr="002A0C60">
        <w:t xml:space="preserve"> In het Franse recht </w:t>
      </w:r>
      <w:r w:rsidRPr="002A0C60">
        <w:lastRenderedPageBreak/>
        <w:t xml:space="preserve">bestaat geen gelijkaardig volgrecht voor de </w:t>
      </w:r>
      <w:r w:rsidRPr="002A0C60">
        <w:rPr>
          <w:i/>
        </w:rPr>
        <w:t xml:space="preserve">gage des stocks. </w:t>
      </w:r>
      <w:r w:rsidRPr="002A0C60">
        <w:t xml:space="preserve">De </w:t>
      </w:r>
      <w:r w:rsidRPr="002A0C60">
        <w:rPr>
          <w:i/>
        </w:rPr>
        <w:t xml:space="preserve">Code de Commerce </w:t>
      </w:r>
      <w:r w:rsidRPr="002A0C60">
        <w:t>erkent impliciet dat het voorrecht van de pandhouder de vervreemde voorraden niet volgt.</w:t>
      </w:r>
      <w:r w:rsidRPr="002A0C60">
        <w:rPr>
          <w:rStyle w:val="Voetnootmarkering"/>
        </w:rPr>
        <w:footnoteReference w:id="145"/>
      </w:r>
      <w:r w:rsidRPr="002A0C60">
        <w:t xml:space="preserve"> Het </w:t>
      </w:r>
      <w:r w:rsidRPr="002A0C60">
        <w:rPr>
          <w:i/>
        </w:rPr>
        <w:t>fonds de commerce</w:t>
      </w:r>
      <w:r w:rsidRPr="002A0C60">
        <w:t xml:space="preserve"> is echter wel uitgerust met een volgrecht.</w:t>
      </w:r>
      <w:r w:rsidRPr="002A0C60">
        <w:rPr>
          <w:rStyle w:val="Voetnootmarkering"/>
        </w:rPr>
        <w:footnoteReference w:id="146"/>
      </w:r>
    </w:p>
    <w:p w14:paraId="5E060F92" w14:textId="77777777" w:rsidR="00257C36" w:rsidRPr="002A0C60" w:rsidRDefault="00257C36" w:rsidP="005E187E">
      <w:pPr>
        <w:pStyle w:val="Kop6"/>
        <w:spacing w:line="360" w:lineRule="auto"/>
      </w:pPr>
      <w:bookmarkStart w:id="44" w:name="_Toc449982211"/>
      <w:r w:rsidRPr="002A0C60">
        <w:t>Bescherming derde-verkrijger te goeder trouw</w:t>
      </w:r>
      <w:bookmarkEnd w:id="44"/>
      <w:r w:rsidRPr="002A0C60">
        <w:t xml:space="preserve"> </w:t>
      </w:r>
    </w:p>
    <w:p w14:paraId="1E2560EB" w14:textId="77777777" w:rsidR="00257C36" w:rsidRPr="002A0C60" w:rsidRDefault="00257C36" w:rsidP="005E187E">
      <w:pPr>
        <w:pStyle w:val="Nummer"/>
        <w:spacing w:after="200" w:line="360" w:lineRule="auto"/>
      </w:pPr>
      <w:r w:rsidRPr="002A0C60">
        <w:rPr>
          <w:smallCaps/>
        </w:rPr>
        <w:t xml:space="preserve">Artikel 2279 Burgerlijk Wetboek – </w:t>
      </w:r>
      <w:r w:rsidRPr="002A0C60">
        <w:t>Een derde-verkrijger die goederen verkrijgt van de pandgever waarop het volgrecht betrekking heeft kan echter beroep doen op de bescherming van artikel 2279 Burgerlijk Wetboek.</w:t>
      </w:r>
      <w:r w:rsidRPr="002A0C60">
        <w:rPr>
          <w:rStyle w:val="Voetnootmarkering"/>
        </w:rPr>
        <w:footnoteReference w:id="147"/>
      </w:r>
      <w:r w:rsidRPr="002A0C60">
        <w:t xml:space="preserve"> Dit is een ernstige beperking van het terugvorderingsrecht. </w:t>
      </w:r>
      <w:r w:rsidRPr="002A0C60">
        <w:rPr>
          <w:smallCaps/>
        </w:rPr>
        <w:t xml:space="preserve">De Page </w:t>
      </w:r>
      <w:r w:rsidRPr="002A0C60">
        <w:t xml:space="preserve">argumenteert dat de twee alinea’s van het tweede lid contradictorisch zijn, aangezien het tweede lid het eerste teniet doet. Hij stelt dat het revindicatierecht dat enkel uitgeoefend kan worden onder voorbehoud van artikel 2279 Burgerlijk Wetboek eigenlijk geen revindicatierecht meer is aangezien dit enkel kan uitgeoefend worden tegen derde-verkrijgers die niet beschermd worden onder het gemene </w:t>
      </w:r>
      <w:r w:rsidRPr="002A0C60">
        <w:lastRenderedPageBreak/>
        <w:t>recht of tegen personen die geen enkel recht op het goed hebben.</w:t>
      </w:r>
      <w:r w:rsidRPr="002A0C60">
        <w:rPr>
          <w:rStyle w:val="Voetnootmarkering"/>
        </w:rPr>
        <w:footnoteReference w:id="148"/>
      </w:r>
      <w:r w:rsidRPr="002A0C60">
        <w:t xml:space="preserve"> Ook </w:t>
      </w:r>
      <w:r w:rsidRPr="002A0C60">
        <w:rPr>
          <w:smallCaps/>
        </w:rPr>
        <w:t xml:space="preserve">’T Kind </w:t>
      </w:r>
      <w:r w:rsidRPr="002A0C60">
        <w:t>stelt dat een volgrecht niet compatibel is met de toepassing van artikel 2279 Burgerlijk Wetboek.</w:t>
      </w:r>
      <w:r w:rsidRPr="002A0C60">
        <w:rPr>
          <w:rStyle w:val="Voetnootmarkering"/>
        </w:rPr>
        <w:footnoteReference w:id="149"/>
      </w:r>
    </w:p>
    <w:p w14:paraId="1B03D138" w14:textId="6A664C68" w:rsidR="00257C36" w:rsidRPr="002A0C60" w:rsidRDefault="00257C36" w:rsidP="005E187E">
      <w:pPr>
        <w:pStyle w:val="Nummer"/>
        <w:numPr>
          <w:ilvl w:val="0"/>
          <w:numId w:val="0"/>
        </w:numPr>
        <w:spacing w:after="200" w:line="360" w:lineRule="auto"/>
      </w:pPr>
      <w:r w:rsidRPr="002A0C60">
        <w:rPr>
          <w:smallCaps/>
        </w:rPr>
        <w:t xml:space="preserve">Gage des stocks - </w:t>
      </w:r>
      <w:r w:rsidRPr="002A0C60">
        <w:t xml:space="preserve">De Franse wetgever heeft dezelfde regeling als deze die geldt voor het vuistpand en het registerpand van toepassing verklaard op het </w:t>
      </w:r>
      <w:r w:rsidRPr="002A0C60">
        <w:rPr>
          <w:i/>
        </w:rPr>
        <w:t>gage des stocks.</w:t>
      </w:r>
      <w:r w:rsidRPr="002A0C60">
        <w:t xml:space="preserve"> Wanneer een </w:t>
      </w:r>
      <w:r w:rsidRPr="002A0C60">
        <w:rPr>
          <w:i/>
        </w:rPr>
        <w:t xml:space="preserve">gage des stocks </w:t>
      </w:r>
      <w:r w:rsidRPr="002A0C60">
        <w:t>zonder buitenbezitstelling tot stand komt kan de derde-verkrijger nooit een beroep doen op artikel 2276 Code Civil français. (</w:t>
      </w:r>
      <w:r w:rsidRPr="002A0C60">
        <w:rPr>
          <w:i/>
        </w:rPr>
        <w:t xml:space="preserve">infra, </w:t>
      </w:r>
      <w:r w:rsidRPr="002A0C60">
        <w:t>nr.</w:t>
      </w:r>
      <w:r w:rsidR="002566FD">
        <w:t xml:space="preserve"> 98</w:t>
      </w:r>
      <w:r w:rsidRPr="002A0C60">
        <w:t>)</w:t>
      </w:r>
      <w:r w:rsidRPr="002A0C60">
        <w:rPr>
          <w:rStyle w:val="Voetnootmarkering"/>
        </w:rPr>
        <w:footnoteReference w:id="150"/>
      </w:r>
      <w:r w:rsidRPr="002A0C60">
        <w:t xml:space="preserve"> Dit is contradictorisch gezien aan het </w:t>
      </w:r>
      <w:r w:rsidRPr="002A0C60">
        <w:rPr>
          <w:i/>
        </w:rPr>
        <w:t xml:space="preserve">gage des stocks </w:t>
      </w:r>
      <w:r w:rsidRPr="002A0C60">
        <w:t xml:space="preserve">geen volgrecht verbonden is. </w:t>
      </w:r>
      <w:r w:rsidR="002A0C60" w:rsidRPr="002A0C60">
        <w:t>Tussen artikel L.157-5, tweede lid Code de Commerce, die de afwezigheid van een volgrecht stipuleert en artikel L.157-1 Code de Commerce, die een verwijzing bevat naar artikel 2337 lid 3 Code Civil français (waar de toepassing van artikel 2276 Code Civil français uitgesloten wordt) bestaat dus een technische onverenigbaarheid.</w:t>
      </w:r>
      <w:r w:rsidR="002A0C60" w:rsidRPr="002A0C60">
        <w:rPr>
          <w:rStyle w:val="Voetnootmarkering"/>
        </w:rPr>
        <w:footnoteReference w:id="151"/>
      </w:r>
      <w:r w:rsidR="002A0C60" w:rsidRPr="002A0C60">
        <w:t xml:space="preserve"> Gaat het om een </w:t>
      </w:r>
      <w:r w:rsidR="002A0C60" w:rsidRPr="002A0C60">
        <w:rPr>
          <w:i/>
        </w:rPr>
        <w:t xml:space="preserve">gage des stocks </w:t>
      </w:r>
      <w:r w:rsidR="002A0C60" w:rsidRPr="002A0C60">
        <w:t>met buitenbezitstelling is een beroep op artikel 2276 Code Civil w</w:t>
      </w:r>
      <w:r w:rsidR="00894B83">
        <w:t xml:space="preserve">el mogelijk. </w:t>
      </w:r>
      <w:r w:rsidR="002A0C60" w:rsidRPr="002A0C60">
        <w:t>(</w:t>
      </w:r>
      <w:r w:rsidR="002A0C60" w:rsidRPr="002A0C60">
        <w:rPr>
          <w:i/>
        </w:rPr>
        <w:t xml:space="preserve">supra, </w:t>
      </w:r>
      <w:r w:rsidR="002A0C60" w:rsidRPr="002A0C60">
        <w:t>nr.</w:t>
      </w:r>
      <w:r w:rsidR="00894B83">
        <w:t xml:space="preserve"> 63</w:t>
      </w:r>
      <w:r w:rsidR="002A0C60" w:rsidRPr="002A0C60">
        <w:t>)</w:t>
      </w:r>
      <w:r w:rsidR="002A0C60" w:rsidRPr="002A0C60">
        <w:rPr>
          <w:rStyle w:val="Voetnootmarkering"/>
        </w:rPr>
        <w:footnoteReference w:id="152"/>
      </w:r>
    </w:p>
    <w:p w14:paraId="7C7E0D82" w14:textId="77777777" w:rsidR="00257C36" w:rsidRPr="002A0C60" w:rsidRDefault="00257C36" w:rsidP="005E187E">
      <w:pPr>
        <w:pStyle w:val="Nummer"/>
        <w:numPr>
          <w:ilvl w:val="0"/>
          <w:numId w:val="0"/>
        </w:numPr>
        <w:spacing w:after="200" w:line="360" w:lineRule="auto"/>
      </w:pPr>
      <w:r w:rsidRPr="002A0C60">
        <w:t xml:space="preserve">In het Franse recht vinden we ook de verplichting voor de derde-verkrijger om de verkoop aan de ingeschreven pandhouders te melden indien deze niet op een veiling gebeurde. De pandhouder wordt in het Franse recht dus veel sterker beschermd dan in het Belgische recht. </w:t>
      </w:r>
    </w:p>
    <w:p w14:paraId="0AD92EF6" w14:textId="50A46EDB" w:rsidR="00257C36" w:rsidRPr="002A0C60" w:rsidRDefault="00257C36" w:rsidP="005E187E">
      <w:pPr>
        <w:pStyle w:val="Nummer"/>
        <w:numPr>
          <w:ilvl w:val="0"/>
          <w:numId w:val="0"/>
        </w:numPr>
        <w:spacing w:after="200" w:line="360" w:lineRule="auto"/>
      </w:pPr>
      <w:r w:rsidRPr="002A0C60">
        <w:rPr>
          <w:smallCaps/>
        </w:rPr>
        <w:t xml:space="preserve">Nantissement de fonds de commerce - </w:t>
      </w:r>
      <w:r w:rsidRPr="002A0C60">
        <w:t>Voor het pand op de handelszaak heeft de Franse wetgever echter geen bescherming geboden aan de derde-verkrijger te goeder trouw. Artikel 2276 Code Civil français is enkel van toepassing van lichamelijke roerende goederen (</w:t>
      </w:r>
      <w:r w:rsidRPr="002A0C60">
        <w:rPr>
          <w:i/>
        </w:rPr>
        <w:t xml:space="preserve">supra, </w:t>
      </w:r>
      <w:r w:rsidRPr="002A0C60">
        <w:t>nr.</w:t>
      </w:r>
      <w:r w:rsidR="00894B83">
        <w:t xml:space="preserve"> 19</w:t>
      </w:r>
      <w:r w:rsidRPr="002A0C60">
        <w:t>). Een handelszaak is echter een universaliteit en de Franse wetgever heeft in tegenstelling tot de Belgische wetgever niet in een uitzondering voorzien.</w:t>
      </w:r>
      <w:r w:rsidRPr="002A0C60">
        <w:rPr>
          <w:rStyle w:val="Voetnootmarkering"/>
        </w:rPr>
        <w:footnoteReference w:id="153"/>
      </w:r>
    </w:p>
    <w:p w14:paraId="48EB5B39" w14:textId="77777777" w:rsidR="00257C36" w:rsidRPr="002A0C60" w:rsidRDefault="00257C36" w:rsidP="005E187E">
      <w:pPr>
        <w:pStyle w:val="Nummer"/>
        <w:spacing w:after="200" w:line="360" w:lineRule="auto"/>
      </w:pPr>
      <w:r w:rsidRPr="002A0C60">
        <w:rPr>
          <w:smallCaps/>
        </w:rPr>
        <w:t xml:space="preserve">Goede trouw - </w:t>
      </w:r>
      <w:r w:rsidRPr="002A0C60">
        <w:t xml:space="preserve">Door toepassing van artikel 2279 Burgerlijk Wetboek wordt de uitoefening van het volgrecht afhankelijk gemaakt van de goede trouw van de derde-verkrijger. De derde-verkrijger zal te goeder zijn wanneer deze ervan uit kon gaan dat de </w:t>
      </w:r>
      <w:r w:rsidRPr="002A0C60">
        <w:lastRenderedPageBreak/>
        <w:t>pandgever over de goederen kon beschikken zonder dat hij hierdoor de rechten van derden in het gedrang bracht. Een pandgever is bevoegd om te beschikken over de in pand gegeven goederen wanneer dit past in de normale uitbating van de handelszaak. Welke handelingen nu exact onder dit criterium vallen hangt af van een feitelijke appreciatie, maar als leidraad kan gezien worden het verbod om de handelszaak te verarmen.</w:t>
      </w:r>
      <w:r w:rsidRPr="002A0C60">
        <w:rPr>
          <w:rStyle w:val="Voetnootmarkering"/>
        </w:rPr>
        <w:footnoteReference w:id="154"/>
      </w:r>
      <w:r w:rsidRPr="002A0C60">
        <w:t xml:space="preserve"> Bij de evaluatie van dit criterium wordt rekening gehouden of derde voldoende vertrouwd was met de bedrijfsuitoefening van de pandgever of niet.</w:t>
      </w:r>
      <w:r w:rsidRPr="002A0C60">
        <w:rPr>
          <w:rStyle w:val="Voetnootmarkering"/>
        </w:rPr>
        <w:footnoteReference w:id="155"/>
      </w:r>
    </w:p>
    <w:p w14:paraId="07D526BB" w14:textId="4F3D9509" w:rsidR="00257C36" w:rsidRPr="002A0C60" w:rsidRDefault="00257C36" w:rsidP="005E187E">
      <w:pPr>
        <w:pStyle w:val="Lijstalinea"/>
        <w:spacing w:line="360" w:lineRule="auto"/>
        <w:ind w:left="0"/>
        <w:jc w:val="both"/>
        <w:rPr>
          <w:rFonts w:ascii="Times New Roman" w:hAnsi="Times New Roman"/>
        </w:rPr>
      </w:pPr>
      <w:r w:rsidRPr="002A0C60">
        <w:rPr>
          <w:rFonts w:ascii="Times New Roman" w:hAnsi="Times New Roman"/>
        </w:rPr>
        <w:t xml:space="preserve">Men kan zich echter de vraag stellen of het voor de derdeverkrijger wel mogelijk is om te goeder trouw te zijn. </w:t>
      </w:r>
      <w:r w:rsidR="002A0C60" w:rsidRPr="002A0C60">
        <w:rPr>
          <w:rFonts w:ascii="Times New Roman" w:hAnsi="Times New Roman"/>
        </w:rPr>
        <w:t>Zoals hogervermeld (</w:t>
      </w:r>
      <w:r w:rsidR="002A0C60" w:rsidRPr="002A0C60">
        <w:rPr>
          <w:rFonts w:ascii="Times New Roman" w:hAnsi="Times New Roman"/>
          <w:i/>
        </w:rPr>
        <w:t xml:space="preserve">supra, </w:t>
      </w:r>
      <w:r w:rsidR="002A0C60" w:rsidRPr="002A0C60">
        <w:rPr>
          <w:rFonts w:ascii="Times New Roman" w:hAnsi="Times New Roman"/>
        </w:rPr>
        <w:t>nr.</w:t>
      </w:r>
      <w:r w:rsidR="00894B83">
        <w:rPr>
          <w:rFonts w:ascii="Times New Roman" w:hAnsi="Times New Roman"/>
        </w:rPr>
        <w:t xml:space="preserve"> 56</w:t>
      </w:r>
      <w:r w:rsidR="002A0C60" w:rsidRPr="002A0C60">
        <w:rPr>
          <w:rFonts w:ascii="Times New Roman" w:hAnsi="Times New Roman"/>
        </w:rPr>
        <w:t xml:space="preserve">) moet het pand op een handelszaak ingeschreven worden in een publiek toegankelijk register. </w:t>
      </w:r>
      <w:r w:rsidRPr="002A0C60">
        <w:rPr>
          <w:rFonts w:ascii="Times New Roman" w:hAnsi="Times New Roman"/>
        </w:rPr>
        <w:t>De bedoeling van dit register is net om de goede trouw van derden te ontnemen.</w:t>
      </w:r>
      <w:r w:rsidRPr="002A0C60">
        <w:rPr>
          <w:rStyle w:val="Voetnootmarkering"/>
          <w:rFonts w:ascii="Times New Roman" w:hAnsi="Times New Roman"/>
        </w:rPr>
        <w:footnoteReference w:id="156"/>
      </w:r>
      <w:r w:rsidRPr="002A0C60">
        <w:rPr>
          <w:rFonts w:ascii="Times New Roman" w:hAnsi="Times New Roman"/>
        </w:rPr>
        <w:t xml:space="preserve"> Goede trouw van de derdeverkrijger betekent niet enkel dat deze niet op de hoogte was van het oudere recht van de pandhouder maar dat hij ook redelijkerwijs niet op de hoogte kon zijn van het bestaan van dat oudere recht. De vraag die zich dan opdringt is: Hoe kan een derdeverkrijger beweren niet op de hoogte zijn van het pandrecht als hij het register kon consulteren?</w:t>
      </w:r>
      <w:r w:rsidRPr="002A0C60">
        <w:rPr>
          <w:rStyle w:val="Voetnootmarkering"/>
          <w:rFonts w:ascii="Times New Roman" w:hAnsi="Times New Roman"/>
        </w:rPr>
        <w:footnoteReference w:id="157"/>
      </w:r>
    </w:p>
    <w:p w14:paraId="173B94F9" w14:textId="16809617" w:rsidR="00257C36" w:rsidRDefault="007C3569" w:rsidP="007C3569">
      <w:pPr>
        <w:pStyle w:val="Nummer"/>
        <w:numPr>
          <w:ilvl w:val="0"/>
          <w:numId w:val="0"/>
        </w:numPr>
        <w:spacing w:after="200" w:line="360" w:lineRule="auto"/>
      </w:pPr>
      <w:r>
        <w:t>D</w:t>
      </w:r>
      <w:r w:rsidR="00257C36" w:rsidRPr="002A0C60">
        <w:t xml:space="preserve">eze visie wordt niet algemeen verdedigd. Het enkele feit dat het pandrecht is inschrijven leidt volgens deze strekking niet </w:t>
      </w:r>
      <w:r w:rsidR="00257C36" w:rsidRPr="002A0C60">
        <w:rPr>
          <w:i/>
        </w:rPr>
        <w:t xml:space="preserve">ipso facto </w:t>
      </w:r>
      <w:r w:rsidR="00257C36" w:rsidRPr="002A0C60">
        <w:t>tot de kwade trouw van de derde-verkrijger.</w:t>
      </w:r>
      <w:r w:rsidR="00257C36" w:rsidRPr="002A0C60">
        <w:rPr>
          <w:rStyle w:val="Voetnootmarkering"/>
        </w:rPr>
        <w:footnoteReference w:id="158"/>
      </w:r>
      <w:r w:rsidR="00257C36" w:rsidRPr="002A0C60">
        <w:t xml:space="preserve"> </w:t>
      </w:r>
    </w:p>
    <w:p w14:paraId="12AA4187" w14:textId="7E191133" w:rsidR="00257C36" w:rsidRPr="007C3569" w:rsidRDefault="002A0C60" w:rsidP="007C3569">
      <w:pPr>
        <w:pStyle w:val="Nummer"/>
        <w:numPr>
          <w:ilvl w:val="0"/>
          <w:numId w:val="0"/>
        </w:numPr>
        <w:spacing w:after="200" w:line="360" w:lineRule="auto"/>
      </w:pPr>
      <w:r w:rsidRPr="007C3569">
        <w:rPr>
          <w:smallCaps/>
        </w:rPr>
        <w:t>Dirix</w:t>
      </w:r>
      <w:r w:rsidR="00257C36" w:rsidRPr="007C3569">
        <w:rPr>
          <w:smallCaps/>
        </w:rPr>
        <w:t xml:space="preserve"> </w:t>
      </w:r>
      <w:r w:rsidR="00257C36" w:rsidRPr="007C3569">
        <w:t xml:space="preserve">en </w:t>
      </w:r>
      <w:r w:rsidR="00257C36" w:rsidRPr="007C3569">
        <w:rPr>
          <w:smallCaps/>
        </w:rPr>
        <w:t xml:space="preserve">Decorte </w:t>
      </w:r>
      <w:r w:rsidR="00257C36" w:rsidRPr="007C3569">
        <w:t>stellen dat ten aanzien van “</w:t>
      </w:r>
      <w:r w:rsidR="00257C36" w:rsidRPr="007C3569">
        <w:rPr>
          <w:i/>
        </w:rPr>
        <w:t>personen die beroepshalve vertrouwd zijn met kredietverlening”</w:t>
      </w:r>
      <w:r w:rsidR="00257C36" w:rsidRPr="007C3569">
        <w:t xml:space="preserve"> een onderzoeksplicht mag worden geëist. Zij zullen dus te kwader trouw zijn van zodra het pand op de handelszaak correct is ingeschreven aangezien zij geacht worden het register te consulteren. Deze visie krijgt veel gevolg in de rechtspraak.</w:t>
      </w:r>
      <w:r w:rsidR="00257C36" w:rsidRPr="007C3569">
        <w:rPr>
          <w:rStyle w:val="Voetnootmarkering"/>
        </w:rPr>
        <w:t xml:space="preserve"> </w:t>
      </w:r>
      <w:r w:rsidR="00257C36" w:rsidRPr="002A0C60">
        <w:rPr>
          <w:rStyle w:val="Voetnootmarkering"/>
        </w:rPr>
        <w:footnoteReference w:id="159"/>
      </w:r>
      <w:r w:rsidR="00257C36" w:rsidRPr="007C3569">
        <w:t xml:space="preserve"> Hoewel ook enkele gevallen zijn waar dit niet het geval is.</w:t>
      </w:r>
      <w:r w:rsidR="00257C36" w:rsidRPr="002A0C60">
        <w:rPr>
          <w:rStyle w:val="Voetnootmarkering"/>
        </w:rPr>
        <w:footnoteReference w:id="160"/>
      </w:r>
    </w:p>
    <w:p w14:paraId="28A09D5A" w14:textId="77777777" w:rsidR="00257C36" w:rsidRPr="002A0C60" w:rsidRDefault="00257C36" w:rsidP="005E187E">
      <w:pPr>
        <w:pStyle w:val="Kop6"/>
        <w:spacing w:line="360" w:lineRule="auto"/>
      </w:pPr>
      <w:bookmarkStart w:id="45" w:name="_Toc449982212"/>
      <w:r w:rsidRPr="002A0C60">
        <w:lastRenderedPageBreak/>
        <w:t>Handelingen binnen het normaal beheer van de handelszaak</w:t>
      </w:r>
      <w:bookmarkEnd w:id="45"/>
      <w:r w:rsidRPr="002A0C60">
        <w:t xml:space="preserve"> </w:t>
      </w:r>
    </w:p>
    <w:p w14:paraId="34C16036" w14:textId="7DEB1097" w:rsidR="00257C36" w:rsidRPr="002A0C60" w:rsidRDefault="00F63ECF" w:rsidP="005E187E">
      <w:pPr>
        <w:pStyle w:val="Nummer"/>
        <w:spacing w:after="200" w:line="360" w:lineRule="auto"/>
      </w:pPr>
      <w:r w:rsidRPr="002A0C60">
        <w:rPr>
          <w:smallCaps/>
        </w:rPr>
        <w:t xml:space="preserve">Bevoegd om handelingen binnen normaal beheer handelszaak te stellen - </w:t>
      </w:r>
      <w:r w:rsidR="00257C36" w:rsidRPr="002A0C60">
        <w:t xml:space="preserve">De handelaar blijft bevoegd om handelingen te stellen die passen in het normaal beheer van de handelszaak. Deze regel geldt ook voor de Franse </w:t>
      </w:r>
      <w:r w:rsidR="00257C36" w:rsidRPr="002A0C60">
        <w:rPr>
          <w:i/>
        </w:rPr>
        <w:t>gage des stocks.</w:t>
      </w:r>
      <w:r w:rsidR="00257C36" w:rsidRPr="002A0C60">
        <w:rPr>
          <w:rStyle w:val="Voetnootmarkering"/>
          <w:i/>
        </w:rPr>
        <w:footnoteReference w:id="161"/>
      </w:r>
      <w:r w:rsidR="00257C36" w:rsidRPr="002A0C60">
        <w:t xml:space="preserve"> Door dit feit heeft men eigenlijk artikel 2279 Burgerlijk Wetboek niet nodig om de derdeverkrijger te beschermen. Artikel 2279 Burgerlijk Wetboek bevat namelijk een bescherming tegen een gebrek aan bevoegdheid in hoofde van de vervreemder. </w:t>
      </w:r>
      <w:r w:rsidR="00257C36" w:rsidRPr="002A0C60">
        <w:rPr>
          <w:i/>
        </w:rPr>
        <w:t xml:space="preserve">In casu </w:t>
      </w:r>
      <w:r w:rsidR="00257C36" w:rsidRPr="002A0C60">
        <w:t>blijft de handelaar echter bevoegd om zijn voorraden te verkopen. Het is dan ook voor de koper niet noodzakelijk om aan de bezitsvereiste van artikel 2279 Burgerlijk Wetboek te voldoen. Als er echter pandbeslag is gelegd door de pandhouder op basis van artikel 11, II Wet Pand Handelszaak beperkt dit beslag de pandgever in zijn bevoegdheid. Als de pandgever verkoopt na dit beslag zal de derdeverkrijger wel een beroep kunnen doen op artikel 2279 Burgerlijk Wetboek.</w:t>
      </w:r>
      <w:r w:rsidR="00257C36" w:rsidRPr="002A0C60">
        <w:rPr>
          <w:rStyle w:val="Voetnootmarkering"/>
        </w:rPr>
        <w:footnoteReference w:id="162"/>
      </w:r>
    </w:p>
    <w:p w14:paraId="59E16D74" w14:textId="216BF7D2" w:rsidR="00257C36" w:rsidRPr="002A0C60" w:rsidRDefault="00257C36" w:rsidP="005E187E">
      <w:pPr>
        <w:pStyle w:val="Lijstalinea"/>
        <w:spacing w:line="360" w:lineRule="auto"/>
        <w:ind w:left="0"/>
        <w:jc w:val="both"/>
        <w:rPr>
          <w:rFonts w:ascii="Times New Roman" w:hAnsi="Times New Roman"/>
        </w:rPr>
      </w:pPr>
      <w:r w:rsidRPr="002A0C60">
        <w:rPr>
          <w:rFonts w:ascii="Times New Roman" w:hAnsi="Times New Roman"/>
        </w:rPr>
        <w:t xml:space="preserve">Mag de handelaar naast het verkopen van de voorraden, deze ook verpanden? Volgens het principe </w:t>
      </w:r>
      <w:r w:rsidRPr="002A0C60">
        <w:rPr>
          <w:rFonts w:ascii="Times New Roman" w:hAnsi="Times New Roman"/>
          <w:i/>
        </w:rPr>
        <w:t xml:space="preserve">Qui peut le plus, peut le moins </w:t>
      </w:r>
      <w:r w:rsidRPr="002A0C60">
        <w:rPr>
          <w:rFonts w:ascii="Times New Roman" w:hAnsi="Times New Roman"/>
        </w:rPr>
        <w:t>zou dit het geval moeten zijn. Het richtsnoer hier is echter de vraag of de pandgever de handelszaak verarmt. Wanneer een pandgever nieuwe kredieten krijgt van een financier en daarmee nieuwe voorraden aankoopt is geen sprake van een verarming.</w:t>
      </w:r>
      <w:r w:rsidRPr="002A0C60">
        <w:rPr>
          <w:rStyle w:val="Voetnootmarkering"/>
          <w:rFonts w:ascii="Times New Roman" w:hAnsi="Times New Roman"/>
        </w:rPr>
        <w:footnoteReference w:id="163"/>
      </w:r>
      <w:r w:rsidRPr="002A0C60">
        <w:rPr>
          <w:rFonts w:ascii="Times New Roman" w:hAnsi="Times New Roman"/>
        </w:rPr>
        <w:t xml:space="preserve"> Sommige doctrine hanteert echter een strenger criterium en stelt dat de handelaar onbevoegd is tot elke inpandgeving, zelfs al worden daarmee nieuwe kredieten verkregen.</w:t>
      </w:r>
      <w:r w:rsidRPr="002A0C60">
        <w:rPr>
          <w:rStyle w:val="Voetnootmarkering"/>
          <w:rFonts w:ascii="Times New Roman" w:hAnsi="Times New Roman"/>
        </w:rPr>
        <w:footnoteReference w:id="164"/>
      </w:r>
      <w:r w:rsidRPr="002A0C60">
        <w:rPr>
          <w:rFonts w:ascii="Times New Roman" w:hAnsi="Times New Roman"/>
        </w:rPr>
        <w:t xml:space="preserve"> Verpandt men echter ter verzekering van bestaande schulden of worden de </w:t>
      </w:r>
      <w:r w:rsidRPr="002A0C60">
        <w:rPr>
          <w:rFonts w:ascii="Times New Roman" w:hAnsi="Times New Roman"/>
        </w:rPr>
        <w:lastRenderedPageBreak/>
        <w:t>nieuwe kredieten gebruikt voor de aflossing van al vervallen schulden is wel sprake van een verarming.</w:t>
      </w:r>
      <w:r w:rsidRPr="002A0C60">
        <w:rPr>
          <w:rStyle w:val="Voetnootmarkering"/>
          <w:rFonts w:ascii="Times New Roman" w:hAnsi="Times New Roman"/>
        </w:rPr>
        <w:footnoteReference w:id="165"/>
      </w:r>
    </w:p>
    <w:p w14:paraId="3830F340" w14:textId="77777777" w:rsidR="00257C36" w:rsidRPr="002A0C60" w:rsidRDefault="00257C36" w:rsidP="00F63ECF">
      <w:pPr>
        <w:pStyle w:val="Nummer"/>
        <w:numPr>
          <w:ilvl w:val="0"/>
          <w:numId w:val="0"/>
        </w:numPr>
        <w:spacing w:after="200" w:line="360" w:lineRule="auto"/>
      </w:pPr>
      <w:r w:rsidRPr="002A0C60">
        <w:rPr>
          <w:iCs/>
        </w:rPr>
        <w:t>In het Franse recht is duidelijk in de wet bepaald welke verrichtingen nu binnen het normale</w:t>
      </w:r>
      <w:r w:rsidRPr="002A0C60">
        <w:t xml:space="preserve"> beheer van de handelszaak vallen waardoor daar veel minder discussie bestaat dan in het Belgische recht. Zo heeft de pandgever de verplichting om de voorraad kwalitatief als kwantitatief in stand te houden. Bij deze instandhouding moet hij zich gedragen als een </w:t>
      </w:r>
      <w:r w:rsidRPr="002A0C60">
        <w:rPr>
          <w:i/>
        </w:rPr>
        <w:t xml:space="preserve">bonus pater familias </w:t>
      </w:r>
      <w:r w:rsidRPr="002A0C60">
        <w:t>en de voorwaarden van artikel 1137 Code Civil français naleven. De pandhouder kan ook op ieder ogenblik de staat van de voorraad laten controleren.</w:t>
      </w:r>
      <w:r w:rsidRPr="002A0C60">
        <w:rPr>
          <w:rStyle w:val="Voetnootmarkering"/>
        </w:rPr>
        <w:footnoteReference w:id="166"/>
      </w:r>
    </w:p>
    <w:p w14:paraId="48F0BE9C" w14:textId="77777777" w:rsidR="00257C36" w:rsidRPr="002A0C60" w:rsidRDefault="00257C36" w:rsidP="005E187E">
      <w:pPr>
        <w:pStyle w:val="Kop5"/>
        <w:spacing w:line="360" w:lineRule="auto"/>
      </w:pPr>
      <w:bookmarkStart w:id="46" w:name="_Toc449982213"/>
      <w:r w:rsidRPr="002A0C60">
        <w:t>Algemeen volgrecht</w:t>
      </w:r>
      <w:bookmarkEnd w:id="46"/>
    </w:p>
    <w:p w14:paraId="56CD30C6" w14:textId="77777777" w:rsidR="00257C36" w:rsidRPr="002A0C60" w:rsidRDefault="00257C36" w:rsidP="005E187E">
      <w:pPr>
        <w:pStyle w:val="Nummer"/>
        <w:spacing w:after="200" w:line="360" w:lineRule="auto"/>
      </w:pPr>
      <w:r w:rsidRPr="002A0C60">
        <w:rPr>
          <w:smallCaps/>
        </w:rPr>
        <w:t xml:space="preserve">Algemeen volgrecht - </w:t>
      </w:r>
      <w:r w:rsidRPr="002A0C60">
        <w:t>Naast dit volgrecht op specifieke bestanddelen van de handelszaak wordt er een volgrecht op de handelszaak in haar geheel toegekend door de rechtspraak en rechtsleer. De handelszaak moet echter een autonoom en identificeerbaar geheel zijn gebleven.</w:t>
      </w:r>
      <w:r w:rsidRPr="002A0C60">
        <w:rPr>
          <w:rStyle w:val="Voetnootmarkering"/>
        </w:rPr>
        <w:footnoteReference w:id="167"/>
      </w:r>
      <w:r w:rsidRPr="002A0C60">
        <w:t xml:space="preserve"> In het Franse recht heeft de pandgever ook een volgrecht op de gehele handelszaak, dit is echter wel wettelijk voorgeschreven in artikel Art. L.143-12 Code de Commerce.</w:t>
      </w:r>
      <w:r w:rsidRPr="002A0C60">
        <w:rPr>
          <w:rStyle w:val="Voetnootmarkering"/>
        </w:rPr>
        <w:footnoteReference w:id="168"/>
      </w:r>
    </w:p>
    <w:p w14:paraId="18D50E6C" w14:textId="7EE3F8F7" w:rsidR="00257C36" w:rsidRPr="002A0C60" w:rsidRDefault="00257C36" w:rsidP="005E187E">
      <w:pPr>
        <w:pStyle w:val="Nummer"/>
        <w:spacing w:after="200" w:line="360" w:lineRule="auto"/>
      </w:pPr>
      <w:r w:rsidRPr="002A0C60">
        <w:rPr>
          <w:smallCaps/>
        </w:rPr>
        <w:lastRenderedPageBreak/>
        <w:t xml:space="preserve">Enkel voor verkrijgers elementen handelszaak - </w:t>
      </w:r>
      <w:r w:rsidRPr="002A0C60">
        <w:t>De bescherming van artikel 2279 Burgerlijk</w:t>
      </w:r>
      <w:r w:rsidR="00192459">
        <w:t xml:space="preserve"> Wetboek</w:t>
      </w:r>
      <w:r w:rsidRPr="002A0C60">
        <w:t xml:space="preserve"> geldt echter alleen voor derde-verkrijgers die elementen van de handelszaak verkrijgen, niet voor derde-verkrijgers die de gehele handelszaak verkrijgen. Artikel 2279 Burgerlijk Wetboek is namelijk niet van toepassing op </w:t>
      </w:r>
      <w:r w:rsidRPr="00894B83">
        <w:t>universaliteiten (</w:t>
      </w:r>
      <w:r w:rsidRPr="00894B83">
        <w:rPr>
          <w:i/>
        </w:rPr>
        <w:t>supra</w:t>
      </w:r>
      <w:r w:rsidR="00894B83">
        <w:rPr>
          <w:i/>
        </w:rPr>
        <w:t>,</w:t>
      </w:r>
      <w:r w:rsidRPr="00894B83">
        <w:rPr>
          <w:i/>
        </w:rPr>
        <w:t xml:space="preserve"> </w:t>
      </w:r>
      <w:r w:rsidRPr="00894B83">
        <w:t>nr.</w:t>
      </w:r>
      <w:r w:rsidR="00894B83" w:rsidRPr="00894B83">
        <w:t xml:space="preserve"> 19</w:t>
      </w:r>
      <w:r w:rsidRPr="00894B83">
        <w:t>).</w:t>
      </w:r>
      <w:r w:rsidRPr="00894B83">
        <w:rPr>
          <w:rStyle w:val="Voetnootmarkering"/>
        </w:rPr>
        <w:footnoteReference w:id="169"/>
      </w:r>
    </w:p>
    <w:p w14:paraId="40970DB1" w14:textId="77777777" w:rsidR="00257C36" w:rsidRPr="002A0C60" w:rsidRDefault="00257C36" w:rsidP="005E187E">
      <w:pPr>
        <w:pStyle w:val="Kop5"/>
        <w:spacing w:line="360" w:lineRule="auto"/>
      </w:pPr>
      <w:bookmarkStart w:id="47" w:name="_Toc449982214"/>
      <w:r w:rsidRPr="002A0C60">
        <w:t>Sanctie misbruik van vertrouwen</w:t>
      </w:r>
      <w:bookmarkEnd w:id="47"/>
      <w:r w:rsidRPr="002A0C60">
        <w:t xml:space="preserve"> </w:t>
      </w:r>
    </w:p>
    <w:p w14:paraId="7DF50B93" w14:textId="77777777" w:rsidR="00257C36" w:rsidRPr="002A0C60" w:rsidRDefault="00257C36" w:rsidP="005E187E">
      <w:pPr>
        <w:pStyle w:val="Nummer"/>
        <w:spacing w:after="200" w:line="360" w:lineRule="auto"/>
      </w:pPr>
      <w:r w:rsidRPr="002A0C60">
        <w:rPr>
          <w:smallCaps/>
        </w:rPr>
        <w:t xml:space="preserve">Artikel 491 Strafwetboek - </w:t>
      </w:r>
      <w:r w:rsidRPr="002A0C60">
        <w:t>De pandhouder kan wel een beroep doen op artikel 491 Strafwetboek wanneer de vervreemding bedrieglijk en buiten het kader van een normaal beheer gebeurd is. Dit artikel voorziet in een strafrechtelijke sanctie voor misbruik van vertrouwen.</w:t>
      </w:r>
      <w:r w:rsidRPr="002A0C60">
        <w:rPr>
          <w:rStyle w:val="Voetnootmarkering"/>
        </w:rPr>
        <w:footnoteReference w:id="170"/>
      </w:r>
    </w:p>
    <w:p w14:paraId="3CCA0329" w14:textId="77777777" w:rsidR="00257C36" w:rsidRPr="002A0C60" w:rsidRDefault="00257C36" w:rsidP="005E187E">
      <w:pPr>
        <w:pStyle w:val="Kop4"/>
        <w:spacing w:line="360" w:lineRule="auto"/>
      </w:pPr>
      <w:bookmarkStart w:id="48" w:name="_Toc449982215"/>
      <w:r w:rsidRPr="002A0C60">
        <w:t>Landbouwvoorrecht</w:t>
      </w:r>
      <w:bookmarkEnd w:id="48"/>
      <w:r w:rsidRPr="002A0C60">
        <w:t xml:space="preserve"> </w:t>
      </w:r>
    </w:p>
    <w:p w14:paraId="2CE80001" w14:textId="35A125AA" w:rsidR="00257C36" w:rsidRPr="002A0C60" w:rsidRDefault="0091400E" w:rsidP="0091400E">
      <w:pPr>
        <w:pStyle w:val="Nummer"/>
        <w:spacing w:line="360" w:lineRule="auto"/>
      </w:pPr>
      <w:r w:rsidRPr="002A0C60">
        <w:rPr>
          <w:smallCaps/>
        </w:rPr>
        <w:t xml:space="preserve">Beperkt volgrecht - </w:t>
      </w:r>
      <w:r w:rsidR="00257C36" w:rsidRPr="002A0C60">
        <w:t>Net zoals de pandhouder op de handelszaak krijgt de houder van het landvoorrecht een beperkt volgrecht. Dit moet echter uitgeoefend worden binnen een termijn van 40 dagen voor de roerende goederen die de hoeve stofferen en binnen de 15 dagen voor de roerende goederen die het huis stofferen.</w:t>
      </w:r>
      <w:r w:rsidR="00257C36" w:rsidRPr="002A0C60">
        <w:rPr>
          <w:rStyle w:val="Voetnootmarkering"/>
        </w:rPr>
        <w:footnoteReference w:id="171"/>
      </w:r>
      <w:r w:rsidR="00257C36" w:rsidRPr="002A0C60">
        <w:t xml:space="preserve"> </w:t>
      </w:r>
    </w:p>
    <w:p w14:paraId="5B550479" w14:textId="375B6123" w:rsidR="00257C36" w:rsidRPr="002A0C60" w:rsidRDefault="0091400E" w:rsidP="0091400E">
      <w:pPr>
        <w:pStyle w:val="Nummer"/>
        <w:spacing w:line="360" w:lineRule="auto"/>
      </w:pPr>
      <w:r w:rsidRPr="002A0C60">
        <w:rPr>
          <w:smallCaps/>
        </w:rPr>
        <w:t xml:space="preserve">Wijzigingen in onderpand toegestaan - </w:t>
      </w:r>
      <w:r w:rsidR="00257C36" w:rsidRPr="002A0C60">
        <w:t xml:space="preserve">In navolging van </w:t>
      </w:r>
      <w:r w:rsidR="00257C36" w:rsidRPr="002A0C60">
        <w:rPr>
          <w:smallCaps/>
        </w:rPr>
        <w:t xml:space="preserve">De Page </w:t>
      </w:r>
      <w:r w:rsidR="00257C36" w:rsidRPr="002A0C60">
        <w:t xml:space="preserve">stelt de rechtspraak dat ook dit onderpand vlottend is, aangezien in artikel 4 Wet Landbouwlening verwijst naar de waarde van het onderpand. Daaruit wordt afgeleid dat het de schuldenaar toegestaan is om wijzigingen aan het onderpand aan te brengen voor zover de waarde ervan niet daalt en </w:t>
      </w:r>
      <w:r w:rsidR="002A0C60" w:rsidRPr="002A0C60">
        <w:t xml:space="preserve">voor </w:t>
      </w:r>
      <w:r w:rsidR="002A0C60" w:rsidRPr="002A0C60">
        <w:lastRenderedPageBreak/>
        <w:t>zover</w:t>
      </w:r>
      <w:r w:rsidR="00257C36" w:rsidRPr="002A0C60">
        <w:t xml:space="preserve"> de handelingen kaderen in een rationeel beheer van het landbouwbedrijf. Dit geldt ook bij het pand op de handelszaak (</w:t>
      </w:r>
      <w:r w:rsidR="00257C36" w:rsidRPr="002A0C60">
        <w:rPr>
          <w:i/>
        </w:rPr>
        <w:t xml:space="preserve">supra, </w:t>
      </w:r>
      <w:r w:rsidR="00257C36" w:rsidRPr="002A0C60">
        <w:t>nr.</w:t>
      </w:r>
      <w:r w:rsidR="00894B83">
        <w:t xml:space="preserve"> 70</w:t>
      </w:r>
      <w:r w:rsidR="00257C36" w:rsidRPr="002A0C60">
        <w:t>).</w:t>
      </w:r>
      <w:r w:rsidR="00257C36" w:rsidRPr="002A0C60">
        <w:rPr>
          <w:rStyle w:val="Voetnootmarkering"/>
        </w:rPr>
        <w:footnoteReference w:id="172"/>
      </w:r>
      <w:r w:rsidR="00257C36" w:rsidRPr="002A0C60">
        <w:t xml:space="preserve"> </w:t>
      </w:r>
    </w:p>
    <w:p w14:paraId="67997530" w14:textId="54D1CEEE" w:rsidR="00257C36" w:rsidRPr="002A0C60" w:rsidRDefault="0091400E" w:rsidP="0091400E">
      <w:pPr>
        <w:pStyle w:val="Nummer"/>
        <w:spacing w:line="360" w:lineRule="auto"/>
      </w:pPr>
      <w:r w:rsidRPr="002A0C60">
        <w:rPr>
          <w:smallCaps/>
        </w:rPr>
        <w:t xml:space="preserve">Geen beroep op artikel 2279 BW - </w:t>
      </w:r>
      <w:r w:rsidR="00257C36" w:rsidRPr="002A0C60">
        <w:t>Voor het landbouwvoorrecht gelden gelijkaardige regels als voor het voorrecht van de verhuurder. Het volgrecht van de verhuurder en van de houder van een landbouwvoorrecht is in staat om artikel 2279 Burgerlijk Wetboek uit te schakelen. Een derdeverkrijger te goeder trouw zal zijn rechten altijd gefrustreerd zien ten opzichte van het revindicatierecht van de verhuurder. Een derdeverkrijger te goeder trouw zal dus nooit beroep kunnen doen op artikel 2279 Burgerlijk Wetboek ook al heeft hij de goederen in zijn bezit.</w:t>
      </w:r>
      <w:r w:rsidR="00257C36" w:rsidRPr="002A0C60">
        <w:rPr>
          <w:rStyle w:val="Voetnootmarkering"/>
        </w:rPr>
        <w:footnoteReference w:id="173"/>
      </w:r>
    </w:p>
    <w:p w14:paraId="5DD8B82C" w14:textId="7A3F64AA" w:rsidR="00257C36" w:rsidRPr="002A0C60" w:rsidRDefault="0091400E" w:rsidP="0091400E">
      <w:pPr>
        <w:pStyle w:val="Nummer"/>
        <w:spacing w:line="360" w:lineRule="auto"/>
      </w:pPr>
      <w:r w:rsidRPr="002A0C60">
        <w:rPr>
          <w:smallCaps/>
        </w:rPr>
        <w:t xml:space="preserve">Artikel 491 </w:t>
      </w:r>
      <w:r w:rsidR="002A0C60" w:rsidRPr="002A0C60">
        <w:rPr>
          <w:smallCaps/>
        </w:rPr>
        <w:t>SW</w:t>
      </w:r>
      <w:r w:rsidRPr="002A0C60">
        <w:rPr>
          <w:smallCaps/>
        </w:rPr>
        <w:t xml:space="preserve"> - </w:t>
      </w:r>
      <w:r w:rsidR="00257C36" w:rsidRPr="002A0C60">
        <w:t>Ook de houder van een landbouwvoorrecht kan beroep doen op artikel 491 Strafwetboek wanneer de vervreemding bedrieglijk en buiten het kader van een normaal beheer gebeurd is.</w:t>
      </w:r>
      <w:r w:rsidR="00257C36" w:rsidRPr="002A0C60">
        <w:rPr>
          <w:rStyle w:val="Voetnootmarkering"/>
        </w:rPr>
        <w:footnoteReference w:id="174"/>
      </w:r>
    </w:p>
    <w:p w14:paraId="5E1E592F" w14:textId="77777777" w:rsidR="00257C36" w:rsidRPr="002A0C60" w:rsidRDefault="00257C36" w:rsidP="005E187E">
      <w:pPr>
        <w:spacing w:line="360" w:lineRule="auto"/>
        <w:jc w:val="left"/>
      </w:pPr>
      <w:r w:rsidRPr="002A0C60">
        <w:br w:type="page"/>
      </w:r>
    </w:p>
    <w:p w14:paraId="4D503AD0" w14:textId="77777777" w:rsidR="00257C36" w:rsidRPr="002A0C60" w:rsidRDefault="00257C36" w:rsidP="005E187E">
      <w:pPr>
        <w:pStyle w:val="Kop1"/>
        <w:spacing w:line="360" w:lineRule="auto"/>
      </w:pPr>
      <w:bookmarkStart w:id="49" w:name="_Toc449982216"/>
      <w:r w:rsidRPr="002A0C60">
        <w:lastRenderedPageBreak/>
        <w:t>Wet 11 juli 2013</w:t>
      </w:r>
      <w:bookmarkEnd w:id="49"/>
    </w:p>
    <w:p w14:paraId="68E98A63" w14:textId="31F08D51" w:rsidR="008C0766" w:rsidRPr="002A0C60" w:rsidRDefault="008C0766" w:rsidP="008C0766">
      <w:pPr>
        <w:spacing w:line="360" w:lineRule="auto"/>
        <w:rPr>
          <w:i/>
        </w:rPr>
      </w:pPr>
      <w:r w:rsidRPr="002A0C60">
        <w:rPr>
          <w:i/>
        </w:rPr>
        <w:t>In dit tweede deel wordt de relatie tussen artikel 2279 Burgerlijk Wetboek</w:t>
      </w:r>
      <w:r w:rsidR="007E66EE" w:rsidRPr="002A0C60">
        <w:rPr>
          <w:i/>
        </w:rPr>
        <w:t xml:space="preserve"> en de nieuwe Pandwet </w:t>
      </w:r>
      <w:r w:rsidRPr="002A0C60">
        <w:rPr>
          <w:i/>
        </w:rPr>
        <w:t>uiteengezet. Hierbij wordt dezelfde tweedeling als in het eerste deel gebruikt, eerst wordt de situatie van de pandhouder te goeder trouw toegelicht, daarna komt deze van de derde-verkrijger die een goed heeft verkregen waarop een pandrecht rust.</w:t>
      </w:r>
    </w:p>
    <w:p w14:paraId="19ED1621" w14:textId="77777777" w:rsidR="00257C36" w:rsidRPr="002A0C60" w:rsidRDefault="00257C36" w:rsidP="005E187E">
      <w:pPr>
        <w:pStyle w:val="Kop2"/>
        <w:spacing w:line="360" w:lineRule="auto"/>
      </w:pPr>
      <w:bookmarkStart w:id="50" w:name="_Toc449982217"/>
      <w:r w:rsidRPr="002A0C60">
        <w:t>krachtlijnen van de hervorming</w:t>
      </w:r>
      <w:bookmarkEnd w:id="50"/>
      <w:r w:rsidRPr="002A0C60">
        <w:t xml:space="preserve"> </w:t>
      </w:r>
    </w:p>
    <w:p w14:paraId="3776BE4A" w14:textId="77777777" w:rsidR="00257C36" w:rsidRPr="002A0C60" w:rsidRDefault="00257C36" w:rsidP="005E187E">
      <w:pPr>
        <w:pStyle w:val="Kop3"/>
        <w:spacing w:line="360" w:lineRule="auto"/>
      </w:pPr>
      <w:bookmarkStart w:id="51" w:name="_Toc449982218"/>
      <w:r w:rsidRPr="002A0C60">
        <w:t>algemeen</w:t>
      </w:r>
      <w:bookmarkEnd w:id="51"/>
    </w:p>
    <w:p w14:paraId="616EEF9A" w14:textId="77777777" w:rsidR="00257C36" w:rsidRPr="002A0C60" w:rsidRDefault="00257C36" w:rsidP="005E187E">
      <w:pPr>
        <w:pStyle w:val="Nummer"/>
        <w:spacing w:line="360" w:lineRule="auto"/>
      </w:pPr>
      <w:r w:rsidRPr="002A0C60">
        <w:rPr>
          <w:smallCaps/>
        </w:rPr>
        <w:t>Kernpunten van de hervorming -</w:t>
      </w:r>
      <w:r w:rsidRPr="002A0C60">
        <w:rPr>
          <w:b/>
          <w:smallCaps/>
        </w:rPr>
        <w:t xml:space="preserve"> </w:t>
      </w:r>
      <w:r w:rsidRPr="002A0C60">
        <w:t>De kernpunten van de hervorming kunnen als volgt worden samengevat: het pand is niet langer een zakelijke overeenkomst, het wordt een consensuele overeenkomst; het pand wordt tegenwerpelijk gemaakt hetzij door registratie, hetzij door buitenbezitstelling; voor het eigendomsvoorbehoud komt een veralgemeende regeling in het Burgerlijk Wetboek; het retentierecht zal wettelijk worden geregeld en zal ook een voorrecht krijgen; invoering van een zekerheidstrust; modernisering van de uitwinning van pandrechten, in principe wordt deze conventioneel en buitengerechtelijk.</w:t>
      </w:r>
      <w:r w:rsidRPr="002A0C60">
        <w:rPr>
          <w:rStyle w:val="Voetnootmarkering"/>
        </w:rPr>
        <w:footnoteReference w:id="175"/>
      </w:r>
    </w:p>
    <w:p w14:paraId="77EAD529" w14:textId="77777777" w:rsidR="00257C36" w:rsidRPr="002A0C60" w:rsidRDefault="00257C36" w:rsidP="005E187E">
      <w:pPr>
        <w:pStyle w:val="Kop3"/>
        <w:spacing w:line="360" w:lineRule="auto"/>
      </w:pPr>
      <w:bookmarkStart w:id="52" w:name="_Toc449982219"/>
      <w:r w:rsidRPr="002A0C60">
        <w:t>afschaffing van buitenbezitstelling</w:t>
      </w:r>
      <w:bookmarkEnd w:id="52"/>
    </w:p>
    <w:p w14:paraId="07008D85" w14:textId="160E67DC" w:rsidR="00257C36" w:rsidRPr="002A0C60" w:rsidRDefault="00257C36" w:rsidP="005E187E">
      <w:pPr>
        <w:pStyle w:val="Nummer"/>
        <w:spacing w:after="200" w:line="360" w:lineRule="auto"/>
      </w:pPr>
      <w:r w:rsidRPr="002A0C60">
        <w:rPr>
          <w:smallCaps/>
        </w:rPr>
        <w:t>Consensuele overeenkomst -</w:t>
      </w:r>
      <w:r w:rsidRPr="002A0C60">
        <w:rPr>
          <w:b/>
          <w:smallCaps/>
        </w:rPr>
        <w:t xml:space="preserve"> </w:t>
      </w:r>
      <w:r w:rsidRPr="002A0C60">
        <w:t>De belangrijkste innovatie van de Pandwet is dat pand vanaf de inwerkingtreding bezitloos is. Het is niet langer vereist voor de pandgever om het pand af te geven aan de pandhouder. Hierdoor is de pandovereenkomst niet langer een zakelijke overeenkomst maar een consensuele overeenkomst.</w:t>
      </w:r>
      <w:r w:rsidRPr="002A0C60">
        <w:rPr>
          <w:rStyle w:val="Voetnootmarkering"/>
        </w:rPr>
        <w:footnoteReference w:id="176"/>
      </w:r>
      <w:r w:rsidRPr="002A0C60">
        <w:t xml:space="preserve"> Zowel in Nederland, </w:t>
      </w:r>
      <w:r w:rsidRPr="002A0C60">
        <w:lastRenderedPageBreak/>
        <w:t>Frankrijk als Engeland bestaat als sinds enige tijd een bezitloos pand.</w:t>
      </w:r>
      <w:r w:rsidRPr="002A0C60">
        <w:rPr>
          <w:rStyle w:val="Voetnootmarkering"/>
        </w:rPr>
        <w:footnoteReference w:id="177"/>
      </w:r>
      <w:r w:rsidRPr="002A0C60">
        <w:t xml:space="preserve"> In Frankrijk werd het zekerheidsrecht hervormd in 2006 waarbij een bezitloos pandrecht werd ingevoerd. De regeling blijft echter nog steeds complex aangezien de bijzondere registerpanden behouden bleven en ook nog een </w:t>
      </w:r>
      <w:r w:rsidRPr="002A0C60">
        <w:rPr>
          <w:i/>
        </w:rPr>
        <w:t xml:space="preserve">“gage des stocks” </w:t>
      </w:r>
      <w:r w:rsidRPr="002A0C60">
        <w:t xml:space="preserve">in de </w:t>
      </w:r>
      <w:r w:rsidRPr="002A0C60">
        <w:rPr>
          <w:i/>
        </w:rPr>
        <w:t xml:space="preserve">Code de Commerce </w:t>
      </w:r>
      <w:r w:rsidRPr="002A0C60">
        <w:t>werd ingevoerd.</w:t>
      </w:r>
      <w:r w:rsidRPr="002A0C60">
        <w:rPr>
          <w:rStyle w:val="Voetnootmarkering"/>
        </w:rPr>
        <w:footnoteReference w:id="178"/>
      </w:r>
      <w:r w:rsidRPr="002A0C60">
        <w:t xml:space="preserve"> In het Nederlandse recht maakt artikel 3:237 Nieuw Burgerlijk Wetboek het mogelijk om een stil pandrecht te vestigen. Dit kan zowel bij een authentieke of een geregistreerde onderhandse akte.</w:t>
      </w:r>
      <w:r w:rsidRPr="002A0C60">
        <w:rPr>
          <w:rStyle w:val="Voetnootmarkering"/>
        </w:rPr>
        <w:footnoteReference w:id="179"/>
      </w:r>
      <w:r w:rsidRPr="002A0C60">
        <w:t xml:space="preserve"> </w:t>
      </w:r>
    </w:p>
    <w:p w14:paraId="3B41D21A" w14:textId="29FFB351" w:rsidR="00257C36" w:rsidRPr="002A0C60" w:rsidRDefault="00257C36" w:rsidP="005E187E">
      <w:pPr>
        <w:pStyle w:val="Nummer"/>
        <w:spacing w:after="200" w:line="360" w:lineRule="auto"/>
      </w:pPr>
      <w:r w:rsidRPr="002A0C60">
        <w:rPr>
          <w:smallCaps/>
        </w:rPr>
        <w:t xml:space="preserve">Geschrift noodzakelijk voor bewijs - </w:t>
      </w:r>
      <w:r w:rsidRPr="002A0C60">
        <w:t>Voor het bewijs van de pandovereenkomst tussen partijen is het echter wel noodzakelijk dat er een geschrift wordt opgesteld. Dit geschrift hoeft niet noodzakelijk een akte te zijn in de zin van het Burgerlijk Wetboek.  Het is evengoed mogelijk dat dit een bestelbon, een brief, een factuur, etc. is. Gaat het echter om een pandovereenkomst met een consument dan moet wel een geschrift worden opgemaakt dat voldoet aan de vereiste</w:t>
      </w:r>
      <w:r w:rsidR="000B20F2" w:rsidRPr="002A0C60">
        <w:t>n</w:t>
      </w:r>
      <w:r w:rsidRPr="002A0C60">
        <w:t xml:space="preserve"> van artikel 1325 of 1326 Burgerlijk Wetboek.</w:t>
      </w:r>
      <w:r w:rsidRPr="002A0C60">
        <w:rPr>
          <w:rStyle w:val="Voetnootmarkering"/>
        </w:rPr>
        <w:footnoteReference w:id="180"/>
      </w:r>
      <w:r w:rsidRPr="002A0C60">
        <w:t xml:space="preserve"> In het Franse recht is een geschrift nodig voor het bestaan van de pandovereenkomst. De pandovereenkomst is dan wel geen zakelijke overeenkomst</w:t>
      </w:r>
      <w:r w:rsidR="000B20F2" w:rsidRPr="002A0C60">
        <w:t xml:space="preserve"> meer</w:t>
      </w:r>
      <w:r w:rsidRPr="002A0C60">
        <w:t>, maar wordt hierdoor een plechtige overeenkomst.</w:t>
      </w:r>
      <w:r w:rsidRPr="002A0C60">
        <w:rPr>
          <w:rStyle w:val="Voetnootmarkering"/>
        </w:rPr>
        <w:footnoteReference w:id="181"/>
      </w:r>
    </w:p>
    <w:p w14:paraId="6725FE6B" w14:textId="77777777" w:rsidR="00257C36" w:rsidRPr="002A0C60" w:rsidRDefault="00257C36" w:rsidP="005E187E">
      <w:pPr>
        <w:pStyle w:val="Kop3"/>
        <w:spacing w:line="360" w:lineRule="auto"/>
      </w:pPr>
      <w:bookmarkStart w:id="53" w:name="_Toc449982220"/>
      <w:r w:rsidRPr="002A0C60">
        <w:lastRenderedPageBreak/>
        <w:t>organisatie van tegenwerpelijkheid</w:t>
      </w:r>
      <w:bookmarkEnd w:id="53"/>
      <w:r w:rsidRPr="002A0C60">
        <w:t xml:space="preserve"> </w:t>
      </w:r>
    </w:p>
    <w:p w14:paraId="379E39F2" w14:textId="77777777" w:rsidR="00257C36" w:rsidRPr="002A0C60" w:rsidRDefault="00257C36" w:rsidP="005E187E">
      <w:pPr>
        <w:pStyle w:val="Kop4"/>
        <w:spacing w:line="360" w:lineRule="auto"/>
      </w:pPr>
      <w:bookmarkStart w:id="54" w:name="_Toc449982221"/>
      <w:r w:rsidRPr="002A0C60">
        <w:t>Registerpand</w:t>
      </w:r>
      <w:bookmarkEnd w:id="54"/>
      <w:r w:rsidRPr="002A0C60">
        <w:t xml:space="preserve"> </w:t>
      </w:r>
    </w:p>
    <w:p w14:paraId="4C21C20B" w14:textId="234252B0" w:rsidR="00257C36" w:rsidRPr="002A0C60" w:rsidRDefault="00257C36" w:rsidP="005E187E">
      <w:pPr>
        <w:pStyle w:val="Nummer"/>
        <w:spacing w:after="200" w:line="360" w:lineRule="auto"/>
      </w:pPr>
      <w:r w:rsidRPr="002A0C60">
        <w:rPr>
          <w:smallCaps/>
        </w:rPr>
        <w:t>Registerpand -</w:t>
      </w:r>
      <w:r w:rsidRPr="002A0C60">
        <w:rPr>
          <w:b/>
          <w:smallCaps/>
        </w:rPr>
        <w:t xml:space="preserve"> </w:t>
      </w:r>
      <w:r w:rsidRPr="002A0C60">
        <w:t>Om de tegenwerpelijkheid tegenover derden te realiseren zal het pand moeten worden geregistreerd in het Nationaal Centraal pandregister. Deze registratie laat ook toe om rangconflicten te beslechten, de rang van de pandhouder wordt bepaald aan de hand van het tijdstip van inschrijving. Het pand is tegenstelbaar aan derden vanaf het ogenblik van de inschrijving in het register.</w:t>
      </w:r>
      <w:r w:rsidRPr="002A0C60">
        <w:rPr>
          <w:rStyle w:val="Voetnootmarkering"/>
        </w:rPr>
        <w:footnoteReference w:id="182"/>
      </w:r>
    </w:p>
    <w:p w14:paraId="461E04A0" w14:textId="7CF19CB5" w:rsidR="00257C36" w:rsidRPr="002A0C60" w:rsidRDefault="000B20F2" w:rsidP="005E187E">
      <w:pPr>
        <w:pStyle w:val="Nummer"/>
        <w:numPr>
          <w:ilvl w:val="0"/>
          <w:numId w:val="0"/>
        </w:numPr>
        <w:spacing w:after="200" w:line="360" w:lineRule="auto"/>
      </w:pPr>
      <w:r w:rsidRPr="002A0C60">
        <w:t>In het Franse recht zijn de bovenvermelde bezitloze pandrechten ook aan publiciteit onderworpen. Net zoals in het Belgische recht wordt dit bezitloos pand in een register geregistreerd.</w:t>
      </w:r>
      <w:r w:rsidRPr="002A0C60">
        <w:rPr>
          <w:rStyle w:val="Voetnootmarkering"/>
        </w:rPr>
        <w:footnoteReference w:id="183"/>
      </w:r>
      <w:r w:rsidRPr="002A0C60">
        <w:t xml:space="preserve"> </w:t>
      </w:r>
      <w:r w:rsidR="00257C36" w:rsidRPr="002A0C60">
        <w:t>In het Nederlandse recht is het</w:t>
      </w:r>
      <w:r w:rsidRPr="002A0C60">
        <w:t xml:space="preserve"> echter</w:t>
      </w:r>
      <w:r w:rsidR="00257C36" w:rsidRPr="002A0C60">
        <w:t xml:space="preserve"> niet mogelijk om een registerpand te vestigen. Het is enkel mogelijk om een stil pandrecht te vestigen, zonder publiciteit. Er gaan wel verscheidene stemmen op om ook een pandregister in te voeren.</w:t>
      </w:r>
      <w:r w:rsidR="00257C36" w:rsidRPr="002A0C60">
        <w:rPr>
          <w:rStyle w:val="Voetnootmarkering"/>
        </w:rPr>
        <w:footnoteReference w:id="184"/>
      </w:r>
      <w:r w:rsidR="00257C36" w:rsidRPr="002A0C60">
        <w:t xml:space="preserve"> </w:t>
      </w:r>
    </w:p>
    <w:p w14:paraId="08A445CB" w14:textId="77777777" w:rsidR="00257C36" w:rsidRPr="002A0C60" w:rsidRDefault="00257C36" w:rsidP="000B20F2">
      <w:pPr>
        <w:pStyle w:val="Nummer"/>
        <w:spacing w:after="200" w:line="360" w:lineRule="auto"/>
      </w:pPr>
      <w:r w:rsidRPr="002A0C60">
        <w:rPr>
          <w:smallCaps/>
        </w:rPr>
        <w:t xml:space="preserve">Meest fundamentele aspect hervorming - </w:t>
      </w:r>
      <w:r w:rsidRPr="002A0C60">
        <w:t>Het oprichten van dit pandregister wordt in de memorie van toelichting bestempeld als het meest fundamentele aspect van de hervorming.</w:t>
      </w:r>
      <w:r w:rsidRPr="002A0C60">
        <w:rPr>
          <w:rStyle w:val="Voetnootmarkering"/>
        </w:rPr>
        <w:footnoteReference w:id="185"/>
      </w:r>
    </w:p>
    <w:p w14:paraId="21164428" w14:textId="77777777" w:rsidR="00257C36" w:rsidRPr="002A0C60" w:rsidRDefault="00257C36" w:rsidP="005E187E">
      <w:pPr>
        <w:pStyle w:val="Lijstalinea"/>
        <w:spacing w:line="360" w:lineRule="auto"/>
        <w:ind w:left="0"/>
        <w:jc w:val="both"/>
        <w:rPr>
          <w:rFonts w:ascii="Times New Roman" w:hAnsi="Times New Roman"/>
        </w:rPr>
      </w:pPr>
    </w:p>
    <w:p w14:paraId="6E4169FA" w14:textId="78C1DAD1" w:rsidR="00257C36" w:rsidRPr="002A0C60" w:rsidRDefault="00257C36" w:rsidP="000B20F2">
      <w:pPr>
        <w:pStyle w:val="Nummer"/>
        <w:spacing w:after="200" w:line="360" w:lineRule="auto"/>
      </w:pPr>
      <w:r w:rsidRPr="002A0C60">
        <w:rPr>
          <w:smallCaps/>
        </w:rPr>
        <w:lastRenderedPageBreak/>
        <w:t xml:space="preserve">Modaliteiten - </w:t>
      </w:r>
      <w:r w:rsidRPr="002A0C60">
        <w:t>De belangrijkste aspecten van het pandregister worden door de Pandwet geregeld</w:t>
      </w:r>
      <w:r w:rsidR="000B20F2" w:rsidRPr="002A0C60">
        <w:t>,</w:t>
      </w:r>
      <w:r w:rsidRPr="002A0C60">
        <w:rPr>
          <w:rStyle w:val="Voetnootmarkering"/>
        </w:rPr>
        <w:footnoteReference w:id="186"/>
      </w:r>
      <w:r w:rsidRPr="002A0C60">
        <w:t xml:space="preserve"> in tegenstelling tot het Franse recht, waar de modaliteiten van het pandregister geregeld worden door het decreet nummer 2006-1804.</w:t>
      </w:r>
      <w:r w:rsidRPr="002A0C60">
        <w:rPr>
          <w:rStyle w:val="Voetnootmarkering"/>
        </w:rPr>
        <w:footnoteReference w:id="187"/>
      </w:r>
      <w:r w:rsidRPr="002A0C60">
        <w:t xml:space="preserve"> In het Nederlandse recht hoeft enkel een onderhandse akte geregistreerd te worden bij de inspecteur van de belastingdienst. Werd de pandovereenkomst gesloten door een authentieke akte dan komt het pandrecht tot stand op het ogenblik van het verlijden van deze akte. Bij een onderhandse akte komt het pandrecht tot stand op het ogenblik van de registratie.</w:t>
      </w:r>
      <w:r w:rsidRPr="002A0C60">
        <w:rPr>
          <w:rStyle w:val="Voetnootmarkering"/>
        </w:rPr>
        <w:footnoteReference w:id="188"/>
      </w:r>
    </w:p>
    <w:p w14:paraId="298F0ABA" w14:textId="703B85D2" w:rsidR="00257C36" w:rsidRPr="002A0C60" w:rsidRDefault="00257C36" w:rsidP="00781B71">
      <w:pPr>
        <w:pStyle w:val="Kop4"/>
        <w:spacing w:line="360" w:lineRule="auto"/>
      </w:pPr>
      <w:bookmarkStart w:id="55" w:name="_Toc449982222"/>
      <w:r w:rsidRPr="002A0C60">
        <w:t>Vuistpand</w:t>
      </w:r>
      <w:bookmarkEnd w:id="55"/>
      <w:r w:rsidRPr="002A0C60">
        <w:t xml:space="preserve"> </w:t>
      </w:r>
    </w:p>
    <w:p w14:paraId="6F9B4441" w14:textId="77777777" w:rsidR="00257C36" w:rsidRPr="002A0C60" w:rsidRDefault="00257C36" w:rsidP="00781B71">
      <w:pPr>
        <w:pStyle w:val="Nummer"/>
        <w:spacing w:line="360" w:lineRule="auto"/>
      </w:pPr>
      <w:r w:rsidRPr="002A0C60">
        <w:rPr>
          <w:smallCaps/>
        </w:rPr>
        <w:t>Vuistpand -</w:t>
      </w:r>
      <w:r w:rsidRPr="002A0C60">
        <w:rPr>
          <w:b/>
          <w:smallCaps/>
        </w:rPr>
        <w:t xml:space="preserve"> </w:t>
      </w:r>
      <w:r w:rsidRPr="002A0C60">
        <w:t>Daarnaast blijft het ook nog steeds mogelijk om te kiezen voor de buitenbezitstelling als alternatief voor de registratie om het pand tegenwerpelijk te maken.</w:t>
      </w:r>
      <w:r w:rsidRPr="002A0C60">
        <w:rPr>
          <w:rStyle w:val="Voetnootmarkering"/>
        </w:rPr>
        <w:footnoteReference w:id="189"/>
      </w:r>
      <w:r w:rsidRPr="002A0C60">
        <w:t xml:space="preserve"> Dit vinden we ook terug in het Franse recht. Waar naast de “</w:t>
      </w:r>
      <w:r w:rsidRPr="002A0C60">
        <w:rPr>
          <w:i/>
        </w:rPr>
        <w:t xml:space="preserve">gage sans dépossession” </w:t>
      </w:r>
      <w:r w:rsidRPr="002A0C60">
        <w:t>ook een “</w:t>
      </w:r>
      <w:r w:rsidRPr="002A0C60">
        <w:rPr>
          <w:i/>
        </w:rPr>
        <w:t xml:space="preserve">gage avec dépossession” </w:t>
      </w:r>
      <w:r w:rsidRPr="002A0C60">
        <w:t>wordt erkend.</w:t>
      </w:r>
      <w:r w:rsidRPr="002A0C60">
        <w:rPr>
          <w:rStyle w:val="Voetnootmarkering"/>
        </w:rPr>
        <w:footnoteReference w:id="190"/>
      </w:r>
      <w:r w:rsidRPr="002A0C60">
        <w:t xml:space="preserve"> Ook in het Nederlandse recht bestaat de mogelijkheid tot een vuistpand. Dit is te vinden in artikel 3:236 lid 1 Nieuw Burgerlijk Wetboek. Dit artikel stelt dat het pandrecht op een roerende zaak slechts wordt gevestigd wanneer de zaak in de macht gebracht wordt van de pandhouder of van een derde omtrent wie de partijen overeenkomst hebben bereikt.</w:t>
      </w:r>
      <w:r w:rsidRPr="002A0C60">
        <w:rPr>
          <w:rStyle w:val="Voetnootmarkering"/>
        </w:rPr>
        <w:footnoteReference w:id="191"/>
      </w:r>
      <w:r w:rsidRPr="002A0C60">
        <w:t xml:space="preserve"> Ook in de </w:t>
      </w:r>
      <w:r w:rsidRPr="002A0C60">
        <w:rPr>
          <w:i/>
        </w:rPr>
        <w:t>Draft Common Frame of Reference</w:t>
      </w:r>
      <w:r w:rsidRPr="002A0C60">
        <w:t xml:space="preserve"> blijft de buitenbezitstelling van het voorwerp van het pand een mogelijkheid om de tegenwerpelijkheid te verzekeren.</w:t>
      </w:r>
      <w:r w:rsidRPr="002A0C60">
        <w:rPr>
          <w:rStyle w:val="Voetnootmarkering"/>
        </w:rPr>
        <w:footnoteReference w:id="192"/>
      </w:r>
      <w:r w:rsidRPr="002A0C60">
        <w:t xml:space="preserve"> </w:t>
      </w:r>
    </w:p>
    <w:p w14:paraId="2C111DDE" w14:textId="77777777" w:rsidR="00257C36" w:rsidRPr="002A0C60" w:rsidRDefault="00257C36" w:rsidP="005E187E">
      <w:pPr>
        <w:pStyle w:val="Lijstalinea"/>
        <w:spacing w:line="360" w:lineRule="auto"/>
        <w:ind w:left="0"/>
        <w:jc w:val="both"/>
        <w:rPr>
          <w:rFonts w:ascii="Times New Roman" w:hAnsi="Times New Roman"/>
        </w:rPr>
      </w:pPr>
    </w:p>
    <w:p w14:paraId="318C3F53" w14:textId="77777777" w:rsidR="00257C36" w:rsidRPr="002A0C60" w:rsidRDefault="00257C36" w:rsidP="005E187E">
      <w:pPr>
        <w:pStyle w:val="Kop3"/>
        <w:spacing w:line="360" w:lineRule="auto"/>
      </w:pPr>
      <w:bookmarkStart w:id="56" w:name="_Toc449982223"/>
      <w:r w:rsidRPr="002A0C60">
        <w:lastRenderedPageBreak/>
        <w:t>Pand op handelszaak en landbouwvoorrecht</w:t>
      </w:r>
      <w:bookmarkEnd w:id="56"/>
    </w:p>
    <w:p w14:paraId="6C662D24" w14:textId="62051D1C" w:rsidR="00257C36" w:rsidRPr="002566FD" w:rsidRDefault="001E12CE" w:rsidP="000B20F2">
      <w:pPr>
        <w:pStyle w:val="Nummer"/>
        <w:spacing w:line="360" w:lineRule="auto"/>
      </w:pPr>
      <w:r w:rsidRPr="002566FD">
        <w:rPr>
          <w:smallCaps/>
        </w:rPr>
        <w:t xml:space="preserve">Elk roerend lichamelijk of onlichamelijk goed - </w:t>
      </w:r>
      <w:r w:rsidR="00257C36" w:rsidRPr="002566FD">
        <w:t>Een pandrecht kan worden gevestigd op om het even welk roerend lichamelijk en onlichamelijk goed. Dit houdt in dat de nieuwe Pandwet ook van toepassing is op een pandrecht op een handelszaak als op een landbouwexploitatie</w:t>
      </w:r>
      <w:r w:rsidR="000B20F2" w:rsidRPr="002566FD">
        <w:t xml:space="preserve"> (</w:t>
      </w:r>
      <w:r w:rsidR="000B20F2" w:rsidRPr="002566FD">
        <w:rPr>
          <w:i/>
        </w:rPr>
        <w:t xml:space="preserve">infra, </w:t>
      </w:r>
      <w:r w:rsidR="000B20F2" w:rsidRPr="002566FD">
        <w:t>nr.</w:t>
      </w:r>
      <w:r w:rsidR="002566FD" w:rsidRPr="002566FD">
        <w:t xml:space="preserve"> 91</w:t>
      </w:r>
      <w:r w:rsidR="000B20F2" w:rsidRPr="002566FD">
        <w:t>)</w:t>
      </w:r>
      <w:r w:rsidR="00257C36" w:rsidRPr="002566FD">
        <w:t>.</w:t>
      </w:r>
      <w:r w:rsidR="00257C36" w:rsidRPr="002566FD">
        <w:rPr>
          <w:rStyle w:val="Voetnootmarkering"/>
        </w:rPr>
        <w:footnoteReference w:id="193"/>
      </w:r>
      <w:r w:rsidR="00257C36" w:rsidRPr="002566FD">
        <w:t xml:space="preserve"> De bestaande pandrechten op de handelszaak en de landbouwexploitatie worden dan ook afgeschaft.</w:t>
      </w:r>
      <w:r w:rsidR="00257C36" w:rsidRPr="002566FD">
        <w:rPr>
          <w:rStyle w:val="Voetnootmarkering"/>
        </w:rPr>
        <w:footnoteReference w:id="194"/>
      </w:r>
    </w:p>
    <w:p w14:paraId="1DCCA0A6" w14:textId="460D4489" w:rsidR="006C7152" w:rsidRPr="002A0C60" w:rsidRDefault="00257C36" w:rsidP="006C7152">
      <w:pPr>
        <w:pStyle w:val="Kop2"/>
        <w:spacing w:line="360" w:lineRule="auto"/>
      </w:pPr>
      <w:bookmarkStart w:id="57" w:name="_Toc449982224"/>
      <w:r w:rsidRPr="002A0C60">
        <w:t>BESCHERMING VAN DE PANDHOUDER TE GOEDER TROUW</w:t>
      </w:r>
      <w:bookmarkEnd w:id="57"/>
    </w:p>
    <w:p w14:paraId="45543A16" w14:textId="7A6F632F" w:rsidR="00257C36" w:rsidRPr="002A0C60" w:rsidRDefault="00257C36" w:rsidP="005E187E">
      <w:pPr>
        <w:pStyle w:val="Nummer"/>
        <w:numPr>
          <w:ilvl w:val="0"/>
          <w:numId w:val="0"/>
        </w:numPr>
        <w:spacing w:after="200" w:line="360" w:lineRule="auto"/>
      </w:pPr>
      <w:r w:rsidRPr="002A0C60">
        <w:t>In dit hoofdstuk wordt de hypothese besproken waar een pandgever een goed in pand geeft zonder dat hij de bevoegdheid heeft om dit te doen. In deze hypothese situeert het conflict zich dus tussen de pandhouder (</w:t>
      </w:r>
      <w:r w:rsidR="001E12CE" w:rsidRPr="002A0C60">
        <w:t>titularis</w:t>
      </w:r>
      <w:r w:rsidRPr="002A0C60">
        <w:t xml:space="preserve"> van het pandrecht) enerzijds en tussen een derde partij die </w:t>
      </w:r>
      <w:r w:rsidR="001E12CE" w:rsidRPr="002A0C60">
        <w:t>eigenaar is</w:t>
      </w:r>
      <w:r w:rsidRPr="002A0C60">
        <w:t xml:space="preserve"> van dat goed</w:t>
      </w:r>
      <w:r w:rsidR="00FB1258" w:rsidRPr="002A0C60">
        <w:t xml:space="preserve"> anderzijds</w:t>
      </w:r>
      <w:r w:rsidRPr="002A0C60">
        <w:t xml:space="preserve">. De pandgever is in deze hypothese de onbevoegde beschikker. </w:t>
      </w:r>
    </w:p>
    <w:p w14:paraId="4B452CF7" w14:textId="1BCD57D0" w:rsidR="00257C36" w:rsidRPr="002A0C60" w:rsidRDefault="00257C36" w:rsidP="005E187E">
      <w:pPr>
        <w:pStyle w:val="Nummer"/>
        <w:numPr>
          <w:ilvl w:val="0"/>
          <w:numId w:val="0"/>
        </w:numPr>
        <w:spacing w:line="360" w:lineRule="auto"/>
        <w:rPr>
          <w:sz w:val="20"/>
          <w:szCs w:val="20"/>
        </w:rPr>
      </w:pPr>
      <w:r w:rsidRPr="002A0C60">
        <w:rPr>
          <w:sz w:val="20"/>
          <w:szCs w:val="20"/>
          <w:u w:val="single"/>
        </w:rPr>
        <w:t>Voorbeeld:</w:t>
      </w:r>
      <w:r w:rsidRPr="002A0C60">
        <w:rPr>
          <w:sz w:val="20"/>
          <w:szCs w:val="20"/>
        </w:rPr>
        <w:t xml:space="preserve"> Een fabrikant A van tapijten geeft weefmachines in pand bij een bank B. Deze weefmachines zijn echter geleased en eigendom van C.  Hier is bank B de </w:t>
      </w:r>
      <w:r w:rsidR="001E12CE" w:rsidRPr="002A0C60">
        <w:rPr>
          <w:sz w:val="20"/>
          <w:szCs w:val="20"/>
        </w:rPr>
        <w:t xml:space="preserve">titularis </w:t>
      </w:r>
      <w:r w:rsidRPr="002A0C60">
        <w:rPr>
          <w:sz w:val="20"/>
          <w:szCs w:val="20"/>
        </w:rPr>
        <w:t>van het pandrecht, C de eigenaar</w:t>
      </w:r>
      <w:r w:rsidR="001E12CE" w:rsidRPr="002A0C60">
        <w:rPr>
          <w:sz w:val="20"/>
          <w:szCs w:val="20"/>
        </w:rPr>
        <w:t xml:space="preserve"> van de machines</w:t>
      </w:r>
      <w:r w:rsidRPr="002A0C60">
        <w:rPr>
          <w:sz w:val="20"/>
          <w:szCs w:val="20"/>
        </w:rPr>
        <w:t xml:space="preserve"> en A de onbevoegde beschikker.</w:t>
      </w:r>
    </w:p>
    <w:p w14:paraId="37DAEACE" w14:textId="77777777" w:rsidR="00257C36" w:rsidRPr="002A0C60" w:rsidRDefault="00257C36" w:rsidP="005E187E">
      <w:pPr>
        <w:pStyle w:val="Kop3"/>
        <w:spacing w:line="360" w:lineRule="auto"/>
      </w:pPr>
      <w:bookmarkStart w:id="58" w:name="_Toc449982225"/>
      <w:r w:rsidRPr="002A0C60">
        <w:t>Bevoegdheid tot verpanden</w:t>
      </w:r>
      <w:bookmarkEnd w:id="58"/>
      <w:r w:rsidRPr="002A0C60">
        <w:t xml:space="preserve"> </w:t>
      </w:r>
    </w:p>
    <w:p w14:paraId="646EA9F7" w14:textId="2FAE74A5" w:rsidR="00257C36" w:rsidRPr="002A0C60" w:rsidRDefault="00257C36" w:rsidP="005E187E">
      <w:pPr>
        <w:pStyle w:val="Nummer"/>
        <w:spacing w:after="200" w:line="360" w:lineRule="auto"/>
      </w:pPr>
      <w:r w:rsidRPr="002A0C60">
        <w:rPr>
          <w:smallCaps/>
        </w:rPr>
        <w:t xml:space="preserve">Bevoegdheid om te verpanden – </w:t>
      </w:r>
      <w:r w:rsidRPr="002A0C60">
        <w:t>Net zoals onder het huidige recht moet de pandgever bevoegd zijn om het goed te verpanden. Dit houdt in dat de hij eigenaar moet zijn van het goed, of minstens gerechtigd moet zijn om het goed te verpanden. Dit is bijvoorbeeld het geval bij vertegenwoordiging van een beschikkingsbevoegde, maar handelingsonbekwame persoon.</w:t>
      </w:r>
      <w:r w:rsidRPr="002A0C60">
        <w:rPr>
          <w:rStyle w:val="Voetnootmarkering"/>
        </w:rPr>
        <w:footnoteReference w:id="195"/>
      </w:r>
    </w:p>
    <w:p w14:paraId="047B4D5D" w14:textId="64071AB1" w:rsidR="00257C36" w:rsidRPr="002A0C60" w:rsidRDefault="00E1646E" w:rsidP="005E187E">
      <w:pPr>
        <w:pStyle w:val="Nummer"/>
        <w:numPr>
          <w:ilvl w:val="0"/>
          <w:numId w:val="0"/>
        </w:numPr>
        <w:spacing w:after="200" w:line="360" w:lineRule="auto"/>
      </w:pPr>
      <w:r w:rsidRPr="002A0C60">
        <w:lastRenderedPageBreak/>
        <w:t xml:space="preserve">Het huidige recht past dit principe toe </w:t>
      </w:r>
      <w:r w:rsidR="00257C36" w:rsidRPr="002A0C60">
        <w:t xml:space="preserve">door </w:t>
      </w:r>
      <w:r w:rsidRPr="002A0C60">
        <w:t>gebruik</w:t>
      </w:r>
      <w:r w:rsidR="00257C36" w:rsidRPr="002A0C60">
        <w:t xml:space="preserve"> van de </w:t>
      </w:r>
      <w:r w:rsidR="00257C36" w:rsidRPr="002A0C60">
        <w:rPr>
          <w:i/>
        </w:rPr>
        <w:t xml:space="preserve">nemo dat quo non habet-regel. </w:t>
      </w:r>
      <w:r w:rsidR="00257C36" w:rsidRPr="002A0C60">
        <w:t xml:space="preserve">De Pandwet verankert dit beginsel echter in artikel 6. Het eerste lid van dit artikel stelt dat: </w:t>
      </w:r>
    </w:p>
    <w:p w14:paraId="09539A17" w14:textId="77777777" w:rsidR="00257C36" w:rsidRPr="002A0C60" w:rsidRDefault="00257C36" w:rsidP="005E187E">
      <w:pPr>
        <w:pStyle w:val="Nummer"/>
        <w:numPr>
          <w:ilvl w:val="0"/>
          <w:numId w:val="0"/>
        </w:numPr>
        <w:spacing w:after="200" w:line="360" w:lineRule="auto"/>
        <w:rPr>
          <w:i/>
          <w:sz w:val="18"/>
          <w:szCs w:val="18"/>
        </w:rPr>
      </w:pPr>
      <w:r w:rsidRPr="002A0C60">
        <w:rPr>
          <w:i/>
          <w:sz w:val="18"/>
          <w:szCs w:val="18"/>
        </w:rPr>
        <w:t>“De inpandgeving is slechts geldig indien de pandgever bevoegd is de goederen te verpanden.”</w:t>
      </w:r>
    </w:p>
    <w:p w14:paraId="674B2BC3" w14:textId="4FC58AE9" w:rsidR="00257C36" w:rsidRPr="002A0C60" w:rsidRDefault="00257C36" w:rsidP="006C7152">
      <w:pPr>
        <w:pStyle w:val="Nummer"/>
        <w:spacing w:after="200" w:line="360" w:lineRule="auto"/>
      </w:pPr>
      <w:r w:rsidRPr="002A0C60">
        <w:rPr>
          <w:smallCaps/>
        </w:rPr>
        <w:t xml:space="preserve">Onbevoegde inpandgever- </w:t>
      </w:r>
      <w:r w:rsidRPr="002A0C60">
        <w:t>Is een pandhouder echter niet bevoegd om</w:t>
      </w:r>
      <w:r w:rsidR="007A7E0C" w:rsidRPr="002A0C60">
        <w:t xml:space="preserve"> het goed</w:t>
      </w:r>
      <w:r w:rsidRPr="002A0C60">
        <w:t xml:space="preserve"> te verpanden dan zal de pandhouder in prin</w:t>
      </w:r>
      <w:r w:rsidR="007A7E0C" w:rsidRPr="002A0C60">
        <w:t xml:space="preserve">cipe geen pandrecht verkrijgen. </w:t>
      </w:r>
      <w:r w:rsidRPr="002A0C60">
        <w:t>Ontstaat er een conflict tussen meerdere rechten zal het oudste recht voorgaan op basis van het anterioriteitsbeginsel, tenzij de pandgever bevoegd is om dat recht toe te kennen in strijd met het oudere recht of er derdenbescherming is. Dit principe is niet enkel van toepassing bij het gewone pandrecht, maar ook voor het retentierecht en de gelijk te stellen bijzondere voorrechten.</w:t>
      </w:r>
      <w:r w:rsidRPr="002A0C60">
        <w:rPr>
          <w:rStyle w:val="Voetnootmarkering"/>
        </w:rPr>
        <w:footnoteReference w:id="196"/>
      </w:r>
      <w:r w:rsidRPr="002A0C60">
        <w:t xml:space="preserve"> </w:t>
      </w:r>
    </w:p>
    <w:p w14:paraId="638A95FC" w14:textId="51CB44DC" w:rsidR="00372021" w:rsidRPr="002A0C60" w:rsidRDefault="00372021" w:rsidP="00372021">
      <w:pPr>
        <w:pStyle w:val="Nummer"/>
        <w:spacing w:after="200" w:line="360" w:lineRule="auto"/>
      </w:pPr>
      <w:r w:rsidRPr="002A0C60">
        <w:rPr>
          <w:smallCaps/>
        </w:rPr>
        <w:t xml:space="preserve">Opvolgende inpandgeving - </w:t>
      </w:r>
      <w:r w:rsidRPr="002A0C60">
        <w:t xml:space="preserve">Net zoals in de </w:t>
      </w:r>
      <w:r w:rsidR="007A7E0C" w:rsidRPr="002A0C60">
        <w:rPr>
          <w:i/>
        </w:rPr>
        <w:t>Draft Common Frame of Reference</w:t>
      </w:r>
      <w:r w:rsidRPr="002A0C60">
        <w:t xml:space="preserve"> en het Franse recht is het mogelijk om eenzelfde goed verschillende malen in pand te geven. Het feit dat een goed reeds in pand is gegeven betekent dus niet dat de pandgever onbevoegd is om het goed te verpanden. De datum van registratie van het pand zal dan de rang bepalen. Dit is ingegeven door de gedachte dat de waarde van het goed op optimale wijze moet kunnen worden aangewend.  In het Franse recht is het ook mogelijk dat een registerpand volgt op een vuistpand, de rang zal dan bepaald worden aan de hand van wie respectievelijk het pand eerst heeft geregistreerd of in zijn bezit heeft gekregen.</w:t>
      </w:r>
      <w:r w:rsidRPr="002A0C60">
        <w:rPr>
          <w:rStyle w:val="Voetnootmarkering"/>
        </w:rPr>
        <w:footnoteReference w:id="197"/>
      </w:r>
      <w:r w:rsidRPr="002A0C60">
        <w:t xml:space="preserve"> In het Nederlandse recht kan een zaak ook verschillende malen in pand gegeven worden, deze hypothese wordt expliciet geregeld door artikel 3:238 lid 2 Nieuw </w:t>
      </w:r>
      <w:r w:rsidRPr="00A2087B">
        <w:t>Burgerlijk Wetboek .</w:t>
      </w:r>
      <w:r w:rsidRPr="00A2087B">
        <w:rPr>
          <w:rStyle w:val="Voetnootmarkering"/>
        </w:rPr>
        <w:footnoteReference w:id="198"/>
      </w:r>
    </w:p>
    <w:p w14:paraId="68C5399C" w14:textId="196C2DB8" w:rsidR="00372021" w:rsidRPr="002A0C60" w:rsidRDefault="00372021" w:rsidP="00372021">
      <w:pPr>
        <w:spacing w:line="360" w:lineRule="auto"/>
      </w:pPr>
      <w:r w:rsidRPr="002A0C60">
        <w:lastRenderedPageBreak/>
        <w:t>Dit is een belangrijke wijziging ten opzichte van het huidige recht, waar de beschikkingsonbevoegdheid van de pandgever ook kon voortvloeien uit het feit dat hij het voorwerp van het pandrecht reeds eerder had in pand gegeven</w:t>
      </w:r>
      <w:r w:rsidRPr="00A2087B">
        <w:t>. (</w:t>
      </w:r>
      <w:r w:rsidRPr="00A2087B">
        <w:rPr>
          <w:i/>
        </w:rPr>
        <w:t xml:space="preserve">supra, </w:t>
      </w:r>
      <w:r w:rsidRPr="00A2087B">
        <w:t>nr.</w:t>
      </w:r>
      <w:r w:rsidR="00A2087B" w:rsidRPr="00A2087B">
        <w:t xml:space="preserve"> 43 </w:t>
      </w:r>
      <w:r w:rsidRPr="00A2087B">
        <w:t>)</w:t>
      </w:r>
      <w:r w:rsidRPr="00A2087B">
        <w:rPr>
          <w:rStyle w:val="Voetnootmarkering"/>
        </w:rPr>
        <w:footnoteReference w:id="199"/>
      </w:r>
    </w:p>
    <w:p w14:paraId="7783D94E" w14:textId="4FFC2463" w:rsidR="00C10342" w:rsidRPr="002A0C60" w:rsidRDefault="00C10342" w:rsidP="00C10342">
      <w:pPr>
        <w:pStyle w:val="Kop3"/>
      </w:pPr>
      <w:bookmarkStart w:id="59" w:name="_Toc449982226"/>
      <w:r w:rsidRPr="002A0C60">
        <w:t>Bescherming van de pandhouder te goeder trouw</w:t>
      </w:r>
      <w:bookmarkEnd w:id="59"/>
    </w:p>
    <w:p w14:paraId="66778B07" w14:textId="77777777" w:rsidR="00257C36" w:rsidRPr="002A0C60" w:rsidRDefault="00257C36" w:rsidP="005E187E">
      <w:pPr>
        <w:pStyle w:val="Kop4"/>
        <w:spacing w:line="360" w:lineRule="auto"/>
      </w:pPr>
      <w:bookmarkStart w:id="60" w:name="_Toc449982227"/>
      <w:r w:rsidRPr="002A0C60">
        <w:t>Algemeen</w:t>
      </w:r>
      <w:bookmarkEnd w:id="60"/>
      <w:r w:rsidRPr="002A0C60">
        <w:t xml:space="preserve"> </w:t>
      </w:r>
    </w:p>
    <w:p w14:paraId="131D70B3" w14:textId="77777777" w:rsidR="00257C36" w:rsidRPr="002A0C60" w:rsidRDefault="00257C36" w:rsidP="006C7152">
      <w:pPr>
        <w:pStyle w:val="Nummer"/>
        <w:spacing w:line="360" w:lineRule="auto"/>
      </w:pPr>
      <w:r w:rsidRPr="002A0C60">
        <w:rPr>
          <w:smallCaps/>
        </w:rPr>
        <w:t xml:space="preserve">Bescherming pandgever te goeder trouw - </w:t>
      </w:r>
      <w:r w:rsidRPr="002A0C60">
        <w:t>Op het bovenstaande principe dat een pandhouder geen pandrecht verkrijgt van een onbevoegde pandgever bestaat echter een belangrijke uitzondering. De pandhouder te goeder trouw wordt namelijk beschermd. Hij zal toch een pandrecht verkrijgen wanneer hij er bij het sluiten van de overeenkomst redelijkerwijze mocht vanuit gaan dat de pandgever tot verpanding bevoegd was. Hij mag voortgaan op de schijnbevoegdheid van de pandgever. Dit is een toepassing van de bezitsbescherming die vervat is in artikel 2279 Burgerlijk Wetboek.</w:t>
      </w:r>
      <w:r w:rsidRPr="002A0C60">
        <w:rPr>
          <w:rStyle w:val="Voetnootmarkering"/>
        </w:rPr>
        <w:footnoteReference w:id="200"/>
      </w:r>
      <w:r w:rsidRPr="002A0C60">
        <w:t xml:space="preserve"> </w:t>
      </w:r>
    </w:p>
    <w:p w14:paraId="6B793EBE" w14:textId="6622B340" w:rsidR="00257C36" w:rsidRPr="002A0C60" w:rsidRDefault="00257C36" w:rsidP="005E187E">
      <w:pPr>
        <w:pStyle w:val="Nummer"/>
        <w:numPr>
          <w:ilvl w:val="0"/>
          <w:numId w:val="0"/>
        </w:numPr>
        <w:spacing w:line="360" w:lineRule="auto"/>
      </w:pPr>
      <w:r w:rsidRPr="002A0C60">
        <w:t>Onder het huidige recht wordt algemeen aanvaard door de rechtspraak</w:t>
      </w:r>
      <w:r w:rsidR="0077523D" w:rsidRPr="002A0C60">
        <w:t xml:space="preserve"> en rechtsleer</w:t>
      </w:r>
      <w:r w:rsidRPr="002A0C60">
        <w:t xml:space="preserve"> dat deze regeling van toepassing is op het </w:t>
      </w:r>
      <w:r w:rsidRPr="00A2087B">
        <w:t>vuistpand</w:t>
      </w:r>
      <w:r w:rsidR="00D7317F" w:rsidRPr="00A2087B">
        <w:t xml:space="preserve"> (</w:t>
      </w:r>
      <w:r w:rsidR="00D7317F" w:rsidRPr="00A2087B">
        <w:rPr>
          <w:i/>
        </w:rPr>
        <w:t xml:space="preserve">supra, </w:t>
      </w:r>
      <w:r w:rsidR="00D7317F" w:rsidRPr="00A2087B">
        <w:t>nr.</w:t>
      </w:r>
      <w:r w:rsidR="00A2087B" w:rsidRPr="00A2087B">
        <w:t xml:space="preserve"> 44</w:t>
      </w:r>
      <w:r w:rsidR="00D7317F" w:rsidRPr="00A2087B">
        <w:t>)</w:t>
      </w:r>
      <w:r w:rsidRPr="00A2087B">
        <w:t>.</w:t>
      </w:r>
      <w:r w:rsidR="00D7317F" w:rsidRPr="00A2087B">
        <w:rPr>
          <w:rStyle w:val="Voetnootmarkering"/>
        </w:rPr>
        <w:footnoteReference w:id="201"/>
      </w:r>
      <w:r w:rsidRPr="002A0C60">
        <w:t xml:space="preserve"> Deze regeling wordt onder de Pandwet</w:t>
      </w:r>
      <w:r w:rsidR="0077523D" w:rsidRPr="002A0C60">
        <w:t xml:space="preserve"> echter</w:t>
      </w:r>
      <w:r w:rsidRPr="002A0C60">
        <w:t xml:space="preserve"> expliciet opgenomen in artikel 6 lid 2. Dit artikel stelt namelijk:  </w:t>
      </w:r>
    </w:p>
    <w:p w14:paraId="1386A240" w14:textId="2C19E091" w:rsidR="00057C6A" w:rsidRPr="002A0C60" w:rsidRDefault="00257C36" w:rsidP="005E187E">
      <w:pPr>
        <w:pStyle w:val="Nummer"/>
        <w:numPr>
          <w:ilvl w:val="0"/>
          <w:numId w:val="0"/>
        </w:numPr>
        <w:spacing w:line="360" w:lineRule="auto"/>
        <w:rPr>
          <w:i/>
          <w:sz w:val="20"/>
          <w:szCs w:val="20"/>
        </w:rPr>
      </w:pPr>
      <w:r w:rsidRPr="002A0C60">
        <w:rPr>
          <w:i/>
          <w:sz w:val="20"/>
          <w:szCs w:val="20"/>
        </w:rPr>
        <w:lastRenderedPageBreak/>
        <w:t xml:space="preserve"> “Heeft de pandgever die bevoegdheid niet, dan verkrijgt de pandhouder niettemin een pandrecht indien hij bij het sluiten van de overeenkomst redelijkerwijze mocht veronderstellen dat de pandgever tot verpanding bevoegd was.”</w:t>
      </w:r>
    </w:p>
    <w:p w14:paraId="29686B89" w14:textId="5C437C0F" w:rsidR="00057C6A" w:rsidRPr="002A0C60" w:rsidRDefault="00057C6A" w:rsidP="005E187E">
      <w:pPr>
        <w:pStyle w:val="Nummer"/>
        <w:numPr>
          <w:ilvl w:val="0"/>
          <w:numId w:val="0"/>
        </w:numPr>
        <w:spacing w:line="360" w:lineRule="auto"/>
      </w:pPr>
      <w:r w:rsidRPr="002A0C60">
        <w:t xml:space="preserve">Ook de houder van een registerpand kan in het Franse een beroep doen op de bescherming van artikel 2276 Code Civil. </w:t>
      </w:r>
      <w:r w:rsidR="00E4743A" w:rsidRPr="002A0C60">
        <w:t>Deze bescherming is dezelfde als deze voor de vuistpandhouder (</w:t>
      </w:r>
      <w:r w:rsidR="00E4743A" w:rsidRPr="002A0C60">
        <w:rPr>
          <w:i/>
        </w:rPr>
        <w:t xml:space="preserve">supra, </w:t>
      </w:r>
      <w:r w:rsidR="00E4743A" w:rsidRPr="002A0C60">
        <w:t>nr.</w:t>
      </w:r>
      <w:r w:rsidR="00A2087B">
        <w:t xml:space="preserve"> 44</w:t>
      </w:r>
      <w:r w:rsidR="00E4743A" w:rsidRPr="002A0C60">
        <w:t>)</w:t>
      </w:r>
      <w:r w:rsidR="00E4743A" w:rsidRPr="002A0C60">
        <w:rPr>
          <w:rStyle w:val="Voetnootmarkering"/>
        </w:rPr>
        <w:footnoteReference w:id="202"/>
      </w:r>
    </w:p>
    <w:p w14:paraId="46BE1522" w14:textId="57F722AA" w:rsidR="00257C36" w:rsidRPr="002A0C60" w:rsidRDefault="00257C36" w:rsidP="005E187E">
      <w:pPr>
        <w:pStyle w:val="Nummer"/>
        <w:numPr>
          <w:ilvl w:val="0"/>
          <w:numId w:val="0"/>
        </w:numPr>
        <w:spacing w:line="360" w:lineRule="auto"/>
      </w:pPr>
      <w:r w:rsidRPr="002A0C60">
        <w:t>In het Nederlandse recht daarentegen wordt de stille pandhouder niet beschermd bij onbevoegdheid van de pandgever. De derdenbescherming van artikel 3:238 Nieuw Burgerlijk Wetboek komt enkel toe aan de vuistpandhouder. Dit volgt indirect uit de bewoordingen van artikel 3:238 Nieuw Burgerlijk Wetboek. Daarin is enkel sprake van goede trouw</w:t>
      </w:r>
      <w:r w:rsidR="0077523D" w:rsidRPr="002A0C60">
        <w:t xml:space="preserve"> op het ogenblik dat de zaak, </w:t>
      </w:r>
      <w:r w:rsidRPr="002A0C60">
        <w:t>het order-of toonderpapier in de macht van de pandhouder of een derde komt. Bij een stil pandrecht wordt de zaak niet in de macht van de pandhouder of een derde gebracht. Daaruit kan men afleiden dat een stil pandhouder niet van de bescherming van artikel 3:238 Nieuw Burgerlijk Wetboek geniet.</w:t>
      </w:r>
      <w:r w:rsidRPr="002A0C60">
        <w:rPr>
          <w:rStyle w:val="Voetnootmarkering"/>
        </w:rPr>
        <w:footnoteReference w:id="203"/>
      </w:r>
    </w:p>
    <w:p w14:paraId="053D8A6E" w14:textId="54350F8A" w:rsidR="00257C36" w:rsidRPr="002A0C60" w:rsidRDefault="00257C36" w:rsidP="005E187E">
      <w:pPr>
        <w:pStyle w:val="Nummer"/>
        <w:numPr>
          <w:ilvl w:val="0"/>
          <w:numId w:val="0"/>
        </w:numPr>
        <w:spacing w:line="360" w:lineRule="auto"/>
      </w:pPr>
      <w:r w:rsidRPr="002A0C60">
        <w:t xml:space="preserve">Krijgt de stille pandhouder of een derde de zaak echter nog in zijn macht na de vestiging van het pandrecht dan zal het stil pandrecht een vuistpand </w:t>
      </w:r>
      <w:r w:rsidR="002C4AE7" w:rsidRPr="002A0C60">
        <w:t>worden</w:t>
      </w:r>
      <w:r w:rsidRPr="002A0C60">
        <w:t xml:space="preserve"> en zal de pandhouder wel van de bescherming van artikel 3:86 lid 2 Nieuw Burgerlijk Wetboek kunnen genieten.</w:t>
      </w:r>
      <w:r w:rsidRPr="002A0C60">
        <w:rPr>
          <w:rStyle w:val="Voetnootmarkering"/>
        </w:rPr>
        <w:footnoteReference w:id="204"/>
      </w:r>
    </w:p>
    <w:p w14:paraId="229345C7" w14:textId="0BF9AE02" w:rsidR="00C21E6E" w:rsidRPr="002A0C60" w:rsidRDefault="00C21E6E" w:rsidP="00C21E6E">
      <w:pPr>
        <w:pStyle w:val="Nummer"/>
        <w:spacing w:line="360" w:lineRule="auto"/>
      </w:pPr>
      <w:r w:rsidRPr="002A0C60">
        <w:rPr>
          <w:smallCaps/>
        </w:rPr>
        <w:t xml:space="preserve">Draft Common Frame of Reference - </w:t>
      </w:r>
      <w:r w:rsidRPr="002A0C60">
        <w:t xml:space="preserve">In het </w:t>
      </w:r>
      <w:r w:rsidRPr="002A0C60">
        <w:rPr>
          <w:i/>
        </w:rPr>
        <w:t xml:space="preserve">Draft Common Frame of Reference </w:t>
      </w:r>
      <w:r w:rsidRPr="002A0C60">
        <w:t xml:space="preserve">vinden we dan weer wel een bescherming voor de pandhouder te goeder trouw. Daar wordt in artikel 2:108 van boek IX gesteld dat wanneer de pandgever geen recht of bevoegdheid had om een pandrecht te creëren over een bepaald goed, de pandhouder toch een pandrecht zal verkrijgen wanneer twee voorwaarden vervuld zijn. Ten eerste moet het goed waarop het pandrecht rust in handen zijn van de pandhouder ofwel als dit noodzakelijk is moet het </w:t>
      </w:r>
      <w:r w:rsidRPr="002A0C60">
        <w:lastRenderedPageBreak/>
        <w:t>pandrecht geregistreerd zijn in een nationaal of internationaal pandregister op het ogenblik dat het pandrecht gecreëerd wordt. Ten tweede mag de pandhouder niet weten of niet behoren te weten dat de pandgever niet bevoegd was. De pandhouder moet dus te goeder trouw zijn.</w:t>
      </w:r>
      <w:r w:rsidRPr="002A0C60">
        <w:rPr>
          <w:rStyle w:val="Voetnootmarkering"/>
        </w:rPr>
        <w:footnoteReference w:id="205"/>
      </w:r>
    </w:p>
    <w:p w14:paraId="06E8B27F" w14:textId="77777777" w:rsidR="00C21E6E" w:rsidRPr="002A0C60" w:rsidRDefault="00C21E6E" w:rsidP="00C21E6E">
      <w:pPr>
        <w:pStyle w:val="Nummer"/>
        <w:numPr>
          <w:ilvl w:val="0"/>
          <w:numId w:val="0"/>
        </w:numPr>
        <w:spacing w:line="360" w:lineRule="auto"/>
      </w:pPr>
      <w:r w:rsidRPr="002A0C60">
        <w:t>De verkrijging te goeder trouw van een pandrecht is echter uitgesloten wanneer het goed waarop het pandrecht rust verkregen is door diefstal van de werkelijke eigenaar of van de persoon die dat goed in zijn bezit had voor rekening van de eigenaar.</w:t>
      </w:r>
      <w:r w:rsidRPr="002A0C60">
        <w:rPr>
          <w:rStyle w:val="Voetnootmarkering"/>
        </w:rPr>
        <w:footnoteReference w:id="206"/>
      </w:r>
      <w:r w:rsidRPr="002A0C60">
        <w:t xml:space="preserve"> Dit is niet het geval in Belgische recht, ook in het geval van diefstal is beroep op artikel 6 Pandwet mogelijk.</w:t>
      </w:r>
    </w:p>
    <w:p w14:paraId="6BBF576C" w14:textId="3C403AF0" w:rsidR="00257C36" w:rsidRPr="002A0C60" w:rsidRDefault="00257C36" w:rsidP="005E187E">
      <w:pPr>
        <w:pStyle w:val="Kop4"/>
        <w:spacing w:line="360" w:lineRule="auto"/>
      </w:pPr>
      <w:bookmarkStart w:id="61" w:name="_Toc449982228"/>
      <w:r w:rsidRPr="002A0C60">
        <w:t>Bescherming pandhouder handelszaak</w:t>
      </w:r>
      <w:r w:rsidR="00FE78F4" w:rsidRPr="002A0C60">
        <w:t xml:space="preserve"> en landbouwvoorrecht</w:t>
      </w:r>
      <w:bookmarkEnd w:id="61"/>
    </w:p>
    <w:p w14:paraId="2689A7F9" w14:textId="23FB352D" w:rsidR="00257C36" w:rsidRPr="002A0C60" w:rsidRDefault="00257C36" w:rsidP="005E187E">
      <w:pPr>
        <w:pStyle w:val="Nummer"/>
        <w:spacing w:after="200" w:line="360" w:lineRule="auto"/>
      </w:pPr>
      <w:r w:rsidRPr="002A0C60">
        <w:rPr>
          <w:smallCaps/>
        </w:rPr>
        <w:t xml:space="preserve">Bescherming pandhouder handelszaak - </w:t>
      </w:r>
      <w:r w:rsidRPr="002A0C60">
        <w:t>Aangezien artikel</w:t>
      </w:r>
      <w:r w:rsidR="00FE78F4" w:rsidRPr="002A0C60">
        <w:t xml:space="preserve"> 6</w:t>
      </w:r>
      <w:r w:rsidRPr="002A0C60">
        <w:t xml:space="preserve"> opgenomen is in het algemene deel van de Pandwet is het zowel van toepassing op het vuistpand als op het registerpand. Onder het huidige recht echter wordt aangenomen dat de pandhouder op de handelszaak, die een registerpandhouder is, geen beroep kan doen op artikel 2279 Burgerlijk Wetboek omdat deze niet in het bezit is van het goed </w:t>
      </w:r>
      <w:r w:rsidRPr="00A2087B">
        <w:t>(</w:t>
      </w:r>
      <w:r w:rsidRPr="00A2087B">
        <w:rPr>
          <w:i/>
        </w:rPr>
        <w:t>supra</w:t>
      </w:r>
      <w:r w:rsidR="00FE78F4" w:rsidRPr="00A2087B">
        <w:t>, nr.</w:t>
      </w:r>
      <w:r w:rsidR="00A2087B" w:rsidRPr="00A2087B">
        <w:t>58</w:t>
      </w:r>
      <w:r w:rsidRPr="00A2087B">
        <w:t>).</w:t>
      </w:r>
      <w:r w:rsidRPr="002A0C60">
        <w:t xml:space="preserve"> </w:t>
      </w:r>
      <w:r w:rsidR="00FE78F4" w:rsidRPr="002A0C60">
        <w:t>De Wet met betrekking tot het pand op de handelzaak wordt afgeschaft door de nieuwe Pandet, maar v</w:t>
      </w:r>
      <w:r w:rsidRPr="002A0C60">
        <w:t xml:space="preserve">olgens artikel 7 Pandwet kan pandovereenkomst ook een handelszaak tot voorwerp hebben. Het pand op deze handelszaak volgt dan de regels van een gewoon registerpand. Hierdoor zal onder de nieuwe Pandwet de pandhouder van een handelszaak wel beroep kunnen doen de bescherming van artikel 2279 Burgerlijk Wetboek.  </w:t>
      </w:r>
    </w:p>
    <w:p w14:paraId="0721CFB3" w14:textId="4B2E3467" w:rsidR="00FE78F4" w:rsidRPr="002A0C60" w:rsidRDefault="00FE78F4" w:rsidP="005E187E">
      <w:pPr>
        <w:pStyle w:val="Nummer"/>
        <w:spacing w:after="200" w:line="360" w:lineRule="auto"/>
      </w:pPr>
      <w:r w:rsidRPr="002A0C60">
        <w:rPr>
          <w:smallCaps/>
        </w:rPr>
        <w:t xml:space="preserve">Bescherming houder landbouwvoorrecht -  </w:t>
      </w:r>
      <w:r w:rsidRPr="002A0C60">
        <w:t xml:space="preserve">De houder van een landbouwvoorrecht kan al onder de huidige regeling een beroep doen op de bescherming van artikel 2279 Burgerlijk Wetboek dankzij de gelijkstelling met het voorrecht van de verhuurder </w:t>
      </w:r>
      <w:r w:rsidRPr="00A2087B">
        <w:t>(</w:t>
      </w:r>
      <w:r w:rsidRPr="00A2087B">
        <w:rPr>
          <w:i/>
        </w:rPr>
        <w:t xml:space="preserve">supra, </w:t>
      </w:r>
      <w:r w:rsidRPr="00A2087B">
        <w:t>nr.</w:t>
      </w:r>
      <w:r w:rsidR="00A2087B" w:rsidRPr="00A2087B">
        <w:t xml:space="preserve"> 62</w:t>
      </w:r>
      <w:r w:rsidRPr="00A2087B">
        <w:t>).</w:t>
      </w:r>
      <w:r w:rsidRPr="00A2087B">
        <w:rPr>
          <w:rStyle w:val="Voetnootmarkering"/>
        </w:rPr>
        <w:footnoteReference w:id="207"/>
      </w:r>
      <w:r w:rsidRPr="002A0C60">
        <w:t xml:space="preserve"> Ook de nieuwe Pandwet beschermt de houder van een landbouwvoor</w:t>
      </w:r>
      <w:r w:rsidR="00C718A0">
        <w:t>r</w:t>
      </w:r>
      <w:r w:rsidRPr="002A0C60">
        <w:t xml:space="preserve">echt. Een </w:t>
      </w:r>
      <w:r w:rsidRPr="002A0C60">
        <w:lastRenderedPageBreak/>
        <w:t>landbouwexploitatie kan namelijk ook het voorwerp uitmaken van een pand, zowel een vuistpand als een registerpand. En valt dus bijgevolg onder artikel 6 Pandwet.</w:t>
      </w:r>
      <w:r w:rsidRPr="002A0C60">
        <w:rPr>
          <w:rStyle w:val="Voetnootmarkering"/>
        </w:rPr>
        <w:footnoteReference w:id="208"/>
      </w:r>
    </w:p>
    <w:p w14:paraId="09FDB7EE" w14:textId="77777777" w:rsidR="00257C36" w:rsidRPr="002A0C60" w:rsidRDefault="00257C36" w:rsidP="005E187E">
      <w:pPr>
        <w:pStyle w:val="Kop4"/>
        <w:spacing w:line="360" w:lineRule="auto"/>
      </w:pPr>
      <w:bookmarkStart w:id="62" w:name="_Toc449982229"/>
      <w:r w:rsidRPr="002A0C60">
        <w:t>Draagwijdte bescherming</w:t>
      </w:r>
      <w:bookmarkEnd w:id="62"/>
      <w:r w:rsidRPr="002A0C60">
        <w:t xml:space="preserve">  </w:t>
      </w:r>
    </w:p>
    <w:p w14:paraId="587BFC68" w14:textId="0C94B8BF" w:rsidR="00257C36" w:rsidRPr="002A0C60" w:rsidRDefault="00257C36" w:rsidP="00FE78F4">
      <w:pPr>
        <w:pStyle w:val="Nummer"/>
        <w:spacing w:line="360" w:lineRule="auto"/>
      </w:pPr>
      <w:r w:rsidRPr="002A0C60">
        <w:rPr>
          <w:smallCaps/>
        </w:rPr>
        <w:t xml:space="preserve">Registratie beschermt sterker dan bezit - </w:t>
      </w:r>
      <w:r w:rsidRPr="002A0C60">
        <w:t>De pandhouder te goede</w:t>
      </w:r>
      <w:r w:rsidR="00FE78F4" w:rsidRPr="002A0C60">
        <w:t>r</w:t>
      </w:r>
      <w:r w:rsidRPr="002A0C60">
        <w:t xml:space="preserve"> trouw kan zich op artikel 6 tweede lid Pandwet beroepen om zich te beschermen tegen de revindicatievordering van de werkelijke eigenaar.</w:t>
      </w:r>
      <w:r w:rsidRPr="002A0C60">
        <w:rPr>
          <w:rStyle w:val="Voetnootmarkering"/>
        </w:rPr>
        <w:footnoteReference w:id="209"/>
      </w:r>
      <w:r w:rsidRPr="002A0C60">
        <w:t xml:space="preserve"> De pandhouder die te goeder trouw is kan zijn bezit ook tegenwerpen wanneer de goederen gestolen zijn door de pandgever, ook de eerste 3 jaar na diefstal of verlies. Artikel 6 Pandwet neemt namelijk de uitzondering uit lid 2 van artikel 2279 Burgerlijk Wetboek niet over. Men zou dus kunnen stellen dat de registratie van het pand een sterkere vertrouwensbescherming verleent dan het bezit.</w:t>
      </w:r>
      <w:r w:rsidRPr="002A0C60">
        <w:rPr>
          <w:rStyle w:val="Voetnootmarkering"/>
        </w:rPr>
        <w:footnoteReference w:id="210"/>
      </w:r>
      <w:r w:rsidRPr="002A0C60">
        <w:t xml:space="preserve"> </w:t>
      </w:r>
    </w:p>
    <w:p w14:paraId="6F0FC909" w14:textId="2D3DF891" w:rsidR="00257C36" w:rsidRPr="002A0C60" w:rsidRDefault="00257C36" w:rsidP="00FE78F4">
      <w:pPr>
        <w:pStyle w:val="Nummer"/>
        <w:numPr>
          <w:ilvl w:val="0"/>
          <w:numId w:val="0"/>
        </w:numPr>
        <w:spacing w:line="360" w:lineRule="auto"/>
      </w:pPr>
      <w:r w:rsidRPr="002A0C60">
        <w:t>Onder het huidige recht echter kan de pandhouder te goeder trouw tijdens de eerste drie jaren na onvrijwillig bezitsverlies geen beroep doen op artikel 2279 Burgerlijk Wetboek doen om de revindicatievordering van de oorspronkelijke eigenaar af te wenden. Dit houdt in dat de bescherming die wordt</w:t>
      </w:r>
      <w:r w:rsidR="00686001" w:rsidRPr="002A0C60">
        <w:t xml:space="preserve"> geboden</w:t>
      </w:r>
      <w:r w:rsidRPr="002A0C60">
        <w:t xml:space="preserve"> door artikel 6 Pandwet sterker is dan de bescherming die de vuistpandhouder geniet onder het huidige recht. </w:t>
      </w:r>
    </w:p>
    <w:p w14:paraId="4BA0601F" w14:textId="77777777" w:rsidR="00257C36" w:rsidRPr="002A0C60" w:rsidRDefault="00257C36" w:rsidP="00FE78F4">
      <w:pPr>
        <w:pStyle w:val="Nummer"/>
        <w:spacing w:line="360" w:lineRule="auto"/>
      </w:pPr>
      <w:r w:rsidRPr="002A0C60">
        <w:rPr>
          <w:smallCaps/>
        </w:rPr>
        <w:t xml:space="preserve">Goede trouw - </w:t>
      </w:r>
      <w:r w:rsidRPr="002A0C60">
        <w:t xml:space="preserve">Om te weten of de pandhouder te goeder trouw was moet worden nagegaan of hij er bij het sluiten van de overeenkomst op kon vertrouwen dat de pandgever eigenaar was van de goederen of rechtmatig bevoegd was om over deze goederen te beschikken. De goede trouw van de pandhouder heeft geen betrekking op het eigendomsrecht van de pandgever, maar op zijn bevoegdheid om het goed aan het pandrecht te onderwerpen. Het vertrouwen dient rechtmatig te zijn, dit houdt in dat de pandhouder niet te goeder trouw zal zijn wanneer van hem als professional kan worden verwacht dat hij nagaat of de pandhouder wel effectief eigenaar is van het voorwerp van het pand of minstens bevoegd was </w:t>
      </w:r>
      <w:r w:rsidRPr="002A0C60">
        <w:lastRenderedPageBreak/>
        <w:t>om over het goed te beschikken.</w:t>
      </w:r>
      <w:r w:rsidRPr="002A0C60">
        <w:rPr>
          <w:rStyle w:val="Voetnootmarkering"/>
        </w:rPr>
        <w:footnoteReference w:id="211"/>
      </w:r>
      <w:r w:rsidRPr="002A0C60">
        <w:t xml:space="preserve"> Deze invulling van de goede trouw stemt overeen met de invulling onder het huidige recht. </w:t>
      </w:r>
    </w:p>
    <w:p w14:paraId="629456DB" w14:textId="171226CC" w:rsidR="00257C36" w:rsidRPr="002A0C60" w:rsidRDefault="00257C36" w:rsidP="00CB2C84">
      <w:pPr>
        <w:pStyle w:val="Nummer"/>
        <w:spacing w:line="360" w:lineRule="auto"/>
      </w:pPr>
      <w:r w:rsidRPr="002A0C60">
        <w:rPr>
          <w:smallCaps/>
        </w:rPr>
        <w:t xml:space="preserve">Onderzoeksplicht – </w:t>
      </w:r>
      <w:r w:rsidRPr="002A0C60">
        <w:t>Behoudens wanneer men de hoedanigheid van professioneel heeft rust op de pandhouder geen onderzoeksplicht. Wanneer bijvoorbeeld een geleasede wagen in pand wordt gegeven zal de kredietinstelling zich tegenover de financieringsmaatschappij niet op artikel 6 tweede lid Pandwet kunnen beroepen.</w:t>
      </w:r>
      <w:r w:rsidRPr="002A0C60">
        <w:rPr>
          <w:rStyle w:val="Voetnootmarkering"/>
        </w:rPr>
        <w:footnoteReference w:id="212"/>
      </w:r>
      <w:r w:rsidRPr="002A0C60">
        <w:t xml:space="preserve"> Onder de nieuwe Pandwet hangt het al dan niet hebben van een onderzoeksplicht dus af van minder voorwaarden dan onder het huidige recht. Daar hangt het al dan niet hebben van een onderzoeksplicht niet enkel af van de professionele hoedanigheid van de pandhouder, maar ook van deze van de </w:t>
      </w:r>
      <w:r w:rsidR="00873E35" w:rsidRPr="002A0C60">
        <w:t>pandgever</w:t>
      </w:r>
      <w:r w:rsidRPr="002A0C60">
        <w:t xml:space="preserve">, van de de aard van de zaak en de aard van de verzekerde </w:t>
      </w:r>
      <w:r w:rsidRPr="00A2087B">
        <w:t>schuldvordering (</w:t>
      </w:r>
      <w:r w:rsidRPr="00A2087B">
        <w:rPr>
          <w:i/>
        </w:rPr>
        <w:t>supra</w:t>
      </w:r>
      <w:r w:rsidR="00CB2C84" w:rsidRPr="00A2087B">
        <w:rPr>
          <w:i/>
        </w:rPr>
        <w:t>,</w:t>
      </w:r>
      <w:r w:rsidRPr="00A2087B">
        <w:rPr>
          <w:i/>
        </w:rPr>
        <w:t xml:space="preserve"> </w:t>
      </w:r>
      <w:r w:rsidR="00CB2C84" w:rsidRPr="00A2087B">
        <w:t>nr.</w:t>
      </w:r>
      <w:r w:rsidR="00A2087B" w:rsidRPr="00A2087B">
        <w:t xml:space="preserve"> 51</w:t>
      </w:r>
      <w:r w:rsidRPr="00A2087B">
        <w:t>).</w:t>
      </w:r>
      <w:r w:rsidRPr="00A2087B">
        <w:rPr>
          <w:rStyle w:val="Voetnootmarkering"/>
        </w:rPr>
        <w:footnoteReference w:id="213"/>
      </w:r>
    </w:p>
    <w:p w14:paraId="73024CA7" w14:textId="2B80E1E1" w:rsidR="00372021" w:rsidRPr="002A0C60" w:rsidRDefault="00257C36" w:rsidP="00372021">
      <w:pPr>
        <w:pStyle w:val="Nummer"/>
        <w:spacing w:line="360" w:lineRule="auto"/>
      </w:pPr>
      <w:r w:rsidRPr="002A0C60">
        <w:rPr>
          <w:smallCaps/>
        </w:rPr>
        <w:t xml:space="preserve">Vereiste tot tegenwerpelijk maken – </w:t>
      </w:r>
      <w:r w:rsidRPr="002A0C60">
        <w:t xml:space="preserve">De pandhouder kan zich slechts op zijn pandrecht beroepen tegenover de werkelijke eigenaar wanneer hij door buitenbezitstelling of registratie zijn pandrecht tegenwerpelijk gemaakt heeft aan derden. Dit wordt niet uitdrukkelijk vereist door artikel 6 Pandwet, maar het is evident dat aan deze voorwaarde moet voldaan worden. </w:t>
      </w:r>
      <w:r w:rsidR="00873E35" w:rsidRPr="002A0C60">
        <w:t>De werkelijke eigenaar</w:t>
      </w:r>
      <w:r w:rsidRPr="002A0C60">
        <w:t xml:space="preserve"> zal de persoon die niet tot inpandgeving bevoegd was moeten aanspreken om een </w:t>
      </w:r>
      <w:r w:rsidR="00873E35" w:rsidRPr="002A0C60">
        <w:t xml:space="preserve">schadevergoeding te verkrijgen </w:t>
      </w:r>
      <w:r w:rsidRPr="002A0C60">
        <w:t>ter vergoeding van de schade die het gevolg is van het bezwaren van het goed met een pandrecht.</w:t>
      </w:r>
      <w:r w:rsidRPr="002A0C60">
        <w:rPr>
          <w:rStyle w:val="Voetnootmarkering"/>
        </w:rPr>
        <w:footnoteReference w:id="214"/>
      </w:r>
    </w:p>
    <w:p w14:paraId="1E87BE33" w14:textId="3A4397B5" w:rsidR="00372021" w:rsidRPr="002A0C60" w:rsidRDefault="00372021" w:rsidP="00372021">
      <w:pPr>
        <w:pStyle w:val="Nummer"/>
        <w:numPr>
          <w:ilvl w:val="0"/>
          <w:numId w:val="0"/>
        </w:numPr>
        <w:spacing w:line="360" w:lineRule="auto"/>
      </w:pPr>
      <w:r w:rsidRPr="002A0C60">
        <w:rPr>
          <w:smallCaps/>
        </w:rPr>
        <w:t>Publicatie beschermt ook andere schuldeisers</w:t>
      </w:r>
      <w:r w:rsidRPr="002A0C60">
        <w:t xml:space="preserve"> - </w:t>
      </w:r>
      <w:r w:rsidR="00257C36" w:rsidRPr="002A0C60">
        <w:t>Het feit dat pandrechten gepubliceerd worden maakt het ook voor andere schuldeisers mogelijk om hun kredietvoorwaarden aan te passen aan al dan niet bestaande zekerheden. Wanneer een goed namelijk al bezwaard is met een zekerheidsrecht zullen de schuldeisers die niet in eerste rang komen vaak helemaal niet meer van de opbrengst van het onderpand genieten. Dit zorgt er natuurlijk voor dat zij een groter risico lopen. Als zij hiervan op de hoogte zijn kunnen ze dat risico indekken door bijvoorbeeld een hogere interest aan te rekenen.</w:t>
      </w:r>
      <w:r w:rsidR="00257C36" w:rsidRPr="002A0C60">
        <w:rPr>
          <w:rStyle w:val="Voetnootmarkering"/>
        </w:rPr>
        <w:footnoteReference w:id="215"/>
      </w:r>
    </w:p>
    <w:p w14:paraId="36598A5E" w14:textId="43B555EA" w:rsidR="00257C36" w:rsidRPr="002A0C60" w:rsidRDefault="00257C36" w:rsidP="00EA63FC">
      <w:pPr>
        <w:pStyle w:val="Nummer"/>
        <w:numPr>
          <w:ilvl w:val="0"/>
          <w:numId w:val="0"/>
        </w:numPr>
        <w:spacing w:line="360" w:lineRule="auto"/>
      </w:pPr>
      <w:r w:rsidRPr="002A0C60">
        <w:lastRenderedPageBreak/>
        <w:t xml:space="preserve">Als het niet mogelijk zou zijn om de kredietvoorwaarden aan te passen kan de schuldenaar een akkoord sluiten met zijn grootste schuldeiser, in normale omstandigheden zijn huisbankier. Zij hoeven zich namelijk niets aan te trekken van de negatieve gevolgen voor de chirografaire schuldeisers, wat tot </w:t>
      </w:r>
      <w:r w:rsidR="002A0C60" w:rsidRPr="002A0C60">
        <w:t>waarde vernietigende</w:t>
      </w:r>
      <w:r w:rsidRPr="002A0C60">
        <w:t xml:space="preserve"> transacties kan leiden. De huisbankier en de schuldenaar zullen zelfs een transactie sluiten wanneer het nadeel</w:t>
      </w:r>
      <w:r w:rsidR="008560DC" w:rsidRPr="002A0C60">
        <w:t xml:space="preserve"> dat</w:t>
      </w:r>
      <w:r w:rsidRPr="002A0C60">
        <w:t xml:space="preserve"> berokkend</w:t>
      </w:r>
      <w:r w:rsidR="008560DC" w:rsidRPr="002A0C60">
        <w:t xml:space="preserve"> wordt</w:t>
      </w:r>
      <w:r w:rsidRPr="002A0C60">
        <w:t xml:space="preserve"> aan de chirografaire schuldeiser disproportioneel hoog</w:t>
      </w:r>
      <w:r w:rsidR="008560DC" w:rsidRPr="002A0C60">
        <w:t xml:space="preserve"> is</w:t>
      </w:r>
      <w:r w:rsidRPr="002A0C60">
        <w:t xml:space="preserve"> ten aanzien van het voordeel dat zij </w:t>
      </w:r>
      <w:r w:rsidR="008560DC" w:rsidRPr="002A0C60">
        <w:t>uit de transactie</w:t>
      </w:r>
      <w:r w:rsidRPr="002A0C60">
        <w:t xml:space="preserve"> halen.</w:t>
      </w:r>
      <w:r w:rsidRPr="002A0C60">
        <w:rPr>
          <w:rStyle w:val="Voetnootmarkering"/>
        </w:rPr>
        <w:footnoteReference w:id="216"/>
      </w:r>
    </w:p>
    <w:p w14:paraId="2F49183B" w14:textId="0CA1D144" w:rsidR="00257C36" w:rsidRPr="002A0C60" w:rsidRDefault="00257C36" w:rsidP="00EA63FC">
      <w:pPr>
        <w:pStyle w:val="Nummer"/>
        <w:numPr>
          <w:ilvl w:val="0"/>
          <w:numId w:val="0"/>
        </w:numPr>
        <w:spacing w:line="360" w:lineRule="auto"/>
        <w:rPr>
          <w:i/>
        </w:rPr>
      </w:pPr>
      <w:r w:rsidRPr="002A0C60">
        <w:t>Hierin ligt ook de meerwaarde van het pandregister, namelijk het inlichten van de kleine chirografaire schuldeisers en het inlichten van de derde-verkrijgers (</w:t>
      </w:r>
      <w:r w:rsidRPr="002A0C60">
        <w:rPr>
          <w:i/>
        </w:rPr>
        <w:t>infra</w:t>
      </w:r>
      <w:r w:rsidR="00EA63FC" w:rsidRPr="002A0C60">
        <w:rPr>
          <w:i/>
        </w:rPr>
        <w:t xml:space="preserve">, </w:t>
      </w:r>
      <w:r w:rsidR="00EA63FC" w:rsidRPr="002A0C60">
        <w:t>nr.</w:t>
      </w:r>
      <w:r w:rsidR="002566FD">
        <w:t xml:space="preserve"> 113</w:t>
      </w:r>
      <w:r w:rsidRPr="002A0C60">
        <w:rPr>
          <w:i/>
        </w:rPr>
        <w:t>).</w:t>
      </w:r>
      <w:r w:rsidRPr="002A0C60">
        <w:rPr>
          <w:rStyle w:val="Voetnootmarkering"/>
        </w:rPr>
        <w:footnoteReference w:id="217"/>
      </w:r>
    </w:p>
    <w:p w14:paraId="29CF7B82" w14:textId="5EDFE8F7" w:rsidR="00257C36" w:rsidRDefault="00257C36" w:rsidP="005E187E">
      <w:pPr>
        <w:pStyle w:val="Kop2"/>
        <w:spacing w:line="360" w:lineRule="auto"/>
      </w:pPr>
      <w:r w:rsidRPr="002A0C60">
        <w:tab/>
      </w:r>
      <w:bookmarkStart w:id="63" w:name="_Toc449982230"/>
      <w:r w:rsidRPr="002A0C60">
        <w:t xml:space="preserve">BESCHERMING VAN DE </w:t>
      </w:r>
      <w:r w:rsidR="00C10342" w:rsidRPr="002A0C60">
        <w:t>verkrijger</w:t>
      </w:r>
      <w:r w:rsidRPr="002A0C60">
        <w:t xml:space="preserve"> TE GOEDER TROUW</w:t>
      </w:r>
      <w:bookmarkEnd w:id="63"/>
    </w:p>
    <w:p w14:paraId="043D8A3D" w14:textId="7BDB4DDA" w:rsidR="00257C36" w:rsidRPr="002A0C60" w:rsidRDefault="00257C36" w:rsidP="00966EEB">
      <w:pPr>
        <w:pStyle w:val="Nummer"/>
        <w:numPr>
          <w:ilvl w:val="0"/>
          <w:numId w:val="0"/>
        </w:numPr>
        <w:spacing w:line="360" w:lineRule="auto"/>
      </w:pPr>
      <w:r w:rsidRPr="002A0C60">
        <w:t>In dit hoofdstuk wordt besproken hoe de derde-verkrijger te goeder trouw al dan niet beschermd wordt wanneer deze het in pand gegeven goed verkrijgt van de pandgever. Aangezien de nieuwe Pandwet het mogelijk maakt om een pandovereenkomst te sluiten zonder buitenbezitstelling is de kans reëel dat de pandgever dit goed zal vervreemden (</w:t>
      </w:r>
      <w:r w:rsidRPr="00966EEB">
        <w:rPr>
          <w:i/>
        </w:rPr>
        <w:t xml:space="preserve">supra, </w:t>
      </w:r>
      <w:r w:rsidRPr="002A0C60">
        <w:t>nr.</w:t>
      </w:r>
      <w:r w:rsidR="00966EEB">
        <w:t xml:space="preserve"> 2</w:t>
      </w:r>
      <w:r w:rsidRPr="002A0C60">
        <w:t xml:space="preserve">). De vraag die moet worden beantwoord is of de derde-verkrijger een beroep kan doen op de bescherming van artikel 2279 Burgerlijk Wetboek. In deze hypothese is de pandgever de onbevoegde beschikker en wordt de koper beschouwd als derde-verkrijger. </w:t>
      </w:r>
    </w:p>
    <w:p w14:paraId="47ECF2E4" w14:textId="0FF98CF6" w:rsidR="00257C36" w:rsidRPr="002A0C60" w:rsidRDefault="00257C36" w:rsidP="005E187E">
      <w:pPr>
        <w:pStyle w:val="Nummer"/>
        <w:numPr>
          <w:ilvl w:val="0"/>
          <w:numId w:val="0"/>
        </w:numPr>
        <w:spacing w:after="200" w:line="360" w:lineRule="auto"/>
        <w:rPr>
          <w:sz w:val="20"/>
          <w:szCs w:val="20"/>
        </w:rPr>
      </w:pPr>
      <w:r w:rsidRPr="002A0C60">
        <w:rPr>
          <w:sz w:val="20"/>
          <w:szCs w:val="20"/>
          <w:u w:val="single"/>
        </w:rPr>
        <w:t>Voorbeeld</w:t>
      </w:r>
      <w:r w:rsidRPr="002A0C60">
        <w:rPr>
          <w:sz w:val="20"/>
          <w:szCs w:val="20"/>
        </w:rPr>
        <w:t xml:space="preserve">: Een fabrikant A van tapijten geeft zijn weefmachines in pand aan een bank B om krediet te verkrijgen. A beslist echter nadat de pandovereenkomst gesloten is om een aantal van deze weefmachines te verkopen aan C, een andere fabrikant van tapijten. In dit voorbeeld neemt A de positie in van onbevoegde beschikker (pandgever) </w:t>
      </w:r>
      <w:r w:rsidR="0077523D" w:rsidRPr="002A0C60">
        <w:rPr>
          <w:sz w:val="20"/>
          <w:szCs w:val="20"/>
        </w:rPr>
        <w:t>en C</w:t>
      </w:r>
      <w:r w:rsidRPr="002A0C60">
        <w:rPr>
          <w:sz w:val="20"/>
          <w:szCs w:val="20"/>
        </w:rPr>
        <w:t xml:space="preserve"> deze van derde-verkrijger (koper). </w:t>
      </w:r>
    </w:p>
    <w:p w14:paraId="04D1D4CE" w14:textId="198305AF" w:rsidR="002E5F72" w:rsidRPr="002A0C60" w:rsidRDefault="002E5F72" w:rsidP="00A15B49">
      <w:pPr>
        <w:pStyle w:val="Kop3"/>
      </w:pPr>
      <w:bookmarkStart w:id="64" w:name="_Toc449982231"/>
      <w:r w:rsidRPr="002A0C60">
        <w:t xml:space="preserve">Volgrecht en </w:t>
      </w:r>
      <w:r w:rsidR="00A15B49" w:rsidRPr="002A0C60">
        <w:t>beroep op artikel 2279 Burgerlijk Wetboek</w:t>
      </w:r>
      <w:bookmarkEnd w:id="64"/>
      <w:r w:rsidRPr="002A0C60">
        <w:t xml:space="preserve"> </w:t>
      </w:r>
    </w:p>
    <w:p w14:paraId="1BF8BC19" w14:textId="28FDFCA2" w:rsidR="003333D1" w:rsidRPr="002A0C60" w:rsidRDefault="00257C36" w:rsidP="005E187E">
      <w:pPr>
        <w:pStyle w:val="Nummer"/>
        <w:spacing w:line="360" w:lineRule="auto"/>
      </w:pPr>
      <w:r w:rsidRPr="002A0C60">
        <w:rPr>
          <w:smallCaps/>
        </w:rPr>
        <w:t xml:space="preserve">Beroep op artikel 2279 Pandwet – </w:t>
      </w:r>
      <w:r w:rsidRPr="002A0C60">
        <w:t>Om aan het risico dat de pandgever de in pand gegeven goederen vervreemdt tegemoet te komen</w:t>
      </w:r>
      <w:r w:rsidR="00154DDB">
        <w:t>,</w:t>
      </w:r>
      <w:r w:rsidRPr="002A0C60">
        <w:t xml:space="preserve"> voert artikel 24 lid 1 Pandwet een volgrecht in voor in pand</w:t>
      </w:r>
      <w:r w:rsidR="00072260" w:rsidRPr="002A0C60">
        <w:t xml:space="preserve"> </w:t>
      </w:r>
      <w:r w:rsidRPr="002A0C60">
        <w:t xml:space="preserve">gegeven goederen. Het pandrecht volgt de goederen in welke handen zij ook overgaan. Een volgrecht bestaat onder het huidige recht ook al voor de pandhouder van de handelszaak en voor de houder van een landbouwvoorrecht. De wetgever </w:t>
      </w:r>
      <w:r w:rsidRPr="002A0C60">
        <w:lastRenderedPageBreak/>
        <w:t xml:space="preserve">heeft er echter voor gekozen om onder de nieuwe Pandwet een algemeen volgrecht toe te kennen in plaats van een volgrecht dat beperkt is in de tijd en in voorwerp </w:t>
      </w:r>
      <w:r w:rsidRPr="00A2087B">
        <w:t>(</w:t>
      </w:r>
      <w:r w:rsidRPr="00A2087B">
        <w:rPr>
          <w:i/>
        </w:rPr>
        <w:t xml:space="preserve">supra, </w:t>
      </w:r>
      <w:r w:rsidRPr="00A2087B">
        <w:t>nr.</w:t>
      </w:r>
      <w:r w:rsidR="00966EEB">
        <w:t xml:space="preserve"> 67, 74</w:t>
      </w:r>
      <w:r w:rsidRPr="00A2087B">
        <w:t>).</w:t>
      </w:r>
      <w:r w:rsidR="003333D1" w:rsidRPr="00A2087B">
        <w:rPr>
          <w:rStyle w:val="Voetnootmarkering"/>
        </w:rPr>
        <w:footnoteReference w:id="218"/>
      </w:r>
    </w:p>
    <w:p w14:paraId="1D5A418A" w14:textId="3AA7A950" w:rsidR="00257C36" w:rsidRPr="002A0C60" w:rsidRDefault="003333D1" w:rsidP="005E187E">
      <w:pPr>
        <w:pStyle w:val="Nummer"/>
        <w:spacing w:line="360" w:lineRule="auto"/>
      </w:pPr>
      <w:r w:rsidRPr="002A0C60">
        <w:rPr>
          <w:smallCaps/>
        </w:rPr>
        <w:t xml:space="preserve">Beroep op artikel 2279 BW - </w:t>
      </w:r>
      <w:r w:rsidR="00257C36" w:rsidRPr="002A0C60">
        <w:t xml:space="preserve">Het tweede lid van </w:t>
      </w:r>
      <w:r w:rsidRPr="002A0C60">
        <w:t xml:space="preserve">artikel 24 </w:t>
      </w:r>
      <w:r w:rsidR="00257C36" w:rsidRPr="002A0C60">
        <w:t>stelt het eerste lid echter buiten toepassing wanneer de verkrijger zich kan beroepen op artikel 2279 Burgerlijk Wetboek. Dit houdt in dat de in pand gegeven goederen onbezwaard van het pandrecht zullen overgaan wanneer een beroep op artikel 2279 Burgerlijk Wetboek mogelijk is</w:t>
      </w:r>
      <w:r w:rsidR="00154DDB">
        <w:t xml:space="preserve"> (</w:t>
      </w:r>
      <w:r w:rsidR="00154DDB">
        <w:rPr>
          <w:i/>
        </w:rPr>
        <w:t xml:space="preserve">infra, </w:t>
      </w:r>
      <w:r w:rsidR="00154DDB">
        <w:t>nr. 100)</w:t>
      </w:r>
      <w:r w:rsidR="00257C36" w:rsidRPr="002A0C60">
        <w:t>.</w:t>
      </w:r>
      <w:r w:rsidR="00257C36" w:rsidRPr="002A0C60">
        <w:rPr>
          <w:rStyle w:val="Voetnootmarkering"/>
        </w:rPr>
        <w:footnoteReference w:id="219"/>
      </w:r>
      <w:r w:rsidR="006E46AD" w:rsidRPr="002A0C60">
        <w:t xml:space="preserve"> </w:t>
      </w:r>
    </w:p>
    <w:p w14:paraId="70168049" w14:textId="057A4699" w:rsidR="00854625" w:rsidRPr="002A0C60" w:rsidRDefault="00854625" w:rsidP="006E46AD">
      <w:pPr>
        <w:pStyle w:val="Nummer"/>
        <w:numPr>
          <w:ilvl w:val="0"/>
          <w:numId w:val="0"/>
        </w:numPr>
        <w:spacing w:line="360" w:lineRule="auto"/>
      </w:pPr>
      <w:r w:rsidRPr="002A0C60">
        <w:t xml:space="preserve">Ook het Franse recht geeft aan de pandhouder een volgrecht op de in pand gegeven goederen bij een </w:t>
      </w:r>
      <w:r w:rsidRPr="002A0C60">
        <w:rPr>
          <w:i/>
        </w:rPr>
        <w:t xml:space="preserve">“gage sans dépossession”. </w:t>
      </w:r>
      <w:r w:rsidRPr="002A0C60">
        <w:t xml:space="preserve">In het Franse recht wordt artikel 2276 Code Civil français </w:t>
      </w:r>
      <w:r w:rsidR="00A748DA" w:rsidRPr="002A0C60">
        <w:t>echter</w:t>
      </w:r>
      <w:r w:rsidRPr="002A0C60">
        <w:t xml:space="preserve"> buiten werking gesteld voor </w:t>
      </w:r>
      <w:r w:rsidR="00A748DA" w:rsidRPr="002A0C60">
        <w:t xml:space="preserve">alle </w:t>
      </w:r>
      <w:r w:rsidRPr="002A0C60">
        <w:t>derde-verkrijgers te goeder trouw wanneer de pandovereenkomst op een regelmatige manier is geregistreerd.</w:t>
      </w:r>
      <w:r w:rsidRPr="002A0C60">
        <w:rPr>
          <w:rStyle w:val="Voetnootmarkering"/>
        </w:rPr>
        <w:t xml:space="preserve"> </w:t>
      </w:r>
      <w:r w:rsidRPr="002A0C60">
        <w:rPr>
          <w:rStyle w:val="Voetnootmarkering"/>
        </w:rPr>
        <w:footnoteReference w:id="220"/>
      </w:r>
      <w:r w:rsidRPr="002A0C60">
        <w:t xml:space="preserve"> </w:t>
      </w:r>
    </w:p>
    <w:p w14:paraId="44516282" w14:textId="4D172BF1" w:rsidR="007C3569" w:rsidRDefault="00854625" w:rsidP="007C3569">
      <w:pPr>
        <w:pStyle w:val="Nummer"/>
        <w:numPr>
          <w:ilvl w:val="0"/>
          <w:numId w:val="0"/>
        </w:numPr>
        <w:spacing w:line="360" w:lineRule="auto"/>
      </w:pPr>
      <w:r w:rsidRPr="002A0C60">
        <w:lastRenderedPageBreak/>
        <w:t>In tegenstelling tot het Belgische</w:t>
      </w:r>
      <w:r w:rsidR="00154DDB">
        <w:t xml:space="preserve"> recht</w:t>
      </w:r>
      <w:r w:rsidRPr="002A0C60">
        <w:t xml:space="preserve"> blijft in het Franse recht het handelspand echter nog bestaan. De regel van artikel 2237 derde lid Code Civil français is niet van toepassing op dit handelspand. Daarom zal de derde-verkrijger die een goed verkrijgt wel een beroep kunnen doen op artikel 2276 Code Civil français.</w:t>
      </w:r>
      <w:r w:rsidRPr="002A0C60">
        <w:rPr>
          <w:rStyle w:val="Voetnootmarkering"/>
        </w:rPr>
        <w:footnoteReference w:id="221"/>
      </w:r>
      <w:r w:rsidRPr="002A0C60">
        <w:t xml:space="preserve"> </w:t>
      </w:r>
      <w:r w:rsidR="006468F2" w:rsidRPr="002A0C60">
        <w:t>In het Belgische recht daare</w:t>
      </w:r>
      <w:r w:rsidR="003333D1" w:rsidRPr="002A0C60">
        <w:t xml:space="preserve">ntegen valt zowel het </w:t>
      </w:r>
      <w:r w:rsidR="00154DDB">
        <w:t xml:space="preserve">huidige </w:t>
      </w:r>
      <w:r w:rsidR="003333D1" w:rsidRPr="002A0C60">
        <w:t>handelspand als het burgerlijk pand onder de nieuwe Pandwet, beide derde-verkrijgers zullen dus wel een beroep kunnen doen op de bescherming van artikel 2279 Burgerlijk Wetboek.</w:t>
      </w:r>
    </w:p>
    <w:p w14:paraId="3BB9F817" w14:textId="2181A492" w:rsidR="00986707" w:rsidRPr="002A0C60" w:rsidRDefault="00986707" w:rsidP="007C3569">
      <w:pPr>
        <w:pStyle w:val="Nummer"/>
        <w:numPr>
          <w:ilvl w:val="0"/>
          <w:numId w:val="0"/>
        </w:numPr>
        <w:spacing w:line="360" w:lineRule="auto"/>
      </w:pPr>
      <w:r w:rsidRPr="002A0C60">
        <w:t xml:space="preserve">Ook in het Nederlandse recht kan de derde-verkrijger een beroep doen op de bescherming van artikel 3:86 Nieuw Burgerlijk Wetboek. De hypothese dat een pandrecht rust op een goed overgedragen aan derde-verkrijger wordt geregeld door artikel 3:86 lid 2 Nieuw Burgerlijk Wetboek. De voorwaarden voor bescherming zijn dezelfde als onder lid 1 </w:t>
      </w:r>
      <w:r w:rsidRPr="00A2087B">
        <w:t>(</w:t>
      </w:r>
      <w:r w:rsidRPr="00A2087B">
        <w:rPr>
          <w:i/>
        </w:rPr>
        <w:t>supra</w:t>
      </w:r>
      <w:r w:rsidR="00A2087B">
        <w:rPr>
          <w:i/>
        </w:rPr>
        <w:t>,</w:t>
      </w:r>
      <w:r w:rsidRPr="00A2087B">
        <w:rPr>
          <w:i/>
        </w:rPr>
        <w:t xml:space="preserve"> </w:t>
      </w:r>
      <w:r w:rsidRPr="00A2087B">
        <w:t>nr.</w:t>
      </w:r>
      <w:r w:rsidR="00A2087B" w:rsidRPr="00A2087B">
        <w:t xml:space="preserve"> 12</w:t>
      </w:r>
      <w:r w:rsidRPr="00A2087B">
        <w:t>).</w:t>
      </w:r>
      <w:r w:rsidRPr="002A0C60">
        <w:t xml:space="preserve"> Zowel een derde-verkrijger van een stille pandhouder als van een vuistpandhouder kunnen op deze bescherming beroep doen.</w:t>
      </w:r>
      <w:r w:rsidRPr="002A0C60">
        <w:rPr>
          <w:rStyle w:val="Voetnootmarkering"/>
        </w:rPr>
        <w:footnoteReference w:id="222"/>
      </w:r>
    </w:p>
    <w:p w14:paraId="665E5002" w14:textId="77777777" w:rsidR="00E2702A" w:rsidRPr="002A0C60" w:rsidRDefault="00E2702A" w:rsidP="00E2702A">
      <w:pPr>
        <w:pStyle w:val="Nummer"/>
        <w:spacing w:after="200" w:line="360" w:lineRule="auto"/>
      </w:pPr>
      <w:r w:rsidRPr="002A0C60">
        <w:rPr>
          <w:smallCaps/>
        </w:rPr>
        <w:t xml:space="preserve">Voldoen aan voorwaarden artikel 2279 BW - </w:t>
      </w:r>
      <w:r w:rsidRPr="002A0C60">
        <w:t>Opdat een derde-verkrijger zich kan beroepen op artikel 2279 Burgerlijk Wetboek moet er sprake zijn van een deugdelijk bezit en moet deze derde-verkrijger te goeder trouw zijn.</w:t>
      </w:r>
      <w:r w:rsidRPr="002A0C60">
        <w:rPr>
          <w:rStyle w:val="Voetnootmarkering"/>
        </w:rPr>
        <w:footnoteReference w:id="223"/>
      </w:r>
      <w:r w:rsidRPr="002A0C60">
        <w:t xml:space="preserve"> </w:t>
      </w:r>
    </w:p>
    <w:p w14:paraId="5339AAE7" w14:textId="0CFD9A24" w:rsidR="00E2702A" w:rsidRPr="002A0C60" w:rsidRDefault="00E2702A" w:rsidP="00E2702A">
      <w:pPr>
        <w:pStyle w:val="Nummer"/>
        <w:numPr>
          <w:ilvl w:val="0"/>
          <w:numId w:val="0"/>
        </w:numPr>
        <w:spacing w:line="360" w:lineRule="auto"/>
      </w:pPr>
      <w:r w:rsidRPr="002A0C60">
        <w:t>De zin “</w:t>
      </w:r>
      <w:r w:rsidRPr="002A0C60">
        <w:rPr>
          <w:i/>
        </w:rPr>
        <w:t>kende noch behoorde te kennen”</w:t>
      </w:r>
      <w:r w:rsidRPr="002A0C60">
        <w:t xml:space="preserve"> </w:t>
      </w:r>
      <w:r w:rsidR="00154DDB">
        <w:t xml:space="preserve">uit artikel 3:86 lid 2 Nieuw Burgerlijk Wetboek </w:t>
      </w:r>
      <w:r w:rsidRPr="002A0C60">
        <w:t xml:space="preserve">slaat op het feit dat de derde-verkrijger te goeder trouw behoort te zijn. Wanneer het gaat om een vuistpand zal het voor de derde-verkrijger moeilijker zijn om aan de voorwaarden van artikel 3:86 Nieuw Burgerlijk Wetboek te voldoen. De derde-verkrijger zal in dat geval moeilijker te goeder trouw zijn aangezien hij dat goed niet feitelijk in handen zal krijgen, dan in het geval van een stil pandrecht. Het feit dat de zaak zich niet bij de vervreemder bevindt, </w:t>
      </w:r>
      <w:r w:rsidRPr="002A0C60">
        <w:lastRenderedPageBreak/>
        <w:t>zou bij de derde-verkrijger de vraag moeten oproepen of op deze zaak geen beperkt zakelijk recht rust.</w:t>
      </w:r>
      <w:r w:rsidRPr="002A0C60">
        <w:rPr>
          <w:rStyle w:val="Voetnootmarkering"/>
        </w:rPr>
        <w:footnoteReference w:id="224"/>
      </w:r>
      <w:r w:rsidRPr="002A0C60">
        <w:t xml:space="preserve"> </w:t>
      </w:r>
    </w:p>
    <w:p w14:paraId="3145D206" w14:textId="735423EB" w:rsidR="00E2702A" w:rsidRPr="002A0C60" w:rsidRDefault="00E2702A" w:rsidP="00E2702A">
      <w:pPr>
        <w:pStyle w:val="Nummer"/>
        <w:numPr>
          <w:ilvl w:val="0"/>
          <w:numId w:val="0"/>
        </w:numPr>
        <w:spacing w:after="200" w:line="360" w:lineRule="auto"/>
      </w:pPr>
      <w:r w:rsidRPr="002A0C60">
        <w:t xml:space="preserve">Bij een stil pandrecht zal de zaak onder de macht van de pandgever blijven. Zo’n stil pandrecht wordt frequent aangewend in het kader van bedrijfsfinancieringen. </w:t>
      </w:r>
      <w:r w:rsidRPr="002A0C60">
        <w:rPr>
          <w:smallCaps/>
        </w:rPr>
        <w:t xml:space="preserve">Reehuis en Heisterkamp </w:t>
      </w:r>
      <w:r w:rsidRPr="002A0C60">
        <w:t xml:space="preserve">stellen zich de vraag of een derde-verkrijger die op de hoogte is van het veelvuldig gebruik van een stil pandrecht in het bedrijfsleven wel te goeder trouw kan zijn. Het is namelijk vereist dat de derde-verkrijger noch op de hoogte was van het pandrecht, </w:t>
      </w:r>
      <w:r w:rsidR="0077523D" w:rsidRPr="002A0C60">
        <w:t xml:space="preserve">noch </w:t>
      </w:r>
      <w:r w:rsidRPr="002A0C60">
        <w:t>op de hoogte</w:t>
      </w:r>
      <w:r w:rsidR="00154DDB">
        <w:t xml:space="preserve"> behoorde</w:t>
      </w:r>
      <w:r w:rsidRPr="002A0C60">
        <w:t xml:space="preserve"> te zijn. Aan deze invulling van de goede trouw zal de zaak die niet voor doorverkoop bestemd was voldoen, maar een zaak uit de stil verpande handelsvoorraden zal hieraan niet voldoen. Het zou echter in strijd met het handelsverkeer zijn als de derde-verkrijger van zaken uit de handelsvoorraden steeds zou moeten nagaan of hierop een pandrecht rust. </w:t>
      </w:r>
      <w:r w:rsidRPr="002A0C60">
        <w:rPr>
          <w:smallCaps/>
        </w:rPr>
        <w:t xml:space="preserve">Reehuis </w:t>
      </w:r>
      <w:r w:rsidRPr="002A0C60">
        <w:t xml:space="preserve">en </w:t>
      </w:r>
      <w:r w:rsidRPr="002A0C60">
        <w:rPr>
          <w:smallCaps/>
        </w:rPr>
        <w:t>Heisterkamp</w:t>
      </w:r>
      <w:r w:rsidRPr="002A0C60">
        <w:t xml:space="preserve"> stellen dan ook dat het enkele feit dat de derde-verkrijger bedacht moest zijn op een stille verpanding, de goede trouw bij het verkrijgen van handelsvoorraden niet in de weg staat.</w:t>
      </w:r>
      <w:r w:rsidRPr="002A0C60">
        <w:rPr>
          <w:rStyle w:val="Voetnootmarkering"/>
        </w:rPr>
        <w:footnoteReference w:id="225"/>
      </w:r>
      <w:r w:rsidRPr="002A0C60">
        <w:t xml:space="preserve"> </w:t>
      </w:r>
    </w:p>
    <w:p w14:paraId="76767A2F" w14:textId="453D9B16" w:rsidR="00E2702A" w:rsidRPr="002A0C60" w:rsidRDefault="00E2702A" w:rsidP="00E2702A">
      <w:pPr>
        <w:pStyle w:val="Nummer"/>
        <w:numPr>
          <w:ilvl w:val="0"/>
          <w:numId w:val="0"/>
        </w:numPr>
        <w:spacing w:after="200" w:line="360" w:lineRule="auto"/>
      </w:pPr>
      <w:r w:rsidRPr="002A0C60">
        <w:t xml:space="preserve">Een derde-verkrijger wordt in het Nederlandse recht behoorlijk snel beschermd wanneer het gaat om een stil pandrecht. Zo wordt ervan uitgegaan, in lijn met het Hoogovens-Matex arrest, dat een derde-verkrijger bescherming geniet zelfs wanneer hij er rekening mee moest houden dat op een goed een stil pandrecht rustte, maar wanneer hij ervan kon uitgaan dat dit stille pandrecht niet zou worden uitgeoefend. Hiervan mag de derde-verkrijger relatief snel uitgaan. </w:t>
      </w:r>
      <w:r w:rsidRPr="002A0C60">
        <w:rPr>
          <w:smallCaps/>
        </w:rPr>
        <w:t xml:space="preserve">Reehuis </w:t>
      </w:r>
      <w:r w:rsidRPr="002A0C60">
        <w:t>stelt dat een pandhouder helemaal geen reden heeft om zich te verzetten tegen de vervreemding van de verpande zaken binnen het kader van de normale bedrijfsuitoefening.</w:t>
      </w:r>
      <w:r w:rsidRPr="002A0C60">
        <w:rPr>
          <w:rStyle w:val="Voetnootmarkering"/>
        </w:rPr>
        <w:footnoteReference w:id="226"/>
      </w:r>
      <w:r w:rsidRPr="002A0C60">
        <w:t xml:space="preserve"> Een derde-verkrijger hoeft ook niet voorzien te zijn dat er in de pandovereenkomst clausules zouden staan die deze vervreemdingsbevoegd binnen de normale bedrijfsvoering beperken.</w:t>
      </w:r>
      <w:r w:rsidRPr="002A0C60">
        <w:rPr>
          <w:rStyle w:val="Voetnootmarkering"/>
        </w:rPr>
        <w:footnoteReference w:id="227"/>
      </w:r>
    </w:p>
    <w:p w14:paraId="44E9492A" w14:textId="3A3A418E" w:rsidR="00E2702A" w:rsidRPr="002A0C60" w:rsidRDefault="00E2702A" w:rsidP="00E2702A">
      <w:pPr>
        <w:pStyle w:val="Nummer"/>
        <w:numPr>
          <w:ilvl w:val="0"/>
          <w:numId w:val="0"/>
        </w:numPr>
        <w:spacing w:after="200" w:line="360" w:lineRule="auto"/>
      </w:pPr>
      <w:r w:rsidRPr="002A0C60">
        <w:rPr>
          <w:smallCaps/>
        </w:rPr>
        <w:lastRenderedPageBreak/>
        <w:t xml:space="preserve">Van Hoof </w:t>
      </w:r>
      <w:r w:rsidRPr="002A0C60">
        <w:t>stelt dat een derde-verkrijger ervan mag uitgaan dat de stille pandhouder de betalingsmoeilijkheden van de vervreemder kent en dat hij een onbezwaarde vervreemding toestaat zolang hij zijn stil pandrecht niet omzet in een vuistpandrecht.</w:t>
      </w:r>
      <w:r w:rsidRPr="002A0C60">
        <w:rPr>
          <w:rStyle w:val="Voetnootmarkering"/>
        </w:rPr>
        <w:footnoteReference w:id="228"/>
      </w:r>
    </w:p>
    <w:p w14:paraId="1FF930DF" w14:textId="466DFADA" w:rsidR="00257C36" w:rsidRPr="002A0C60" w:rsidRDefault="00A15B49" w:rsidP="00191C74">
      <w:pPr>
        <w:pStyle w:val="Kop3"/>
        <w:jc w:val="both"/>
      </w:pPr>
      <w:bookmarkStart w:id="65" w:name="_Toc449982232"/>
      <w:r w:rsidRPr="002A0C60">
        <w:t>U</w:t>
      </w:r>
      <w:r w:rsidR="00257C36" w:rsidRPr="002A0C60">
        <w:t>itsluiting artikel 2279 Burgerlijk Wetboek voor professionelen</w:t>
      </w:r>
      <w:bookmarkEnd w:id="65"/>
      <w:r w:rsidR="00257C36" w:rsidRPr="002A0C60">
        <w:t xml:space="preserve"> </w:t>
      </w:r>
    </w:p>
    <w:p w14:paraId="090D0FCA" w14:textId="77777777" w:rsidR="001D1D59" w:rsidRPr="002A0C60" w:rsidRDefault="001D1D59" w:rsidP="00191C74">
      <w:pPr>
        <w:pStyle w:val="Kop4"/>
        <w:jc w:val="both"/>
      </w:pPr>
      <w:bookmarkStart w:id="66" w:name="_Toc449982233"/>
      <w:r w:rsidRPr="002A0C60">
        <w:t>Onderscheid professionelen en consumenten</w:t>
      </w:r>
      <w:bookmarkEnd w:id="66"/>
    </w:p>
    <w:p w14:paraId="55237BBE" w14:textId="6CB9596D" w:rsidR="001D1D59" w:rsidRPr="002A0C60" w:rsidRDefault="001D1D59" w:rsidP="00191C74">
      <w:pPr>
        <w:pStyle w:val="Kop5"/>
        <w:jc w:val="both"/>
      </w:pPr>
      <w:bookmarkStart w:id="67" w:name="_Toc449982234"/>
      <w:r w:rsidRPr="002A0C60">
        <w:t>Ratio legis</w:t>
      </w:r>
      <w:bookmarkEnd w:id="67"/>
    </w:p>
    <w:p w14:paraId="3E2289A8" w14:textId="24371C57" w:rsidR="00E2702A" w:rsidRPr="002A0C60" w:rsidRDefault="004538D4" w:rsidP="001D1D59">
      <w:pPr>
        <w:pStyle w:val="Nummer"/>
        <w:spacing w:line="360" w:lineRule="auto"/>
      </w:pPr>
      <w:r w:rsidRPr="002A0C60">
        <w:rPr>
          <w:smallCaps/>
        </w:rPr>
        <w:t xml:space="preserve">Ratio legis - </w:t>
      </w:r>
      <w:r w:rsidR="00257C36" w:rsidRPr="002A0C60">
        <w:t xml:space="preserve">Het lijkt bevreemdend dat een derde-verkrijger een beroep kan doen op artikel 2279 Burgerlijk Wetboek aangezien het pandregister voor de nodige publiciteit zorgt en dit het pand tegenwerpelijk maakt aan iedereen. Men kan zich echter wel de vraag stellen of van een consument kan verwacht worden dat wanneer deze bijvoorbeeld een tweedehandsauto koopt dat hij of zij het pandregister consulteert. Daarom heeft de wetgever voor een genuanceerde oplossing gekozen en de toepassing van artikel 2279 Burgerlijk Wetboek, in tegenstelling tot het Franse recht, waar een algemene uitzondering geldt, enkel </w:t>
      </w:r>
      <w:r w:rsidR="006468F2" w:rsidRPr="002A0C60">
        <w:t>uit te sluiten</w:t>
      </w:r>
      <w:r w:rsidR="00257C36" w:rsidRPr="002A0C60">
        <w:t xml:space="preserve"> wanneer het gaat om </w:t>
      </w:r>
      <w:r w:rsidR="00257C36" w:rsidRPr="002A0C60">
        <w:rPr>
          <w:i/>
        </w:rPr>
        <w:t>“rechtsverkrijgers onder bijzondere titel die handelen in het raam van hun bedrijf of beroep”.</w:t>
      </w:r>
      <w:r w:rsidR="00257C36" w:rsidRPr="002A0C60">
        <w:rPr>
          <w:rStyle w:val="Voetnootmarkering"/>
        </w:rPr>
        <w:footnoteReference w:id="229"/>
      </w:r>
      <w:r w:rsidR="00257C36" w:rsidRPr="002A0C60">
        <w:rPr>
          <w:i/>
        </w:rPr>
        <w:t xml:space="preserve"> </w:t>
      </w:r>
      <w:r w:rsidR="00E2702A" w:rsidRPr="002A0C60">
        <w:t>In het Nederlandse recht wordt geen onderscheid gemaakt tussen een professionele of particuliere derde-verkrijger, beide kunnen in gelijke mate beroep doen op de bescherming van artikel 3:86 Nieuw Burgerlijk Wetboek</w:t>
      </w:r>
      <w:r w:rsidR="001F42EC" w:rsidRPr="002A0C60">
        <w:t xml:space="preserve"> (</w:t>
      </w:r>
      <w:r w:rsidR="00966EEB">
        <w:rPr>
          <w:i/>
        </w:rPr>
        <w:t>supra</w:t>
      </w:r>
      <w:r w:rsidR="001F42EC" w:rsidRPr="002A0C60">
        <w:rPr>
          <w:i/>
        </w:rPr>
        <w:t xml:space="preserve">, </w:t>
      </w:r>
      <w:r w:rsidR="001F42EC" w:rsidRPr="002A0C60">
        <w:t>nr.</w:t>
      </w:r>
      <w:r w:rsidR="00966EEB">
        <w:t xml:space="preserve"> 98</w:t>
      </w:r>
      <w:r w:rsidR="001F42EC" w:rsidRPr="002A0C60">
        <w:t>)</w:t>
      </w:r>
      <w:r w:rsidR="00E2702A" w:rsidRPr="002A0C60">
        <w:t>.</w:t>
      </w:r>
    </w:p>
    <w:p w14:paraId="07526BC3" w14:textId="5D2D6B85" w:rsidR="00947C60" w:rsidRPr="002A0C60" w:rsidRDefault="00E2702A" w:rsidP="004F68DB">
      <w:pPr>
        <w:pStyle w:val="Nummer"/>
        <w:spacing w:after="200" w:line="360" w:lineRule="auto"/>
      </w:pPr>
      <w:r w:rsidRPr="002A0C60">
        <w:rPr>
          <w:smallCaps/>
        </w:rPr>
        <w:lastRenderedPageBreak/>
        <w:t xml:space="preserve">Sleutelbepaling hervorming - </w:t>
      </w:r>
      <w:r w:rsidR="00947C60" w:rsidRPr="002A0C60">
        <w:t>In het Franse recht wordt artikel 2337, derde lid Code Civil français aanzien als een sleutelbepaling van de hervorming. Het is namelijk hierdoor dat de registratie quasi hetzelfde effect heeft als een buitenbezitstelling. Geniet de derdeverkrijger namelijk de bescherming van artikel 2276 Code Civil français, dan zou dit de effectiviteit van een “</w:t>
      </w:r>
      <w:r w:rsidR="00947C60" w:rsidRPr="002A0C60">
        <w:rPr>
          <w:i/>
        </w:rPr>
        <w:t xml:space="preserve">gage sans dépossession” </w:t>
      </w:r>
      <w:r w:rsidR="00947C60" w:rsidRPr="002A0C60">
        <w:t>ondermijnen. Het is namelijk niet ondenkbaar dat de pandgever, die het goed onder zich houdt, dit goed vervreemdt aan een derde (</w:t>
      </w:r>
      <w:r w:rsidR="00947C60" w:rsidRPr="00281D23">
        <w:rPr>
          <w:i/>
        </w:rPr>
        <w:t>supra</w:t>
      </w:r>
      <w:r w:rsidR="00947C60" w:rsidRPr="002A0C60">
        <w:rPr>
          <w:i/>
        </w:rPr>
        <w:t xml:space="preserve">, </w:t>
      </w:r>
      <w:r w:rsidR="00947C60" w:rsidRPr="002A0C60">
        <w:t>nr.</w:t>
      </w:r>
      <w:r w:rsidR="00966EEB">
        <w:t xml:space="preserve"> 2</w:t>
      </w:r>
      <w:r w:rsidR="00947C60" w:rsidRPr="002A0C60">
        <w:t>).</w:t>
      </w:r>
      <w:r w:rsidR="00947C60" w:rsidRPr="002A0C60">
        <w:rPr>
          <w:rStyle w:val="Voetnootmarkering"/>
        </w:rPr>
        <w:footnoteReference w:id="230"/>
      </w:r>
      <w:r w:rsidR="00947C60" w:rsidRPr="002A0C60">
        <w:t xml:space="preserve"> De Franse wetgever gaat ervan uit dat de derde-verkrijger voldoende geïnformeerd is </w:t>
      </w:r>
      <w:r w:rsidR="00CB1985" w:rsidRPr="002A0C60">
        <w:t>over</w:t>
      </w:r>
      <w:r w:rsidR="00947C60" w:rsidRPr="002A0C60">
        <w:t xml:space="preserve"> het bestaan van het pand met betrekking tot de zaak die </w:t>
      </w:r>
      <w:r w:rsidR="00DF0B3D">
        <w:t>hij verkrijgt</w:t>
      </w:r>
      <w:r w:rsidR="00947C60" w:rsidRPr="002A0C60">
        <w:t xml:space="preserve"> door de publiciteit die hieraan verleend wordt. Publiciteit aan het pandrecht wordt namelijk verleend door een online, door iedereen raadpleegbaar register (</w:t>
      </w:r>
      <w:r w:rsidR="00966EEB">
        <w:rPr>
          <w:i/>
        </w:rPr>
        <w:t>infra</w:t>
      </w:r>
      <w:r w:rsidR="00947C60" w:rsidRPr="002A0C60">
        <w:rPr>
          <w:i/>
        </w:rPr>
        <w:t xml:space="preserve">, </w:t>
      </w:r>
      <w:r w:rsidR="00947C60" w:rsidRPr="002A0C60">
        <w:t>nr</w:t>
      </w:r>
      <w:r w:rsidR="00966EEB">
        <w:t>. 113</w:t>
      </w:r>
      <w:r w:rsidR="00947C60" w:rsidRPr="002A0C60">
        <w:t>.). De derde-verkrijger wordt vermoed te kwader trouw te zijn. Is geen publiciteit verleend aan het pandrecht, dan kan de derde-verkrijger wel te goeder trouw zijn en kan hij terug het goed waarop het pandrecht rust onbezwaard verkrijgen.</w:t>
      </w:r>
      <w:r w:rsidR="00947C60" w:rsidRPr="002A0C60">
        <w:rPr>
          <w:rStyle w:val="Voetnootmarkering"/>
        </w:rPr>
        <w:footnoteReference w:id="231"/>
      </w:r>
      <w:r w:rsidR="00947C60" w:rsidRPr="002A0C60">
        <w:t xml:space="preserve"> </w:t>
      </w:r>
    </w:p>
    <w:p w14:paraId="5F178995" w14:textId="3F1E6233" w:rsidR="006E46AD" w:rsidRPr="002A0C60" w:rsidRDefault="00F6654F" w:rsidP="006E46AD">
      <w:pPr>
        <w:pStyle w:val="Nummer"/>
        <w:spacing w:after="200" w:line="360" w:lineRule="auto"/>
      </w:pPr>
      <w:r w:rsidRPr="002A0C60">
        <w:t xml:space="preserve"> </w:t>
      </w:r>
      <w:r w:rsidRPr="002A0C60">
        <w:rPr>
          <w:smallCaps/>
        </w:rPr>
        <w:t xml:space="preserve">Onderscheid in </w:t>
      </w:r>
      <w:r w:rsidRPr="002A0C60">
        <w:rPr>
          <w:i/>
          <w:smallCaps/>
        </w:rPr>
        <w:t xml:space="preserve">ratio legis </w:t>
      </w:r>
      <w:r w:rsidR="00E3154F" w:rsidRPr="002A0C60">
        <w:rPr>
          <w:smallCaps/>
        </w:rPr>
        <w:t xml:space="preserve">Franse en Belgische recht </w:t>
      </w:r>
      <w:r w:rsidRPr="002A0C60">
        <w:rPr>
          <w:smallCaps/>
        </w:rPr>
        <w:t xml:space="preserve">- </w:t>
      </w:r>
      <w:r w:rsidRPr="002A0C60">
        <w:t>Hoewel het systeem in de Belgische Pandwet gebaseerd is op het Franse systeem is de onderliggende gedachte van de Belgische uitsluiting helemaal anders dan de</w:t>
      </w:r>
      <w:r w:rsidR="00CB1985" w:rsidRPr="002A0C60">
        <w:t>ze van de</w:t>
      </w:r>
      <w:r w:rsidRPr="002A0C60">
        <w:t xml:space="preserve"> Franse uitsluiting. Daar waar de Franse wetgever de effectiviteit van het pandrecht vooropstelt, kiest de Belgische wetgever voluit voor de bescherming van consumenten.</w:t>
      </w:r>
    </w:p>
    <w:p w14:paraId="478B30EB" w14:textId="733104D7" w:rsidR="001D1D59" w:rsidRPr="002A0C60" w:rsidRDefault="001D1D59" w:rsidP="00A15B49">
      <w:pPr>
        <w:pStyle w:val="Kop5"/>
      </w:pPr>
      <w:bookmarkStart w:id="68" w:name="_Toc449982235"/>
      <w:r w:rsidRPr="002A0C60">
        <w:t>Consum</w:t>
      </w:r>
      <w:r w:rsidR="00777EDE" w:rsidRPr="002A0C60">
        <w:t>en</w:t>
      </w:r>
      <w:r w:rsidRPr="002A0C60">
        <w:t>ten</w:t>
      </w:r>
      <w:bookmarkEnd w:id="68"/>
      <w:r w:rsidRPr="002A0C60">
        <w:t xml:space="preserve"> </w:t>
      </w:r>
    </w:p>
    <w:p w14:paraId="6C3E3FB5" w14:textId="6137DD29" w:rsidR="001D1D59" w:rsidRPr="002A0C60" w:rsidRDefault="001D1D59" w:rsidP="00A15B49">
      <w:pPr>
        <w:pStyle w:val="Kop6"/>
      </w:pPr>
      <w:bookmarkStart w:id="69" w:name="_Toc449982236"/>
      <w:r w:rsidRPr="002A0C60">
        <w:t>Begrip consument</w:t>
      </w:r>
      <w:bookmarkEnd w:id="69"/>
      <w:r w:rsidRPr="002A0C60">
        <w:t xml:space="preserve"> </w:t>
      </w:r>
    </w:p>
    <w:p w14:paraId="6877886B" w14:textId="77777777" w:rsidR="001D1D59" w:rsidRPr="002A0C60" w:rsidRDefault="001D1D59" w:rsidP="001D1D59">
      <w:pPr>
        <w:pStyle w:val="Nummer"/>
        <w:spacing w:after="200" w:line="360" w:lineRule="auto"/>
      </w:pPr>
      <w:r w:rsidRPr="002A0C60">
        <w:rPr>
          <w:smallCaps/>
        </w:rPr>
        <w:t xml:space="preserve">Spiegelbeeld definitie WER - </w:t>
      </w:r>
      <w:r w:rsidRPr="002A0C60">
        <w:t>Een consument is dus iemand die geen derde-verkrijger is “</w:t>
      </w:r>
      <w:r w:rsidRPr="002A0C60">
        <w:rPr>
          <w:i/>
        </w:rPr>
        <w:t xml:space="preserve">die handelt in het raam van zijn bedrijf of beroep”. </w:t>
      </w:r>
      <w:r w:rsidRPr="002A0C60">
        <w:t>Deze definitie vormt het spiegelbeeld van de definitie uit het Wetboek Economisch recht die door de Pandwet wordt gehanteerd.</w:t>
      </w:r>
      <w:r w:rsidRPr="002A0C60">
        <w:rPr>
          <w:rStyle w:val="Voetnootmarkering"/>
        </w:rPr>
        <w:footnoteReference w:id="232"/>
      </w:r>
    </w:p>
    <w:p w14:paraId="4CB968FB" w14:textId="58EED525" w:rsidR="001D1D59" w:rsidRPr="002A0C60" w:rsidRDefault="001D1D59" w:rsidP="007C3569">
      <w:pPr>
        <w:pStyle w:val="Nummer"/>
        <w:spacing w:after="200" w:line="360" w:lineRule="auto"/>
      </w:pPr>
      <w:r w:rsidRPr="002A0C60">
        <w:rPr>
          <w:smallCaps/>
        </w:rPr>
        <w:lastRenderedPageBreak/>
        <w:t xml:space="preserve">Bestemmingscriterium - </w:t>
      </w:r>
      <w:r w:rsidRPr="002A0C60">
        <w:t>Deze beide definities hanteren een bestemmingscriterium. Dit betekent dat men moet nagaan voor welke doeleinden een natuurlijk persoon h</w:t>
      </w:r>
      <w:r w:rsidR="00DF0B3D">
        <w:t>et goed verkrijgt. Verkrijgt men</w:t>
      </w:r>
      <w:r w:rsidRPr="002A0C60">
        <w:t xml:space="preserve"> dit goed voor privédoeleinden dan wordt men als consument beschouwd. Wordt het goed echter deels voor professionele doeleinden verkregen, dan is een kwalificatie als consument niet meer mogelijk. Dit houdt in dat de bescherming van de derde-verkrijger niet enkel geldt wanneer de vervreemder een onderneming is, maar evengoed wanneer deze vervreemder een consument is.</w:t>
      </w:r>
      <w:r w:rsidRPr="002A0C60">
        <w:rPr>
          <w:rStyle w:val="Voetnootmarkering"/>
        </w:rPr>
        <w:footnoteReference w:id="233"/>
      </w:r>
      <w:r w:rsidRPr="002A0C60">
        <w:t xml:space="preserve"> </w:t>
      </w:r>
    </w:p>
    <w:p w14:paraId="7FFD458A" w14:textId="77777777" w:rsidR="001D1D59" w:rsidRPr="002A0C60" w:rsidRDefault="001D1D59" w:rsidP="00A15B49">
      <w:pPr>
        <w:pStyle w:val="Kop6"/>
      </w:pPr>
      <w:bookmarkStart w:id="70" w:name="_Toc449982237"/>
      <w:r w:rsidRPr="002A0C60">
        <w:t>Beroep op bescherming artikel 2279 Burgerlijk Wetboek</w:t>
      </w:r>
      <w:bookmarkEnd w:id="70"/>
    </w:p>
    <w:p w14:paraId="3261AF9A" w14:textId="5038597D" w:rsidR="001D1D59" w:rsidRPr="002A0C60" w:rsidRDefault="001D1D59" w:rsidP="001D1D59">
      <w:pPr>
        <w:pStyle w:val="Nummer"/>
        <w:spacing w:after="200" w:line="360" w:lineRule="auto"/>
      </w:pPr>
      <w:r w:rsidRPr="002A0C60">
        <w:rPr>
          <w:smallCaps/>
        </w:rPr>
        <w:t xml:space="preserve">Consumenten te kwader trouw - </w:t>
      </w:r>
      <w:r w:rsidRPr="002A0C60">
        <w:t>Enkel consumenten kunnen zich dus beroepen op de bescherming van artikel 2279 Burgerlijk Wetboek. Het is echter wel mogelijk dat consumenten niet meer te goeder trouw zijn, ook al wordt deze niet weggenomen door registratie. Het is mogelijk dat bijvoorbeeld een kennisgeving de goede trouw van een consument verhindert. Daarnaast zal een consument ook niet langer te goeder trouw zijn wanneer deze effectief het pandregister raadpleegt.</w:t>
      </w:r>
      <w:r w:rsidRPr="002A0C60">
        <w:rPr>
          <w:rStyle w:val="Voetnootmarkering"/>
        </w:rPr>
        <w:footnoteReference w:id="234"/>
      </w:r>
    </w:p>
    <w:p w14:paraId="7EF05268" w14:textId="5D73DFAF" w:rsidR="00E3154F" w:rsidRPr="002A0C60" w:rsidRDefault="00E3154F" w:rsidP="00E3154F">
      <w:pPr>
        <w:pStyle w:val="Nummer"/>
        <w:spacing w:line="360" w:lineRule="auto"/>
      </w:pPr>
      <w:r w:rsidRPr="002A0C60">
        <w:rPr>
          <w:smallCaps/>
        </w:rPr>
        <w:t xml:space="preserve">Geen overdracht aan professionele zakenpartner mogelijk - </w:t>
      </w:r>
      <w:r w:rsidRPr="002A0C60">
        <w:t>Deze combinatie tussen een actieve onderzoeksplicht voor professionelen en het ontnemen van de bescherming aan particuliere derde-verkrijgers indien zij werkelijk op de hoogte zijn van het pandrecht zorgt er in het Belgische recht voor dat overd</w:t>
      </w:r>
      <w:r w:rsidR="00DF0B3D">
        <w:t>r</w:t>
      </w:r>
      <w:r w:rsidRPr="002A0C60">
        <w:t>achten aan professionele zakenpartners</w:t>
      </w:r>
      <w:r w:rsidR="00026566" w:rsidRPr="002A0C60">
        <w:t xml:space="preserve"> </w:t>
      </w:r>
      <w:r w:rsidRPr="002A0C60">
        <w:t>niet mogelijk zijn, zelfs wanneer zij zouden handelen buiten het raam van hun beroep.</w:t>
      </w:r>
      <w:r w:rsidRPr="002A0C60">
        <w:rPr>
          <w:rStyle w:val="Voetnootmarkering"/>
        </w:rPr>
        <w:footnoteReference w:id="235"/>
      </w:r>
    </w:p>
    <w:p w14:paraId="689A7325" w14:textId="36E5C830" w:rsidR="001D1D59" w:rsidRPr="002A0C60" w:rsidRDefault="001D1D59" w:rsidP="001D1D59">
      <w:pPr>
        <w:pStyle w:val="Nummer"/>
        <w:spacing w:after="200" w:line="360" w:lineRule="auto"/>
      </w:pPr>
      <w:r w:rsidRPr="002A0C60">
        <w:rPr>
          <w:smallCaps/>
        </w:rPr>
        <w:t xml:space="preserve">Vooral gevaar van verkrijgen voorraadgoederen - </w:t>
      </w:r>
      <w:r w:rsidRPr="002A0C60">
        <w:t xml:space="preserve">Consumenten lopen vooral het risico dat zij voorraadgoederen verkrijgen. Dit is op zich niet erg problematisch. Een beroep op de bescherming van artikel 2279 Burgerlijk Wetboek is zelfs niet nodig aangezien </w:t>
      </w:r>
      <w:r w:rsidRPr="002A0C60">
        <w:lastRenderedPageBreak/>
        <w:t>artikel 21 Pandwet stelt dat de pandgever goederen binnen de normale exploitatie van de onderneming mag vervreemden (</w:t>
      </w:r>
      <w:r w:rsidRPr="002A0C60">
        <w:rPr>
          <w:i/>
        </w:rPr>
        <w:t xml:space="preserve">infra, </w:t>
      </w:r>
      <w:r w:rsidRPr="002A0C60">
        <w:t>nr.</w:t>
      </w:r>
      <w:r w:rsidR="002566FD">
        <w:t xml:space="preserve"> 120</w:t>
      </w:r>
      <w:r w:rsidRPr="002A0C60">
        <w:t>).</w:t>
      </w:r>
      <w:r w:rsidRPr="002A0C60">
        <w:rPr>
          <w:rStyle w:val="Voetnootmarkering"/>
        </w:rPr>
        <w:footnoteReference w:id="236"/>
      </w:r>
      <w:r w:rsidRPr="002A0C60">
        <w:t xml:space="preserve"> </w:t>
      </w:r>
    </w:p>
    <w:p w14:paraId="0840483B" w14:textId="415914FD" w:rsidR="001D1D59" w:rsidRPr="002A0C60" w:rsidRDefault="001D1D59" w:rsidP="001D1D59">
      <w:pPr>
        <w:pStyle w:val="Nummer"/>
        <w:numPr>
          <w:ilvl w:val="0"/>
          <w:numId w:val="0"/>
        </w:numPr>
        <w:spacing w:after="200" w:line="360" w:lineRule="auto"/>
      </w:pPr>
      <w:r w:rsidRPr="002A0C60">
        <w:t>Wanneer consumenten echter goederen verkrijgen van</w:t>
      </w:r>
      <w:r w:rsidR="00DF0B3D">
        <w:t xml:space="preserve"> een</w:t>
      </w:r>
      <w:r w:rsidRPr="002A0C60">
        <w:t xml:space="preserve"> andere consument, denk aan het gegeven voorbeeld van een tweedehandsauto, is het wel mogelijk dat zij een beroep zullen moeten doen op de bescherming van artikel 2279 Burgerlijk Wetboek.</w:t>
      </w:r>
    </w:p>
    <w:p w14:paraId="251FC797" w14:textId="77777777" w:rsidR="001D1D59" w:rsidRPr="002A0C60" w:rsidRDefault="001D1D59" w:rsidP="001D1D59">
      <w:pPr>
        <w:pStyle w:val="Nummer"/>
        <w:spacing w:after="200" w:line="360" w:lineRule="auto"/>
      </w:pPr>
      <w:r w:rsidRPr="002A0C60">
        <w:rPr>
          <w:smallCaps/>
        </w:rPr>
        <w:t xml:space="preserve">Voorbeeld -  </w:t>
      </w:r>
      <w:r w:rsidRPr="002A0C60">
        <w:t xml:space="preserve">De situatie voor consumenten wordt geïllustreerd aan de hand van het volgende voorbeeld: </w:t>
      </w:r>
    </w:p>
    <w:p w14:paraId="4F38C29F" w14:textId="77777777" w:rsidR="001D1D59" w:rsidRPr="002A0C60" w:rsidRDefault="001D1D59" w:rsidP="001D1D59">
      <w:pPr>
        <w:pStyle w:val="Nummer"/>
        <w:numPr>
          <w:ilvl w:val="0"/>
          <w:numId w:val="0"/>
        </w:numPr>
        <w:spacing w:after="200" w:line="360" w:lineRule="auto"/>
      </w:pPr>
      <w:r w:rsidRPr="002A0C60">
        <w:rPr>
          <w:sz w:val="20"/>
          <w:szCs w:val="20"/>
          <w:u w:val="single"/>
        </w:rPr>
        <w:t>Voorbeeld:</w:t>
      </w:r>
      <w:r w:rsidRPr="002A0C60">
        <w:rPr>
          <w:sz w:val="20"/>
          <w:szCs w:val="20"/>
        </w:rPr>
        <w:t xml:space="preserve"> Particulier A heeft krediet nodig en geeft zijn auto in pand bij Bank B. Dit pandrecht wordt geregistreerd in het pandregister. A heeft echter nog meer krediet nodig en verkoopt deze auto aan particulier C.</w:t>
      </w:r>
    </w:p>
    <w:p w14:paraId="4F8F34A3" w14:textId="6E9D744E" w:rsidR="001D1D59" w:rsidRPr="002A0C60" w:rsidRDefault="001D1D59" w:rsidP="001D1D59">
      <w:pPr>
        <w:pStyle w:val="Nummer"/>
        <w:numPr>
          <w:ilvl w:val="0"/>
          <w:numId w:val="0"/>
        </w:numPr>
        <w:spacing w:after="200" w:line="360" w:lineRule="auto"/>
      </w:pPr>
      <w:r w:rsidRPr="002A0C60">
        <w:rPr>
          <w:sz w:val="20"/>
          <w:szCs w:val="20"/>
        </w:rPr>
        <w:t xml:space="preserve">In deze hypothese is B de </w:t>
      </w:r>
      <w:r w:rsidR="00026566" w:rsidRPr="002A0C60">
        <w:rPr>
          <w:sz w:val="20"/>
          <w:szCs w:val="20"/>
        </w:rPr>
        <w:t>titularis</w:t>
      </w:r>
      <w:r w:rsidRPr="002A0C60">
        <w:rPr>
          <w:sz w:val="20"/>
          <w:szCs w:val="20"/>
        </w:rPr>
        <w:t xml:space="preserve"> van een pandrecht op de auto en C de derde-verkrijger van de auto verkregen van onbevoegde beschikker A. De vraag is nu in wiens voordeel het conflict zal beslecht worden, B of C. </w:t>
      </w:r>
    </w:p>
    <w:p w14:paraId="43E33A1D" w14:textId="77777777" w:rsidR="001D1D59" w:rsidRPr="002A0C60" w:rsidRDefault="001D1D59" w:rsidP="001D1D59">
      <w:pPr>
        <w:pStyle w:val="Nummer"/>
        <w:numPr>
          <w:ilvl w:val="0"/>
          <w:numId w:val="0"/>
        </w:numPr>
        <w:spacing w:after="200" w:line="360" w:lineRule="auto"/>
      </w:pPr>
      <w:r w:rsidRPr="002A0C60">
        <w:rPr>
          <w:sz w:val="20"/>
          <w:szCs w:val="20"/>
        </w:rPr>
        <w:t>Aangezien C een particulier is zal deze beroep kunnen doen op de bescherming van artikel 2279 Burgerlijk Wetboek. Dit zal echter enkel kunnen wanneer aan de voorwaarden van 2279 Burgerlijk Wetboek is voldaan. Is aan de voorwaarden voldaan dan zal C de auto verkrijgen onbezwaard van het pandrecht. Bank B zal dan enkel een beroep kunnen doen op zakelijke subrogatie. Zijn pandrecht zal dan betrekking hebben op de schuldvordering van A op C. A zal dan ook de boete en de gevangenisstraf riskeren uit artikel 491 Strafwetboek.</w:t>
      </w:r>
    </w:p>
    <w:p w14:paraId="7F394FC2" w14:textId="118714A4" w:rsidR="001D1D59" w:rsidRPr="002A0C60" w:rsidRDefault="001D1D59" w:rsidP="001D1D59">
      <w:pPr>
        <w:pStyle w:val="Nummer"/>
        <w:numPr>
          <w:ilvl w:val="0"/>
          <w:numId w:val="0"/>
        </w:numPr>
        <w:spacing w:after="200" w:line="360" w:lineRule="auto"/>
      </w:pPr>
      <w:r w:rsidRPr="002A0C60">
        <w:rPr>
          <w:sz w:val="20"/>
          <w:szCs w:val="20"/>
        </w:rPr>
        <w:t>Is A toch op de hoogte van het bestaan van het pandrecht, door bijvoorbeeld een kennisgeving of doordat hij toch het pandregister heeft geraadpleegd, zal het pandrecht toch</w:t>
      </w:r>
      <w:r w:rsidR="00C4196D" w:rsidRPr="002A0C60">
        <w:rPr>
          <w:sz w:val="20"/>
          <w:szCs w:val="20"/>
        </w:rPr>
        <w:t xml:space="preserve"> aan hem</w:t>
      </w:r>
      <w:r w:rsidRPr="002A0C60">
        <w:rPr>
          <w:sz w:val="20"/>
          <w:szCs w:val="20"/>
        </w:rPr>
        <w:t xml:space="preserve"> tegenwerpelijk zijn. Dan zal C de auto verkrijgen bezwaard met het pandrecht en zal hij als pandgever gelden vanaf het ogenblik dat de auto aan hem is overgedragen.</w:t>
      </w:r>
      <w:r w:rsidR="00C4196D" w:rsidRPr="002A0C60">
        <w:rPr>
          <w:sz w:val="20"/>
          <w:szCs w:val="20"/>
        </w:rPr>
        <w:t xml:space="preserve"> Wanneer A zijn krediet niet betaalt zal B de auto kunnen uitwinnen.</w:t>
      </w:r>
    </w:p>
    <w:p w14:paraId="54B5D4E3" w14:textId="77777777" w:rsidR="001D1D59" w:rsidRPr="002A0C60" w:rsidRDefault="001D1D59" w:rsidP="00A15B49">
      <w:pPr>
        <w:pStyle w:val="Kop6"/>
      </w:pPr>
      <w:bookmarkStart w:id="71" w:name="_Toc449982238"/>
      <w:r w:rsidRPr="002A0C60">
        <w:t>Andere vormen van bescherming voor consumenten</w:t>
      </w:r>
      <w:bookmarkEnd w:id="71"/>
    </w:p>
    <w:p w14:paraId="5EB4FBC7" w14:textId="1EC332F6" w:rsidR="001D1D59" w:rsidRPr="002A0C60" w:rsidRDefault="001D1D59" w:rsidP="001D1D59">
      <w:pPr>
        <w:pStyle w:val="Nummer"/>
        <w:spacing w:after="200" w:line="360" w:lineRule="auto"/>
      </w:pPr>
      <w:r w:rsidRPr="002A0C60">
        <w:rPr>
          <w:smallCaps/>
        </w:rPr>
        <w:t xml:space="preserve">Additionele bescherming door de Pandwet - </w:t>
      </w:r>
      <w:r w:rsidRPr="002A0C60">
        <w:t xml:space="preserve">Naast deze bescherming van de derde-verkrijger-consument bevat de Pandwet nog enkele andere bijzondere regels ter bescherming van consumenten. Ten eerste moet een pand zonder buitenbezitstelling met een consument schriftelijk worden gesloten. </w:t>
      </w:r>
      <w:r w:rsidRPr="002A0C60">
        <w:rPr>
          <w:smallCaps/>
        </w:rPr>
        <w:t xml:space="preserve">Steennot </w:t>
      </w:r>
      <w:r w:rsidRPr="002A0C60">
        <w:t xml:space="preserve">stelt dat een elektronische pandovereenkomst niet mogelijk is. Daarnaast zijn er een aantal verplichte vermeldingen in het geschrift. Ook mag de waarde van de verpande goederen niet meer bedragen dan het dubbel van </w:t>
      </w:r>
      <w:r w:rsidR="00C4196D" w:rsidRPr="002A0C60">
        <w:t>de waarde van het voorwerp van het</w:t>
      </w:r>
      <w:r w:rsidRPr="002A0C60">
        <w:t xml:space="preserve"> pandrecht. Daarnaast mogen de </w:t>
      </w:r>
      <w:r w:rsidRPr="002A0C60">
        <w:lastRenderedPageBreak/>
        <w:t>bijhorigheden niet meer dan 50% bedragen van de hoofdsom. Op vlak van de realisatie van het pand bestaan ook bijzondere regels voor consumenten.</w:t>
      </w:r>
      <w:r w:rsidRPr="002A0C60">
        <w:rPr>
          <w:rStyle w:val="Voetnootmarkering"/>
        </w:rPr>
        <w:footnoteReference w:id="237"/>
      </w:r>
    </w:p>
    <w:p w14:paraId="602BF009" w14:textId="77777777" w:rsidR="001D1D59" w:rsidRPr="002A0C60" w:rsidRDefault="001D1D59" w:rsidP="00A15B49">
      <w:pPr>
        <w:pStyle w:val="Kop6"/>
      </w:pPr>
      <w:bookmarkStart w:id="72" w:name="_Toc449982239"/>
      <w:r w:rsidRPr="002A0C60">
        <w:t>Aanleiding tot misbruiken?</w:t>
      </w:r>
      <w:bookmarkEnd w:id="72"/>
    </w:p>
    <w:p w14:paraId="10A474F2" w14:textId="3282B698" w:rsidR="001D1D59" w:rsidRPr="002A0C60" w:rsidRDefault="001D1D59" w:rsidP="001D1D59">
      <w:pPr>
        <w:pStyle w:val="Nummer"/>
        <w:spacing w:after="200" w:line="360" w:lineRule="auto"/>
      </w:pPr>
      <w:r w:rsidRPr="002A0C60">
        <w:rPr>
          <w:smallCaps/>
        </w:rPr>
        <w:t xml:space="preserve">Misbruiken? - Baeck </w:t>
      </w:r>
      <w:r w:rsidRPr="002A0C60">
        <w:t>werpt de vraag op of het feit dat particulieren het pandregister niet hoeven te raadplegen geen aanleiding zal geven tot misbruiken. Het is namelijk niet uitgesloten dat de pandgever de in pand gegeven goederen aan onwetende particulieren zal vervreemden om de pandhouder te slim af te zijn. Wanneer de derde-verkrijger te goeder trouw is (wat wordt vermoed), zal de pandgever het onderspit delven. De pandgever loopt dan wel nog het risico om de strafsanctie uit artikel 491 Strafwetboek op te lopen (</w:t>
      </w:r>
      <w:r w:rsidRPr="002A0C60">
        <w:rPr>
          <w:i/>
        </w:rPr>
        <w:t>supra,</w:t>
      </w:r>
      <w:r w:rsidRPr="002A0C60">
        <w:t xml:space="preserve"> nr.</w:t>
      </w:r>
      <w:r w:rsidR="00966EEB">
        <w:t xml:space="preserve"> 73</w:t>
      </w:r>
      <w:r w:rsidRPr="002A0C60">
        <w:t>).</w:t>
      </w:r>
      <w:r w:rsidRPr="002A0C60">
        <w:rPr>
          <w:rStyle w:val="Voetnootmarkering"/>
        </w:rPr>
        <w:footnoteReference w:id="238"/>
      </w:r>
    </w:p>
    <w:p w14:paraId="10271C11" w14:textId="77777777" w:rsidR="001D1D59" w:rsidRPr="002A0C60" w:rsidRDefault="001D1D59" w:rsidP="00A15B49">
      <w:pPr>
        <w:pStyle w:val="Kop5"/>
      </w:pPr>
      <w:bookmarkStart w:id="73" w:name="_Toc449982240"/>
      <w:r w:rsidRPr="002A0C60">
        <w:t>Professionelen</w:t>
      </w:r>
      <w:bookmarkEnd w:id="73"/>
      <w:r w:rsidRPr="002A0C60">
        <w:t xml:space="preserve"> </w:t>
      </w:r>
    </w:p>
    <w:p w14:paraId="476C7BD6" w14:textId="77777777" w:rsidR="001D1D59" w:rsidRPr="002A0C60" w:rsidRDefault="001D1D59" w:rsidP="001D1D59">
      <w:pPr>
        <w:pStyle w:val="Nummer"/>
        <w:spacing w:after="200" w:line="360" w:lineRule="auto"/>
      </w:pPr>
      <w:r w:rsidRPr="002A0C60">
        <w:rPr>
          <w:smallCaps/>
        </w:rPr>
        <w:t xml:space="preserve">Raam bedrijf of beroep - </w:t>
      </w:r>
      <w:r w:rsidRPr="002A0C60">
        <w:t xml:space="preserve">Voor </w:t>
      </w:r>
      <w:r w:rsidRPr="002A0C60">
        <w:rPr>
          <w:i/>
        </w:rPr>
        <w:t xml:space="preserve">“rechtsverkrijgers onder bijzondere titel die handelen in het raam van hun bedrijf of beroep” </w:t>
      </w:r>
      <w:r w:rsidRPr="002A0C60">
        <w:t>wordt een beroep op artikel 2279 Burgerlijk Wetboek dus uitgesloten.</w:t>
      </w:r>
    </w:p>
    <w:p w14:paraId="27D79B68" w14:textId="77777777" w:rsidR="001D1D59" w:rsidRPr="002A0C60" w:rsidRDefault="001D1D59" w:rsidP="00A15B49">
      <w:pPr>
        <w:pStyle w:val="Kop6"/>
      </w:pPr>
      <w:bookmarkStart w:id="74" w:name="_Toc449982241"/>
      <w:r w:rsidRPr="002A0C60">
        <w:t>Enkel directe rechtsverkrijgers</w:t>
      </w:r>
      <w:bookmarkEnd w:id="74"/>
    </w:p>
    <w:p w14:paraId="1571B662" w14:textId="6C458A46" w:rsidR="001D1D59" w:rsidRPr="002A0C60" w:rsidRDefault="001D1D59" w:rsidP="001D1D59">
      <w:pPr>
        <w:pStyle w:val="Nummer"/>
        <w:spacing w:after="200" w:line="360" w:lineRule="auto"/>
      </w:pPr>
      <w:r w:rsidRPr="002A0C60">
        <w:rPr>
          <w:smallCaps/>
        </w:rPr>
        <w:t xml:space="preserve">Enkel directe rechtsverkrijgers - </w:t>
      </w:r>
      <w:r w:rsidRPr="002A0C60">
        <w:t xml:space="preserve">Met “rechtsverkrijgers onder bijzondere titel” worden enkel de directe rechtsverkrijgers bedoeld. </w:t>
      </w:r>
      <w:r w:rsidR="00EB7BE8" w:rsidRPr="002A0C60">
        <w:t>Hetzelfde geldt in het Franse recht</w:t>
      </w:r>
      <w:r w:rsidRPr="002A0C60">
        <w:t>.</w:t>
      </w:r>
      <w:r w:rsidRPr="002A0C60">
        <w:rPr>
          <w:rStyle w:val="Voetnootmarkering"/>
        </w:rPr>
        <w:footnoteReference w:id="239"/>
      </w:r>
      <w:r w:rsidRPr="002A0C60">
        <w:t xml:space="preserve"> Het gaat dus bijvoorbeeld om de koper, maar niet om de persoon die van deze laatste heeft gekocht. Deze onder-verkrijger zal dus wel een beroep kunnen doen op de bescherming van artikel 2279 Burgerlijk Wetboek, ook al handelt deze in het raam van zijn bedrijf of beroep. De reden hiervoor is te vinden bij het pandregister. In het pandregister wordt namelijk naar alle waarschijnlijkheid alleen de identiteit van de pandgever geregistreerd. Het kan </w:t>
      </w:r>
      <w:r w:rsidRPr="002A0C60">
        <w:lastRenderedPageBreak/>
        <w:t>bezwaarlijk verwacht worden van een koper dat deze het pandregister consulteert om na te gaan wie de de eerste verkrijger is.</w:t>
      </w:r>
      <w:r w:rsidRPr="002A0C60">
        <w:rPr>
          <w:rStyle w:val="Voetnootmarkering"/>
        </w:rPr>
        <w:footnoteReference w:id="240"/>
      </w:r>
      <w:r w:rsidRPr="002A0C60">
        <w:t xml:space="preserve"> </w:t>
      </w:r>
    </w:p>
    <w:p w14:paraId="466E79A9" w14:textId="77777777" w:rsidR="001D1D59" w:rsidRPr="002A0C60" w:rsidRDefault="001D1D59" w:rsidP="00A15B49">
      <w:pPr>
        <w:pStyle w:val="Kop6"/>
      </w:pPr>
      <w:bookmarkStart w:id="75" w:name="_Toc449982242"/>
      <w:r w:rsidRPr="002A0C60">
        <w:t>Noodzaak aan een makkelijk toegankelijk register</w:t>
      </w:r>
      <w:bookmarkEnd w:id="75"/>
    </w:p>
    <w:p w14:paraId="173E1ABE" w14:textId="77777777" w:rsidR="001D1D59" w:rsidRPr="002A0C60" w:rsidRDefault="001D1D59" w:rsidP="001D1D59">
      <w:pPr>
        <w:pStyle w:val="Nummer"/>
        <w:spacing w:line="360" w:lineRule="auto"/>
      </w:pPr>
      <w:r w:rsidRPr="002A0C60">
        <w:rPr>
          <w:smallCaps/>
        </w:rPr>
        <w:t xml:space="preserve">Essentiële voorwaarde voor opleggen onderzoeksplicht - </w:t>
      </w:r>
      <w:r w:rsidRPr="002A0C60">
        <w:t>Een essentiële voorwaarde voor het opleggen van een onderzoeksplicht aan professionele derde-verkrijgers is een makkelijk toegankelijk openbaar register.</w:t>
      </w:r>
      <w:r w:rsidRPr="002A0C60">
        <w:rPr>
          <w:rStyle w:val="Voetnootmarkering"/>
        </w:rPr>
        <w:footnoteReference w:id="241"/>
      </w:r>
    </w:p>
    <w:p w14:paraId="4494B667" w14:textId="06A5D2BA" w:rsidR="001D1D59" w:rsidRPr="002A0C60" w:rsidRDefault="001D1D59" w:rsidP="001D1D59">
      <w:pPr>
        <w:pStyle w:val="Nummer"/>
        <w:numPr>
          <w:ilvl w:val="0"/>
          <w:numId w:val="0"/>
        </w:numPr>
        <w:spacing w:line="360" w:lineRule="auto"/>
      </w:pPr>
      <w:r w:rsidRPr="002A0C60">
        <w:t xml:space="preserve">Een van de redenen van de uitgestelde inwerkingtreding van de nieuwe Pandwet is net het feit dat de openbaarheid van het pandregister onder vuur </w:t>
      </w:r>
      <w:r w:rsidR="0049159A" w:rsidRPr="002A0C60">
        <w:t>ligt</w:t>
      </w:r>
      <w:r w:rsidRPr="002A0C60">
        <w:t>. Tegenstanders stellen dat die openbaarheid een onaanvaardbare schending van de privacy inhoudt. De Privacy Commissie heeft dan ook al in twee adviezen te kennen gegeven dat zij een meer restrictieve toegang tot register voorstaan. Zowel de Pandwet als het koninklijk besluit dat uitvoering geeft aan de bepaling</w:t>
      </w:r>
      <w:r w:rsidR="0049159A" w:rsidRPr="002A0C60">
        <w:t>en</w:t>
      </w:r>
      <w:r w:rsidRPr="002A0C60">
        <w:t xml:space="preserve"> betreffende het Pandregister krijgen een gunstig advies van de Privacy Commissie, maar er moet wel rekening gehouden met de gemaakte opmerkingen.</w:t>
      </w:r>
      <w:r w:rsidRPr="002A0C60">
        <w:rPr>
          <w:rStyle w:val="Voetnootmarkering"/>
        </w:rPr>
        <w:footnoteReference w:id="242"/>
      </w:r>
    </w:p>
    <w:p w14:paraId="18265CEB" w14:textId="11302DF2" w:rsidR="001D1D59" w:rsidRPr="002A0C60" w:rsidRDefault="001D1D59" w:rsidP="001D1D59">
      <w:pPr>
        <w:pStyle w:val="Nummer"/>
        <w:numPr>
          <w:ilvl w:val="0"/>
          <w:numId w:val="0"/>
        </w:numPr>
        <w:spacing w:line="360" w:lineRule="auto"/>
      </w:pPr>
      <w:r w:rsidRPr="002A0C60">
        <w:t>Het is van belang om de overkoepelende doestellingen van de Pandwet niet uit het oog te verliezen. Wanneer de organisatie van het pandregister te restrictief gebeurt, kan dit het onmogelijk maken voor de professionele derde-verkrijgers om na te gaan of op de goederen die zij verkrijgen een pandrecht rust.</w:t>
      </w:r>
      <w:r w:rsidRPr="002A0C60">
        <w:rPr>
          <w:rStyle w:val="Voetnootmarkering"/>
        </w:rPr>
        <w:footnoteReference w:id="243"/>
      </w:r>
      <w:r w:rsidRPr="002A0C60">
        <w:t xml:space="preserve"> In het Franse recht, waar de toepassing van artikel 2276 Code Civil français zowel voor particulieren als voor professionelen uitgesloten is, bestaat dan ook een online register dat gratis door iedereen te consulteren is.</w:t>
      </w:r>
      <w:r w:rsidRPr="002A0C60">
        <w:rPr>
          <w:rStyle w:val="Voetnootmarkering"/>
        </w:rPr>
        <w:footnoteReference w:id="244"/>
      </w:r>
    </w:p>
    <w:p w14:paraId="12C77280" w14:textId="77777777" w:rsidR="001D1D59" w:rsidRPr="002A0C60" w:rsidRDefault="001D1D59" w:rsidP="00A15B49">
      <w:pPr>
        <w:pStyle w:val="Kop6"/>
      </w:pPr>
      <w:bookmarkStart w:id="76" w:name="_Toc449982243"/>
      <w:r w:rsidRPr="002A0C60">
        <w:t>Implicaties voor de professionele verkoper</w:t>
      </w:r>
      <w:bookmarkEnd w:id="76"/>
    </w:p>
    <w:p w14:paraId="088044C9" w14:textId="283DB2E7" w:rsidR="001D1D59" w:rsidRPr="002A0C60" w:rsidRDefault="001D1D59" w:rsidP="001D1D59">
      <w:pPr>
        <w:pStyle w:val="Nummer"/>
        <w:spacing w:after="200" w:line="360" w:lineRule="auto"/>
      </w:pPr>
      <w:r w:rsidRPr="002A0C60">
        <w:rPr>
          <w:smallCaps/>
        </w:rPr>
        <w:t xml:space="preserve">Implicaties voor de  professionele verkoper – </w:t>
      </w:r>
      <w:r w:rsidRPr="002A0C60">
        <w:t>De uitsluiting van artikel 2279 Burgerlijk Wetboek heeft enorme consequenties voor de professionel</w:t>
      </w:r>
      <w:r w:rsidR="0049159A" w:rsidRPr="002A0C60">
        <w:t xml:space="preserve">e koper van roerende </w:t>
      </w:r>
      <w:r w:rsidR="0049159A" w:rsidRPr="002A0C60">
        <w:lastRenderedPageBreak/>
        <w:t xml:space="preserve">goederen. </w:t>
      </w:r>
      <w:r w:rsidRPr="002A0C60">
        <w:t xml:space="preserve">Wanneer hij goederen aankoopt buiten de normale bedrijfsvoering </w:t>
      </w:r>
      <w:r w:rsidRPr="002566FD">
        <w:t>(</w:t>
      </w:r>
      <w:r w:rsidRPr="002566FD">
        <w:rPr>
          <w:i/>
        </w:rPr>
        <w:t xml:space="preserve">infra, </w:t>
      </w:r>
      <w:r w:rsidRPr="002566FD">
        <w:t>nr.</w:t>
      </w:r>
      <w:r w:rsidR="002566FD" w:rsidRPr="002566FD">
        <w:t xml:space="preserve"> 120</w:t>
      </w:r>
      <w:r w:rsidRPr="002566FD">
        <w:t>)</w:t>
      </w:r>
      <w:r w:rsidRPr="002A0C60">
        <w:t xml:space="preserve"> zal hij verplicht zijn om het pandregister te controleren. Wanneer hij dit niet doet</w:t>
      </w:r>
      <w:r w:rsidR="00A11898" w:rsidRPr="002A0C60">
        <w:t>,</w:t>
      </w:r>
      <w:r w:rsidRPr="002A0C60">
        <w:t xml:space="preserve"> loopt hij het risico dat het pand hem tegenwerpelijk zal zijn en dat de pandhouder het goed zal uitwinnen. Zijn enige optie is dan om tegenover de verkopende pandgever een concurrerende aanspraak te laten gelden, dit kan op grond van de plicht tot vrijwaring voor uitwinning. Hij kan niet vorderen van de pandhouder aangezien de Pandwet artikel 2280 Burgerlijk Wetboek uitschakelt.</w:t>
      </w:r>
      <w:r w:rsidRPr="002A0C60">
        <w:rPr>
          <w:rStyle w:val="Voetnootmarkering"/>
        </w:rPr>
        <w:footnoteReference w:id="245"/>
      </w:r>
    </w:p>
    <w:p w14:paraId="3BDB93E8" w14:textId="7BF67181" w:rsidR="001D1D59" w:rsidRPr="002A0C60" w:rsidRDefault="001D1D59" w:rsidP="001D1D59">
      <w:pPr>
        <w:pStyle w:val="Lijstalinea"/>
        <w:spacing w:line="360" w:lineRule="auto"/>
        <w:ind w:left="0"/>
        <w:jc w:val="both"/>
        <w:rPr>
          <w:rFonts w:ascii="Times New Roman" w:hAnsi="Times New Roman"/>
        </w:rPr>
      </w:pPr>
      <w:r w:rsidRPr="002A0C60">
        <w:rPr>
          <w:rFonts w:ascii="Times New Roman" w:hAnsi="Times New Roman"/>
        </w:rPr>
        <w:t xml:space="preserve">Wanneer deze regeling met betrekking tot </w:t>
      </w:r>
      <w:r w:rsidR="00DF0B3D">
        <w:rPr>
          <w:rFonts w:ascii="Times New Roman" w:hAnsi="Times New Roman"/>
        </w:rPr>
        <w:t xml:space="preserve">de </w:t>
      </w:r>
      <w:r w:rsidRPr="002A0C60">
        <w:rPr>
          <w:rFonts w:ascii="Times New Roman" w:hAnsi="Times New Roman"/>
        </w:rPr>
        <w:t>professionele</w:t>
      </w:r>
      <w:r w:rsidR="00DF0B3D">
        <w:rPr>
          <w:rFonts w:ascii="Times New Roman" w:hAnsi="Times New Roman"/>
        </w:rPr>
        <w:t xml:space="preserve"> derde-verkrijger</w:t>
      </w:r>
      <w:r w:rsidRPr="002A0C60">
        <w:rPr>
          <w:rFonts w:ascii="Times New Roman" w:hAnsi="Times New Roman"/>
        </w:rPr>
        <w:t xml:space="preserve"> wordt toegepast op het voorbeeld met de weefmachines komen we tot de volgende oplossing (</w:t>
      </w:r>
      <w:r w:rsidR="0077523D" w:rsidRPr="00966EEB">
        <w:rPr>
          <w:rFonts w:ascii="Times New Roman" w:hAnsi="Times New Roman"/>
          <w:i/>
        </w:rPr>
        <w:t>supra</w:t>
      </w:r>
      <w:r w:rsidR="00966EEB" w:rsidRPr="00966EEB">
        <w:rPr>
          <w:rFonts w:ascii="Times New Roman" w:hAnsi="Times New Roman"/>
          <w:i/>
        </w:rPr>
        <w:t xml:space="preserve">, </w:t>
      </w:r>
      <w:r w:rsidR="00966EEB" w:rsidRPr="00966EEB">
        <w:rPr>
          <w:rFonts w:ascii="Times New Roman" w:hAnsi="Times New Roman"/>
        </w:rPr>
        <w:t>voorbeeld aan begin hoofdstuk</w:t>
      </w:r>
      <w:r w:rsidRPr="00966EEB">
        <w:rPr>
          <w:rFonts w:ascii="Times New Roman" w:hAnsi="Times New Roman"/>
        </w:rPr>
        <w:t>).</w:t>
      </w:r>
    </w:p>
    <w:p w14:paraId="71C610A8" w14:textId="77777777" w:rsidR="001D1D59" w:rsidRPr="002A0C60" w:rsidRDefault="001D1D59" w:rsidP="001D1D59">
      <w:pPr>
        <w:pStyle w:val="Lijstalinea"/>
        <w:spacing w:line="360" w:lineRule="auto"/>
        <w:ind w:left="0"/>
        <w:jc w:val="both"/>
        <w:rPr>
          <w:sz w:val="20"/>
          <w:szCs w:val="20"/>
        </w:rPr>
      </w:pPr>
      <w:r w:rsidRPr="002A0C60">
        <w:rPr>
          <w:sz w:val="20"/>
          <w:szCs w:val="20"/>
        </w:rPr>
        <w:t xml:space="preserve"> </w:t>
      </w:r>
    </w:p>
    <w:p w14:paraId="69573B88" w14:textId="4664453A" w:rsidR="001D1D59" w:rsidRPr="002A0C60" w:rsidRDefault="001D1D59" w:rsidP="001D1D59">
      <w:pPr>
        <w:pStyle w:val="Lijstalinea"/>
        <w:spacing w:line="360" w:lineRule="auto"/>
        <w:ind w:left="0"/>
        <w:jc w:val="both"/>
        <w:rPr>
          <w:rFonts w:ascii="Times New Roman" w:hAnsi="Times New Roman"/>
          <w:sz w:val="20"/>
          <w:szCs w:val="20"/>
        </w:rPr>
      </w:pPr>
      <w:r w:rsidRPr="002A0C60">
        <w:rPr>
          <w:rFonts w:ascii="Times New Roman" w:hAnsi="Times New Roman"/>
          <w:sz w:val="20"/>
          <w:szCs w:val="20"/>
          <w:u w:val="single"/>
        </w:rPr>
        <w:t>Voorbeeld</w:t>
      </w:r>
      <w:r w:rsidRPr="002A0C60">
        <w:rPr>
          <w:rFonts w:ascii="Times New Roman" w:hAnsi="Times New Roman"/>
          <w:sz w:val="20"/>
          <w:szCs w:val="20"/>
        </w:rPr>
        <w:t>: Aangezien C een fabrikant is van tapijten handelt hij bij de aankoop</w:t>
      </w:r>
      <w:r w:rsidR="00DF0B3D">
        <w:rPr>
          <w:rFonts w:ascii="Times New Roman" w:hAnsi="Times New Roman"/>
          <w:sz w:val="20"/>
          <w:szCs w:val="20"/>
        </w:rPr>
        <w:t xml:space="preserve"> van</w:t>
      </w:r>
      <w:r w:rsidRPr="002A0C60">
        <w:rPr>
          <w:rFonts w:ascii="Times New Roman" w:hAnsi="Times New Roman"/>
          <w:sz w:val="20"/>
          <w:szCs w:val="20"/>
        </w:rPr>
        <w:t xml:space="preserve"> deze machines “</w:t>
      </w:r>
      <w:r w:rsidRPr="002A0C60">
        <w:rPr>
          <w:rFonts w:ascii="Times New Roman" w:hAnsi="Times New Roman"/>
          <w:i/>
          <w:sz w:val="20"/>
          <w:szCs w:val="20"/>
        </w:rPr>
        <w:t xml:space="preserve">in het raam van zijn bedrijf of beroep”. </w:t>
      </w:r>
      <w:r w:rsidRPr="002A0C60">
        <w:rPr>
          <w:rFonts w:ascii="Times New Roman" w:hAnsi="Times New Roman"/>
          <w:sz w:val="20"/>
          <w:szCs w:val="20"/>
        </w:rPr>
        <w:t xml:space="preserve">Consulteert C het pandregister niet vooraleer hij overgaat tot aankoop zal het pandrecht hem tegenwerpelijk zijn en zal hij de weefmachines bezwaard met het pandrecht verkrijgen aangezien hij geen beroep zal kunnen doen op de bescherming van 2279 Burgerlijk Wetboek. Dit houdt in dat wanneer A zijn krediet niet betaalt B de machines zal kunnen uitwinnen in handen van C. </w:t>
      </w:r>
    </w:p>
    <w:p w14:paraId="0F7E7E18" w14:textId="77777777" w:rsidR="00257C36" w:rsidRPr="002A0C60" w:rsidRDefault="00257C36" w:rsidP="00A15B49">
      <w:pPr>
        <w:pStyle w:val="Kop4"/>
      </w:pPr>
      <w:bookmarkStart w:id="77" w:name="_Toc449982244"/>
      <w:r w:rsidRPr="002A0C60">
        <w:t>Terugkoppeling naar registerpanden onder huidige recht</w:t>
      </w:r>
      <w:bookmarkEnd w:id="77"/>
    </w:p>
    <w:p w14:paraId="02B82741" w14:textId="20273591" w:rsidR="00257C36" w:rsidRPr="002A0C60" w:rsidRDefault="004538D4" w:rsidP="005E187E">
      <w:pPr>
        <w:pStyle w:val="Nummer"/>
        <w:spacing w:after="200" w:line="360" w:lineRule="auto"/>
      </w:pPr>
      <w:r w:rsidRPr="002A0C60">
        <w:rPr>
          <w:smallCaps/>
        </w:rPr>
        <w:t>Bescherming artikel 2279 BW al best</w:t>
      </w:r>
      <w:r w:rsidR="009F25E9" w:rsidRPr="002A0C60">
        <w:rPr>
          <w:smallCaps/>
        </w:rPr>
        <w:t xml:space="preserve">aand voor pand op handelszaak </w:t>
      </w:r>
      <w:r w:rsidRPr="002A0C60">
        <w:rPr>
          <w:smallCaps/>
        </w:rPr>
        <w:t xml:space="preserve">- </w:t>
      </w:r>
      <w:r w:rsidR="00257C36" w:rsidRPr="002A0C60">
        <w:t>Het principe dat derde-verkrijgers te goeder trouw een beroep kunnen doen op artikel 2279 Burger</w:t>
      </w:r>
      <w:r w:rsidR="009F25E9" w:rsidRPr="002A0C60">
        <w:t>lijk Wetboek is een principe dat</w:t>
      </w:r>
      <w:r w:rsidR="00257C36" w:rsidRPr="002A0C60">
        <w:t xml:space="preserve"> al sinds een eeuw erkend wordt voor het pand op de </w:t>
      </w:r>
      <w:r w:rsidR="00257C36" w:rsidRPr="00966EEB">
        <w:t>handelszaak (</w:t>
      </w:r>
      <w:r w:rsidR="00257C36" w:rsidRPr="00966EEB">
        <w:rPr>
          <w:i/>
        </w:rPr>
        <w:t>supra</w:t>
      </w:r>
      <w:r w:rsidR="00966EEB" w:rsidRPr="00966EEB">
        <w:rPr>
          <w:i/>
        </w:rPr>
        <w:t>,</w:t>
      </w:r>
      <w:r w:rsidR="00257C36" w:rsidRPr="00966EEB">
        <w:rPr>
          <w:i/>
        </w:rPr>
        <w:t xml:space="preserve"> </w:t>
      </w:r>
      <w:r w:rsidR="00257C36" w:rsidRPr="00966EEB">
        <w:t>nr.</w:t>
      </w:r>
      <w:r w:rsidR="00966EEB" w:rsidRPr="00966EEB">
        <w:t xml:space="preserve"> 68</w:t>
      </w:r>
      <w:r w:rsidR="00257C36" w:rsidRPr="00966EEB">
        <w:t>).</w:t>
      </w:r>
      <w:r w:rsidR="00257C36" w:rsidRPr="00966EEB">
        <w:rPr>
          <w:rStyle w:val="Voetnootmarkering"/>
        </w:rPr>
        <w:footnoteReference w:id="246"/>
      </w:r>
      <w:r w:rsidR="0091400E" w:rsidRPr="00966EEB">
        <w:t xml:space="preserve"> </w:t>
      </w:r>
      <w:r w:rsidR="00257C36" w:rsidRPr="00966EEB">
        <w:t>In</w:t>
      </w:r>
      <w:r w:rsidR="00257C36" w:rsidRPr="002A0C60">
        <w:t xml:space="preserve"> tegenstelling tot de regeling onder de nieuwe Pandwet kunnen onder het huidige recht echter zowel professionelen als particulieren een beroep doen op de bescherming van artikel 2279 Burgerlijk Wetboek wanneer het een pand op een handelszaak betreft. Het volgrecht van het landbouwvoorrecht schakelt echter, net zoals in het </w:t>
      </w:r>
      <w:r w:rsidR="00257C36" w:rsidRPr="002A0C60">
        <w:lastRenderedPageBreak/>
        <w:t>geval van de professionele derde-verkrijger</w:t>
      </w:r>
      <w:r w:rsidR="0091400E" w:rsidRPr="002A0C60">
        <w:t>,</w:t>
      </w:r>
      <w:r w:rsidR="00257C36" w:rsidRPr="002A0C60">
        <w:t xml:space="preserve"> de werking van artikel 2279 Burgerlijk Wetboek </w:t>
      </w:r>
      <w:r w:rsidR="00257C36" w:rsidRPr="00966EEB">
        <w:t>uit (</w:t>
      </w:r>
      <w:r w:rsidR="00257C36" w:rsidRPr="00966EEB">
        <w:rPr>
          <w:i/>
        </w:rPr>
        <w:t xml:space="preserve">supra, </w:t>
      </w:r>
      <w:r w:rsidR="00257C36" w:rsidRPr="00966EEB">
        <w:t>nr.</w:t>
      </w:r>
      <w:r w:rsidR="00966EEB" w:rsidRPr="00966EEB">
        <w:t xml:space="preserve"> 76</w:t>
      </w:r>
      <w:r w:rsidR="00257C36" w:rsidRPr="00966EEB">
        <w:t>).</w:t>
      </w:r>
      <w:r w:rsidR="00257C36" w:rsidRPr="00966EEB">
        <w:rPr>
          <w:rStyle w:val="Voetnootmarkering"/>
        </w:rPr>
        <w:footnoteReference w:id="247"/>
      </w:r>
    </w:p>
    <w:p w14:paraId="2DC3BA42" w14:textId="1566A6B5" w:rsidR="001E5502" w:rsidRPr="002A0C60" w:rsidRDefault="001E5502" w:rsidP="001E5502">
      <w:pPr>
        <w:pStyle w:val="Nummer"/>
        <w:numPr>
          <w:ilvl w:val="0"/>
          <w:numId w:val="0"/>
        </w:numPr>
        <w:spacing w:after="200" w:line="360" w:lineRule="auto"/>
      </w:pPr>
      <w:r w:rsidRPr="002A0C60">
        <w:t>Net zoals onder het huidige recht zal een beroep op artikel 2279 Burgerlijk Wetboek uitgesloten zijn wanneer het volgrecht betrekking heeft op de volledige handelszaak.</w:t>
      </w:r>
      <w:r w:rsidRPr="002A0C60">
        <w:rPr>
          <w:rStyle w:val="Voetnootmarkering"/>
        </w:rPr>
        <w:footnoteReference w:id="248"/>
      </w:r>
      <w:r w:rsidRPr="002A0C60">
        <w:t xml:space="preserve"> Maar aangezien enkel consumenten een beroep kunnen doen op de bescherming van artikel 2279 Burgerlijk Wetboek, zou de mogelijkheid van bescherming niet veel uitmaken. Het verkrijgen van een handelszaak gebeurt namelijk per definitie “</w:t>
      </w:r>
      <w:r w:rsidRPr="002A0C60">
        <w:rPr>
          <w:i/>
        </w:rPr>
        <w:t>in raam van zijn bedrijf of beroep”.</w:t>
      </w:r>
    </w:p>
    <w:p w14:paraId="7661FB68" w14:textId="32AB3EDB" w:rsidR="00257C36" w:rsidRPr="002A0C60" w:rsidRDefault="00257C36" w:rsidP="00A15B49">
      <w:pPr>
        <w:pStyle w:val="Kop4"/>
      </w:pPr>
      <w:bookmarkStart w:id="78" w:name="_Toc449982245"/>
      <w:r w:rsidRPr="002A0C60">
        <w:t>Misbruik van vertrouwen</w:t>
      </w:r>
      <w:bookmarkEnd w:id="78"/>
    </w:p>
    <w:p w14:paraId="412F0673" w14:textId="0BE328BF" w:rsidR="00257C36" w:rsidRPr="002A0C60" w:rsidRDefault="009F25E9" w:rsidP="00E2702A">
      <w:pPr>
        <w:pStyle w:val="Nummer"/>
        <w:spacing w:line="360" w:lineRule="auto"/>
      </w:pPr>
      <w:r w:rsidRPr="002A0C60">
        <w:rPr>
          <w:smallCaps/>
        </w:rPr>
        <w:t xml:space="preserve">Misbruik van vertrouwen - </w:t>
      </w:r>
      <w:r w:rsidR="00257C36" w:rsidRPr="002A0C60">
        <w:t>Net zoals onder het huidige recht</w:t>
      </w:r>
      <w:r w:rsidRPr="002A0C60">
        <w:t xml:space="preserve"> (pand op de handelszaak en landbouwvoorrecht)</w:t>
      </w:r>
      <w:r w:rsidR="00257C36" w:rsidRPr="002A0C60">
        <w:t xml:space="preserve"> wordt de bedrieglijke verplaatsing of vervreemding van goederen beschouwd als een misdrijf van misbruik van vertrouwen. De strafmaat voor misbruik van vertrouwen is een gevangenisstraf van een maand tot vijf jaar en een geldboete van 26 tot 500 euro.</w:t>
      </w:r>
      <w:r w:rsidR="00257C36" w:rsidRPr="002A0C60">
        <w:rPr>
          <w:rStyle w:val="Voetnootmarkering"/>
        </w:rPr>
        <w:footnoteReference w:id="249"/>
      </w:r>
      <w:r w:rsidR="00257C36" w:rsidRPr="002A0C60">
        <w:t xml:space="preserve"> </w:t>
      </w:r>
    </w:p>
    <w:p w14:paraId="07F5B373" w14:textId="5AA234A4" w:rsidR="001D1D59" w:rsidRPr="002A0C60" w:rsidRDefault="001D1D59" w:rsidP="00A15B49">
      <w:pPr>
        <w:pStyle w:val="Kop4"/>
      </w:pPr>
      <w:bookmarkStart w:id="79" w:name="_Toc449982246"/>
      <w:r w:rsidRPr="002A0C60">
        <w:t>Kritiek op de uitsluiting</w:t>
      </w:r>
      <w:bookmarkEnd w:id="79"/>
      <w:r w:rsidRPr="002A0C60">
        <w:t xml:space="preserve"> </w:t>
      </w:r>
    </w:p>
    <w:p w14:paraId="0D990DBE" w14:textId="508EBCCF" w:rsidR="001D1D59" w:rsidRPr="002A0C60" w:rsidRDefault="001D1D59" w:rsidP="001D1D59">
      <w:pPr>
        <w:pStyle w:val="Nummer"/>
        <w:spacing w:after="200" w:line="360" w:lineRule="auto"/>
      </w:pPr>
      <w:r w:rsidRPr="002A0C60">
        <w:rPr>
          <w:smallCaps/>
        </w:rPr>
        <w:t xml:space="preserve">Kritiek op de uitsluiting - </w:t>
      </w:r>
      <w:r w:rsidRPr="002A0C60">
        <w:t>De uitsluiting van artikel 2276 Code Civil français is onderhevig aan heel wat kritiek. Artikel 2337 Code Civil français zou zijn doel, namelijk de tegenwerpelijk van het pand verzekeren voor derden, volledig voorbijgaan. Aangezien het Belgische systeem volledig overeenstemt met het Franse systeem, met uitzondering van de algemene uitsluiting voor derde-verkrijgers, zijn de kritieken ook van toepassing in het Belgische recht.</w:t>
      </w:r>
      <w:r w:rsidR="009F25E9" w:rsidRPr="002A0C60">
        <w:t xml:space="preserve"> De kritieken kunnen als volgt worden samengevat.</w:t>
      </w:r>
    </w:p>
    <w:p w14:paraId="43B0E653" w14:textId="1E86C40F" w:rsidR="001D1D59" w:rsidRPr="002A0C60" w:rsidRDefault="001D1D59" w:rsidP="001D1D59">
      <w:pPr>
        <w:pStyle w:val="Nummer"/>
        <w:numPr>
          <w:ilvl w:val="0"/>
          <w:numId w:val="0"/>
        </w:numPr>
        <w:spacing w:after="200" w:line="360" w:lineRule="auto"/>
      </w:pPr>
      <w:r w:rsidRPr="00966EEB">
        <w:lastRenderedPageBreak/>
        <w:t xml:space="preserve">In de eerste plaats wordt gesteld door </w:t>
      </w:r>
      <w:r w:rsidRPr="00966EEB">
        <w:rPr>
          <w:smallCaps/>
        </w:rPr>
        <w:t>Boffa</w:t>
      </w:r>
      <w:r w:rsidRPr="00966EEB">
        <w:t xml:space="preserve"> dat de uitsluiting van artikel 2276 Code Civil français overbodig is. Artikel 2276 Code Civil français is volgens hem volledig vreemd aan de tegenwerpelijkheid van het pand. Het is namelijk zo dat van zodra de pandovereenkomst gepubliceerd is, deze tegenwerpelijk is aan alle derden, zowel professionelen als particulieren. Dit is niet omdat deze derde te kwader trouw zou zijn in de zin van artikel 2276 Code Civil français, maar omdat de kennis van het pandrecht vaststaat. Omgekeerd, wanneer de zekerheid niet gepubliceerd is, dan zal deze niet tegenstelbaar zijn aan derden aangezien de publicatie een voorwaarde is voor tegenstelbaarheid (</w:t>
      </w:r>
      <w:r w:rsidRPr="00966EEB">
        <w:rPr>
          <w:i/>
        </w:rPr>
        <w:t>supra</w:t>
      </w:r>
      <w:r w:rsidR="00894B83">
        <w:rPr>
          <w:i/>
        </w:rPr>
        <w:t>,</w:t>
      </w:r>
      <w:r w:rsidRPr="00966EEB">
        <w:rPr>
          <w:i/>
        </w:rPr>
        <w:t xml:space="preserve"> </w:t>
      </w:r>
      <w:r w:rsidRPr="00966EEB">
        <w:t>nr.</w:t>
      </w:r>
      <w:r w:rsidR="00966EEB" w:rsidRPr="00966EEB">
        <w:t xml:space="preserve"> 56</w:t>
      </w:r>
      <w:r w:rsidRPr="00966EEB">
        <w:t>). Een toevlucht tot artikel 2276 Code Civil français is dus helemaal onnodig om uit te leggen dat in het ene geval het pand tegenstelbaar is aan de derde en in het andere niet.</w:t>
      </w:r>
      <w:r w:rsidRPr="00966EEB">
        <w:rPr>
          <w:rStyle w:val="Voetnootmarkering"/>
        </w:rPr>
        <w:footnoteReference w:id="250"/>
      </w:r>
    </w:p>
    <w:p w14:paraId="7480CFBF" w14:textId="660E81CE" w:rsidR="001D1D59" w:rsidRPr="002A0C60" w:rsidRDefault="001D1D59" w:rsidP="001D1D59">
      <w:pPr>
        <w:pStyle w:val="Nummer"/>
        <w:numPr>
          <w:ilvl w:val="0"/>
          <w:numId w:val="0"/>
        </w:numPr>
        <w:spacing w:after="200" w:line="360" w:lineRule="auto"/>
      </w:pPr>
      <w:r w:rsidRPr="002A0C60">
        <w:t xml:space="preserve">Ten tweede stelt </w:t>
      </w:r>
      <w:r w:rsidRPr="002A0C60">
        <w:rPr>
          <w:smallCaps/>
        </w:rPr>
        <w:t xml:space="preserve">Boffa </w:t>
      </w:r>
      <w:r w:rsidRPr="002A0C60">
        <w:t>dat het huwelijk tussen het pand en de publiciteit onvoltooid is omwille van de onzekerheid omtrent de derden aan wie de zekerheid tegenwerpelijk is en de imperfecties van de georganiseerde publiciteit. Het feit dat het effect van de publiciteit van het pand beperkt wordt tot enkel de rechthebbenden</w:t>
      </w:r>
      <w:r w:rsidRPr="002A0C60">
        <w:rPr>
          <w:i/>
        </w:rPr>
        <w:t xml:space="preserve"> </w:t>
      </w:r>
      <w:r w:rsidRPr="002A0C60">
        <w:t xml:space="preserve">van de pandgever is onaangepast in de situatie waar de publiciteit afbreuk doet aan de verkrijgingen </w:t>
      </w:r>
      <w:r w:rsidRPr="002A0C60">
        <w:rPr>
          <w:i/>
        </w:rPr>
        <w:t xml:space="preserve">a non domino, </w:t>
      </w:r>
      <w:r w:rsidRPr="002A0C60">
        <w:t>dit wil zeggen verkrijgingen door personen die niet de hoedanigheid hebben van rechthebbenden</w:t>
      </w:r>
      <w:r w:rsidRPr="002A0C60">
        <w:rPr>
          <w:i/>
        </w:rPr>
        <w:t xml:space="preserve"> </w:t>
      </w:r>
      <w:r w:rsidRPr="002A0C60">
        <w:t>van de pandgever.</w:t>
      </w:r>
      <w:r w:rsidRPr="002A0C60">
        <w:rPr>
          <w:rStyle w:val="Voetnootmarkering"/>
        </w:rPr>
        <w:footnoteReference w:id="251"/>
      </w:r>
    </w:p>
    <w:p w14:paraId="34AC5F20" w14:textId="6A4415A9" w:rsidR="001D1D59" w:rsidRPr="002A0C60" w:rsidRDefault="001D1D59" w:rsidP="001D1D59">
      <w:pPr>
        <w:pStyle w:val="Nummer"/>
        <w:spacing w:after="200" w:line="360" w:lineRule="auto"/>
      </w:pPr>
      <w:r w:rsidRPr="002A0C60">
        <w:rPr>
          <w:smallCaps/>
        </w:rPr>
        <w:t xml:space="preserve">Ansaloni </w:t>
      </w:r>
      <w:r w:rsidRPr="002A0C60">
        <w:t>vindt deze kritieken echter ongegrond. Volgens hem is de definitie van derden aan wie de zekerheid tege</w:t>
      </w:r>
      <w:r w:rsidR="00DF0B3D">
        <w:t>nwerpelijk is wel duidelijk aan</w:t>
      </w:r>
      <w:r w:rsidRPr="002A0C60">
        <w:t>gezien deze overeenkomt met de definitie van derden bij de publiciteit noodzakelijk voor onroerende goederen en deze van de rechtspraak wanneer zij artikel 1690 Code Civil français bespreekt.</w:t>
      </w:r>
      <w:r w:rsidRPr="002A0C60">
        <w:rPr>
          <w:rStyle w:val="Voetnootmarkering"/>
        </w:rPr>
        <w:footnoteReference w:id="252"/>
      </w:r>
      <w:r w:rsidRPr="002A0C60">
        <w:t xml:space="preserve"> </w:t>
      </w:r>
    </w:p>
    <w:p w14:paraId="1E6DF421" w14:textId="5A39F914" w:rsidR="001D1D59" w:rsidRPr="002A0C60" w:rsidRDefault="001D1D59" w:rsidP="00A15B49">
      <w:pPr>
        <w:pStyle w:val="Kop4"/>
      </w:pPr>
      <w:bookmarkStart w:id="80" w:name="_Toc449982247"/>
      <w:r w:rsidRPr="002A0C60">
        <w:t>Gevolgen uitsluiting volgrecht</w:t>
      </w:r>
      <w:bookmarkEnd w:id="80"/>
      <w:r w:rsidRPr="002A0C60">
        <w:t xml:space="preserve"> </w:t>
      </w:r>
    </w:p>
    <w:p w14:paraId="323C9C03" w14:textId="65065A0C" w:rsidR="001D1D59" w:rsidRPr="002A0C60" w:rsidRDefault="001D1D59" w:rsidP="001D1D59">
      <w:pPr>
        <w:pStyle w:val="Nummer"/>
        <w:spacing w:line="360" w:lineRule="auto"/>
      </w:pPr>
      <w:r w:rsidRPr="002A0C60">
        <w:rPr>
          <w:smallCaps/>
        </w:rPr>
        <w:t xml:space="preserve">Zakelijke subrogatie - </w:t>
      </w:r>
      <w:r w:rsidRPr="002A0C60">
        <w:t xml:space="preserve">Wanneer het volgrecht wordt uitgeschakeld geniet de pandhouder echter nog steeds bescherming door de figuur van de zakelijke subrogatie. Het pandrecht strekt zich namelijk uit tot alle schuldvorderingen die in de plaats komen van de bezwaarde goederen.  Dit zijn onder meer de schuldvorderingen die voortkomen uit de </w:t>
      </w:r>
      <w:r w:rsidRPr="002A0C60">
        <w:lastRenderedPageBreak/>
        <w:t>overdracht ervan, de schuldvorderingen tot vergoeding wegens tenietgaan, beschadiging of waardeverlies van het bezwaarde goed. Ook zal het pandrecht zich uitstrekken over de vruchten voortgebracht door de bezwaarde goederen, tenzij dit anders werd overeengekomen.</w:t>
      </w:r>
      <w:r w:rsidRPr="002A0C60">
        <w:rPr>
          <w:rStyle w:val="Voetnootmarkering"/>
        </w:rPr>
        <w:footnoteReference w:id="253"/>
      </w:r>
    </w:p>
    <w:p w14:paraId="3969CA3B" w14:textId="09DA9927" w:rsidR="00257C36" w:rsidRPr="002A0C60" w:rsidRDefault="00986707" w:rsidP="005300D7">
      <w:pPr>
        <w:pStyle w:val="Kop3"/>
        <w:jc w:val="both"/>
      </w:pPr>
      <w:bookmarkStart w:id="81" w:name="_Toc449982248"/>
      <w:r w:rsidRPr="002A0C60">
        <w:t>N</w:t>
      </w:r>
      <w:r w:rsidR="00257C36" w:rsidRPr="002A0C60">
        <w:t>eutralisatie uitsluiting artikel 2279 Burgerlij</w:t>
      </w:r>
      <w:r w:rsidR="00947C60" w:rsidRPr="002A0C60">
        <w:t>k Wetboek</w:t>
      </w:r>
      <w:r w:rsidR="00257C36" w:rsidRPr="002A0C60">
        <w:t>?</w:t>
      </w:r>
      <w:bookmarkEnd w:id="81"/>
      <w:r w:rsidR="00257C36" w:rsidRPr="002A0C60">
        <w:t xml:space="preserve"> </w:t>
      </w:r>
    </w:p>
    <w:p w14:paraId="2A801479" w14:textId="33715A4B" w:rsidR="00257C36" w:rsidRPr="002A0C60" w:rsidRDefault="00D66183" w:rsidP="005300D7">
      <w:pPr>
        <w:pStyle w:val="Kop4"/>
        <w:jc w:val="both"/>
      </w:pPr>
      <w:bookmarkStart w:id="82" w:name="_Toc449982249"/>
      <w:r w:rsidRPr="002A0C60">
        <w:t>Neutralisatie door be</w:t>
      </w:r>
      <w:r w:rsidR="00257C36" w:rsidRPr="002A0C60">
        <w:t>schikking binnen de normale bedrijfsuitvoering</w:t>
      </w:r>
      <w:bookmarkEnd w:id="82"/>
      <w:r w:rsidR="00257C36" w:rsidRPr="002A0C60">
        <w:t xml:space="preserve"> </w:t>
      </w:r>
    </w:p>
    <w:p w14:paraId="6735A1B5" w14:textId="79E386F1" w:rsidR="00947C60" w:rsidRPr="002A0C60" w:rsidRDefault="00D66183" w:rsidP="005300D7">
      <w:pPr>
        <w:pStyle w:val="Kop5"/>
        <w:jc w:val="both"/>
      </w:pPr>
      <w:bookmarkStart w:id="83" w:name="_Toc449982250"/>
      <w:r w:rsidRPr="002A0C60">
        <w:t>Regel</w:t>
      </w:r>
      <w:bookmarkEnd w:id="83"/>
      <w:r w:rsidRPr="002A0C60">
        <w:t xml:space="preserve"> </w:t>
      </w:r>
      <w:r w:rsidR="00947C60" w:rsidRPr="002A0C60">
        <w:t xml:space="preserve"> </w:t>
      </w:r>
    </w:p>
    <w:p w14:paraId="5AC1CF45" w14:textId="47AA4D16" w:rsidR="00D66183" w:rsidRPr="002A0C60" w:rsidRDefault="00D66183" w:rsidP="00D66183">
      <w:pPr>
        <w:pStyle w:val="Nummer"/>
        <w:spacing w:after="200" w:line="360" w:lineRule="auto"/>
      </w:pPr>
      <w:r w:rsidRPr="002A0C60">
        <w:rPr>
          <w:smallCaps/>
        </w:rPr>
        <w:t>Beschikking mogelijk binnen normale bedrijfsuitvoering –</w:t>
      </w:r>
      <w:r w:rsidRPr="002A0C60">
        <w:t xml:space="preserve"> Artikel 21 Pandwet geeft aan de pandgever de mogelijkheid om over de in pand gegeven goederen te beschikken binnen de normale bedrijfsuitvoering. Ook bij het pand op de handelszaak blijft de handelaar bevoegd om handelingen te stellen die passen binnen het normale beheer van de handelszaak. Hierdoor is het niet meer nodig om een omweg te maken via de </w:t>
      </w:r>
      <w:r w:rsidRPr="00894B83">
        <w:t>derdenbescherming (</w:t>
      </w:r>
      <w:r w:rsidRPr="00894B83">
        <w:rPr>
          <w:i/>
        </w:rPr>
        <w:t xml:space="preserve">supra, </w:t>
      </w:r>
      <w:r w:rsidRPr="00894B83">
        <w:t>nr.</w:t>
      </w:r>
      <w:r w:rsidR="00894B83" w:rsidRPr="00894B83">
        <w:t xml:space="preserve"> 97</w:t>
      </w:r>
      <w:r w:rsidRPr="00894B83">
        <w:t>).</w:t>
      </w:r>
      <w:r w:rsidRPr="002A0C60">
        <w:t xml:space="preserve"> In het Nederlandse recht zal de pandgever enkel tot vervreemding bevoegd zijn binnen de normale bedrijfsuitoefening wanneer de pandhouder daar uitdrukkelijk toestemming voor heeft gegeven.</w:t>
      </w:r>
      <w:r w:rsidRPr="002A0C60">
        <w:rPr>
          <w:rStyle w:val="Voetnootmarkering"/>
        </w:rPr>
        <w:footnoteReference w:id="254"/>
      </w:r>
    </w:p>
    <w:p w14:paraId="58396BD9" w14:textId="50FFE490" w:rsidR="00D66183" w:rsidRPr="002A0C60" w:rsidRDefault="00D66183" w:rsidP="00D66183">
      <w:pPr>
        <w:pStyle w:val="Nummer"/>
        <w:numPr>
          <w:ilvl w:val="0"/>
          <w:numId w:val="0"/>
        </w:numPr>
        <w:spacing w:after="200" w:line="360" w:lineRule="auto"/>
      </w:pPr>
      <w:r w:rsidRPr="002A0C60">
        <w:t xml:space="preserve">Het Franse </w:t>
      </w:r>
      <w:r w:rsidR="00526FFF">
        <w:t>recht</w:t>
      </w:r>
      <w:r w:rsidRPr="002A0C60">
        <w:rPr>
          <w:smallCaps/>
        </w:rPr>
        <w:t xml:space="preserve"> </w:t>
      </w:r>
      <w:r w:rsidRPr="002A0C60">
        <w:t>stelt dat in het geval van het verpanden van handelsvoorraden en consumptiegoederen de omstandigheden het toelaten dat de derde-verkrijger de juridische status van het goed niet nagaat. Het is echter belangrijk dat dit een uitzonderlijke situatie blijft.</w:t>
      </w:r>
      <w:r w:rsidRPr="002A0C60">
        <w:rPr>
          <w:rStyle w:val="Voetnootmarkering"/>
        </w:rPr>
        <w:t xml:space="preserve"> </w:t>
      </w:r>
      <w:r w:rsidRPr="002A0C60">
        <w:rPr>
          <w:rStyle w:val="Voetnootmarkering"/>
        </w:rPr>
        <w:footnoteReference w:id="255"/>
      </w:r>
      <w:r w:rsidRPr="002A0C60">
        <w:t xml:space="preserve">  Anders gesteld, de waarde van de verkregen zaak, het feit dat de zaak vervreemd is in het kader van de normale activiteiten van de pandgever en de hoedanigheid van de derde-verkrijger zijn allemaal aanwijzingen om die afwijkingen in een groot aantal hypotheses toe</w:t>
      </w:r>
      <w:r w:rsidR="00DF0B3D">
        <w:t xml:space="preserve"> te </w:t>
      </w:r>
      <w:r w:rsidRPr="002A0C60">
        <w:t>staan.</w:t>
      </w:r>
      <w:r w:rsidRPr="002A0C60">
        <w:rPr>
          <w:rStyle w:val="Voetnootmarkering"/>
        </w:rPr>
        <w:footnoteReference w:id="256"/>
      </w:r>
    </w:p>
    <w:p w14:paraId="74CC400B" w14:textId="1EA1BB73" w:rsidR="00D66183" w:rsidRPr="002A0C60" w:rsidRDefault="00D66183" w:rsidP="00D66183">
      <w:pPr>
        <w:pStyle w:val="Kop5"/>
      </w:pPr>
      <w:bookmarkStart w:id="84" w:name="_Toc449982251"/>
      <w:r w:rsidRPr="002A0C60">
        <w:lastRenderedPageBreak/>
        <w:t>Ratio legis</w:t>
      </w:r>
      <w:bookmarkEnd w:id="84"/>
      <w:r w:rsidRPr="002A0C60">
        <w:t xml:space="preserve"> </w:t>
      </w:r>
    </w:p>
    <w:p w14:paraId="495110C4" w14:textId="69E525D8" w:rsidR="00947C60" w:rsidRPr="002A0C60" w:rsidRDefault="00947C60" w:rsidP="00947C60">
      <w:pPr>
        <w:pStyle w:val="Nummer"/>
        <w:spacing w:after="200" w:line="360" w:lineRule="auto"/>
      </w:pPr>
      <w:r w:rsidRPr="002A0C60">
        <w:rPr>
          <w:smallCaps/>
        </w:rPr>
        <w:t xml:space="preserve">Belang nagaan pandregister - </w:t>
      </w:r>
      <w:r w:rsidRPr="002A0C60">
        <w:t xml:space="preserve">De uitsluiting van de bescherming voor </w:t>
      </w:r>
      <w:r w:rsidR="005300D7" w:rsidRPr="002A0C60">
        <w:t xml:space="preserve">(professionele) </w:t>
      </w:r>
      <w:r w:rsidRPr="002A0C60">
        <w:t>derde-verkrijgers heeft een invloed op de rechtszekerheid van transacties van roerende goederen. Een derde-verkrijger die een goed aankoopt bezwaard met een ingeschreven pandrecht zal dit goed steeds bezwaard met dit pandrecht verkrijgen. Het is dus uitermate belangrijk voor de (professionele) derde-verkrijger om steeds na te gaan in het pandregister of voor de zaak die hij verkrijgt een pandrecht is ingeschreven.</w:t>
      </w:r>
      <w:r w:rsidRPr="002A0C60">
        <w:rPr>
          <w:rStyle w:val="Voetnootmarkering"/>
        </w:rPr>
        <w:footnoteReference w:id="257"/>
      </w:r>
    </w:p>
    <w:p w14:paraId="682E0A61" w14:textId="5962B0DB" w:rsidR="00947C60" w:rsidRPr="002A0C60" w:rsidRDefault="00947C60" w:rsidP="00947C60">
      <w:pPr>
        <w:pStyle w:val="Nummer"/>
        <w:numPr>
          <w:ilvl w:val="0"/>
          <w:numId w:val="0"/>
        </w:numPr>
        <w:spacing w:after="200" w:line="360" w:lineRule="auto"/>
      </w:pPr>
      <w:r w:rsidRPr="002A0C60">
        <w:t>Het is echter denkbaar dat een pandrecht wordt gevestigd op de stock en op consumptiegoederen. In dat geval ondermijnen artikel 25 Pandwet en artikel 2237 Code Civil français volledig de flexibiliteit en doeltreffend</w:t>
      </w:r>
      <w:r w:rsidR="00DF0B3D">
        <w:t>heid</w:t>
      </w:r>
      <w:r w:rsidR="00894B83">
        <w:t xml:space="preserve"> van een bezitloos pandrecht.</w:t>
      </w:r>
      <w:r w:rsidRPr="002A0C60">
        <w:t xml:space="preserve"> Het feit dat een derde-verkrijger steeds het pandregister moet raadplegen is </w:t>
      </w:r>
      <w:r w:rsidR="00DF0B3D">
        <w:t xml:space="preserve">in de </w:t>
      </w:r>
      <w:r w:rsidRPr="002A0C60">
        <w:t xml:space="preserve">praktijk ondenkbaar wanneer het gaat om consumptiegoederen of om goederen van lage waarde. Vooral omdat de </w:t>
      </w:r>
      <w:r w:rsidRPr="002A0C60">
        <w:rPr>
          <w:i/>
        </w:rPr>
        <w:t xml:space="preserve">ratio legis </w:t>
      </w:r>
      <w:r w:rsidRPr="002A0C60">
        <w:t>van het bezitloos pandrecht net was dat goederen vrij beschikbaar bleven voor de pandgever ondanks de vestiging van een pand.</w:t>
      </w:r>
      <w:r w:rsidRPr="002A0C60">
        <w:rPr>
          <w:rStyle w:val="Voetnootmarkering"/>
        </w:rPr>
        <w:t xml:space="preserve"> </w:t>
      </w:r>
      <w:r w:rsidRPr="002A0C60">
        <w:rPr>
          <w:rStyle w:val="Voetnootmarkering"/>
        </w:rPr>
        <w:footnoteReference w:id="258"/>
      </w:r>
    </w:p>
    <w:p w14:paraId="0F898D86" w14:textId="187873D9" w:rsidR="00947C60" w:rsidRPr="002A0C60" w:rsidRDefault="002A0C60" w:rsidP="00947C60">
      <w:pPr>
        <w:pStyle w:val="Nummer"/>
        <w:spacing w:after="200" w:line="360" w:lineRule="auto"/>
      </w:pPr>
      <w:r>
        <w:rPr>
          <w:smallCaps/>
        </w:rPr>
        <w:t>Relativering belang nagaan pandregister</w:t>
      </w:r>
      <w:r w:rsidR="00947C60" w:rsidRPr="002A0C60">
        <w:rPr>
          <w:smallCaps/>
        </w:rPr>
        <w:t xml:space="preserve"> - </w:t>
      </w:r>
      <w:r w:rsidR="00947C60" w:rsidRPr="002A0C60">
        <w:t xml:space="preserve">De memorie van toelichting stelt uitdrukkelijk dat wanneer de bezwaarde goederen voorraden zijn en de pandgever </w:t>
      </w:r>
      <w:proofErr w:type="gramStart"/>
      <w:r w:rsidR="00947C60" w:rsidRPr="002A0C60">
        <w:t>handel</w:t>
      </w:r>
      <w:r w:rsidR="001A06F1">
        <w:t xml:space="preserve"> </w:t>
      </w:r>
      <w:r w:rsidR="00947C60" w:rsidRPr="002A0C60">
        <w:t>drijft</w:t>
      </w:r>
      <w:proofErr w:type="gramEnd"/>
      <w:r w:rsidR="00947C60" w:rsidRPr="002A0C60">
        <w:t xml:space="preserve"> in deze goederen hij bevoegd is om deze te verkopen in het raam van de normale exploitatie van de </w:t>
      </w:r>
      <w:r w:rsidR="00B23C3E" w:rsidRPr="002A0C60">
        <w:t>onderneming</w:t>
      </w:r>
      <w:r w:rsidR="00947C60" w:rsidRPr="002A0C60">
        <w:t>. Dit vormt geen gevaar voor de pandhouder aangezien in het kader van deze normale exploitatie de pandgever deze voorraden zal aanvullen of vervangen en hij ook inkomsten verwerft. Deze inkomsten zullen de pandhouder toelaten o</w:t>
      </w:r>
      <w:r w:rsidR="00B23C3E" w:rsidRPr="002A0C60">
        <w:t>m zijn krediet terug te betalen</w:t>
      </w:r>
      <w:r w:rsidR="00947C60" w:rsidRPr="002A0C60">
        <w:t>.</w:t>
      </w:r>
      <w:r w:rsidR="00947C60" w:rsidRPr="002A0C60">
        <w:rPr>
          <w:rStyle w:val="Voetnootmarkering"/>
        </w:rPr>
        <w:footnoteReference w:id="259"/>
      </w:r>
      <w:r w:rsidR="00947C60" w:rsidRPr="002A0C60">
        <w:t xml:space="preserve"> </w:t>
      </w:r>
    </w:p>
    <w:p w14:paraId="3DA0FA34" w14:textId="69E085A4" w:rsidR="00D66183" w:rsidRPr="002A0C60" w:rsidRDefault="00947C60" w:rsidP="003A07AE">
      <w:pPr>
        <w:pStyle w:val="Lijstalinea"/>
        <w:spacing w:line="360" w:lineRule="auto"/>
        <w:ind w:left="0"/>
        <w:jc w:val="both"/>
        <w:rPr>
          <w:rFonts w:ascii="Times New Roman" w:hAnsi="Times New Roman"/>
        </w:rPr>
      </w:pPr>
      <w:r w:rsidRPr="002A0C60">
        <w:rPr>
          <w:rFonts w:ascii="Times New Roman" w:hAnsi="Times New Roman"/>
        </w:rPr>
        <w:lastRenderedPageBreak/>
        <w:t xml:space="preserve">Door het expliciet invoeren van deze bepaling zorgt de Belgische wetgever ervoor dat professionele derde-verkrijgers het pandregister niet moeten consulteren wanneer zij goederen aankopen die deel uitmaken van de handelsvoorraden van de pandhouder. Voor consumenten is een beroep op artikel 2279 Burgerlijk Wetboek dan weer niet nodig wanneer zij goederen uit de handelsvoorraden verkrijgen die volgens de normale exploitatie van de onderneming bestemd </w:t>
      </w:r>
      <w:r w:rsidR="00DF0B3D">
        <w:rPr>
          <w:rFonts w:ascii="Times New Roman" w:hAnsi="Times New Roman"/>
        </w:rPr>
        <w:t>zijn verkoop</w:t>
      </w:r>
      <w:r w:rsidRPr="002A0C60">
        <w:rPr>
          <w:rFonts w:ascii="Times New Roman" w:hAnsi="Times New Roman"/>
        </w:rPr>
        <w:t xml:space="preserve">. Dit houdt in dat zij niet te goeder trouw hoeven te zijn en dat het dus mogelijk is dat zij van het pand op de handelsvoorraden op de hoogte waren. Zelfs in dat geval zullen zij de goederen onbezwaard verkrijgen. </w:t>
      </w:r>
    </w:p>
    <w:p w14:paraId="4F96FD42" w14:textId="2F290947" w:rsidR="00986707" w:rsidRPr="002A0C60" w:rsidRDefault="00A766AF" w:rsidP="00D66183">
      <w:pPr>
        <w:pStyle w:val="Nummer"/>
        <w:numPr>
          <w:ilvl w:val="0"/>
          <w:numId w:val="0"/>
        </w:numPr>
        <w:spacing w:after="200" w:line="360" w:lineRule="auto"/>
      </w:pPr>
      <w:r>
        <w:t>D</w:t>
      </w:r>
      <w:r w:rsidR="00986707" w:rsidRPr="002A0C60">
        <w:t>e belangen van de pandhouder (effectiviteit van het pand zonder buitenbezitstelling) en deze van de derde-verkrijger te goeder trouw (vlotheid van het handelsverkeer)</w:t>
      </w:r>
      <w:r>
        <w:t xml:space="preserve"> worden door deze aanpak beter in evenwicht gebracht.</w:t>
      </w:r>
    </w:p>
    <w:p w14:paraId="7E1E8634" w14:textId="740F6C0D" w:rsidR="00D66183" w:rsidRPr="002A0C60" w:rsidRDefault="00D66183" w:rsidP="00D66183">
      <w:pPr>
        <w:pStyle w:val="Kop5"/>
      </w:pPr>
      <w:bookmarkStart w:id="85" w:name="_Toc449982252"/>
      <w:r w:rsidRPr="002A0C60">
        <w:t>Begrip</w:t>
      </w:r>
      <w:bookmarkEnd w:id="85"/>
    </w:p>
    <w:p w14:paraId="44E2D083" w14:textId="77CEAE1C" w:rsidR="00854625" w:rsidRPr="002A0C60" w:rsidRDefault="00854625" w:rsidP="00C10342">
      <w:pPr>
        <w:pStyle w:val="Nummer"/>
        <w:spacing w:after="200" w:line="360" w:lineRule="auto"/>
      </w:pPr>
      <w:r w:rsidRPr="002A0C60">
        <w:rPr>
          <w:smallCaps/>
        </w:rPr>
        <w:t>Begrip “normale bedrijfsvoering”</w:t>
      </w:r>
      <w:r w:rsidRPr="002A0C60">
        <w:rPr>
          <w:i/>
          <w:smallCaps/>
        </w:rPr>
        <w:t xml:space="preserve"> </w:t>
      </w:r>
      <w:r w:rsidR="000C67DC" w:rsidRPr="002A0C60">
        <w:rPr>
          <w:i/>
          <w:smallCaps/>
        </w:rPr>
        <w:t>–</w:t>
      </w:r>
      <w:r w:rsidRPr="002A0C60">
        <w:rPr>
          <w:smallCaps/>
        </w:rPr>
        <w:t xml:space="preserve"> </w:t>
      </w:r>
      <w:r w:rsidR="000C67DC" w:rsidRPr="002A0C60">
        <w:t xml:space="preserve">In de Memorie van Toelichting verduidelijkt de wetgever wat moet begrepen worden onder de </w:t>
      </w:r>
      <w:r w:rsidR="000C67DC" w:rsidRPr="002A0C60">
        <w:rPr>
          <w:i/>
        </w:rPr>
        <w:t xml:space="preserve">“normale bedrijfsuitvoering”. </w:t>
      </w:r>
      <w:r w:rsidR="0015649B" w:rsidRPr="002A0C60">
        <w:t>Er wordt uitdrukkelijk gesteld dat het vervreemden van voorraden onder de “</w:t>
      </w:r>
      <w:r w:rsidR="0015649B" w:rsidRPr="002A0C60">
        <w:rPr>
          <w:i/>
        </w:rPr>
        <w:t xml:space="preserve">normale bedrijfsuitvoering” </w:t>
      </w:r>
      <w:r w:rsidR="0015649B" w:rsidRPr="002A0C60">
        <w:t>valt.</w:t>
      </w:r>
      <w:r w:rsidR="00D66183" w:rsidRPr="002A0C60">
        <w:t xml:space="preserve"> Het verkopen van machines en bedrijfsuitrusting wordt daarentegen beschreven als </w:t>
      </w:r>
      <w:r w:rsidR="00D66183" w:rsidRPr="002A0C60">
        <w:rPr>
          <w:i/>
        </w:rPr>
        <w:t>“geheel anders”.</w:t>
      </w:r>
      <w:r w:rsidR="00E3154F" w:rsidRPr="002A0C60">
        <w:t xml:space="preserve"> Ook de verwijzing in de parlementaire voorbereiding naar het </w:t>
      </w:r>
      <w:r w:rsidR="00E3154F" w:rsidRPr="002A0C60">
        <w:rPr>
          <w:i/>
        </w:rPr>
        <w:t xml:space="preserve">Draft Common Frame of Reference </w:t>
      </w:r>
      <w:r w:rsidR="00E3154F" w:rsidRPr="002A0C60">
        <w:t>bevestigt dat het vervreemden van machines en bedrijfsuitrusting inderdaad niet onder de “</w:t>
      </w:r>
      <w:r w:rsidR="00E3154F" w:rsidRPr="002A0C60">
        <w:rPr>
          <w:i/>
        </w:rPr>
        <w:t>normale bedrijfsuitvoering”</w:t>
      </w:r>
      <w:r w:rsidR="00E3154F" w:rsidRPr="002A0C60">
        <w:t xml:space="preserve"> valt. </w:t>
      </w:r>
      <w:r w:rsidR="0015649B" w:rsidRPr="002A0C60">
        <w:rPr>
          <w:rStyle w:val="Voetnootmarkering"/>
        </w:rPr>
        <w:footnoteReference w:id="260"/>
      </w:r>
    </w:p>
    <w:p w14:paraId="63F5E622" w14:textId="6B8A92C5" w:rsidR="000F1392" w:rsidRPr="002A0C60" w:rsidRDefault="000F1392" w:rsidP="00A15B49">
      <w:pPr>
        <w:pStyle w:val="Kop5"/>
      </w:pPr>
      <w:bookmarkStart w:id="86" w:name="_Toc449982253"/>
      <w:r w:rsidRPr="002A0C60">
        <w:t>Uitsluitingen of beperkingen</w:t>
      </w:r>
      <w:bookmarkEnd w:id="86"/>
      <w:r w:rsidRPr="002A0C60">
        <w:t xml:space="preserve"> </w:t>
      </w:r>
    </w:p>
    <w:p w14:paraId="09C18827" w14:textId="0C804731" w:rsidR="000F1392" w:rsidRPr="002A0C60" w:rsidRDefault="0077523D" w:rsidP="001F41BB">
      <w:pPr>
        <w:pStyle w:val="Nummer"/>
        <w:spacing w:after="200" w:line="360" w:lineRule="auto"/>
      </w:pPr>
      <w:r w:rsidRPr="002A0C60">
        <w:rPr>
          <w:smallCaps/>
        </w:rPr>
        <w:t xml:space="preserve">Uitsluiting of beperking - </w:t>
      </w:r>
      <w:r w:rsidRPr="002A0C60">
        <w:t>Het is echter mogelijk dat de pandhouder de mogelijkheid om over goederen binnen de normale bedrijfsvoering uitsluit of beperkt.</w:t>
      </w:r>
      <w:r w:rsidRPr="002A0C60">
        <w:rPr>
          <w:rStyle w:val="Voetnootmarkering"/>
        </w:rPr>
        <w:footnoteReference w:id="261"/>
      </w:r>
      <w:r w:rsidRPr="002A0C60">
        <w:t xml:space="preserve"> Dit kan zowel op het ogenblik van het sluiten van de overeenkomst als op een later ogenblik worden overeengekomen.</w:t>
      </w:r>
      <w:r w:rsidRPr="002A0C60">
        <w:rPr>
          <w:rStyle w:val="Voetnootmarkering"/>
        </w:rPr>
        <w:footnoteReference w:id="262"/>
      </w:r>
    </w:p>
    <w:p w14:paraId="21A2855E" w14:textId="1ECFC412" w:rsidR="001F41BB" w:rsidRPr="002A0C60" w:rsidRDefault="000F1392" w:rsidP="000F1392">
      <w:pPr>
        <w:pStyle w:val="Nummer"/>
        <w:numPr>
          <w:ilvl w:val="0"/>
          <w:numId w:val="0"/>
        </w:numPr>
        <w:spacing w:after="200" w:line="360" w:lineRule="auto"/>
      </w:pPr>
      <w:r w:rsidRPr="002A0C60">
        <w:t xml:space="preserve">Aan deze beperkingen of uitsluitingen moet echter geen publiciteit worden verleend in het pandregister of ergens anders. Het is voor derden dus niet eenvoudig om uit te maken of het </w:t>
      </w:r>
      <w:r w:rsidRPr="002A0C60">
        <w:lastRenderedPageBreak/>
        <w:t xml:space="preserve">mogelijk is om het goed onbezwaard van het pandrecht te verkrijgen. Een particuliere derde-verkrijger kan echter beroep doen op de bescherming van artikel 2279 Burgerlijk Wetboek. Zoals hoger vermeld wordt de bescherming van artikel 2279 Burgerlijk Wetboek uitgesloten voor professionele derde-verkrijgers. </w:t>
      </w:r>
      <w:r w:rsidR="00222D35" w:rsidRPr="002A0C60">
        <w:t xml:space="preserve">De gedachte hierachter is dat van een professioneel verwacht kan worden dat hij het pandregister raadpleegt. In dit geval worden de uitsluitingen en beperkingen echter niet gepubliceerd in het register. </w:t>
      </w:r>
      <w:r w:rsidR="00222D35" w:rsidRPr="002A0C60">
        <w:rPr>
          <w:smallCaps/>
        </w:rPr>
        <w:t xml:space="preserve">Baeck </w:t>
      </w:r>
      <w:r w:rsidR="00222D35" w:rsidRPr="002A0C60">
        <w:t xml:space="preserve">stelt dan ook dat moeilijk kan verwacht worden dat zij op de hoogte zijn van deze beperkingen en uitsluitingen. De </w:t>
      </w:r>
      <w:r w:rsidR="00222D35" w:rsidRPr="002A0C60">
        <w:rPr>
          <w:i/>
        </w:rPr>
        <w:t xml:space="preserve">ratio legis </w:t>
      </w:r>
      <w:r w:rsidR="00222D35" w:rsidRPr="002A0C60">
        <w:t xml:space="preserve">van artikel 25 Pandwet geldt hier namelijk niet. Een beroep op artikel 2279 Burgerlijk Wetboek moet in deze situatie voor derde-verkrijger die handelen </w:t>
      </w:r>
      <w:r w:rsidR="00222D35" w:rsidRPr="002A0C60">
        <w:rPr>
          <w:i/>
        </w:rPr>
        <w:t xml:space="preserve">“in het raam van bedrijf of beroep” </w:t>
      </w:r>
      <w:r w:rsidR="00222D35" w:rsidRPr="002A0C60">
        <w:t>mogelijk blijven. Ook al wisten zij of behoorden ze te weten dat op de goederen een pandrecht rustte, ze wisten niet of behoorden niet te weten dat de pandgever niet over de goederen binnen een normale bedrijfsvoering kon beschikken.</w:t>
      </w:r>
      <w:r w:rsidR="00222D35" w:rsidRPr="002A0C60">
        <w:rPr>
          <w:rStyle w:val="Voetnootmarkering"/>
        </w:rPr>
        <w:footnoteReference w:id="263"/>
      </w:r>
      <w:r w:rsidR="00222D35" w:rsidRPr="002A0C60">
        <w:t xml:space="preserve"> </w:t>
      </w:r>
    </w:p>
    <w:p w14:paraId="5EA7CC8D" w14:textId="77777777" w:rsidR="00257C36" w:rsidRPr="002A0C60" w:rsidRDefault="00257C36" w:rsidP="00A15B49">
      <w:pPr>
        <w:pStyle w:val="Kop4"/>
      </w:pPr>
      <w:bookmarkStart w:id="87" w:name="_Toc449982254"/>
      <w:r w:rsidRPr="002A0C60">
        <w:t>Illustratie aan de hand van een voorbeeld</w:t>
      </w:r>
      <w:bookmarkEnd w:id="87"/>
      <w:r w:rsidRPr="002A0C60">
        <w:t xml:space="preserve"> </w:t>
      </w:r>
    </w:p>
    <w:p w14:paraId="665F2AEA" w14:textId="77777777" w:rsidR="00257C36" w:rsidRPr="002A0C60" w:rsidRDefault="00257C36" w:rsidP="005E187E">
      <w:pPr>
        <w:pStyle w:val="Nummer"/>
        <w:spacing w:line="360" w:lineRule="auto"/>
      </w:pPr>
      <w:r w:rsidRPr="002A0C60">
        <w:t>Het belang van dit onderscheid wordt geïllustreerd met een voorbeeld:</w:t>
      </w:r>
    </w:p>
    <w:p w14:paraId="6BFE5036" w14:textId="77777777" w:rsidR="00257C36" w:rsidRPr="002A0C60" w:rsidRDefault="00257C36" w:rsidP="005E187E">
      <w:pPr>
        <w:pStyle w:val="Lijstalinea"/>
        <w:spacing w:line="360" w:lineRule="auto"/>
        <w:ind w:left="0"/>
        <w:jc w:val="both"/>
        <w:rPr>
          <w:rFonts w:ascii="Times New Roman" w:hAnsi="Times New Roman"/>
        </w:rPr>
      </w:pPr>
    </w:p>
    <w:p w14:paraId="16581577" w14:textId="6573D4AB" w:rsidR="00257C36" w:rsidRPr="002A0C60" w:rsidRDefault="00257C36" w:rsidP="005E187E">
      <w:pPr>
        <w:pStyle w:val="Lijstalinea"/>
        <w:spacing w:line="360" w:lineRule="auto"/>
        <w:ind w:left="0"/>
        <w:jc w:val="both"/>
        <w:rPr>
          <w:rFonts w:ascii="Times New Roman" w:hAnsi="Times New Roman"/>
          <w:sz w:val="20"/>
          <w:szCs w:val="20"/>
        </w:rPr>
      </w:pPr>
      <w:r w:rsidRPr="002A0C60">
        <w:rPr>
          <w:rFonts w:ascii="Times New Roman" w:hAnsi="Times New Roman"/>
          <w:sz w:val="20"/>
          <w:szCs w:val="20"/>
          <w:u w:val="single"/>
        </w:rPr>
        <w:t>Voorbeeld:</w:t>
      </w:r>
      <w:r w:rsidRPr="002A0C60">
        <w:rPr>
          <w:rFonts w:ascii="Times New Roman" w:hAnsi="Times New Roman"/>
          <w:sz w:val="20"/>
          <w:szCs w:val="20"/>
        </w:rPr>
        <w:t xml:space="preserve"> Een fabrikant en handelaar in tapijten A heeft een pand toegestaan op zijn handelszaak aan bank B (weefmachines, voorraad tapijten, kantoormaterieel, etc.). A verkoopt tapijten uit deze voorraad aan C, een projectontwikkelaar die deze gebruikt om alle appartementen uit een appartementsgebouw die hij heeft opgericht van vloerbekleding te voorzien en aan D, een consument die met deze tapijten zijn huis wil decoreren. Daarnaast verkoopt A ook nog kantoormaterieel aan C en een bedrijfswagen van een ontslagen werknemer aan D. </w:t>
      </w:r>
    </w:p>
    <w:p w14:paraId="5DAC8C53" w14:textId="0907E739" w:rsidR="001D7155" w:rsidRPr="002A0C60" w:rsidRDefault="00257C36" w:rsidP="005E187E">
      <w:pPr>
        <w:spacing w:after="200" w:line="360" w:lineRule="auto"/>
        <w:rPr>
          <w:i/>
          <w:smallCaps/>
          <w:sz w:val="20"/>
          <w:szCs w:val="20"/>
        </w:rPr>
      </w:pPr>
      <w:r w:rsidRPr="002A0C60">
        <w:rPr>
          <w:smallCaps/>
          <w:sz w:val="20"/>
          <w:szCs w:val="20"/>
        </w:rPr>
        <w:t xml:space="preserve">Situatie van C met betrekking tot tapijten </w:t>
      </w:r>
      <w:r w:rsidR="001D7155" w:rsidRPr="002A0C60">
        <w:rPr>
          <w:smallCaps/>
          <w:sz w:val="20"/>
          <w:szCs w:val="20"/>
        </w:rPr>
        <w:t>-</w:t>
      </w:r>
      <w:r w:rsidR="001D7155" w:rsidRPr="002A0C60">
        <w:rPr>
          <w:i/>
          <w:smallCaps/>
          <w:sz w:val="20"/>
          <w:szCs w:val="20"/>
        </w:rPr>
        <w:t xml:space="preserve"> </w:t>
      </w:r>
      <w:r w:rsidRPr="002A0C60">
        <w:rPr>
          <w:sz w:val="20"/>
          <w:szCs w:val="20"/>
        </w:rPr>
        <w:t>Onder de nieuwe Pandwet zal C door artikel 21 juncto 24 de tapijten onbezwaard van het pandrecht verkrijgen. Het is dus niet noodzakelijk dat hij in het bezit is van de tapijten, noch dat hij te goeder trouw is. Deze artikelen zijn van groot belang, aangezien artikel 25 het onmogelijk maakt voor C, die handelt in het raam van zijn bedrijf of beroep, om een beroep te doen op de bescherming van artikel 2279 Burgerlijk Wetboek. Ook hier zal bank B enkel een pandrecht hebben op de schuldvordering van A op C.</w:t>
      </w:r>
    </w:p>
    <w:p w14:paraId="471DE9F0" w14:textId="696758E4" w:rsidR="001D7155" w:rsidRPr="002A0C60" w:rsidRDefault="00257C36" w:rsidP="005E187E">
      <w:pPr>
        <w:spacing w:after="200" w:line="360" w:lineRule="auto"/>
        <w:rPr>
          <w:i/>
          <w:smallCaps/>
          <w:sz w:val="20"/>
          <w:szCs w:val="20"/>
        </w:rPr>
      </w:pPr>
      <w:r w:rsidRPr="002A0C60">
        <w:rPr>
          <w:smallCaps/>
          <w:sz w:val="20"/>
          <w:szCs w:val="20"/>
        </w:rPr>
        <w:t xml:space="preserve">Situatie C met betrekking tot het kantoormaterieel </w:t>
      </w:r>
      <w:r w:rsidR="001D7155" w:rsidRPr="002A0C60">
        <w:rPr>
          <w:smallCaps/>
          <w:sz w:val="20"/>
          <w:szCs w:val="20"/>
        </w:rPr>
        <w:t>-</w:t>
      </w:r>
      <w:r w:rsidR="001D7155" w:rsidRPr="002A0C60">
        <w:rPr>
          <w:i/>
          <w:smallCaps/>
          <w:sz w:val="20"/>
          <w:szCs w:val="20"/>
        </w:rPr>
        <w:t xml:space="preserve"> </w:t>
      </w:r>
      <w:r w:rsidRPr="002A0C60">
        <w:rPr>
          <w:sz w:val="20"/>
          <w:szCs w:val="20"/>
        </w:rPr>
        <w:t>Onder de nieuwe Pandwet wordt de toepassing van artikel 2279 Burgerlijk Wetboek uitgesloten voor A door artikel 25. C handelt namelijk “</w:t>
      </w:r>
      <w:r w:rsidRPr="002A0C60">
        <w:rPr>
          <w:i/>
          <w:sz w:val="20"/>
          <w:szCs w:val="20"/>
        </w:rPr>
        <w:t xml:space="preserve">in het raam van zijn bedrijf of beroep”. </w:t>
      </w:r>
      <w:r w:rsidRPr="002A0C60">
        <w:rPr>
          <w:sz w:val="20"/>
          <w:szCs w:val="20"/>
        </w:rPr>
        <w:t>Het is dus noodzakelijk dat C vooraleer tot de koop van het kantoormaterieel over te gaan het pandregister consulteert. Bank B zal zijn pandrecht op het kantoormaterieel behouden.</w:t>
      </w:r>
    </w:p>
    <w:p w14:paraId="453EC02B" w14:textId="1DB51C4B" w:rsidR="00257C36" w:rsidRPr="002A0C60" w:rsidRDefault="00257C36" w:rsidP="005E187E">
      <w:pPr>
        <w:spacing w:after="200" w:line="360" w:lineRule="auto"/>
        <w:rPr>
          <w:smallCaps/>
          <w:sz w:val="20"/>
          <w:szCs w:val="20"/>
        </w:rPr>
      </w:pPr>
      <w:r w:rsidRPr="002A0C60">
        <w:rPr>
          <w:smallCaps/>
          <w:sz w:val="20"/>
          <w:szCs w:val="20"/>
        </w:rPr>
        <w:t>Situatie D met betrekking tot tapijten</w:t>
      </w:r>
      <w:r w:rsidR="001D7155" w:rsidRPr="002A0C60">
        <w:rPr>
          <w:smallCaps/>
          <w:sz w:val="20"/>
          <w:szCs w:val="20"/>
        </w:rPr>
        <w:t xml:space="preserve">- </w:t>
      </w:r>
      <w:r w:rsidRPr="002A0C60">
        <w:rPr>
          <w:sz w:val="20"/>
          <w:szCs w:val="20"/>
        </w:rPr>
        <w:t>Onder de nieuwe Pandwet, geldt dezelfde redenering als bij C.</w:t>
      </w:r>
    </w:p>
    <w:p w14:paraId="51B189F6" w14:textId="09CFE76B" w:rsidR="00257C36" w:rsidRPr="002A0C60" w:rsidRDefault="00257C36" w:rsidP="005C574D">
      <w:pPr>
        <w:spacing w:after="200" w:line="360" w:lineRule="auto"/>
        <w:rPr>
          <w:smallCaps/>
          <w:sz w:val="20"/>
          <w:szCs w:val="20"/>
        </w:rPr>
      </w:pPr>
      <w:r w:rsidRPr="002A0C60">
        <w:rPr>
          <w:smallCaps/>
          <w:sz w:val="20"/>
          <w:szCs w:val="20"/>
        </w:rPr>
        <w:lastRenderedPageBreak/>
        <w:t xml:space="preserve">Situatie D met betrekking tot de tweedehandsauto </w:t>
      </w:r>
      <w:r w:rsidR="001D7155" w:rsidRPr="002A0C60">
        <w:rPr>
          <w:smallCaps/>
          <w:sz w:val="20"/>
          <w:szCs w:val="20"/>
        </w:rPr>
        <w:t xml:space="preserve">- </w:t>
      </w:r>
      <w:r w:rsidRPr="002A0C60">
        <w:rPr>
          <w:sz w:val="20"/>
          <w:szCs w:val="20"/>
        </w:rPr>
        <w:t xml:space="preserve">Onder de nieuwe Pandwet zal de consument op basis van artikel 24 wél een beroep kunnen doen op de bescherming van artikel 2279 Burgerlijk Wetboek. </w:t>
      </w:r>
      <w:r w:rsidR="0077523D" w:rsidRPr="002A0C60">
        <w:rPr>
          <w:sz w:val="20"/>
          <w:szCs w:val="20"/>
        </w:rPr>
        <w:t>Vereist is dan dat D in het bezit is van</w:t>
      </w:r>
      <w:r w:rsidR="00DF0B3D">
        <w:rPr>
          <w:sz w:val="20"/>
          <w:szCs w:val="20"/>
        </w:rPr>
        <w:t xml:space="preserve"> de auto en dat deze op</w:t>
      </w:r>
      <w:r w:rsidR="0077523D" w:rsidRPr="002A0C60">
        <w:rPr>
          <w:sz w:val="20"/>
          <w:szCs w:val="20"/>
        </w:rPr>
        <w:t xml:space="preserve"> het moment van de inbezitname te goeder trouw was en dus niet op de hoogte was of behoorde te zijn van het pand op de handelszaak.</w:t>
      </w:r>
    </w:p>
    <w:p w14:paraId="4A03187F" w14:textId="0174D4D5" w:rsidR="00257C36" w:rsidRDefault="00257C36" w:rsidP="002A0C60">
      <w:pPr>
        <w:pStyle w:val="Nummer"/>
        <w:numPr>
          <w:ilvl w:val="0"/>
          <w:numId w:val="0"/>
        </w:numPr>
        <w:spacing w:line="360" w:lineRule="auto"/>
      </w:pPr>
      <w:r w:rsidRPr="002A0C60">
        <w:t xml:space="preserve">Dit voorbeeld toont niet alleen het grote verschil voor de praktijk aan tussen consumenten en professionelen, maar ook het grote verschil tussen wanneer goederen in het kader van de normale exploitatie van de handelszaak verkregen worden en wanneer dit niet het geval is. </w:t>
      </w:r>
    </w:p>
    <w:p w14:paraId="73CF9793" w14:textId="40E9ADA5" w:rsidR="00257C36" w:rsidRPr="002A0C60" w:rsidRDefault="00257C36" w:rsidP="002A0C60">
      <w:pPr>
        <w:pStyle w:val="Nummer"/>
        <w:numPr>
          <w:ilvl w:val="0"/>
          <w:numId w:val="0"/>
        </w:numPr>
        <w:spacing w:line="360" w:lineRule="auto"/>
      </w:pPr>
      <w:r w:rsidRPr="002A0C60">
        <w:t>Daarnaast toont dit voorbeeld ook aan dat door artikel 21 juncto artikel 24 Pandwet de uitsluiting van artikel 2279 Burgerlijk Wetboek voor professionelen eigenlijk geneutraliseerd wordt. Verkrijgen zij goederen uit de stock of goederen die in de normale exploitatie van de onderneming verhandeld worden</w:t>
      </w:r>
      <w:r w:rsidR="00DF0B3D">
        <w:t>,</w:t>
      </w:r>
      <w:r w:rsidRPr="002A0C60">
        <w:t xml:space="preserve"> zullen zij toch deze goederen onbezwaard van het pandrecht verkrijgen. </w:t>
      </w:r>
    </w:p>
    <w:p w14:paraId="7A038486" w14:textId="3F703FB0" w:rsidR="005C574D" w:rsidRPr="002A0C60" w:rsidRDefault="00D66183" w:rsidP="00D66183">
      <w:pPr>
        <w:pStyle w:val="Kop4"/>
      </w:pPr>
      <w:bookmarkStart w:id="88" w:name="_Toc449982255"/>
      <w:r w:rsidRPr="002A0C60">
        <w:t>Nuancering neutralisatie artikel 2279 Burgerlijk Wetboek</w:t>
      </w:r>
      <w:bookmarkEnd w:id="88"/>
    </w:p>
    <w:p w14:paraId="033AC7D1" w14:textId="609E4917" w:rsidR="00155263" w:rsidRPr="002A0C60" w:rsidRDefault="00854625" w:rsidP="001706A0">
      <w:pPr>
        <w:pStyle w:val="Nummer"/>
        <w:spacing w:line="360" w:lineRule="auto"/>
      </w:pPr>
      <w:r w:rsidRPr="002A0C60">
        <w:rPr>
          <w:smallCaps/>
        </w:rPr>
        <w:t xml:space="preserve">Vooral van belang voor professionele verkrijgers </w:t>
      </w:r>
      <w:r w:rsidR="006E46AD" w:rsidRPr="002A0C60">
        <w:rPr>
          <w:smallCaps/>
        </w:rPr>
        <w:t>–</w:t>
      </w:r>
      <w:r w:rsidR="00C8447D" w:rsidRPr="002A0C60">
        <w:t xml:space="preserve"> A</w:t>
      </w:r>
      <w:r w:rsidR="006E46AD" w:rsidRPr="002A0C60">
        <w:t xml:space="preserve">angezien een pandrecht </w:t>
      </w:r>
      <w:r w:rsidR="00257C36" w:rsidRPr="002A0C60">
        <w:t xml:space="preserve">vooral </w:t>
      </w:r>
      <w:r w:rsidR="006E46AD" w:rsidRPr="002A0C60">
        <w:t xml:space="preserve">wordt </w:t>
      </w:r>
      <w:r w:rsidR="00257C36" w:rsidRPr="002A0C60">
        <w:t xml:space="preserve">afgesloten in het kader van de </w:t>
      </w:r>
      <w:r w:rsidR="006E46AD" w:rsidRPr="002A0C60">
        <w:t xml:space="preserve">zakelijke </w:t>
      </w:r>
      <w:r w:rsidR="0077523D" w:rsidRPr="002A0C60">
        <w:t>kredietverlening</w:t>
      </w:r>
      <w:r w:rsidR="006E46AD" w:rsidRPr="002A0C60">
        <w:t xml:space="preserve"> </w:t>
      </w:r>
      <w:r w:rsidR="00257C36" w:rsidRPr="002A0C60">
        <w:t>zijn</w:t>
      </w:r>
      <w:r w:rsidR="006E46AD" w:rsidRPr="002A0C60">
        <w:t xml:space="preserve"> het</w:t>
      </w:r>
      <w:r w:rsidR="00257C36" w:rsidRPr="002A0C60">
        <w:t xml:space="preserve"> vooral ondernemingen in moeilijkheden die een pand als zekerheid bedingen bij een krediet afgesloten bij een financiële instelling. Derde-verkrijgers consumenten zullen van ondernemingen vooral goederen verkrijgen d</w:t>
      </w:r>
      <w:r w:rsidR="00A40CEB" w:rsidRPr="002A0C60">
        <w:t>ie deze ondernemingen verhandelen</w:t>
      </w:r>
      <w:r w:rsidR="00257C36" w:rsidRPr="002A0C60">
        <w:t xml:space="preserve"> in het kader van de normale bedrijfsvoering van deze onderneming</w:t>
      </w:r>
      <w:r w:rsidRPr="002A0C60">
        <w:t xml:space="preserve"> (</w:t>
      </w:r>
      <w:r w:rsidRPr="002A0C60">
        <w:rPr>
          <w:i/>
        </w:rPr>
        <w:t xml:space="preserve">supra, </w:t>
      </w:r>
      <w:r w:rsidRPr="002A0C60">
        <w:t>nr.</w:t>
      </w:r>
      <w:r w:rsidR="00894B83">
        <w:t xml:space="preserve"> 107</w:t>
      </w:r>
      <w:r w:rsidRPr="002A0C60">
        <w:t>)</w:t>
      </w:r>
      <w:r w:rsidR="00257C36" w:rsidRPr="002A0C60">
        <w:t>.</w:t>
      </w:r>
      <w:r w:rsidR="00257C36" w:rsidRPr="002A0C60">
        <w:rPr>
          <w:rStyle w:val="Voetnootmarkering"/>
        </w:rPr>
        <w:footnoteReference w:id="264"/>
      </w:r>
      <w:r w:rsidRPr="002A0C60">
        <w:t xml:space="preserve"> In dat geval is een beroep op artikel 2279 Burgerlijk </w:t>
      </w:r>
      <w:r w:rsidR="00192459">
        <w:t xml:space="preserve">Wetboek </w:t>
      </w:r>
      <w:r w:rsidRPr="002A0C60">
        <w:t>helemaal niet nodig. Een beroep zal enkel nodig zijn wanneer een beschikking binnen de normale bedrijfsuitvoering beperkt of uitgesloten is.</w:t>
      </w:r>
      <w:r w:rsidR="00257C36" w:rsidRPr="002A0C60">
        <w:t xml:space="preserve"> Het zijn eerder de professionele derde-verkrijgers die goederen zullen verkrijgen die niet onder de normale bedrijfsvoering van de pandgever vallen.</w:t>
      </w:r>
      <w:r w:rsidR="00257C36" w:rsidRPr="002A0C60">
        <w:rPr>
          <w:rStyle w:val="Voetnootmarkering"/>
        </w:rPr>
        <w:footnoteReference w:id="265"/>
      </w:r>
      <w:r w:rsidR="00257C36" w:rsidRPr="002A0C60">
        <w:t xml:space="preserve"> Het zijn dus in de eerste plaats de professionele derde-verkrijgers die baat zouden hebben bij een beroep op artikel 2279 Burgerlijk Wetboek. Maar aangezien dit net voor hen uitgesloten is komen we dicht bij een algemene uitsluiting zoals we deze vinden in het Franse recht. </w:t>
      </w:r>
      <w:r w:rsidR="001D7155" w:rsidRPr="002A0C60">
        <w:t xml:space="preserve">In de praktijk leidt de </w:t>
      </w:r>
      <w:r w:rsidR="001D7155" w:rsidRPr="002A0C60">
        <w:lastRenderedPageBreak/>
        <w:t>genuanceerde benadering vooropgesteld door de Belgische wetgever toch tot een oplossing waarbij het belang van een effectief pand zonder buitenbezitstelling (en dus het belang van de pandhouder) geplaatst wordt boven het belan</w:t>
      </w:r>
      <w:r w:rsidR="002039EF" w:rsidRPr="002A0C60">
        <w:t>g van een vlot handelsverkeer (</w:t>
      </w:r>
      <w:r w:rsidR="001D7155" w:rsidRPr="002A0C60">
        <w:t>en dus boven het belang van de derde-verkrijger te goeder trouw).</w:t>
      </w:r>
      <w:r w:rsidR="006E46AD" w:rsidRPr="002A0C60">
        <w:t xml:space="preserve"> In tegenstelling tot bij het pand op de handelszaak blijft het volgrecht van de pandgever dus quasi-intact.</w:t>
      </w:r>
    </w:p>
    <w:p w14:paraId="10B21463" w14:textId="6EDC8FD5" w:rsidR="00D66183" w:rsidRPr="002A0C60" w:rsidRDefault="00B95BBE" w:rsidP="00D66183">
      <w:pPr>
        <w:pStyle w:val="Nummer"/>
        <w:spacing w:line="360" w:lineRule="auto"/>
      </w:pPr>
      <w:r w:rsidRPr="002A0C60">
        <w:rPr>
          <w:smallCaps/>
        </w:rPr>
        <w:t xml:space="preserve">Effectiviteit pand neemt bovenhand in Franse recht - </w:t>
      </w:r>
      <w:r w:rsidR="00E2702A" w:rsidRPr="002A0C60">
        <w:t>De Franse wetgever</w:t>
      </w:r>
      <w:r w:rsidR="00C8447D" w:rsidRPr="002A0C60">
        <w:t xml:space="preserve"> daarentegen</w:t>
      </w:r>
      <w:r w:rsidR="00E2702A" w:rsidRPr="002A0C60">
        <w:t xml:space="preserve"> plaatst de effectiviteit van het pand zonder buitenbezitstelling boven de vlotheid van het handelsverkeer met be</w:t>
      </w:r>
      <w:r w:rsidR="00894B83">
        <w:t>trekking tot roerende goederen</w:t>
      </w:r>
      <w:r w:rsidR="00E2702A" w:rsidRPr="002A0C60">
        <w:t xml:space="preserve">. Ook al is het register vlot online raadpleegbaar, toch is het aannemelijk dat derde-verkrijgers het goed zullen aankopen zonder het register te raadplegen. Wat dan zal resulteren in derde-verkrijgers die hun rechten gefrustreerd zien. Daarnaast is het ook aannemelijk dat door de noodzakelijk te vervullen formaliteit van het raadplegen van een online register transacties met betrekking </w:t>
      </w:r>
      <w:r w:rsidR="00DF0B3D">
        <w:t>tot</w:t>
      </w:r>
      <w:r w:rsidR="00E2702A" w:rsidRPr="002A0C60">
        <w:t xml:space="preserve"> roerende goederen, die gekenmerkt zijn door een enorme snelheid vertraging oplopen.</w:t>
      </w:r>
    </w:p>
    <w:p w14:paraId="4BCA0D71" w14:textId="24D28997" w:rsidR="00D66183" w:rsidRPr="002A0C60" w:rsidRDefault="00D66183" w:rsidP="00D66183">
      <w:pPr>
        <w:jc w:val="left"/>
      </w:pPr>
      <w:r w:rsidRPr="002A0C60">
        <w:br w:type="page"/>
      </w:r>
    </w:p>
    <w:p w14:paraId="07BF56D2" w14:textId="4D97F8A7" w:rsidR="000E1E46" w:rsidRPr="002A0C60" w:rsidRDefault="002039EF" w:rsidP="005E187E">
      <w:pPr>
        <w:pStyle w:val="Kop1"/>
        <w:numPr>
          <w:ilvl w:val="0"/>
          <w:numId w:val="0"/>
        </w:numPr>
        <w:spacing w:line="360" w:lineRule="auto"/>
        <w:rPr>
          <w:rFonts w:eastAsia="MS Mincho"/>
        </w:rPr>
      </w:pPr>
      <w:bookmarkStart w:id="89" w:name="_Toc449982256"/>
      <w:r w:rsidRPr="002A0C60">
        <w:rPr>
          <w:rFonts w:eastAsia="MS Mincho"/>
        </w:rPr>
        <w:lastRenderedPageBreak/>
        <w:t>besluit</w:t>
      </w:r>
      <w:bookmarkEnd w:id="89"/>
      <w:r w:rsidRPr="002A0C60">
        <w:rPr>
          <w:rFonts w:eastAsia="MS Mincho"/>
        </w:rPr>
        <w:t xml:space="preserve"> </w:t>
      </w:r>
    </w:p>
    <w:p w14:paraId="4C10DC93" w14:textId="5596AB8E" w:rsidR="009F25E9" w:rsidRPr="007C3569" w:rsidRDefault="007C3569" w:rsidP="009F25E9">
      <w:pPr>
        <w:pStyle w:val="Nummer"/>
        <w:spacing w:after="200" w:line="360" w:lineRule="auto"/>
        <w:rPr>
          <w:rFonts w:eastAsia="MS Mincho"/>
        </w:rPr>
      </w:pPr>
      <w:r>
        <w:rPr>
          <w:rFonts w:eastAsia="MS Mincho"/>
          <w:smallCaps/>
        </w:rPr>
        <w:t xml:space="preserve">Twee situaties - </w:t>
      </w:r>
      <w:r w:rsidR="006D0B1A" w:rsidRPr="007C3569">
        <w:rPr>
          <w:rFonts w:eastAsia="MS Mincho"/>
        </w:rPr>
        <w:t xml:space="preserve">Met betrekking tot een </w:t>
      </w:r>
      <w:r w:rsidR="0077523D" w:rsidRPr="007C3569">
        <w:rPr>
          <w:rFonts w:eastAsia="MS Mincho"/>
        </w:rPr>
        <w:t>pandovereenkomst</w:t>
      </w:r>
      <w:r w:rsidR="006D0B1A" w:rsidRPr="007C3569">
        <w:rPr>
          <w:rFonts w:eastAsia="MS Mincho"/>
        </w:rPr>
        <w:t xml:space="preserve"> kunnen twee situaties worden onderscheiden waar artikel 2279 Burgerlijk Wetboek een rol speelt. Ten eerste is er de situatie waar de pandhouder te goeder trouw een beroep doet op artikel 2279 Burgerlijk Wetboek wanneer deze zijn pandrecht heeft verkregen van een onbevoegde pandgever. In de tweede plaats is het door het invoeren van het bezitloos pandrecht mogelijk dat de pandhouder het in pand gegeven goed vervreemdt. Het is dan de vraag of een derde-verkrijger te goeder trouw een beroep kan doen op artikel 2279 Burgerlijk Wetboek. In elk van deze situaties heeft de nieuwe Pandwet de traditionele werking van artikel 2279 Burgerlijk Wetboek beïnvloedt. </w:t>
      </w:r>
    </w:p>
    <w:p w14:paraId="771F43D4" w14:textId="40E001B9" w:rsidR="006D0B1A" w:rsidRPr="002A0C60" w:rsidRDefault="000E1E46" w:rsidP="005E187E">
      <w:pPr>
        <w:pStyle w:val="Nummer"/>
        <w:spacing w:after="200" w:line="360" w:lineRule="auto"/>
        <w:rPr>
          <w:rFonts w:eastAsia="MS Mincho"/>
        </w:rPr>
      </w:pPr>
      <w:r w:rsidRPr="002A0C60">
        <w:rPr>
          <w:rFonts w:eastAsia="MS Mincho"/>
          <w:smallCaps/>
        </w:rPr>
        <w:t xml:space="preserve">Invloed op situatie pandhouder te goeder trouw -  </w:t>
      </w:r>
      <w:r w:rsidR="006F40EB" w:rsidRPr="002A0C60">
        <w:rPr>
          <w:rFonts w:eastAsia="MS Mincho"/>
        </w:rPr>
        <w:t>Een eerste belangrijk</w:t>
      </w:r>
      <w:r w:rsidR="00914AA3">
        <w:rPr>
          <w:rFonts w:eastAsia="MS Mincho"/>
        </w:rPr>
        <w:t>e</w:t>
      </w:r>
      <w:r w:rsidR="006F40EB" w:rsidRPr="002A0C60">
        <w:rPr>
          <w:rFonts w:eastAsia="MS Mincho"/>
        </w:rPr>
        <w:t xml:space="preserve"> invloed op de traditionele werking van artikel 2279 Burgerlijk Wetboek is te vinden in het toepassingsgebied van artikel 6 Pandwet. Dit is namelijk van toepassing</w:t>
      </w:r>
      <w:r w:rsidR="00914AA3">
        <w:rPr>
          <w:rFonts w:eastAsia="MS Mincho"/>
        </w:rPr>
        <w:t xml:space="preserve"> op</w:t>
      </w:r>
      <w:r w:rsidR="006F40EB" w:rsidRPr="002A0C60">
        <w:rPr>
          <w:rFonts w:eastAsia="MS Mincho"/>
        </w:rPr>
        <w:t xml:space="preserve"> zowel pand met buitenbezitstelling als op een pand zonder buitenbezitstelling. Aangezien op basis van artikel 7 Pandwet de pandovereenkomst betrekking kan hebben op zowel een handelszaak als een landbouwexploitatie kunnen ook de pandhouders met betrekking tot deze </w:t>
      </w:r>
      <w:r w:rsidR="00396AFD">
        <w:rPr>
          <w:rFonts w:eastAsia="MS Mincho"/>
        </w:rPr>
        <w:t>pand</w:t>
      </w:r>
      <w:r w:rsidR="0077523D" w:rsidRPr="002A0C60">
        <w:rPr>
          <w:rFonts w:eastAsia="MS Mincho"/>
        </w:rPr>
        <w:t>overeenkomsten</w:t>
      </w:r>
      <w:r w:rsidR="006F40EB" w:rsidRPr="002A0C60">
        <w:rPr>
          <w:rFonts w:eastAsia="MS Mincho"/>
        </w:rPr>
        <w:t xml:space="preserve"> een beroep doen op de bescherming van artikel 2279 Burgerlijk Wetboek. Onder het huidige recht kan enkel de pandhouder van een landbouwexploitatie een beroep doen op deze bescherming. </w:t>
      </w:r>
      <w:r w:rsidR="00185B8A" w:rsidRPr="002A0C60">
        <w:rPr>
          <w:rFonts w:eastAsia="MS Mincho"/>
        </w:rPr>
        <w:t xml:space="preserve">Onder de nieuwe </w:t>
      </w:r>
      <w:r w:rsidR="0077523D" w:rsidRPr="002A0C60">
        <w:rPr>
          <w:rFonts w:eastAsia="MS Mincho"/>
        </w:rPr>
        <w:t>Pandwet</w:t>
      </w:r>
      <w:r w:rsidR="00185B8A" w:rsidRPr="002A0C60">
        <w:rPr>
          <w:rFonts w:eastAsia="MS Mincho"/>
        </w:rPr>
        <w:t xml:space="preserve"> wordt dus niet alleen voor de houder van een landbouwvoorrecht een inversie van titel vermoed, maar ook voor de pandhouder op de handelszaak. </w:t>
      </w:r>
    </w:p>
    <w:p w14:paraId="3B28D4A0" w14:textId="559FA991" w:rsidR="005113D4" w:rsidRPr="002A0C60" w:rsidRDefault="000E0381" w:rsidP="005E187E">
      <w:pPr>
        <w:pStyle w:val="Nummer"/>
        <w:numPr>
          <w:ilvl w:val="0"/>
          <w:numId w:val="0"/>
        </w:numPr>
        <w:spacing w:after="200" w:line="360" w:lineRule="auto"/>
        <w:rPr>
          <w:rFonts w:eastAsia="MS Mincho"/>
        </w:rPr>
      </w:pPr>
      <w:r w:rsidRPr="002A0C60">
        <w:rPr>
          <w:rFonts w:eastAsia="MS Mincho"/>
          <w:smallCaps/>
        </w:rPr>
        <w:t xml:space="preserve">Registratie beschermt sterker dan bezit - </w:t>
      </w:r>
      <w:r w:rsidR="005113D4" w:rsidRPr="002A0C60">
        <w:rPr>
          <w:rFonts w:eastAsia="MS Mincho"/>
        </w:rPr>
        <w:t>Het feit dat een pandhouder te goeder trouw een beroep kan doen op de bescherming van artikel 2279 Burgerlijk Wetboek is onder het huidige recht algemeen aanvaard door rechtspraak en rechtsleer.</w:t>
      </w:r>
      <w:r w:rsidR="00716FF1" w:rsidRPr="002A0C60">
        <w:rPr>
          <w:rFonts w:eastAsia="MS Mincho"/>
        </w:rPr>
        <w:t xml:space="preserve"> De nieuwe Pandwet verankert dit principe in artikel 6. </w:t>
      </w:r>
      <w:r w:rsidR="005113D4" w:rsidRPr="002A0C60">
        <w:rPr>
          <w:rFonts w:eastAsia="MS Mincho"/>
        </w:rPr>
        <w:t>Artikel 6 maakt echter geen onderscheid tussen vrijwillig en onvrijwillig bezitsverlies. Hierdoor is het voor de pandhouder ook mogelijk om een beroep te doen op artikel 2279 Burgerlijk Wetboek de eerste drie jaren na het verlies of de diefstal va</w:t>
      </w:r>
      <w:r w:rsidR="00B231AA" w:rsidRPr="002A0C60">
        <w:rPr>
          <w:rFonts w:eastAsia="MS Mincho"/>
        </w:rPr>
        <w:t>n de goederen door de pandgever, in tegenstelling tot onder het huidige recht.</w:t>
      </w:r>
    </w:p>
    <w:p w14:paraId="30920BB5" w14:textId="6938F1F2" w:rsidR="00621568" w:rsidRPr="002A0C60" w:rsidRDefault="000E0381" w:rsidP="005E187E">
      <w:pPr>
        <w:pStyle w:val="Nummer"/>
        <w:numPr>
          <w:ilvl w:val="0"/>
          <w:numId w:val="0"/>
        </w:numPr>
        <w:spacing w:after="200" w:line="360" w:lineRule="auto"/>
        <w:rPr>
          <w:rFonts w:eastAsia="MS Mincho"/>
        </w:rPr>
      </w:pPr>
      <w:r w:rsidRPr="002A0C60">
        <w:rPr>
          <w:rFonts w:eastAsia="MS Mincho"/>
          <w:smallCaps/>
        </w:rPr>
        <w:t xml:space="preserve">Enkel bij registratie - </w:t>
      </w:r>
      <w:r w:rsidR="00621568" w:rsidRPr="002A0C60">
        <w:rPr>
          <w:rFonts w:eastAsia="MS Mincho"/>
        </w:rPr>
        <w:t xml:space="preserve">Belangrijk is ook wel op te merken dat de pandhouder enkel een beroep kan doen op artikel 6 Pandwet wanneer hij zijn pandrecht tegenwerpelijk heeft </w:t>
      </w:r>
      <w:r w:rsidR="00621568" w:rsidRPr="002A0C60">
        <w:rPr>
          <w:rFonts w:eastAsia="MS Mincho"/>
        </w:rPr>
        <w:lastRenderedPageBreak/>
        <w:t xml:space="preserve">gemaakt, door ofwel buitenbezitstelling ofwel registratie. Daar waar onder de nieuwe Pandwet, in tegenstelling tot onder het huidige recht de buitenbezitstelling geen bestaansvoorwaarde is, blijkt deze toch </w:t>
      </w:r>
      <w:r w:rsidR="004C6424" w:rsidRPr="002A0C60">
        <w:rPr>
          <w:rFonts w:eastAsia="MS Mincho"/>
        </w:rPr>
        <w:t>uitermate van belang voor de pandhouder om zich in te dekken tegen een onbevoegde pandgever.</w:t>
      </w:r>
    </w:p>
    <w:p w14:paraId="5E4EADAB" w14:textId="17A53047" w:rsidR="00621568" w:rsidRPr="002A0C60" w:rsidRDefault="008E3A61" w:rsidP="005E187E">
      <w:pPr>
        <w:pStyle w:val="Nummer"/>
        <w:spacing w:after="200" w:line="360" w:lineRule="auto"/>
        <w:rPr>
          <w:rFonts w:eastAsia="MS Mincho"/>
        </w:rPr>
      </w:pPr>
      <w:r w:rsidRPr="002A0C60">
        <w:rPr>
          <w:rFonts w:eastAsia="MS Mincho"/>
          <w:smallCaps/>
        </w:rPr>
        <w:t xml:space="preserve">Invloed op situatie derde-verkrijger </w:t>
      </w:r>
      <w:r w:rsidR="0016320B" w:rsidRPr="002A0C60">
        <w:rPr>
          <w:rFonts w:eastAsia="MS Mincho"/>
          <w:smallCaps/>
        </w:rPr>
        <w:t>–</w:t>
      </w:r>
      <w:r w:rsidRPr="002A0C60">
        <w:rPr>
          <w:rFonts w:eastAsia="MS Mincho"/>
          <w:smallCaps/>
        </w:rPr>
        <w:t xml:space="preserve"> </w:t>
      </w:r>
      <w:r w:rsidR="0016320B" w:rsidRPr="002A0C60">
        <w:rPr>
          <w:rFonts w:eastAsia="MS Mincho"/>
        </w:rPr>
        <w:t xml:space="preserve">Artikel 24 en 25 Pandwet zijn van toepassing op zowel een pand met buitenbezitstelling als op een pand zonder buitenbezitstelling. Dit houdt in dat in het uitzonderlijke geval dat een pandhouder van een vuistpandrecht de zaak waar het pandrecht op rust zou vervreemden de derde-verkrijger te goeder trouw, in tegenstelling tot onder het huidige recht wel een beroep zou kunnen doen op de bescherming van artikel 2279 Burgerlijk Wetboek. Voorwaarde blijft wel dat deze derde-verkrijger het goed buiten het raam van zijn beroep of bedrijf heeft verkregen. </w:t>
      </w:r>
    </w:p>
    <w:p w14:paraId="17A84E74" w14:textId="689CB938" w:rsidR="00590DAF" w:rsidRPr="002A0C60" w:rsidRDefault="000E0381" w:rsidP="005E187E">
      <w:pPr>
        <w:pStyle w:val="Nummer"/>
        <w:numPr>
          <w:ilvl w:val="0"/>
          <w:numId w:val="0"/>
        </w:numPr>
        <w:spacing w:after="200" w:line="360" w:lineRule="auto"/>
        <w:rPr>
          <w:rFonts w:eastAsia="MS Mincho"/>
        </w:rPr>
      </w:pPr>
      <w:r w:rsidRPr="002A0C60">
        <w:rPr>
          <w:rFonts w:eastAsia="MS Mincho"/>
        </w:rPr>
        <w:t xml:space="preserve">Een derde-verkrijger die een goed verkrijgt waarop een landbouwvoorrecht rust kan onder het huidige recht geen beroep doen op de bescherming van artikel 2279 Burgerlijk Wetboek. Aangezien het landbouwvoorrecht door de wet van 11 juli 2013 wordt afgeschaft en artikel 7 Pandwet het ook mogelijk maakt om een pandrecht te vestigen op een landbouwexploitatie, zullen artikel 24 en 25 Pandwet ook van toepassing zijn op een pand </w:t>
      </w:r>
      <w:r w:rsidR="00914AA3">
        <w:rPr>
          <w:rFonts w:eastAsia="MS Mincho"/>
        </w:rPr>
        <w:t>met betrekking tot</w:t>
      </w:r>
      <w:r w:rsidRPr="002A0C60">
        <w:rPr>
          <w:rFonts w:eastAsia="MS Mincho"/>
        </w:rPr>
        <w:t xml:space="preserve"> een landbouwexploitatie. Hierdoor kan een derde-verkrijger (consument) van een goed dat vervreemd wordt uit een landbouwexploitatie waar een pandrecht op rust onder de nieuwe Pandwet wel een beroep doen op de bescherming van artikel 2279 Burgerlijk Wetboek.</w:t>
      </w:r>
    </w:p>
    <w:p w14:paraId="74FCC685" w14:textId="0A7CDC74" w:rsidR="00204A9F" w:rsidRPr="002A0C60" w:rsidRDefault="00204A9F" w:rsidP="007C3569">
      <w:pPr>
        <w:pStyle w:val="Nummer"/>
        <w:spacing w:after="200" w:line="360" w:lineRule="auto"/>
        <w:rPr>
          <w:rFonts w:eastAsia="MS Mincho"/>
        </w:rPr>
      </w:pPr>
      <w:r w:rsidRPr="002A0C60">
        <w:rPr>
          <w:rFonts w:eastAsia="MS Mincho"/>
          <w:smallCaps/>
        </w:rPr>
        <w:t xml:space="preserve">Invloed op ratio legis artikel 2279 Burgerlijk Wetboek – </w:t>
      </w:r>
      <w:r w:rsidRPr="002A0C60">
        <w:rPr>
          <w:rFonts w:eastAsia="MS Mincho"/>
        </w:rPr>
        <w:t xml:space="preserve">De </w:t>
      </w:r>
      <w:r w:rsidRPr="002A0C60">
        <w:rPr>
          <w:rFonts w:eastAsia="MS Mincho"/>
          <w:i/>
        </w:rPr>
        <w:t xml:space="preserve">ratio legis </w:t>
      </w:r>
      <w:r w:rsidRPr="002A0C60">
        <w:rPr>
          <w:rFonts w:eastAsia="MS Mincho"/>
        </w:rPr>
        <w:t xml:space="preserve">van artikel 2279 Burgerlijk </w:t>
      </w:r>
      <w:r w:rsidR="00192459">
        <w:rPr>
          <w:rFonts w:eastAsia="MS Mincho"/>
        </w:rPr>
        <w:t xml:space="preserve">Wetboek </w:t>
      </w:r>
      <w:r w:rsidRPr="002A0C60">
        <w:rPr>
          <w:rFonts w:eastAsia="MS Mincho"/>
        </w:rPr>
        <w:t xml:space="preserve">ligt in het bewerkstelligen van een vlot handelsverkeer. Wanneer een derde-verkrijger niet beschermd zou worden wanneer deze een goed verkrijgt </w:t>
      </w:r>
      <w:r w:rsidR="003770A1" w:rsidRPr="002A0C60">
        <w:rPr>
          <w:rFonts w:eastAsia="MS Mincho"/>
        </w:rPr>
        <w:t>zou dit enorme implicaties hebben voor het handelsverkeer. Dit belang komt echter in conflict met dat van een effectief pand zonder buitenbezitstelli</w:t>
      </w:r>
      <w:r w:rsidR="00914AA3">
        <w:rPr>
          <w:rFonts w:eastAsia="MS Mincho"/>
        </w:rPr>
        <w:t>ng. Wanneer een derde-verkrijger</w:t>
      </w:r>
      <w:r w:rsidR="003770A1" w:rsidRPr="002A0C60">
        <w:rPr>
          <w:rFonts w:eastAsia="MS Mincho"/>
        </w:rPr>
        <w:t xml:space="preserve"> te goeder trouw zomaar een beroep zou kunnen</w:t>
      </w:r>
      <w:r w:rsidR="00914AA3">
        <w:rPr>
          <w:rFonts w:eastAsia="MS Mincho"/>
        </w:rPr>
        <w:t xml:space="preserve"> doen</w:t>
      </w:r>
      <w:r w:rsidR="003770A1" w:rsidRPr="002A0C60">
        <w:rPr>
          <w:rFonts w:eastAsia="MS Mincho"/>
        </w:rPr>
        <w:t xml:space="preserve"> op artikel 2279 Burgerlijk Wetboek om het goed onbezwaard</w:t>
      </w:r>
      <w:r w:rsidR="00914AA3">
        <w:rPr>
          <w:rFonts w:eastAsia="MS Mincho"/>
        </w:rPr>
        <w:t xml:space="preserve"> van het pandrecht te verkrijgen</w:t>
      </w:r>
      <w:r w:rsidR="003770A1" w:rsidRPr="002A0C60">
        <w:rPr>
          <w:rFonts w:eastAsia="MS Mincho"/>
        </w:rPr>
        <w:t xml:space="preserve"> zou een bezitloos pandrecht helemaal geen adequate zekerheid bieden als zekerheid.</w:t>
      </w:r>
    </w:p>
    <w:p w14:paraId="100ACC60" w14:textId="49C415E0" w:rsidR="00674A13" w:rsidRPr="002A0C60" w:rsidRDefault="00674A13" w:rsidP="005E187E">
      <w:pPr>
        <w:pStyle w:val="Nummer"/>
        <w:numPr>
          <w:ilvl w:val="0"/>
          <w:numId w:val="0"/>
        </w:numPr>
        <w:spacing w:after="200" w:line="360" w:lineRule="auto"/>
        <w:rPr>
          <w:rFonts w:eastAsia="MS Mincho"/>
        </w:rPr>
      </w:pPr>
      <w:r w:rsidRPr="002A0C60">
        <w:rPr>
          <w:rFonts w:eastAsia="MS Mincho"/>
        </w:rPr>
        <w:t>De Franse wetgever hee</w:t>
      </w:r>
      <w:r w:rsidR="00214DF2" w:rsidRPr="002A0C60">
        <w:rPr>
          <w:rFonts w:eastAsia="MS Mincho"/>
        </w:rPr>
        <w:t>ft ervoor gekozen om dit conflic</w:t>
      </w:r>
      <w:r w:rsidRPr="002A0C60">
        <w:rPr>
          <w:rFonts w:eastAsia="MS Mincho"/>
        </w:rPr>
        <w:t>t te beslechten in het voordeel van de pandhouder. De toepassing</w:t>
      </w:r>
      <w:r w:rsidR="005545E2" w:rsidRPr="002A0C60">
        <w:rPr>
          <w:rFonts w:eastAsia="MS Mincho"/>
        </w:rPr>
        <w:t xml:space="preserve"> van</w:t>
      </w:r>
      <w:r w:rsidRPr="002A0C60">
        <w:rPr>
          <w:rFonts w:eastAsia="MS Mincho"/>
        </w:rPr>
        <w:t xml:space="preserve"> artikel 2276 Code Civil français wordt met betrekking tot het </w:t>
      </w:r>
      <w:r w:rsidRPr="002A0C60">
        <w:rPr>
          <w:rFonts w:eastAsia="MS Mincho"/>
        </w:rPr>
        <w:lastRenderedPageBreak/>
        <w:t xml:space="preserve">registerpand volledig uitgesloten. </w:t>
      </w:r>
      <w:r w:rsidR="005545E2" w:rsidRPr="002A0C60">
        <w:rPr>
          <w:rFonts w:eastAsia="MS Mincho"/>
        </w:rPr>
        <w:t>De Franse wetgever plaatst dus resoluut het belang van de pandhouder boven dat van de derde-verkrijger. Dit k</w:t>
      </w:r>
      <w:r w:rsidR="00214DF2" w:rsidRPr="002A0C60">
        <w:rPr>
          <w:rFonts w:eastAsia="MS Mincho"/>
        </w:rPr>
        <w:t>an enigszins logisch lijken aan</w:t>
      </w:r>
      <w:r w:rsidR="005545E2" w:rsidRPr="002A0C60">
        <w:rPr>
          <w:rFonts w:eastAsia="MS Mincho"/>
        </w:rPr>
        <w:t xml:space="preserve">gezien een derde-verkrijger zonder al te veel moeite een online register kan raadplegen. </w:t>
      </w:r>
      <w:r w:rsidR="00ED0B47" w:rsidRPr="002A0C60">
        <w:rPr>
          <w:rFonts w:eastAsia="MS Mincho"/>
        </w:rPr>
        <w:t xml:space="preserve">Daarnaast </w:t>
      </w:r>
      <w:r w:rsidR="00214DF2" w:rsidRPr="002A0C60">
        <w:rPr>
          <w:rFonts w:eastAsia="MS Mincho"/>
        </w:rPr>
        <w:t xml:space="preserve">ligt de </w:t>
      </w:r>
      <w:r w:rsidR="00214DF2" w:rsidRPr="002A0C60">
        <w:rPr>
          <w:rFonts w:eastAsia="MS Mincho"/>
          <w:i/>
        </w:rPr>
        <w:t>ratio</w:t>
      </w:r>
      <w:r w:rsidR="00214DF2" w:rsidRPr="002A0C60">
        <w:rPr>
          <w:rFonts w:eastAsia="MS Mincho"/>
        </w:rPr>
        <w:t xml:space="preserve"> </w:t>
      </w:r>
      <w:r w:rsidR="00214DF2" w:rsidRPr="002A0C60">
        <w:rPr>
          <w:rFonts w:eastAsia="MS Mincho"/>
          <w:i/>
        </w:rPr>
        <w:t>legis</w:t>
      </w:r>
      <w:r w:rsidR="00214DF2" w:rsidRPr="002A0C60">
        <w:rPr>
          <w:rFonts w:eastAsia="MS Mincho"/>
        </w:rPr>
        <w:t xml:space="preserve"> van artikel 2279 Burgerlijk Wetboek net in het feit dat er geen register beschikbaar is om voor roerende goederen, zoals bij onroerende goederen, na te gaan wie de eigenaar is van het goed. Als deze redenering gevolgd wordt, sluit de benadering van het Franse recht beter aan bij de </w:t>
      </w:r>
      <w:r w:rsidR="00214DF2" w:rsidRPr="002A0C60">
        <w:rPr>
          <w:rFonts w:eastAsia="MS Mincho"/>
          <w:i/>
        </w:rPr>
        <w:t xml:space="preserve">ratio legis </w:t>
      </w:r>
      <w:r w:rsidR="00214DF2" w:rsidRPr="002A0C60">
        <w:rPr>
          <w:rFonts w:eastAsia="MS Mincho"/>
        </w:rPr>
        <w:t>van artikel 2279 Burgerlijk Wetboek dan op het eerste zicht lijkt.</w:t>
      </w:r>
      <w:r w:rsidR="00191416" w:rsidRPr="002A0C60">
        <w:rPr>
          <w:rFonts w:eastAsia="MS Mincho"/>
        </w:rPr>
        <w:t xml:space="preserve"> Aan de andere kant wil artikel 2279 Burgerlijk Wetboek vooral de snelheid van het handelsverkeer bewerkstelligen. Roerende goederen worden met enorme snelheid van hand tot hand verhandeld. </w:t>
      </w:r>
      <w:r w:rsidR="00914AA3">
        <w:rPr>
          <w:rFonts w:eastAsia="MS Mincho"/>
        </w:rPr>
        <w:t>Iedere</w:t>
      </w:r>
      <w:r w:rsidR="00191416" w:rsidRPr="002A0C60">
        <w:rPr>
          <w:rFonts w:eastAsia="MS Mincho"/>
        </w:rPr>
        <w:t xml:space="preserve"> verkrijger zal steeds moeten nagaan of zijn vervreemder dat goed niet met een pandrecht heeft bezwaard.</w:t>
      </w:r>
    </w:p>
    <w:p w14:paraId="746007E4" w14:textId="6F9E8314" w:rsidR="00400790" w:rsidRPr="002A0C60" w:rsidRDefault="00214DF2" w:rsidP="005E187E">
      <w:pPr>
        <w:pStyle w:val="Nummer"/>
        <w:numPr>
          <w:ilvl w:val="0"/>
          <w:numId w:val="0"/>
        </w:numPr>
        <w:spacing w:after="200" w:line="360" w:lineRule="auto"/>
        <w:rPr>
          <w:rFonts w:eastAsia="MS Mincho"/>
        </w:rPr>
      </w:pPr>
      <w:r w:rsidRPr="002A0C60">
        <w:rPr>
          <w:rFonts w:eastAsia="MS Mincho"/>
        </w:rPr>
        <w:t xml:space="preserve">Ook de benadering van het Nederlandse sluit in dit opzicht aan bij de </w:t>
      </w:r>
      <w:r w:rsidRPr="002A0C60">
        <w:rPr>
          <w:rFonts w:eastAsia="MS Mincho"/>
          <w:i/>
        </w:rPr>
        <w:t xml:space="preserve">ratio legis </w:t>
      </w:r>
      <w:r w:rsidRPr="002A0C60">
        <w:rPr>
          <w:rFonts w:eastAsia="MS Mincho"/>
        </w:rPr>
        <w:t>van artikel 2279 Burgerlijk Wetboek.</w:t>
      </w:r>
      <w:r w:rsidR="00855231" w:rsidRPr="002A0C60">
        <w:rPr>
          <w:rFonts w:eastAsia="MS Mincho"/>
        </w:rPr>
        <w:t xml:space="preserve"> Derde-verkrijgers kunnen er wel beroep doen op de bescherming van artikel 3:86 lid 2 Nieuw Burgerlijk Wetboek. De Nederlandse wetgever heeft bij de invoering van een bezitloos pandrecht gekozen voor een stil pandrecht. Er is dus geen mogelijkheid voor derde-verkrijgers</w:t>
      </w:r>
      <w:r w:rsidR="00400790" w:rsidRPr="002A0C60">
        <w:rPr>
          <w:rFonts w:eastAsia="MS Mincho"/>
        </w:rPr>
        <w:t xml:space="preserve"> om een register te raadplegen. Het zou dan ook ingaan tegen de functie van bezitsbescherming om derde-verkrijgers geen bescherming te bieden.</w:t>
      </w:r>
    </w:p>
    <w:p w14:paraId="1A67722B" w14:textId="001B9305" w:rsidR="00400790" w:rsidRPr="002A0C60" w:rsidRDefault="00400790" w:rsidP="005E187E">
      <w:pPr>
        <w:pStyle w:val="Nummer"/>
        <w:numPr>
          <w:ilvl w:val="0"/>
          <w:numId w:val="0"/>
        </w:numPr>
        <w:spacing w:after="200" w:line="360" w:lineRule="auto"/>
        <w:rPr>
          <w:rFonts w:eastAsia="MS Mincho"/>
        </w:rPr>
      </w:pPr>
      <w:r w:rsidRPr="002A0C60">
        <w:rPr>
          <w:rFonts w:eastAsia="MS Mincho"/>
        </w:rPr>
        <w:t>Onder de nieuwe Pandwet heeft de Belgische wetgever ervoor gekozen om een systeem in te voeren dat dicht aanleunt bij het Franse, maar</w:t>
      </w:r>
      <w:r w:rsidR="0098306F" w:rsidRPr="002A0C60">
        <w:rPr>
          <w:rFonts w:eastAsia="MS Mincho"/>
        </w:rPr>
        <w:t xml:space="preserve"> dat</w:t>
      </w:r>
      <w:r w:rsidRPr="002A0C60">
        <w:rPr>
          <w:rFonts w:eastAsia="MS Mincho"/>
        </w:rPr>
        <w:t xml:space="preserve"> toch wat meer afgezwakt is. </w:t>
      </w:r>
      <w:r w:rsidR="0098306F" w:rsidRPr="002A0C60">
        <w:rPr>
          <w:rFonts w:eastAsia="MS Mincho"/>
        </w:rPr>
        <w:t xml:space="preserve">Voor derde-verkrijgers die een goed verkrijgen in het raam van hun bedrijf of beroep is een beroep op artikel 2279 Burgerlijk Wetboek uitgesloten. </w:t>
      </w:r>
      <w:r w:rsidR="00914AA3">
        <w:rPr>
          <w:rFonts w:eastAsia="MS Mincho"/>
        </w:rPr>
        <w:t>Personen die een goed verkrijgen</w:t>
      </w:r>
      <w:r w:rsidR="0098306F" w:rsidRPr="002A0C60">
        <w:rPr>
          <w:rFonts w:eastAsia="MS Mincho"/>
        </w:rPr>
        <w:t xml:space="preserve"> buiten het raam van hun bedrijf of beroep kunnen echter wel genieten van de bescherming van artikel 2279 Burgerlijk Wetboek. Op het eerste zicht lijkt de Belgische wetgever een balans te willen vinden tussen de belangen van de derde-verkrijger en de pandhouders. Van professionele derde-verkrijgers wordt verwacht dat zij het pandregister raadplegen, hier worden de belangen van de pandhouder dus boven deze van de </w:t>
      </w:r>
      <w:r w:rsidR="00973123" w:rsidRPr="002A0C60">
        <w:rPr>
          <w:rFonts w:eastAsia="MS Mincho"/>
        </w:rPr>
        <w:t xml:space="preserve">derde-verkrijger geplaatst. Bij consumenten geldt echter het omgekeerde. </w:t>
      </w:r>
    </w:p>
    <w:p w14:paraId="21E2E8E2" w14:textId="723CE077" w:rsidR="00214DF2" w:rsidRPr="002A0C60" w:rsidRDefault="00973123" w:rsidP="005E187E">
      <w:pPr>
        <w:pStyle w:val="Nummer"/>
        <w:numPr>
          <w:ilvl w:val="0"/>
          <w:numId w:val="0"/>
        </w:numPr>
        <w:spacing w:after="200" w:line="360" w:lineRule="auto"/>
        <w:rPr>
          <w:rFonts w:eastAsia="MS Mincho"/>
        </w:rPr>
      </w:pPr>
      <w:r w:rsidRPr="002A0C60">
        <w:rPr>
          <w:rFonts w:eastAsia="MS Mincho"/>
        </w:rPr>
        <w:t>De uitsluiting van de derdenbescherming wordt echter in grote mate gematigd doordat pandgever</w:t>
      </w:r>
      <w:r w:rsidR="0096651F" w:rsidRPr="002A0C60">
        <w:rPr>
          <w:rFonts w:eastAsia="MS Mincho"/>
        </w:rPr>
        <w:t>s</w:t>
      </w:r>
      <w:r w:rsidRPr="002A0C60">
        <w:rPr>
          <w:rFonts w:eastAsia="MS Mincho"/>
        </w:rPr>
        <w:t xml:space="preserve"> nog steeds gerechtigd </w:t>
      </w:r>
      <w:r w:rsidR="0096651F" w:rsidRPr="002A0C60">
        <w:rPr>
          <w:rFonts w:eastAsia="MS Mincho"/>
        </w:rPr>
        <w:t>zijn</w:t>
      </w:r>
      <w:r w:rsidRPr="002A0C60">
        <w:rPr>
          <w:rFonts w:eastAsia="MS Mincho"/>
        </w:rPr>
        <w:t xml:space="preserve"> om over goederen te beschikken binnen hun normale bedrijfsvoering.</w:t>
      </w:r>
      <w:r w:rsidR="0096651F" w:rsidRPr="002A0C60">
        <w:rPr>
          <w:rFonts w:eastAsia="MS Mincho"/>
        </w:rPr>
        <w:t xml:space="preserve"> </w:t>
      </w:r>
      <w:r w:rsidR="0027222E" w:rsidRPr="002A0C60">
        <w:rPr>
          <w:rFonts w:eastAsia="MS Mincho"/>
        </w:rPr>
        <w:t xml:space="preserve">Ook de pandhouder op de handelszaak is hiertoe gerechtigd onder het huidige </w:t>
      </w:r>
      <w:r w:rsidR="0027222E" w:rsidRPr="002A0C60">
        <w:rPr>
          <w:rFonts w:eastAsia="MS Mincho"/>
        </w:rPr>
        <w:lastRenderedPageBreak/>
        <w:t xml:space="preserve">recht. Maar in artikel 21 Pandwet wordt dit nu ook wettelijk verankerd. Hierdoor zal een professionele derde-verkrijger het pandregister niet moeten raadplegen wanneer hij voorraden aankoopt. Dat zal wel weer nodig zijn wanneer hij </w:t>
      </w:r>
      <w:r w:rsidR="00191416" w:rsidRPr="002A0C60">
        <w:rPr>
          <w:rFonts w:eastAsia="MS Mincho"/>
        </w:rPr>
        <w:t>bedrijfsuitrusting of machines verkrijgt.</w:t>
      </w:r>
    </w:p>
    <w:p w14:paraId="6735B59F" w14:textId="7B565011" w:rsidR="008530A1" w:rsidRPr="002A0C60" w:rsidRDefault="00191416" w:rsidP="005E187E">
      <w:pPr>
        <w:pStyle w:val="Nummer"/>
        <w:numPr>
          <w:ilvl w:val="0"/>
          <w:numId w:val="0"/>
        </w:numPr>
        <w:spacing w:after="200" w:line="360" w:lineRule="auto"/>
      </w:pPr>
      <w:r w:rsidRPr="002A0C60">
        <w:rPr>
          <w:rFonts w:eastAsia="MS Mincho"/>
        </w:rPr>
        <w:t>Een pand als zekerhei</w:t>
      </w:r>
      <w:r w:rsidR="00914AA3">
        <w:rPr>
          <w:rFonts w:eastAsia="MS Mincho"/>
        </w:rPr>
        <w:t>d wordt vooral bedongen ten aan</w:t>
      </w:r>
      <w:r w:rsidRPr="002A0C60">
        <w:rPr>
          <w:rFonts w:eastAsia="MS Mincho"/>
        </w:rPr>
        <w:t xml:space="preserve">zien van zakelijke kredietverlening en niet door consumenten. Een derde-verkrijger consument zal echter eerder goederen </w:t>
      </w:r>
      <w:r w:rsidRPr="002A0C60">
        <w:t>verkrijgen die deze ondernemingen verhandelen in het kader van hun normale bedrijfsvoering.</w:t>
      </w:r>
      <w:r w:rsidR="005268A5" w:rsidRPr="002A0C60">
        <w:t xml:space="preserve"> Professionele derde-verkrijgers zullen sneller bedrijfsuitrusting of machines van andere </w:t>
      </w:r>
      <w:r w:rsidR="0077523D" w:rsidRPr="002A0C60">
        <w:t>professionelen</w:t>
      </w:r>
      <w:r w:rsidR="005268A5" w:rsidRPr="002A0C60">
        <w:t xml:space="preserve"> verkrijgen. Het zijn dus in de eerste plaats de professionele derde-verkrijgers die baat zouden hebben bij een beroep op artikel 2279 Burgerlijk Wetboek. Maar aangezien dit net voor hen uitgesloten is komen we dicht bij een algemene uitsluiting zoals we deze vinden in het Franse recht. In de praktijk leidt de genuanceerde benadering vooropgesteld door de Belgische wetgever toch tot een oplossing waarbij het belang van een effectief pand zonder buitenbezitstelling (en dus het belang van de pandhouder) geplaatst wordt boven het belang van een vlot handelsverkeer (en dus boven het belang van de derde-verkrijger te goeder trouw).</w:t>
      </w:r>
    </w:p>
    <w:p w14:paraId="5012178C" w14:textId="77777777" w:rsidR="008530A1" w:rsidRPr="002A0C60" w:rsidRDefault="008530A1" w:rsidP="005E187E">
      <w:pPr>
        <w:spacing w:line="360" w:lineRule="auto"/>
        <w:jc w:val="left"/>
      </w:pPr>
      <w:r w:rsidRPr="002A0C60">
        <w:br w:type="page"/>
      </w:r>
    </w:p>
    <w:p w14:paraId="611E48DF" w14:textId="25118B78" w:rsidR="008530A1" w:rsidRPr="002A0C60" w:rsidRDefault="00776CA3" w:rsidP="005E187E">
      <w:pPr>
        <w:pStyle w:val="Kop1"/>
        <w:numPr>
          <w:ilvl w:val="0"/>
          <w:numId w:val="0"/>
        </w:numPr>
        <w:spacing w:line="360" w:lineRule="auto"/>
        <w:jc w:val="both"/>
      </w:pPr>
      <w:bookmarkStart w:id="90" w:name="_Toc449982257"/>
      <w:r w:rsidRPr="002A0C60">
        <w:lastRenderedPageBreak/>
        <w:t>bibliografie</w:t>
      </w:r>
      <w:bookmarkEnd w:id="90"/>
    </w:p>
    <w:p w14:paraId="61DE8C3E" w14:textId="77777777" w:rsidR="008530A1" w:rsidRPr="002A0C60" w:rsidRDefault="008530A1" w:rsidP="005E187E">
      <w:pPr>
        <w:pStyle w:val="Kop2"/>
        <w:numPr>
          <w:ilvl w:val="0"/>
          <w:numId w:val="0"/>
        </w:numPr>
        <w:spacing w:line="360" w:lineRule="auto"/>
        <w:jc w:val="both"/>
      </w:pPr>
      <w:bookmarkStart w:id="91" w:name="_Toc449982258"/>
      <w:r w:rsidRPr="002A0C60">
        <w:t>België</w:t>
      </w:r>
      <w:bookmarkEnd w:id="91"/>
      <w:r w:rsidRPr="002A0C60">
        <w:t xml:space="preserve"> </w:t>
      </w:r>
    </w:p>
    <w:p w14:paraId="31B722AE" w14:textId="77777777" w:rsidR="008530A1" w:rsidRPr="002A0C60" w:rsidRDefault="008530A1" w:rsidP="00144C42">
      <w:pPr>
        <w:pStyle w:val="Kop4"/>
        <w:numPr>
          <w:ilvl w:val="3"/>
          <w:numId w:val="20"/>
        </w:numPr>
        <w:spacing w:line="360" w:lineRule="auto"/>
        <w:jc w:val="both"/>
      </w:pPr>
      <w:bookmarkStart w:id="92" w:name="_Toc449982259"/>
      <w:r w:rsidRPr="002A0C60">
        <w:t>Wetgeving, parlementaire stukken en adviezen</w:t>
      </w:r>
      <w:bookmarkEnd w:id="92"/>
      <w:r w:rsidRPr="002A0C60">
        <w:t xml:space="preserve"> </w:t>
      </w:r>
    </w:p>
    <w:p w14:paraId="59BA4639" w14:textId="77777777" w:rsidR="008530A1" w:rsidRPr="002A0C60" w:rsidRDefault="008530A1" w:rsidP="005E187E">
      <w:pPr>
        <w:spacing w:line="360" w:lineRule="auto"/>
        <w:jc w:val="center"/>
      </w:pPr>
    </w:p>
    <w:p w14:paraId="5A24F0D1" w14:textId="77777777" w:rsidR="008530A1" w:rsidRPr="002A0C60" w:rsidRDefault="008530A1" w:rsidP="005E187E">
      <w:pPr>
        <w:spacing w:line="360" w:lineRule="auto"/>
      </w:pPr>
      <w:r w:rsidRPr="002A0C60">
        <w:t xml:space="preserve">Burgerlijk Wetboek van 21 maart 1804, </w:t>
      </w:r>
      <w:r w:rsidRPr="002A0C60">
        <w:rPr>
          <w:i/>
        </w:rPr>
        <w:t>BS</w:t>
      </w:r>
      <w:r w:rsidRPr="002A0C60">
        <w:t xml:space="preserve"> 3 september 1807.</w:t>
      </w:r>
    </w:p>
    <w:p w14:paraId="56376248" w14:textId="77777777" w:rsidR="008530A1" w:rsidRPr="002A0C60" w:rsidRDefault="008530A1" w:rsidP="005E187E">
      <w:pPr>
        <w:spacing w:line="360" w:lineRule="auto"/>
      </w:pPr>
    </w:p>
    <w:p w14:paraId="25C254A0" w14:textId="439607C6" w:rsidR="008530A1" w:rsidRPr="002A0C60" w:rsidRDefault="008530A1" w:rsidP="005E187E">
      <w:pPr>
        <w:spacing w:line="360" w:lineRule="auto"/>
      </w:pPr>
      <w:r w:rsidRPr="002A0C60">
        <w:t xml:space="preserve">Artikel 1304 </w:t>
      </w:r>
      <w:r w:rsidR="002A0C60">
        <w:t>Gerechtelijk</w:t>
      </w:r>
      <w:r w:rsidRPr="002A0C60">
        <w:t xml:space="preserve"> Wetboek.</w:t>
      </w:r>
    </w:p>
    <w:p w14:paraId="2B354A41" w14:textId="77777777" w:rsidR="008530A1" w:rsidRPr="002A0C60" w:rsidRDefault="008530A1" w:rsidP="005E187E">
      <w:pPr>
        <w:spacing w:line="360" w:lineRule="auto"/>
      </w:pPr>
    </w:p>
    <w:p w14:paraId="366E6812" w14:textId="77777777" w:rsidR="008530A1" w:rsidRPr="002A0C60" w:rsidRDefault="008530A1" w:rsidP="005E187E">
      <w:pPr>
        <w:spacing w:line="360" w:lineRule="auto"/>
      </w:pPr>
      <w:r w:rsidRPr="002A0C60">
        <w:t>Artikel 20 1° Hypotheekwet.</w:t>
      </w:r>
    </w:p>
    <w:p w14:paraId="63588407" w14:textId="77777777" w:rsidR="00B05281" w:rsidRPr="002A0C60" w:rsidRDefault="00B05281" w:rsidP="005E187E">
      <w:pPr>
        <w:spacing w:line="360" w:lineRule="auto"/>
      </w:pPr>
    </w:p>
    <w:p w14:paraId="55CDDB48" w14:textId="1428D1F3" w:rsidR="00B05281" w:rsidRPr="002A0C60" w:rsidRDefault="00B05281" w:rsidP="005E187E">
      <w:pPr>
        <w:spacing w:line="360" w:lineRule="auto"/>
      </w:pPr>
      <w:r w:rsidRPr="002A0C60">
        <w:t>Artikel 23 Hypotheekwet.</w:t>
      </w:r>
    </w:p>
    <w:p w14:paraId="449B46D1" w14:textId="77777777" w:rsidR="008530A1" w:rsidRPr="002A0C60" w:rsidRDefault="008530A1" w:rsidP="005E187E">
      <w:pPr>
        <w:spacing w:line="360" w:lineRule="auto"/>
      </w:pPr>
    </w:p>
    <w:p w14:paraId="13F89652" w14:textId="77777777" w:rsidR="008530A1" w:rsidRPr="002A0C60" w:rsidRDefault="008530A1" w:rsidP="005E187E">
      <w:pPr>
        <w:spacing w:line="360" w:lineRule="auto"/>
      </w:pPr>
      <w:r w:rsidRPr="002A0C60">
        <w:t xml:space="preserve">Wet van 15 april 1884 betreffende de landbouwlening, </w:t>
      </w:r>
      <w:r w:rsidRPr="002A0C60">
        <w:rPr>
          <w:i/>
        </w:rPr>
        <w:t xml:space="preserve">BS </w:t>
      </w:r>
      <w:r w:rsidRPr="002A0C60">
        <w:t xml:space="preserve"> 11 mei 1884.</w:t>
      </w:r>
    </w:p>
    <w:p w14:paraId="42AB8BD3" w14:textId="77777777" w:rsidR="008530A1" w:rsidRPr="002A0C60" w:rsidRDefault="008530A1" w:rsidP="005E187E">
      <w:pPr>
        <w:spacing w:line="360" w:lineRule="auto"/>
      </w:pPr>
    </w:p>
    <w:p w14:paraId="4A1FF4CB" w14:textId="77777777" w:rsidR="008530A1" w:rsidRPr="002A0C60" w:rsidRDefault="008530A1" w:rsidP="005E187E">
      <w:pPr>
        <w:spacing w:line="360" w:lineRule="auto"/>
      </w:pPr>
      <w:r w:rsidRPr="002A0C60">
        <w:t xml:space="preserve">Wet van 25 oktober 1919 betreffende het in pand geven van de handelszaak, het disconto en het in pand geven van de factuur, alsmede de aanvaarding en de keuring van de rechtstreeks voor het verbruik gedane leveringen, zoals gewijzigd bij KB van 30 maart 1936, </w:t>
      </w:r>
      <w:r w:rsidRPr="002A0C60">
        <w:rPr>
          <w:i/>
        </w:rPr>
        <w:t>BS</w:t>
      </w:r>
      <w:r w:rsidRPr="002A0C60">
        <w:t xml:space="preserve"> 5 november 1919.</w:t>
      </w:r>
    </w:p>
    <w:p w14:paraId="4B493379" w14:textId="77777777" w:rsidR="0015730C" w:rsidRPr="002A0C60" w:rsidRDefault="0015730C" w:rsidP="005E187E">
      <w:pPr>
        <w:spacing w:line="360" w:lineRule="auto"/>
      </w:pPr>
    </w:p>
    <w:p w14:paraId="52488F15" w14:textId="224AA388" w:rsidR="0015730C" w:rsidRPr="002A0C60" w:rsidRDefault="0015730C" w:rsidP="005E187E">
      <w:pPr>
        <w:spacing w:line="360" w:lineRule="auto"/>
      </w:pPr>
      <w:r w:rsidRPr="002A0C60">
        <w:t xml:space="preserve">Artikel 1 2° Wetboek Economisch recht van 28 februari 2013, </w:t>
      </w:r>
      <w:r w:rsidRPr="002A0C60">
        <w:rPr>
          <w:i/>
        </w:rPr>
        <w:t xml:space="preserve">BS </w:t>
      </w:r>
      <w:r w:rsidRPr="002A0C60">
        <w:t>29 maart 2013, 19975.</w:t>
      </w:r>
    </w:p>
    <w:p w14:paraId="46FEF31A" w14:textId="77777777" w:rsidR="008530A1" w:rsidRPr="002A0C60" w:rsidRDefault="008530A1" w:rsidP="005E187E">
      <w:pPr>
        <w:spacing w:line="360" w:lineRule="auto"/>
      </w:pPr>
    </w:p>
    <w:p w14:paraId="6D149FF4" w14:textId="6DB50FDE" w:rsidR="0015730C" w:rsidRPr="002A0C60" w:rsidRDefault="008530A1" w:rsidP="005E187E">
      <w:pPr>
        <w:spacing w:line="360" w:lineRule="auto"/>
      </w:pPr>
      <w:r w:rsidRPr="002A0C60">
        <w:t xml:space="preserve">Wet 11 juli 2013 tot wijziging van het Burgerlijk Wetboek wat de zakelijke zekerheden op roerende goederen betreft en tot opheffing van diverse bepalingen ter zake, </w:t>
      </w:r>
      <w:r w:rsidRPr="002A0C60">
        <w:rPr>
          <w:i/>
        </w:rPr>
        <w:t xml:space="preserve">BS </w:t>
      </w:r>
      <w:r w:rsidRPr="002A0C60">
        <w:t xml:space="preserve">2 augustus 2013, 48463. </w:t>
      </w:r>
    </w:p>
    <w:p w14:paraId="304639C3" w14:textId="77777777" w:rsidR="008530A1" w:rsidRPr="002A0C60" w:rsidRDefault="008530A1" w:rsidP="005E187E">
      <w:pPr>
        <w:spacing w:line="360" w:lineRule="auto"/>
      </w:pPr>
    </w:p>
    <w:p w14:paraId="1122C549" w14:textId="77777777" w:rsidR="008530A1" w:rsidRPr="002A0C60" w:rsidRDefault="008530A1" w:rsidP="005E187E">
      <w:pPr>
        <w:spacing w:line="360" w:lineRule="auto"/>
      </w:pPr>
      <w:r w:rsidRPr="002A0C60">
        <w:t xml:space="preserve">MvT </w:t>
      </w:r>
      <w:r w:rsidRPr="002A0C60">
        <w:rPr>
          <w:i/>
        </w:rPr>
        <w:t xml:space="preserve">Parl.St., </w:t>
      </w:r>
      <w:r w:rsidRPr="002A0C60">
        <w:t>Kamer 2012-13, nr. 2463/001.</w:t>
      </w:r>
    </w:p>
    <w:p w14:paraId="7DF73405" w14:textId="77777777" w:rsidR="008530A1" w:rsidRPr="002A0C60" w:rsidRDefault="008530A1" w:rsidP="005E187E">
      <w:pPr>
        <w:spacing w:line="360" w:lineRule="auto"/>
      </w:pPr>
    </w:p>
    <w:p w14:paraId="0F938DFE" w14:textId="77777777" w:rsidR="008530A1" w:rsidRPr="002A0C60" w:rsidRDefault="008530A1" w:rsidP="005E187E">
      <w:pPr>
        <w:spacing w:line="360" w:lineRule="auto"/>
      </w:pPr>
      <w:r w:rsidRPr="002A0C60">
        <w:t>Advies Privacy Commissie 22/2012.</w:t>
      </w:r>
    </w:p>
    <w:p w14:paraId="2ABB0B96" w14:textId="77777777" w:rsidR="008530A1" w:rsidRPr="002A0C60" w:rsidRDefault="008530A1" w:rsidP="005E187E">
      <w:pPr>
        <w:spacing w:line="360" w:lineRule="auto"/>
      </w:pPr>
    </w:p>
    <w:p w14:paraId="0CF4A5FB" w14:textId="54347C7C" w:rsidR="008530A1" w:rsidRPr="002A0C60" w:rsidRDefault="008530A1" w:rsidP="005E187E">
      <w:pPr>
        <w:spacing w:line="360" w:lineRule="auto"/>
      </w:pPr>
      <w:r w:rsidRPr="002A0C60">
        <w:t>Advies Privacy Commissie 15/2014.</w:t>
      </w:r>
    </w:p>
    <w:p w14:paraId="20903380" w14:textId="77777777" w:rsidR="008530A1" w:rsidRPr="002A0C60" w:rsidRDefault="008530A1" w:rsidP="005E187E">
      <w:pPr>
        <w:pStyle w:val="Kop4"/>
        <w:spacing w:line="360" w:lineRule="auto"/>
        <w:jc w:val="both"/>
      </w:pPr>
      <w:bookmarkStart w:id="93" w:name="_Toc449982260"/>
      <w:r w:rsidRPr="002A0C60">
        <w:lastRenderedPageBreak/>
        <w:t>Rechtspraak</w:t>
      </w:r>
      <w:bookmarkEnd w:id="93"/>
    </w:p>
    <w:p w14:paraId="57147A82" w14:textId="77777777" w:rsidR="008530A1" w:rsidRPr="002A0C60" w:rsidRDefault="008530A1" w:rsidP="005E187E">
      <w:pPr>
        <w:spacing w:line="360" w:lineRule="auto"/>
      </w:pPr>
    </w:p>
    <w:p w14:paraId="47ACB23B" w14:textId="77777777" w:rsidR="008530A1" w:rsidRPr="002A0C60" w:rsidRDefault="008530A1" w:rsidP="005E187E">
      <w:pPr>
        <w:spacing w:line="360" w:lineRule="auto"/>
      </w:pPr>
      <w:r w:rsidRPr="002A0C60">
        <w:t xml:space="preserve">Cass. 26 april 1968, </w:t>
      </w:r>
      <w:r w:rsidRPr="002A0C60">
        <w:rPr>
          <w:i/>
        </w:rPr>
        <w:t xml:space="preserve">RW </w:t>
      </w:r>
      <w:r w:rsidRPr="002A0C60">
        <w:t>1968-1969, 591.</w:t>
      </w:r>
    </w:p>
    <w:p w14:paraId="473E5594" w14:textId="77777777" w:rsidR="008530A1" w:rsidRPr="002A0C60" w:rsidRDefault="008530A1" w:rsidP="005E187E">
      <w:pPr>
        <w:spacing w:line="360" w:lineRule="auto"/>
      </w:pPr>
    </w:p>
    <w:p w14:paraId="3D65E7EE" w14:textId="77777777" w:rsidR="008530A1" w:rsidRPr="002A0C60" w:rsidRDefault="008530A1" w:rsidP="005E187E">
      <w:pPr>
        <w:spacing w:line="360" w:lineRule="auto"/>
      </w:pPr>
      <w:r w:rsidRPr="002A0C60">
        <w:t xml:space="preserve">Cass. 20 december 1974, </w:t>
      </w:r>
      <w:r w:rsidRPr="002A0C60">
        <w:rPr>
          <w:i/>
        </w:rPr>
        <w:t xml:space="preserve">RW </w:t>
      </w:r>
      <w:r w:rsidRPr="002A0C60">
        <w:t>1974-75, 1835.</w:t>
      </w:r>
    </w:p>
    <w:p w14:paraId="097F7526" w14:textId="77777777" w:rsidR="008530A1" w:rsidRPr="002A0C60" w:rsidRDefault="008530A1" w:rsidP="005E187E">
      <w:pPr>
        <w:spacing w:line="360" w:lineRule="auto"/>
      </w:pPr>
    </w:p>
    <w:p w14:paraId="79BDE48E" w14:textId="77777777" w:rsidR="008530A1" w:rsidRPr="002A0C60" w:rsidRDefault="008530A1" w:rsidP="005E187E">
      <w:pPr>
        <w:spacing w:line="360" w:lineRule="auto"/>
      </w:pPr>
      <w:r w:rsidRPr="002A0C60">
        <w:t xml:space="preserve">Cass. 3 mei 1984, </w:t>
      </w:r>
      <w:r w:rsidRPr="002A0C60">
        <w:rPr>
          <w:i/>
        </w:rPr>
        <w:t xml:space="preserve">Arr. Cass. </w:t>
      </w:r>
      <w:r w:rsidRPr="002A0C60">
        <w:t>1983-84, 1146.</w:t>
      </w:r>
    </w:p>
    <w:p w14:paraId="04F60CCE" w14:textId="77777777" w:rsidR="008530A1" w:rsidRPr="002A0C60" w:rsidRDefault="008530A1" w:rsidP="005E187E">
      <w:pPr>
        <w:spacing w:line="360" w:lineRule="auto"/>
      </w:pPr>
    </w:p>
    <w:p w14:paraId="6E55FFFE" w14:textId="77777777" w:rsidR="008530A1" w:rsidRPr="002A0C60" w:rsidRDefault="008530A1" w:rsidP="005E187E">
      <w:pPr>
        <w:spacing w:line="360" w:lineRule="auto"/>
      </w:pPr>
      <w:r w:rsidRPr="002A0C60">
        <w:t xml:space="preserve">Cass. 25 mei 1984, </w:t>
      </w:r>
      <w:r w:rsidRPr="002A0C60">
        <w:rPr>
          <w:i/>
        </w:rPr>
        <w:t>RW</w:t>
      </w:r>
      <w:r w:rsidRPr="002A0C60">
        <w:t xml:space="preserve"> 1984-85, 2328.</w:t>
      </w:r>
    </w:p>
    <w:p w14:paraId="744AA636" w14:textId="77777777" w:rsidR="008530A1" w:rsidRPr="002A0C60" w:rsidRDefault="008530A1" w:rsidP="005E187E">
      <w:pPr>
        <w:spacing w:line="360" w:lineRule="auto"/>
      </w:pPr>
    </w:p>
    <w:p w14:paraId="6ED75808" w14:textId="77777777" w:rsidR="008530A1" w:rsidRPr="002A0C60" w:rsidRDefault="008530A1" w:rsidP="005E187E">
      <w:pPr>
        <w:spacing w:line="360" w:lineRule="auto"/>
      </w:pPr>
      <w:r w:rsidRPr="002A0C60">
        <w:t xml:space="preserve">Cass. 17 oktober 1984, </w:t>
      </w:r>
      <w:r w:rsidRPr="002A0C60">
        <w:rPr>
          <w:i/>
        </w:rPr>
        <w:t xml:space="preserve">Arr. Cass. </w:t>
      </w:r>
      <w:r w:rsidRPr="002A0C60">
        <w:t>1984-85, 280.</w:t>
      </w:r>
    </w:p>
    <w:p w14:paraId="2884D187" w14:textId="77777777" w:rsidR="00BB41B1" w:rsidRPr="002A0C60" w:rsidRDefault="00BB41B1" w:rsidP="005E187E">
      <w:pPr>
        <w:spacing w:line="360" w:lineRule="auto"/>
      </w:pPr>
    </w:p>
    <w:p w14:paraId="0A66FE5D" w14:textId="1FC97076" w:rsidR="00BB41B1" w:rsidRPr="002A0C60" w:rsidRDefault="00BB41B1" w:rsidP="005E187E">
      <w:pPr>
        <w:spacing w:line="360" w:lineRule="auto"/>
      </w:pPr>
      <w:r w:rsidRPr="002A0C60">
        <w:t xml:space="preserve">Cass. 11 oktober 1985, </w:t>
      </w:r>
      <w:r w:rsidRPr="002A0C60">
        <w:rPr>
          <w:i/>
        </w:rPr>
        <w:t xml:space="preserve">Pas. </w:t>
      </w:r>
      <w:r w:rsidRPr="002A0C60">
        <w:t>1986, 150.</w:t>
      </w:r>
    </w:p>
    <w:p w14:paraId="565912D5" w14:textId="77777777" w:rsidR="008530A1" w:rsidRPr="002A0C60" w:rsidRDefault="008530A1" w:rsidP="005E187E">
      <w:pPr>
        <w:spacing w:line="360" w:lineRule="auto"/>
      </w:pPr>
    </w:p>
    <w:p w14:paraId="32344CD2" w14:textId="77777777" w:rsidR="008530A1" w:rsidRPr="002A0C60" w:rsidRDefault="008530A1" w:rsidP="005E187E">
      <w:pPr>
        <w:spacing w:line="360" w:lineRule="auto"/>
      </w:pPr>
      <w:r w:rsidRPr="002A0C60">
        <w:t xml:space="preserve">Cass. 4 december 1986, </w:t>
      </w:r>
      <w:r w:rsidRPr="002A0C60">
        <w:rPr>
          <w:i/>
        </w:rPr>
        <w:t xml:space="preserve">Arr. Cass. </w:t>
      </w:r>
      <w:r w:rsidRPr="002A0C60">
        <w:t>1986-87, 449.</w:t>
      </w:r>
    </w:p>
    <w:p w14:paraId="1B73ED28" w14:textId="77777777" w:rsidR="008530A1" w:rsidRPr="002A0C60" w:rsidRDefault="008530A1" w:rsidP="005E187E">
      <w:pPr>
        <w:spacing w:line="360" w:lineRule="auto"/>
      </w:pPr>
    </w:p>
    <w:p w14:paraId="495DDB57" w14:textId="77777777" w:rsidR="008530A1" w:rsidRPr="002A0C60" w:rsidRDefault="008530A1" w:rsidP="005E187E">
      <w:pPr>
        <w:spacing w:line="360" w:lineRule="auto"/>
      </w:pPr>
      <w:r w:rsidRPr="002A0C60">
        <w:t xml:space="preserve">Cass. 9 maart 1992, </w:t>
      </w:r>
      <w:r w:rsidRPr="002A0C60">
        <w:rPr>
          <w:i/>
        </w:rPr>
        <w:t xml:space="preserve">Arr. Cass. </w:t>
      </w:r>
      <w:r w:rsidRPr="002A0C60">
        <w:t>1991-92, 646.</w:t>
      </w:r>
    </w:p>
    <w:p w14:paraId="30B48135" w14:textId="77777777" w:rsidR="008530A1" w:rsidRPr="002A0C60" w:rsidRDefault="008530A1" w:rsidP="005E187E">
      <w:pPr>
        <w:spacing w:line="360" w:lineRule="auto"/>
      </w:pPr>
    </w:p>
    <w:p w14:paraId="17CD979D" w14:textId="0D74C9DE" w:rsidR="008530A1" w:rsidRPr="002A0C60" w:rsidRDefault="008530A1" w:rsidP="005E187E">
      <w:pPr>
        <w:spacing w:line="360" w:lineRule="auto"/>
        <w:rPr>
          <w:smallCaps/>
        </w:rPr>
      </w:pPr>
      <w:r w:rsidRPr="002A0C60">
        <w:t xml:space="preserve">Cass. 19 </w:t>
      </w:r>
      <w:r w:rsidR="002A0C60" w:rsidRPr="002A0C60">
        <w:t>November</w:t>
      </w:r>
      <w:r w:rsidRPr="002A0C60">
        <w:t xml:space="preserve"> 1992, </w:t>
      </w:r>
      <w:r w:rsidRPr="002A0C60">
        <w:rPr>
          <w:i/>
        </w:rPr>
        <w:t xml:space="preserve">Arr. Cass. </w:t>
      </w:r>
      <w:r w:rsidRPr="002A0C60">
        <w:t xml:space="preserve">1993, 17-18, noot </w:t>
      </w:r>
      <w:r w:rsidRPr="002A0C60">
        <w:rPr>
          <w:smallCaps/>
        </w:rPr>
        <w:t>M.E. Storme.</w:t>
      </w:r>
    </w:p>
    <w:p w14:paraId="453E0ED8" w14:textId="77777777" w:rsidR="008530A1" w:rsidRPr="002A0C60" w:rsidRDefault="008530A1" w:rsidP="005E187E">
      <w:pPr>
        <w:spacing w:line="360" w:lineRule="auto"/>
        <w:rPr>
          <w:smallCaps/>
        </w:rPr>
      </w:pPr>
    </w:p>
    <w:p w14:paraId="78CC3FC5" w14:textId="77777777" w:rsidR="008530A1" w:rsidRPr="002A0C60" w:rsidRDefault="008530A1" w:rsidP="005E187E">
      <w:pPr>
        <w:spacing w:line="360" w:lineRule="auto"/>
      </w:pPr>
      <w:r w:rsidRPr="002A0C60">
        <w:t xml:space="preserve">Cass. 16 juni 1995, </w:t>
      </w:r>
      <w:r w:rsidRPr="002A0C60">
        <w:rPr>
          <w:i/>
        </w:rPr>
        <w:t>RW</w:t>
      </w:r>
      <w:r w:rsidRPr="002A0C60">
        <w:t xml:space="preserve"> 1995-96, 309.</w:t>
      </w:r>
    </w:p>
    <w:p w14:paraId="4EB75776" w14:textId="77777777" w:rsidR="008530A1" w:rsidRPr="002A0C60" w:rsidRDefault="008530A1" w:rsidP="005E187E">
      <w:pPr>
        <w:spacing w:line="360" w:lineRule="auto"/>
      </w:pPr>
    </w:p>
    <w:p w14:paraId="2EDB97C7" w14:textId="2EFD360B" w:rsidR="00BB41B1" w:rsidRPr="002A0C60" w:rsidRDefault="008530A1" w:rsidP="005E187E">
      <w:pPr>
        <w:spacing w:line="360" w:lineRule="auto"/>
      </w:pPr>
      <w:r w:rsidRPr="002A0C60">
        <w:t xml:space="preserve">Cass. 21 oktober 1999, </w:t>
      </w:r>
      <w:r w:rsidR="00BB41B1" w:rsidRPr="002A0C60">
        <w:rPr>
          <w:i/>
        </w:rPr>
        <w:t xml:space="preserve">AJT </w:t>
      </w:r>
      <w:r w:rsidR="00BB41B1" w:rsidRPr="002A0C60">
        <w:t xml:space="preserve">1999-00, 516, noot </w:t>
      </w:r>
      <w:r w:rsidR="00BB41B1" w:rsidRPr="002A0C60">
        <w:rPr>
          <w:smallCaps/>
        </w:rPr>
        <w:t>P. Vanlersberghe.</w:t>
      </w:r>
    </w:p>
    <w:p w14:paraId="0EA0B3CF" w14:textId="77777777" w:rsidR="008530A1" w:rsidRPr="002A0C60" w:rsidRDefault="008530A1" w:rsidP="005E187E">
      <w:pPr>
        <w:spacing w:line="360" w:lineRule="auto"/>
      </w:pPr>
    </w:p>
    <w:p w14:paraId="461ED09C" w14:textId="77777777" w:rsidR="008530A1" w:rsidRPr="002A0C60" w:rsidRDefault="008530A1" w:rsidP="005E187E">
      <w:pPr>
        <w:spacing w:line="360" w:lineRule="auto"/>
        <w:rPr>
          <w:smallCaps/>
        </w:rPr>
      </w:pPr>
      <w:r w:rsidRPr="002A0C60">
        <w:t xml:space="preserve">Cass. 7 september 2001, </w:t>
      </w:r>
      <w:r w:rsidRPr="002A0C60">
        <w:rPr>
          <w:i/>
        </w:rPr>
        <w:t xml:space="preserve">JT </w:t>
      </w:r>
      <w:r w:rsidRPr="002A0C60">
        <w:t xml:space="preserve">2001, 825, noot </w:t>
      </w:r>
      <w:r w:rsidRPr="002A0C60">
        <w:rPr>
          <w:smallCaps/>
        </w:rPr>
        <w:t>P. Lecocq.</w:t>
      </w:r>
    </w:p>
    <w:p w14:paraId="2735C44B" w14:textId="77777777" w:rsidR="008530A1" w:rsidRPr="002A0C60" w:rsidRDefault="008530A1" w:rsidP="005E187E">
      <w:pPr>
        <w:spacing w:line="360" w:lineRule="auto"/>
        <w:rPr>
          <w:smallCaps/>
        </w:rPr>
      </w:pPr>
    </w:p>
    <w:p w14:paraId="54B83FFF" w14:textId="77777777" w:rsidR="008530A1" w:rsidRPr="002A0C60" w:rsidRDefault="008530A1" w:rsidP="005E187E">
      <w:pPr>
        <w:spacing w:line="360" w:lineRule="auto"/>
      </w:pPr>
      <w:r w:rsidRPr="002A0C60">
        <w:t xml:space="preserve">Cass. 21 maart 2003, </w:t>
      </w:r>
      <w:r w:rsidRPr="002A0C60">
        <w:rPr>
          <w:i/>
        </w:rPr>
        <w:t xml:space="preserve">Arr. Cass. </w:t>
      </w:r>
      <w:r w:rsidRPr="002A0C60">
        <w:t>2003, 712.</w:t>
      </w:r>
    </w:p>
    <w:p w14:paraId="3B7BEFCE" w14:textId="77777777" w:rsidR="008530A1" w:rsidRPr="002A0C60" w:rsidRDefault="008530A1" w:rsidP="005E187E">
      <w:pPr>
        <w:spacing w:line="360" w:lineRule="auto"/>
      </w:pPr>
    </w:p>
    <w:p w14:paraId="1CAB8755" w14:textId="77777777" w:rsidR="008530A1" w:rsidRPr="002A0C60" w:rsidRDefault="008530A1" w:rsidP="005E187E">
      <w:pPr>
        <w:spacing w:line="360" w:lineRule="auto"/>
      </w:pPr>
      <w:r w:rsidRPr="002A0C60">
        <w:t xml:space="preserve">Cass. 4 december 2003, </w:t>
      </w:r>
      <w:r w:rsidRPr="002A0C60">
        <w:rPr>
          <w:i/>
        </w:rPr>
        <w:t xml:space="preserve">RW </w:t>
      </w:r>
      <w:r w:rsidRPr="002A0C60">
        <w:t xml:space="preserve">2004-05, 623, noot </w:t>
      </w:r>
      <w:r w:rsidRPr="002A0C60">
        <w:rPr>
          <w:smallCaps/>
        </w:rPr>
        <w:t>M.E. Storme.</w:t>
      </w:r>
    </w:p>
    <w:p w14:paraId="7B738504" w14:textId="77777777" w:rsidR="008530A1" w:rsidRPr="002A0C60" w:rsidRDefault="008530A1" w:rsidP="005E187E">
      <w:pPr>
        <w:spacing w:line="360" w:lineRule="auto"/>
      </w:pPr>
    </w:p>
    <w:p w14:paraId="19C2F30D" w14:textId="77777777" w:rsidR="008530A1" w:rsidRPr="002A0C60" w:rsidRDefault="008530A1" w:rsidP="005E187E">
      <w:pPr>
        <w:spacing w:line="360" w:lineRule="auto"/>
      </w:pPr>
      <w:r w:rsidRPr="002A0C60">
        <w:t xml:space="preserve">Cass. 12 februari 2004, </w:t>
      </w:r>
      <w:r w:rsidRPr="002A0C60">
        <w:rPr>
          <w:i/>
        </w:rPr>
        <w:t>RW</w:t>
      </w:r>
      <w:r w:rsidRPr="002A0C60">
        <w:t xml:space="preserve"> 2004-05, 1179, noot </w:t>
      </w:r>
      <w:r w:rsidRPr="002A0C60">
        <w:rPr>
          <w:smallCaps/>
        </w:rPr>
        <w:t>M.E. Storme</w:t>
      </w:r>
      <w:r w:rsidRPr="002A0C60">
        <w:t>.</w:t>
      </w:r>
    </w:p>
    <w:p w14:paraId="66F2F24B" w14:textId="77777777" w:rsidR="008530A1" w:rsidRPr="002A0C60" w:rsidRDefault="008530A1" w:rsidP="005E187E">
      <w:pPr>
        <w:spacing w:line="360" w:lineRule="auto"/>
      </w:pPr>
    </w:p>
    <w:p w14:paraId="11460668" w14:textId="77777777" w:rsidR="008530A1" w:rsidRPr="002A0C60" w:rsidRDefault="008530A1" w:rsidP="005E187E">
      <w:pPr>
        <w:spacing w:line="360" w:lineRule="auto"/>
      </w:pPr>
      <w:r w:rsidRPr="002A0C60">
        <w:lastRenderedPageBreak/>
        <w:t xml:space="preserve">Cass. 27 april 2006, </w:t>
      </w:r>
      <w:r w:rsidRPr="002A0C60">
        <w:rPr>
          <w:i/>
        </w:rPr>
        <w:t xml:space="preserve">Arr. Cass. </w:t>
      </w:r>
      <w:r w:rsidRPr="002A0C60">
        <w:t>2006, 986.</w:t>
      </w:r>
    </w:p>
    <w:p w14:paraId="4670917B" w14:textId="77777777" w:rsidR="008530A1" w:rsidRPr="002A0C60" w:rsidRDefault="008530A1" w:rsidP="005E187E">
      <w:pPr>
        <w:spacing w:line="360" w:lineRule="auto"/>
      </w:pPr>
    </w:p>
    <w:p w14:paraId="678A0362" w14:textId="77777777" w:rsidR="008530A1" w:rsidRPr="002A0C60" w:rsidRDefault="008530A1" w:rsidP="005E187E">
      <w:pPr>
        <w:spacing w:line="360" w:lineRule="auto"/>
      </w:pPr>
      <w:r w:rsidRPr="002A0C60">
        <w:t xml:space="preserve">Cass. 10 oktober 2007, </w:t>
      </w:r>
      <w:r w:rsidRPr="002A0C60">
        <w:rPr>
          <w:i/>
        </w:rPr>
        <w:t xml:space="preserve">Arr. Cass. </w:t>
      </w:r>
      <w:r w:rsidRPr="002A0C60">
        <w:t>2007, 1890.</w:t>
      </w:r>
    </w:p>
    <w:p w14:paraId="34B0AF6D" w14:textId="77777777" w:rsidR="008530A1" w:rsidRPr="002A0C60" w:rsidRDefault="008530A1" w:rsidP="005E187E">
      <w:pPr>
        <w:spacing w:line="360" w:lineRule="auto"/>
      </w:pPr>
    </w:p>
    <w:p w14:paraId="7946C6DB" w14:textId="77777777" w:rsidR="008530A1" w:rsidRPr="002A0C60" w:rsidRDefault="008530A1" w:rsidP="005E187E">
      <w:pPr>
        <w:spacing w:line="360" w:lineRule="auto"/>
      </w:pPr>
      <w:r w:rsidRPr="002A0C60">
        <w:t xml:space="preserve">Cass. 26 november 2010, </w:t>
      </w:r>
      <w:r w:rsidRPr="002A0C60">
        <w:rPr>
          <w:i/>
        </w:rPr>
        <w:t xml:space="preserve">RW </w:t>
      </w:r>
      <w:r w:rsidRPr="002A0C60">
        <w:t>2010-11, 1227.</w:t>
      </w:r>
    </w:p>
    <w:p w14:paraId="2B47ACBB" w14:textId="77777777" w:rsidR="008530A1" w:rsidRPr="002A0C60" w:rsidRDefault="008530A1" w:rsidP="005E187E">
      <w:pPr>
        <w:spacing w:line="360" w:lineRule="auto"/>
      </w:pPr>
    </w:p>
    <w:p w14:paraId="77BA4E6F" w14:textId="77777777" w:rsidR="008530A1" w:rsidRPr="002A0C60" w:rsidRDefault="008530A1" w:rsidP="005E187E">
      <w:pPr>
        <w:spacing w:line="360" w:lineRule="auto"/>
      </w:pPr>
      <w:r w:rsidRPr="002A0C60">
        <w:t>Cass. 29 september 2015, www.cass.be.</w:t>
      </w:r>
    </w:p>
    <w:p w14:paraId="415FE39F" w14:textId="77777777" w:rsidR="008530A1" w:rsidRPr="002A0C60" w:rsidRDefault="008530A1" w:rsidP="005E187E">
      <w:pPr>
        <w:spacing w:line="360" w:lineRule="auto"/>
      </w:pPr>
    </w:p>
    <w:p w14:paraId="16AC28CD" w14:textId="1701DA52" w:rsidR="008530A1" w:rsidRPr="002A0C60" w:rsidRDefault="008530A1" w:rsidP="005E187E">
      <w:pPr>
        <w:spacing w:line="360" w:lineRule="auto"/>
      </w:pPr>
      <w:r w:rsidRPr="002A0C60">
        <w:t xml:space="preserve">Brussel 7 juli 1920, </w:t>
      </w:r>
      <w:r w:rsidRPr="002A0C60">
        <w:rPr>
          <w:i/>
        </w:rPr>
        <w:t xml:space="preserve">Pas. </w:t>
      </w:r>
      <w:r w:rsidR="00AC33B8">
        <w:t>1920.</w:t>
      </w:r>
    </w:p>
    <w:p w14:paraId="65A5F25F" w14:textId="77777777" w:rsidR="008530A1" w:rsidRPr="002A0C60" w:rsidRDefault="008530A1" w:rsidP="005E187E">
      <w:pPr>
        <w:spacing w:line="360" w:lineRule="auto"/>
      </w:pPr>
    </w:p>
    <w:p w14:paraId="2A5025AB" w14:textId="77777777" w:rsidR="008530A1" w:rsidRPr="002A0C60" w:rsidRDefault="008530A1" w:rsidP="005E187E">
      <w:pPr>
        <w:spacing w:line="360" w:lineRule="auto"/>
        <w:rPr>
          <w:smallCaps/>
        </w:rPr>
      </w:pPr>
      <w:r w:rsidRPr="002A0C60">
        <w:t xml:space="preserve">Gent 25 april 1936, </w:t>
      </w:r>
      <w:r w:rsidRPr="002A0C60">
        <w:rPr>
          <w:i/>
        </w:rPr>
        <w:t xml:space="preserve">Res. Jur. Imm. </w:t>
      </w:r>
      <w:r w:rsidRPr="002A0C60">
        <w:t xml:space="preserve">936, 14, noot </w:t>
      </w:r>
      <w:r w:rsidRPr="002A0C60">
        <w:rPr>
          <w:smallCaps/>
        </w:rPr>
        <w:t>E.V.</w:t>
      </w:r>
    </w:p>
    <w:p w14:paraId="5FC1CDF6" w14:textId="77777777" w:rsidR="008530A1" w:rsidRPr="002A0C60" w:rsidRDefault="008530A1" w:rsidP="005E187E">
      <w:pPr>
        <w:spacing w:line="360" w:lineRule="auto"/>
        <w:rPr>
          <w:smallCaps/>
        </w:rPr>
      </w:pPr>
    </w:p>
    <w:p w14:paraId="29074317" w14:textId="77777777" w:rsidR="008530A1" w:rsidRPr="002A0C60" w:rsidRDefault="008530A1" w:rsidP="005E187E">
      <w:pPr>
        <w:spacing w:line="360" w:lineRule="auto"/>
        <w:rPr>
          <w:smallCaps/>
        </w:rPr>
      </w:pPr>
      <w:r w:rsidRPr="002A0C60">
        <w:t xml:space="preserve">Brussel, 12 januari 1952, </w:t>
      </w:r>
      <w:r w:rsidRPr="002A0C60">
        <w:rPr>
          <w:i/>
        </w:rPr>
        <w:t xml:space="preserve">Pas. 1953, </w:t>
      </w:r>
      <w:r w:rsidRPr="002A0C60">
        <w:t>II, 37</w:t>
      </w:r>
    </w:p>
    <w:p w14:paraId="16A59257" w14:textId="77777777" w:rsidR="008530A1" w:rsidRPr="002A0C60" w:rsidRDefault="008530A1" w:rsidP="005E187E">
      <w:pPr>
        <w:spacing w:line="360" w:lineRule="auto"/>
        <w:rPr>
          <w:smallCaps/>
        </w:rPr>
      </w:pPr>
    </w:p>
    <w:p w14:paraId="68EBC3EF" w14:textId="77777777" w:rsidR="008530A1" w:rsidRPr="002A0C60" w:rsidRDefault="008530A1" w:rsidP="005E187E">
      <w:pPr>
        <w:spacing w:line="360" w:lineRule="auto"/>
      </w:pPr>
      <w:r w:rsidRPr="002A0C60">
        <w:t xml:space="preserve">Brussel 24 januari 1953, </w:t>
      </w:r>
      <w:r w:rsidRPr="002A0C60">
        <w:rPr>
          <w:i/>
        </w:rPr>
        <w:t xml:space="preserve">JT </w:t>
      </w:r>
      <w:r w:rsidRPr="002A0C60">
        <w:t>1953, 452.</w:t>
      </w:r>
    </w:p>
    <w:p w14:paraId="37C887BC" w14:textId="77777777" w:rsidR="008530A1" w:rsidRPr="002A0C60" w:rsidRDefault="008530A1" w:rsidP="005E187E">
      <w:pPr>
        <w:spacing w:line="360" w:lineRule="auto"/>
      </w:pPr>
    </w:p>
    <w:p w14:paraId="230BFDF5" w14:textId="77777777" w:rsidR="008530A1" w:rsidRPr="002A0C60" w:rsidRDefault="008530A1" w:rsidP="005E187E">
      <w:pPr>
        <w:spacing w:line="360" w:lineRule="auto"/>
      </w:pPr>
      <w:r w:rsidRPr="002A0C60">
        <w:t xml:space="preserve">Brussel 11 februari 1964, </w:t>
      </w:r>
      <w:r w:rsidRPr="002A0C60">
        <w:rPr>
          <w:i/>
        </w:rPr>
        <w:t xml:space="preserve">Pas. </w:t>
      </w:r>
      <w:r w:rsidRPr="002A0C60">
        <w:t xml:space="preserve">1965, </w:t>
      </w:r>
    </w:p>
    <w:p w14:paraId="1E1A5E7F" w14:textId="77777777" w:rsidR="008530A1" w:rsidRPr="002A0C60" w:rsidRDefault="008530A1" w:rsidP="005E187E">
      <w:pPr>
        <w:spacing w:line="360" w:lineRule="auto"/>
      </w:pPr>
    </w:p>
    <w:p w14:paraId="74A7F457" w14:textId="77777777" w:rsidR="008530A1" w:rsidRPr="002A0C60" w:rsidRDefault="008530A1" w:rsidP="005E187E">
      <w:pPr>
        <w:spacing w:line="360" w:lineRule="auto"/>
      </w:pPr>
      <w:r w:rsidRPr="002A0C60">
        <w:t xml:space="preserve">Brussel 11 maart 1969, </w:t>
      </w:r>
      <w:r w:rsidRPr="002A0C60">
        <w:rPr>
          <w:i/>
        </w:rPr>
        <w:t xml:space="preserve">Pas. </w:t>
      </w:r>
      <w:r w:rsidRPr="002A0C60">
        <w:t>1969.</w:t>
      </w:r>
    </w:p>
    <w:p w14:paraId="4EA49E5C" w14:textId="77777777" w:rsidR="008530A1" w:rsidRPr="002A0C60" w:rsidRDefault="008530A1" w:rsidP="005E187E">
      <w:pPr>
        <w:pStyle w:val="Voetnoottekst"/>
        <w:spacing w:line="360" w:lineRule="auto"/>
        <w:rPr>
          <w:sz w:val="24"/>
          <w:szCs w:val="24"/>
        </w:rPr>
      </w:pPr>
    </w:p>
    <w:p w14:paraId="1C5BFD46" w14:textId="77777777" w:rsidR="008530A1" w:rsidRPr="002A0C60" w:rsidRDefault="008530A1" w:rsidP="005E187E">
      <w:pPr>
        <w:pStyle w:val="Voetnoottekst"/>
        <w:spacing w:line="360" w:lineRule="auto"/>
        <w:rPr>
          <w:sz w:val="24"/>
          <w:szCs w:val="24"/>
        </w:rPr>
      </w:pPr>
      <w:r w:rsidRPr="002A0C60">
        <w:rPr>
          <w:sz w:val="24"/>
          <w:szCs w:val="24"/>
        </w:rPr>
        <w:t xml:space="preserve">Gent 25 mei 1979, </w:t>
      </w:r>
      <w:r w:rsidRPr="002A0C60">
        <w:rPr>
          <w:i/>
          <w:sz w:val="24"/>
          <w:szCs w:val="24"/>
        </w:rPr>
        <w:t xml:space="preserve">RW </w:t>
      </w:r>
      <w:r w:rsidRPr="002A0C60">
        <w:rPr>
          <w:sz w:val="24"/>
          <w:szCs w:val="24"/>
        </w:rPr>
        <w:t>1980-81, 1928.</w:t>
      </w:r>
    </w:p>
    <w:p w14:paraId="101035B5" w14:textId="77777777" w:rsidR="008530A1" w:rsidRPr="002A0C60" w:rsidRDefault="008530A1" w:rsidP="005E187E">
      <w:pPr>
        <w:pStyle w:val="Voetnoottekst"/>
        <w:spacing w:line="360" w:lineRule="auto"/>
        <w:rPr>
          <w:sz w:val="24"/>
          <w:szCs w:val="24"/>
        </w:rPr>
      </w:pPr>
    </w:p>
    <w:p w14:paraId="58E91AF9" w14:textId="77777777" w:rsidR="008530A1" w:rsidRPr="002A0C60" w:rsidRDefault="008530A1" w:rsidP="005E187E">
      <w:pPr>
        <w:pStyle w:val="Voetnoottekst"/>
        <w:spacing w:line="360" w:lineRule="auto"/>
        <w:rPr>
          <w:sz w:val="24"/>
          <w:szCs w:val="24"/>
        </w:rPr>
      </w:pPr>
      <w:r w:rsidRPr="002A0C60">
        <w:rPr>
          <w:sz w:val="24"/>
          <w:szCs w:val="24"/>
        </w:rPr>
        <w:t xml:space="preserve">Antwerpen 24 maart 1986, </w:t>
      </w:r>
      <w:r w:rsidRPr="002A0C60">
        <w:rPr>
          <w:i/>
          <w:sz w:val="24"/>
          <w:szCs w:val="24"/>
        </w:rPr>
        <w:t xml:space="preserve">RW </w:t>
      </w:r>
      <w:r w:rsidRPr="002A0C60">
        <w:rPr>
          <w:sz w:val="24"/>
          <w:szCs w:val="24"/>
        </w:rPr>
        <w:t>1986-87, 798.</w:t>
      </w:r>
    </w:p>
    <w:p w14:paraId="01BCA178" w14:textId="77777777" w:rsidR="008530A1" w:rsidRPr="002A0C60" w:rsidRDefault="008530A1" w:rsidP="005E187E">
      <w:pPr>
        <w:pStyle w:val="Voetnoottekst"/>
        <w:spacing w:line="360" w:lineRule="auto"/>
        <w:rPr>
          <w:sz w:val="24"/>
          <w:szCs w:val="24"/>
        </w:rPr>
      </w:pPr>
    </w:p>
    <w:p w14:paraId="3C8B385C" w14:textId="77777777" w:rsidR="008530A1" w:rsidRPr="002A0C60" w:rsidRDefault="008530A1" w:rsidP="005E187E">
      <w:pPr>
        <w:pStyle w:val="Voetnoottekst"/>
        <w:spacing w:line="360" w:lineRule="auto"/>
        <w:rPr>
          <w:sz w:val="24"/>
          <w:szCs w:val="24"/>
        </w:rPr>
      </w:pPr>
      <w:r w:rsidRPr="002A0C60">
        <w:rPr>
          <w:sz w:val="24"/>
          <w:szCs w:val="24"/>
        </w:rPr>
        <w:t xml:space="preserve">Luik 8 januari 1986, </w:t>
      </w:r>
      <w:r w:rsidRPr="002A0C60">
        <w:rPr>
          <w:i/>
          <w:sz w:val="24"/>
          <w:szCs w:val="24"/>
        </w:rPr>
        <w:t xml:space="preserve">Revue Regionale de Droit </w:t>
      </w:r>
      <w:r w:rsidRPr="002A0C60">
        <w:rPr>
          <w:sz w:val="24"/>
          <w:szCs w:val="24"/>
        </w:rPr>
        <w:t>1993, 26.</w:t>
      </w:r>
    </w:p>
    <w:p w14:paraId="43FDEB01" w14:textId="77777777" w:rsidR="008530A1" w:rsidRPr="002A0C60" w:rsidRDefault="008530A1" w:rsidP="005E187E">
      <w:pPr>
        <w:pStyle w:val="Voetnoottekst"/>
        <w:spacing w:line="360" w:lineRule="auto"/>
        <w:rPr>
          <w:sz w:val="24"/>
          <w:szCs w:val="24"/>
        </w:rPr>
      </w:pPr>
    </w:p>
    <w:p w14:paraId="7F2D5E13" w14:textId="77777777" w:rsidR="008530A1" w:rsidRPr="002A0C60" w:rsidRDefault="008530A1" w:rsidP="005E187E">
      <w:pPr>
        <w:pStyle w:val="Voetnoottekst"/>
        <w:spacing w:line="360" w:lineRule="auto"/>
        <w:rPr>
          <w:sz w:val="24"/>
          <w:szCs w:val="24"/>
        </w:rPr>
      </w:pPr>
      <w:r w:rsidRPr="002A0C60">
        <w:rPr>
          <w:sz w:val="24"/>
          <w:szCs w:val="24"/>
        </w:rPr>
        <w:t xml:space="preserve">Luik 17 december 1986, </w:t>
      </w:r>
      <w:r w:rsidRPr="002A0C60">
        <w:rPr>
          <w:i/>
          <w:sz w:val="24"/>
          <w:szCs w:val="24"/>
        </w:rPr>
        <w:t xml:space="preserve">JLMB </w:t>
      </w:r>
      <w:r w:rsidRPr="002A0C60">
        <w:rPr>
          <w:sz w:val="24"/>
          <w:szCs w:val="24"/>
        </w:rPr>
        <w:t>1987, 1515.</w:t>
      </w:r>
    </w:p>
    <w:p w14:paraId="0A7F0182" w14:textId="77777777" w:rsidR="008530A1" w:rsidRPr="002A0C60" w:rsidRDefault="008530A1" w:rsidP="005E187E">
      <w:pPr>
        <w:pStyle w:val="Voetnoottekst"/>
        <w:spacing w:line="360" w:lineRule="auto"/>
        <w:rPr>
          <w:sz w:val="24"/>
          <w:szCs w:val="24"/>
        </w:rPr>
      </w:pPr>
    </w:p>
    <w:p w14:paraId="45697C6B" w14:textId="77777777" w:rsidR="008530A1" w:rsidRPr="002A0C60" w:rsidRDefault="008530A1" w:rsidP="005E187E">
      <w:pPr>
        <w:pStyle w:val="Voetnoottekst"/>
        <w:spacing w:line="360" w:lineRule="auto"/>
        <w:rPr>
          <w:smallCaps/>
          <w:sz w:val="24"/>
          <w:szCs w:val="24"/>
        </w:rPr>
      </w:pPr>
      <w:r w:rsidRPr="002A0C60">
        <w:rPr>
          <w:sz w:val="24"/>
          <w:szCs w:val="24"/>
        </w:rPr>
        <w:t xml:space="preserve">Antwerpen 19 oktober 1988, </w:t>
      </w:r>
      <w:r w:rsidRPr="002A0C60">
        <w:rPr>
          <w:i/>
          <w:sz w:val="24"/>
          <w:szCs w:val="24"/>
        </w:rPr>
        <w:t>RGDC</w:t>
      </w:r>
      <w:r w:rsidRPr="002A0C60">
        <w:rPr>
          <w:sz w:val="24"/>
          <w:szCs w:val="24"/>
        </w:rPr>
        <w:t xml:space="preserve"> </w:t>
      </w:r>
      <w:r w:rsidRPr="002A0C60">
        <w:rPr>
          <w:smallCaps/>
          <w:sz w:val="24"/>
          <w:szCs w:val="24"/>
        </w:rPr>
        <w:t>1989, 486.</w:t>
      </w:r>
    </w:p>
    <w:p w14:paraId="7AD6E471" w14:textId="77777777" w:rsidR="008530A1" w:rsidRPr="002A0C60" w:rsidRDefault="008530A1" w:rsidP="005E187E">
      <w:pPr>
        <w:pStyle w:val="Voetnoottekst"/>
        <w:spacing w:line="360" w:lineRule="auto"/>
        <w:rPr>
          <w:smallCaps/>
          <w:sz w:val="24"/>
          <w:szCs w:val="24"/>
        </w:rPr>
      </w:pPr>
    </w:p>
    <w:p w14:paraId="2106BF82" w14:textId="77777777" w:rsidR="008530A1" w:rsidRPr="002A0C60" w:rsidRDefault="008530A1" w:rsidP="005E187E">
      <w:pPr>
        <w:pStyle w:val="Voetnoottekst"/>
        <w:spacing w:line="360" w:lineRule="auto"/>
        <w:rPr>
          <w:sz w:val="24"/>
          <w:szCs w:val="24"/>
        </w:rPr>
      </w:pPr>
      <w:r w:rsidRPr="002A0C60">
        <w:rPr>
          <w:sz w:val="24"/>
          <w:szCs w:val="24"/>
        </w:rPr>
        <w:t xml:space="preserve">Luik 15 februari 1990, </w:t>
      </w:r>
      <w:r w:rsidRPr="002A0C60">
        <w:rPr>
          <w:i/>
          <w:sz w:val="24"/>
          <w:szCs w:val="24"/>
        </w:rPr>
        <w:t xml:space="preserve">JLMB </w:t>
      </w:r>
      <w:r w:rsidRPr="002A0C60">
        <w:rPr>
          <w:sz w:val="24"/>
          <w:szCs w:val="24"/>
        </w:rPr>
        <w:t>1990, 1486.</w:t>
      </w:r>
    </w:p>
    <w:p w14:paraId="1AEDACD4" w14:textId="77777777" w:rsidR="008530A1" w:rsidRPr="002A0C60" w:rsidRDefault="008530A1" w:rsidP="005E187E">
      <w:pPr>
        <w:pStyle w:val="Voetnoottekst"/>
        <w:spacing w:line="360" w:lineRule="auto"/>
        <w:rPr>
          <w:sz w:val="24"/>
          <w:szCs w:val="24"/>
        </w:rPr>
      </w:pPr>
    </w:p>
    <w:p w14:paraId="2B0C0940" w14:textId="77777777" w:rsidR="008530A1" w:rsidRPr="002A0C60" w:rsidRDefault="008530A1" w:rsidP="005E187E">
      <w:pPr>
        <w:spacing w:line="360" w:lineRule="auto"/>
      </w:pPr>
      <w:r w:rsidRPr="002A0C60">
        <w:lastRenderedPageBreak/>
        <w:t xml:space="preserve">Luik 14 december 1990, </w:t>
      </w:r>
      <w:r w:rsidRPr="002A0C60">
        <w:rPr>
          <w:i/>
        </w:rPr>
        <w:t xml:space="preserve">JLMB </w:t>
      </w:r>
      <w:r w:rsidRPr="002A0C60">
        <w:t>1992, 292.</w:t>
      </w:r>
    </w:p>
    <w:p w14:paraId="07CB93A0" w14:textId="77777777" w:rsidR="008530A1" w:rsidRPr="002A0C60" w:rsidRDefault="008530A1" w:rsidP="005E187E">
      <w:pPr>
        <w:pStyle w:val="Voetnoottekst"/>
        <w:spacing w:line="360" w:lineRule="auto"/>
        <w:rPr>
          <w:smallCaps/>
          <w:sz w:val="24"/>
          <w:szCs w:val="24"/>
        </w:rPr>
      </w:pPr>
    </w:p>
    <w:p w14:paraId="27EB1D85" w14:textId="77777777" w:rsidR="008530A1" w:rsidRPr="002A0C60" w:rsidRDefault="008530A1" w:rsidP="005E187E">
      <w:pPr>
        <w:pStyle w:val="Voetnoottekst"/>
        <w:spacing w:line="360" w:lineRule="auto"/>
        <w:rPr>
          <w:sz w:val="24"/>
          <w:szCs w:val="24"/>
        </w:rPr>
      </w:pPr>
      <w:r w:rsidRPr="002A0C60">
        <w:rPr>
          <w:sz w:val="24"/>
          <w:szCs w:val="24"/>
        </w:rPr>
        <w:t xml:space="preserve">Bergen 8 oktober 1990, </w:t>
      </w:r>
      <w:r w:rsidRPr="002A0C60">
        <w:rPr>
          <w:i/>
          <w:sz w:val="24"/>
          <w:szCs w:val="24"/>
        </w:rPr>
        <w:t xml:space="preserve">JLMB </w:t>
      </w:r>
      <w:r w:rsidRPr="002A0C60">
        <w:rPr>
          <w:sz w:val="24"/>
          <w:szCs w:val="24"/>
        </w:rPr>
        <w:t>1991, 506.</w:t>
      </w:r>
    </w:p>
    <w:p w14:paraId="01D83A3B" w14:textId="77777777" w:rsidR="008530A1" w:rsidRPr="002A0C60" w:rsidRDefault="008530A1" w:rsidP="005E187E">
      <w:pPr>
        <w:pStyle w:val="Voetnoottekst"/>
        <w:spacing w:line="360" w:lineRule="auto"/>
        <w:rPr>
          <w:sz w:val="24"/>
          <w:szCs w:val="24"/>
        </w:rPr>
      </w:pPr>
    </w:p>
    <w:p w14:paraId="5F3EA4C6" w14:textId="77777777" w:rsidR="008530A1" w:rsidRPr="002A0C60" w:rsidRDefault="008530A1" w:rsidP="005E187E">
      <w:pPr>
        <w:pStyle w:val="Voetnoottekst"/>
        <w:spacing w:line="360" w:lineRule="auto"/>
        <w:rPr>
          <w:sz w:val="24"/>
          <w:szCs w:val="24"/>
        </w:rPr>
      </w:pPr>
      <w:r w:rsidRPr="002A0C60">
        <w:rPr>
          <w:sz w:val="24"/>
          <w:szCs w:val="24"/>
        </w:rPr>
        <w:t xml:space="preserve">Brussel 7 mei 1991, </w:t>
      </w:r>
      <w:r w:rsidRPr="002A0C60">
        <w:rPr>
          <w:i/>
          <w:sz w:val="24"/>
          <w:szCs w:val="24"/>
        </w:rPr>
        <w:t xml:space="preserve">JLMB </w:t>
      </w:r>
      <w:r w:rsidRPr="002A0C60">
        <w:rPr>
          <w:sz w:val="24"/>
          <w:szCs w:val="24"/>
        </w:rPr>
        <w:t xml:space="preserve">1992, 294. </w:t>
      </w:r>
    </w:p>
    <w:p w14:paraId="01443ABE" w14:textId="77777777" w:rsidR="008530A1" w:rsidRPr="002A0C60" w:rsidRDefault="008530A1" w:rsidP="005E187E">
      <w:pPr>
        <w:pStyle w:val="Voetnoottekst"/>
        <w:spacing w:line="360" w:lineRule="auto"/>
        <w:rPr>
          <w:sz w:val="24"/>
          <w:szCs w:val="24"/>
        </w:rPr>
      </w:pPr>
    </w:p>
    <w:p w14:paraId="318E4A57" w14:textId="77777777" w:rsidR="008530A1" w:rsidRPr="002A0C60" w:rsidRDefault="008530A1" w:rsidP="005E187E">
      <w:pPr>
        <w:spacing w:line="360" w:lineRule="auto"/>
      </w:pPr>
      <w:r w:rsidRPr="002A0C60">
        <w:t>Gent 1 april 1998, RW 2002-03, 867.</w:t>
      </w:r>
    </w:p>
    <w:p w14:paraId="3AC6B1BD" w14:textId="77777777" w:rsidR="008530A1" w:rsidRPr="002A0C60" w:rsidRDefault="008530A1" w:rsidP="005E187E">
      <w:pPr>
        <w:spacing w:line="360" w:lineRule="auto"/>
      </w:pPr>
    </w:p>
    <w:p w14:paraId="739D8599" w14:textId="77777777" w:rsidR="008530A1" w:rsidRPr="002A0C60" w:rsidRDefault="008530A1" w:rsidP="005E187E">
      <w:pPr>
        <w:pStyle w:val="Voetnoottekst"/>
        <w:spacing w:line="360" w:lineRule="auto"/>
        <w:rPr>
          <w:sz w:val="24"/>
          <w:szCs w:val="24"/>
        </w:rPr>
      </w:pPr>
      <w:r w:rsidRPr="002A0C60">
        <w:rPr>
          <w:sz w:val="24"/>
          <w:szCs w:val="24"/>
        </w:rPr>
        <w:t xml:space="preserve">Antwerpen 3 mei 1999, </w:t>
      </w:r>
      <w:r w:rsidRPr="002A0C60">
        <w:rPr>
          <w:i/>
          <w:sz w:val="24"/>
          <w:szCs w:val="24"/>
        </w:rPr>
        <w:t xml:space="preserve">RW </w:t>
      </w:r>
      <w:r w:rsidRPr="002A0C60">
        <w:rPr>
          <w:sz w:val="24"/>
          <w:szCs w:val="24"/>
        </w:rPr>
        <w:t>1999-00, 506.</w:t>
      </w:r>
    </w:p>
    <w:p w14:paraId="7D1B3052" w14:textId="77777777" w:rsidR="008530A1" w:rsidRPr="002A0C60" w:rsidRDefault="008530A1" w:rsidP="005E187E">
      <w:pPr>
        <w:pStyle w:val="Voetnoottekst"/>
        <w:spacing w:line="360" w:lineRule="auto"/>
        <w:rPr>
          <w:sz w:val="24"/>
          <w:szCs w:val="24"/>
        </w:rPr>
      </w:pPr>
    </w:p>
    <w:p w14:paraId="1719AFCE" w14:textId="77777777" w:rsidR="008530A1" w:rsidRPr="002A0C60" w:rsidRDefault="008530A1" w:rsidP="005E187E">
      <w:pPr>
        <w:pStyle w:val="Voetnoottekst"/>
        <w:spacing w:line="360" w:lineRule="auto"/>
        <w:rPr>
          <w:sz w:val="24"/>
          <w:szCs w:val="24"/>
        </w:rPr>
      </w:pPr>
      <w:r w:rsidRPr="002A0C60">
        <w:rPr>
          <w:sz w:val="24"/>
          <w:szCs w:val="24"/>
        </w:rPr>
        <w:t xml:space="preserve">Gent 29 november 2000, </w:t>
      </w:r>
      <w:r w:rsidRPr="002A0C60">
        <w:rPr>
          <w:i/>
          <w:sz w:val="24"/>
          <w:szCs w:val="24"/>
        </w:rPr>
        <w:t>RW</w:t>
      </w:r>
      <w:r w:rsidRPr="002A0C60">
        <w:rPr>
          <w:sz w:val="24"/>
          <w:szCs w:val="24"/>
        </w:rPr>
        <w:t xml:space="preserve"> 2000-2001, 1391.</w:t>
      </w:r>
    </w:p>
    <w:p w14:paraId="4F7A289C" w14:textId="77777777" w:rsidR="008530A1" w:rsidRPr="002A0C60" w:rsidRDefault="008530A1" w:rsidP="005E187E">
      <w:pPr>
        <w:spacing w:line="360" w:lineRule="auto"/>
      </w:pPr>
    </w:p>
    <w:p w14:paraId="1C74BA0C" w14:textId="77777777" w:rsidR="008530A1" w:rsidRPr="002A0C60" w:rsidRDefault="008530A1" w:rsidP="005E187E">
      <w:pPr>
        <w:spacing w:line="360" w:lineRule="auto"/>
      </w:pPr>
      <w:r w:rsidRPr="002A0C60">
        <w:t xml:space="preserve">Antwerpen 15 januari 2001, </w:t>
      </w:r>
      <w:r w:rsidRPr="002A0C60">
        <w:rPr>
          <w:i/>
        </w:rPr>
        <w:t xml:space="preserve">AJT </w:t>
      </w:r>
      <w:r w:rsidRPr="002A0C60">
        <w:t>2001-02, 501.</w:t>
      </w:r>
    </w:p>
    <w:p w14:paraId="45121BE0" w14:textId="77777777" w:rsidR="008530A1" w:rsidRPr="002A0C60" w:rsidRDefault="008530A1" w:rsidP="005E187E">
      <w:pPr>
        <w:spacing w:line="360" w:lineRule="auto"/>
      </w:pPr>
    </w:p>
    <w:p w14:paraId="62C43F15" w14:textId="77777777" w:rsidR="008530A1" w:rsidRPr="002A0C60" w:rsidRDefault="008530A1" w:rsidP="005E187E">
      <w:pPr>
        <w:spacing w:line="360" w:lineRule="auto"/>
      </w:pPr>
      <w:r w:rsidRPr="002A0C60">
        <w:t xml:space="preserve">Brussel 30 april 2001, </w:t>
      </w:r>
      <w:r w:rsidRPr="002A0C60">
        <w:rPr>
          <w:i/>
        </w:rPr>
        <w:t xml:space="preserve">RW 2002-03, </w:t>
      </w:r>
      <w:r w:rsidRPr="002A0C60">
        <w:t>626.</w:t>
      </w:r>
    </w:p>
    <w:p w14:paraId="1DB4F940" w14:textId="77777777" w:rsidR="008530A1" w:rsidRPr="002A0C60" w:rsidRDefault="008530A1" w:rsidP="005E187E">
      <w:pPr>
        <w:spacing w:line="360" w:lineRule="auto"/>
      </w:pPr>
    </w:p>
    <w:p w14:paraId="42CABFF3" w14:textId="77777777" w:rsidR="008530A1" w:rsidRPr="002A0C60" w:rsidRDefault="008530A1" w:rsidP="005E187E">
      <w:pPr>
        <w:spacing w:line="360" w:lineRule="auto"/>
      </w:pPr>
      <w:r w:rsidRPr="002A0C60">
        <w:t xml:space="preserve">Luik 18 januari 2002, </w:t>
      </w:r>
      <w:r w:rsidRPr="002A0C60">
        <w:rPr>
          <w:i/>
        </w:rPr>
        <w:t>JLMB</w:t>
      </w:r>
      <w:r w:rsidRPr="002A0C60">
        <w:t xml:space="preserve"> 2002, 343.</w:t>
      </w:r>
    </w:p>
    <w:p w14:paraId="6D4B3691" w14:textId="77777777" w:rsidR="00D91ED5" w:rsidRPr="002A0C60" w:rsidRDefault="00D91ED5" w:rsidP="005E187E">
      <w:pPr>
        <w:spacing w:line="360" w:lineRule="auto"/>
      </w:pPr>
    </w:p>
    <w:p w14:paraId="7732B3DA" w14:textId="77777777" w:rsidR="008530A1" w:rsidRPr="002A0C60" w:rsidRDefault="008530A1" w:rsidP="005E187E">
      <w:pPr>
        <w:spacing w:line="360" w:lineRule="auto"/>
      </w:pPr>
      <w:r w:rsidRPr="002A0C60">
        <w:t xml:space="preserve">Luik 7 maart 2002, </w:t>
      </w:r>
      <w:r w:rsidRPr="002A0C60">
        <w:rPr>
          <w:i/>
        </w:rPr>
        <w:t>JT</w:t>
      </w:r>
      <w:r w:rsidRPr="002A0C60">
        <w:t xml:space="preserve"> 2002, 714.</w:t>
      </w:r>
    </w:p>
    <w:p w14:paraId="6F2AA595" w14:textId="77777777" w:rsidR="008530A1" w:rsidRPr="002A0C60" w:rsidRDefault="008530A1" w:rsidP="005E187E">
      <w:pPr>
        <w:spacing w:line="360" w:lineRule="auto"/>
      </w:pPr>
    </w:p>
    <w:p w14:paraId="521F3AD7" w14:textId="77777777" w:rsidR="008530A1" w:rsidRPr="002A0C60" w:rsidRDefault="008530A1" w:rsidP="005E187E">
      <w:pPr>
        <w:spacing w:line="360" w:lineRule="auto"/>
      </w:pPr>
      <w:r w:rsidRPr="002A0C60">
        <w:t xml:space="preserve">Antwerpen 25 juni 2004, </w:t>
      </w:r>
      <w:r w:rsidRPr="002A0C60">
        <w:rPr>
          <w:i/>
        </w:rPr>
        <w:t xml:space="preserve">TBH </w:t>
      </w:r>
      <w:r w:rsidRPr="002A0C60">
        <w:t>2005, 537.</w:t>
      </w:r>
    </w:p>
    <w:p w14:paraId="132131BC" w14:textId="77777777" w:rsidR="008530A1" w:rsidRPr="002A0C60" w:rsidRDefault="008530A1" w:rsidP="005E187E">
      <w:pPr>
        <w:spacing w:line="360" w:lineRule="auto"/>
      </w:pPr>
    </w:p>
    <w:p w14:paraId="7B7DB4C9" w14:textId="77777777" w:rsidR="008530A1" w:rsidRPr="002A0C60" w:rsidRDefault="008530A1" w:rsidP="005E187E">
      <w:pPr>
        <w:spacing w:line="360" w:lineRule="auto"/>
      </w:pPr>
      <w:r w:rsidRPr="002A0C60">
        <w:t>Antwerpen 16 november 2004, RW 2004-2005, 1147.</w:t>
      </w:r>
    </w:p>
    <w:p w14:paraId="208D8BC4" w14:textId="77777777" w:rsidR="008530A1" w:rsidRPr="002A0C60" w:rsidRDefault="008530A1" w:rsidP="005E187E">
      <w:pPr>
        <w:spacing w:line="360" w:lineRule="auto"/>
      </w:pPr>
    </w:p>
    <w:p w14:paraId="7137A4B5" w14:textId="77777777" w:rsidR="008530A1" w:rsidRPr="002A0C60" w:rsidRDefault="008530A1" w:rsidP="005E187E">
      <w:pPr>
        <w:spacing w:line="360" w:lineRule="auto"/>
        <w:rPr>
          <w:color w:val="0000FF"/>
          <w:u w:val="single"/>
        </w:rPr>
      </w:pPr>
      <w:r w:rsidRPr="002A0C60">
        <w:t xml:space="preserve">Gent 12 februari 2009, </w:t>
      </w:r>
      <w:hyperlink r:id="rId13" w:history="1">
        <w:r w:rsidRPr="002A0C60">
          <w:rPr>
            <w:color w:val="0000FF"/>
            <w:u w:val="single"/>
          </w:rPr>
          <w:t>www.juridat.be</w:t>
        </w:r>
      </w:hyperlink>
      <w:r w:rsidRPr="002A0C60">
        <w:rPr>
          <w:color w:val="0000FF"/>
          <w:u w:val="single"/>
        </w:rPr>
        <w:t>.</w:t>
      </w:r>
    </w:p>
    <w:p w14:paraId="7EB6B108" w14:textId="77777777" w:rsidR="008530A1" w:rsidRPr="002A0C60" w:rsidRDefault="008530A1" w:rsidP="005E187E">
      <w:pPr>
        <w:spacing w:line="360" w:lineRule="auto"/>
        <w:rPr>
          <w:color w:val="0000FF"/>
          <w:u w:val="single"/>
        </w:rPr>
      </w:pPr>
    </w:p>
    <w:p w14:paraId="41B274B8" w14:textId="77777777" w:rsidR="008530A1" w:rsidRPr="002A0C60" w:rsidRDefault="008530A1" w:rsidP="005E187E">
      <w:pPr>
        <w:spacing w:line="360" w:lineRule="auto"/>
        <w:rPr>
          <w:color w:val="0000FF"/>
          <w:u w:val="single"/>
        </w:rPr>
      </w:pPr>
      <w:r w:rsidRPr="002A0C60">
        <w:t xml:space="preserve">Rb. Gent 24 januari 1940, </w:t>
      </w:r>
      <w:r w:rsidRPr="002A0C60">
        <w:rPr>
          <w:i/>
          <w:iCs/>
        </w:rPr>
        <w:t xml:space="preserve">Rev. </w:t>
      </w:r>
      <w:proofErr w:type="gramStart"/>
      <w:r w:rsidRPr="002A0C60">
        <w:rPr>
          <w:i/>
          <w:iCs/>
        </w:rPr>
        <w:t>prat</w:t>
      </w:r>
      <w:proofErr w:type="gramEnd"/>
      <w:r w:rsidRPr="002A0C60">
        <w:rPr>
          <w:i/>
          <w:iCs/>
        </w:rPr>
        <w:t xml:space="preserve">. </w:t>
      </w:r>
      <w:proofErr w:type="gramStart"/>
      <w:r w:rsidRPr="002A0C60">
        <w:rPr>
          <w:i/>
          <w:iCs/>
        </w:rPr>
        <w:t>not</w:t>
      </w:r>
      <w:proofErr w:type="gramEnd"/>
      <w:r w:rsidRPr="002A0C60">
        <w:t>. 1943, 118.</w:t>
      </w:r>
    </w:p>
    <w:p w14:paraId="76349793" w14:textId="77777777" w:rsidR="008530A1" w:rsidRPr="002A0C60" w:rsidRDefault="008530A1" w:rsidP="005E187E">
      <w:pPr>
        <w:spacing w:line="360" w:lineRule="auto"/>
        <w:rPr>
          <w:color w:val="0000FF"/>
          <w:u w:val="single"/>
        </w:rPr>
      </w:pPr>
    </w:p>
    <w:p w14:paraId="5AA7CF59" w14:textId="77777777" w:rsidR="008530A1" w:rsidRPr="002A0C60" w:rsidRDefault="008530A1" w:rsidP="005E187E">
      <w:pPr>
        <w:spacing w:line="360" w:lineRule="auto"/>
      </w:pPr>
      <w:r w:rsidRPr="002A0C60">
        <w:t xml:space="preserve">Rb. Brussel 15 april 1949, </w:t>
      </w:r>
      <w:r w:rsidRPr="002A0C60">
        <w:rPr>
          <w:i/>
        </w:rPr>
        <w:t xml:space="preserve">JT </w:t>
      </w:r>
      <w:r w:rsidRPr="002A0C60">
        <w:t>1949, 324.</w:t>
      </w:r>
    </w:p>
    <w:p w14:paraId="59EEE304" w14:textId="77777777" w:rsidR="002A0C60" w:rsidRDefault="002A0C60" w:rsidP="005E187E">
      <w:pPr>
        <w:spacing w:line="360" w:lineRule="auto"/>
      </w:pPr>
    </w:p>
    <w:p w14:paraId="59EC596A" w14:textId="77777777" w:rsidR="008530A1" w:rsidRPr="002A0C60" w:rsidRDefault="008530A1" w:rsidP="005E187E">
      <w:pPr>
        <w:spacing w:line="360" w:lineRule="auto"/>
      </w:pPr>
      <w:r w:rsidRPr="002A0C60">
        <w:t xml:space="preserve">Kh. Kortrijk 15 november 1988, </w:t>
      </w:r>
      <w:r w:rsidRPr="002A0C60">
        <w:rPr>
          <w:i/>
        </w:rPr>
        <w:t xml:space="preserve">RDC </w:t>
      </w:r>
      <w:r w:rsidRPr="002A0C60">
        <w:t>1989, 801.</w:t>
      </w:r>
    </w:p>
    <w:p w14:paraId="5B2F1072" w14:textId="77777777" w:rsidR="008530A1" w:rsidRPr="002A0C60" w:rsidRDefault="008530A1" w:rsidP="005E187E">
      <w:pPr>
        <w:spacing w:line="360" w:lineRule="auto"/>
      </w:pPr>
    </w:p>
    <w:p w14:paraId="3796D68E" w14:textId="77777777" w:rsidR="008530A1" w:rsidRPr="002A0C60" w:rsidRDefault="008530A1" w:rsidP="005E187E">
      <w:pPr>
        <w:spacing w:line="360" w:lineRule="auto"/>
      </w:pPr>
      <w:r w:rsidRPr="002A0C60">
        <w:lastRenderedPageBreak/>
        <w:t xml:space="preserve">Kh. Brussel 14 november 1995, </w:t>
      </w:r>
      <w:r w:rsidRPr="002A0C60">
        <w:rPr>
          <w:i/>
          <w:iCs/>
        </w:rPr>
        <w:t>J.T</w:t>
      </w:r>
      <w:r w:rsidRPr="002A0C60">
        <w:t>. 1996, 310.</w:t>
      </w:r>
    </w:p>
    <w:p w14:paraId="30B1EA11" w14:textId="77777777" w:rsidR="008530A1" w:rsidRPr="002A0C60" w:rsidRDefault="008530A1" w:rsidP="005E187E">
      <w:pPr>
        <w:spacing w:line="360" w:lineRule="auto"/>
      </w:pPr>
    </w:p>
    <w:p w14:paraId="346D57E8" w14:textId="77777777" w:rsidR="008530A1" w:rsidRPr="002A0C60" w:rsidRDefault="008530A1" w:rsidP="005E187E">
      <w:pPr>
        <w:spacing w:line="360" w:lineRule="auto"/>
        <w:rPr>
          <w:smallCaps/>
        </w:rPr>
      </w:pPr>
      <w:r w:rsidRPr="002A0C60">
        <w:t xml:space="preserve">Kh. Brussel 28 mei 1997, </w:t>
      </w:r>
      <w:r w:rsidRPr="002A0C60">
        <w:rPr>
          <w:i/>
        </w:rPr>
        <w:t xml:space="preserve">TBH </w:t>
      </w:r>
      <w:r w:rsidRPr="002A0C60">
        <w:t xml:space="preserve">1998, 836, noot </w:t>
      </w:r>
      <w:r w:rsidRPr="002A0C60">
        <w:rPr>
          <w:smallCaps/>
        </w:rPr>
        <w:t>Buyle.</w:t>
      </w:r>
    </w:p>
    <w:p w14:paraId="61D22EEE" w14:textId="77777777" w:rsidR="008530A1" w:rsidRPr="002A0C60" w:rsidRDefault="008530A1" w:rsidP="005E187E">
      <w:pPr>
        <w:spacing w:line="360" w:lineRule="auto"/>
        <w:rPr>
          <w:color w:val="0000FF"/>
          <w:u w:val="single"/>
        </w:rPr>
      </w:pPr>
    </w:p>
    <w:p w14:paraId="575F3D85" w14:textId="77777777" w:rsidR="008530A1" w:rsidRPr="002A0C60" w:rsidRDefault="008530A1" w:rsidP="005E187E">
      <w:pPr>
        <w:spacing w:line="360" w:lineRule="auto"/>
        <w:rPr>
          <w:color w:val="0000FF"/>
          <w:u w:val="single"/>
        </w:rPr>
      </w:pPr>
      <w:r w:rsidRPr="002A0C60">
        <w:t xml:space="preserve">Rb. Kortrijk 30 januari 2001, </w:t>
      </w:r>
      <w:r w:rsidRPr="002A0C60">
        <w:rPr>
          <w:i/>
        </w:rPr>
        <w:t>RW</w:t>
      </w:r>
      <w:r w:rsidRPr="002A0C60">
        <w:t xml:space="preserve"> 2000-2001, 1349.</w:t>
      </w:r>
    </w:p>
    <w:p w14:paraId="7BC80815" w14:textId="77777777" w:rsidR="008530A1" w:rsidRPr="002A0C60" w:rsidRDefault="008530A1" w:rsidP="005E187E">
      <w:pPr>
        <w:spacing w:line="360" w:lineRule="auto"/>
        <w:rPr>
          <w:color w:val="0000FF"/>
          <w:u w:val="single"/>
        </w:rPr>
      </w:pPr>
    </w:p>
    <w:p w14:paraId="43EAF5A1" w14:textId="77777777" w:rsidR="008530A1" w:rsidRPr="002A0C60" w:rsidRDefault="008530A1" w:rsidP="005E187E">
      <w:pPr>
        <w:spacing w:line="360" w:lineRule="auto"/>
      </w:pPr>
      <w:r w:rsidRPr="002A0C60">
        <w:t xml:space="preserve">Kh. Ieper 1 maart 2001, </w:t>
      </w:r>
      <w:r w:rsidRPr="002A0C60">
        <w:rPr>
          <w:i/>
        </w:rPr>
        <w:t>TGR-TWVR</w:t>
      </w:r>
      <w:r w:rsidRPr="002A0C60">
        <w:rPr>
          <w:i/>
          <w:smallCaps/>
        </w:rPr>
        <w:t>F</w:t>
      </w:r>
      <w:r w:rsidRPr="002A0C60">
        <w:rPr>
          <w:smallCaps/>
        </w:rPr>
        <w:t xml:space="preserve"> 2012, 12.</w:t>
      </w:r>
    </w:p>
    <w:p w14:paraId="27DDFFD3" w14:textId="77777777" w:rsidR="008530A1" w:rsidRPr="002A0C60" w:rsidRDefault="008530A1" w:rsidP="005E187E">
      <w:pPr>
        <w:spacing w:line="360" w:lineRule="auto"/>
      </w:pPr>
    </w:p>
    <w:p w14:paraId="0AAC0F6E" w14:textId="77777777" w:rsidR="008530A1" w:rsidRPr="002A0C60" w:rsidRDefault="008530A1" w:rsidP="005E187E">
      <w:pPr>
        <w:spacing w:line="360" w:lineRule="auto"/>
      </w:pPr>
      <w:r w:rsidRPr="002A0C60">
        <w:t xml:space="preserve">Kh. Antwerpen 14 december 2001, </w:t>
      </w:r>
      <w:r w:rsidRPr="002A0C60">
        <w:rPr>
          <w:i/>
        </w:rPr>
        <w:t xml:space="preserve">TBH 2004, </w:t>
      </w:r>
      <w:r w:rsidRPr="002A0C60">
        <w:t>293.</w:t>
      </w:r>
    </w:p>
    <w:p w14:paraId="05D8B745" w14:textId="77777777" w:rsidR="008530A1" w:rsidRPr="002A0C60" w:rsidRDefault="008530A1" w:rsidP="005E187E">
      <w:pPr>
        <w:spacing w:line="360" w:lineRule="auto"/>
      </w:pPr>
    </w:p>
    <w:p w14:paraId="65FB9068" w14:textId="77777777" w:rsidR="008530A1" w:rsidRPr="002A0C60" w:rsidRDefault="008530A1" w:rsidP="005E187E">
      <w:pPr>
        <w:spacing w:line="360" w:lineRule="auto"/>
      </w:pPr>
      <w:r w:rsidRPr="002A0C60">
        <w:t xml:space="preserve">Kh. Hasselt 12 december 2002, </w:t>
      </w:r>
      <w:r w:rsidRPr="002A0C60">
        <w:rPr>
          <w:i/>
          <w:iCs/>
        </w:rPr>
        <w:t>R.W</w:t>
      </w:r>
      <w:r w:rsidRPr="002A0C60">
        <w:t>. 2003-04, 1067.</w:t>
      </w:r>
    </w:p>
    <w:p w14:paraId="7EDFC46A" w14:textId="77777777" w:rsidR="008530A1" w:rsidRPr="002A0C60" w:rsidRDefault="008530A1" w:rsidP="005E187E">
      <w:pPr>
        <w:pStyle w:val="Kop4"/>
        <w:spacing w:line="360" w:lineRule="auto"/>
        <w:jc w:val="both"/>
      </w:pPr>
      <w:bookmarkStart w:id="94" w:name="_Toc449982261"/>
      <w:r w:rsidRPr="002A0C60">
        <w:t>Rechtsleer</w:t>
      </w:r>
      <w:bookmarkEnd w:id="94"/>
    </w:p>
    <w:p w14:paraId="697F0028" w14:textId="77777777" w:rsidR="008530A1" w:rsidRPr="002A0C60" w:rsidRDefault="008530A1" w:rsidP="005E187E">
      <w:pPr>
        <w:pStyle w:val="Kop5"/>
        <w:spacing w:line="360" w:lineRule="auto"/>
        <w:jc w:val="both"/>
      </w:pPr>
      <w:bookmarkStart w:id="95" w:name="_Toc449982262"/>
      <w:r w:rsidRPr="002A0C60">
        <w:t>Boeken</w:t>
      </w:r>
      <w:bookmarkEnd w:id="95"/>
      <w:r w:rsidRPr="002A0C60">
        <w:t xml:space="preserve"> </w:t>
      </w:r>
    </w:p>
    <w:p w14:paraId="4835DCDE" w14:textId="77777777" w:rsidR="008530A1" w:rsidRPr="002A0C60" w:rsidRDefault="008530A1" w:rsidP="005E187E">
      <w:pPr>
        <w:pStyle w:val="Voetnoottekst"/>
        <w:spacing w:line="360" w:lineRule="auto"/>
        <w:rPr>
          <w:smallCaps/>
          <w:sz w:val="24"/>
          <w:szCs w:val="24"/>
        </w:rPr>
      </w:pPr>
    </w:p>
    <w:p w14:paraId="5566FE6C" w14:textId="444D441C" w:rsidR="008530A1" w:rsidRPr="002A0C60" w:rsidRDefault="008530A1" w:rsidP="005E187E">
      <w:pPr>
        <w:pStyle w:val="Voetnoottekst"/>
        <w:spacing w:line="360" w:lineRule="auto"/>
        <w:rPr>
          <w:sz w:val="24"/>
          <w:szCs w:val="24"/>
        </w:rPr>
      </w:pPr>
      <w:r w:rsidRPr="002A0C60">
        <w:rPr>
          <w:smallCaps/>
          <w:sz w:val="24"/>
          <w:szCs w:val="24"/>
        </w:rPr>
        <w:t>Baeck</w:t>
      </w:r>
      <w:r w:rsidR="00AC33B8">
        <w:rPr>
          <w:smallCaps/>
          <w:sz w:val="24"/>
          <w:szCs w:val="24"/>
        </w:rPr>
        <w:t xml:space="preserve"> J.</w:t>
      </w:r>
      <w:r w:rsidRPr="002A0C60">
        <w:rPr>
          <w:smallCaps/>
          <w:sz w:val="24"/>
          <w:szCs w:val="24"/>
        </w:rPr>
        <w:t>, “</w:t>
      </w:r>
      <w:r w:rsidRPr="002A0C60">
        <w:rPr>
          <w:sz w:val="24"/>
          <w:szCs w:val="24"/>
        </w:rPr>
        <w:t>Achtergrond en krac</w:t>
      </w:r>
      <w:r w:rsidR="00AC33B8">
        <w:rPr>
          <w:sz w:val="24"/>
          <w:szCs w:val="24"/>
        </w:rPr>
        <w:t xml:space="preserve">htlijnen van de hervorming” in </w:t>
      </w:r>
      <w:r w:rsidRPr="002A0C60">
        <w:rPr>
          <w:smallCaps/>
          <w:sz w:val="24"/>
          <w:szCs w:val="24"/>
        </w:rPr>
        <w:t>Baeck</w:t>
      </w:r>
      <w:r w:rsidR="00AC33B8">
        <w:rPr>
          <w:smallCaps/>
          <w:sz w:val="24"/>
          <w:szCs w:val="24"/>
        </w:rPr>
        <w:t xml:space="preserve"> J. </w:t>
      </w:r>
      <w:r w:rsidRPr="002A0C60">
        <w:rPr>
          <w:sz w:val="24"/>
          <w:szCs w:val="24"/>
        </w:rPr>
        <w:t xml:space="preserve">en </w:t>
      </w:r>
      <w:r w:rsidRPr="002A0C60">
        <w:rPr>
          <w:smallCaps/>
          <w:sz w:val="24"/>
          <w:szCs w:val="24"/>
        </w:rPr>
        <w:t>Kruithof</w:t>
      </w:r>
      <w:r w:rsidR="00AC33B8">
        <w:rPr>
          <w:smallCaps/>
          <w:sz w:val="24"/>
          <w:szCs w:val="24"/>
        </w:rPr>
        <w:t xml:space="preserve"> M.</w:t>
      </w:r>
      <w:r w:rsidRPr="002A0C60">
        <w:rPr>
          <w:smallCaps/>
          <w:sz w:val="24"/>
          <w:szCs w:val="24"/>
        </w:rPr>
        <w:t xml:space="preserve"> </w:t>
      </w:r>
      <w:r w:rsidRPr="002A0C60">
        <w:rPr>
          <w:sz w:val="24"/>
          <w:szCs w:val="24"/>
        </w:rPr>
        <w:t xml:space="preserve">(eds.), </w:t>
      </w:r>
      <w:r w:rsidRPr="002A0C60">
        <w:rPr>
          <w:i/>
          <w:sz w:val="24"/>
          <w:szCs w:val="24"/>
        </w:rPr>
        <w:t xml:space="preserve">Het nieuwe zekerheidsrecht, </w:t>
      </w:r>
      <w:r w:rsidRPr="002A0C60">
        <w:rPr>
          <w:sz w:val="24"/>
          <w:szCs w:val="24"/>
        </w:rPr>
        <w:t>A</w:t>
      </w:r>
      <w:r w:rsidR="001F0657" w:rsidRPr="002A0C60">
        <w:rPr>
          <w:sz w:val="24"/>
          <w:szCs w:val="24"/>
        </w:rPr>
        <w:t>ntwerpen, Intersentia, 2014, 1-26.</w:t>
      </w:r>
    </w:p>
    <w:p w14:paraId="1A81D2C6" w14:textId="77777777" w:rsidR="00D91ED5" w:rsidRPr="002A0C60" w:rsidRDefault="00D91ED5" w:rsidP="005E187E">
      <w:pPr>
        <w:pStyle w:val="Voetnoottekst"/>
        <w:spacing w:line="360" w:lineRule="auto"/>
        <w:rPr>
          <w:sz w:val="24"/>
          <w:szCs w:val="24"/>
        </w:rPr>
      </w:pPr>
    </w:p>
    <w:p w14:paraId="017FC6DB" w14:textId="61F5ECF7" w:rsidR="00D91ED5" w:rsidRPr="002A0C60" w:rsidRDefault="00D91ED5" w:rsidP="005E187E">
      <w:pPr>
        <w:pStyle w:val="Voetnoottekst"/>
        <w:spacing w:line="360" w:lineRule="auto"/>
        <w:rPr>
          <w:sz w:val="24"/>
          <w:szCs w:val="24"/>
        </w:rPr>
      </w:pPr>
      <w:r w:rsidRPr="002A0C60">
        <w:rPr>
          <w:smallCaps/>
          <w:sz w:val="24"/>
          <w:szCs w:val="24"/>
        </w:rPr>
        <w:t>Bernard</w:t>
      </w:r>
      <w:r w:rsidR="00AC33B8">
        <w:rPr>
          <w:smallCaps/>
          <w:sz w:val="24"/>
          <w:szCs w:val="24"/>
        </w:rPr>
        <w:t xml:space="preserve"> N.</w:t>
      </w:r>
      <w:r w:rsidRPr="002A0C60">
        <w:rPr>
          <w:smallCaps/>
          <w:sz w:val="24"/>
          <w:szCs w:val="24"/>
        </w:rPr>
        <w:t xml:space="preserve">, </w:t>
      </w:r>
      <w:r w:rsidRPr="002A0C60">
        <w:rPr>
          <w:i/>
          <w:sz w:val="24"/>
          <w:szCs w:val="24"/>
        </w:rPr>
        <w:t xml:space="preserve">Precis de droit des biens, </w:t>
      </w:r>
      <w:r w:rsidRPr="002A0C60">
        <w:rPr>
          <w:sz w:val="24"/>
          <w:szCs w:val="24"/>
        </w:rPr>
        <w:t>Limal, Anthemis 2012, 536.</w:t>
      </w:r>
    </w:p>
    <w:p w14:paraId="79BA4258" w14:textId="77777777" w:rsidR="00EE2031" w:rsidRPr="002A0C60" w:rsidRDefault="00EE2031" w:rsidP="005E187E">
      <w:pPr>
        <w:pStyle w:val="Voetnoottekst"/>
        <w:spacing w:line="360" w:lineRule="auto"/>
        <w:rPr>
          <w:sz w:val="24"/>
          <w:szCs w:val="24"/>
        </w:rPr>
      </w:pPr>
    </w:p>
    <w:p w14:paraId="79902154" w14:textId="2E4C02A5" w:rsidR="00EE2031" w:rsidRPr="002A0C60" w:rsidRDefault="00EE2031" w:rsidP="005E187E">
      <w:pPr>
        <w:pStyle w:val="Voetnoottekst"/>
        <w:spacing w:line="360" w:lineRule="auto"/>
        <w:rPr>
          <w:sz w:val="24"/>
          <w:szCs w:val="24"/>
        </w:rPr>
      </w:pPr>
      <w:r w:rsidRPr="00E3633D">
        <w:rPr>
          <w:smallCaps/>
          <w:sz w:val="24"/>
          <w:szCs w:val="24"/>
        </w:rPr>
        <w:t>Biquet-Mathieu</w:t>
      </w:r>
      <w:r w:rsidR="00AC33B8">
        <w:rPr>
          <w:smallCaps/>
          <w:sz w:val="24"/>
          <w:szCs w:val="24"/>
        </w:rPr>
        <w:t xml:space="preserve"> C.</w:t>
      </w:r>
      <w:r w:rsidRPr="00E3633D">
        <w:rPr>
          <w:smallCaps/>
          <w:sz w:val="24"/>
          <w:szCs w:val="24"/>
        </w:rPr>
        <w:t xml:space="preserve">, </w:t>
      </w:r>
      <w:r w:rsidRPr="00E3633D">
        <w:rPr>
          <w:sz w:val="24"/>
          <w:szCs w:val="24"/>
        </w:rPr>
        <w:t xml:space="preserve">“Actualités en matière de gage” in </w:t>
      </w:r>
      <w:r w:rsidRPr="00E3633D">
        <w:rPr>
          <w:smallCaps/>
          <w:sz w:val="24"/>
          <w:szCs w:val="24"/>
        </w:rPr>
        <w:t>Biquet-Mathieu</w:t>
      </w:r>
      <w:r w:rsidR="00AC33B8">
        <w:rPr>
          <w:smallCaps/>
          <w:sz w:val="24"/>
          <w:szCs w:val="24"/>
        </w:rPr>
        <w:t xml:space="preserve"> C.</w:t>
      </w:r>
      <w:r w:rsidRPr="00E3633D">
        <w:rPr>
          <w:sz w:val="24"/>
          <w:szCs w:val="24"/>
        </w:rPr>
        <w:t xml:space="preserve"> (ed.), </w:t>
      </w:r>
      <w:r w:rsidRPr="00E3633D">
        <w:rPr>
          <w:i/>
          <w:sz w:val="24"/>
          <w:szCs w:val="24"/>
        </w:rPr>
        <w:t xml:space="preserve">Le point sur le droit des sûretés, </w:t>
      </w:r>
      <w:r w:rsidRPr="00E3633D">
        <w:rPr>
          <w:sz w:val="24"/>
          <w:szCs w:val="24"/>
        </w:rPr>
        <w:t>Luik, Commis</w:t>
      </w:r>
      <w:r w:rsidR="00B43514" w:rsidRPr="00E3633D">
        <w:rPr>
          <w:sz w:val="24"/>
          <w:szCs w:val="24"/>
        </w:rPr>
        <w:t xml:space="preserve">sion Université-Palais 2000, </w:t>
      </w:r>
      <w:r w:rsidR="00E3633D" w:rsidRPr="00E3633D">
        <w:rPr>
          <w:sz w:val="24"/>
          <w:szCs w:val="24"/>
        </w:rPr>
        <w:t>323-369.</w:t>
      </w:r>
    </w:p>
    <w:p w14:paraId="6B3B63E7" w14:textId="77777777" w:rsidR="008530A1" w:rsidRPr="002A0C60" w:rsidRDefault="008530A1" w:rsidP="005E187E">
      <w:pPr>
        <w:pStyle w:val="Voetnoottekst"/>
        <w:spacing w:line="360" w:lineRule="auto"/>
        <w:rPr>
          <w:smallCaps/>
          <w:sz w:val="24"/>
          <w:szCs w:val="24"/>
        </w:rPr>
      </w:pPr>
    </w:p>
    <w:p w14:paraId="6074799F" w14:textId="0C1C8951" w:rsidR="008530A1" w:rsidRPr="002A0C60" w:rsidRDefault="00AC33B8" w:rsidP="005E187E">
      <w:pPr>
        <w:pStyle w:val="Voetnoottekst"/>
        <w:spacing w:line="360" w:lineRule="auto"/>
        <w:rPr>
          <w:sz w:val="24"/>
          <w:szCs w:val="24"/>
        </w:rPr>
      </w:pPr>
      <w:r>
        <w:rPr>
          <w:smallCaps/>
          <w:sz w:val="24"/>
          <w:szCs w:val="24"/>
        </w:rPr>
        <w:t>S. Boufflette</w:t>
      </w:r>
      <w:r w:rsidR="008530A1" w:rsidRPr="002A0C60">
        <w:rPr>
          <w:smallCaps/>
          <w:sz w:val="24"/>
          <w:szCs w:val="24"/>
        </w:rPr>
        <w:t xml:space="preserve">, </w:t>
      </w:r>
      <w:r w:rsidR="008530A1" w:rsidRPr="002A0C60">
        <w:rPr>
          <w:i/>
          <w:sz w:val="24"/>
          <w:szCs w:val="24"/>
        </w:rPr>
        <w:t>La Possession,</w:t>
      </w:r>
      <w:r w:rsidR="008530A1" w:rsidRPr="002A0C60">
        <w:rPr>
          <w:sz w:val="24"/>
          <w:szCs w:val="24"/>
        </w:rPr>
        <w:t xml:space="preserve"> Brussel</w:t>
      </w:r>
      <w:r w:rsidR="008530A1" w:rsidRPr="002A0C60">
        <w:rPr>
          <w:i/>
          <w:sz w:val="24"/>
          <w:szCs w:val="24"/>
        </w:rPr>
        <w:t xml:space="preserve"> </w:t>
      </w:r>
      <w:r w:rsidR="008530A1" w:rsidRPr="002A0C60">
        <w:rPr>
          <w:sz w:val="24"/>
          <w:szCs w:val="24"/>
        </w:rPr>
        <w:t xml:space="preserve">Larcier 2010, </w:t>
      </w:r>
      <w:r w:rsidR="00FA54AF" w:rsidRPr="002A0C60">
        <w:rPr>
          <w:sz w:val="24"/>
          <w:szCs w:val="24"/>
        </w:rPr>
        <w:t>171.</w:t>
      </w:r>
    </w:p>
    <w:p w14:paraId="6F6AA765" w14:textId="77777777" w:rsidR="008530A1" w:rsidRPr="002A0C60" w:rsidRDefault="008530A1" w:rsidP="005E187E">
      <w:pPr>
        <w:pStyle w:val="Voetnoottekst"/>
        <w:spacing w:line="360" w:lineRule="auto"/>
        <w:rPr>
          <w:sz w:val="24"/>
          <w:szCs w:val="24"/>
        </w:rPr>
      </w:pPr>
    </w:p>
    <w:p w14:paraId="69A4B757" w14:textId="4F93340F" w:rsidR="008530A1" w:rsidRPr="002A0C60" w:rsidRDefault="008530A1" w:rsidP="005E187E">
      <w:pPr>
        <w:pStyle w:val="Voetnoottekst"/>
        <w:spacing w:line="360" w:lineRule="auto"/>
        <w:rPr>
          <w:sz w:val="24"/>
          <w:szCs w:val="24"/>
        </w:rPr>
      </w:pPr>
      <w:r w:rsidRPr="002A0C60">
        <w:rPr>
          <w:smallCaps/>
          <w:sz w:val="24"/>
          <w:szCs w:val="24"/>
        </w:rPr>
        <w:t>Bytterbier</w:t>
      </w:r>
      <w:r w:rsidR="00AC33B8">
        <w:rPr>
          <w:smallCaps/>
          <w:sz w:val="24"/>
          <w:szCs w:val="24"/>
        </w:rPr>
        <w:t xml:space="preserve"> J., </w:t>
      </w:r>
      <w:r w:rsidRPr="002A0C60">
        <w:rPr>
          <w:smallCaps/>
          <w:sz w:val="24"/>
          <w:szCs w:val="24"/>
        </w:rPr>
        <w:t>Christiaens</w:t>
      </w:r>
      <w:r w:rsidR="00AC33B8">
        <w:rPr>
          <w:smallCaps/>
          <w:sz w:val="24"/>
          <w:szCs w:val="24"/>
        </w:rPr>
        <w:t xml:space="preserve"> K., </w:t>
      </w:r>
      <w:r w:rsidRPr="002A0C60">
        <w:rPr>
          <w:smallCaps/>
          <w:sz w:val="24"/>
          <w:szCs w:val="24"/>
        </w:rPr>
        <w:t>Peeters</w:t>
      </w:r>
      <w:r w:rsidR="00AC33B8">
        <w:rPr>
          <w:smallCaps/>
          <w:sz w:val="24"/>
          <w:szCs w:val="24"/>
        </w:rPr>
        <w:t xml:space="preserve"> I., </w:t>
      </w:r>
      <w:r w:rsidRPr="002A0C60">
        <w:rPr>
          <w:smallCaps/>
          <w:sz w:val="24"/>
          <w:szCs w:val="24"/>
        </w:rPr>
        <w:t>Verbeke</w:t>
      </w:r>
      <w:r w:rsidR="00AC33B8">
        <w:rPr>
          <w:smallCaps/>
          <w:sz w:val="24"/>
          <w:szCs w:val="24"/>
        </w:rPr>
        <w:t xml:space="preserve"> A.L.</w:t>
      </w:r>
      <w:r w:rsidRPr="002A0C60">
        <w:rPr>
          <w:smallCaps/>
          <w:sz w:val="24"/>
          <w:szCs w:val="24"/>
        </w:rPr>
        <w:t xml:space="preserve">, </w:t>
      </w:r>
      <w:r w:rsidRPr="002A0C60">
        <w:rPr>
          <w:i/>
          <w:sz w:val="24"/>
          <w:szCs w:val="24"/>
        </w:rPr>
        <w:t xml:space="preserve">Voorrechten, hypotheken en andere zekerheden, </w:t>
      </w:r>
      <w:r w:rsidRPr="002A0C60">
        <w:rPr>
          <w:sz w:val="24"/>
          <w:szCs w:val="24"/>
        </w:rPr>
        <w:t>Gent, Mys &amp; Breesch 2000,</w:t>
      </w:r>
      <w:r w:rsidR="00114386" w:rsidRPr="002A0C60">
        <w:rPr>
          <w:sz w:val="24"/>
          <w:szCs w:val="24"/>
        </w:rPr>
        <w:t xml:space="preserve"> 258.</w:t>
      </w:r>
    </w:p>
    <w:p w14:paraId="6F1A62F0" w14:textId="77777777" w:rsidR="008530A1" w:rsidRPr="002A0C60" w:rsidRDefault="008530A1" w:rsidP="005E187E">
      <w:pPr>
        <w:pStyle w:val="Voetnoottekst"/>
        <w:spacing w:line="360" w:lineRule="auto"/>
        <w:rPr>
          <w:sz w:val="24"/>
          <w:szCs w:val="24"/>
        </w:rPr>
      </w:pPr>
    </w:p>
    <w:p w14:paraId="12D1AFF9" w14:textId="2407D19D" w:rsidR="008530A1" w:rsidRPr="002A0C60" w:rsidRDefault="008530A1" w:rsidP="00EE2031">
      <w:pPr>
        <w:pStyle w:val="Voetnoottekst"/>
        <w:spacing w:line="360" w:lineRule="auto"/>
        <w:rPr>
          <w:sz w:val="24"/>
          <w:szCs w:val="24"/>
        </w:rPr>
      </w:pPr>
      <w:r w:rsidRPr="002A0C60">
        <w:rPr>
          <w:smallCaps/>
          <w:sz w:val="24"/>
          <w:szCs w:val="24"/>
        </w:rPr>
        <w:t>Byttebier</w:t>
      </w:r>
      <w:r w:rsidR="00AC33B8">
        <w:rPr>
          <w:smallCaps/>
          <w:sz w:val="24"/>
          <w:szCs w:val="24"/>
        </w:rPr>
        <w:t xml:space="preserve"> K.</w:t>
      </w:r>
      <w:r w:rsidRPr="002A0C60">
        <w:rPr>
          <w:sz w:val="24"/>
          <w:szCs w:val="24"/>
        </w:rPr>
        <w:t>, Voorrechten en hypotheken ̧ Antwerpen, Maklu, 2005,</w:t>
      </w:r>
      <w:r w:rsidR="00EF7A52" w:rsidRPr="002A0C60">
        <w:rPr>
          <w:sz w:val="24"/>
          <w:szCs w:val="24"/>
        </w:rPr>
        <w:t xml:space="preserve"> 786.</w:t>
      </w:r>
    </w:p>
    <w:p w14:paraId="0ED84788" w14:textId="77777777" w:rsidR="003015CB" w:rsidRPr="002A0C60" w:rsidRDefault="003015CB" w:rsidP="00EE2031">
      <w:pPr>
        <w:pStyle w:val="Voetnoottekst"/>
        <w:spacing w:line="360" w:lineRule="auto"/>
        <w:rPr>
          <w:sz w:val="24"/>
          <w:szCs w:val="24"/>
        </w:rPr>
      </w:pPr>
    </w:p>
    <w:p w14:paraId="1A3CED26" w14:textId="58F36021" w:rsidR="003015CB" w:rsidRPr="002A0C60" w:rsidRDefault="003015CB" w:rsidP="003015CB">
      <w:pPr>
        <w:spacing w:line="360" w:lineRule="auto"/>
      </w:pPr>
      <w:r w:rsidRPr="002A0C60">
        <w:rPr>
          <w:smallCaps/>
        </w:rPr>
        <w:t>Cattaruza</w:t>
      </w:r>
      <w:r w:rsidR="00AC33B8">
        <w:rPr>
          <w:smallCaps/>
        </w:rPr>
        <w:t xml:space="preserve"> J.</w:t>
      </w:r>
      <w:r w:rsidRPr="002A0C60">
        <w:rPr>
          <w:smallCaps/>
        </w:rPr>
        <w:t xml:space="preserve">, </w:t>
      </w:r>
      <w:r w:rsidRPr="002A0C60">
        <w:rPr>
          <w:i/>
        </w:rPr>
        <w:t xml:space="preserve">Le gage sur le fonds de commerce, </w:t>
      </w:r>
      <w:r w:rsidRPr="002A0C60">
        <w:t>Diegem, Kluwer 1997, 127.</w:t>
      </w:r>
    </w:p>
    <w:p w14:paraId="12F5C604" w14:textId="77777777" w:rsidR="00EE2031" w:rsidRPr="002A0C60" w:rsidRDefault="00EE2031" w:rsidP="00EE2031">
      <w:pPr>
        <w:pStyle w:val="Voetnoottekst"/>
        <w:spacing w:line="360" w:lineRule="auto"/>
        <w:rPr>
          <w:sz w:val="24"/>
          <w:szCs w:val="24"/>
        </w:rPr>
      </w:pPr>
    </w:p>
    <w:p w14:paraId="1158AFBD" w14:textId="397F5867" w:rsidR="008530A1" w:rsidRPr="002A0C60" w:rsidRDefault="008530A1" w:rsidP="005E187E">
      <w:pPr>
        <w:spacing w:line="360" w:lineRule="auto"/>
      </w:pPr>
      <w:r w:rsidRPr="002A0C60">
        <w:rPr>
          <w:smallCaps/>
        </w:rPr>
        <w:t>Caupain</w:t>
      </w:r>
      <w:r w:rsidR="00AC33B8">
        <w:rPr>
          <w:smallCaps/>
        </w:rPr>
        <w:t xml:space="preserve"> M.T.</w:t>
      </w:r>
      <w:r w:rsidRPr="002A0C60">
        <w:rPr>
          <w:smallCaps/>
        </w:rPr>
        <w:t>, “</w:t>
      </w:r>
      <w:r w:rsidRPr="002A0C60">
        <w:t>La réalisation du gage sur fonds de commerce et la cession du fonds de commerce: le droit de suite et l’aspect fiscal</w:t>
      </w:r>
      <w:r w:rsidRPr="002A0C60">
        <w:rPr>
          <w:i/>
        </w:rPr>
        <w:t>”</w:t>
      </w:r>
      <w:r w:rsidRPr="002A0C60">
        <w:t xml:space="preserve"> in </w:t>
      </w:r>
      <w:r w:rsidRPr="002A0C60">
        <w:rPr>
          <w:i/>
        </w:rPr>
        <w:t xml:space="preserve">Liber Amicorum Marcel Briers, </w:t>
      </w:r>
      <w:r w:rsidRPr="002A0C60">
        <w:t>Gent, Mys &amp; Breesch 1983</w:t>
      </w:r>
      <w:r w:rsidR="003015CB" w:rsidRPr="002A0C60">
        <w:t>, 37-65.</w:t>
      </w:r>
    </w:p>
    <w:p w14:paraId="125A95B1" w14:textId="77777777" w:rsidR="008530A1" w:rsidRPr="002A0C60" w:rsidRDefault="008530A1" w:rsidP="005E187E">
      <w:pPr>
        <w:spacing w:line="360" w:lineRule="auto"/>
      </w:pPr>
    </w:p>
    <w:p w14:paraId="382D6B56" w14:textId="4CA23610" w:rsidR="008530A1" w:rsidRDefault="008530A1" w:rsidP="005E187E">
      <w:pPr>
        <w:spacing w:line="360" w:lineRule="auto"/>
      </w:pPr>
      <w:r w:rsidRPr="00B005EE">
        <w:rPr>
          <w:smallCaps/>
        </w:rPr>
        <w:t>Cerfontaine</w:t>
      </w:r>
      <w:r w:rsidR="00AC33B8">
        <w:rPr>
          <w:smallCaps/>
        </w:rPr>
        <w:t xml:space="preserve"> J.</w:t>
      </w:r>
      <w:r w:rsidRPr="00B005EE">
        <w:t xml:space="preserve"> en </w:t>
      </w:r>
      <w:r w:rsidRPr="00B005EE">
        <w:rPr>
          <w:smallCaps/>
        </w:rPr>
        <w:t>Veroughstraete</w:t>
      </w:r>
      <w:r w:rsidR="00AC33B8">
        <w:rPr>
          <w:smallCaps/>
        </w:rPr>
        <w:t xml:space="preserve"> I.</w:t>
      </w:r>
      <w:r w:rsidRPr="00B005EE">
        <w:t xml:space="preserve"> (eds.), Wet en duiding: Economisch recht: Deel 5: Bank en Zekerhe</w:t>
      </w:r>
      <w:r w:rsidR="00B005EE" w:rsidRPr="00B005EE">
        <w:t>den, Larcier, Brussel 2014,718.</w:t>
      </w:r>
    </w:p>
    <w:p w14:paraId="42246579" w14:textId="77777777" w:rsidR="00E3633D" w:rsidRDefault="00E3633D" w:rsidP="005E187E">
      <w:pPr>
        <w:spacing w:line="360" w:lineRule="auto"/>
      </w:pPr>
    </w:p>
    <w:p w14:paraId="0955ADC6" w14:textId="6B695425" w:rsidR="00E3633D" w:rsidRPr="002A0C60" w:rsidRDefault="00E3633D" w:rsidP="005E187E">
      <w:pPr>
        <w:spacing w:line="360" w:lineRule="auto"/>
      </w:pPr>
      <w:r w:rsidRPr="00E3633D">
        <w:rPr>
          <w:smallCaps/>
        </w:rPr>
        <w:t>De Coninck</w:t>
      </w:r>
      <w:r w:rsidR="00AC33B8">
        <w:rPr>
          <w:smallCaps/>
        </w:rPr>
        <w:t xml:space="preserve"> J.</w:t>
      </w:r>
      <w:r w:rsidRPr="00E3633D">
        <w:rPr>
          <w:smallCaps/>
        </w:rPr>
        <w:t xml:space="preserve">, </w:t>
      </w:r>
      <w:r w:rsidRPr="00E3633D">
        <w:rPr>
          <w:i/>
        </w:rPr>
        <w:t xml:space="preserve">De voorwaarde in het contractenrecht, </w:t>
      </w:r>
      <w:r w:rsidRPr="00E3633D">
        <w:t>Brugge, Die Keure 2007,620.</w:t>
      </w:r>
    </w:p>
    <w:p w14:paraId="417B9962" w14:textId="77777777" w:rsidR="008530A1" w:rsidRPr="002A0C60" w:rsidRDefault="008530A1" w:rsidP="005E187E">
      <w:pPr>
        <w:spacing w:line="360" w:lineRule="auto"/>
      </w:pPr>
    </w:p>
    <w:p w14:paraId="3DB827F5" w14:textId="77777777" w:rsidR="008530A1" w:rsidRPr="002A0C60" w:rsidRDefault="008530A1" w:rsidP="005E187E">
      <w:pPr>
        <w:spacing w:line="360" w:lineRule="auto"/>
        <w:rPr>
          <w:sz w:val="2"/>
          <w:szCs w:val="2"/>
        </w:rPr>
      </w:pPr>
      <w:r w:rsidRPr="002A0C60">
        <w:rPr>
          <w:sz w:val="2"/>
          <w:szCs w:val="2"/>
        </w:rPr>
        <w:t>H</w:t>
      </w:r>
      <w:r w:rsidRPr="002A0C60">
        <w:rPr>
          <w:smallCaps/>
          <w:sz w:val="2"/>
          <w:szCs w:val="2"/>
        </w:rPr>
        <w:t xml:space="preserve">. De Page, </w:t>
      </w:r>
      <w:r w:rsidRPr="002A0C60">
        <w:rPr>
          <w:i/>
          <w:sz w:val="2"/>
          <w:szCs w:val="2"/>
        </w:rPr>
        <w:t xml:space="preserve">Traité élémentaire de droit civil </w:t>
      </w:r>
      <w:proofErr w:type="spellStart"/>
      <w:r w:rsidRPr="002A0C60">
        <w:rPr>
          <w:i/>
          <w:sz w:val="2"/>
          <w:szCs w:val="2"/>
        </w:rPr>
        <w:t>belge</w:t>
      </w:r>
      <w:proofErr w:type="spellEnd"/>
      <w:r w:rsidRPr="002A0C60">
        <w:rPr>
          <w:i/>
          <w:sz w:val="2"/>
          <w:szCs w:val="2"/>
        </w:rPr>
        <w:t xml:space="preserve"> -  Tome VI, </w:t>
      </w:r>
      <w:r w:rsidRPr="002A0C60">
        <w:rPr>
          <w:sz w:val="2"/>
          <w:szCs w:val="2"/>
        </w:rPr>
        <w:t xml:space="preserve">Brussel, Bruylant 1942, </w:t>
      </w:r>
    </w:p>
    <w:p w14:paraId="5CE1B64C" w14:textId="5DD7EA36" w:rsidR="008530A1" w:rsidRPr="002A0C60" w:rsidRDefault="008530A1" w:rsidP="005E187E">
      <w:pPr>
        <w:spacing w:line="360" w:lineRule="auto"/>
      </w:pPr>
      <w:r w:rsidRPr="007D22CE">
        <w:rPr>
          <w:smallCaps/>
        </w:rPr>
        <w:t>Derine</w:t>
      </w:r>
      <w:r w:rsidR="00AC33B8">
        <w:rPr>
          <w:smallCaps/>
        </w:rPr>
        <w:t xml:space="preserve"> R., </w:t>
      </w:r>
      <w:r w:rsidRPr="007D22CE">
        <w:rPr>
          <w:smallCaps/>
        </w:rPr>
        <w:t>Van Neste</w:t>
      </w:r>
      <w:r w:rsidR="00AC33B8">
        <w:rPr>
          <w:smallCaps/>
        </w:rPr>
        <w:t xml:space="preserve"> F., </w:t>
      </w:r>
      <w:r w:rsidRPr="007D22CE">
        <w:rPr>
          <w:smallCaps/>
        </w:rPr>
        <w:t>Vandenberghe</w:t>
      </w:r>
      <w:r w:rsidR="00AC33B8">
        <w:rPr>
          <w:smallCaps/>
        </w:rPr>
        <w:t xml:space="preserve"> H.</w:t>
      </w:r>
      <w:r w:rsidRPr="007D22CE">
        <w:rPr>
          <w:smallCaps/>
        </w:rPr>
        <w:t xml:space="preserve">, </w:t>
      </w:r>
      <w:r w:rsidRPr="007D22CE">
        <w:rPr>
          <w:i/>
        </w:rPr>
        <w:t xml:space="preserve">Zakenrecht – Deel 1.B, </w:t>
      </w:r>
      <w:r w:rsidRPr="007D22CE">
        <w:t xml:space="preserve">Antwerpen, Standaard 1974, </w:t>
      </w:r>
      <w:r w:rsidR="007D22CE" w:rsidRPr="007D22CE">
        <w:t>1078.</w:t>
      </w:r>
    </w:p>
    <w:p w14:paraId="5A1B68B6" w14:textId="77777777" w:rsidR="008530A1" w:rsidRPr="002A0C60" w:rsidRDefault="008530A1" w:rsidP="005E187E">
      <w:pPr>
        <w:spacing w:line="360" w:lineRule="auto"/>
      </w:pPr>
    </w:p>
    <w:p w14:paraId="688CE58E" w14:textId="3CC25EE8" w:rsidR="008530A1" w:rsidRPr="002A0C60" w:rsidRDefault="008530A1" w:rsidP="005E187E">
      <w:pPr>
        <w:spacing w:line="360" w:lineRule="auto"/>
      </w:pPr>
      <w:r w:rsidRPr="002A0C60">
        <w:rPr>
          <w:smallCaps/>
        </w:rPr>
        <w:t>De Page</w:t>
      </w:r>
      <w:r w:rsidR="00AC33B8">
        <w:rPr>
          <w:smallCaps/>
        </w:rPr>
        <w:t xml:space="preserve"> H.</w:t>
      </w:r>
      <w:r w:rsidRPr="002A0C60">
        <w:rPr>
          <w:smallCaps/>
        </w:rPr>
        <w:t xml:space="preserve">, </w:t>
      </w:r>
      <w:r w:rsidRPr="002A0C60">
        <w:rPr>
          <w:i/>
        </w:rPr>
        <w:t xml:space="preserve">Traité élémentaire de droit civil Belge – VI – Les Biens, Les Sûretés, </w:t>
      </w:r>
      <w:r w:rsidRPr="002A0C60">
        <w:t xml:space="preserve">Bruylant, Brussel 1953, </w:t>
      </w:r>
      <w:r w:rsidR="003015CB" w:rsidRPr="002A0C60">
        <w:t>1192.</w:t>
      </w:r>
      <w:r w:rsidR="002A0C60">
        <w:t xml:space="preserve"> </w:t>
      </w:r>
    </w:p>
    <w:p w14:paraId="004F77D2" w14:textId="77777777" w:rsidR="008530A1" w:rsidRPr="002A0C60" w:rsidRDefault="008530A1" w:rsidP="005E187E">
      <w:pPr>
        <w:spacing w:line="360" w:lineRule="auto"/>
        <w:rPr>
          <w:smallCaps/>
        </w:rPr>
      </w:pPr>
    </w:p>
    <w:p w14:paraId="03B450BD" w14:textId="60136A9E" w:rsidR="008530A1" w:rsidRPr="002A0C60" w:rsidRDefault="008530A1" w:rsidP="005E187E">
      <w:pPr>
        <w:spacing w:line="360" w:lineRule="auto"/>
      </w:pPr>
      <w:r w:rsidRPr="002A0C60">
        <w:rPr>
          <w:smallCaps/>
        </w:rPr>
        <w:t>De Page</w:t>
      </w:r>
      <w:r w:rsidR="00AC33B8">
        <w:rPr>
          <w:smallCaps/>
        </w:rPr>
        <w:t xml:space="preserve"> H.</w:t>
      </w:r>
      <w:r w:rsidRPr="002A0C60">
        <w:rPr>
          <w:smallCaps/>
        </w:rPr>
        <w:t xml:space="preserve">, </w:t>
      </w:r>
      <w:r w:rsidRPr="002A0C60">
        <w:rPr>
          <w:i/>
        </w:rPr>
        <w:t xml:space="preserve">Traité élémentaire de droit civil </w:t>
      </w:r>
      <w:r w:rsidR="002A0C60" w:rsidRPr="002A0C60">
        <w:rPr>
          <w:i/>
        </w:rPr>
        <w:t>Belge</w:t>
      </w:r>
      <w:r w:rsidRPr="002A0C60">
        <w:rPr>
          <w:i/>
        </w:rPr>
        <w:t xml:space="preserve"> -  Tome V, </w:t>
      </w:r>
      <w:r w:rsidRPr="002A0C60">
        <w:t xml:space="preserve">Brussel, Bruylant 1975, </w:t>
      </w:r>
      <w:r w:rsidR="009F6D1C" w:rsidRPr="002A0C60">
        <w:t>1167.</w:t>
      </w:r>
    </w:p>
    <w:p w14:paraId="378A24E6" w14:textId="77777777" w:rsidR="008530A1" w:rsidRPr="002A0C60" w:rsidRDefault="008530A1" w:rsidP="005E187E">
      <w:pPr>
        <w:spacing w:line="360" w:lineRule="auto"/>
      </w:pPr>
    </w:p>
    <w:p w14:paraId="49B66348" w14:textId="0A25796F" w:rsidR="008530A1" w:rsidRPr="002A0C60" w:rsidRDefault="008530A1" w:rsidP="005E187E">
      <w:pPr>
        <w:spacing w:line="360" w:lineRule="auto"/>
      </w:pPr>
      <w:r w:rsidRPr="002A0C60">
        <w:rPr>
          <w:smallCaps/>
        </w:rPr>
        <w:t>De Corte</w:t>
      </w:r>
      <w:r w:rsidR="00AC33B8">
        <w:rPr>
          <w:smallCaps/>
        </w:rPr>
        <w:t xml:space="preserve"> R. </w:t>
      </w:r>
      <w:r w:rsidR="00AC33B8" w:rsidRPr="00AC33B8">
        <w:t>en</w:t>
      </w:r>
      <w:r w:rsidR="00AC33B8">
        <w:rPr>
          <w:smallCaps/>
        </w:rPr>
        <w:t xml:space="preserve"> </w:t>
      </w:r>
      <w:r w:rsidRPr="002A0C60">
        <w:rPr>
          <w:smallCaps/>
        </w:rPr>
        <w:t>Dirix</w:t>
      </w:r>
      <w:r w:rsidR="00AC33B8">
        <w:rPr>
          <w:smallCaps/>
        </w:rPr>
        <w:t xml:space="preserve"> E.</w:t>
      </w:r>
      <w:r w:rsidRPr="002A0C60">
        <w:rPr>
          <w:smallCaps/>
        </w:rPr>
        <w:t xml:space="preserve">, </w:t>
      </w:r>
      <w:r w:rsidRPr="002A0C60">
        <w:rPr>
          <w:i/>
        </w:rPr>
        <w:t xml:space="preserve">Beginselen van Belgisch Privaatrecht – XII – Zekerheidsrechten, </w:t>
      </w:r>
      <w:r w:rsidRPr="002A0C60">
        <w:t>Kluwer, Antwerpen 2006</w:t>
      </w:r>
      <w:r w:rsidR="00B43514" w:rsidRPr="002A0C60">
        <w:t>, 519.</w:t>
      </w:r>
    </w:p>
    <w:p w14:paraId="750B9F0A" w14:textId="77777777" w:rsidR="008530A1" w:rsidRPr="002A0C60" w:rsidRDefault="008530A1" w:rsidP="005E187E">
      <w:pPr>
        <w:spacing w:line="360" w:lineRule="auto"/>
        <w:rPr>
          <w:smallCaps/>
        </w:rPr>
      </w:pPr>
    </w:p>
    <w:p w14:paraId="59E13353" w14:textId="3500761A" w:rsidR="008530A1" w:rsidRPr="002A0C60" w:rsidRDefault="008530A1" w:rsidP="005E187E">
      <w:pPr>
        <w:spacing w:line="360" w:lineRule="auto"/>
      </w:pPr>
      <w:r w:rsidRPr="002A0C60">
        <w:rPr>
          <w:smallCaps/>
        </w:rPr>
        <w:t>Dekkers</w:t>
      </w:r>
      <w:r w:rsidR="00AC33B8">
        <w:rPr>
          <w:smallCaps/>
        </w:rPr>
        <w:t xml:space="preserve"> R. </w:t>
      </w:r>
      <w:r w:rsidR="00AC33B8" w:rsidRPr="00AC33B8">
        <w:t>en</w:t>
      </w:r>
      <w:r w:rsidR="00AC33B8">
        <w:rPr>
          <w:smallCaps/>
        </w:rPr>
        <w:t xml:space="preserve"> </w:t>
      </w:r>
      <w:r w:rsidRPr="002A0C60">
        <w:rPr>
          <w:smallCaps/>
        </w:rPr>
        <w:t>Dirix</w:t>
      </w:r>
      <w:r w:rsidR="00AC33B8">
        <w:rPr>
          <w:smallCaps/>
        </w:rPr>
        <w:t xml:space="preserve"> E.</w:t>
      </w:r>
      <w:r w:rsidRPr="002A0C60">
        <w:rPr>
          <w:smallCaps/>
        </w:rPr>
        <w:t xml:space="preserve">, </w:t>
      </w:r>
      <w:r w:rsidRPr="002A0C60">
        <w:rPr>
          <w:i/>
        </w:rPr>
        <w:t xml:space="preserve">Handboek Burgerlijk Recht – Deel II, </w:t>
      </w:r>
      <w:r w:rsidRPr="002A0C60">
        <w:t xml:space="preserve">Antwerpen, Intersentia, 2005, </w:t>
      </w:r>
      <w:r w:rsidR="00B43514" w:rsidRPr="002A0C60">
        <w:t>589.</w:t>
      </w:r>
    </w:p>
    <w:p w14:paraId="2F7AD830" w14:textId="77777777" w:rsidR="008530A1" w:rsidRPr="002A0C60" w:rsidRDefault="008530A1" w:rsidP="005E187E">
      <w:pPr>
        <w:spacing w:line="360" w:lineRule="auto"/>
      </w:pPr>
    </w:p>
    <w:p w14:paraId="16C46588" w14:textId="6949FEFA" w:rsidR="008530A1" w:rsidRPr="002A0C60" w:rsidRDefault="008530A1" w:rsidP="005E187E">
      <w:pPr>
        <w:tabs>
          <w:tab w:val="left" w:pos="5606"/>
        </w:tabs>
        <w:spacing w:line="360" w:lineRule="auto"/>
      </w:pPr>
      <w:r w:rsidRPr="002A0C60">
        <w:rPr>
          <w:smallCaps/>
        </w:rPr>
        <w:t>Del Corral</w:t>
      </w:r>
      <w:r w:rsidR="00AC33B8">
        <w:rPr>
          <w:smallCaps/>
        </w:rPr>
        <w:t xml:space="preserve"> J.</w:t>
      </w:r>
      <w:r w:rsidRPr="002A0C60">
        <w:rPr>
          <w:smallCaps/>
        </w:rPr>
        <w:t xml:space="preserve">, </w:t>
      </w:r>
      <w:r w:rsidRPr="002A0C60">
        <w:rPr>
          <w:i/>
        </w:rPr>
        <w:t>De leveringsplicht bij de overdracht van roerende lichamelijke goederen</w:t>
      </w:r>
      <w:r w:rsidRPr="002A0C60">
        <w:t>, Antwerpen, Intersentia, 2013,</w:t>
      </w:r>
      <w:r w:rsidR="00B43514" w:rsidRPr="002A0C60">
        <w:t xml:space="preserve"> 629.</w:t>
      </w:r>
    </w:p>
    <w:p w14:paraId="0777DFD0" w14:textId="77777777" w:rsidR="008530A1" w:rsidRPr="002A0C60" w:rsidRDefault="008530A1" w:rsidP="005E187E">
      <w:pPr>
        <w:spacing w:line="360" w:lineRule="auto"/>
      </w:pPr>
    </w:p>
    <w:p w14:paraId="1CD1D407" w14:textId="2FBCC4A1" w:rsidR="008530A1" w:rsidRPr="002A0C60" w:rsidRDefault="002A0C60" w:rsidP="005E187E">
      <w:pPr>
        <w:spacing w:line="360" w:lineRule="auto"/>
      </w:pPr>
      <w:r>
        <w:rPr>
          <w:smallCaps/>
        </w:rPr>
        <w:t>Delva</w:t>
      </w:r>
      <w:r w:rsidR="008530A1" w:rsidRPr="002A0C60">
        <w:rPr>
          <w:smallCaps/>
        </w:rPr>
        <w:t xml:space="preserve"> W., </w:t>
      </w:r>
      <w:r w:rsidR="008530A1" w:rsidRPr="002A0C60">
        <w:rPr>
          <w:i/>
        </w:rPr>
        <w:t xml:space="preserve">Voorrechten en hypotheken, </w:t>
      </w:r>
      <w:r w:rsidR="008530A1" w:rsidRPr="002A0C60">
        <w:t>Gent, Story Scientia 1973,</w:t>
      </w:r>
      <w:r w:rsidR="00B43514" w:rsidRPr="002A0C60">
        <w:t xml:space="preserve"> 184.</w:t>
      </w:r>
    </w:p>
    <w:p w14:paraId="38BFE37D" w14:textId="77777777" w:rsidR="008530A1" w:rsidRPr="002A0C60" w:rsidRDefault="008530A1" w:rsidP="005E187E">
      <w:pPr>
        <w:spacing w:line="360" w:lineRule="auto"/>
      </w:pPr>
    </w:p>
    <w:p w14:paraId="39D112F3" w14:textId="445E46E0" w:rsidR="00407F48" w:rsidRPr="002A0C60" w:rsidRDefault="00407F48" w:rsidP="005E187E">
      <w:pPr>
        <w:spacing w:line="360" w:lineRule="auto"/>
      </w:pPr>
      <w:r w:rsidRPr="002A0C60">
        <w:rPr>
          <w:smallCaps/>
        </w:rPr>
        <w:t>Derijcke</w:t>
      </w:r>
      <w:r w:rsidR="00AC33B8">
        <w:rPr>
          <w:smallCaps/>
        </w:rPr>
        <w:t xml:space="preserve"> W.</w:t>
      </w:r>
      <w:r w:rsidRPr="002A0C60">
        <w:rPr>
          <w:smallCaps/>
        </w:rPr>
        <w:t xml:space="preserve">, </w:t>
      </w:r>
      <w:r w:rsidRPr="002A0C60">
        <w:t xml:space="preserve">“Le contrat de gage”, in </w:t>
      </w:r>
      <w:r w:rsidRPr="002A0C60">
        <w:rPr>
          <w:i/>
        </w:rPr>
        <w:t xml:space="preserve">Actualités de droit des sûretés, </w:t>
      </w:r>
      <w:r w:rsidRPr="002A0C60">
        <w:t>Limal, Anthemis</w:t>
      </w:r>
      <w:r w:rsidR="00EE2D4B">
        <w:t xml:space="preserve"> 2012</w:t>
      </w:r>
      <w:r w:rsidRPr="002A0C60">
        <w:t>,</w:t>
      </w:r>
      <w:r w:rsidR="0057627F" w:rsidRPr="002A0C60">
        <w:t xml:space="preserve"> 33-71.</w:t>
      </w:r>
    </w:p>
    <w:p w14:paraId="765E2AA6" w14:textId="77777777" w:rsidR="00407F48" w:rsidRPr="002A0C60" w:rsidRDefault="00407F48" w:rsidP="005E187E">
      <w:pPr>
        <w:spacing w:line="360" w:lineRule="auto"/>
        <w:rPr>
          <w:smallCaps/>
        </w:rPr>
      </w:pPr>
    </w:p>
    <w:p w14:paraId="34870F2C" w14:textId="5E0E811A" w:rsidR="008530A1" w:rsidRPr="002A0C60" w:rsidRDefault="008530A1" w:rsidP="005E187E">
      <w:pPr>
        <w:spacing w:line="360" w:lineRule="auto"/>
      </w:pPr>
      <w:proofErr w:type="spellStart"/>
      <w:r w:rsidRPr="00AC33B8">
        <w:rPr>
          <w:smallCaps/>
        </w:rPr>
        <w:lastRenderedPageBreak/>
        <w:t>Derycke</w:t>
      </w:r>
      <w:proofErr w:type="spellEnd"/>
      <w:r w:rsidR="00AC33B8">
        <w:rPr>
          <w:smallCaps/>
        </w:rPr>
        <w:t xml:space="preserve"> R.</w:t>
      </w:r>
      <w:r w:rsidRPr="00AC33B8">
        <w:rPr>
          <w:smallCaps/>
        </w:rPr>
        <w:t>, “</w:t>
      </w:r>
      <w:r w:rsidRPr="00AC33B8">
        <w:t>Voorrechten</w:t>
      </w:r>
      <w:r w:rsidRPr="00AC33B8">
        <w:rPr>
          <w:i/>
        </w:rPr>
        <w:t xml:space="preserve">”, APR </w:t>
      </w:r>
      <w:r w:rsidRPr="00AC33B8">
        <w:t>1958,</w:t>
      </w:r>
      <w:r w:rsidR="0030637D" w:rsidRPr="00AC33B8">
        <w:t xml:space="preserve"> </w:t>
      </w:r>
      <w:r w:rsidR="00AC33B8" w:rsidRPr="00AC33B8">
        <w:t>167.</w:t>
      </w:r>
    </w:p>
    <w:p w14:paraId="3C5DDFE1" w14:textId="77777777" w:rsidR="008530A1" w:rsidRPr="002A0C60" w:rsidRDefault="008530A1" w:rsidP="005E187E">
      <w:pPr>
        <w:spacing w:line="360" w:lineRule="auto"/>
      </w:pPr>
    </w:p>
    <w:p w14:paraId="78628CDB" w14:textId="3DBF44CF" w:rsidR="008530A1" w:rsidRPr="002A0C60" w:rsidRDefault="008530A1" w:rsidP="005E187E">
      <w:pPr>
        <w:spacing w:line="360" w:lineRule="auto"/>
      </w:pPr>
      <w:r w:rsidRPr="002A0C60">
        <w:rPr>
          <w:smallCaps/>
        </w:rPr>
        <w:t>De Wilde</w:t>
      </w:r>
      <w:r w:rsidR="00AC33B8">
        <w:rPr>
          <w:smallCaps/>
        </w:rPr>
        <w:t xml:space="preserve"> A.</w:t>
      </w:r>
      <w:r w:rsidRPr="002A0C60">
        <w:rPr>
          <w:smallCaps/>
        </w:rPr>
        <w:t>, “</w:t>
      </w:r>
      <w:r w:rsidRPr="002A0C60">
        <w:t>Het klassieke pand en het pand op de handelszaak” in X (</w:t>
      </w:r>
      <w:r w:rsidR="0077523D" w:rsidRPr="002A0C60">
        <w:t>ed.</w:t>
      </w:r>
      <w:r w:rsidRPr="002A0C60">
        <w:t xml:space="preserve">) </w:t>
      </w:r>
      <w:r w:rsidRPr="002A0C60">
        <w:rPr>
          <w:i/>
        </w:rPr>
        <w:t>Het pand -  Van een oude naar een moderne zekerheid</w:t>
      </w:r>
      <w:r w:rsidRPr="002A0C60">
        <w:t xml:space="preserve"> (eds)</w:t>
      </w:r>
      <w:r w:rsidR="0030637D" w:rsidRPr="002A0C60">
        <w:t xml:space="preserve">, Brussel, Die Keure, 2012, </w:t>
      </w:r>
      <w:r w:rsidR="0057627F" w:rsidRPr="002A0C60">
        <w:t>13-44.</w:t>
      </w:r>
    </w:p>
    <w:p w14:paraId="77C2B0C1" w14:textId="77777777" w:rsidR="008530A1" w:rsidRPr="002A0C60" w:rsidRDefault="008530A1" w:rsidP="005E187E">
      <w:pPr>
        <w:spacing w:line="360" w:lineRule="auto"/>
      </w:pPr>
    </w:p>
    <w:p w14:paraId="0303DE6B" w14:textId="674551A7" w:rsidR="008530A1" w:rsidRPr="002A0C60" w:rsidRDefault="008530A1" w:rsidP="005E187E">
      <w:pPr>
        <w:spacing w:line="360" w:lineRule="auto"/>
      </w:pPr>
      <w:r w:rsidRPr="002A0C60">
        <w:rPr>
          <w:smallCaps/>
        </w:rPr>
        <w:t>Dirix</w:t>
      </w:r>
      <w:r w:rsidR="00AC33B8">
        <w:rPr>
          <w:smallCaps/>
        </w:rPr>
        <w:t xml:space="preserve"> E.</w:t>
      </w:r>
      <w:r w:rsidRPr="002A0C60">
        <w:rPr>
          <w:smallCaps/>
        </w:rPr>
        <w:t xml:space="preserve">, </w:t>
      </w:r>
      <w:r w:rsidRPr="002A0C60">
        <w:rPr>
          <w:i/>
        </w:rPr>
        <w:t xml:space="preserve">De hervorming van de roerende zakelijke zekerheden, </w:t>
      </w:r>
      <w:r w:rsidRPr="002A0C60">
        <w:t xml:space="preserve">Mechelen, Kluwer, 2013, </w:t>
      </w:r>
      <w:r w:rsidR="0030637D" w:rsidRPr="002A0C60">
        <w:t>317.</w:t>
      </w:r>
    </w:p>
    <w:p w14:paraId="6ABE36C4" w14:textId="77777777" w:rsidR="004B04C9" w:rsidRPr="002A0C60" w:rsidRDefault="004B04C9" w:rsidP="005E187E">
      <w:pPr>
        <w:spacing w:line="360" w:lineRule="auto"/>
      </w:pPr>
    </w:p>
    <w:p w14:paraId="1E47F265" w14:textId="20186C02" w:rsidR="004B04C9" w:rsidRPr="002A0C60" w:rsidRDefault="004B04C9" w:rsidP="005E187E">
      <w:pPr>
        <w:spacing w:line="360" w:lineRule="auto"/>
      </w:pPr>
      <w:r w:rsidRPr="002A0C60">
        <w:rPr>
          <w:smallCaps/>
        </w:rPr>
        <w:t>Du Laing</w:t>
      </w:r>
      <w:r w:rsidR="00AC33B8">
        <w:rPr>
          <w:smallCaps/>
        </w:rPr>
        <w:t xml:space="preserve"> B., </w:t>
      </w:r>
      <w:r w:rsidRPr="002A0C60">
        <w:rPr>
          <w:smallCaps/>
        </w:rPr>
        <w:t>Cousy</w:t>
      </w:r>
      <w:r w:rsidR="00AC33B8">
        <w:rPr>
          <w:smallCaps/>
        </w:rPr>
        <w:t xml:space="preserve"> H.</w:t>
      </w:r>
      <w:r w:rsidRPr="002A0C60">
        <w:rPr>
          <w:smallCaps/>
        </w:rPr>
        <w:t xml:space="preserve">, </w:t>
      </w:r>
      <w:r w:rsidRPr="002A0C60">
        <w:t xml:space="preserve">“Het pand op de handelszaak – een algemeen overzicht”, in </w:t>
      </w:r>
      <w:r w:rsidRPr="002A0C60">
        <w:rPr>
          <w:smallCaps/>
        </w:rPr>
        <w:t>Cousy</w:t>
      </w:r>
      <w:r w:rsidR="00AC33B8">
        <w:rPr>
          <w:smallCaps/>
        </w:rPr>
        <w:t xml:space="preserve"> H., </w:t>
      </w:r>
      <w:proofErr w:type="gramStart"/>
      <w:r w:rsidR="002A0C60">
        <w:rPr>
          <w:smallCaps/>
        </w:rPr>
        <w:t>Tilleman</w:t>
      </w:r>
      <w:proofErr w:type="gramEnd"/>
      <w:r w:rsidR="00AC33B8">
        <w:rPr>
          <w:smallCaps/>
        </w:rPr>
        <w:t xml:space="preserve"> B., </w:t>
      </w:r>
      <w:r w:rsidRPr="002A0C60">
        <w:rPr>
          <w:smallCaps/>
        </w:rPr>
        <w:t>Benoit-Moury</w:t>
      </w:r>
      <w:r w:rsidR="00AC33B8">
        <w:rPr>
          <w:smallCaps/>
        </w:rPr>
        <w:t xml:space="preserve"> A.</w:t>
      </w:r>
      <w:r w:rsidRPr="002A0C60">
        <w:rPr>
          <w:smallCaps/>
        </w:rPr>
        <w:t xml:space="preserve"> </w:t>
      </w:r>
      <w:r w:rsidRPr="002A0C60">
        <w:t xml:space="preserve">(eds.), </w:t>
      </w:r>
      <w:r w:rsidRPr="002A0C60">
        <w:rPr>
          <w:i/>
        </w:rPr>
        <w:t xml:space="preserve">De handelszaak – Le fonds de commerce, </w:t>
      </w:r>
      <w:r w:rsidRPr="002A0C60">
        <w:t>Brugge, die Keure</w:t>
      </w:r>
      <w:r w:rsidR="0057627F" w:rsidRPr="002A0C60">
        <w:t xml:space="preserve"> 2001</w:t>
      </w:r>
      <w:r w:rsidRPr="002A0C60">
        <w:t xml:space="preserve">, </w:t>
      </w:r>
      <w:r w:rsidR="00B43514" w:rsidRPr="002A0C60">
        <w:t>33-84.</w:t>
      </w:r>
    </w:p>
    <w:p w14:paraId="46785D8D" w14:textId="77777777" w:rsidR="008530A1" w:rsidRPr="002A0C60" w:rsidRDefault="008530A1" w:rsidP="005E187E">
      <w:pPr>
        <w:spacing w:line="360" w:lineRule="auto"/>
      </w:pPr>
    </w:p>
    <w:p w14:paraId="12A9CA49" w14:textId="25BA9B7B" w:rsidR="008530A1" w:rsidRPr="002A0C60" w:rsidRDefault="008530A1" w:rsidP="005E187E">
      <w:pPr>
        <w:spacing w:line="360" w:lineRule="auto"/>
      </w:pPr>
      <w:r w:rsidRPr="00B95341">
        <w:rPr>
          <w:smallCaps/>
        </w:rPr>
        <w:t>Du Laing</w:t>
      </w:r>
      <w:r w:rsidR="00AC33B8">
        <w:rPr>
          <w:smallCaps/>
        </w:rPr>
        <w:t xml:space="preserve"> B.</w:t>
      </w:r>
      <w:r w:rsidRPr="00B95341">
        <w:rPr>
          <w:smallCaps/>
        </w:rPr>
        <w:t xml:space="preserve">, </w:t>
      </w:r>
      <w:r w:rsidRPr="00B95341">
        <w:t xml:space="preserve">“Het pand op de handelszaak: een algemeen overzicht en enkele recente ontwikkelingen”, in </w:t>
      </w:r>
      <w:r w:rsidRPr="00B95341">
        <w:rPr>
          <w:smallCaps/>
        </w:rPr>
        <w:t>Bouckaert</w:t>
      </w:r>
      <w:r w:rsidR="00AC33B8">
        <w:rPr>
          <w:smallCaps/>
        </w:rPr>
        <w:t xml:space="preserve"> F., </w:t>
      </w:r>
      <w:r w:rsidRPr="00B95341">
        <w:rPr>
          <w:smallCaps/>
        </w:rPr>
        <w:t>Byttebier</w:t>
      </w:r>
      <w:r w:rsidR="00AC33B8">
        <w:rPr>
          <w:smallCaps/>
        </w:rPr>
        <w:t xml:space="preserve"> J., </w:t>
      </w:r>
      <w:r w:rsidRPr="00B95341">
        <w:rPr>
          <w:smallCaps/>
        </w:rPr>
        <w:t>Du Laing</w:t>
      </w:r>
      <w:r w:rsidR="00AC33B8">
        <w:rPr>
          <w:smallCaps/>
        </w:rPr>
        <w:t xml:space="preserve"> B., </w:t>
      </w:r>
      <w:r w:rsidRPr="00B95341">
        <w:rPr>
          <w:smallCaps/>
        </w:rPr>
        <w:t>Pelgroms</w:t>
      </w:r>
      <w:r w:rsidR="00AC33B8">
        <w:rPr>
          <w:smallCaps/>
        </w:rPr>
        <w:t xml:space="preserve"> H., </w:t>
      </w:r>
      <w:r w:rsidRPr="00B95341">
        <w:rPr>
          <w:smallCaps/>
        </w:rPr>
        <w:t>Torfs</w:t>
      </w:r>
      <w:r w:rsidR="00AC33B8">
        <w:rPr>
          <w:smallCaps/>
        </w:rPr>
        <w:t xml:space="preserve"> N., </w:t>
      </w:r>
      <w:r w:rsidRPr="00B95341">
        <w:rPr>
          <w:smallCaps/>
        </w:rPr>
        <w:t>Van De Putte</w:t>
      </w:r>
      <w:r w:rsidR="00AC33B8">
        <w:rPr>
          <w:smallCaps/>
        </w:rPr>
        <w:t xml:space="preserve"> W., </w:t>
      </w:r>
      <w:r w:rsidRPr="00B95341">
        <w:rPr>
          <w:smallCaps/>
        </w:rPr>
        <w:t>Verbanck</w:t>
      </w:r>
      <w:r w:rsidR="00AC33B8">
        <w:rPr>
          <w:smallCaps/>
        </w:rPr>
        <w:t xml:space="preserve"> P., </w:t>
      </w:r>
      <w:r w:rsidRPr="00B95341">
        <w:rPr>
          <w:smallCaps/>
        </w:rPr>
        <w:t>Weyts</w:t>
      </w:r>
      <w:r w:rsidR="00AC33B8">
        <w:rPr>
          <w:smallCaps/>
        </w:rPr>
        <w:t xml:space="preserve"> L.</w:t>
      </w:r>
      <w:r w:rsidRPr="00B95341">
        <w:rPr>
          <w:smallCaps/>
        </w:rPr>
        <w:t xml:space="preserve"> </w:t>
      </w:r>
      <w:r w:rsidRPr="00B95341">
        <w:t xml:space="preserve">(eds.), </w:t>
      </w:r>
      <w:r w:rsidRPr="00B95341">
        <w:rPr>
          <w:i/>
        </w:rPr>
        <w:t xml:space="preserve">Notariële aspecten van de handelszaak en de handelshuur, </w:t>
      </w:r>
      <w:r w:rsidRPr="00B95341">
        <w:t>Antwerpen, Maklu 2005,</w:t>
      </w:r>
      <w:r w:rsidR="00B95341" w:rsidRPr="00B95341">
        <w:t>121-170.</w:t>
      </w:r>
    </w:p>
    <w:p w14:paraId="64DA9F85" w14:textId="77777777" w:rsidR="007D4A6B" w:rsidRPr="002A0C60" w:rsidRDefault="007D4A6B" w:rsidP="005E187E">
      <w:pPr>
        <w:spacing w:line="360" w:lineRule="auto"/>
      </w:pPr>
    </w:p>
    <w:p w14:paraId="32268DDB" w14:textId="6FDEFCA0" w:rsidR="007D4A6B" w:rsidRPr="002A0C60" w:rsidRDefault="007D4A6B" w:rsidP="005E187E">
      <w:pPr>
        <w:spacing w:line="360" w:lineRule="auto"/>
      </w:pPr>
      <w:r w:rsidRPr="00EE2D4B">
        <w:rPr>
          <w:smallCaps/>
        </w:rPr>
        <w:t>Forges</w:t>
      </w:r>
      <w:r w:rsidR="00AC33B8">
        <w:rPr>
          <w:smallCaps/>
        </w:rPr>
        <w:t xml:space="preserve"> M., </w:t>
      </w:r>
      <w:r w:rsidRPr="00EE2D4B">
        <w:rPr>
          <w:smallCaps/>
        </w:rPr>
        <w:t>Van den Driesche</w:t>
      </w:r>
      <w:r w:rsidR="00AC33B8">
        <w:rPr>
          <w:smallCaps/>
        </w:rPr>
        <w:t xml:space="preserve"> P.F.</w:t>
      </w:r>
      <w:r w:rsidRPr="00EE2D4B">
        <w:rPr>
          <w:smallCaps/>
        </w:rPr>
        <w:t xml:space="preserve">, </w:t>
      </w:r>
      <w:r w:rsidRPr="00EE2D4B">
        <w:t xml:space="preserve">“Le gage sur le fonds de commerce et les entreprises en difficulté”, in </w:t>
      </w:r>
      <w:r w:rsidRPr="00EE2D4B">
        <w:rPr>
          <w:smallCaps/>
        </w:rPr>
        <w:t>Alter</w:t>
      </w:r>
      <w:r w:rsidR="00AC33B8">
        <w:rPr>
          <w:smallCaps/>
        </w:rPr>
        <w:t xml:space="preserve"> C., </w:t>
      </w:r>
      <w:r w:rsidRPr="00EE2D4B">
        <w:rPr>
          <w:smallCaps/>
        </w:rPr>
        <w:t>Forges</w:t>
      </w:r>
      <w:r w:rsidR="00AC33B8">
        <w:rPr>
          <w:smallCaps/>
        </w:rPr>
        <w:t xml:space="preserve"> M., </w:t>
      </w:r>
      <w:r w:rsidRPr="00EE2D4B">
        <w:rPr>
          <w:smallCaps/>
        </w:rPr>
        <w:t>Philippe</w:t>
      </w:r>
      <w:r w:rsidR="00AC33B8">
        <w:rPr>
          <w:smallCaps/>
        </w:rPr>
        <w:t xml:space="preserve"> D.E.</w:t>
      </w:r>
      <w:r w:rsidRPr="00EE2D4B">
        <w:rPr>
          <w:smallCaps/>
        </w:rPr>
        <w:t>,</w:t>
      </w:r>
      <w:r w:rsidR="00AC33B8">
        <w:rPr>
          <w:smallCaps/>
        </w:rPr>
        <w:t xml:space="preserve"> </w:t>
      </w:r>
      <w:r w:rsidRPr="00EE2D4B">
        <w:rPr>
          <w:smallCaps/>
        </w:rPr>
        <w:t>Van Den Driesche</w:t>
      </w:r>
      <w:r w:rsidR="00AC33B8">
        <w:rPr>
          <w:smallCaps/>
        </w:rPr>
        <w:t xml:space="preserve"> P.F., </w:t>
      </w:r>
      <w:r w:rsidRPr="00EE2D4B">
        <w:rPr>
          <w:smallCaps/>
        </w:rPr>
        <w:t>Van Muylem</w:t>
      </w:r>
      <w:r w:rsidR="00AC33B8">
        <w:rPr>
          <w:smallCaps/>
        </w:rPr>
        <w:t xml:space="preserve"> L.</w:t>
      </w:r>
      <w:r w:rsidRPr="00EE2D4B">
        <w:rPr>
          <w:smallCaps/>
        </w:rPr>
        <w:t xml:space="preserve">, </w:t>
      </w:r>
      <w:r w:rsidRPr="00EE2D4B">
        <w:rPr>
          <w:i/>
        </w:rPr>
        <w:t xml:space="preserve">Le Fonds de commerce, </w:t>
      </w:r>
      <w:r w:rsidRPr="00EE2D4B">
        <w:t>Limal, Anthemis</w:t>
      </w:r>
      <w:r w:rsidR="00EE2D4B" w:rsidRPr="00EE2D4B">
        <w:t xml:space="preserve"> 2012, 43-88.</w:t>
      </w:r>
    </w:p>
    <w:p w14:paraId="0410F218" w14:textId="77777777" w:rsidR="006B2DA0" w:rsidRPr="002A0C60" w:rsidRDefault="006B2DA0" w:rsidP="005E187E">
      <w:pPr>
        <w:spacing w:line="360" w:lineRule="auto"/>
      </w:pPr>
    </w:p>
    <w:p w14:paraId="19243EAA" w14:textId="1AEC37CE" w:rsidR="006B2DA0" w:rsidRPr="002A0C60" w:rsidRDefault="006B2DA0" w:rsidP="005E187E">
      <w:pPr>
        <w:spacing w:line="360" w:lineRule="auto"/>
      </w:pPr>
      <w:r w:rsidRPr="002A0C60">
        <w:rPr>
          <w:smallCaps/>
        </w:rPr>
        <w:t>François</w:t>
      </w:r>
      <w:r w:rsidR="00A70433">
        <w:rPr>
          <w:smallCaps/>
        </w:rPr>
        <w:t xml:space="preserve"> P.</w:t>
      </w:r>
      <w:r w:rsidRPr="002A0C60">
        <w:rPr>
          <w:smallCaps/>
        </w:rPr>
        <w:t xml:space="preserve">, </w:t>
      </w:r>
      <w:r w:rsidRPr="002A0C60">
        <w:t xml:space="preserve">“Actuele problemen inzake landbouwfinanciering: het landbouwvoorrecht, moet dat?”, in </w:t>
      </w:r>
      <w:r w:rsidRPr="002A0C60">
        <w:rPr>
          <w:smallCaps/>
        </w:rPr>
        <w:t>Cattaruzza</w:t>
      </w:r>
      <w:r w:rsidR="00A70433">
        <w:rPr>
          <w:smallCaps/>
        </w:rPr>
        <w:t xml:space="preserve"> J., </w:t>
      </w:r>
      <w:r w:rsidRPr="002A0C60">
        <w:rPr>
          <w:smallCaps/>
        </w:rPr>
        <w:t>Kupers</w:t>
      </w:r>
      <w:r w:rsidR="00A70433">
        <w:rPr>
          <w:smallCaps/>
        </w:rPr>
        <w:t xml:space="preserve"> W., </w:t>
      </w:r>
      <w:r w:rsidRPr="002A0C60">
        <w:rPr>
          <w:smallCaps/>
        </w:rPr>
        <w:t>Peeters</w:t>
      </w:r>
      <w:r w:rsidR="00A70433">
        <w:rPr>
          <w:smallCaps/>
        </w:rPr>
        <w:t xml:space="preserve"> I.</w:t>
      </w:r>
      <w:r w:rsidRPr="002A0C60">
        <w:rPr>
          <w:smallCaps/>
        </w:rPr>
        <w:t xml:space="preserve"> </w:t>
      </w:r>
      <w:r w:rsidRPr="002A0C60">
        <w:t xml:space="preserve">(eds.), </w:t>
      </w:r>
      <w:r w:rsidRPr="002A0C60">
        <w:rPr>
          <w:i/>
        </w:rPr>
        <w:t xml:space="preserve">Liber Amicorum Achilles Cuypers, </w:t>
      </w:r>
      <w:r w:rsidRPr="002A0C60">
        <w:t>Brussel, Larcier,</w:t>
      </w:r>
      <w:r w:rsidR="00B43514" w:rsidRPr="002A0C60">
        <w:t xml:space="preserve"> 119-142.</w:t>
      </w:r>
    </w:p>
    <w:p w14:paraId="60617B67" w14:textId="77777777" w:rsidR="006D4D66" w:rsidRPr="002A0C60" w:rsidRDefault="006D4D66" w:rsidP="005E187E">
      <w:pPr>
        <w:spacing w:line="360" w:lineRule="auto"/>
      </w:pPr>
    </w:p>
    <w:p w14:paraId="16C80CB7" w14:textId="03BEFB53" w:rsidR="006D4D66" w:rsidRPr="002A0C60" w:rsidRDefault="006D4D66" w:rsidP="005E187E">
      <w:pPr>
        <w:spacing w:line="360" w:lineRule="auto"/>
      </w:pPr>
      <w:r w:rsidRPr="002A0C60">
        <w:rPr>
          <w:smallCaps/>
        </w:rPr>
        <w:t>Hansenne</w:t>
      </w:r>
      <w:r w:rsidR="00A70433">
        <w:rPr>
          <w:smallCaps/>
        </w:rPr>
        <w:t xml:space="preserve"> J.</w:t>
      </w:r>
      <w:r w:rsidRPr="002A0C60">
        <w:rPr>
          <w:smallCaps/>
        </w:rPr>
        <w:t xml:space="preserve">, </w:t>
      </w:r>
      <w:r w:rsidRPr="002A0C60">
        <w:t xml:space="preserve">“Les biens”, in </w:t>
      </w:r>
      <w:r w:rsidRPr="002A0C60">
        <w:rPr>
          <w:i/>
        </w:rPr>
        <w:t xml:space="preserve">Chronique de droit à l’usage du Palais, </w:t>
      </w:r>
      <w:r w:rsidRPr="002A0C60">
        <w:t>Brussel, Story-Scientia, 15-137.</w:t>
      </w:r>
    </w:p>
    <w:p w14:paraId="7E098D2C" w14:textId="77777777" w:rsidR="008530A1" w:rsidRPr="002A0C60" w:rsidRDefault="008530A1" w:rsidP="005E187E">
      <w:pPr>
        <w:spacing w:line="360" w:lineRule="auto"/>
      </w:pPr>
    </w:p>
    <w:p w14:paraId="4F79D1A3" w14:textId="7BAB8F96" w:rsidR="008530A1" w:rsidRPr="002A0C60" w:rsidRDefault="008530A1" w:rsidP="005E187E">
      <w:pPr>
        <w:spacing w:line="360" w:lineRule="auto"/>
      </w:pPr>
      <w:r w:rsidRPr="00E3633D">
        <w:rPr>
          <w:smallCaps/>
        </w:rPr>
        <w:t>Hellemans</w:t>
      </w:r>
      <w:r w:rsidR="00A70433">
        <w:rPr>
          <w:smallCaps/>
        </w:rPr>
        <w:t xml:space="preserve"> F.</w:t>
      </w:r>
      <w:r w:rsidRPr="00E3633D">
        <w:t xml:space="preserve"> en </w:t>
      </w:r>
      <w:r w:rsidRPr="00E3633D">
        <w:rPr>
          <w:smallCaps/>
        </w:rPr>
        <w:t>Bogaerts</w:t>
      </w:r>
      <w:r w:rsidR="00A70433">
        <w:rPr>
          <w:smallCaps/>
        </w:rPr>
        <w:t xml:space="preserve"> S.</w:t>
      </w:r>
      <w:r w:rsidRPr="00E3633D">
        <w:t xml:space="preserve">, “Pand op aandelen” in </w:t>
      </w:r>
      <w:r w:rsidRPr="00E3633D">
        <w:rPr>
          <w:smallCaps/>
        </w:rPr>
        <w:t>Hellemans</w:t>
      </w:r>
      <w:r w:rsidR="00A70433">
        <w:rPr>
          <w:smallCaps/>
        </w:rPr>
        <w:t xml:space="preserve"> F.</w:t>
      </w:r>
      <w:r w:rsidR="00A70433">
        <w:t xml:space="preserve">, </w:t>
      </w:r>
      <w:r w:rsidRPr="00E3633D">
        <w:rPr>
          <w:smallCaps/>
        </w:rPr>
        <w:t>Sagaert</w:t>
      </w:r>
      <w:r w:rsidR="00A70433">
        <w:rPr>
          <w:smallCaps/>
        </w:rPr>
        <w:t xml:space="preserve"> V.</w:t>
      </w:r>
      <w:r w:rsidRPr="00E3633D">
        <w:t xml:space="preserve"> en </w:t>
      </w:r>
      <w:r w:rsidRPr="00E3633D">
        <w:rPr>
          <w:smallCaps/>
        </w:rPr>
        <w:t>Van Ransbeeck</w:t>
      </w:r>
      <w:r w:rsidR="00A70433">
        <w:rPr>
          <w:smallCaps/>
        </w:rPr>
        <w:t xml:space="preserve"> R.</w:t>
      </w:r>
      <w:r w:rsidRPr="00E3633D">
        <w:t xml:space="preserve"> (eds.), </w:t>
      </w:r>
      <w:r w:rsidRPr="00E3633D">
        <w:rPr>
          <w:i/>
        </w:rPr>
        <w:t>Het pand – Van een oude naar een moderne zekerheid</w:t>
      </w:r>
      <w:r w:rsidRPr="00E3633D">
        <w:t xml:space="preserve">, Brugge, Die Keure, 2012, </w:t>
      </w:r>
      <w:r w:rsidR="00E3633D" w:rsidRPr="00E3633D">
        <w:t>89-132.</w:t>
      </w:r>
    </w:p>
    <w:p w14:paraId="7E68473F" w14:textId="77777777" w:rsidR="008530A1" w:rsidRPr="002A0C60" w:rsidRDefault="008530A1" w:rsidP="0030637D">
      <w:pPr>
        <w:spacing w:line="360" w:lineRule="auto"/>
      </w:pPr>
    </w:p>
    <w:p w14:paraId="018239D8" w14:textId="2C003359" w:rsidR="008530A1" w:rsidRPr="002A0C60" w:rsidRDefault="008530A1" w:rsidP="005E187E">
      <w:pPr>
        <w:spacing w:line="360" w:lineRule="auto"/>
      </w:pPr>
      <w:r w:rsidRPr="002A0C60">
        <w:rPr>
          <w:smallCaps/>
        </w:rPr>
        <w:lastRenderedPageBreak/>
        <w:t>Heyvaert</w:t>
      </w:r>
      <w:r w:rsidR="00A70433">
        <w:rPr>
          <w:smallCaps/>
        </w:rPr>
        <w:t xml:space="preserve"> A.</w:t>
      </w:r>
      <w:r w:rsidRPr="002A0C60">
        <w:rPr>
          <w:smallCaps/>
        </w:rPr>
        <w:t xml:space="preserve">, </w:t>
      </w:r>
      <w:r w:rsidRPr="002A0C60">
        <w:t xml:space="preserve">“Bezit heeft verscheidene titels in </w:t>
      </w:r>
      <w:r w:rsidRPr="002A0C60">
        <w:rPr>
          <w:smallCaps/>
        </w:rPr>
        <w:t>M. Storme (</w:t>
      </w:r>
      <w:r w:rsidRPr="002A0C60">
        <w:t xml:space="preserve">ed.), </w:t>
      </w:r>
      <w:r w:rsidRPr="002A0C60">
        <w:rPr>
          <w:i/>
        </w:rPr>
        <w:t xml:space="preserve">Zakenrecht en zakelijke zekerheden, </w:t>
      </w:r>
      <w:r w:rsidRPr="002A0C60">
        <w:t xml:space="preserve">Gent 1983, </w:t>
      </w:r>
      <w:r w:rsidR="000A1FD4" w:rsidRPr="002A0C60">
        <w:t>169-195.</w:t>
      </w:r>
    </w:p>
    <w:p w14:paraId="7BF1D3FB" w14:textId="77777777" w:rsidR="008530A1" w:rsidRPr="002A0C60" w:rsidRDefault="008530A1" w:rsidP="005E187E">
      <w:pPr>
        <w:spacing w:line="360" w:lineRule="auto"/>
      </w:pPr>
    </w:p>
    <w:p w14:paraId="0CED1CBD" w14:textId="11EE0E0B" w:rsidR="000A1FD4" w:rsidRPr="002A0C60" w:rsidRDefault="000A1FD4" w:rsidP="000A1FD4">
      <w:pPr>
        <w:spacing w:line="360" w:lineRule="auto"/>
      </w:pPr>
      <w:r w:rsidRPr="002A0C60">
        <w:rPr>
          <w:smallCaps/>
        </w:rPr>
        <w:t>Grégoire</w:t>
      </w:r>
      <w:r w:rsidR="00A70433">
        <w:rPr>
          <w:smallCaps/>
        </w:rPr>
        <w:t xml:space="preserve"> M.</w:t>
      </w:r>
      <w:r w:rsidRPr="002A0C60">
        <w:rPr>
          <w:smallCaps/>
        </w:rPr>
        <w:t xml:space="preserve">, </w:t>
      </w:r>
      <w:r w:rsidRPr="002A0C60">
        <w:t xml:space="preserve">“Le modification du Code Civil en ce qui concerne les sûretés réelles mobilières”, in </w:t>
      </w:r>
      <w:r w:rsidRPr="002A0C60">
        <w:rPr>
          <w:i/>
        </w:rPr>
        <w:t>Insolvabilités et garanties</w:t>
      </w:r>
      <w:r w:rsidRPr="002A0C60">
        <w:t>, Brussel, Larcier 2014, 9-31.</w:t>
      </w:r>
    </w:p>
    <w:p w14:paraId="4C4BA45B" w14:textId="77777777" w:rsidR="000A1FD4" w:rsidRPr="002A0C60" w:rsidRDefault="000A1FD4" w:rsidP="005E187E">
      <w:pPr>
        <w:spacing w:line="360" w:lineRule="auto"/>
      </w:pPr>
    </w:p>
    <w:p w14:paraId="075E2D17" w14:textId="58E0EE93" w:rsidR="008530A1" w:rsidRPr="002A0C60" w:rsidRDefault="008530A1" w:rsidP="005E187E">
      <w:pPr>
        <w:spacing w:line="360" w:lineRule="auto"/>
      </w:pPr>
      <w:r w:rsidRPr="002A0C60">
        <w:rPr>
          <w:smallCaps/>
        </w:rPr>
        <w:t>Jansen</w:t>
      </w:r>
      <w:r w:rsidR="00A70433">
        <w:rPr>
          <w:smallCaps/>
        </w:rPr>
        <w:t xml:space="preserve"> R.</w:t>
      </w:r>
      <w:r w:rsidRPr="002A0C60">
        <w:rPr>
          <w:smallCaps/>
        </w:rPr>
        <w:t xml:space="preserve">, </w:t>
      </w:r>
      <w:r w:rsidRPr="002A0C60">
        <w:rPr>
          <w:i/>
        </w:rPr>
        <w:t xml:space="preserve">Beschikkingsonbevoegdheid, </w:t>
      </w:r>
      <w:r w:rsidR="001F0657" w:rsidRPr="002A0C60">
        <w:t>Ant</w:t>
      </w:r>
      <w:r w:rsidRPr="002A0C60">
        <w:t>werpen, Intersentia 2009,</w:t>
      </w:r>
      <w:r w:rsidR="001F0657" w:rsidRPr="002A0C60">
        <w:t xml:space="preserve"> 931.</w:t>
      </w:r>
    </w:p>
    <w:p w14:paraId="42F46F65" w14:textId="77777777" w:rsidR="008530A1" w:rsidRPr="002A0C60" w:rsidRDefault="008530A1" w:rsidP="005E187E">
      <w:pPr>
        <w:spacing w:line="360" w:lineRule="auto"/>
      </w:pPr>
    </w:p>
    <w:p w14:paraId="36625DB1" w14:textId="39D3AA5F" w:rsidR="008530A1" w:rsidRPr="002A0C60" w:rsidRDefault="00A70433" w:rsidP="005E187E">
      <w:pPr>
        <w:spacing w:line="360" w:lineRule="auto"/>
      </w:pPr>
      <w:r>
        <w:rPr>
          <w:smallCaps/>
        </w:rPr>
        <w:t>K</w:t>
      </w:r>
      <w:r w:rsidR="002A0C60" w:rsidRPr="002A0C60">
        <w:rPr>
          <w:smallCaps/>
        </w:rPr>
        <w:t>okelenberg</w:t>
      </w:r>
      <w:r>
        <w:rPr>
          <w:smallCaps/>
        </w:rPr>
        <w:t xml:space="preserve"> J.</w:t>
      </w:r>
      <w:r w:rsidR="002A0C60" w:rsidRPr="002A0C60">
        <w:rPr>
          <w:smallCaps/>
        </w:rPr>
        <w:t xml:space="preserve">, </w:t>
      </w:r>
      <w:r w:rsidR="002A0C60" w:rsidRPr="002A0C60">
        <w:t xml:space="preserve">“Inpandgeving van handelszaak en andere voorrechten”, in </w:t>
      </w:r>
      <w:r w:rsidR="002A0C60" w:rsidRPr="002A0C60">
        <w:rPr>
          <w:smallCaps/>
        </w:rPr>
        <w:t>Casman</w:t>
      </w:r>
      <w:r>
        <w:rPr>
          <w:smallCaps/>
        </w:rPr>
        <w:t xml:space="preserve"> H., </w:t>
      </w:r>
      <w:r w:rsidR="002A0C60" w:rsidRPr="002A0C60">
        <w:rPr>
          <w:smallCaps/>
        </w:rPr>
        <w:t>Dirix</w:t>
      </w:r>
      <w:r>
        <w:rPr>
          <w:smallCaps/>
        </w:rPr>
        <w:t xml:space="preserve"> E., </w:t>
      </w:r>
      <w:r w:rsidR="002A0C60" w:rsidRPr="002A0C60">
        <w:rPr>
          <w:smallCaps/>
        </w:rPr>
        <w:t>De Corte</w:t>
      </w:r>
      <w:r>
        <w:rPr>
          <w:smallCaps/>
        </w:rPr>
        <w:t xml:space="preserve"> R., D</w:t>
      </w:r>
      <w:r w:rsidR="002A0C60" w:rsidRPr="002A0C60">
        <w:rPr>
          <w:smallCaps/>
        </w:rPr>
        <w:t>e Leval</w:t>
      </w:r>
      <w:r>
        <w:rPr>
          <w:smallCaps/>
        </w:rPr>
        <w:t xml:space="preserve"> G., K</w:t>
      </w:r>
      <w:r w:rsidR="002A0C60" w:rsidRPr="002A0C60">
        <w:rPr>
          <w:smallCaps/>
        </w:rPr>
        <w:t>okelenberg</w:t>
      </w:r>
      <w:r>
        <w:rPr>
          <w:smallCaps/>
        </w:rPr>
        <w:t xml:space="preserve"> J, </w:t>
      </w:r>
      <w:r w:rsidR="002A0C60" w:rsidRPr="002A0C60">
        <w:rPr>
          <w:smallCaps/>
        </w:rPr>
        <w:t>Ledoux</w:t>
      </w:r>
      <w:r>
        <w:rPr>
          <w:smallCaps/>
        </w:rPr>
        <w:t xml:space="preserve"> J.L., </w:t>
      </w:r>
      <w:r w:rsidR="002A0C60" w:rsidRPr="002A0C60">
        <w:rPr>
          <w:smallCaps/>
        </w:rPr>
        <w:t>Storme</w:t>
      </w:r>
      <w:r>
        <w:rPr>
          <w:smallCaps/>
        </w:rPr>
        <w:t xml:space="preserve"> M.E., </w:t>
      </w:r>
      <w:r w:rsidR="002A0C60" w:rsidRPr="002A0C60">
        <w:rPr>
          <w:smallCaps/>
        </w:rPr>
        <w:t>Swennen</w:t>
      </w:r>
      <w:r>
        <w:rPr>
          <w:smallCaps/>
        </w:rPr>
        <w:t xml:space="preserve"> H., </w:t>
      </w:r>
      <w:r w:rsidR="002A0C60" w:rsidRPr="002A0C60">
        <w:rPr>
          <w:smallCaps/>
        </w:rPr>
        <w:t>Van Crombrugge</w:t>
      </w:r>
      <w:r>
        <w:rPr>
          <w:smallCaps/>
        </w:rPr>
        <w:t xml:space="preserve"> S., </w:t>
      </w:r>
      <w:r w:rsidR="002A0C60" w:rsidRPr="002A0C60">
        <w:rPr>
          <w:smallCaps/>
        </w:rPr>
        <w:t>Van Neste</w:t>
      </w:r>
      <w:r>
        <w:rPr>
          <w:smallCaps/>
        </w:rPr>
        <w:t xml:space="preserve"> F., </w:t>
      </w:r>
      <w:r w:rsidR="002A0C60" w:rsidRPr="002A0C60">
        <w:rPr>
          <w:smallCaps/>
        </w:rPr>
        <w:t>Van Oevelen</w:t>
      </w:r>
      <w:r>
        <w:rPr>
          <w:smallCaps/>
        </w:rPr>
        <w:t xml:space="preserve"> A., </w:t>
      </w:r>
      <w:r w:rsidR="002A0C60" w:rsidRPr="002A0C60">
        <w:rPr>
          <w:smallCaps/>
        </w:rPr>
        <w:t>Vuye</w:t>
      </w:r>
      <w:r>
        <w:rPr>
          <w:smallCaps/>
        </w:rPr>
        <w:t xml:space="preserve"> H.</w:t>
      </w:r>
      <w:r w:rsidR="002A0C60" w:rsidRPr="002A0C60">
        <w:rPr>
          <w:smallCaps/>
        </w:rPr>
        <w:t xml:space="preserve"> </w:t>
      </w:r>
      <w:r w:rsidR="002A0C60" w:rsidRPr="002A0C60">
        <w:t xml:space="preserve">(eds.), </w:t>
      </w:r>
      <w:r w:rsidR="002A0C60" w:rsidRPr="002A0C60">
        <w:rPr>
          <w:i/>
        </w:rPr>
        <w:t xml:space="preserve">Het Zakenrecht, absoluut niet een rustig bezit, </w:t>
      </w:r>
      <w:r w:rsidR="002A0C60" w:rsidRPr="002A0C60">
        <w:t>Kluwer Rechtswetenschappen, Antwerpen 1992, 133-185.</w:t>
      </w:r>
    </w:p>
    <w:p w14:paraId="76B12DA2" w14:textId="77777777" w:rsidR="008530A1" w:rsidRPr="002A0C60" w:rsidRDefault="008530A1" w:rsidP="005E187E">
      <w:pPr>
        <w:spacing w:line="360" w:lineRule="auto"/>
      </w:pPr>
    </w:p>
    <w:p w14:paraId="063093FF" w14:textId="7AB6E890" w:rsidR="008530A1" w:rsidRPr="002A0C60" w:rsidRDefault="008530A1" w:rsidP="005E187E">
      <w:pPr>
        <w:spacing w:line="360" w:lineRule="auto"/>
      </w:pPr>
      <w:r w:rsidRPr="007D22CE">
        <w:rPr>
          <w:smallCaps/>
        </w:rPr>
        <w:t>Kluyskens</w:t>
      </w:r>
      <w:r w:rsidR="00A70433">
        <w:rPr>
          <w:smallCaps/>
        </w:rPr>
        <w:t xml:space="preserve"> A.</w:t>
      </w:r>
      <w:r w:rsidRPr="007D22CE">
        <w:rPr>
          <w:smallCaps/>
        </w:rPr>
        <w:t xml:space="preserve">, </w:t>
      </w:r>
      <w:r w:rsidRPr="007D22CE">
        <w:rPr>
          <w:i/>
        </w:rPr>
        <w:t xml:space="preserve">Beginselen van Burgerlijk Recht – Zakenrecht, </w:t>
      </w:r>
      <w:r w:rsidRPr="007D22CE">
        <w:t xml:space="preserve">Standaard, Gent 1940, </w:t>
      </w:r>
      <w:r w:rsidR="007D22CE" w:rsidRPr="007D22CE">
        <w:t>381.</w:t>
      </w:r>
    </w:p>
    <w:p w14:paraId="10AA3FBB" w14:textId="77777777" w:rsidR="008530A1" w:rsidRPr="002A0C60" w:rsidRDefault="008530A1" w:rsidP="005E187E">
      <w:pPr>
        <w:spacing w:line="360" w:lineRule="auto"/>
      </w:pPr>
    </w:p>
    <w:p w14:paraId="6E5BB535" w14:textId="24CDD8E7" w:rsidR="008530A1" w:rsidRPr="002A0C60" w:rsidRDefault="008530A1" w:rsidP="005E187E">
      <w:pPr>
        <w:spacing w:line="360" w:lineRule="auto"/>
      </w:pPr>
      <w:r w:rsidRPr="002A0C60">
        <w:rPr>
          <w:smallCaps/>
        </w:rPr>
        <w:t>Kluyskens</w:t>
      </w:r>
      <w:r w:rsidR="00A70433">
        <w:rPr>
          <w:smallCaps/>
        </w:rPr>
        <w:t xml:space="preserve"> A.</w:t>
      </w:r>
      <w:r w:rsidRPr="002A0C60">
        <w:rPr>
          <w:smallCaps/>
        </w:rPr>
        <w:t xml:space="preserve">, </w:t>
      </w:r>
      <w:r w:rsidRPr="002A0C60">
        <w:rPr>
          <w:i/>
        </w:rPr>
        <w:t xml:space="preserve">Voorrechten en hypotheken, </w:t>
      </w:r>
      <w:r w:rsidRPr="002A0C60">
        <w:t>Gent, Standaard Boekhandel 1951</w:t>
      </w:r>
      <w:r w:rsidR="001F0657" w:rsidRPr="002A0C60">
        <w:t>, 382.</w:t>
      </w:r>
    </w:p>
    <w:p w14:paraId="4F43AF02" w14:textId="77777777" w:rsidR="008530A1" w:rsidRPr="002A0C60" w:rsidRDefault="008530A1" w:rsidP="005E187E">
      <w:pPr>
        <w:spacing w:line="360" w:lineRule="auto"/>
      </w:pPr>
    </w:p>
    <w:p w14:paraId="729DCA32" w14:textId="19ACF6F9" w:rsidR="008530A1" w:rsidRPr="002A0C60" w:rsidRDefault="008530A1" w:rsidP="005E187E">
      <w:pPr>
        <w:spacing w:line="360" w:lineRule="auto"/>
      </w:pPr>
      <w:r w:rsidRPr="007D22CE">
        <w:rPr>
          <w:smallCaps/>
        </w:rPr>
        <w:t xml:space="preserve">Laurent F., </w:t>
      </w:r>
      <w:r w:rsidRPr="007D22CE">
        <w:rPr>
          <w:i/>
        </w:rPr>
        <w:t>Principes de droit civil. Tome XXXII,</w:t>
      </w:r>
      <w:r w:rsidRPr="007D22CE">
        <w:t xml:space="preserve"> Bruylant, Brussel 1878, </w:t>
      </w:r>
      <w:r w:rsidR="007D22CE" w:rsidRPr="007D22CE">
        <w:t>659.</w:t>
      </w:r>
    </w:p>
    <w:p w14:paraId="2A62E4A4" w14:textId="77777777" w:rsidR="008530A1" w:rsidRPr="002A0C60" w:rsidRDefault="008530A1" w:rsidP="005E187E">
      <w:pPr>
        <w:spacing w:line="360" w:lineRule="auto"/>
      </w:pPr>
    </w:p>
    <w:p w14:paraId="2EEA2073" w14:textId="0BD5866A" w:rsidR="008530A1" w:rsidRPr="002A0C60" w:rsidRDefault="008530A1" w:rsidP="005E187E">
      <w:pPr>
        <w:pStyle w:val="Voetnoottekst"/>
        <w:spacing w:line="360" w:lineRule="auto"/>
        <w:rPr>
          <w:sz w:val="24"/>
          <w:szCs w:val="24"/>
        </w:rPr>
      </w:pPr>
      <w:r w:rsidRPr="002A0C60">
        <w:rPr>
          <w:smallCaps/>
          <w:sz w:val="24"/>
          <w:szCs w:val="24"/>
        </w:rPr>
        <w:t>Lecocq</w:t>
      </w:r>
      <w:r w:rsidR="00A70433">
        <w:rPr>
          <w:smallCaps/>
          <w:sz w:val="24"/>
          <w:szCs w:val="24"/>
        </w:rPr>
        <w:t xml:space="preserve"> P.</w:t>
      </w:r>
      <w:r w:rsidRPr="002A0C60">
        <w:rPr>
          <w:smallCaps/>
          <w:sz w:val="24"/>
          <w:szCs w:val="24"/>
        </w:rPr>
        <w:t xml:space="preserve">, </w:t>
      </w:r>
      <w:r w:rsidRPr="002A0C60">
        <w:rPr>
          <w:i/>
          <w:sz w:val="24"/>
          <w:szCs w:val="24"/>
        </w:rPr>
        <w:t xml:space="preserve">Manuel de droit des biens, </w:t>
      </w:r>
      <w:r w:rsidRPr="002A0C60">
        <w:rPr>
          <w:sz w:val="24"/>
          <w:szCs w:val="24"/>
        </w:rPr>
        <w:t>Brussel, Larcier, 2012,</w:t>
      </w:r>
      <w:r w:rsidR="001F0657" w:rsidRPr="002A0C60">
        <w:rPr>
          <w:sz w:val="24"/>
          <w:szCs w:val="24"/>
        </w:rPr>
        <w:t xml:space="preserve"> 498.</w:t>
      </w:r>
    </w:p>
    <w:p w14:paraId="66EBB072" w14:textId="77777777" w:rsidR="008530A1" w:rsidRPr="002A0C60" w:rsidRDefault="008530A1" w:rsidP="005E187E">
      <w:pPr>
        <w:pStyle w:val="Voetnoottekst"/>
        <w:spacing w:line="360" w:lineRule="auto"/>
        <w:rPr>
          <w:sz w:val="24"/>
          <w:szCs w:val="24"/>
        </w:rPr>
      </w:pPr>
    </w:p>
    <w:p w14:paraId="7ADCE8FE" w14:textId="19588277" w:rsidR="008530A1" w:rsidRPr="002A0C60" w:rsidRDefault="008530A1" w:rsidP="005E187E">
      <w:pPr>
        <w:pStyle w:val="Voetnoottekst"/>
        <w:spacing w:line="360" w:lineRule="auto"/>
        <w:rPr>
          <w:sz w:val="24"/>
          <w:szCs w:val="24"/>
        </w:rPr>
      </w:pPr>
      <w:r w:rsidRPr="002A0C60">
        <w:rPr>
          <w:smallCaps/>
          <w:sz w:val="24"/>
          <w:szCs w:val="24"/>
        </w:rPr>
        <w:t>Ledoux</w:t>
      </w:r>
      <w:r w:rsidR="00A70433">
        <w:rPr>
          <w:smallCaps/>
          <w:sz w:val="24"/>
          <w:szCs w:val="24"/>
        </w:rPr>
        <w:t xml:space="preserve"> J.L</w:t>
      </w:r>
      <w:r w:rsidRPr="002A0C60">
        <w:rPr>
          <w:smallCaps/>
          <w:sz w:val="24"/>
          <w:szCs w:val="24"/>
        </w:rPr>
        <w:t xml:space="preserve">, </w:t>
      </w:r>
      <w:r w:rsidRPr="002A0C60">
        <w:rPr>
          <w:i/>
          <w:sz w:val="24"/>
          <w:szCs w:val="24"/>
        </w:rPr>
        <w:t xml:space="preserve">Les sûretés réelles -  chronique de jurisprudence, </w:t>
      </w:r>
      <w:r w:rsidRPr="002A0C60">
        <w:rPr>
          <w:sz w:val="24"/>
          <w:szCs w:val="24"/>
        </w:rPr>
        <w:t>Brussel, Larcier 2003,</w:t>
      </w:r>
      <w:r w:rsidR="00EF7A52" w:rsidRPr="002A0C60">
        <w:rPr>
          <w:sz w:val="24"/>
          <w:szCs w:val="24"/>
        </w:rPr>
        <w:t xml:space="preserve"> 187.</w:t>
      </w:r>
    </w:p>
    <w:p w14:paraId="07E3417A" w14:textId="77777777" w:rsidR="008530A1" w:rsidRPr="002A0C60" w:rsidRDefault="008530A1" w:rsidP="005E187E">
      <w:pPr>
        <w:pStyle w:val="Voetnoottekst"/>
        <w:spacing w:line="360" w:lineRule="auto"/>
        <w:rPr>
          <w:sz w:val="24"/>
          <w:szCs w:val="24"/>
        </w:rPr>
      </w:pPr>
    </w:p>
    <w:p w14:paraId="345399B2" w14:textId="3C938CA6" w:rsidR="008530A1" w:rsidRPr="002A0C60" w:rsidRDefault="008530A1" w:rsidP="005E187E">
      <w:pPr>
        <w:pStyle w:val="Voetnoottekst"/>
        <w:spacing w:line="360" w:lineRule="auto"/>
        <w:rPr>
          <w:sz w:val="24"/>
          <w:szCs w:val="24"/>
        </w:rPr>
      </w:pPr>
      <w:r w:rsidRPr="002A0C60">
        <w:rPr>
          <w:smallCaps/>
          <w:sz w:val="24"/>
          <w:szCs w:val="24"/>
        </w:rPr>
        <w:t>Massager</w:t>
      </w:r>
      <w:r w:rsidR="00A70433">
        <w:rPr>
          <w:smallCaps/>
          <w:sz w:val="24"/>
          <w:szCs w:val="24"/>
        </w:rPr>
        <w:t xml:space="preserve"> N.</w:t>
      </w:r>
      <w:r w:rsidRPr="002A0C60">
        <w:rPr>
          <w:smallCaps/>
          <w:sz w:val="24"/>
          <w:szCs w:val="24"/>
        </w:rPr>
        <w:t xml:space="preserve">, </w:t>
      </w:r>
      <w:r w:rsidRPr="002A0C60">
        <w:rPr>
          <w:i/>
          <w:sz w:val="24"/>
          <w:szCs w:val="24"/>
        </w:rPr>
        <w:t xml:space="preserve">Les bases du droit civil – Tome II – Droit des biens, droits réels, théories des sûretées, </w:t>
      </w:r>
      <w:r w:rsidRPr="002A0C60">
        <w:rPr>
          <w:sz w:val="24"/>
          <w:szCs w:val="24"/>
        </w:rPr>
        <w:t>Limal, Anthemis 2013,</w:t>
      </w:r>
      <w:r w:rsidR="00EF7A52" w:rsidRPr="002A0C60">
        <w:rPr>
          <w:sz w:val="24"/>
          <w:szCs w:val="24"/>
        </w:rPr>
        <w:t xml:space="preserve"> 169.</w:t>
      </w:r>
    </w:p>
    <w:p w14:paraId="52E65A04" w14:textId="77777777" w:rsidR="008530A1" w:rsidRPr="002A0C60" w:rsidRDefault="008530A1" w:rsidP="005E187E">
      <w:pPr>
        <w:pStyle w:val="Voetnoottekst"/>
        <w:spacing w:line="360" w:lineRule="auto"/>
        <w:rPr>
          <w:sz w:val="24"/>
          <w:szCs w:val="24"/>
        </w:rPr>
      </w:pPr>
    </w:p>
    <w:p w14:paraId="6A1839AC" w14:textId="00450166" w:rsidR="008530A1" w:rsidRPr="002A0C60" w:rsidRDefault="008530A1" w:rsidP="005E187E">
      <w:pPr>
        <w:pStyle w:val="Voetnoottekst"/>
        <w:spacing w:line="360" w:lineRule="auto"/>
        <w:rPr>
          <w:sz w:val="24"/>
          <w:szCs w:val="24"/>
        </w:rPr>
      </w:pPr>
      <w:r w:rsidRPr="00FF26C3">
        <w:rPr>
          <w:smallCaps/>
          <w:sz w:val="24"/>
          <w:szCs w:val="24"/>
        </w:rPr>
        <w:t>Moretus-Plantin</w:t>
      </w:r>
      <w:r w:rsidR="00A70433">
        <w:rPr>
          <w:smallCaps/>
          <w:sz w:val="24"/>
          <w:szCs w:val="24"/>
        </w:rPr>
        <w:t xml:space="preserve"> M.</w:t>
      </w:r>
      <w:r w:rsidRPr="00FF26C3">
        <w:rPr>
          <w:smallCaps/>
          <w:sz w:val="24"/>
          <w:szCs w:val="24"/>
        </w:rPr>
        <w:t xml:space="preserve">, </w:t>
      </w:r>
      <w:r w:rsidRPr="00FF26C3">
        <w:rPr>
          <w:i/>
          <w:sz w:val="24"/>
          <w:szCs w:val="24"/>
        </w:rPr>
        <w:t xml:space="preserve">Bezitloos pandrecht, </w:t>
      </w:r>
      <w:r w:rsidRPr="00FF26C3">
        <w:rPr>
          <w:sz w:val="24"/>
          <w:szCs w:val="24"/>
        </w:rPr>
        <w:t>Brussel, ICVR 1970,</w:t>
      </w:r>
      <w:r w:rsidR="00FF26C3" w:rsidRPr="00FF26C3">
        <w:rPr>
          <w:sz w:val="24"/>
          <w:szCs w:val="24"/>
        </w:rPr>
        <w:t>553.</w:t>
      </w:r>
    </w:p>
    <w:p w14:paraId="3E695CBE" w14:textId="77777777" w:rsidR="008530A1" w:rsidRPr="002A0C60" w:rsidRDefault="008530A1" w:rsidP="005E187E">
      <w:pPr>
        <w:pStyle w:val="Voetnoottekst"/>
        <w:spacing w:line="360" w:lineRule="auto"/>
        <w:rPr>
          <w:sz w:val="24"/>
          <w:szCs w:val="24"/>
        </w:rPr>
      </w:pPr>
    </w:p>
    <w:p w14:paraId="6B17B605" w14:textId="1B64025E" w:rsidR="008530A1" w:rsidRPr="002A0C60" w:rsidRDefault="008530A1" w:rsidP="005E187E">
      <w:pPr>
        <w:tabs>
          <w:tab w:val="left" w:pos="5606"/>
        </w:tabs>
        <w:spacing w:line="360" w:lineRule="auto"/>
      </w:pPr>
      <w:r w:rsidRPr="002A0C60">
        <w:rPr>
          <w:smallCaps/>
        </w:rPr>
        <w:t>Sagaert</w:t>
      </w:r>
      <w:r w:rsidR="00A70433">
        <w:rPr>
          <w:smallCaps/>
        </w:rPr>
        <w:t xml:space="preserve"> V., </w:t>
      </w:r>
      <w:proofErr w:type="gramStart"/>
      <w:r w:rsidRPr="002A0C60">
        <w:rPr>
          <w:smallCaps/>
        </w:rPr>
        <w:t>Tilleman</w:t>
      </w:r>
      <w:proofErr w:type="gramEnd"/>
      <w:r w:rsidR="00A70433">
        <w:rPr>
          <w:smallCaps/>
        </w:rPr>
        <w:t xml:space="preserve"> B., </w:t>
      </w:r>
      <w:r w:rsidRPr="002A0C60">
        <w:rPr>
          <w:smallCaps/>
        </w:rPr>
        <w:t>Verbeke</w:t>
      </w:r>
      <w:r w:rsidR="00A70433">
        <w:rPr>
          <w:smallCaps/>
        </w:rPr>
        <w:t xml:space="preserve"> A.L.</w:t>
      </w:r>
      <w:r w:rsidRPr="002A0C60">
        <w:rPr>
          <w:smallCaps/>
        </w:rPr>
        <w:t xml:space="preserve">, </w:t>
      </w:r>
      <w:r w:rsidRPr="002A0C60">
        <w:rPr>
          <w:i/>
        </w:rPr>
        <w:t xml:space="preserve">Vermogensrecht in kortbestek, </w:t>
      </w:r>
      <w:r w:rsidRPr="002A0C60">
        <w:t xml:space="preserve">Antwerpen, Intersentia 2013, </w:t>
      </w:r>
      <w:r w:rsidR="009F6D1C" w:rsidRPr="002A0C60">
        <w:t>482.</w:t>
      </w:r>
    </w:p>
    <w:p w14:paraId="07AEC539" w14:textId="77777777" w:rsidR="008530A1" w:rsidRPr="002A0C60" w:rsidRDefault="008530A1" w:rsidP="005E187E">
      <w:pPr>
        <w:tabs>
          <w:tab w:val="left" w:pos="5606"/>
        </w:tabs>
        <w:spacing w:line="360" w:lineRule="auto"/>
      </w:pPr>
    </w:p>
    <w:p w14:paraId="56D0C24B" w14:textId="44DA6A18" w:rsidR="008530A1" w:rsidRPr="002A0C60" w:rsidRDefault="008530A1" w:rsidP="005E187E">
      <w:pPr>
        <w:tabs>
          <w:tab w:val="left" w:pos="5606"/>
        </w:tabs>
        <w:spacing w:line="360" w:lineRule="auto"/>
      </w:pPr>
      <w:r w:rsidRPr="002A0C60">
        <w:rPr>
          <w:smallCaps/>
        </w:rPr>
        <w:lastRenderedPageBreak/>
        <w:t>Sagaert</w:t>
      </w:r>
      <w:r w:rsidR="00A70433">
        <w:rPr>
          <w:smallCaps/>
        </w:rPr>
        <w:t xml:space="preserve"> V.</w:t>
      </w:r>
      <w:r w:rsidRPr="002A0C60">
        <w:rPr>
          <w:smallCaps/>
        </w:rPr>
        <w:t xml:space="preserve">, </w:t>
      </w:r>
      <w:r w:rsidRPr="002A0C60">
        <w:rPr>
          <w:i/>
        </w:rPr>
        <w:t>Beginselen van Belgisch Privaatrecht – V – Goederenrecht</w:t>
      </w:r>
      <w:r w:rsidRPr="002A0C60">
        <w:t>, Mechelen, Kluwer 2014,</w:t>
      </w:r>
      <w:r w:rsidR="009F6D1C" w:rsidRPr="002A0C60">
        <w:t xml:space="preserve"> 785.</w:t>
      </w:r>
    </w:p>
    <w:p w14:paraId="21BAA5FE" w14:textId="77777777" w:rsidR="008530A1" w:rsidRPr="002A0C60" w:rsidRDefault="008530A1" w:rsidP="005E187E">
      <w:pPr>
        <w:tabs>
          <w:tab w:val="left" w:pos="5606"/>
        </w:tabs>
        <w:spacing w:line="360" w:lineRule="auto"/>
      </w:pPr>
    </w:p>
    <w:p w14:paraId="107EC696" w14:textId="497BA474" w:rsidR="008530A1" w:rsidRPr="002A0C60" w:rsidRDefault="008530A1" w:rsidP="005E187E">
      <w:pPr>
        <w:tabs>
          <w:tab w:val="left" w:pos="5606"/>
        </w:tabs>
        <w:spacing w:line="360" w:lineRule="auto"/>
      </w:pPr>
      <w:r w:rsidRPr="002A0C60">
        <w:rPr>
          <w:smallCaps/>
        </w:rPr>
        <w:t>Sagaert</w:t>
      </w:r>
      <w:r w:rsidR="00A70433">
        <w:rPr>
          <w:smallCaps/>
        </w:rPr>
        <w:t xml:space="preserve"> V.</w:t>
      </w:r>
      <w:r w:rsidRPr="002A0C60">
        <w:rPr>
          <w:smallCaps/>
        </w:rPr>
        <w:t xml:space="preserve">, </w:t>
      </w:r>
      <w:r w:rsidRPr="002A0C60">
        <w:t xml:space="preserve">“Enkele pijlers van de </w:t>
      </w:r>
      <w:r w:rsidR="0077523D" w:rsidRPr="002A0C60">
        <w:t>Pandwet</w:t>
      </w:r>
      <w:r w:rsidRPr="002A0C60">
        <w:t xml:space="preserve">”, in </w:t>
      </w:r>
      <w:r w:rsidRPr="002A0C60">
        <w:rPr>
          <w:smallCaps/>
        </w:rPr>
        <w:t>Centrum voor  Beroepsvervolmaking in de Rechten</w:t>
      </w:r>
      <w:r w:rsidRPr="002A0C60">
        <w:t xml:space="preserve"> (ed.), </w:t>
      </w:r>
      <w:r w:rsidRPr="002A0C60">
        <w:rPr>
          <w:i/>
        </w:rPr>
        <w:t>CBR Jaarboek 2013-14</w:t>
      </w:r>
      <w:r w:rsidRPr="002A0C60">
        <w:t xml:space="preserve">, Antwerpen, Intersentia 2014, 61; </w:t>
      </w:r>
      <w:r w:rsidRPr="002A0C60">
        <w:rPr>
          <w:smallCaps/>
        </w:rPr>
        <w:t>J. Baeck, “</w:t>
      </w:r>
      <w:r w:rsidRPr="002A0C60">
        <w:t>Het nieuwe pandrecht”</w:t>
      </w:r>
      <w:r w:rsidRPr="002A0C60">
        <w:rPr>
          <w:i/>
        </w:rPr>
        <w:t xml:space="preserve">, RW </w:t>
      </w:r>
      <w:r w:rsidRPr="002A0C60">
        <w:t>2015-16,</w:t>
      </w:r>
      <w:r w:rsidR="009F6D1C" w:rsidRPr="002A0C60">
        <w:t xml:space="preserve"> 53-77.</w:t>
      </w:r>
    </w:p>
    <w:p w14:paraId="6A951CA4" w14:textId="77777777" w:rsidR="008530A1" w:rsidRPr="002A0C60" w:rsidRDefault="008530A1" w:rsidP="005E187E">
      <w:pPr>
        <w:pStyle w:val="Voetnoottekst"/>
        <w:spacing w:line="360" w:lineRule="auto"/>
        <w:rPr>
          <w:sz w:val="24"/>
          <w:szCs w:val="24"/>
        </w:rPr>
      </w:pPr>
    </w:p>
    <w:p w14:paraId="7578A999" w14:textId="48AA3B42" w:rsidR="008530A1" w:rsidRPr="002A0C60" w:rsidRDefault="008530A1" w:rsidP="005E187E">
      <w:pPr>
        <w:pStyle w:val="Voetnoottekst"/>
        <w:spacing w:line="360" w:lineRule="auto"/>
        <w:rPr>
          <w:sz w:val="24"/>
          <w:szCs w:val="24"/>
        </w:rPr>
      </w:pPr>
      <w:r w:rsidRPr="002A0C60">
        <w:rPr>
          <w:smallCaps/>
          <w:sz w:val="24"/>
          <w:szCs w:val="24"/>
        </w:rPr>
        <w:t>Steennot</w:t>
      </w:r>
      <w:r w:rsidR="00A70433">
        <w:rPr>
          <w:smallCaps/>
          <w:sz w:val="24"/>
          <w:szCs w:val="24"/>
        </w:rPr>
        <w:t xml:space="preserve"> R.</w:t>
      </w:r>
      <w:r w:rsidRPr="002A0C60">
        <w:rPr>
          <w:smallCaps/>
          <w:sz w:val="24"/>
          <w:szCs w:val="24"/>
        </w:rPr>
        <w:t xml:space="preserve">, </w:t>
      </w:r>
      <w:r w:rsidRPr="002A0C60">
        <w:rPr>
          <w:sz w:val="24"/>
          <w:szCs w:val="24"/>
        </w:rPr>
        <w:t xml:space="preserve">“Algemene regeling van het pand” in in J. </w:t>
      </w:r>
      <w:r w:rsidRPr="002A0C60">
        <w:rPr>
          <w:smallCaps/>
          <w:sz w:val="24"/>
          <w:szCs w:val="24"/>
        </w:rPr>
        <w:t xml:space="preserve">Baeck </w:t>
      </w:r>
      <w:r w:rsidRPr="002A0C60">
        <w:rPr>
          <w:sz w:val="24"/>
          <w:szCs w:val="24"/>
        </w:rPr>
        <w:t xml:space="preserve">en M. </w:t>
      </w:r>
      <w:r w:rsidRPr="002A0C60">
        <w:rPr>
          <w:smallCaps/>
          <w:sz w:val="24"/>
          <w:szCs w:val="24"/>
        </w:rPr>
        <w:t xml:space="preserve">Kruithof </w:t>
      </w:r>
      <w:r w:rsidRPr="002A0C60">
        <w:rPr>
          <w:sz w:val="24"/>
          <w:szCs w:val="24"/>
        </w:rPr>
        <w:t xml:space="preserve">(eds.), </w:t>
      </w:r>
      <w:r w:rsidRPr="002A0C60">
        <w:rPr>
          <w:i/>
          <w:sz w:val="24"/>
          <w:szCs w:val="24"/>
        </w:rPr>
        <w:t xml:space="preserve">Het nieuwe zekerheidsrecht, </w:t>
      </w:r>
      <w:r w:rsidRPr="002A0C60">
        <w:rPr>
          <w:sz w:val="24"/>
          <w:szCs w:val="24"/>
        </w:rPr>
        <w:t>Antwerpen, Intersentia, 2014,</w:t>
      </w:r>
      <w:r w:rsidR="001F0657" w:rsidRPr="002A0C60">
        <w:rPr>
          <w:sz w:val="24"/>
          <w:szCs w:val="24"/>
        </w:rPr>
        <w:t xml:space="preserve"> 27-78.</w:t>
      </w:r>
    </w:p>
    <w:p w14:paraId="310F539C" w14:textId="77777777" w:rsidR="008530A1" w:rsidRPr="002A0C60" w:rsidRDefault="008530A1" w:rsidP="005E187E">
      <w:pPr>
        <w:pStyle w:val="Voetnoottekst"/>
        <w:spacing w:line="360" w:lineRule="auto"/>
        <w:rPr>
          <w:sz w:val="24"/>
          <w:szCs w:val="24"/>
        </w:rPr>
      </w:pPr>
    </w:p>
    <w:p w14:paraId="3407596B" w14:textId="10F6FF70" w:rsidR="008530A1" w:rsidRPr="002A0C60" w:rsidRDefault="008530A1" w:rsidP="005E187E">
      <w:pPr>
        <w:spacing w:line="360" w:lineRule="auto"/>
      </w:pPr>
      <w:r w:rsidRPr="00812AE8">
        <w:rPr>
          <w:smallCaps/>
        </w:rPr>
        <w:t>Storme</w:t>
      </w:r>
      <w:r w:rsidR="00A70433">
        <w:rPr>
          <w:smallCaps/>
        </w:rPr>
        <w:t xml:space="preserve"> M.E.</w:t>
      </w:r>
      <w:r w:rsidRPr="00812AE8">
        <w:rPr>
          <w:smallCaps/>
        </w:rPr>
        <w:t xml:space="preserve">, </w:t>
      </w:r>
      <w:r w:rsidRPr="00812AE8">
        <w:t xml:space="preserve">“Overdracht van roerende goederen, vestiging van pandrecht, eigendomsvoorbehoud: een poging tot systematisatie” in </w:t>
      </w:r>
      <w:r w:rsidRPr="00812AE8">
        <w:rPr>
          <w:i/>
        </w:rPr>
        <w:t xml:space="preserve">Zakenrecht; absoluut niet een rustig bezit, </w:t>
      </w:r>
      <w:r w:rsidRPr="00812AE8">
        <w:t xml:space="preserve">1992, </w:t>
      </w:r>
      <w:r w:rsidR="00812AE8" w:rsidRPr="00812AE8">
        <w:t>403-510.</w:t>
      </w:r>
    </w:p>
    <w:p w14:paraId="18FE3E3B" w14:textId="77777777" w:rsidR="008530A1" w:rsidRPr="002A0C60" w:rsidRDefault="008530A1" w:rsidP="005E187E">
      <w:pPr>
        <w:pStyle w:val="Voetnoottekst"/>
        <w:spacing w:line="360" w:lineRule="auto"/>
        <w:rPr>
          <w:sz w:val="24"/>
          <w:szCs w:val="24"/>
        </w:rPr>
      </w:pPr>
    </w:p>
    <w:p w14:paraId="6CA62789" w14:textId="43CC8FA2" w:rsidR="008530A1" w:rsidRPr="002A0C60" w:rsidRDefault="008530A1" w:rsidP="005E187E">
      <w:pPr>
        <w:pStyle w:val="Voetnoottekst"/>
        <w:spacing w:line="360" w:lineRule="auto"/>
        <w:rPr>
          <w:sz w:val="24"/>
          <w:szCs w:val="24"/>
        </w:rPr>
      </w:pPr>
      <w:r w:rsidRPr="00C3694B">
        <w:rPr>
          <w:smallCaps/>
          <w:sz w:val="24"/>
          <w:szCs w:val="24"/>
        </w:rPr>
        <w:t>Storme</w:t>
      </w:r>
      <w:r w:rsidR="00A70433">
        <w:rPr>
          <w:smallCaps/>
          <w:sz w:val="24"/>
          <w:szCs w:val="24"/>
        </w:rPr>
        <w:t xml:space="preserve"> M.E.</w:t>
      </w:r>
      <w:r w:rsidRPr="00C3694B">
        <w:rPr>
          <w:smallCaps/>
          <w:sz w:val="24"/>
          <w:szCs w:val="24"/>
        </w:rPr>
        <w:t xml:space="preserve">, </w:t>
      </w:r>
      <w:r w:rsidRPr="00C3694B">
        <w:rPr>
          <w:i/>
          <w:sz w:val="24"/>
          <w:szCs w:val="24"/>
        </w:rPr>
        <w:t xml:space="preserve">Insolventierecht in kortbestek, Gent-Mariakerke, </w:t>
      </w:r>
      <w:r w:rsidRPr="00C3694B">
        <w:rPr>
          <w:sz w:val="24"/>
          <w:szCs w:val="24"/>
        </w:rPr>
        <w:t>2011,</w:t>
      </w:r>
      <w:r w:rsidR="001F0657" w:rsidRPr="00C3694B">
        <w:rPr>
          <w:sz w:val="24"/>
          <w:szCs w:val="24"/>
        </w:rPr>
        <w:t xml:space="preserve"> </w:t>
      </w:r>
      <w:r w:rsidR="00C3694B" w:rsidRPr="00C3694B">
        <w:rPr>
          <w:sz w:val="24"/>
          <w:szCs w:val="24"/>
        </w:rPr>
        <w:t>www.storme.be.</w:t>
      </w:r>
    </w:p>
    <w:p w14:paraId="3D47A543" w14:textId="77777777" w:rsidR="008530A1" w:rsidRPr="002A0C60" w:rsidRDefault="008530A1" w:rsidP="005E187E">
      <w:pPr>
        <w:pStyle w:val="Voetnoottekst"/>
        <w:spacing w:line="360" w:lineRule="auto"/>
        <w:rPr>
          <w:sz w:val="24"/>
          <w:szCs w:val="24"/>
        </w:rPr>
      </w:pPr>
    </w:p>
    <w:p w14:paraId="009BC3CD" w14:textId="6F2E20F7" w:rsidR="008530A1" w:rsidRPr="003A4D61" w:rsidRDefault="008530A1" w:rsidP="005E187E">
      <w:pPr>
        <w:pStyle w:val="Voetnoottekst"/>
        <w:spacing w:line="360" w:lineRule="auto"/>
        <w:rPr>
          <w:sz w:val="24"/>
          <w:szCs w:val="24"/>
        </w:rPr>
      </w:pPr>
      <w:r w:rsidRPr="003A4D61">
        <w:rPr>
          <w:smallCaps/>
          <w:sz w:val="24"/>
          <w:szCs w:val="24"/>
        </w:rPr>
        <w:t>Storme</w:t>
      </w:r>
      <w:r w:rsidR="00A70433">
        <w:rPr>
          <w:smallCaps/>
          <w:sz w:val="24"/>
          <w:szCs w:val="24"/>
        </w:rPr>
        <w:t xml:space="preserve"> M.E.</w:t>
      </w:r>
      <w:r w:rsidRPr="003A4D61">
        <w:rPr>
          <w:smallCaps/>
          <w:sz w:val="24"/>
          <w:szCs w:val="24"/>
        </w:rPr>
        <w:t xml:space="preserve">, </w:t>
      </w:r>
      <w:r w:rsidRPr="003A4D61">
        <w:rPr>
          <w:i/>
          <w:sz w:val="24"/>
          <w:szCs w:val="24"/>
        </w:rPr>
        <w:t>Handboek Vermogensrecht: Goederen- en Insolventierecht</w:t>
      </w:r>
      <w:r w:rsidRPr="003A4D61">
        <w:rPr>
          <w:sz w:val="24"/>
          <w:szCs w:val="24"/>
        </w:rPr>
        <w:t xml:space="preserve"> </w:t>
      </w:r>
      <w:r w:rsidRPr="003A4D61">
        <w:rPr>
          <w:i/>
          <w:sz w:val="24"/>
          <w:szCs w:val="24"/>
        </w:rPr>
        <w:t xml:space="preserve">– Deel II, </w:t>
      </w:r>
      <w:r w:rsidRPr="003A4D61">
        <w:rPr>
          <w:sz w:val="24"/>
          <w:szCs w:val="24"/>
        </w:rPr>
        <w:t>Gent-Mariakerke 2010</w:t>
      </w:r>
      <w:r w:rsidR="003A4D61" w:rsidRPr="003A4D61">
        <w:rPr>
          <w:sz w:val="24"/>
          <w:szCs w:val="24"/>
        </w:rPr>
        <w:t>, 811.</w:t>
      </w:r>
    </w:p>
    <w:p w14:paraId="178F3AA8" w14:textId="77777777" w:rsidR="00F91687" w:rsidRPr="002A0C60" w:rsidRDefault="00F91687" w:rsidP="005E187E">
      <w:pPr>
        <w:pStyle w:val="Voetnoottekst"/>
        <w:spacing w:line="360" w:lineRule="auto"/>
      </w:pPr>
    </w:p>
    <w:p w14:paraId="4D68837B" w14:textId="2206952D" w:rsidR="00F91687" w:rsidRPr="002A0C60" w:rsidRDefault="00F91687" w:rsidP="005E187E">
      <w:pPr>
        <w:pStyle w:val="Voetnoottekst"/>
        <w:spacing w:line="360" w:lineRule="auto"/>
        <w:rPr>
          <w:sz w:val="24"/>
          <w:szCs w:val="24"/>
        </w:rPr>
      </w:pPr>
      <w:r w:rsidRPr="007D22CE">
        <w:rPr>
          <w:smallCaps/>
          <w:sz w:val="24"/>
          <w:szCs w:val="24"/>
        </w:rPr>
        <w:t>Strannart</w:t>
      </w:r>
      <w:r w:rsidR="00A70433">
        <w:rPr>
          <w:smallCaps/>
          <w:sz w:val="24"/>
          <w:szCs w:val="24"/>
        </w:rPr>
        <w:t xml:space="preserve"> A.M.</w:t>
      </w:r>
      <w:r w:rsidRPr="007D22CE">
        <w:rPr>
          <w:smallCaps/>
          <w:sz w:val="24"/>
          <w:szCs w:val="24"/>
        </w:rPr>
        <w:t xml:space="preserve">, </w:t>
      </w:r>
      <w:r w:rsidRPr="007D22CE">
        <w:rPr>
          <w:sz w:val="24"/>
          <w:szCs w:val="24"/>
        </w:rPr>
        <w:t xml:space="preserve">“Les sûretés réelles traditionelles – Développements récents”, in </w:t>
      </w:r>
      <w:r w:rsidRPr="007D22CE">
        <w:rPr>
          <w:smallCaps/>
          <w:sz w:val="24"/>
          <w:szCs w:val="24"/>
        </w:rPr>
        <w:t xml:space="preserve">A.-M. strannarts </w:t>
      </w:r>
      <w:r w:rsidRPr="007D22CE">
        <w:rPr>
          <w:sz w:val="24"/>
          <w:szCs w:val="24"/>
        </w:rPr>
        <w:t xml:space="preserve">(ed.), </w:t>
      </w:r>
      <w:r w:rsidRPr="007D22CE">
        <w:rPr>
          <w:i/>
          <w:sz w:val="24"/>
          <w:szCs w:val="24"/>
        </w:rPr>
        <w:t xml:space="preserve">Le droit des sûretés, </w:t>
      </w:r>
      <w:r w:rsidRPr="007D22CE">
        <w:rPr>
          <w:sz w:val="24"/>
          <w:szCs w:val="24"/>
        </w:rPr>
        <w:t xml:space="preserve">Brussel, </w:t>
      </w:r>
      <w:proofErr w:type="spellStart"/>
      <w:r w:rsidRPr="007D22CE">
        <w:rPr>
          <w:sz w:val="24"/>
          <w:szCs w:val="24"/>
        </w:rPr>
        <w:t>Editions</w:t>
      </w:r>
      <w:proofErr w:type="spellEnd"/>
      <w:r w:rsidRPr="007D22CE">
        <w:rPr>
          <w:sz w:val="24"/>
          <w:szCs w:val="24"/>
        </w:rPr>
        <w:t xml:space="preserve"> Jeune Barreau,</w:t>
      </w:r>
      <w:r w:rsidR="007D22CE" w:rsidRPr="007D22CE">
        <w:rPr>
          <w:sz w:val="24"/>
          <w:szCs w:val="24"/>
        </w:rPr>
        <w:t xml:space="preserve"> 71-128.</w:t>
      </w:r>
    </w:p>
    <w:p w14:paraId="72B33562" w14:textId="77777777" w:rsidR="008530A1" w:rsidRPr="002A0C60" w:rsidRDefault="008530A1" w:rsidP="005E187E">
      <w:pPr>
        <w:pStyle w:val="Voetnoottekst"/>
        <w:spacing w:line="360" w:lineRule="auto"/>
      </w:pPr>
    </w:p>
    <w:p w14:paraId="6013ED5B" w14:textId="60296CA2" w:rsidR="008530A1" w:rsidRPr="002A0C60" w:rsidRDefault="00A70433" w:rsidP="005E187E">
      <w:pPr>
        <w:spacing w:line="360" w:lineRule="auto"/>
      </w:pPr>
      <w:proofErr w:type="gramStart"/>
      <w:r>
        <w:rPr>
          <w:smallCaps/>
        </w:rPr>
        <w:t>’</w:t>
      </w:r>
      <w:r w:rsidR="008530A1" w:rsidRPr="002A0C60">
        <w:rPr>
          <w:smallCaps/>
        </w:rPr>
        <w:t>T</w:t>
      </w:r>
      <w:proofErr w:type="gramEnd"/>
      <w:r w:rsidR="008530A1" w:rsidRPr="002A0C60">
        <w:rPr>
          <w:smallCaps/>
        </w:rPr>
        <w:t xml:space="preserve"> Kind</w:t>
      </w:r>
      <w:r>
        <w:rPr>
          <w:smallCaps/>
        </w:rPr>
        <w:t xml:space="preserve"> F.</w:t>
      </w:r>
      <w:r w:rsidR="008530A1" w:rsidRPr="002A0C60">
        <w:t>, Sûretés et principes généraux du droit de poursuite des créancie</w:t>
      </w:r>
      <w:r w:rsidR="001F0657" w:rsidRPr="002A0C60">
        <w:t>rs, Brussel, Larcier, 2004, 480.</w:t>
      </w:r>
    </w:p>
    <w:p w14:paraId="3F9218B2" w14:textId="77777777" w:rsidR="00395EE3" w:rsidRPr="002A0C60" w:rsidRDefault="00395EE3" w:rsidP="005E187E">
      <w:pPr>
        <w:spacing w:line="360" w:lineRule="auto"/>
      </w:pPr>
    </w:p>
    <w:p w14:paraId="7785B211" w14:textId="25748F27" w:rsidR="008530A1" w:rsidRPr="002A0C60" w:rsidRDefault="00395EE3" w:rsidP="005E187E">
      <w:pPr>
        <w:pStyle w:val="Voetnoottekst"/>
        <w:spacing w:line="360" w:lineRule="auto"/>
        <w:rPr>
          <w:sz w:val="24"/>
          <w:szCs w:val="24"/>
        </w:rPr>
      </w:pPr>
      <w:r w:rsidRPr="002A0C60">
        <w:rPr>
          <w:smallCaps/>
          <w:sz w:val="24"/>
          <w:szCs w:val="24"/>
        </w:rPr>
        <w:t>Vandenberghe</w:t>
      </w:r>
      <w:r w:rsidR="00A70433">
        <w:rPr>
          <w:smallCaps/>
          <w:sz w:val="24"/>
          <w:szCs w:val="24"/>
        </w:rPr>
        <w:t xml:space="preserve"> H.</w:t>
      </w:r>
      <w:r w:rsidRPr="002A0C60">
        <w:rPr>
          <w:smallCaps/>
          <w:sz w:val="24"/>
          <w:szCs w:val="24"/>
        </w:rPr>
        <w:t xml:space="preserve">, </w:t>
      </w:r>
      <w:r w:rsidRPr="002A0C60">
        <w:rPr>
          <w:i/>
          <w:sz w:val="24"/>
          <w:szCs w:val="24"/>
        </w:rPr>
        <w:t xml:space="preserve">Goederenrecht, </w:t>
      </w:r>
      <w:r w:rsidRPr="002A0C60">
        <w:rPr>
          <w:sz w:val="24"/>
          <w:szCs w:val="24"/>
        </w:rPr>
        <w:t>Leuven Acco 2006, 247.</w:t>
      </w:r>
    </w:p>
    <w:p w14:paraId="62CA4565" w14:textId="77777777" w:rsidR="00395EE3" w:rsidRPr="002A0C60" w:rsidRDefault="00395EE3" w:rsidP="005E187E">
      <w:pPr>
        <w:pStyle w:val="Voetnoottekst"/>
        <w:spacing w:line="360" w:lineRule="auto"/>
        <w:rPr>
          <w:sz w:val="24"/>
          <w:szCs w:val="24"/>
        </w:rPr>
      </w:pPr>
    </w:p>
    <w:p w14:paraId="5F0D3999" w14:textId="007E48B2" w:rsidR="008530A1" w:rsidRPr="002A0C60" w:rsidRDefault="008530A1" w:rsidP="005E187E">
      <w:pPr>
        <w:pStyle w:val="Voetnoottekst"/>
        <w:spacing w:line="360" w:lineRule="auto"/>
        <w:rPr>
          <w:sz w:val="24"/>
          <w:szCs w:val="24"/>
        </w:rPr>
      </w:pPr>
      <w:r w:rsidRPr="00B95341">
        <w:rPr>
          <w:smallCaps/>
          <w:sz w:val="24"/>
          <w:szCs w:val="24"/>
        </w:rPr>
        <w:t>Van Landeghem</w:t>
      </w:r>
      <w:r w:rsidR="00A70433">
        <w:rPr>
          <w:smallCaps/>
          <w:sz w:val="24"/>
          <w:szCs w:val="24"/>
        </w:rPr>
        <w:t xml:space="preserve"> K.</w:t>
      </w:r>
      <w:r w:rsidRPr="00B95341">
        <w:rPr>
          <w:smallCaps/>
          <w:sz w:val="24"/>
          <w:szCs w:val="24"/>
        </w:rPr>
        <w:t>., “</w:t>
      </w:r>
      <w:r w:rsidR="00A70433">
        <w:rPr>
          <w:sz w:val="24"/>
          <w:szCs w:val="24"/>
        </w:rPr>
        <w:t xml:space="preserve">Inpandgeving” in </w:t>
      </w:r>
      <w:r w:rsidRPr="00B95341">
        <w:rPr>
          <w:smallCaps/>
          <w:sz w:val="24"/>
          <w:szCs w:val="24"/>
        </w:rPr>
        <w:t>Cerfontaine</w:t>
      </w:r>
      <w:r w:rsidR="00A70433">
        <w:rPr>
          <w:smallCaps/>
          <w:sz w:val="24"/>
          <w:szCs w:val="24"/>
        </w:rPr>
        <w:t xml:space="preserve"> J. </w:t>
      </w:r>
      <w:r w:rsidR="00A70433" w:rsidRPr="00A70433">
        <w:rPr>
          <w:sz w:val="24"/>
          <w:szCs w:val="24"/>
        </w:rPr>
        <w:t>en</w:t>
      </w:r>
      <w:r w:rsidR="00A70433">
        <w:rPr>
          <w:smallCaps/>
          <w:sz w:val="24"/>
          <w:szCs w:val="24"/>
        </w:rPr>
        <w:t xml:space="preserve"> </w:t>
      </w:r>
      <w:r w:rsidRPr="00B95341">
        <w:rPr>
          <w:smallCaps/>
          <w:sz w:val="24"/>
          <w:szCs w:val="24"/>
        </w:rPr>
        <w:t>Verougstraete I. (</w:t>
      </w:r>
      <w:r w:rsidRPr="00B95341">
        <w:rPr>
          <w:sz w:val="24"/>
          <w:szCs w:val="24"/>
        </w:rPr>
        <w:t>eds.)</w:t>
      </w:r>
      <w:r w:rsidRPr="00B95341">
        <w:rPr>
          <w:smallCaps/>
          <w:sz w:val="24"/>
          <w:szCs w:val="24"/>
        </w:rPr>
        <w:t xml:space="preserve">, </w:t>
      </w:r>
      <w:r w:rsidRPr="00B95341">
        <w:rPr>
          <w:i/>
          <w:sz w:val="24"/>
          <w:szCs w:val="24"/>
        </w:rPr>
        <w:t xml:space="preserve">Wet en duiding: Economisch recht: Deel 5: Bank en Zekerheden, </w:t>
      </w:r>
      <w:r w:rsidRPr="00B95341">
        <w:rPr>
          <w:sz w:val="24"/>
          <w:szCs w:val="24"/>
        </w:rPr>
        <w:t>Larcier, Brussel 2014,</w:t>
      </w:r>
      <w:r w:rsidR="00B95341" w:rsidRPr="00B95341">
        <w:rPr>
          <w:sz w:val="24"/>
          <w:szCs w:val="24"/>
        </w:rPr>
        <w:t>606-618.</w:t>
      </w:r>
    </w:p>
    <w:p w14:paraId="19679380" w14:textId="77777777" w:rsidR="008530A1" w:rsidRPr="002A0C60" w:rsidRDefault="008530A1" w:rsidP="005E187E">
      <w:pPr>
        <w:pStyle w:val="Kop5"/>
        <w:spacing w:line="360" w:lineRule="auto"/>
        <w:jc w:val="both"/>
      </w:pPr>
      <w:bookmarkStart w:id="96" w:name="_Toc449982263"/>
      <w:r w:rsidRPr="002A0C60">
        <w:t>Tijdschriftartikelen</w:t>
      </w:r>
      <w:bookmarkEnd w:id="96"/>
      <w:r w:rsidRPr="002A0C60">
        <w:t xml:space="preserve"> </w:t>
      </w:r>
    </w:p>
    <w:p w14:paraId="35926513" w14:textId="77777777" w:rsidR="008530A1" w:rsidRPr="002A0C60" w:rsidRDefault="008530A1" w:rsidP="005E187E">
      <w:pPr>
        <w:spacing w:line="360" w:lineRule="auto"/>
      </w:pPr>
    </w:p>
    <w:p w14:paraId="4C3C5FFF" w14:textId="28AF0A94" w:rsidR="008530A1" w:rsidRPr="002A0C60" w:rsidRDefault="008530A1" w:rsidP="005E187E">
      <w:pPr>
        <w:spacing w:line="360" w:lineRule="auto"/>
      </w:pPr>
      <w:r w:rsidRPr="002A0C60">
        <w:rPr>
          <w:smallCaps/>
        </w:rPr>
        <w:t>Baeck</w:t>
      </w:r>
      <w:r w:rsidR="00A70433">
        <w:rPr>
          <w:smallCaps/>
        </w:rPr>
        <w:t xml:space="preserve"> J.</w:t>
      </w:r>
      <w:r w:rsidRPr="002A0C60">
        <w:rPr>
          <w:smallCaps/>
        </w:rPr>
        <w:t xml:space="preserve">, </w:t>
      </w:r>
      <w:r w:rsidRPr="002A0C60">
        <w:t xml:space="preserve">“Ontbinding en derden: niet storen a.u.b.”, </w:t>
      </w:r>
      <w:r w:rsidRPr="002A0C60">
        <w:rPr>
          <w:i/>
        </w:rPr>
        <w:t xml:space="preserve">TPR </w:t>
      </w:r>
      <w:r w:rsidRPr="002A0C60">
        <w:t xml:space="preserve">2009, </w:t>
      </w:r>
      <w:r w:rsidR="0030637D" w:rsidRPr="002A0C60">
        <w:t>689-767.</w:t>
      </w:r>
    </w:p>
    <w:p w14:paraId="1C3AFC6F" w14:textId="77777777" w:rsidR="00886380" w:rsidRPr="002A0C60" w:rsidRDefault="00886380" w:rsidP="005E187E">
      <w:pPr>
        <w:spacing w:line="360" w:lineRule="auto"/>
      </w:pPr>
    </w:p>
    <w:p w14:paraId="1DF2FC7A" w14:textId="49052015" w:rsidR="00886380" w:rsidRPr="002A0C60" w:rsidRDefault="00886380" w:rsidP="005E187E">
      <w:pPr>
        <w:spacing w:line="360" w:lineRule="auto"/>
      </w:pPr>
      <w:r w:rsidRPr="002A0C60">
        <w:rPr>
          <w:smallCaps/>
        </w:rPr>
        <w:t>Baeck</w:t>
      </w:r>
      <w:r w:rsidR="00A70433">
        <w:rPr>
          <w:smallCaps/>
        </w:rPr>
        <w:t xml:space="preserve"> J.</w:t>
      </w:r>
      <w:r w:rsidRPr="002A0C60">
        <w:rPr>
          <w:smallCaps/>
        </w:rPr>
        <w:t xml:space="preserve">, </w:t>
      </w:r>
      <w:r w:rsidRPr="002A0C60">
        <w:t xml:space="preserve">“Commentaar bij artikel 21 Pandwet”, </w:t>
      </w:r>
      <w:r w:rsidRPr="002A0C60">
        <w:rPr>
          <w:i/>
        </w:rPr>
        <w:t xml:space="preserve">Voorrechten en Hypotheken </w:t>
      </w:r>
      <w:r w:rsidRPr="002A0C60">
        <w:t>2015, 39-42.</w:t>
      </w:r>
    </w:p>
    <w:p w14:paraId="3A968D9E" w14:textId="77777777" w:rsidR="00886380" w:rsidRPr="002A0C60" w:rsidRDefault="00886380" w:rsidP="005E187E">
      <w:pPr>
        <w:spacing w:line="360" w:lineRule="auto"/>
      </w:pPr>
    </w:p>
    <w:p w14:paraId="3CC3CBDA" w14:textId="5F46E26B" w:rsidR="00886380" w:rsidRPr="002A0C60" w:rsidRDefault="00886380" w:rsidP="00886380">
      <w:pPr>
        <w:pStyle w:val="Voetnoottekst"/>
        <w:rPr>
          <w:sz w:val="24"/>
          <w:szCs w:val="24"/>
        </w:rPr>
      </w:pPr>
      <w:r w:rsidRPr="002A0C60">
        <w:rPr>
          <w:smallCaps/>
          <w:sz w:val="24"/>
          <w:szCs w:val="24"/>
        </w:rPr>
        <w:t>Baeck</w:t>
      </w:r>
      <w:r w:rsidR="00154DDB">
        <w:rPr>
          <w:smallCaps/>
          <w:sz w:val="24"/>
          <w:szCs w:val="24"/>
        </w:rPr>
        <w:t xml:space="preserve"> J</w:t>
      </w:r>
      <w:r w:rsidRPr="002A0C60">
        <w:rPr>
          <w:smallCaps/>
          <w:sz w:val="24"/>
          <w:szCs w:val="24"/>
        </w:rPr>
        <w:t xml:space="preserve">. </w:t>
      </w:r>
      <w:r w:rsidRPr="002A0C60">
        <w:rPr>
          <w:sz w:val="24"/>
          <w:szCs w:val="24"/>
        </w:rPr>
        <w:t xml:space="preserve">“Commentaar bij Artikel 24 en 25 Pandwet”, </w:t>
      </w:r>
      <w:r w:rsidRPr="002A0C60">
        <w:rPr>
          <w:i/>
          <w:sz w:val="24"/>
          <w:szCs w:val="24"/>
        </w:rPr>
        <w:t xml:space="preserve">Voorrechten en hypotheken </w:t>
      </w:r>
      <w:r w:rsidRPr="002A0C60">
        <w:rPr>
          <w:sz w:val="24"/>
          <w:szCs w:val="24"/>
        </w:rPr>
        <w:t>2015, 43-46.</w:t>
      </w:r>
    </w:p>
    <w:p w14:paraId="433B8829" w14:textId="77777777" w:rsidR="008530A1" w:rsidRPr="002A0C60" w:rsidRDefault="008530A1" w:rsidP="005E187E">
      <w:pPr>
        <w:spacing w:line="360" w:lineRule="auto"/>
      </w:pPr>
    </w:p>
    <w:p w14:paraId="5DE37485" w14:textId="7616978C" w:rsidR="008530A1" w:rsidRPr="002A0C60" w:rsidRDefault="008530A1" w:rsidP="005E187E">
      <w:pPr>
        <w:spacing w:line="360" w:lineRule="auto"/>
      </w:pPr>
      <w:r w:rsidRPr="002A0C60">
        <w:rPr>
          <w:smallCaps/>
        </w:rPr>
        <w:t>Baeck</w:t>
      </w:r>
      <w:r w:rsidR="00A70433">
        <w:rPr>
          <w:smallCaps/>
        </w:rPr>
        <w:t xml:space="preserve"> J.</w:t>
      </w:r>
      <w:r w:rsidRPr="002A0C60">
        <w:rPr>
          <w:smallCaps/>
        </w:rPr>
        <w:t>, “</w:t>
      </w:r>
      <w:r w:rsidRPr="002A0C60">
        <w:t>Het nieuwe pandrecht”</w:t>
      </w:r>
      <w:r w:rsidRPr="002A0C60">
        <w:rPr>
          <w:i/>
        </w:rPr>
        <w:t xml:space="preserve">, RW </w:t>
      </w:r>
      <w:r w:rsidRPr="002A0C60">
        <w:t>2015-16,</w:t>
      </w:r>
      <w:r w:rsidR="0030637D" w:rsidRPr="002A0C60">
        <w:t xml:space="preserve"> 1209-1222.</w:t>
      </w:r>
    </w:p>
    <w:p w14:paraId="3B260BA1" w14:textId="77777777" w:rsidR="00A14F58" w:rsidRPr="002A0C60" w:rsidRDefault="00A14F58" w:rsidP="005E187E">
      <w:pPr>
        <w:spacing w:line="360" w:lineRule="auto"/>
      </w:pPr>
    </w:p>
    <w:p w14:paraId="3D990398" w14:textId="0FF7F487" w:rsidR="00A14F58" w:rsidRPr="002A0C60" w:rsidRDefault="00A14F58" w:rsidP="005E187E">
      <w:pPr>
        <w:spacing w:line="360" w:lineRule="auto"/>
      </w:pPr>
      <w:r w:rsidRPr="002A0C60">
        <w:rPr>
          <w:smallCaps/>
        </w:rPr>
        <w:t>Becue</w:t>
      </w:r>
      <w:r w:rsidR="00A70433">
        <w:rPr>
          <w:smallCaps/>
        </w:rPr>
        <w:t xml:space="preserve"> P.</w:t>
      </w:r>
      <w:r w:rsidRPr="002A0C60">
        <w:rPr>
          <w:smallCaps/>
        </w:rPr>
        <w:t xml:space="preserve">, </w:t>
      </w:r>
      <w:r w:rsidRPr="002A0C60">
        <w:t xml:space="preserve">“De wet van 11 juli 2013 met betrekking tot de hervorming van zakelijke zekerheden op roerende goederen (nieuwe </w:t>
      </w:r>
      <w:r w:rsidR="002A0C60" w:rsidRPr="002A0C60">
        <w:t>Pandwet</w:t>
      </w:r>
      <w:r w:rsidRPr="002A0C60">
        <w:t xml:space="preserve">)”, </w:t>
      </w:r>
      <w:r w:rsidRPr="002A0C60">
        <w:rPr>
          <w:i/>
        </w:rPr>
        <w:t xml:space="preserve">T. Verz. </w:t>
      </w:r>
      <w:r w:rsidRPr="002A0C60">
        <w:t>2014, 352-386.</w:t>
      </w:r>
    </w:p>
    <w:p w14:paraId="79F9F42B" w14:textId="77777777" w:rsidR="008530A1" w:rsidRPr="002A0C60" w:rsidRDefault="008530A1" w:rsidP="005E187E">
      <w:pPr>
        <w:spacing w:line="360" w:lineRule="auto"/>
      </w:pPr>
    </w:p>
    <w:p w14:paraId="05191E5F" w14:textId="44C8D070" w:rsidR="008530A1" w:rsidRPr="002A0C60" w:rsidRDefault="008530A1" w:rsidP="005E187E">
      <w:pPr>
        <w:spacing w:line="360" w:lineRule="auto"/>
      </w:pPr>
      <w:r w:rsidRPr="002A0C60">
        <w:rPr>
          <w:smallCaps/>
        </w:rPr>
        <w:t>Bogaerts</w:t>
      </w:r>
      <w:r w:rsidR="00A70433">
        <w:rPr>
          <w:smallCaps/>
        </w:rPr>
        <w:t xml:space="preserve"> S.</w:t>
      </w:r>
      <w:r w:rsidRPr="002A0C60">
        <w:t xml:space="preserve"> en </w:t>
      </w:r>
      <w:r w:rsidRPr="002A0C60">
        <w:rPr>
          <w:smallCaps/>
        </w:rPr>
        <w:t>Sagaert</w:t>
      </w:r>
      <w:r w:rsidR="00A70433">
        <w:rPr>
          <w:smallCaps/>
        </w:rPr>
        <w:t xml:space="preserve"> V.</w:t>
      </w:r>
      <w:r w:rsidRPr="002A0C60">
        <w:t xml:space="preserve">, “Nieuwe Pandwet: grondige hervorming van zekerheden op roerende goederen”, Balans 2013, </w:t>
      </w:r>
      <w:r w:rsidR="000A1FD4" w:rsidRPr="002A0C60">
        <w:t>1</w:t>
      </w:r>
      <w:r w:rsidR="009F6D1C" w:rsidRPr="002A0C60">
        <w:t>-4.</w:t>
      </w:r>
    </w:p>
    <w:p w14:paraId="10BE3515" w14:textId="77777777" w:rsidR="004E082E" w:rsidRPr="002A0C60" w:rsidRDefault="004E082E" w:rsidP="005E187E">
      <w:pPr>
        <w:spacing w:line="360" w:lineRule="auto"/>
      </w:pPr>
    </w:p>
    <w:p w14:paraId="203A2711" w14:textId="506DFCB8" w:rsidR="000A1FD4" w:rsidRPr="002A0C60" w:rsidRDefault="000A1FD4" w:rsidP="005E187E">
      <w:pPr>
        <w:spacing w:line="360" w:lineRule="auto"/>
      </w:pPr>
      <w:r w:rsidRPr="002A0C60">
        <w:rPr>
          <w:smallCaps/>
        </w:rPr>
        <w:t>Boufflette</w:t>
      </w:r>
      <w:r w:rsidR="00A70433">
        <w:rPr>
          <w:smallCaps/>
        </w:rPr>
        <w:t xml:space="preserve"> S.</w:t>
      </w:r>
      <w:r w:rsidRPr="002A0C60">
        <w:rPr>
          <w:smallCaps/>
        </w:rPr>
        <w:t>, “</w:t>
      </w:r>
      <w:r w:rsidRPr="002A0C60">
        <w:t xml:space="preserve">La </w:t>
      </w:r>
      <w:proofErr w:type="spellStart"/>
      <w:r w:rsidRPr="002A0C60">
        <w:t>possession</w:t>
      </w:r>
      <w:proofErr w:type="spellEnd"/>
      <w:r w:rsidRPr="002A0C60">
        <w:t xml:space="preserve"> en matière mobilière et l’article 2279 du Code civil”, </w:t>
      </w:r>
      <w:r w:rsidRPr="002A0C60">
        <w:rPr>
          <w:i/>
        </w:rPr>
        <w:t xml:space="preserve">Revue Generale de droit civil Belge </w:t>
      </w:r>
      <w:r w:rsidRPr="002A0C60">
        <w:t>2009, 75-87.</w:t>
      </w:r>
    </w:p>
    <w:p w14:paraId="2FAEC2A8" w14:textId="77777777" w:rsidR="008530A1" w:rsidRPr="002A0C60" w:rsidRDefault="008530A1" w:rsidP="005E187E">
      <w:pPr>
        <w:spacing w:line="360" w:lineRule="auto"/>
      </w:pPr>
    </w:p>
    <w:p w14:paraId="5E6E7DF2" w14:textId="588CA8FE" w:rsidR="008530A1" w:rsidRPr="002A0C60" w:rsidRDefault="008530A1" w:rsidP="005E187E">
      <w:pPr>
        <w:spacing w:line="360" w:lineRule="auto"/>
      </w:pPr>
      <w:r w:rsidRPr="002A0C60">
        <w:rPr>
          <w:smallCaps/>
        </w:rPr>
        <w:t>Callebaut</w:t>
      </w:r>
      <w:r w:rsidR="00A70433">
        <w:rPr>
          <w:smallCaps/>
        </w:rPr>
        <w:t xml:space="preserve"> J.</w:t>
      </w:r>
      <w:r w:rsidRPr="002A0C60">
        <w:rPr>
          <w:smallCaps/>
        </w:rPr>
        <w:t xml:space="preserve">, </w:t>
      </w:r>
      <w:r w:rsidRPr="002A0C60">
        <w:t xml:space="preserve">Uitstel van de inwerkingtreding van het nieuwe pandrecht”, </w:t>
      </w:r>
      <w:r w:rsidRPr="002A0C60">
        <w:rPr>
          <w:i/>
        </w:rPr>
        <w:t>Nieuw notariaal kwartaaltijdschrift</w:t>
      </w:r>
      <w:r w:rsidRPr="002A0C60">
        <w:t xml:space="preserve"> 2015, 14</w:t>
      </w:r>
      <w:r w:rsidR="0030637D" w:rsidRPr="002A0C60">
        <w:t>-15.</w:t>
      </w:r>
    </w:p>
    <w:p w14:paraId="2E30C00D" w14:textId="77777777" w:rsidR="008530A1" w:rsidRPr="002A0C60" w:rsidRDefault="008530A1" w:rsidP="005E187E">
      <w:pPr>
        <w:spacing w:line="360" w:lineRule="auto"/>
      </w:pPr>
    </w:p>
    <w:p w14:paraId="5AF8920F" w14:textId="42CF682E" w:rsidR="00565F16" w:rsidRPr="002A0C60" w:rsidRDefault="008530A1" w:rsidP="005E187E">
      <w:pPr>
        <w:spacing w:line="360" w:lineRule="auto"/>
      </w:pPr>
      <w:r w:rsidRPr="002A0C60">
        <w:rPr>
          <w:smallCaps/>
        </w:rPr>
        <w:t>Cattaruzza</w:t>
      </w:r>
      <w:r w:rsidR="00A70433">
        <w:rPr>
          <w:smallCaps/>
        </w:rPr>
        <w:t xml:space="preserve"> J.</w:t>
      </w:r>
      <w:r w:rsidRPr="002A0C60">
        <w:rPr>
          <w:smallCaps/>
        </w:rPr>
        <w:t>,</w:t>
      </w:r>
      <w:r w:rsidRPr="002A0C60">
        <w:t xml:space="preserve"> “Les grand </w:t>
      </w:r>
      <w:proofErr w:type="spellStart"/>
      <w:r w:rsidRPr="002A0C60">
        <w:t>axes</w:t>
      </w:r>
      <w:proofErr w:type="spellEnd"/>
      <w:r w:rsidRPr="002A0C60">
        <w:t xml:space="preserve"> de la réforme des sûretés mobilières”, </w:t>
      </w:r>
      <w:r w:rsidRPr="002A0C60">
        <w:rPr>
          <w:i/>
        </w:rPr>
        <w:t xml:space="preserve">DBF </w:t>
      </w:r>
      <w:r w:rsidR="0057627F" w:rsidRPr="002A0C60">
        <w:t>2013, 183-194.</w:t>
      </w:r>
    </w:p>
    <w:p w14:paraId="1F4AD61B" w14:textId="77777777" w:rsidR="008530A1" w:rsidRPr="002A0C60" w:rsidRDefault="008530A1" w:rsidP="005E187E">
      <w:pPr>
        <w:spacing w:line="360" w:lineRule="auto"/>
      </w:pPr>
    </w:p>
    <w:p w14:paraId="15048801" w14:textId="0C1FC107" w:rsidR="008530A1" w:rsidRPr="002A0C60" w:rsidRDefault="008530A1" w:rsidP="005E187E">
      <w:pPr>
        <w:spacing w:line="360" w:lineRule="auto"/>
      </w:pPr>
      <w:r w:rsidRPr="00E3633D">
        <w:rPr>
          <w:smallCaps/>
        </w:rPr>
        <w:t>Cuypers</w:t>
      </w:r>
      <w:r w:rsidR="00A70433">
        <w:rPr>
          <w:smallCaps/>
        </w:rPr>
        <w:t xml:space="preserve"> A.</w:t>
      </w:r>
      <w:r w:rsidRPr="00E3633D">
        <w:t xml:space="preserve">, “Pand op handelszaak”, </w:t>
      </w:r>
      <w:r w:rsidRPr="00E3633D">
        <w:rPr>
          <w:i/>
        </w:rPr>
        <w:t>T. Not</w:t>
      </w:r>
      <w:r w:rsidR="009F6D1C" w:rsidRPr="00E3633D">
        <w:t xml:space="preserve">. 1989, </w:t>
      </w:r>
      <w:r w:rsidR="00E3633D" w:rsidRPr="00E3633D">
        <w:t>276-316.</w:t>
      </w:r>
    </w:p>
    <w:p w14:paraId="69E238B2" w14:textId="77777777" w:rsidR="008530A1" w:rsidRPr="002A0C60" w:rsidRDefault="008530A1" w:rsidP="005E187E">
      <w:pPr>
        <w:spacing w:line="360" w:lineRule="auto"/>
      </w:pPr>
    </w:p>
    <w:p w14:paraId="26A5F68F" w14:textId="6F84B426" w:rsidR="008530A1" w:rsidRPr="002A0C60" w:rsidRDefault="008530A1" w:rsidP="005E187E">
      <w:pPr>
        <w:spacing w:line="360" w:lineRule="auto"/>
      </w:pPr>
      <w:r w:rsidRPr="00E3633D">
        <w:rPr>
          <w:smallCaps/>
        </w:rPr>
        <w:t>Cuypers</w:t>
      </w:r>
      <w:r w:rsidR="00A70433">
        <w:rPr>
          <w:smallCaps/>
        </w:rPr>
        <w:t xml:space="preserve"> A.</w:t>
      </w:r>
      <w:r w:rsidRPr="00E3633D">
        <w:rPr>
          <w:smallCaps/>
        </w:rPr>
        <w:t xml:space="preserve">, </w:t>
      </w:r>
      <w:r w:rsidRPr="00E3633D">
        <w:t xml:space="preserve">“Wet 25 oktober 1919”, in </w:t>
      </w:r>
      <w:r w:rsidRPr="00E3633D">
        <w:rPr>
          <w:i/>
        </w:rPr>
        <w:t xml:space="preserve">Voorrechten en hypotheken </w:t>
      </w:r>
      <w:r w:rsidRPr="00E3633D">
        <w:t>2007,</w:t>
      </w:r>
      <w:r w:rsidR="00E3633D" w:rsidRPr="00E3633D">
        <w:t>85.</w:t>
      </w:r>
    </w:p>
    <w:p w14:paraId="2361398F" w14:textId="77777777" w:rsidR="00565F16" w:rsidRPr="002A0C60" w:rsidRDefault="00565F16" w:rsidP="005E187E">
      <w:pPr>
        <w:spacing w:line="360" w:lineRule="auto"/>
      </w:pPr>
    </w:p>
    <w:p w14:paraId="159229FB" w14:textId="0EE4A1CA" w:rsidR="00565F16" w:rsidRPr="00A70433" w:rsidRDefault="00565F16" w:rsidP="00565F16">
      <w:pPr>
        <w:spacing w:line="360" w:lineRule="auto"/>
        <w:rPr>
          <w:smallCaps/>
        </w:rPr>
      </w:pPr>
      <w:r w:rsidRPr="00E3633D">
        <w:rPr>
          <w:smallCaps/>
        </w:rPr>
        <w:t>De Coninck</w:t>
      </w:r>
      <w:r w:rsidR="00A70433">
        <w:rPr>
          <w:smallCaps/>
        </w:rPr>
        <w:t xml:space="preserve"> J.</w:t>
      </w:r>
      <w:r w:rsidRPr="00E3633D">
        <w:rPr>
          <w:smallCaps/>
        </w:rPr>
        <w:t xml:space="preserve">, </w:t>
      </w:r>
      <w:r w:rsidRPr="00E3633D">
        <w:rPr>
          <w:i/>
        </w:rPr>
        <w:t xml:space="preserve">De voorwaarde in het contractenrecht, </w:t>
      </w:r>
      <w:r w:rsidRPr="00E3633D">
        <w:t>Brugge, Die Keure 2007,</w:t>
      </w:r>
      <w:r w:rsidR="00E3633D" w:rsidRPr="00E3633D">
        <w:t>620.</w:t>
      </w:r>
    </w:p>
    <w:p w14:paraId="08AD5970" w14:textId="77777777" w:rsidR="00F17C2D" w:rsidRPr="002A0C60" w:rsidRDefault="00F17C2D" w:rsidP="005E187E">
      <w:pPr>
        <w:spacing w:line="360" w:lineRule="auto"/>
      </w:pPr>
    </w:p>
    <w:p w14:paraId="7D4CC253" w14:textId="7743DBB8" w:rsidR="00F17C2D" w:rsidRPr="002A0C60" w:rsidRDefault="00F17C2D" w:rsidP="005E187E">
      <w:pPr>
        <w:spacing w:line="360" w:lineRule="auto"/>
      </w:pPr>
      <w:r w:rsidRPr="002A0C60">
        <w:rPr>
          <w:smallCaps/>
        </w:rPr>
        <w:t>Del Corral</w:t>
      </w:r>
      <w:r w:rsidR="00A70433">
        <w:rPr>
          <w:smallCaps/>
        </w:rPr>
        <w:t xml:space="preserve"> J.</w:t>
      </w:r>
      <w:r w:rsidRPr="002A0C60">
        <w:rPr>
          <w:smallCaps/>
        </w:rPr>
        <w:t xml:space="preserve">, </w:t>
      </w:r>
      <w:r w:rsidRPr="002A0C60">
        <w:t xml:space="preserve">“Bezit geldt als titel van eigendom”, </w:t>
      </w:r>
      <w:r w:rsidRPr="002A0C60">
        <w:rPr>
          <w:i/>
        </w:rPr>
        <w:t xml:space="preserve">Not. Fisc. M. </w:t>
      </w:r>
      <w:r w:rsidRPr="002A0C60">
        <w:t>2008, 317-310.</w:t>
      </w:r>
    </w:p>
    <w:p w14:paraId="5A9A7968" w14:textId="77777777" w:rsidR="009F6D1C" w:rsidRPr="002A0C60" w:rsidRDefault="009F6D1C" w:rsidP="005E187E">
      <w:pPr>
        <w:spacing w:line="360" w:lineRule="auto"/>
      </w:pPr>
    </w:p>
    <w:p w14:paraId="47F08305" w14:textId="68147583" w:rsidR="008530A1" w:rsidRPr="002A0C60" w:rsidRDefault="008530A1" w:rsidP="005E187E">
      <w:pPr>
        <w:pStyle w:val="Voetnoottekst"/>
        <w:spacing w:line="360" w:lineRule="auto"/>
        <w:rPr>
          <w:sz w:val="24"/>
          <w:szCs w:val="24"/>
        </w:rPr>
      </w:pPr>
      <w:r w:rsidRPr="002A0C60">
        <w:rPr>
          <w:smallCaps/>
          <w:sz w:val="24"/>
          <w:szCs w:val="24"/>
        </w:rPr>
        <w:t>Del Corral</w:t>
      </w:r>
      <w:r w:rsidR="00A70433">
        <w:rPr>
          <w:smallCaps/>
          <w:sz w:val="24"/>
          <w:szCs w:val="24"/>
        </w:rPr>
        <w:t xml:space="preserve"> J.</w:t>
      </w:r>
      <w:r w:rsidRPr="002A0C60">
        <w:rPr>
          <w:smallCaps/>
          <w:sz w:val="24"/>
          <w:szCs w:val="24"/>
        </w:rPr>
        <w:t xml:space="preserve">, </w:t>
      </w:r>
      <w:r w:rsidRPr="002A0C60">
        <w:rPr>
          <w:sz w:val="24"/>
          <w:szCs w:val="24"/>
        </w:rPr>
        <w:t xml:space="preserve">“Zekerheidsrechten – Stand van zaken”, </w:t>
      </w:r>
      <w:r w:rsidRPr="002A0C60">
        <w:rPr>
          <w:i/>
          <w:smallCaps/>
          <w:sz w:val="24"/>
          <w:szCs w:val="24"/>
        </w:rPr>
        <w:t xml:space="preserve">NJW </w:t>
      </w:r>
      <w:r w:rsidRPr="002A0C60">
        <w:rPr>
          <w:smallCaps/>
          <w:sz w:val="24"/>
          <w:szCs w:val="24"/>
        </w:rPr>
        <w:t>2014</w:t>
      </w:r>
      <w:r w:rsidRPr="002A0C60">
        <w:rPr>
          <w:i/>
          <w:smallCaps/>
          <w:sz w:val="24"/>
          <w:szCs w:val="24"/>
        </w:rPr>
        <w:t xml:space="preserve">, </w:t>
      </w:r>
      <w:r w:rsidR="009F6D1C" w:rsidRPr="002A0C60">
        <w:rPr>
          <w:smallCaps/>
          <w:sz w:val="24"/>
          <w:szCs w:val="24"/>
        </w:rPr>
        <w:t>578-596.</w:t>
      </w:r>
    </w:p>
    <w:p w14:paraId="70DF440F" w14:textId="77777777" w:rsidR="008530A1" w:rsidRPr="002A0C60" w:rsidRDefault="008530A1" w:rsidP="005E187E">
      <w:pPr>
        <w:spacing w:line="360" w:lineRule="auto"/>
      </w:pPr>
    </w:p>
    <w:p w14:paraId="4042ED35" w14:textId="662F7309" w:rsidR="008530A1" w:rsidRPr="002A0C60" w:rsidRDefault="008530A1" w:rsidP="005E187E">
      <w:pPr>
        <w:spacing w:line="360" w:lineRule="auto"/>
      </w:pPr>
      <w:r w:rsidRPr="002A0C60">
        <w:rPr>
          <w:smallCaps/>
        </w:rPr>
        <w:lastRenderedPageBreak/>
        <w:t>Deltomme</w:t>
      </w:r>
      <w:r w:rsidR="00A70433">
        <w:rPr>
          <w:smallCaps/>
        </w:rPr>
        <w:t xml:space="preserve"> L.</w:t>
      </w:r>
      <w:r w:rsidRPr="002A0C60">
        <w:rPr>
          <w:smallCaps/>
        </w:rPr>
        <w:t xml:space="preserve">, </w:t>
      </w:r>
      <w:r w:rsidRPr="002A0C60">
        <w:t xml:space="preserve">“De hervorming van de zakelijke zekerheden”, </w:t>
      </w:r>
      <w:r w:rsidRPr="002A0C60">
        <w:rPr>
          <w:i/>
        </w:rPr>
        <w:t xml:space="preserve">Nieuw Notarieel Kwartaaltijdschrift </w:t>
      </w:r>
      <w:r w:rsidRPr="002A0C60">
        <w:t>2015,</w:t>
      </w:r>
      <w:r w:rsidR="0057627F" w:rsidRPr="002A0C60">
        <w:t xml:space="preserve"> 9-17.</w:t>
      </w:r>
    </w:p>
    <w:p w14:paraId="6292EA89" w14:textId="77777777" w:rsidR="008530A1" w:rsidRPr="002A0C60" w:rsidRDefault="008530A1" w:rsidP="005E187E">
      <w:pPr>
        <w:spacing w:line="360" w:lineRule="auto"/>
      </w:pPr>
    </w:p>
    <w:p w14:paraId="393C7345" w14:textId="1DE4F3F6" w:rsidR="008530A1" w:rsidRPr="002A0C60" w:rsidRDefault="008530A1" w:rsidP="005E187E">
      <w:pPr>
        <w:spacing w:line="360" w:lineRule="auto"/>
      </w:pPr>
      <w:r w:rsidRPr="0052181C">
        <w:rPr>
          <w:smallCaps/>
        </w:rPr>
        <w:t>De Pestel</w:t>
      </w:r>
      <w:r w:rsidR="00A70433">
        <w:rPr>
          <w:smallCaps/>
        </w:rPr>
        <w:t xml:space="preserve"> G.</w:t>
      </w:r>
      <w:r w:rsidRPr="0052181C">
        <w:rPr>
          <w:smallCaps/>
        </w:rPr>
        <w:t xml:space="preserve">, </w:t>
      </w:r>
      <w:r w:rsidRPr="0052181C">
        <w:t xml:space="preserve">“Pand op de handelszaak (Wet van 25 oktober 1919) – Overzicht rechtspraak (1993-1998)”, </w:t>
      </w:r>
      <w:r w:rsidRPr="0052181C">
        <w:rPr>
          <w:i/>
        </w:rPr>
        <w:t xml:space="preserve">TBH </w:t>
      </w:r>
      <w:r w:rsidRPr="0052181C">
        <w:t>2001,</w:t>
      </w:r>
      <w:r w:rsidR="0052181C" w:rsidRPr="0052181C">
        <w:t>383-391.</w:t>
      </w:r>
    </w:p>
    <w:p w14:paraId="5F1EEE50" w14:textId="77777777" w:rsidR="008530A1" w:rsidRPr="002A0C60" w:rsidRDefault="008530A1" w:rsidP="005E187E">
      <w:pPr>
        <w:spacing w:line="360" w:lineRule="auto"/>
      </w:pPr>
    </w:p>
    <w:p w14:paraId="40A96182" w14:textId="29921346" w:rsidR="008530A1" w:rsidRPr="002A0C60" w:rsidRDefault="008530A1" w:rsidP="005E187E">
      <w:pPr>
        <w:spacing w:line="360" w:lineRule="auto"/>
      </w:pPr>
      <w:r w:rsidRPr="002A0C60">
        <w:rPr>
          <w:smallCaps/>
        </w:rPr>
        <w:t>Derijcke</w:t>
      </w:r>
      <w:r w:rsidR="00A70433">
        <w:rPr>
          <w:smallCaps/>
        </w:rPr>
        <w:t xml:space="preserve"> W.</w:t>
      </w:r>
      <w:r w:rsidRPr="002A0C60">
        <w:rPr>
          <w:smallCaps/>
        </w:rPr>
        <w:t xml:space="preserve">, </w:t>
      </w:r>
      <w:r w:rsidRPr="002A0C60">
        <w:t xml:space="preserve">“La réforme des sûretés réelles mobilières”, </w:t>
      </w:r>
      <w:r w:rsidRPr="002A0C60">
        <w:rPr>
          <w:i/>
        </w:rPr>
        <w:t xml:space="preserve">TBH </w:t>
      </w:r>
      <w:r w:rsidRPr="002A0C60">
        <w:t>2013,</w:t>
      </w:r>
      <w:r w:rsidR="0057627F" w:rsidRPr="002A0C60">
        <w:t xml:space="preserve"> 691-722.</w:t>
      </w:r>
    </w:p>
    <w:p w14:paraId="3D0E8807" w14:textId="77777777" w:rsidR="008530A1" w:rsidRPr="002A0C60" w:rsidRDefault="008530A1" w:rsidP="005E187E">
      <w:pPr>
        <w:spacing w:line="360" w:lineRule="auto"/>
      </w:pPr>
    </w:p>
    <w:p w14:paraId="7185392D" w14:textId="0FD24A29" w:rsidR="008530A1" w:rsidRPr="002A0C60" w:rsidRDefault="008530A1" w:rsidP="005E187E">
      <w:pPr>
        <w:spacing w:line="360" w:lineRule="auto"/>
      </w:pPr>
      <w:r w:rsidRPr="002A0C60">
        <w:rPr>
          <w:smallCaps/>
        </w:rPr>
        <w:t>Dirix</w:t>
      </w:r>
      <w:r w:rsidR="00A70433">
        <w:rPr>
          <w:smallCaps/>
        </w:rPr>
        <w:t xml:space="preserve"> E.</w:t>
      </w:r>
      <w:r w:rsidRPr="002A0C60">
        <w:rPr>
          <w:smallCaps/>
        </w:rPr>
        <w:t xml:space="preserve">, </w:t>
      </w:r>
      <w:r w:rsidRPr="002A0C60">
        <w:t xml:space="preserve">“Het vuistpand”, </w:t>
      </w:r>
      <w:r w:rsidRPr="002A0C60">
        <w:rPr>
          <w:i/>
        </w:rPr>
        <w:t xml:space="preserve">Voorrechten en hypotheken </w:t>
      </w:r>
      <w:r w:rsidRPr="002A0C60">
        <w:t>2001</w:t>
      </w:r>
      <w:r w:rsidR="0030637D" w:rsidRPr="002A0C60">
        <w:t>, 25.</w:t>
      </w:r>
    </w:p>
    <w:p w14:paraId="1EEF5BE0" w14:textId="77777777" w:rsidR="008530A1" w:rsidRPr="002A0C60" w:rsidRDefault="008530A1" w:rsidP="005E187E">
      <w:pPr>
        <w:spacing w:line="360" w:lineRule="auto"/>
      </w:pPr>
    </w:p>
    <w:p w14:paraId="5FA462D6" w14:textId="1E62EFF7" w:rsidR="008530A1" w:rsidRPr="002A0C60" w:rsidRDefault="008530A1" w:rsidP="005E187E">
      <w:pPr>
        <w:spacing w:line="360" w:lineRule="auto"/>
      </w:pPr>
      <w:r w:rsidRPr="004E3BD8">
        <w:rPr>
          <w:smallCaps/>
        </w:rPr>
        <w:t>Dirix</w:t>
      </w:r>
      <w:r w:rsidR="00A70433">
        <w:rPr>
          <w:smallCaps/>
        </w:rPr>
        <w:t xml:space="preserve"> E.</w:t>
      </w:r>
      <w:r w:rsidRPr="004E3BD8">
        <w:rPr>
          <w:smallCaps/>
        </w:rPr>
        <w:t xml:space="preserve">, </w:t>
      </w:r>
      <w:r w:rsidRPr="004E3BD8">
        <w:t xml:space="preserve">“Het passief van het faillissement”, in </w:t>
      </w:r>
      <w:r w:rsidRPr="004E3BD8">
        <w:rPr>
          <w:i/>
        </w:rPr>
        <w:t xml:space="preserve">Faillissement en reorganisatie, </w:t>
      </w:r>
      <w:r w:rsidRPr="004E3BD8">
        <w:t>Mechelen</w:t>
      </w:r>
      <w:r w:rsidRPr="004E3BD8">
        <w:rPr>
          <w:i/>
        </w:rPr>
        <w:t xml:space="preserve">, </w:t>
      </w:r>
      <w:r w:rsidRPr="004E3BD8">
        <w:t>Kluwer 2001,</w:t>
      </w:r>
      <w:r w:rsidR="004E3BD8" w:rsidRPr="004E3BD8">
        <w:t>1-30.</w:t>
      </w:r>
    </w:p>
    <w:p w14:paraId="40708A01" w14:textId="77777777" w:rsidR="008530A1" w:rsidRPr="002A0C60" w:rsidRDefault="008530A1" w:rsidP="005E187E">
      <w:pPr>
        <w:spacing w:line="360" w:lineRule="auto"/>
      </w:pPr>
    </w:p>
    <w:p w14:paraId="386B0F2C" w14:textId="14F8DEB9" w:rsidR="008530A1" w:rsidRPr="002A0C60" w:rsidRDefault="008530A1" w:rsidP="005E187E">
      <w:pPr>
        <w:spacing w:line="360" w:lineRule="auto"/>
      </w:pPr>
      <w:r w:rsidRPr="002A0C60">
        <w:rPr>
          <w:smallCaps/>
        </w:rPr>
        <w:t>Dirix</w:t>
      </w:r>
      <w:r w:rsidR="00A70433">
        <w:rPr>
          <w:smallCaps/>
        </w:rPr>
        <w:t xml:space="preserve"> E.</w:t>
      </w:r>
      <w:r w:rsidRPr="002A0C60">
        <w:rPr>
          <w:smallCaps/>
        </w:rPr>
        <w:t xml:space="preserve">, </w:t>
      </w:r>
      <w:r w:rsidRPr="002A0C60">
        <w:t xml:space="preserve">“De wet van 11 juli 2013 betreffende de zakelijke zekerheden op roerende goederen”, </w:t>
      </w:r>
      <w:r w:rsidRPr="002A0C60">
        <w:rPr>
          <w:i/>
        </w:rPr>
        <w:t>Nieuwsbrief Notariaat</w:t>
      </w:r>
      <w:r w:rsidRPr="002A0C60">
        <w:t xml:space="preserve"> 2014</w:t>
      </w:r>
      <w:r w:rsidR="009F6D1C" w:rsidRPr="002A0C60">
        <w:t>, 1-6.</w:t>
      </w:r>
    </w:p>
    <w:p w14:paraId="7E31D768" w14:textId="77777777" w:rsidR="008530A1" w:rsidRPr="002A0C60" w:rsidRDefault="008530A1" w:rsidP="005E187E">
      <w:pPr>
        <w:spacing w:line="360" w:lineRule="auto"/>
      </w:pPr>
    </w:p>
    <w:p w14:paraId="5921BB79" w14:textId="4704D8AE" w:rsidR="008530A1" w:rsidRPr="002A0C60" w:rsidRDefault="008530A1" w:rsidP="005E187E">
      <w:pPr>
        <w:spacing w:line="360" w:lineRule="auto"/>
      </w:pPr>
      <w:r w:rsidRPr="004E3BD8">
        <w:rPr>
          <w:smallCaps/>
        </w:rPr>
        <w:t>Dirix</w:t>
      </w:r>
      <w:r w:rsidR="00A70433">
        <w:rPr>
          <w:smallCaps/>
        </w:rPr>
        <w:t xml:space="preserve"> E.</w:t>
      </w:r>
      <w:r w:rsidRPr="004E3BD8">
        <w:rPr>
          <w:smallCaps/>
        </w:rPr>
        <w:t xml:space="preserve">, </w:t>
      </w:r>
      <w:r w:rsidRPr="004E3BD8">
        <w:t xml:space="preserve">“België kiest voor een centraal pandregister”, </w:t>
      </w:r>
      <w:r w:rsidRPr="004E3BD8">
        <w:rPr>
          <w:i/>
        </w:rPr>
        <w:t xml:space="preserve">TvL </w:t>
      </w:r>
      <w:r w:rsidR="009F6D1C" w:rsidRPr="004E3BD8">
        <w:t xml:space="preserve">2014, </w:t>
      </w:r>
      <w:r w:rsidR="004E3BD8" w:rsidRPr="004E3BD8">
        <w:t>21-25.</w:t>
      </w:r>
    </w:p>
    <w:p w14:paraId="7E21F32F" w14:textId="77777777" w:rsidR="008530A1" w:rsidRPr="002A0C60" w:rsidRDefault="008530A1" w:rsidP="005E187E">
      <w:pPr>
        <w:spacing w:line="360" w:lineRule="auto"/>
        <w:rPr>
          <w:smallCaps/>
        </w:rPr>
      </w:pPr>
    </w:p>
    <w:p w14:paraId="777B574B" w14:textId="3CD49ED6" w:rsidR="008530A1" w:rsidRPr="002A0C60" w:rsidRDefault="008530A1" w:rsidP="005E187E">
      <w:pPr>
        <w:spacing w:line="360" w:lineRule="auto"/>
      </w:pPr>
      <w:r w:rsidRPr="0052181C">
        <w:rPr>
          <w:smallCaps/>
        </w:rPr>
        <w:t>Georges</w:t>
      </w:r>
      <w:r w:rsidR="00A70433">
        <w:rPr>
          <w:smallCaps/>
        </w:rPr>
        <w:t xml:space="preserve"> F.</w:t>
      </w:r>
      <w:r w:rsidRPr="0052181C">
        <w:rPr>
          <w:smallCaps/>
        </w:rPr>
        <w:t xml:space="preserve">, </w:t>
      </w:r>
      <w:r w:rsidRPr="0052181C">
        <w:t xml:space="preserve">“La réforme des sûretés mobilières, </w:t>
      </w:r>
      <w:r w:rsidRPr="0052181C">
        <w:rPr>
          <w:i/>
        </w:rPr>
        <w:t xml:space="preserve">Ius en Actores </w:t>
      </w:r>
      <w:r w:rsidRPr="0052181C">
        <w:t xml:space="preserve">2013, </w:t>
      </w:r>
      <w:r w:rsidR="0052181C">
        <w:t>59-106.</w:t>
      </w:r>
    </w:p>
    <w:p w14:paraId="51D0D6F3" w14:textId="77777777" w:rsidR="008530A1" w:rsidRPr="002A0C60" w:rsidRDefault="008530A1" w:rsidP="005E187E">
      <w:pPr>
        <w:spacing w:line="360" w:lineRule="auto"/>
      </w:pPr>
    </w:p>
    <w:p w14:paraId="53D3081C" w14:textId="41F27E0D" w:rsidR="008530A1" w:rsidRPr="002A0C60" w:rsidRDefault="008530A1" w:rsidP="005E187E">
      <w:pPr>
        <w:spacing w:line="360" w:lineRule="auto"/>
      </w:pPr>
      <w:r w:rsidRPr="0052181C">
        <w:rPr>
          <w:smallCaps/>
        </w:rPr>
        <w:t>Georges</w:t>
      </w:r>
      <w:r w:rsidR="00A70433">
        <w:rPr>
          <w:smallCaps/>
        </w:rPr>
        <w:t xml:space="preserve"> F.</w:t>
      </w:r>
      <w:r w:rsidRPr="0052181C">
        <w:rPr>
          <w:smallCaps/>
        </w:rPr>
        <w:t xml:space="preserve">, </w:t>
      </w:r>
      <w:r w:rsidRPr="0052181C">
        <w:t xml:space="preserve">“La reforme des sûretés mobilières, </w:t>
      </w:r>
      <w:r w:rsidRPr="0052181C">
        <w:rPr>
          <w:i/>
        </w:rPr>
        <w:t>Revue de la Faculté de droit de l’Université de Liège</w:t>
      </w:r>
      <w:r w:rsidRPr="0052181C">
        <w:t xml:space="preserve"> 2013,</w:t>
      </w:r>
      <w:r w:rsidR="0052181C" w:rsidRPr="0052181C">
        <w:t xml:space="preserve"> 321-368</w:t>
      </w:r>
    </w:p>
    <w:p w14:paraId="61EB0039" w14:textId="77777777" w:rsidR="008530A1" w:rsidRPr="002A0C60" w:rsidRDefault="008530A1" w:rsidP="005E187E">
      <w:pPr>
        <w:spacing w:line="360" w:lineRule="auto"/>
      </w:pPr>
    </w:p>
    <w:p w14:paraId="0F7473AF" w14:textId="7420F9DE" w:rsidR="008530A1" w:rsidRPr="002A0C60" w:rsidRDefault="008530A1" w:rsidP="005E187E">
      <w:pPr>
        <w:pStyle w:val="Voetnoottekst"/>
        <w:spacing w:line="360" w:lineRule="auto"/>
        <w:rPr>
          <w:sz w:val="24"/>
          <w:szCs w:val="24"/>
        </w:rPr>
      </w:pPr>
      <w:r w:rsidRPr="002A0C60">
        <w:rPr>
          <w:smallCaps/>
          <w:sz w:val="24"/>
          <w:szCs w:val="24"/>
        </w:rPr>
        <w:t>Hellebuyck</w:t>
      </w:r>
      <w:r w:rsidR="00A70433">
        <w:rPr>
          <w:smallCaps/>
          <w:sz w:val="24"/>
          <w:szCs w:val="24"/>
        </w:rPr>
        <w:t xml:space="preserve"> E.</w:t>
      </w:r>
      <w:r w:rsidRPr="002A0C60">
        <w:rPr>
          <w:smallCaps/>
          <w:sz w:val="24"/>
          <w:szCs w:val="24"/>
        </w:rPr>
        <w:t xml:space="preserve">, </w:t>
      </w:r>
      <w:r w:rsidRPr="002A0C60">
        <w:rPr>
          <w:sz w:val="24"/>
          <w:szCs w:val="24"/>
        </w:rPr>
        <w:t xml:space="preserve">“Commentaar bij artikel 6 Pandwet”, </w:t>
      </w:r>
      <w:r w:rsidRPr="002A0C60">
        <w:rPr>
          <w:i/>
          <w:sz w:val="24"/>
          <w:szCs w:val="24"/>
        </w:rPr>
        <w:t xml:space="preserve">Voorrechten en hypotheken OVH </w:t>
      </w:r>
      <w:r w:rsidRPr="002A0C60">
        <w:rPr>
          <w:sz w:val="24"/>
          <w:szCs w:val="24"/>
        </w:rPr>
        <w:t xml:space="preserve">2015, </w:t>
      </w:r>
      <w:r w:rsidR="0030637D" w:rsidRPr="002A0C60">
        <w:rPr>
          <w:sz w:val="24"/>
          <w:szCs w:val="24"/>
        </w:rPr>
        <w:t>10.</w:t>
      </w:r>
    </w:p>
    <w:p w14:paraId="0186C669" w14:textId="77777777" w:rsidR="008530A1" w:rsidRPr="002A0C60" w:rsidRDefault="008530A1" w:rsidP="005E187E">
      <w:pPr>
        <w:spacing w:line="360" w:lineRule="auto"/>
      </w:pPr>
    </w:p>
    <w:p w14:paraId="2A7668B6" w14:textId="239C2B16" w:rsidR="008530A1" w:rsidRPr="002A0C60" w:rsidRDefault="008530A1" w:rsidP="005E187E">
      <w:pPr>
        <w:spacing w:line="360" w:lineRule="auto"/>
      </w:pPr>
      <w:r w:rsidRPr="002A0C60">
        <w:rPr>
          <w:smallCaps/>
        </w:rPr>
        <w:t>Helsen</w:t>
      </w:r>
      <w:r w:rsidR="00A70433">
        <w:rPr>
          <w:smallCaps/>
        </w:rPr>
        <w:t xml:space="preserve"> F.</w:t>
      </w:r>
      <w:r w:rsidRPr="002A0C60">
        <w:rPr>
          <w:smallCaps/>
        </w:rPr>
        <w:t>, “</w:t>
      </w:r>
      <w:r w:rsidRPr="002A0C60">
        <w:t>Belang van openbaar pandregister mag niet onderschat worden”</w:t>
      </w:r>
      <w:r w:rsidRPr="002A0C60">
        <w:rPr>
          <w:i/>
        </w:rPr>
        <w:t xml:space="preserve">, </w:t>
      </w:r>
      <w:r w:rsidR="00C4196D" w:rsidRPr="002A0C60">
        <w:rPr>
          <w:i/>
        </w:rPr>
        <w:t>Juristenkrant</w:t>
      </w:r>
      <w:r w:rsidRPr="002A0C60">
        <w:rPr>
          <w:i/>
        </w:rPr>
        <w:t xml:space="preserve"> </w:t>
      </w:r>
      <w:r w:rsidRPr="002A0C60">
        <w:t xml:space="preserve">2014, </w:t>
      </w:r>
      <w:r w:rsidR="009F6D1C" w:rsidRPr="002A0C60">
        <w:t>11.</w:t>
      </w:r>
    </w:p>
    <w:p w14:paraId="718C3ACB" w14:textId="77777777" w:rsidR="0030637D" w:rsidRPr="002A0C60" w:rsidRDefault="0030637D" w:rsidP="005E187E">
      <w:pPr>
        <w:spacing w:line="360" w:lineRule="auto"/>
      </w:pPr>
    </w:p>
    <w:p w14:paraId="4F85C3BB" w14:textId="009FD371" w:rsidR="00A70433" w:rsidRDefault="0030637D" w:rsidP="005E187E">
      <w:pPr>
        <w:spacing w:line="360" w:lineRule="auto"/>
      </w:pPr>
      <w:r w:rsidRPr="002A0C60">
        <w:rPr>
          <w:smallCaps/>
        </w:rPr>
        <w:t>Herbots</w:t>
      </w:r>
      <w:r w:rsidR="00A70433">
        <w:rPr>
          <w:smallCaps/>
        </w:rPr>
        <w:t xml:space="preserve"> J.H., </w:t>
      </w:r>
      <w:r w:rsidRPr="002A0C60">
        <w:rPr>
          <w:smallCaps/>
        </w:rPr>
        <w:t>Clarysse</w:t>
      </w:r>
      <w:r w:rsidR="00A70433">
        <w:rPr>
          <w:smallCaps/>
        </w:rPr>
        <w:t xml:space="preserve"> D., </w:t>
      </w:r>
      <w:r w:rsidRPr="002A0C60">
        <w:rPr>
          <w:smallCaps/>
        </w:rPr>
        <w:t>Werckx</w:t>
      </w:r>
      <w:r w:rsidR="00A70433">
        <w:rPr>
          <w:smallCaps/>
        </w:rPr>
        <w:t xml:space="preserve"> J.</w:t>
      </w:r>
      <w:r w:rsidRPr="002A0C60">
        <w:rPr>
          <w:smallCaps/>
        </w:rPr>
        <w:t xml:space="preserve">, </w:t>
      </w:r>
      <w:r w:rsidRPr="002A0C60">
        <w:t xml:space="preserve">“Overzicht van rechtspraak – bijzondere overeenkomsten”, </w:t>
      </w:r>
      <w:r w:rsidRPr="002A0C60">
        <w:rPr>
          <w:i/>
        </w:rPr>
        <w:t xml:space="preserve">TPR </w:t>
      </w:r>
      <w:r w:rsidRPr="002A0C60">
        <w:t>1985,</w:t>
      </w:r>
      <w:r w:rsidR="00242660">
        <w:t xml:space="preserve"> 676-962.</w:t>
      </w:r>
    </w:p>
    <w:p w14:paraId="39202FD5" w14:textId="77777777" w:rsidR="00A70433" w:rsidRDefault="00A70433" w:rsidP="005E187E">
      <w:pPr>
        <w:spacing w:line="360" w:lineRule="auto"/>
      </w:pPr>
    </w:p>
    <w:p w14:paraId="67860146" w14:textId="4EC7FFEB" w:rsidR="00395EE3" w:rsidRPr="002A0C60" w:rsidRDefault="00395EE3" w:rsidP="005E187E">
      <w:pPr>
        <w:spacing w:line="360" w:lineRule="auto"/>
      </w:pPr>
      <w:r w:rsidRPr="002A0C60">
        <w:rPr>
          <w:smallCaps/>
        </w:rPr>
        <w:lastRenderedPageBreak/>
        <w:t>Heurterre</w:t>
      </w:r>
      <w:r w:rsidR="00A70433">
        <w:rPr>
          <w:smallCaps/>
        </w:rPr>
        <w:t xml:space="preserve"> P.</w:t>
      </w:r>
      <w:r w:rsidRPr="002A0C60">
        <w:rPr>
          <w:smallCaps/>
        </w:rPr>
        <w:t xml:space="preserve">, </w:t>
      </w:r>
      <w:r w:rsidRPr="002A0C60">
        <w:t xml:space="preserve">“De bewijslast van de (on)deugdelijkheid van het bezit, </w:t>
      </w:r>
      <w:r w:rsidRPr="002A0C60">
        <w:rPr>
          <w:i/>
        </w:rPr>
        <w:t xml:space="preserve">Not. Fisc. M., </w:t>
      </w:r>
      <w:r w:rsidRPr="002A0C60">
        <w:t>1999, (noot onder Cass. 16 februari 1998), 69-75.</w:t>
      </w:r>
    </w:p>
    <w:p w14:paraId="1B9BDB4C" w14:textId="77777777" w:rsidR="008530A1" w:rsidRPr="002A0C60" w:rsidRDefault="008530A1" w:rsidP="005E187E">
      <w:pPr>
        <w:spacing w:line="360" w:lineRule="auto"/>
      </w:pPr>
    </w:p>
    <w:p w14:paraId="4538B509" w14:textId="44401133" w:rsidR="008530A1" w:rsidRPr="002A0C60" w:rsidRDefault="008530A1" w:rsidP="005E187E">
      <w:pPr>
        <w:spacing w:line="360" w:lineRule="auto"/>
      </w:pPr>
      <w:r w:rsidRPr="002A0C60">
        <w:rPr>
          <w:smallCaps/>
        </w:rPr>
        <w:t>Heyvaert</w:t>
      </w:r>
      <w:r w:rsidR="00242660">
        <w:rPr>
          <w:smallCaps/>
        </w:rPr>
        <w:t xml:space="preserve"> A.</w:t>
      </w:r>
      <w:r w:rsidRPr="002A0C60">
        <w:rPr>
          <w:smallCaps/>
        </w:rPr>
        <w:t>, “</w:t>
      </w:r>
      <w:r w:rsidRPr="002A0C60">
        <w:t xml:space="preserve">Overzicht van rechtspraak 1961-64”, </w:t>
      </w:r>
      <w:r w:rsidRPr="002A0C60">
        <w:rPr>
          <w:i/>
        </w:rPr>
        <w:t xml:space="preserve">TPR </w:t>
      </w:r>
      <w:r w:rsidRPr="002A0C60">
        <w:t xml:space="preserve">1975, </w:t>
      </w:r>
      <w:r w:rsidR="000A1FD4" w:rsidRPr="002A0C60">
        <w:t>107-124.</w:t>
      </w:r>
    </w:p>
    <w:p w14:paraId="2B85E1DD" w14:textId="77777777" w:rsidR="008530A1" w:rsidRPr="002A0C60" w:rsidRDefault="008530A1" w:rsidP="005E187E">
      <w:pPr>
        <w:spacing w:line="360" w:lineRule="auto"/>
      </w:pPr>
    </w:p>
    <w:p w14:paraId="4A36B74C" w14:textId="0D4AA03D" w:rsidR="008530A1" w:rsidRPr="002A0C60" w:rsidRDefault="008530A1" w:rsidP="005E187E">
      <w:pPr>
        <w:spacing w:line="360" w:lineRule="auto"/>
      </w:pPr>
      <w:r w:rsidRPr="002A0C60">
        <w:rPr>
          <w:smallCaps/>
        </w:rPr>
        <w:t>Jansen</w:t>
      </w:r>
      <w:r w:rsidR="00242660">
        <w:rPr>
          <w:smallCaps/>
        </w:rPr>
        <w:t xml:space="preserve"> R.</w:t>
      </w:r>
      <w:r w:rsidRPr="002A0C60">
        <w:rPr>
          <w:smallCaps/>
        </w:rPr>
        <w:t>, “</w:t>
      </w:r>
      <w:r w:rsidRPr="002A0C60">
        <w:t xml:space="preserve">Algemene systematiek van voorrechten”, </w:t>
      </w:r>
      <w:r w:rsidRPr="002A0C60">
        <w:rPr>
          <w:i/>
        </w:rPr>
        <w:t xml:space="preserve">TPR </w:t>
      </w:r>
      <w:r w:rsidRPr="002A0C60">
        <w:t>2008,</w:t>
      </w:r>
      <w:r w:rsidR="0030637D" w:rsidRPr="002A0C60">
        <w:t xml:space="preserve"> 9-76.</w:t>
      </w:r>
    </w:p>
    <w:p w14:paraId="6D24AFD2" w14:textId="77777777" w:rsidR="004E082E" w:rsidRPr="002A0C60" w:rsidRDefault="004E082E" w:rsidP="005E187E">
      <w:pPr>
        <w:spacing w:line="360" w:lineRule="auto"/>
      </w:pPr>
    </w:p>
    <w:p w14:paraId="3379FEC1" w14:textId="16F282AF" w:rsidR="004E082E" w:rsidRPr="002A0C60" w:rsidRDefault="004E082E" w:rsidP="005E187E">
      <w:pPr>
        <w:spacing w:line="360" w:lineRule="auto"/>
      </w:pPr>
      <w:r w:rsidRPr="002A0C60">
        <w:rPr>
          <w:smallCaps/>
        </w:rPr>
        <w:t>Jansen</w:t>
      </w:r>
      <w:r w:rsidR="00242660">
        <w:rPr>
          <w:smallCaps/>
        </w:rPr>
        <w:t xml:space="preserve"> R.</w:t>
      </w:r>
      <w:r w:rsidRPr="002A0C60">
        <w:rPr>
          <w:smallCaps/>
        </w:rPr>
        <w:t xml:space="preserve">, </w:t>
      </w:r>
      <w:r w:rsidRPr="002A0C60">
        <w:t xml:space="preserve">“Soms geldt bezit als vermoeden van titel, </w:t>
      </w:r>
      <w:r w:rsidR="002A0C60" w:rsidRPr="002A0C60">
        <w:t>soms</w:t>
      </w:r>
      <w:r w:rsidRPr="002A0C60">
        <w:t xml:space="preserve"> als termijn”, </w:t>
      </w:r>
      <w:r w:rsidRPr="002A0C60">
        <w:rPr>
          <w:i/>
        </w:rPr>
        <w:t xml:space="preserve">RW </w:t>
      </w:r>
      <w:r w:rsidRPr="002A0C60">
        <w:t>2008-09, 827 (noot onder Cass. 24 september 2009</w:t>
      </w:r>
      <w:r w:rsidR="00AC2DE6" w:rsidRPr="002A0C60">
        <w:t>), 826-829.</w:t>
      </w:r>
    </w:p>
    <w:p w14:paraId="3022BA8C" w14:textId="77777777" w:rsidR="008530A1" w:rsidRPr="002A0C60" w:rsidRDefault="008530A1" w:rsidP="005E187E">
      <w:pPr>
        <w:spacing w:line="360" w:lineRule="auto"/>
      </w:pPr>
    </w:p>
    <w:p w14:paraId="3F5B61D4" w14:textId="34895520" w:rsidR="008530A1" w:rsidRPr="002A0C60" w:rsidRDefault="008530A1" w:rsidP="005E187E">
      <w:pPr>
        <w:widowControl w:val="0"/>
        <w:autoSpaceDE w:val="0"/>
        <w:autoSpaceDN w:val="0"/>
        <w:adjustRightInd w:val="0"/>
        <w:spacing w:line="360" w:lineRule="auto"/>
      </w:pPr>
      <w:r w:rsidRPr="002A0C60">
        <w:rPr>
          <w:smallCaps/>
        </w:rPr>
        <w:t>Jansen</w:t>
      </w:r>
      <w:r w:rsidR="00242660">
        <w:rPr>
          <w:smallCaps/>
        </w:rPr>
        <w:t xml:space="preserve"> R., </w:t>
      </w:r>
      <w:r w:rsidRPr="002A0C60">
        <w:rPr>
          <w:smallCaps/>
        </w:rPr>
        <w:t>Sagaert</w:t>
      </w:r>
      <w:r w:rsidR="00242660">
        <w:rPr>
          <w:smallCaps/>
        </w:rPr>
        <w:t xml:space="preserve"> V.</w:t>
      </w:r>
      <w:r w:rsidRPr="002A0C60">
        <w:rPr>
          <w:smallCaps/>
        </w:rPr>
        <w:t xml:space="preserve">, </w:t>
      </w:r>
      <w:r w:rsidRPr="002A0C60">
        <w:t xml:space="preserve">“Bijzondere voorrechten”, </w:t>
      </w:r>
      <w:r w:rsidRPr="002A0C60">
        <w:rPr>
          <w:i/>
        </w:rPr>
        <w:t xml:space="preserve">TPR </w:t>
      </w:r>
      <w:r w:rsidR="0030637D" w:rsidRPr="002A0C60">
        <w:t>2012, 1309-1341.</w:t>
      </w:r>
    </w:p>
    <w:p w14:paraId="2FC4DB1B" w14:textId="77777777" w:rsidR="008530A1" w:rsidRPr="002A0C60" w:rsidRDefault="008530A1" w:rsidP="005E187E">
      <w:pPr>
        <w:widowControl w:val="0"/>
        <w:autoSpaceDE w:val="0"/>
        <w:autoSpaceDN w:val="0"/>
        <w:adjustRightInd w:val="0"/>
        <w:spacing w:line="360" w:lineRule="auto"/>
      </w:pPr>
    </w:p>
    <w:p w14:paraId="2E167386" w14:textId="13936FB0" w:rsidR="008530A1" w:rsidRPr="002A0C60" w:rsidRDefault="008530A1" w:rsidP="005E187E">
      <w:pPr>
        <w:widowControl w:val="0"/>
        <w:autoSpaceDE w:val="0"/>
        <w:autoSpaceDN w:val="0"/>
        <w:adjustRightInd w:val="0"/>
        <w:spacing w:line="360" w:lineRule="auto"/>
      </w:pPr>
      <w:r w:rsidRPr="00AC33B8">
        <w:rPr>
          <w:smallCaps/>
        </w:rPr>
        <w:t>Kokelenberg</w:t>
      </w:r>
      <w:r w:rsidR="00242660">
        <w:rPr>
          <w:smallCaps/>
        </w:rPr>
        <w:t xml:space="preserve"> J.</w:t>
      </w:r>
      <w:r w:rsidRPr="00AC33B8">
        <w:t>, “De verantwoording voor de uitbreiding van het voorrecht”</w:t>
      </w:r>
      <w:r w:rsidR="00114386" w:rsidRPr="00AC33B8">
        <w:t xml:space="preserve">, </w:t>
      </w:r>
      <w:r w:rsidR="00114386" w:rsidRPr="00AC33B8">
        <w:rPr>
          <w:i/>
        </w:rPr>
        <w:t>RW</w:t>
      </w:r>
      <w:r w:rsidRPr="00AC33B8">
        <w:t xml:space="preserve"> 1975-76,</w:t>
      </w:r>
      <w:r w:rsidR="00AC33B8" w:rsidRPr="00AC33B8">
        <w:t>667-682.</w:t>
      </w:r>
    </w:p>
    <w:p w14:paraId="2E5AB7EB" w14:textId="77777777" w:rsidR="008530A1" w:rsidRPr="002A0C60" w:rsidRDefault="008530A1" w:rsidP="005E187E">
      <w:pPr>
        <w:spacing w:line="360" w:lineRule="auto"/>
      </w:pPr>
    </w:p>
    <w:p w14:paraId="694E7CD9" w14:textId="511A3C8C" w:rsidR="008530A1" w:rsidRPr="002A0C60" w:rsidRDefault="008530A1" w:rsidP="005E187E">
      <w:pPr>
        <w:spacing w:line="360" w:lineRule="auto"/>
      </w:pPr>
      <w:proofErr w:type="spellStart"/>
      <w:r w:rsidRPr="002A0C60">
        <w:rPr>
          <w:smallCaps/>
        </w:rPr>
        <w:t>Lamine</w:t>
      </w:r>
      <w:proofErr w:type="spellEnd"/>
      <w:r w:rsidR="00242660">
        <w:rPr>
          <w:smallCaps/>
        </w:rPr>
        <w:t xml:space="preserve"> L.</w:t>
      </w:r>
      <w:r w:rsidRPr="002A0C60">
        <w:rPr>
          <w:smallCaps/>
        </w:rPr>
        <w:t xml:space="preserve">, </w:t>
      </w:r>
      <w:r w:rsidRPr="002A0C60">
        <w:t xml:space="preserve">“Artikel 2073 Burgerlijk Wetboek”, in X (ed.) </w:t>
      </w:r>
      <w:r w:rsidR="00AC33B8">
        <w:rPr>
          <w:i/>
        </w:rPr>
        <w:t xml:space="preserve">Bijzondere </w:t>
      </w:r>
      <w:proofErr w:type="gramStart"/>
      <w:r w:rsidRPr="002A0C60">
        <w:rPr>
          <w:i/>
        </w:rPr>
        <w:t>overeenkomsten  Artikelsgewijze</w:t>
      </w:r>
      <w:proofErr w:type="gramEnd"/>
      <w:r w:rsidRPr="002A0C60">
        <w:rPr>
          <w:i/>
        </w:rPr>
        <w:t xml:space="preserve"> commentaar met overzicht van rechtspraak en rechtsleer</w:t>
      </w:r>
      <w:r w:rsidRPr="002A0C60">
        <w:t>, Mechelen, Kluwer 2001,</w:t>
      </w:r>
      <w:r w:rsidR="000A1FD4" w:rsidRPr="002A0C60">
        <w:t xml:space="preserve"> 7.</w:t>
      </w:r>
    </w:p>
    <w:p w14:paraId="03187FCE" w14:textId="77777777" w:rsidR="008530A1" w:rsidRPr="002A0C60" w:rsidRDefault="008530A1" w:rsidP="005E187E">
      <w:pPr>
        <w:spacing w:line="360" w:lineRule="auto"/>
      </w:pPr>
    </w:p>
    <w:p w14:paraId="5DEBB5AF" w14:textId="4A3F36AD" w:rsidR="008530A1" w:rsidRPr="002A0C60" w:rsidRDefault="008530A1" w:rsidP="005E187E">
      <w:pPr>
        <w:pStyle w:val="Voetnoottekst"/>
        <w:spacing w:line="360" w:lineRule="auto"/>
        <w:rPr>
          <w:sz w:val="24"/>
          <w:szCs w:val="24"/>
        </w:rPr>
      </w:pPr>
      <w:r w:rsidRPr="002A0C60">
        <w:rPr>
          <w:smallCaps/>
          <w:sz w:val="24"/>
          <w:szCs w:val="24"/>
        </w:rPr>
        <w:t>Landuyt</w:t>
      </w:r>
      <w:r w:rsidR="00242660">
        <w:rPr>
          <w:smallCaps/>
          <w:sz w:val="24"/>
          <w:szCs w:val="24"/>
        </w:rPr>
        <w:t xml:space="preserve"> S.</w:t>
      </w:r>
      <w:r w:rsidRPr="002A0C60">
        <w:rPr>
          <w:smallCaps/>
          <w:sz w:val="24"/>
          <w:szCs w:val="24"/>
        </w:rPr>
        <w:t xml:space="preserve">, </w:t>
      </w:r>
      <w:r w:rsidRPr="002A0C60">
        <w:rPr>
          <w:sz w:val="24"/>
          <w:szCs w:val="24"/>
        </w:rPr>
        <w:t xml:space="preserve">“Commentaar bij artikel 4 Pandwet”, </w:t>
      </w:r>
      <w:r w:rsidR="000A1FD4" w:rsidRPr="002A0C60">
        <w:rPr>
          <w:i/>
          <w:sz w:val="24"/>
          <w:szCs w:val="24"/>
        </w:rPr>
        <w:t>Voorrechten en hypotheken</w:t>
      </w:r>
      <w:r w:rsidRPr="002A0C60">
        <w:rPr>
          <w:i/>
          <w:sz w:val="24"/>
          <w:szCs w:val="24"/>
        </w:rPr>
        <w:t xml:space="preserve"> </w:t>
      </w:r>
      <w:r w:rsidRPr="002A0C60">
        <w:rPr>
          <w:sz w:val="24"/>
          <w:szCs w:val="24"/>
        </w:rPr>
        <w:t>2014, 53.</w:t>
      </w:r>
      <w:r w:rsidR="000A1FD4" w:rsidRPr="002A0C60">
        <w:rPr>
          <w:sz w:val="24"/>
          <w:szCs w:val="24"/>
        </w:rPr>
        <w:t>46-79.</w:t>
      </w:r>
    </w:p>
    <w:p w14:paraId="36A5EF17" w14:textId="77777777" w:rsidR="008530A1" w:rsidRPr="002A0C60" w:rsidRDefault="008530A1" w:rsidP="005E187E">
      <w:pPr>
        <w:spacing w:line="360" w:lineRule="auto"/>
      </w:pPr>
    </w:p>
    <w:p w14:paraId="16D22125" w14:textId="11B1FF96" w:rsidR="008530A1" w:rsidRPr="002A0C60" w:rsidRDefault="008530A1" w:rsidP="005E187E">
      <w:pPr>
        <w:spacing w:line="360" w:lineRule="auto"/>
      </w:pPr>
      <w:r w:rsidRPr="003A4D61">
        <w:rPr>
          <w:smallCaps/>
        </w:rPr>
        <w:t>Lemiegre</w:t>
      </w:r>
      <w:r w:rsidR="00242660">
        <w:rPr>
          <w:smallCaps/>
        </w:rPr>
        <w:t xml:space="preserve"> S.</w:t>
      </w:r>
      <w:r w:rsidRPr="003A4D61">
        <w:rPr>
          <w:smallCaps/>
        </w:rPr>
        <w:t>, “</w:t>
      </w:r>
      <w:r w:rsidRPr="003A4D61">
        <w:t>Het voorrecht van de verhuuurder”</w:t>
      </w:r>
      <w:r w:rsidRPr="003A4D61">
        <w:rPr>
          <w:i/>
        </w:rPr>
        <w:t xml:space="preserve">, </w:t>
      </w:r>
      <w:r w:rsidRPr="003A4D61">
        <w:t>Mechelen, Kluwer 2005,</w:t>
      </w:r>
      <w:r w:rsidR="003A4D61" w:rsidRPr="003A4D61">
        <w:t xml:space="preserve"> 125-132.</w:t>
      </w:r>
    </w:p>
    <w:p w14:paraId="7CDADF6C" w14:textId="77777777" w:rsidR="000A1FD4" w:rsidRPr="002A0C60" w:rsidRDefault="000A1FD4" w:rsidP="005E187E">
      <w:pPr>
        <w:spacing w:line="360" w:lineRule="auto"/>
      </w:pPr>
    </w:p>
    <w:p w14:paraId="73BA2B18" w14:textId="42885F47" w:rsidR="000A1FD4" w:rsidRPr="002A0C60" w:rsidRDefault="000A1FD4" w:rsidP="005E187E">
      <w:pPr>
        <w:spacing w:line="360" w:lineRule="auto"/>
      </w:pPr>
      <w:r w:rsidRPr="002A0C60">
        <w:rPr>
          <w:rFonts w:eastAsia="헤드라인A"/>
          <w:smallCaps/>
        </w:rPr>
        <w:t>Malekzadem</w:t>
      </w:r>
      <w:r w:rsidR="00242660">
        <w:rPr>
          <w:rFonts w:eastAsia="헤드라인A"/>
          <w:smallCaps/>
        </w:rPr>
        <w:t xml:space="preserve"> J.</w:t>
      </w:r>
      <w:r w:rsidRPr="002A0C60">
        <w:rPr>
          <w:rFonts w:eastAsia="헤드라인A"/>
          <w:smallCaps/>
        </w:rPr>
        <w:t>,</w:t>
      </w:r>
      <w:r w:rsidRPr="002A0C60">
        <w:rPr>
          <w:rFonts w:eastAsia="헤드라인A"/>
        </w:rPr>
        <w:t xml:space="preserve"> “De Pandwet uitgesteld”, </w:t>
      </w:r>
      <w:r w:rsidRPr="002A0C60">
        <w:rPr>
          <w:rFonts w:eastAsia="헤드라인A"/>
          <w:i/>
        </w:rPr>
        <w:t xml:space="preserve">RW </w:t>
      </w:r>
      <w:r w:rsidRPr="002A0C60">
        <w:rPr>
          <w:rFonts w:eastAsia="헤드라인A"/>
        </w:rPr>
        <w:t>2014-15, 722.</w:t>
      </w:r>
    </w:p>
    <w:p w14:paraId="164E4F7A" w14:textId="77777777" w:rsidR="008530A1" w:rsidRPr="002A0C60" w:rsidRDefault="008530A1" w:rsidP="005E187E">
      <w:pPr>
        <w:spacing w:line="360" w:lineRule="auto"/>
      </w:pPr>
    </w:p>
    <w:p w14:paraId="549D0CD9" w14:textId="3BAA95F0" w:rsidR="008530A1" w:rsidRPr="002A0C60" w:rsidRDefault="00EF7A52" w:rsidP="00EF7A52">
      <w:pPr>
        <w:pStyle w:val="Voetnoottekst"/>
        <w:spacing w:line="360" w:lineRule="auto"/>
        <w:rPr>
          <w:sz w:val="24"/>
          <w:szCs w:val="24"/>
        </w:rPr>
      </w:pPr>
      <w:r w:rsidRPr="002A0C60">
        <w:rPr>
          <w:smallCaps/>
          <w:sz w:val="24"/>
          <w:szCs w:val="24"/>
        </w:rPr>
        <w:t>Moreau-</w:t>
      </w:r>
      <w:r w:rsidR="002A0C60" w:rsidRPr="002A0C60">
        <w:rPr>
          <w:smallCaps/>
          <w:sz w:val="24"/>
          <w:szCs w:val="24"/>
        </w:rPr>
        <w:t>Margrève</w:t>
      </w:r>
      <w:r w:rsidR="00242660">
        <w:rPr>
          <w:smallCaps/>
          <w:sz w:val="24"/>
          <w:szCs w:val="24"/>
        </w:rPr>
        <w:t xml:space="preserve"> I.</w:t>
      </w:r>
      <w:r w:rsidR="002A0C60" w:rsidRPr="002A0C60">
        <w:rPr>
          <w:sz w:val="24"/>
          <w:szCs w:val="24"/>
        </w:rPr>
        <w:t>, “Heurs</w:t>
      </w:r>
      <w:r w:rsidRPr="002A0C60">
        <w:rPr>
          <w:sz w:val="24"/>
          <w:szCs w:val="24"/>
        </w:rPr>
        <w:t xml:space="preserve"> et maleurs du gage sur fonds de commerce”, </w:t>
      </w:r>
      <w:r w:rsidRPr="002A0C60">
        <w:rPr>
          <w:i/>
          <w:sz w:val="24"/>
          <w:szCs w:val="24"/>
        </w:rPr>
        <w:t>RCJB</w:t>
      </w:r>
      <w:r w:rsidRPr="002A0C60">
        <w:rPr>
          <w:sz w:val="24"/>
          <w:szCs w:val="24"/>
        </w:rPr>
        <w:t xml:space="preserve"> 1980, 127-171.</w:t>
      </w:r>
    </w:p>
    <w:p w14:paraId="32DD5DFA" w14:textId="77777777" w:rsidR="00EF7A52" w:rsidRPr="002A0C60" w:rsidRDefault="00EF7A52" w:rsidP="00EF7A52">
      <w:pPr>
        <w:pStyle w:val="Voetnoottekst"/>
        <w:spacing w:line="360" w:lineRule="auto"/>
        <w:rPr>
          <w:sz w:val="24"/>
          <w:szCs w:val="24"/>
        </w:rPr>
      </w:pPr>
    </w:p>
    <w:p w14:paraId="2802C41D" w14:textId="2DD412D2" w:rsidR="008530A1" w:rsidRDefault="008530A1" w:rsidP="005E187E">
      <w:pPr>
        <w:spacing w:line="360" w:lineRule="auto"/>
      </w:pPr>
      <w:r w:rsidRPr="002A0C60">
        <w:rPr>
          <w:smallCaps/>
        </w:rPr>
        <w:t>Pieters</w:t>
      </w:r>
      <w:r w:rsidR="00242660">
        <w:rPr>
          <w:smallCaps/>
        </w:rPr>
        <w:t xml:space="preserve"> J.</w:t>
      </w:r>
      <w:r w:rsidRPr="002A0C60">
        <w:rPr>
          <w:smallCaps/>
        </w:rPr>
        <w:t xml:space="preserve">, </w:t>
      </w:r>
      <w:r w:rsidRPr="002A0C60">
        <w:t xml:space="preserve">“Commentaar bij artikel 26-38 Pandwet”, </w:t>
      </w:r>
      <w:r w:rsidR="000A1FD4" w:rsidRPr="002A0C60">
        <w:rPr>
          <w:i/>
        </w:rPr>
        <w:t>Voorrechten hypotheken</w:t>
      </w:r>
      <w:r w:rsidRPr="002A0C60">
        <w:rPr>
          <w:i/>
        </w:rPr>
        <w:t xml:space="preserve"> </w:t>
      </w:r>
      <w:r w:rsidRPr="002A0C60">
        <w:t>2014,</w:t>
      </w:r>
      <w:r w:rsidR="000A1FD4" w:rsidRPr="002A0C60">
        <w:t xml:space="preserve"> 31-43.</w:t>
      </w:r>
    </w:p>
    <w:p w14:paraId="1FBED94A" w14:textId="77777777" w:rsidR="008367D0" w:rsidRDefault="008367D0" w:rsidP="005E187E">
      <w:pPr>
        <w:spacing w:line="360" w:lineRule="auto"/>
      </w:pPr>
    </w:p>
    <w:p w14:paraId="77A2A952" w14:textId="3AE5ECA9" w:rsidR="008367D0" w:rsidRPr="008367D0" w:rsidRDefault="008367D0" w:rsidP="005E187E">
      <w:pPr>
        <w:spacing w:line="360" w:lineRule="auto"/>
      </w:pPr>
      <w:r w:rsidRPr="008367D0">
        <w:rPr>
          <w:smallCaps/>
        </w:rPr>
        <w:t>Romain</w:t>
      </w:r>
      <w:r>
        <w:rPr>
          <w:smallCaps/>
        </w:rPr>
        <w:t xml:space="preserve"> F.</w:t>
      </w:r>
      <w:r w:rsidRPr="008367D0">
        <w:rPr>
          <w:smallCaps/>
        </w:rPr>
        <w:t xml:space="preserve">, </w:t>
      </w:r>
      <w:r w:rsidRPr="008367D0">
        <w:t xml:space="preserve">“De la </w:t>
      </w:r>
      <w:proofErr w:type="spellStart"/>
      <w:r w:rsidRPr="008367D0">
        <w:t>possession</w:t>
      </w:r>
      <w:proofErr w:type="spellEnd"/>
      <w:r w:rsidRPr="008367D0">
        <w:t xml:space="preserve">”, </w:t>
      </w:r>
      <w:r w:rsidRPr="008367D0">
        <w:rPr>
          <w:i/>
        </w:rPr>
        <w:t xml:space="preserve">JT </w:t>
      </w:r>
      <w:r>
        <w:t xml:space="preserve">2004, </w:t>
      </w:r>
      <w:r w:rsidR="00507686">
        <w:t>340-341.</w:t>
      </w:r>
    </w:p>
    <w:p w14:paraId="0D2A59DD" w14:textId="77777777" w:rsidR="008530A1" w:rsidRPr="002A0C60" w:rsidRDefault="008530A1" w:rsidP="005E187E">
      <w:pPr>
        <w:spacing w:line="360" w:lineRule="auto"/>
      </w:pPr>
    </w:p>
    <w:p w14:paraId="2CC63825" w14:textId="07F8BD1D" w:rsidR="008530A1" w:rsidRPr="002A0C60" w:rsidRDefault="008530A1" w:rsidP="005E187E">
      <w:pPr>
        <w:spacing w:line="360" w:lineRule="auto"/>
      </w:pPr>
      <w:r w:rsidRPr="002A0C60">
        <w:rPr>
          <w:smallCaps/>
        </w:rPr>
        <w:t>Steennot</w:t>
      </w:r>
      <w:r w:rsidR="00242660">
        <w:rPr>
          <w:smallCaps/>
        </w:rPr>
        <w:t xml:space="preserve"> R.</w:t>
      </w:r>
      <w:r w:rsidRPr="002A0C60">
        <w:rPr>
          <w:smallCaps/>
        </w:rPr>
        <w:t xml:space="preserve">, </w:t>
      </w:r>
      <w:r w:rsidRPr="002A0C60">
        <w:t xml:space="preserve">“De bescherming van de consument bij pandovereenkomsten”, </w:t>
      </w:r>
      <w:r w:rsidRPr="002A0C60">
        <w:rPr>
          <w:i/>
        </w:rPr>
        <w:t>Working Paper Series</w:t>
      </w:r>
      <w:r w:rsidRPr="002A0C60">
        <w:t xml:space="preserve"> 2013,</w:t>
      </w:r>
      <w:r w:rsidR="0030637D" w:rsidRPr="002A0C60">
        <w:t xml:space="preserve"> 29.</w:t>
      </w:r>
    </w:p>
    <w:p w14:paraId="4B64BA82" w14:textId="77777777" w:rsidR="008530A1" w:rsidRPr="002A0C60" w:rsidRDefault="008530A1" w:rsidP="005E187E">
      <w:pPr>
        <w:spacing w:line="360" w:lineRule="auto"/>
      </w:pPr>
    </w:p>
    <w:p w14:paraId="7253E99C" w14:textId="61C7BB28" w:rsidR="008530A1" w:rsidRPr="002A0C60" w:rsidRDefault="008530A1" w:rsidP="005E187E">
      <w:pPr>
        <w:spacing w:line="360" w:lineRule="auto"/>
      </w:pPr>
      <w:r w:rsidRPr="002A0C60">
        <w:rPr>
          <w:smallCaps/>
        </w:rPr>
        <w:t>Storme</w:t>
      </w:r>
      <w:r w:rsidR="00242660">
        <w:rPr>
          <w:smallCaps/>
        </w:rPr>
        <w:t xml:space="preserve"> M.E.</w:t>
      </w:r>
      <w:r w:rsidRPr="002A0C60">
        <w:rPr>
          <w:smallCaps/>
        </w:rPr>
        <w:t xml:space="preserve">, </w:t>
      </w:r>
      <w:r w:rsidRPr="002A0C60">
        <w:t xml:space="preserve">“Paritas Creditorum, voorrang en roerende zekerheden”, </w:t>
      </w:r>
      <w:r w:rsidRPr="002A0C60">
        <w:rPr>
          <w:i/>
        </w:rPr>
        <w:t xml:space="preserve">TPR </w:t>
      </w:r>
      <w:r w:rsidRPr="002A0C60">
        <w:t>2006,</w:t>
      </w:r>
      <w:r w:rsidR="0030637D" w:rsidRPr="002A0C60">
        <w:t xml:space="preserve"> 939-1100.</w:t>
      </w:r>
    </w:p>
    <w:p w14:paraId="18360474" w14:textId="77777777" w:rsidR="008530A1" w:rsidRPr="002A0C60" w:rsidRDefault="008530A1" w:rsidP="005E187E">
      <w:pPr>
        <w:spacing w:line="360" w:lineRule="auto"/>
      </w:pPr>
    </w:p>
    <w:p w14:paraId="6B559680" w14:textId="008C4769" w:rsidR="008530A1" w:rsidRPr="002A0C60" w:rsidRDefault="008530A1" w:rsidP="005E187E">
      <w:pPr>
        <w:spacing w:line="360" w:lineRule="auto"/>
      </w:pPr>
      <w:r w:rsidRPr="002A0C60">
        <w:rPr>
          <w:smallCaps/>
        </w:rPr>
        <w:t>Storme</w:t>
      </w:r>
      <w:r w:rsidR="00242660">
        <w:rPr>
          <w:smallCaps/>
        </w:rPr>
        <w:t xml:space="preserve"> M.E.</w:t>
      </w:r>
      <w:r w:rsidRPr="002A0C60">
        <w:rPr>
          <w:smallCaps/>
        </w:rPr>
        <w:t>, “</w:t>
      </w:r>
      <w:proofErr w:type="spellStart"/>
      <w:r w:rsidRPr="002A0C60">
        <w:t>Actualia</w:t>
      </w:r>
      <w:proofErr w:type="spellEnd"/>
      <w:r w:rsidRPr="002A0C60">
        <w:t xml:space="preserve"> roerende zekerheden”, </w:t>
      </w:r>
      <w:r w:rsidRPr="002A0C60">
        <w:rPr>
          <w:i/>
        </w:rPr>
        <w:t>Themis 2012</w:t>
      </w:r>
      <w:r w:rsidRPr="002A0C60">
        <w:t>, Die Keure, Brussel 2015,</w:t>
      </w:r>
      <w:r w:rsidR="0030637D" w:rsidRPr="002A0C60">
        <w:t xml:space="preserve"> 95-153.</w:t>
      </w:r>
    </w:p>
    <w:p w14:paraId="4D7BADD3" w14:textId="77777777" w:rsidR="008530A1" w:rsidRPr="002A0C60" w:rsidRDefault="008530A1" w:rsidP="005E187E">
      <w:pPr>
        <w:spacing w:line="360" w:lineRule="auto"/>
      </w:pPr>
    </w:p>
    <w:p w14:paraId="1CC86546" w14:textId="22319214" w:rsidR="008530A1" w:rsidRPr="002A0C60" w:rsidRDefault="008530A1" w:rsidP="005E187E">
      <w:pPr>
        <w:spacing w:line="360" w:lineRule="auto"/>
      </w:pPr>
      <w:r w:rsidRPr="0052181C">
        <w:rPr>
          <w:smallCaps/>
        </w:rPr>
        <w:t>Van Den Broeck</w:t>
      </w:r>
      <w:r w:rsidR="00242660">
        <w:rPr>
          <w:smallCaps/>
        </w:rPr>
        <w:t xml:space="preserve"> C.</w:t>
      </w:r>
      <w:r w:rsidRPr="0052181C">
        <w:rPr>
          <w:smallCaps/>
        </w:rPr>
        <w:t>, “</w:t>
      </w:r>
      <w:r w:rsidRPr="0052181C">
        <w:t xml:space="preserve">Artikel 22 Pandwet”, </w:t>
      </w:r>
      <w:r w:rsidRPr="0052181C">
        <w:rPr>
          <w:i/>
        </w:rPr>
        <w:t xml:space="preserve">Voorrechten en hypotheken </w:t>
      </w:r>
      <w:r w:rsidRPr="0052181C">
        <w:t>2015,</w:t>
      </w:r>
      <w:r w:rsidR="0052181C" w:rsidRPr="0052181C">
        <w:t>21-25.</w:t>
      </w:r>
    </w:p>
    <w:p w14:paraId="26644B16" w14:textId="77777777" w:rsidR="00242660" w:rsidRDefault="00242660" w:rsidP="005E187E">
      <w:pPr>
        <w:spacing w:line="360" w:lineRule="auto"/>
      </w:pPr>
    </w:p>
    <w:p w14:paraId="4EE5C1F0" w14:textId="70A153AC" w:rsidR="008530A1" w:rsidRPr="002A0C60" w:rsidRDefault="008530A1" w:rsidP="005E187E">
      <w:pPr>
        <w:spacing w:line="360" w:lineRule="auto"/>
      </w:pPr>
      <w:r w:rsidRPr="00EE2D4B">
        <w:rPr>
          <w:smallCaps/>
        </w:rPr>
        <w:t>Van Gaeghenborghg</w:t>
      </w:r>
      <w:r w:rsidR="00242660">
        <w:rPr>
          <w:smallCaps/>
        </w:rPr>
        <w:t xml:space="preserve"> G.</w:t>
      </w:r>
      <w:r w:rsidRPr="00EE2D4B">
        <w:rPr>
          <w:smallCaps/>
        </w:rPr>
        <w:t xml:space="preserve">, </w:t>
      </w:r>
      <w:r w:rsidRPr="00EE2D4B">
        <w:t xml:space="preserve">“Over de samenloop van de niet-betaalde verkoper en de houder van het landbouwvoorrecht”, </w:t>
      </w:r>
      <w:r w:rsidRPr="00EE2D4B">
        <w:rPr>
          <w:i/>
        </w:rPr>
        <w:t xml:space="preserve">RW </w:t>
      </w:r>
      <w:r w:rsidRPr="00EE2D4B">
        <w:t>1993-94, (noot onder Cass. 17 februari 1993)</w:t>
      </w:r>
      <w:r w:rsidR="00EE2D4B" w:rsidRPr="00EE2D4B">
        <w:t>, 1025-1028.</w:t>
      </w:r>
    </w:p>
    <w:p w14:paraId="2D5D93A7" w14:textId="77777777" w:rsidR="00B95341" w:rsidRPr="002A0C60" w:rsidRDefault="00B95341" w:rsidP="005E187E">
      <w:pPr>
        <w:spacing w:line="360" w:lineRule="auto"/>
        <w:rPr>
          <w:highlight w:val="cyan"/>
        </w:rPr>
      </w:pPr>
    </w:p>
    <w:p w14:paraId="69758653" w14:textId="2AEC403A" w:rsidR="008530A1" w:rsidRPr="0052181C" w:rsidRDefault="008530A1" w:rsidP="005E187E">
      <w:pPr>
        <w:spacing w:line="360" w:lineRule="auto"/>
      </w:pPr>
      <w:r w:rsidRPr="0052181C">
        <w:rPr>
          <w:smallCaps/>
        </w:rPr>
        <w:t>Vanhove</w:t>
      </w:r>
      <w:r w:rsidR="00242660">
        <w:rPr>
          <w:smallCaps/>
        </w:rPr>
        <w:t xml:space="preserve"> K.</w:t>
      </w:r>
      <w:r w:rsidRPr="0052181C">
        <w:t xml:space="preserve">, “Bezit en revindicatie bij sale en leaseback”, </w:t>
      </w:r>
      <w:r w:rsidRPr="0052181C">
        <w:rPr>
          <w:i/>
        </w:rPr>
        <w:t>NJW</w:t>
      </w:r>
      <w:r w:rsidRPr="0052181C">
        <w:t xml:space="preserve"> 2003,</w:t>
      </w:r>
      <w:r w:rsidR="0052181C" w:rsidRPr="0052181C">
        <w:t>150-155.</w:t>
      </w:r>
    </w:p>
    <w:p w14:paraId="5CAF1271" w14:textId="77777777" w:rsidR="008530A1" w:rsidRPr="002A0C60" w:rsidRDefault="008530A1" w:rsidP="005E187E">
      <w:pPr>
        <w:spacing w:line="360" w:lineRule="auto"/>
        <w:rPr>
          <w:highlight w:val="cyan"/>
        </w:rPr>
      </w:pPr>
    </w:p>
    <w:p w14:paraId="43634F4B" w14:textId="198C0013" w:rsidR="008530A1" w:rsidRPr="0052181C" w:rsidRDefault="008530A1" w:rsidP="005E187E">
      <w:pPr>
        <w:spacing w:line="360" w:lineRule="auto"/>
      </w:pPr>
      <w:r w:rsidRPr="0052181C">
        <w:rPr>
          <w:smallCaps/>
        </w:rPr>
        <w:t>Van Kokelenberg</w:t>
      </w:r>
      <w:r w:rsidR="00242660">
        <w:rPr>
          <w:smallCaps/>
        </w:rPr>
        <w:t xml:space="preserve"> J., </w:t>
      </w:r>
      <w:r w:rsidRPr="0052181C">
        <w:rPr>
          <w:smallCaps/>
        </w:rPr>
        <w:t>Sagaert</w:t>
      </w:r>
      <w:r w:rsidR="00242660">
        <w:rPr>
          <w:smallCaps/>
        </w:rPr>
        <w:t xml:space="preserve"> </w:t>
      </w:r>
      <w:proofErr w:type="spellStart"/>
      <w:proofErr w:type="gramStart"/>
      <w:r w:rsidR="00242660">
        <w:rPr>
          <w:smallCaps/>
        </w:rPr>
        <w:t>V.,</w:t>
      </w:r>
      <w:r w:rsidRPr="0052181C">
        <w:rPr>
          <w:smallCaps/>
        </w:rPr>
        <w:t>Van</w:t>
      </w:r>
      <w:proofErr w:type="spellEnd"/>
      <w:proofErr w:type="gramEnd"/>
      <w:r w:rsidRPr="0052181C">
        <w:rPr>
          <w:smallCaps/>
        </w:rPr>
        <w:t xml:space="preserve"> </w:t>
      </w:r>
      <w:proofErr w:type="spellStart"/>
      <w:r w:rsidRPr="0052181C">
        <w:rPr>
          <w:smallCaps/>
        </w:rPr>
        <w:t>Sinay</w:t>
      </w:r>
      <w:proofErr w:type="spellEnd"/>
      <w:r w:rsidR="00242660">
        <w:rPr>
          <w:smallCaps/>
        </w:rPr>
        <w:t xml:space="preserve"> T. en </w:t>
      </w:r>
      <w:r w:rsidRPr="0052181C">
        <w:rPr>
          <w:smallCaps/>
        </w:rPr>
        <w:t>Jansen</w:t>
      </w:r>
      <w:r w:rsidR="00242660">
        <w:rPr>
          <w:smallCaps/>
        </w:rPr>
        <w:t xml:space="preserve"> R.</w:t>
      </w:r>
      <w:r w:rsidRPr="0052181C">
        <w:rPr>
          <w:smallCaps/>
        </w:rPr>
        <w:t>, “</w:t>
      </w:r>
      <w:r w:rsidRPr="0052181C">
        <w:t xml:space="preserve">Zakenrecht – overzicht van rechtspraak (2000-2008)”, </w:t>
      </w:r>
      <w:r w:rsidRPr="0052181C">
        <w:rPr>
          <w:i/>
        </w:rPr>
        <w:t xml:space="preserve">TPR </w:t>
      </w:r>
      <w:r w:rsidRPr="0052181C">
        <w:t xml:space="preserve"> 2009,</w:t>
      </w:r>
      <w:r w:rsidR="0052181C" w:rsidRPr="0052181C">
        <w:t xml:space="preserve"> 1123-1721.</w:t>
      </w:r>
    </w:p>
    <w:p w14:paraId="53E5CCB5" w14:textId="77777777" w:rsidR="008530A1" w:rsidRPr="002A0C60" w:rsidRDefault="008530A1" w:rsidP="005E187E">
      <w:pPr>
        <w:spacing w:line="360" w:lineRule="auto"/>
        <w:rPr>
          <w:highlight w:val="cyan"/>
        </w:rPr>
      </w:pPr>
    </w:p>
    <w:p w14:paraId="31EB1B24" w14:textId="6ED234D9" w:rsidR="008530A1" w:rsidRDefault="008530A1" w:rsidP="005E187E">
      <w:pPr>
        <w:spacing w:line="360" w:lineRule="auto"/>
      </w:pPr>
      <w:r w:rsidRPr="00971D9B">
        <w:rPr>
          <w:smallCaps/>
        </w:rPr>
        <w:t xml:space="preserve">Van </w:t>
      </w:r>
      <w:proofErr w:type="spellStart"/>
      <w:r w:rsidRPr="00971D9B">
        <w:rPr>
          <w:smallCaps/>
        </w:rPr>
        <w:t>Malleghem</w:t>
      </w:r>
      <w:proofErr w:type="spellEnd"/>
      <w:r w:rsidR="00242660">
        <w:rPr>
          <w:smallCaps/>
        </w:rPr>
        <w:t xml:space="preserve"> F.</w:t>
      </w:r>
      <w:r w:rsidR="00154DDB">
        <w:rPr>
          <w:smallCaps/>
        </w:rPr>
        <w:t>,</w:t>
      </w:r>
      <w:r w:rsidR="00242660">
        <w:rPr>
          <w:smallCaps/>
        </w:rPr>
        <w:t xml:space="preserve"> </w:t>
      </w:r>
      <w:r w:rsidRPr="00971D9B">
        <w:rPr>
          <w:smallCaps/>
        </w:rPr>
        <w:t xml:space="preserve">Van </w:t>
      </w:r>
      <w:proofErr w:type="spellStart"/>
      <w:r w:rsidRPr="00971D9B">
        <w:rPr>
          <w:smallCaps/>
        </w:rPr>
        <w:t>Malleghem</w:t>
      </w:r>
      <w:proofErr w:type="spellEnd"/>
      <w:r w:rsidR="00154DDB">
        <w:rPr>
          <w:smallCaps/>
        </w:rPr>
        <w:t xml:space="preserve"> L.,</w:t>
      </w:r>
      <w:r w:rsidR="00242660">
        <w:rPr>
          <w:smallCaps/>
        </w:rPr>
        <w:t xml:space="preserve"> </w:t>
      </w:r>
      <w:r w:rsidRPr="00971D9B">
        <w:rPr>
          <w:smallCaps/>
        </w:rPr>
        <w:t xml:space="preserve">Van </w:t>
      </w:r>
      <w:proofErr w:type="spellStart"/>
      <w:r w:rsidRPr="00971D9B">
        <w:rPr>
          <w:smallCaps/>
        </w:rPr>
        <w:t>Malleghem</w:t>
      </w:r>
      <w:proofErr w:type="spellEnd"/>
      <w:r w:rsidR="00242660">
        <w:rPr>
          <w:smallCaps/>
        </w:rPr>
        <w:t xml:space="preserve"> H.</w:t>
      </w:r>
      <w:r w:rsidRPr="00971D9B">
        <w:rPr>
          <w:smallCaps/>
        </w:rPr>
        <w:t xml:space="preserve">, </w:t>
      </w:r>
      <w:r w:rsidRPr="00971D9B">
        <w:t xml:space="preserve">“Commentaar bij de wet van 15 oktober 1884”, </w:t>
      </w:r>
      <w:r w:rsidRPr="00971D9B">
        <w:rPr>
          <w:i/>
        </w:rPr>
        <w:t xml:space="preserve">Voorrechten en hypotheken </w:t>
      </w:r>
      <w:r w:rsidRPr="00971D9B">
        <w:t>1997,</w:t>
      </w:r>
      <w:r w:rsidR="00971D9B" w:rsidRPr="00971D9B">
        <w:t>19.</w:t>
      </w:r>
    </w:p>
    <w:p w14:paraId="3D6901BB" w14:textId="77777777" w:rsidR="00154DDB" w:rsidRDefault="00154DDB" w:rsidP="005E187E">
      <w:pPr>
        <w:spacing w:line="360" w:lineRule="auto"/>
      </w:pPr>
    </w:p>
    <w:p w14:paraId="00743B21" w14:textId="39F05616" w:rsidR="00154DDB" w:rsidRPr="00154DDB" w:rsidRDefault="00154DDB" w:rsidP="005E187E">
      <w:pPr>
        <w:spacing w:line="360" w:lineRule="auto"/>
      </w:pPr>
      <w:r w:rsidRPr="00154DDB">
        <w:rPr>
          <w:smallCaps/>
        </w:rPr>
        <w:t>Van Oevelen</w:t>
      </w:r>
      <w:r>
        <w:rPr>
          <w:smallCaps/>
        </w:rPr>
        <w:t xml:space="preserve"> A.</w:t>
      </w:r>
      <w:r w:rsidRPr="00154DDB">
        <w:rPr>
          <w:smallCaps/>
        </w:rPr>
        <w:t xml:space="preserve">, </w:t>
      </w:r>
      <w:r w:rsidRPr="00154DDB">
        <w:t xml:space="preserve">“De zogenaamde subjectieve" goede trouw in het Belgische materiele privaatrecht (in het bijzonder in de materies die het notariaat aanbelangen)”, </w:t>
      </w:r>
      <w:r w:rsidRPr="00154DDB">
        <w:rPr>
          <w:i/>
        </w:rPr>
        <w:t xml:space="preserve">TPR </w:t>
      </w:r>
      <w:r w:rsidRPr="00154DDB">
        <w:t xml:space="preserve">1990, </w:t>
      </w:r>
      <w:r>
        <w:t>1093-156.</w:t>
      </w:r>
    </w:p>
    <w:p w14:paraId="237CF053" w14:textId="77777777" w:rsidR="008530A1" w:rsidRPr="002A0C60" w:rsidRDefault="008530A1" w:rsidP="005E187E">
      <w:pPr>
        <w:spacing w:line="360" w:lineRule="auto"/>
      </w:pPr>
    </w:p>
    <w:p w14:paraId="0B1C5521" w14:textId="3E08537D" w:rsidR="008530A1" w:rsidRPr="002A0C60" w:rsidRDefault="008530A1" w:rsidP="005E187E">
      <w:pPr>
        <w:spacing w:line="360" w:lineRule="auto"/>
      </w:pPr>
      <w:r w:rsidRPr="002A0C60">
        <w:rPr>
          <w:smallCaps/>
        </w:rPr>
        <w:t>Van Oldendeel</w:t>
      </w:r>
      <w:r w:rsidR="00242660">
        <w:rPr>
          <w:smallCaps/>
        </w:rPr>
        <w:t xml:space="preserve"> C.A.</w:t>
      </w:r>
      <w:r w:rsidRPr="002A0C60">
        <w:rPr>
          <w:smallCaps/>
        </w:rPr>
        <w:t xml:space="preserve">, </w:t>
      </w:r>
      <w:r w:rsidRPr="002A0C60">
        <w:t>“Sûretés mobilière</w:t>
      </w:r>
      <w:r w:rsidR="000A1FD4" w:rsidRPr="002A0C60">
        <w:t xml:space="preserve">s: une reforme en profondeur”, </w:t>
      </w:r>
      <w:r w:rsidRPr="002A0C60">
        <w:rPr>
          <w:i/>
        </w:rPr>
        <w:t xml:space="preserve">Bull. Ass. </w:t>
      </w:r>
      <w:r w:rsidRPr="002A0C60">
        <w:t>2013,</w:t>
      </w:r>
      <w:r w:rsidR="000A1FD4" w:rsidRPr="002A0C60">
        <w:t xml:space="preserve"> 374-376.</w:t>
      </w:r>
    </w:p>
    <w:p w14:paraId="6AB9E9CC" w14:textId="77777777" w:rsidR="008530A1" w:rsidRPr="002A0C60" w:rsidRDefault="008530A1" w:rsidP="005E187E">
      <w:pPr>
        <w:spacing w:line="360" w:lineRule="auto"/>
      </w:pPr>
    </w:p>
    <w:p w14:paraId="546AD72F" w14:textId="2C6121FD" w:rsidR="008530A1" w:rsidRPr="00971D9B" w:rsidRDefault="008530A1" w:rsidP="005E187E">
      <w:pPr>
        <w:spacing w:line="360" w:lineRule="auto"/>
      </w:pPr>
      <w:r w:rsidRPr="00971D9B">
        <w:t xml:space="preserve">X, “Zakelijke zekerheden”, </w:t>
      </w:r>
      <w:r w:rsidRPr="00971D9B">
        <w:rPr>
          <w:i/>
        </w:rPr>
        <w:t xml:space="preserve">NJW </w:t>
      </w:r>
      <w:r w:rsidRPr="00971D9B">
        <w:t>2013,</w:t>
      </w:r>
      <w:r w:rsidR="00971D9B" w:rsidRPr="00971D9B">
        <w:t>648-649.</w:t>
      </w:r>
    </w:p>
    <w:p w14:paraId="34537154" w14:textId="77777777" w:rsidR="000A1FD4" w:rsidRPr="002A0C60" w:rsidRDefault="000A1FD4" w:rsidP="005E187E">
      <w:pPr>
        <w:spacing w:line="360" w:lineRule="auto"/>
        <w:rPr>
          <w:highlight w:val="cyan"/>
        </w:rPr>
      </w:pPr>
    </w:p>
    <w:p w14:paraId="2732FC6B" w14:textId="4871A929" w:rsidR="008530A1" w:rsidRPr="002A0C60" w:rsidRDefault="008530A1" w:rsidP="005E187E">
      <w:pPr>
        <w:spacing w:line="360" w:lineRule="auto"/>
      </w:pPr>
      <w:r w:rsidRPr="003A4D61">
        <w:t xml:space="preserve">X, “Bezitloos pandrecht uitgesteld”, </w:t>
      </w:r>
      <w:r w:rsidRPr="003A4D61">
        <w:rPr>
          <w:i/>
        </w:rPr>
        <w:t xml:space="preserve">Juristenkrant </w:t>
      </w:r>
      <w:r w:rsidRPr="003A4D61">
        <w:t xml:space="preserve">2014, </w:t>
      </w:r>
      <w:r w:rsidR="003A4D61" w:rsidRPr="003A4D61">
        <w:t>2.</w:t>
      </w:r>
    </w:p>
    <w:p w14:paraId="6A0A5C47" w14:textId="77777777" w:rsidR="008530A1" w:rsidRPr="002A0C60" w:rsidRDefault="008530A1" w:rsidP="005E187E">
      <w:pPr>
        <w:pStyle w:val="Kop2"/>
        <w:numPr>
          <w:ilvl w:val="0"/>
          <w:numId w:val="0"/>
        </w:numPr>
        <w:spacing w:line="360" w:lineRule="auto"/>
        <w:jc w:val="both"/>
      </w:pPr>
      <w:bookmarkStart w:id="97" w:name="_Toc449982264"/>
      <w:r w:rsidRPr="002A0C60">
        <w:lastRenderedPageBreak/>
        <w:t>Frankrijk</w:t>
      </w:r>
      <w:bookmarkEnd w:id="97"/>
      <w:r w:rsidRPr="002A0C60">
        <w:t xml:space="preserve"> </w:t>
      </w:r>
    </w:p>
    <w:p w14:paraId="2A82ED9B" w14:textId="77777777" w:rsidR="008530A1" w:rsidRPr="002A0C60" w:rsidRDefault="008530A1" w:rsidP="00781B71">
      <w:pPr>
        <w:pStyle w:val="Kop4"/>
        <w:numPr>
          <w:ilvl w:val="3"/>
          <w:numId w:val="16"/>
        </w:numPr>
        <w:spacing w:line="360" w:lineRule="auto"/>
        <w:jc w:val="both"/>
      </w:pPr>
      <w:bookmarkStart w:id="98" w:name="_Toc449982265"/>
      <w:r w:rsidRPr="002A0C60">
        <w:t>Wetgeving</w:t>
      </w:r>
      <w:bookmarkEnd w:id="98"/>
      <w:r w:rsidRPr="002A0C60">
        <w:t xml:space="preserve"> </w:t>
      </w:r>
    </w:p>
    <w:p w14:paraId="7BE216AA" w14:textId="77777777" w:rsidR="008530A1" w:rsidRPr="002A0C60" w:rsidRDefault="008530A1" w:rsidP="005E187E">
      <w:pPr>
        <w:spacing w:line="360" w:lineRule="auto"/>
      </w:pPr>
    </w:p>
    <w:p w14:paraId="4593EEA2" w14:textId="4A24BBD0" w:rsidR="006F11EB" w:rsidRPr="002A0C60" w:rsidRDefault="006F11EB" w:rsidP="005E187E">
      <w:pPr>
        <w:spacing w:line="360" w:lineRule="auto"/>
      </w:pPr>
      <w:r w:rsidRPr="002A0C60">
        <w:t xml:space="preserve">Code Civil van </w:t>
      </w:r>
      <w:r w:rsidR="00910EB4" w:rsidRPr="002A0C60">
        <w:t xml:space="preserve">21 maart 1804, </w:t>
      </w:r>
      <w:r w:rsidR="00910EB4" w:rsidRPr="002A0C60">
        <w:rPr>
          <w:i/>
        </w:rPr>
        <w:t xml:space="preserve">JO </w:t>
      </w:r>
      <w:r w:rsidR="00565F16" w:rsidRPr="002A0C60">
        <w:t xml:space="preserve">3 september 1807. </w:t>
      </w:r>
    </w:p>
    <w:p w14:paraId="0DA69166" w14:textId="77777777" w:rsidR="00565F16" w:rsidRPr="002A0C60" w:rsidRDefault="00565F16" w:rsidP="005E187E">
      <w:pPr>
        <w:spacing w:line="360" w:lineRule="auto"/>
      </w:pPr>
    </w:p>
    <w:p w14:paraId="7E45F885" w14:textId="096B902F" w:rsidR="00565F16" w:rsidRPr="002A0C60" w:rsidRDefault="00565F16" w:rsidP="005E187E">
      <w:pPr>
        <w:spacing w:line="360" w:lineRule="auto"/>
      </w:pPr>
      <w:r w:rsidRPr="002A0C60">
        <w:t xml:space="preserve">Code de Commerce van 10 september 1807, </w:t>
      </w:r>
      <w:r w:rsidRPr="002A0C60">
        <w:rPr>
          <w:i/>
        </w:rPr>
        <w:t xml:space="preserve">JO </w:t>
      </w:r>
      <w:r w:rsidRPr="002A0C60">
        <w:t>10 september 1807.</w:t>
      </w:r>
    </w:p>
    <w:p w14:paraId="66A43013" w14:textId="77777777" w:rsidR="0015730C" w:rsidRPr="002A0C60" w:rsidRDefault="0015730C" w:rsidP="005E187E">
      <w:pPr>
        <w:spacing w:line="360" w:lineRule="auto"/>
      </w:pPr>
    </w:p>
    <w:p w14:paraId="43D524B1" w14:textId="7BE344CE" w:rsidR="0015730C" w:rsidRPr="002A0C60" w:rsidRDefault="0015730C" w:rsidP="005E187E">
      <w:pPr>
        <w:spacing w:line="360" w:lineRule="auto"/>
      </w:pPr>
      <w:r w:rsidRPr="002A0C60">
        <w:t xml:space="preserve">Code Rural van 7 oktober 1886, </w:t>
      </w:r>
      <w:r w:rsidRPr="002A0C60">
        <w:rPr>
          <w:i/>
        </w:rPr>
        <w:t xml:space="preserve">JO </w:t>
      </w:r>
      <w:r w:rsidRPr="002A0C60">
        <w:t>14 oktober 1886.</w:t>
      </w:r>
    </w:p>
    <w:p w14:paraId="545452F5" w14:textId="77777777" w:rsidR="00910EB4" w:rsidRPr="002A0C60" w:rsidRDefault="00910EB4" w:rsidP="005E187E">
      <w:pPr>
        <w:spacing w:line="360" w:lineRule="auto"/>
      </w:pPr>
    </w:p>
    <w:p w14:paraId="2B8C8347" w14:textId="77777777" w:rsidR="008530A1" w:rsidRPr="002A0C60" w:rsidRDefault="008530A1" w:rsidP="005E187E">
      <w:pPr>
        <w:spacing w:line="360" w:lineRule="auto"/>
      </w:pPr>
      <w:r w:rsidRPr="002A0C60">
        <w:t xml:space="preserve">Decreet n° 2006-1804 van 23 december 2006 met betrekking op </w:t>
      </w:r>
      <w:r w:rsidRPr="002A0C60">
        <w:rPr>
          <w:i/>
        </w:rPr>
        <w:t>l'application de l'article 2338 du code civil et relatif à la publicité du gage sans dépossession.</w:t>
      </w:r>
    </w:p>
    <w:p w14:paraId="4894F6A9" w14:textId="77777777" w:rsidR="008530A1" w:rsidRPr="002A0C60" w:rsidRDefault="008530A1" w:rsidP="005E187E">
      <w:pPr>
        <w:pStyle w:val="Kop4"/>
        <w:spacing w:line="360" w:lineRule="auto"/>
        <w:jc w:val="both"/>
      </w:pPr>
      <w:bookmarkStart w:id="99" w:name="_Toc449982266"/>
      <w:r w:rsidRPr="002A0C60">
        <w:t>Rechtspraak</w:t>
      </w:r>
      <w:bookmarkEnd w:id="99"/>
    </w:p>
    <w:p w14:paraId="15C79042" w14:textId="77777777" w:rsidR="008530A1" w:rsidRPr="002A0C60" w:rsidRDefault="008530A1" w:rsidP="005E187E">
      <w:pPr>
        <w:spacing w:line="360" w:lineRule="auto"/>
      </w:pPr>
    </w:p>
    <w:p w14:paraId="23F5E5CE" w14:textId="77777777" w:rsidR="008530A1" w:rsidRPr="002A0C60" w:rsidRDefault="008530A1" w:rsidP="005E187E">
      <w:pPr>
        <w:spacing w:line="360" w:lineRule="auto"/>
      </w:pPr>
      <w:r w:rsidRPr="002A0C60">
        <w:t xml:space="preserve">Cass. 28 november 1989, </w:t>
      </w:r>
      <w:r w:rsidRPr="002A0C60">
        <w:rPr>
          <w:i/>
        </w:rPr>
        <w:t xml:space="preserve">Recueil Dalloz </w:t>
      </w:r>
      <w:r w:rsidRPr="002A0C60">
        <w:t>1991, 43.</w:t>
      </w:r>
    </w:p>
    <w:p w14:paraId="2B7DE1A9" w14:textId="77777777" w:rsidR="008530A1" w:rsidRPr="002A0C60" w:rsidRDefault="008530A1" w:rsidP="005E187E">
      <w:pPr>
        <w:spacing w:line="360" w:lineRule="auto"/>
      </w:pPr>
    </w:p>
    <w:p w14:paraId="1746D15C" w14:textId="77777777" w:rsidR="008530A1" w:rsidRPr="002A0C60" w:rsidRDefault="008530A1" w:rsidP="005E187E">
      <w:pPr>
        <w:spacing w:line="360" w:lineRule="auto"/>
      </w:pPr>
      <w:r w:rsidRPr="002A0C60">
        <w:t xml:space="preserve">Reims 30 juni 2008, n° 07/00990, www. </w:t>
      </w:r>
      <w:proofErr w:type="gramStart"/>
      <w:r w:rsidRPr="002A0C60">
        <w:t>dalloz.fr</w:t>
      </w:r>
      <w:proofErr w:type="gramEnd"/>
      <w:r w:rsidRPr="002A0C60">
        <w:t>.</w:t>
      </w:r>
    </w:p>
    <w:p w14:paraId="62E36E48" w14:textId="0A542149" w:rsidR="008530A1" w:rsidRPr="002A0C60" w:rsidRDefault="008530A1" w:rsidP="005E187E">
      <w:pPr>
        <w:pStyle w:val="Kop4"/>
        <w:spacing w:line="360" w:lineRule="auto"/>
        <w:jc w:val="both"/>
      </w:pPr>
      <w:bookmarkStart w:id="100" w:name="_Toc449982267"/>
      <w:r w:rsidRPr="002A0C60">
        <w:t>Rechtsleer</w:t>
      </w:r>
      <w:bookmarkEnd w:id="100"/>
    </w:p>
    <w:p w14:paraId="4A0AAB74" w14:textId="77777777" w:rsidR="008530A1" w:rsidRPr="002A0C60" w:rsidRDefault="008530A1" w:rsidP="005E187E">
      <w:pPr>
        <w:pStyle w:val="Kop5"/>
        <w:spacing w:line="360" w:lineRule="auto"/>
        <w:jc w:val="both"/>
      </w:pPr>
      <w:bookmarkStart w:id="101" w:name="_Toc449982268"/>
      <w:r w:rsidRPr="002A0C60">
        <w:t>Boeken</w:t>
      </w:r>
      <w:bookmarkEnd w:id="101"/>
      <w:r w:rsidRPr="002A0C60">
        <w:t xml:space="preserve"> </w:t>
      </w:r>
    </w:p>
    <w:p w14:paraId="16605F2E" w14:textId="77777777" w:rsidR="008530A1" w:rsidRPr="002A0C60" w:rsidRDefault="008530A1" w:rsidP="005E187E">
      <w:pPr>
        <w:spacing w:line="360" w:lineRule="auto"/>
        <w:rPr>
          <w:smallCaps/>
        </w:rPr>
      </w:pPr>
    </w:p>
    <w:p w14:paraId="0A30199E" w14:textId="6BBE8D8F" w:rsidR="008530A1" w:rsidRPr="002A0C60" w:rsidRDefault="008530A1" w:rsidP="005E187E">
      <w:pPr>
        <w:spacing w:line="360" w:lineRule="auto"/>
      </w:pPr>
      <w:r w:rsidRPr="002A0C60">
        <w:rPr>
          <w:smallCaps/>
        </w:rPr>
        <w:t>Atias</w:t>
      </w:r>
      <w:r w:rsidR="00242660">
        <w:rPr>
          <w:smallCaps/>
        </w:rPr>
        <w:t xml:space="preserve"> C.</w:t>
      </w:r>
      <w:r w:rsidRPr="002A0C60">
        <w:rPr>
          <w:smallCaps/>
        </w:rPr>
        <w:t xml:space="preserve">, </w:t>
      </w:r>
      <w:r w:rsidRPr="002A0C60">
        <w:rPr>
          <w:i/>
        </w:rPr>
        <w:t>Manuel Droit Civil. Les Biens,</w:t>
      </w:r>
      <w:r w:rsidRPr="002A0C60">
        <w:t xml:space="preserve"> Parijs, Lite</w:t>
      </w:r>
      <w:r w:rsidR="001D5EF4" w:rsidRPr="002A0C60">
        <w:t>c 2014</w:t>
      </w:r>
      <w:r w:rsidRPr="002A0C60">
        <w:t xml:space="preserve">, </w:t>
      </w:r>
      <w:r w:rsidR="003A4D61">
        <w:t>450.</w:t>
      </w:r>
    </w:p>
    <w:p w14:paraId="725374D3" w14:textId="77777777" w:rsidR="008530A1" w:rsidRPr="002A0C60" w:rsidRDefault="008530A1" w:rsidP="005E187E">
      <w:pPr>
        <w:spacing w:line="360" w:lineRule="auto"/>
      </w:pPr>
    </w:p>
    <w:p w14:paraId="06B5A5DC" w14:textId="08264864" w:rsidR="008530A1" w:rsidRPr="002A0C60" w:rsidRDefault="008530A1" w:rsidP="005E187E">
      <w:pPr>
        <w:spacing w:line="360" w:lineRule="auto"/>
      </w:pPr>
      <w:r w:rsidRPr="002A0C60">
        <w:rPr>
          <w:smallCaps/>
        </w:rPr>
        <w:t>Ancel</w:t>
      </w:r>
      <w:r w:rsidR="00242660">
        <w:rPr>
          <w:smallCaps/>
        </w:rPr>
        <w:t xml:space="preserve"> P.</w:t>
      </w:r>
      <w:r w:rsidRPr="002A0C60">
        <w:rPr>
          <w:smallCaps/>
        </w:rPr>
        <w:t xml:space="preserve">, </w:t>
      </w:r>
      <w:r w:rsidRPr="002A0C60">
        <w:t xml:space="preserve">“La réforme du droit des sûretés en France” in </w:t>
      </w:r>
      <w:r w:rsidRPr="002A0C60">
        <w:rPr>
          <w:i/>
        </w:rPr>
        <w:t>La réforme du droit privé en France</w:t>
      </w:r>
      <w:r w:rsidRPr="002A0C60">
        <w:t xml:space="preserve">, Brussel, Larcier 2009, </w:t>
      </w:r>
      <w:r w:rsidR="00942C7D">
        <w:t>182.</w:t>
      </w:r>
    </w:p>
    <w:p w14:paraId="01A8AF49" w14:textId="77777777" w:rsidR="008530A1" w:rsidRPr="002A0C60" w:rsidRDefault="008530A1" w:rsidP="005E187E">
      <w:pPr>
        <w:spacing w:line="360" w:lineRule="auto"/>
      </w:pPr>
    </w:p>
    <w:p w14:paraId="3F592623" w14:textId="1627CA0B" w:rsidR="008530A1" w:rsidRPr="002A0C60" w:rsidRDefault="008530A1" w:rsidP="005E187E">
      <w:pPr>
        <w:spacing w:line="360" w:lineRule="auto"/>
      </w:pPr>
      <w:r w:rsidRPr="002A0C60">
        <w:rPr>
          <w:smallCaps/>
        </w:rPr>
        <w:t>Bergel</w:t>
      </w:r>
      <w:r w:rsidR="00242660">
        <w:rPr>
          <w:smallCaps/>
        </w:rPr>
        <w:t xml:space="preserve"> J.L., </w:t>
      </w:r>
      <w:r w:rsidRPr="002A0C60">
        <w:rPr>
          <w:smallCaps/>
        </w:rPr>
        <w:t>Bruschi</w:t>
      </w:r>
      <w:r w:rsidR="00242660">
        <w:rPr>
          <w:smallCaps/>
        </w:rPr>
        <w:t xml:space="preserve"> M., </w:t>
      </w:r>
      <w:r w:rsidRPr="002A0C60">
        <w:rPr>
          <w:smallCaps/>
        </w:rPr>
        <w:t>Cimamonti</w:t>
      </w:r>
      <w:r w:rsidR="00242660">
        <w:rPr>
          <w:smallCaps/>
        </w:rPr>
        <w:t xml:space="preserve"> S.</w:t>
      </w:r>
      <w:r w:rsidRPr="002A0C60">
        <w:rPr>
          <w:smallCaps/>
        </w:rPr>
        <w:t xml:space="preserve">, </w:t>
      </w:r>
      <w:r w:rsidRPr="002A0C60">
        <w:rPr>
          <w:i/>
        </w:rPr>
        <w:t xml:space="preserve">Traité de droit civil. Les Biens, </w:t>
      </w:r>
      <w:r w:rsidRPr="002A0C60">
        <w:t>Parijs, Librairie Générale de Droit et de Jurisprudence 2000,</w:t>
      </w:r>
      <w:r w:rsidR="00942C7D">
        <w:t xml:space="preserve"> 694.</w:t>
      </w:r>
    </w:p>
    <w:p w14:paraId="5A18E368" w14:textId="77777777" w:rsidR="008530A1" w:rsidRPr="002A0C60" w:rsidRDefault="008530A1" w:rsidP="005E187E">
      <w:pPr>
        <w:spacing w:line="360" w:lineRule="auto"/>
      </w:pPr>
    </w:p>
    <w:p w14:paraId="07D8F828" w14:textId="644E2C74" w:rsidR="008530A1" w:rsidRPr="002A0C60" w:rsidRDefault="008530A1" w:rsidP="005E187E">
      <w:pPr>
        <w:spacing w:line="360" w:lineRule="auto"/>
      </w:pPr>
      <w:r w:rsidRPr="002A0C60">
        <w:rPr>
          <w:smallCaps/>
        </w:rPr>
        <w:t>Bourassin</w:t>
      </w:r>
      <w:r w:rsidR="00242660">
        <w:rPr>
          <w:smallCaps/>
        </w:rPr>
        <w:t xml:space="preserve"> M., </w:t>
      </w:r>
      <w:proofErr w:type="spellStart"/>
      <w:r w:rsidRPr="002A0C60">
        <w:rPr>
          <w:smallCaps/>
        </w:rPr>
        <w:t>Brémond</w:t>
      </w:r>
      <w:proofErr w:type="spellEnd"/>
      <w:r w:rsidR="00242660">
        <w:rPr>
          <w:smallCaps/>
        </w:rPr>
        <w:t xml:space="preserve"> V., </w:t>
      </w:r>
      <w:proofErr w:type="spellStart"/>
      <w:r w:rsidRPr="002A0C60">
        <w:rPr>
          <w:smallCaps/>
        </w:rPr>
        <w:t>Jobard-Bachellier</w:t>
      </w:r>
      <w:proofErr w:type="spellEnd"/>
      <w:r w:rsidR="00242660">
        <w:rPr>
          <w:smallCaps/>
        </w:rPr>
        <w:t xml:space="preserve"> M.N.</w:t>
      </w:r>
      <w:r w:rsidRPr="002A0C60">
        <w:rPr>
          <w:smallCaps/>
        </w:rPr>
        <w:t xml:space="preserve">, </w:t>
      </w:r>
      <w:r w:rsidRPr="002A0C60">
        <w:rPr>
          <w:i/>
        </w:rPr>
        <w:t xml:space="preserve">Droit des sûretés, </w:t>
      </w:r>
      <w:r w:rsidRPr="002A0C60">
        <w:t>Parijs, Dalloz 2014,</w:t>
      </w:r>
    </w:p>
    <w:p w14:paraId="077AF709" w14:textId="77777777" w:rsidR="00D83700" w:rsidRPr="002A0C60" w:rsidRDefault="00D83700" w:rsidP="005E187E">
      <w:pPr>
        <w:spacing w:line="360" w:lineRule="auto"/>
      </w:pPr>
    </w:p>
    <w:p w14:paraId="1363C0D8" w14:textId="794BE5AD" w:rsidR="00D83700" w:rsidRPr="002A0C60" w:rsidRDefault="00D83700" w:rsidP="005E187E">
      <w:pPr>
        <w:spacing w:line="360" w:lineRule="auto"/>
      </w:pPr>
      <w:proofErr w:type="spellStart"/>
      <w:r w:rsidRPr="002A0C60">
        <w:rPr>
          <w:smallCaps/>
        </w:rPr>
        <w:t>Cabrillac</w:t>
      </w:r>
      <w:proofErr w:type="spellEnd"/>
      <w:r w:rsidR="00242660">
        <w:rPr>
          <w:smallCaps/>
        </w:rPr>
        <w:t xml:space="preserve"> M., </w:t>
      </w:r>
      <w:proofErr w:type="spellStart"/>
      <w:r w:rsidRPr="002A0C60">
        <w:rPr>
          <w:smallCaps/>
        </w:rPr>
        <w:t>Mouly</w:t>
      </w:r>
      <w:proofErr w:type="spellEnd"/>
      <w:r w:rsidR="00242660">
        <w:rPr>
          <w:smallCaps/>
        </w:rPr>
        <w:t xml:space="preserve"> C., </w:t>
      </w:r>
      <w:proofErr w:type="spellStart"/>
      <w:r w:rsidRPr="002A0C60">
        <w:rPr>
          <w:smallCaps/>
        </w:rPr>
        <w:t>Cabrillac</w:t>
      </w:r>
      <w:proofErr w:type="spellEnd"/>
      <w:r w:rsidR="00242660">
        <w:rPr>
          <w:smallCaps/>
        </w:rPr>
        <w:t xml:space="preserve"> S.,</w:t>
      </w:r>
      <w:r w:rsidRPr="002A0C60">
        <w:rPr>
          <w:smallCaps/>
        </w:rPr>
        <w:t xml:space="preserve"> </w:t>
      </w:r>
      <w:proofErr w:type="spellStart"/>
      <w:r w:rsidRPr="002A0C60">
        <w:rPr>
          <w:smallCaps/>
        </w:rPr>
        <w:t>Pétel</w:t>
      </w:r>
      <w:proofErr w:type="spellEnd"/>
      <w:r w:rsidR="00242660">
        <w:rPr>
          <w:smallCaps/>
        </w:rPr>
        <w:t xml:space="preserve"> P.</w:t>
      </w:r>
      <w:r w:rsidRPr="002A0C60">
        <w:rPr>
          <w:smallCaps/>
        </w:rPr>
        <w:t xml:space="preserve">, </w:t>
      </w:r>
      <w:r w:rsidRPr="002A0C60">
        <w:rPr>
          <w:i/>
        </w:rPr>
        <w:t xml:space="preserve">Droit des sûretés, </w:t>
      </w:r>
      <w:r w:rsidRPr="002A0C60">
        <w:t>Parijs, Litec 2010, 848.</w:t>
      </w:r>
    </w:p>
    <w:p w14:paraId="1BB6715F" w14:textId="77777777" w:rsidR="004D351E" w:rsidRPr="002A0C60" w:rsidRDefault="004D351E" w:rsidP="005E187E">
      <w:pPr>
        <w:spacing w:line="360" w:lineRule="auto"/>
      </w:pPr>
    </w:p>
    <w:p w14:paraId="32FB3E6F" w14:textId="41C459A3" w:rsidR="004D351E" w:rsidRPr="004E3BD8" w:rsidRDefault="004D351E" w:rsidP="005E187E">
      <w:pPr>
        <w:spacing w:line="360" w:lineRule="auto"/>
      </w:pPr>
      <w:r w:rsidRPr="004E3BD8">
        <w:rPr>
          <w:smallCaps/>
        </w:rPr>
        <w:t xml:space="preserve">J. </w:t>
      </w:r>
      <w:proofErr w:type="spellStart"/>
      <w:r w:rsidRPr="004E3BD8">
        <w:rPr>
          <w:smallCaps/>
        </w:rPr>
        <w:t>Carbonnier</w:t>
      </w:r>
      <w:proofErr w:type="spellEnd"/>
      <w:r w:rsidRPr="004E3BD8">
        <w:rPr>
          <w:smallCaps/>
        </w:rPr>
        <w:t xml:space="preserve">, </w:t>
      </w:r>
      <w:r w:rsidRPr="004E3BD8">
        <w:rPr>
          <w:i/>
        </w:rPr>
        <w:t>Les bie</w:t>
      </w:r>
      <w:r w:rsidR="00D83700" w:rsidRPr="004E3BD8">
        <w:rPr>
          <w:i/>
        </w:rPr>
        <w:t>n</w:t>
      </w:r>
      <w:r w:rsidRPr="004E3BD8">
        <w:rPr>
          <w:i/>
        </w:rPr>
        <w:t xml:space="preserve">s -  Tome III, </w:t>
      </w:r>
      <w:r w:rsidRPr="004E3BD8">
        <w:t>Parijs, Presses Universitaires de France, 398.</w:t>
      </w:r>
    </w:p>
    <w:p w14:paraId="13CB30B0" w14:textId="77777777" w:rsidR="00942C7D" w:rsidRDefault="00942C7D" w:rsidP="005E187E">
      <w:pPr>
        <w:spacing w:line="360" w:lineRule="auto"/>
      </w:pPr>
    </w:p>
    <w:p w14:paraId="75179385" w14:textId="38E3F3CB" w:rsidR="00942C7D" w:rsidRPr="00942C7D" w:rsidRDefault="00942C7D" w:rsidP="005E187E">
      <w:pPr>
        <w:spacing w:line="360" w:lineRule="auto"/>
      </w:pPr>
      <w:proofErr w:type="spellStart"/>
      <w:r w:rsidRPr="00942C7D">
        <w:rPr>
          <w:smallCaps/>
          <w:lang w:val="en-GB"/>
        </w:rPr>
        <w:t>Aynè</w:t>
      </w:r>
      <w:r w:rsidR="00242660">
        <w:rPr>
          <w:smallCaps/>
          <w:lang w:val="en-GB"/>
        </w:rPr>
        <w:t>s</w:t>
      </w:r>
      <w:proofErr w:type="spellEnd"/>
      <w:r w:rsidR="00242660">
        <w:rPr>
          <w:smallCaps/>
          <w:lang w:val="en-GB"/>
        </w:rPr>
        <w:t xml:space="preserve"> L., </w:t>
      </w:r>
      <w:r w:rsidRPr="00942C7D">
        <w:rPr>
          <w:smallCaps/>
          <w:lang w:val="en-GB"/>
        </w:rPr>
        <w:t>Crocq</w:t>
      </w:r>
      <w:r w:rsidR="00242660">
        <w:rPr>
          <w:smallCaps/>
          <w:lang w:val="en-GB"/>
        </w:rPr>
        <w:t xml:space="preserve"> P.</w:t>
      </w:r>
      <w:r w:rsidRPr="00942C7D">
        <w:rPr>
          <w:smallCaps/>
          <w:lang w:val="en-GB"/>
        </w:rPr>
        <w:t xml:space="preserve">, </w:t>
      </w:r>
      <w:r w:rsidRPr="00942C7D">
        <w:rPr>
          <w:i/>
          <w:lang w:val="en-GB"/>
        </w:rPr>
        <w:t xml:space="preserve">Droit des sûretés, </w:t>
      </w:r>
      <w:proofErr w:type="spellStart"/>
      <w:r w:rsidRPr="00942C7D">
        <w:rPr>
          <w:lang w:val="en-GB"/>
        </w:rPr>
        <w:t>Issy</w:t>
      </w:r>
      <w:proofErr w:type="spellEnd"/>
      <w:r w:rsidRPr="00942C7D">
        <w:rPr>
          <w:lang w:val="en-GB"/>
        </w:rPr>
        <w:t>-Les-</w:t>
      </w:r>
      <w:proofErr w:type="spellStart"/>
      <w:r w:rsidRPr="00942C7D">
        <w:rPr>
          <w:lang w:val="en-GB"/>
        </w:rPr>
        <w:t>Moulineaux</w:t>
      </w:r>
      <w:proofErr w:type="spellEnd"/>
      <w:r w:rsidRPr="00942C7D">
        <w:rPr>
          <w:lang w:val="en-GB"/>
        </w:rPr>
        <w:t xml:space="preserve">, LGDJ </w:t>
      </w:r>
      <w:proofErr w:type="spellStart"/>
      <w:r w:rsidRPr="00942C7D">
        <w:rPr>
          <w:lang w:val="en-GB"/>
        </w:rPr>
        <w:t>lextenso</w:t>
      </w:r>
      <w:proofErr w:type="spellEnd"/>
      <w:r w:rsidRPr="00942C7D">
        <w:rPr>
          <w:lang w:val="en-GB"/>
        </w:rPr>
        <w:t xml:space="preserve"> éditions 2015,</w:t>
      </w:r>
      <w:r>
        <w:rPr>
          <w:lang w:val="en-GB"/>
        </w:rPr>
        <w:t xml:space="preserve"> 471.</w:t>
      </w:r>
    </w:p>
    <w:p w14:paraId="2709ABCB" w14:textId="77777777" w:rsidR="003D64FD" w:rsidRPr="002A0C60" w:rsidRDefault="003D64FD" w:rsidP="005E187E">
      <w:pPr>
        <w:spacing w:line="360" w:lineRule="auto"/>
      </w:pPr>
    </w:p>
    <w:p w14:paraId="39104B2F" w14:textId="24EAF12A" w:rsidR="003D64FD" w:rsidRPr="00FE263F" w:rsidRDefault="003D64FD" w:rsidP="005E187E">
      <w:pPr>
        <w:spacing w:line="360" w:lineRule="auto"/>
      </w:pPr>
      <w:proofErr w:type="spellStart"/>
      <w:r w:rsidRPr="00FE263F">
        <w:rPr>
          <w:smallCaps/>
        </w:rPr>
        <w:t>Danos</w:t>
      </w:r>
      <w:proofErr w:type="spellEnd"/>
      <w:r w:rsidR="00242660">
        <w:rPr>
          <w:smallCaps/>
        </w:rPr>
        <w:t xml:space="preserve"> F.</w:t>
      </w:r>
      <w:r w:rsidRPr="00FE263F">
        <w:rPr>
          <w:smallCaps/>
        </w:rPr>
        <w:t xml:space="preserve">, </w:t>
      </w:r>
      <w:r w:rsidRPr="00FE263F">
        <w:rPr>
          <w:i/>
        </w:rPr>
        <w:t xml:space="preserve">Propriété, </w:t>
      </w:r>
      <w:proofErr w:type="spellStart"/>
      <w:r w:rsidRPr="00FE263F">
        <w:rPr>
          <w:i/>
        </w:rPr>
        <w:t>possession</w:t>
      </w:r>
      <w:proofErr w:type="spellEnd"/>
      <w:r w:rsidRPr="00FE263F">
        <w:rPr>
          <w:i/>
        </w:rPr>
        <w:t xml:space="preserve"> et </w:t>
      </w:r>
      <w:proofErr w:type="spellStart"/>
      <w:r w:rsidRPr="00FE263F">
        <w:rPr>
          <w:i/>
        </w:rPr>
        <w:t>opposabilité</w:t>
      </w:r>
      <w:proofErr w:type="spellEnd"/>
      <w:r w:rsidRPr="00FE263F">
        <w:rPr>
          <w:i/>
        </w:rPr>
        <w:t xml:space="preserve">, </w:t>
      </w:r>
      <w:r w:rsidRPr="00FE263F">
        <w:t>Parijs, Economica 2007,</w:t>
      </w:r>
      <w:r w:rsidR="00FE263F" w:rsidRPr="00FE263F">
        <w:t xml:space="preserve"> 534.</w:t>
      </w:r>
    </w:p>
    <w:p w14:paraId="29B4D52C" w14:textId="77777777" w:rsidR="008530A1" w:rsidRPr="002A0C60" w:rsidRDefault="008530A1" w:rsidP="005E187E">
      <w:pPr>
        <w:spacing w:line="360" w:lineRule="auto"/>
      </w:pPr>
    </w:p>
    <w:p w14:paraId="1962CD22" w14:textId="0263DA42" w:rsidR="008530A1" w:rsidRPr="002A0C60" w:rsidRDefault="008530A1" w:rsidP="005E187E">
      <w:pPr>
        <w:spacing w:line="360" w:lineRule="auto"/>
      </w:pPr>
      <w:r w:rsidRPr="002A0C60">
        <w:rPr>
          <w:smallCaps/>
        </w:rPr>
        <w:t>Dirix</w:t>
      </w:r>
      <w:r w:rsidR="00242660">
        <w:rPr>
          <w:smallCaps/>
        </w:rPr>
        <w:t xml:space="preserve"> E.</w:t>
      </w:r>
      <w:r w:rsidRPr="002A0C60">
        <w:rPr>
          <w:smallCaps/>
        </w:rPr>
        <w:t xml:space="preserve"> </w:t>
      </w:r>
      <w:r w:rsidRPr="002A0C60">
        <w:t xml:space="preserve">“La réforme du </w:t>
      </w:r>
      <w:proofErr w:type="spellStart"/>
      <w:r w:rsidRPr="002A0C60">
        <w:t>régime</w:t>
      </w:r>
      <w:proofErr w:type="spellEnd"/>
      <w:r w:rsidRPr="002A0C60">
        <w:t xml:space="preserve"> des sûretés en France”, in </w:t>
      </w:r>
      <w:r w:rsidRPr="002A0C60">
        <w:rPr>
          <w:i/>
        </w:rPr>
        <w:t>La réforme du droit privé en France</w:t>
      </w:r>
      <w:r w:rsidRPr="002A0C60">
        <w:t xml:space="preserve">, Brussel, Larcier 2009, </w:t>
      </w:r>
      <w:r w:rsidR="003015CB" w:rsidRPr="002A0C60">
        <w:t>49-56.</w:t>
      </w:r>
    </w:p>
    <w:p w14:paraId="7E644426" w14:textId="77777777" w:rsidR="008530A1" w:rsidRPr="002A0C60" w:rsidRDefault="008530A1" w:rsidP="005E187E">
      <w:pPr>
        <w:spacing w:line="360" w:lineRule="auto"/>
      </w:pPr>
    </w:p>
    <w:p w14:paraId="67976BD9" w14:textId="098B6A89" w:rsidR="008530A1" w:rsidRPr="00942C7D" w:rsidRDefault="008530A1" w:rsidP="005E187E">
      <w:pPr>
        <w:spacing w:line="360" w:lineRule="auto"/>
      </w:pPr>
      <w:r w:rsidRPr="00942C7D">
        <w:rPr>
          <w:smallCaps/>
        </w:rPr>
        <w:t>Dross</w:t>
      </w:r>
      <w:r w:rsidR="00242660">
        <w:rPr>
          <w:smallCaps/>
        </w:rPr>
        <w:t xml:space="preserve"> W.</w:t>
      </w:r>
      <w:r w:rsidRPr="00942C7D">
        <w:rPr>
          <w:smallCaps/>
        </w:rPr>
        <w:t xml:space="preserve">, </w:t>
      </w:r>
      <w:r w:rsidRPr="00942C7D">
        <w:rPr>
          <w:i/>
        </w:rPr>
        <w:t xml:space="preserve">Droit des Biens, </w:t>
      </w:r>
      <w:r w:rsidRPr="00942C7D">
        <w:t>Parijs, Montchrestien</w:t>
      </w:r>
      <w:r w:rsidR="00942C7D" w:rsidRPr="00942C7D">
        <w:t xml:space="preserve"> 2012</w:t>
      </w:r>
      <w:r w:rsidRPr="00942C7D">
        <w:t xml:space="preserve">, </w:t>
      </w:r>
      <w:r w:rsidR="00942C7D" w:rsidRPr="00942C7D">
        <w:t>460.</w:t>
      </w:r>
    </w:p>
    <w:p w14:paraId="1CFED1E2" w14:textId="77777777" w:rsidR="009D5238" w:rsidRPr="002A0C60" w:rsidRDefault="009D5238" w:rsidP="005E187E">
      <w:pPr>
        <w:spacing w:line="360" w:lineRule="auto"/>
      </w:pPr>
    </w:p>
    <w:p w14:paraId="76C67A01" w14:textId="68635762" w:rsidR="009D5238" w:rsidRPr="002A0C60" w:rsidRDefault="009D5238" w:rsidP="005E187E">
      <w:pPr>
        <w:spacing w:line="360" w:lineRule="auto"/>
      </w:pPr>
      <w:r w:rsidRPr="002A0C60">
        <w:rPr>
          <w:smallCaps/>
        </w:rPr>
        <w:t>Dross</w:t>
      </w:r>
      <w:r w:rsidR="00242660">
        <w:rPr>
          <w:smallCaps/>
        </w:rPr>
        <w:t xml:space="preserve"> W.</w:t>
      </w:r>
      <w:r w:rsidRPr="002A0C60">
        <w:rPr>
          <w:smallCaps/>
        </w:rPr>
        <w:t xml:space="preserve">, </w:t>
      </w:r>
      <w:r w:rsidRPr="002A0C60">
        <w:rPr>
          <w:i/>
        </w:rPr>
        <w:t xml:space="preserve">Les choses, </w:t>
      </w:r>
      <w:r w:rsidRPr="002A0C60">
        <w:t xml:space="preserve">Parijs, </w:t>
      </w:r>
      <w:r w:rsidR="005F2ADD" w:rsidRPr="002A0C60">
        <w:t xml:space="preserve">LGDJ </w:t>
      </w:r>
      <w:r w:rsidRPr="002A0C60">
        <w:t>Lextenso éditions 2012, 982.</w:t>
      </w:r>
    </w:p>
    <w:p w14:paraId="29BB0695" w14:textId="77777777" w:rsidR="005B40C9" w:rsidRPr="002A0C60" w:rsidRDefault="005B40C9" w:rsidP="005E187E">
      <w:pPr>
        <w:spacing w:line="360" w:lineRule="auto"/>
      </w:pPr>
    </w:p>
    <w:p w14:paraId="45E2DE80" w14:textId="42020576" w:rsidR="006875E5" w:rsidRPr="00FE263F" w:rsidRDefault="002A0C60" w:rsidP="005E187E">
      <w:pPr>
        <w:spacing w:line="360" w:lineRule="auto"/>
      </w:pPr>
      <w:r w:rsidRPr="00FE263F">
        <w:rPr>
          <w:smallCaps/>
        </w:rPr>
        <w:t>Esmein</w:t>
      </w:r>
      <w:r w:rsidR="00242660">
        <w:rPr>
          <w:smallCaps/>
        </w:rPr>
        <w:t xml:space="preserve"> P.</w:t>
      </w:r>
      <w:r w:rsidRPr="00FE263F">
        <w:rPr>
          <w:smallCaps/>
        </w:rPr>
        <w:t>, “</w:t>
      </w:r>
      <w:r w:rsidRPr="00FE263F">
        <w:t xml:space="preserve">Les Biens” in </w:t>
      </w:r>
      <w:r w:rsidRPr="00FE263F">
        <w:rPr>
          <w:i/>
        </w:rPr>
        <w:t xml:space="preserve">Aubry en Rau, </w:t>
      </w:r>
      <w:r w:rsidRPr="00FE263F">
        <w:t>Parijs, Librairies techniques 1961,</w:t>
      </w:r>
      <w:r w:rsidR="00FE263F" w:rsidRPr="00FE263F">
        <w:t xml:space="preserve"> 434.</w:t>
      </w:r>
    </w:p>
    <w:p w14:paraId="06F84D5C" w14:textId="77777777" w:rsidR="005B40C9" w:rsidRPr="002A0C60" w:rsidRDefault="005B40C9" w:rsidP="005E187E">
      <w:pPr>
        <w:spacing w:line="360" w:lineRule="auto"/>
      </w:pPr>
    </w:p>
    <w:p w14:paraId="7EBC83FB" w14:textId="0B8231BD" w:rsidR="005B40C9" w:rsidRPr="002A0C60" w:rsidRDefault="005B40C9" w:rsidP="005E187E">
      <w:pPr>
        <w:spacing w:line="360" w:lineRule="auto"/>
      </w:pPr>
      <w:r w:rsidRPr="002A0C60">
        <w:rPr>
          <w:smallCaps/>
        </w:rPr>
        <w:t>Jourdain</w:t>
      </w:r>
      <w:r w:rsidR="00242660">
        <w:rPr>
          <w:smallCaps/>
        </w:rPr>
        <w:t xml:space="preserve"> P.</w:t>
      </w:r>
      <w:r w:rsidRPr="002A0C60">
        <w:rPr>
          <w:smallCaps/>
        </w:rPr>
        <w:t xml:space="preserve">, </w:t>
      </w:r>
      <w:r w:rsidRPr="002A0C60">
        <w:t xml:space="preserve">“Les biens”, in </w:t>
      </w:r>
      <w:r w:rsidRPr="002A0C60">
        <w:rPr>
          <w:i/>
        </w:rPr>
        <w:t xml:space="preserve">Marty en Raynaud, </w:t>
      </w:r>
      <w:r w:rsidRPr="002A0C60">
        <w:t>Parijs, Dalloz 1995, 563.</w:t>
      </w:r>
    </w:p>
    <w:p w14:paraId="52ACA3E6" w14:textId="77777777" w:rsidR="00444114" w:rsidRPr="002A0C60" w:rsidRDefault="00444114" w:rsidP="005E187E">
      <w:pPr>
        <w:spacing w:line="360" w:lineRule="auto"/>
      </w:pPr>
    </w:p>
    <w:p w14:paraId="44189E0C" w14:textId="451D8494" w:rsidR="00444114" w:rsidRPr="002A0C60" w:rsidRDefault="00444114" w:rsidP="005E187E">
      <w:pPr>
        <w:spacing w:line="360" w:lineRule="auto"/>
      </w:pPr>
      <w:r w:rsidRPr="002A0C60">
        <w:rPr>
          <w:smallCaps/>
        </w:rPr>
        <w:t>Larroumet</w:t>
      </w:r>
      <w:r w:rsidR="00242660">
        <w:rPr>
          <w:smallCaps/>
        </w:rPr>
        <w:t xml:space="preserve"> C.</w:t>
      </w:r>
      <w:r w:rsidRPr="002A0C60">
        <w:rPr>
          <w:smallCaps/>
        </w:rPr>
        <w:t xml:space="preserve">, </w:t>
      </w:r>
      <w:r w:rsidRPr="002A0C60">
        <w:rPr>
          <w:i/>
        </w:rPr>
        <w:t xml:space="preserve">Droit Civil -  Tome II – Les biens, droit réels principaux, </w:t>
      </w:r>
      <w:r w:rsidRPr="002A0C60">
        <w:t>Parijs, Economica 1985, 602.</w:t>
      </w:r>
    </w:p>
    <w:p w14:paraId="37116263" w14:textId="77777777" w:rsidR="008530A1" w:rsidRPr="002A0C60" w:rsidRDefault="008530A1" w:rsidP="005E187E">
      <w:pPr>
        <w:spacing w:line="360" w:lineRule="auto"/>
      </w:pPr>
    </w:p>
    <w:p w14:paraId="30F841CA" w14:textId="3437BE9A" w:rsidR="008530A1" w:rsidRPr="002A0C60" w:rsidRDefault="008530A1" w:rsidP="005E187E">
      <w:pPr>
        <w:spacing w:line="360" w:lineRule="auto"/>
      </w:pPr>
      <w:r w:rsidRPr="002A0C60">
        <w:rPr>
          <w:smallCaps/>
        </w:rPr>
        <w:t>Legeais</w:t>
      </w:r>
      <w:r w:rsidR="00242660">
        <w:rPr>
          <w:smallCaps/>
        </w:rPr>
        <w:t xml:space="preserve"> D.</w:t>
      </w:r>
      <w:r w:rsidRPr="002A0C60">
        <w:rPr>
          <w:smallCaps/>
        </w:rPr>
        <w:t xml:space="preserve">, </w:t>
      </w:r>
      <w:r w:rsidRPr="002A0C60">
        <w:rPr>
          <w:i/>
        </w:rPr>
        <w:t xml:space="preserve">Sûretés et garanties du crédit, </w:t>
      </w:r>
      <w:r w:rsidRPr="002A0C60">
        <w:t>Pari</w:t>
      </w:r>
      <w:r w:rsidR="00C423AF" w:rsidRPr="002A0C60">
        <w:t>js, LGDJ Lextenso éditions 2011, 620.</w:t>
      </w:r>
    </w:p>
    <w:p w14:paraId="3F00A359" w14:textId="77777777" w:rsidR="008530A1" w:rsidRPr="002A0C60" w:rsidRDefault="008530A1" w:rsidP="005E187E">
      <w:pPr>
        <w:spacing w:line="360" w:lineRule="auto"/>
        <w:rPr>
          <w:smallCaps/>
        </w:rPr>
      </w:pPr>
    </w:p>
    <w:p w14:paraId="16875351" w14:textId="356A77F3" w:rsidR="008530A1" w:rsidRPr="00FE263F" w:rsidRDefault="008530A1" w:rsidP="005E187E">
      <w:pPr>
        <w:spacing w:line="360" w:lineRule="auto"/>
      </w:pPr>
      <w:r w:rsidRPr="00FE263F">
        <w:rPr>
          <w:smallCaps/>
        </w:rPr>
        <w:t>Malaurie</w:t>
      </w:r>
      <w:r w:rsidR="00242660">
        <w:rPr>
          <w:smallCaps/>
        </w:rPr>
        <w:t xml:space="preserve"> P.</w:t>
      </w:r>
      <w:r w:rsidRPr="00FE263F">
        <w:rPr>
          <w:smallCaps/>
        </w:rPr>
        <w:t xml:space="preserve">, L. Aynes, </w:t>
      </w:r>
      <w:r w:rsidRPr="00FE263F">
        <w:rPr>
          <w:i/>
        </w:rPr>
        <w:t xml:space="preserve">Les Biens, </w:t>
      </w:r>
      <w:r w:rsidRPr="00FE263F">
        <w:t>Parijs, Defrénois 2010,</w:t>
      </w:r>
      <w:r w:rsidR="00FE263F" w:rsidRPr="00FE263F">
        <w:t xml:space="preserve"> 405.</w:t>
      </w:r>
    </w:p>
    <w:p w14:paraId="609416ED" w14:textId="77777777" w:rsidR="008530A1" w:rsidRPr="002A0C60" w:rsidRDefault="008530A1" w:rsidP="005E187E">
      <w:pPr>
        <w:spacing w:line="360" w:lineRule="auto"/>
      </w:pPr>
    </w:p>
    <w:p w14:paraId="2C406D66" w14:textId="20AC661F" w:rsidR="008530A1" w:rsidRPr="00FE263F" w:rsidRDefault="008530A1" w:rsidP="005E187E">
      <w:pPr>
        <w:spacing w:line="360" w:lineRule="auto"/>
      </w:pPr>
      <w:r w:rsidRPr="00FE263F">
        <w:rPr>
          <w:smallCaps/>
        </w:rPr>
        <w:t>Mathieu</w:t>
      </w:r>
      <w:r w:rsidR="00242660">
        <w:rPr>
          <w:smallCaps/>
        </w:rPr>
        <w:t xml:space="preserve"> M.L.</w:t>
      </w:r>
      <w:r w:rsidRPr="00FE263F">
        <w:rPr>
          <w:smallCaps/>
        </w:rPr>
        <w:t xml:space="preserve">, </w:t>
      </w:r>
      <w:r w:rsidRPr="00FE263F">
        <w:rPr>
          <w:i/>
        </w:rPr>
        <w:t xml:space="preserve">Droit Civil. Les Biens, </w:t>
      </w:r>
      <w:r w:rsidRPr="00FE263F">
        <w:t xml:space="preserve">Parijs, Dalloz 2013, </w:t>
      </w:r>
      <w:r w:rsidR="00FE263F" w:rsidRPr="00FE263F">
        <w:t>382.</w:t>
      </w:r>
    </w:p>
    <w:p w14:paraId="3EB199BA" w14:textId="77777777" w:rsidR="008530A1" w:rsidRPr="002A0C60" w:rsidRDefault="008530A1" w:rsidP="005E187E">
      <w:pPr>
        <w:spacing w:line="360" w:lineRule="auto"/>
        <w:rPr>
          <w:smallCaps/>
        </w:rPr>
      </w:pPr>
    </w:p>
    <w:p w14:paraId="3E634CD6" w14:textId="1EB327AF" w:rsidR="008530A1" w:rsidRPr="007D22CE" w:rsidRDefault="00FE263F" w:rsidP="005E187E">
      <w:pPr>
        <w:spacing w:line="360" w:lineRule="auto"/>
      </w:pPr>
      <w:r w:rsidRPr="007D22CE">
        <w:rPr>
          <w:smallCaps/>
        </w:rPr>
        <w:t>Mazeaud</w:t>
      </w:r>
      <w:r w:rsidR="00242660">
        <w:rPr>
          <w:smallCaps/>
        </w:rPr>
        <w:t xml:space="preserve"> H.</w:t>
      </w:r>
      <w:r w:rsidR="00C423AF" w:rsidRPr="007D22CE">
        <w:rPr>
          <w:smallCaps/>
        </w:rPr>
        <w:t xml:space="preserve"> </w:t>
      </w:r>
      <w:r w:rsidR="00C423AF" w:rsidRPr="007D22CE">
        <w:t>en</w:t>
      </w:r>
      <w:r w:rsidR="00242660">
        <w:rPr>
          <w:smallCaps/>
        </w:rPr>
        <w:t xml:space="preserve"> </w:t>
      </w:r>
      <w:r w:rsidR="00C423AF" w:rsidRPr="007D22CE">
        <w:rPr>
          <w:smallCaps/>
        </w:rPr>
        <w:t>Mazeaud</w:t>
      </w:r>
      <w:r w:rsidR="00242660">
        <w:rPr>
          <w:smallCaps/>
        </w:rPr>
        <w:t xml:space="preserve"> L.</w:t>
      </w:r>
      <w:r w:rsidR="00C423AF" w:rsidRPr="007D22CE">
        <w:rPr>
          <w:smallCaps/>
        </w:rPr>
        <w:t xml:space="preserve">, </w:t>
      </w:r>
      <w:r w:rsidR="00242660">
        <w:rPr>
          <w:smallCaps/>
        </w:rPr>
        <w:t>M</w:t>
      </w:r>
      <w:r w:rsidR="008530A1" w:rsidRPr="007D22CE">
        <w:rPr>
          <w:smallCaps/>
        </w:rPr>
        <w:t>azeaud</w:t>
      </w:r>
      <w:r w:rsidR="00242660">
        <w:rPr>
          <w:smallCaps/>
        </w:rPr>
        <w:t xml:space="preserve"> J. </w:t>
      </w:r>
      <w:r w:rsidR="00242660" w:rsidRPr="00242660">
        <w:t>en</w:t>
      </w:r>
      <w:r w:rsidR="00242660">
        <w:rPr>
          <w:smallCaps/>
        </w:rPr>
        <w:t xml:space="preserve"> </w:t>
      </w:r>
      <w:r w:rsidR="008530A1" w:rsidRPr="007D22CE">
        <w:rPr>
          <w:smallCaps/>
        </w:rPr>
        <w:t>Chabas</w:t>
      </w:r>
      <w:r w:rsidR="00242660">
        <w:rPr>
          <w:smallCaps/>
        </w:rPr>
        <w:t xml:space="preserve"> F.</w:t>
      </w:r>
      <w:r w:rsidR="008530A1" w:rsidRPr="007D22CE">
        <w:rPr>
          <w:smallCaps/>
        </w:rPr>
        <w:t xml:space="preserve">, </w:t>
      </w:r>
      <w:r w:rsidR="008530A1" w:rsidRPr="007D22CE">
        <w:rPr>
          <w:i/>
        </w:rPr>
        <w:t xml:space="preserve">Biens, </w:t>
      </w:r>
      <w:r w:rsidRPr="007D22CE">
        <w:t>Parijs, Montchrestien</w:t>
      </w:r>
      <w:r w:rsidR="008530A1" w:rsidRPr="007D22CE">
        <w:t xml:space="preserve"> 1994, </w:t>
      </w:r>
      <w:r w:rsidR="007D22CE" w:rsidRPr="007D22CE">
        <w:t>471.</w:t>
      </w:r>
    </w:p>
    <w:p w14:paraId="2CC55B12" w14:textId="77777777" w:rsidR="004D351E" w:rsidRPr="002A0C60" w:rsidRDefault="004D351E" w:rsidP="005E187E">
      <w:pPr>
        <w:spacing w:line="360" w:lineRule="auto"/>
      </w:pPr>
    </w:p>
    <w:p w14:paraId="6A2CE5F9" w14:textId="3BAC64A8" w:rsidR="00453545" w:rsidRDefault="008530A1" w:rsidP="005E187E">
      <w:pPr>
        <w:spacing w:line="360" w:lineRule="auto"/>
      </w:pPr>
      <w:r w:rsidRPr="002A0C60">
        <w:rPr>
          <w:smallCaps/>
        </w:rPr>
        <w:t>Picod</w:t>
      </w:r>
      <w:r w:rsidR="00242660">
        <w:rPr>
          <w:smallCaps/>
        </w:rPr>
        <w:t xml:space="preserve"> Y.</w:t>
      </w:r>
      <w:r w:rsidRPr="002A0C60">
        <w:t xml:space="preserve">, </w:t>
      </w:r>
      <w:r w:rsidRPr="002A0C60">
        <w:rPr>
          <w:i/>
        </w:rPr>
        <w:t xml:space="preserve">Droit des sûretés, </w:t>
      </w:r>
      <w:r w:rsidRPr="002A0C60">
        <w:t>Parijs, Presse</w:t>
      </w:r>
      <w:r w:rsidR="004D351E" w:rsidRPr="002A0C60">
        <w:t>s Universitaires françaises 2011</w:t>
      </w:r>
      <w:r w:rsidRPr="002A0C60">
        <w:t xml:space="preserve">, </w:t>
      </w:r>
      <w:r w:rsidR="004D351E" w:rsidRPr="002A0C60">
        <w:t>501.</w:t>
      </w:r>
    </w:p>
    <w:p w14:paraId="32665104" w14:textId="77777777" w:rsidR="0059228C" w:rsidRPr="002A0C60" w:rsidRDefault="0059228C" w:rsidP="005E187E">
      <w:pPr>
        <w:spacing w:line="360" w:lineRule="auto"/>
      </w:pPr>
    </w:p>
    <w:p w14:paraId="577F60C4" w14:textId="5747E33F" w:rsidR="00453545" w:rsidRPr="004E3BD8" w:rsidRDefault="00453545" w:rsidP="005E187E">
      <w:pPr>
        <w:spacing w:line="360" w:lineRule="auto"/>
      </w:pPr>
      <w:r w:rsidRPr="004E3BD8">
        <w:rPr>
          <w:smallCaps/>
        </w:rPr>
        <w:t>Picard</w:t>
      </w:r>
      <w:r w:rsidR="00242660">
        <w:rPr>
          <w:smallCaps/>
        </w:rPr>
        <w:t xml:space="preserve"> M.</w:t>
      </w:r>
      <w:r w:rsidRPr="004E3BD8">
        <w:rPr>
          <w:smallCaps/>
        </w:rPr>
        <w:t xml:space="preserve">, </w:t>
      </w:r>
      <w:r w:rsidRPr="004E3BD8">
        <w:t xml:space="preserve">“Les Biens -  Tome III”, in </w:t>
      </w:r>
      <w:r w:rsidRPr="004E3BD8">
        <w:rPr>
          <w:i/>
        </w:rPr>
        <w:t xml:space="preserve">Planiol en Ripert, </w:t>
      </w:r>
      <w:r w:rsidRPr="004E3BD8">
        <w:t>Parijs, Librérie générale de droit et de jurisprudence 1952,</w:t>
      </w:r>
      <w:r w:rsidR="004E3BD8" w:rsidRPr="004E3BD8">
        <w:t xml:space="preserve"> 1032.</w:t>
      </w:r>
    </w:p>
    <w:p w14:paraId="3019084F" w14:textId="77777777" w:rsidR="002729FE" w:rsidRPr="002A0C60" w:rsidRDefault="002729FE" w:rsidP="005E187E">
      <w:pPr>
        <w:spacing w:line="360" w:lineRule="auto"/>
      </w:pPr>
    </w:p>
    <w:p w14:paraId="4B608BA6" w14:textId="38AA69B7" w:rsidR="002729FE" w:rsidRPr="004E3BD8" w:rsidRDefault="002729FE" w:rsidP="005E187E">
      <w:pPr>
        <w:spacing w:line="360" w:lineRule="auto"/>
      </w:pPr>
      <w:r w:rsidRPr="004E3BD8">
        <w:rPr>
          <w:smallCaps/>
        </w:rPr>
        <w:t>Reyfrobellet</w:t>
      </w:r>
      <w:r w:rsidR="00242660">
        <w:rPr>
          <w:smallCaps/>
        </w:rPr>
        <w:t xml:space="preserve"> A.</w:t>
      </w:r>
      <w:r w:rsidRPr="004E3BD8">
        <w:rPr>
          <w:smallCaps/>
        </w:rPr>
        <w:t xml:space="preserve">, C. Denizot, </w:t>
      </w:r>
      <w:r w:rsidRPr="004E3BD8">
        <w:t xml:space="preserve">“Fonds de commerce”, </w:t>
      </w:r>
      <w:r w:rsidRPr="004E3BD8">
        <w:rPr>
          <w:i/>
        </w:rPr>
        <w:t xml:space="preserve">Dalloz </w:t>
      </w:r>
      <w:r w:rsidRPr="004E3BD8">
        <w:t>2012-2013,</w:t>
      </w:r>
      <w:r w:rsidR="004E3BD8" w:rsidRPr="004E3BD8">
        <w:t xml:space="preserve"> 1056.</w:t>
      </w:r>
    </w:p>
    <w:p w14:paraId="5BD44BD3" w14:textId="77777777" w:rsidR="00212009" w:rsidRPr="00942C7D" w:rsidRDefault="00212009" w:rsidP="00212009">
      <w:pPr>
        <w:spacing w:line="360" w:lineRule="auto"/>
        <w:rPr>
          <w:smallCaps/>
          <w:highlight w:val="cyan"/>
        </w:rPr>
      </w:pPr>
    </w:p>
    <w:p w14:paraId="06148238" w14:textId="2AC33030" w:rsidR="00212009" w:rsidRPr="004E3BD8" w:rsidRDefault="00212009" w:rsidP="00212009">
      <w:pPr>
        <w:spacing w:line="360" w:lineRule="auto"/>
      </w:pPr>
      <w:r w:rsidRPr="004E3BD8">
        <w:rPr>
          <w:smallCaps/>
        </w:rPr>
        <w:t>Simler</w:t>
      </w:r>
      <w:r w:rsidR="00242660">
        <w:rPr>
          <w:smallCaps/>
        </w:rPr>
        <w:t xml:space="preserve"> P., </w:t>
      </w:r>
      <w:r w:rsidRPr="004E3BD8">
        <w:rPr>
          <w:smallCaps/>
        </w:rPr>
        <w:t>Delebecque</w:t>
      </w:r>
      <w:r w:rsidR="00242660">
        <w:rPr>
          <w:smallCaps/>
        </w:rPr>
        <w:t xml:space="preserve"> P.</w:t>
      </w:r>
      <w:r w:rsidRPr="004E3BD8">
        <w:rPr>
          <w:smallCaps/>
        </w:rPr>
        <w:t xml:space="preserve">, </w:t>
      </w:r>
      <w:r w:rsidRPr="004E3BD8">
        <w:rPr>
          <w:i/>
        </w:rPr>
        <w:t xml:space="preserve">Les sûretés, la publicité foncière, </w:t>
      </w:r>
      <w:r w:rsidRPr="004E3BD8">
        <w:t>Parijs, Dalloz 2009,</w:t>
      </w:r>
      <w:r w:rsidR="004E3BD8" w:rsidRPr="004E3BD8">
        <w:t xml:space="preserve"> 841.</w:t>
      </w:r>
    </w:p>
    <w:p w14:paraId="2440F29D" w14:textId="77777777" w:rsidR="008530A1" w:rsidRPr="002A0C60" w:rsidRDefault="008530A1" w:rsidP="005E187E">
      <w:pPr>
        <w:spacing w:line="360" w:lineRule="auto"/>
      </w:pPr>
    </w:p>
    <w:p w14:paraId="6AA83765" w14:textId="6470B57A" w:rsidR="008530A1" w:rsidRPr="004E3BD8" w:rsidRDefault="008530A1" w:rsidP="005E187E">
      <w:pPr>
        <w:spacing w:line="360" w:lineRule="auto"/>
      </w:pPr>
      <w:r w:rsidRPr="004E3BD8">
        <w:rPr>
          <w:smallCaps/>
        </w:rPr>
        <w:t>Strickler</w:t>
      </w:r>
      <w:r w:rsidR="00242660">
        <w:rPr>
          <w:smallCaps/>
        </w:rPr>
        <w:t xml:space="preserve"> Y.</w:t>
      </w:r>
      <w:r w:rsidRPr="004E3BD8">
        <w:rPr>
          <w:smallCaps/>
        </w:rPr>
        <w:t xml:space="preserve">, </w:t>
      </w:r>
      <w:r w:rsidRPr="004E3BD8">
        <w:rPr>
          <w:i/>
        </w:rPr>
        <w:t xml:space="preserve">Les Biens, </w:t>
      </w:r>
      <w:r w:rsidRPr="004E3BD8">
        <w:t>Parijs, Presses Universitaires de France 2006</w:t>
      </w:r>
      <w:r w:rsidR="004E3BD8" w:rsidRPr="004E3BD8">
        <w:t>, 536.</w:t>
      </w:r>
    </w:p>
    <w:p w14:paraId="5261FDAC" w14:textId="77777777" w:rsidR="008530A1" w:rsidRPr="002A0C60" w:rsidRDefault="008530A1" w:rsidP="005E187E">
      <w:pPr>
        <w:spacing w:line="360" w:lineRule="auto"/>
        <w:rPr>
          <w:smallCaps/>
        </w:rPr>
      </w:pPr>
    </w:p>
    <w:p w14:paraId="144DA37A" w14:textId="32EF1153" w:rsidR="008530A1" w:rsidRPr="004E3BD8" w:rsidRDefault="008530A1" w:rsidP="005E187E">
      <w:pPr>
        <w:spacing w:line="360" w:lineRule="auto"/>
      </w:pPr>
      <w:r w:rsidRPr="004E3BD8">
        <w:rPr>
          <w:smallCaps/>
        </w:rPr>
        <w:t>Terré</w:t>
      </w:r>
      <w:r w:rsidR="00242660">
        <w:rPr>
          <w:smallCaps/>
        </w:rPr>
        <w:t xml:space="preserve"> F., </w:t>
      </w:r>
      <w:r w:rsidRPr="004E3BD8">
        <w:rPr>
          <w:smallCaps/>
        </w:rPr>
        <w:t>Simler</w:t>
      </w:r>
      <w:r w:rsidR="00242660">
        <w:rPr>
          <w:smallCaps/>
        </w:rPr>
        <w:t xml:space="preserve"> P.</w:t>
      </w:r>
      <w:r w:rsidRPr="004E3BD8">
        <w:rPr>
          <w:smallCaps/>
        </w:rPr>
        <w:t xml:space="preserve">, </w:t>
      </w:r>
      <w:r w:rsidRPr="004E3BD8">
        <w:rPr>
          <w:i/>
        </w:rPr>
        <w:t xml:space="preserve">Droit Civil. Les Biens, </w:t>
      </w:r>
      <w:r w:rsidR="001A06F1">
        <w:t>Parijs, Dalloz 2006</w:t>
      </w:r>
      <w:r w:rsidRPr="004E3BD8">
        <w:t xml:space="preserve">, </w:t>
      </w:r>
      <w:r w:rsidR="001A06F1">
        <w:t>852.</w:t>
      </w:r>
    </w:p>
    <w:p w14:paraId="7B7B9ABD" w14:textId="77777777" w:rsidR="001E5502" w:rsidRPr="002A0C60" w:rsidRDefault="001E5502" w:rsidP="005E187E">
      <w:pPr>
        <w:spacing w:line="360" w:lineRule="auto"/>
      </w:pPr>
    </w:p>
    <w:p w14:paraId="018539B2" w14:textId="01E8546A" w:rsidR="008530A1" w:rsidRPr="004E3BD8" w:rsidRDefault="00B352FB" w:rsidP="005E187E">
      <w:pPr>
        <w:spacing w:line="360" w:lineRule="auto"/>
      </w:pPr>
      <w:r w:rsidRPr="004E3BD8">
        <w:rPr>
          <w:smallCaps/>
        </w:rPr>
        <w:t>Weill</w:t>
      </w:r>
      <w:r w:rsidR="00242660">
        <w:rPr>
          <w:smallCaps/>
        </w:rPr>
        <w:t xml:space="preserve"> A., </w:t>
      </w:r>
      <w:r w:rsidRPr="004E3BD8">
        <w:rPr>
          <w:smallCaps/>
        </w:rPr>
        <w:t>Terré</w:t>
      </w:r>
      <w:r w:rsidR="00242660">
        <w:rPr>
          <w:smallCaps/>
        </w:rPr>
        <w:t xml:space="preserve"> F., </w:t>
      </w:r>
      <w:r w:rsidRPr="004E3BD8">
        <w:rPr>
          <w:smallCaps/>
        </w:rPr>
        <w:t>Simler</w:t>
      </w:r>
      <w:r w:rsidR="00242660">
        <w:rPr>
          <w:smallCaps/>
        </w:rPr>
        <w:t xml:space="preserve"> P.</w:t>
      </w:r>
      <w:r w:rsidRPr="004E3BD8">
        <w:rPr>
          <w:smallCaps/>
        </w:rPr>
        <w:t xml:space="preserve">, </w:t>
      </w:r>
      <w:r w:rsidRPr="004E3BD8">
        <w:rPr>
          <w:i/>
        </w:rPr>
        <w:t xml:space="preserve">Les biens, </w:t>
      </w:r>
      <w:r w:rsidRPr="004E3BD8">
        <w:t>Parijs, Dalloz 1985, 842.</w:t>
      </w:r>
    </w:p>
    <w:p w14:paraId="6F0301E1" w14:textId="77777777" w:rsidR="008530A1" w:rsidRPr="002A0C60" w:rsidRDefault="008530A1" w:rsidP="005E187E">
      <w:pPr>
        <w:pStyle w:val="Kop5"/>
        <w:spacing w:line="360" w:lineRule="auto"/>
        <w:jc w:val="both"/>
      </w:pPr>
      <w:bookmarkStart w:id="102" w:name="_Toc449982269"/>
      <w:r w:rsidRPr="002A0C60">
        <w:t>Tijdschriftartikelen</w:t>
      </w:r>
      <w:bookmarkEnd w:id="102"/>
      <w:r w:rsidRPr="002A0C60">
        <w:t xml:space="preserve"> </w:t>
      </w:r>
    </w:p>
    <w:p w14:paraId="616C18FC" w14:textId="77777777" w:rsidR="008530A1" w:rsidRPr="002A0C60" w:rsidRDefault="008530A1" w:rsidP="005E187E">
      <w:pPr>
        <w:spacing w:line="360" w:lineRule="auto"/>
      </w:pPr>
    </w:p>
    <w:p w14:paraId="0B0777DB" w14:textId="58992449" w:rsidR="008530A1" w:rsidRPr="002A0C60" w:rsidRDefault="008530A1" w:rsidP="005E187E">
      <w:pPr>
        <w:pStyle w:val="Voetnoottekst"/>
        <w:spacing w:line="360" w:lineRule="auto"/>
        <w:rPr>
          <w:sz w:val="24"/>
          <w:szCs w:val="24"/>
        </w:rPr>
      </w:pPr>
      <w:r w:rsidRPr="002A0C60">
        <w:rPr>
          <w:smallCaps/>
          <w:sz w:val="24"/>
          <w:szCs w:val="24"/>
        </w:rPr>
        <w:t>Albiges</w:t>
      </w:r>
      <w:r w:rsidR="00242660">
        <w:rPr>
          <w:smallCaps/>
          <w:sz w:val="24"/>
          <w:szCs w:val="24"/>
        </w:rPr>
        <w:t xml:space="preserve"> C., </w:t>
      </w:r>
      <w:r w:rsidRPr="002A0C60">
        <w:rPr>
          <w:smallCaps/>
          <w:sz w:val="24"/>
          <w:szCs w:val="24"/>
        </w:rPr>
        <w:t>Picod</w:t>
      </w:r>
      <w:r w:rsidR="00242660">
        <w:rPr>
          <w:smallCaps/>
          <w:sz w:val="24"/>
          <w:szCs w:val="24"/>
        </w:rPr>
        <w:t xml:space="preserve"> Y.</w:t>
      </w:r>
      <w:r w:rsidRPr="002A0C60">
        <w:rPr>
          <w:smallCaps/>
          <w:sz w:val="24"/>
          <w:szCs w:val="24"/>
        </w:rPr>
        <w:t>, “</w:t>
      </w:r>
      <w:r w:rsidRPr="002A0C60">
        <w:rPr>
          <w:sz w:val="24"/>
          <w:szCs w:val="24"/>
        </w:rPr>
        <w:t>Nantissement”</w:t>
      </w:r>
      <w:r w:rsidRPr="002A0C60">
        <w:rPr>
          <w:i/>
          <w:sz w:val="24"/>
          <w:szCs w:val="24"/>
        </w:rPr>
        <w:t xml:space="preserve">, Repertoire de droit Commercial </w:t>
      </w:r>
      <w:r w:rsidRPr="002A0C60">
        <w:rPr>
          <w:sz w:val="24"/>
          <w:szCs w:val="24"/>
        </w:rPr>
        <w:t>2008,</w:t>
      </w:r>
      <w:r w:rsidR="00E3633D">
        <w:rPr>
          <w:sz w:val="24"/>
          <w:szCs w:val="24"/>
        </w:rPr>
        <w:t xml:space="preserve"> 17.</w:t>
      </w:r>
    </w:p>
    <w:p w14:paraId="388DCD26" w14:textId="77777777" w:rsidR="008530A1" w:rsidRPr="002A0C60" w:rsidRDefault="008530A1" w:rsidP="005E187E">
      <w:pPr>
        <w:pStyle w:val="Voetnoottekst"/>
        <w:spacing w:line="360" w:lineRule="auto"/>
        <w:rPr>
          <w:sz w:val="24"/>
          <w:szCs w:val="24"/>
        </w:rPr>
      </w:pPr>
    </w:p>
    <w:p w14:paraId="3303F44F" w14:textId="7630453B" w:rsidR="008530A1" w:rsidRPr="002A0C60" w:rsidRDefault="008530A1" w:rsidP="005E187E">
      <w:pPr>
        <w:pStyle w:val="Voetnoottekst"/>
        <w:spacing w:line="360" w:lineRule="auto"/>
        <w:rPr>
          <w:sz w:val="24"/>
          <w:szCs w:val="24"/>
        </w:rPr>
      </w:pPr>
      <w:r w:rsidRPr="002A0C60">
        <w:rPr>
          <w:smallCaps/>
          <w:sz w:val="24"/>
          <w:szCs w:val="24"/>
        </w:rPr>
        <w:t>Andreu</w:t>
      </w:r>
      <w:r w:rsidR="00242660">
        <w:rPr>
          <w:smallCaps/>
          <w:sz w:val="24"/>
          <w:szCs w:val="24"/>
        </w:rPr>
        <w:t xml:space="preserve"> L.</w:t>
      </w:r>
      <w:r w:rsidRPr="002A0C60">
        <w:rPr>
          <w:smallCaps/>
          <w:sz w:val="24"/>
          <w:szCs w:val="24"/>
        </w:rPr>
        <w:t xml:space="preserve">, </w:t>
      </w:r>
      <w:r w:rsidRPr="002A0C60">
        <w:rPr>
          <w:sz w:val="24"/>
          <w:szCs w:val="24"/>
        </w:rPr>
        <w:t xml:space="preserve">“Gage avec dépossession contre gage sans dépossession”, </w:t>
      </w:r>
      <w:r w:rsidRPr="002A0C60">
        <w:rPr>
          <w:i/>
          <w:sz w:val="24"/>
          <w:szCs w:val="24"/>
        </w:rPr>
        <w:t xml:space="preserve">Recueil Dalloz </w:t>
      </w:r>
      <w:r w:rsidRPr="002A0C60">
        <w:rPr>
          <w:sz w:val="24"/>
          <w:szCs w:val="24"/>
        </w:rPr>
        <w:t>2012,</w:t>
      </w:r>
      <w:r w:rsidR="00E3633D">
        <w:rPr>
          <w:sz w:val="24"/>
          <w:szCs w:val="24"/>
        </w:rPr>
        <w:t xml:space="preserve"> 1761-1765.</w:t>
      </w:r>
    </w:p>
    <w:p w14:paraId="39C05BCF" w14:textId="77777777" w:rsidR="008530A1" w:rsidRPr="002A0C60" w:rsidRDefault="008530A1" w:rsidP="005E187E">
      <w:pPr>
        <w:pStyle w:val="Voetnoottekst"/>
        <w:spacing w:line="360" w:lineRule="auto"/>
        <w:rPr>
          <w:sz w:val="24"/>
          <w:szCs w:val="24"/>
        </w:rPr>
      </w:pPr>
    </w:p>
    <w:p w14:paraId="238ED743" w14:textId="16886CFC" w:rsidR="008530A1" w:rsidRPr="002A0C60" w:rsidRDefault="008530A1" w:rsidP="005E187E">
      <w:pPr>
        <w:pStyle w:val="Voetnoottekst"/>
        <w:spacing w:line="360" w:lineRule="auto"/>
        <w:rPr>
          <w:sz w:val="24"/>
          <w:szCs w:val="24"/>
        </w:rPr>
      </w:pPr>
      <w:r w:rsidRPr="002A0C60">
        <w:rPr>
          <w:smallCaps/>
          <w:sz w:val="24"/>
          <w:szCs w:val="24"/>
        </w:rPr>
        <w:t>Ansaloni</w:t>
      </w:r>
      <w:r w:rsidR="00242660">
        <w:rPr>
          <w:smallCaps/>
          <w:sz w:val="24"/>
          <w:szCs w:val="24"/>
        </w:rPr>
        <w:t xml:space="preserve"> G.</w:t>
      </w:r>
      <w:r w:rsidRPr="002A0C60">
        <w:rPr>
          <w:smallCaps/>
          <w:sz w:val="24"/>
          <w:szCs w:val="24"/>
        </w:rPr>
        <w:t>, “</w:t>
      </w:r>
      <w:r w:rsidRPr="002A0C60">
        <w:rPr>
          <w:sz w:val="24"/>
          <w:szCs w:val="24"/>
        </w:rPr>
        <w:t xml:space="preserve">Sur l'opposabilité du gage sans dépossession de droit commun”, </w:t>
      </w:r>
      <w:r w:rsidRPr="002A0C60">
        <w:rPr>
          <w:i/>
          <w:sz w:val="24"/>
          <w:szCs w:val="24"/>
        </w:rPr>
        <w:t xml:space="preserve">La Semaine Juridique entreprises et affaires </w:t>
      </w:r>
      <w:r w:rsidRPr="002A0C60">
        <w:rPr>
          <w:sz w:val="24"/>
          <w:szCs w:val="24"/>
        </w:rPr>
        <w:t>2009,</w:t>
      </w:r>
      <w:r w:rsidR="00971D9B">
        <w:rPr>
          <w:sz w:val="24"/>
          <w:szCs w:val="24"/>
        </w:rPr>
        <w:t xml:space="preserve"> 1672-1683.</w:t>
      </w:r>
    </w:p>
    <w:p w14:paraId="39E4EE9F" w14:textId="77777777" w:rsidR="008530A1" w:rsidRPr="002A0C60" w:rsidRDefault="008530A1" w:rsidP="005E187E">
      <w:pPr>
        <w:pStyle w:val="Voetnoottekst"/>
        <w:spacing w:line="360" w:lineRule="auto"/>
        <w:rPr>
          <w:sz w:val="24"/>
          <w:szCs w:val="24"/>
        </w:rPr>
      </w:pPr>
    </w:p>
    <w:p w14:paraId="1EA315F7" w14:textId="7B386D0F" w:rsidR="008530A1" w:rsidRPr="002A0C60" w:rsidRDefault="008530A1" w:rsidP="005E187E">
      <w:pPr>
        <w:pStyle w:val="Voetnoottekst"/>
        <w:spacing w:line="360" w:lineRule="auto"/>
        <w:rPr>
          <w:sz w:val="24"/>
          <w:szCs w:val="24"/>
        </w:rPr>
      </w:pPr>
      <w:r w:rsidRPr="002A0C60">
        <w:rPr>
          <w:smallCaps/>
          <w:sz w:val="24"/>
          <w:szCs w:val="24"/>
        </w:rPr>
        <w:t>Boffa</w:t>
      </w:r>
      <w:r w:rsidR="00242660">
        <w:rPr>
          <w:smallCaps/>
          <w:sz w:val="24"/>
          <w:szCs w:val="24"/>
        </w:rPr>
        <w:t xml:space="preserve"> R.</w:t>
      </w:r>
      <w:r w:rsidRPr="002A0C60">
        <w:rPr>
          <w:smallCaps/>
          <w:sz w:val="24"/>
          <w:szCs w:val="24"/>
        </w:rPr>
        <w:t xml:space="preserve">, </w:t>
      </w:r>
      <w:r w:rsidRPr="002A0C60">
        <w:rPr>
          <w:sz w:val="24"/>
          <w:szCs w:val="24"/>
        </w:rPr>
        <w:t xml:space="preserve">L’opposabilité du gage sans dépossession, </w:t>
      </w:r>
      <w:r w:rsidRPr="002A0C60">
        <w:rPr>
          <w:i/>
          <w:sz w:val="24"/>
          <w:szCs w:val="24"/>
        </w:rPr>
        <w:t>Chron</w:t>
      </w:r>
      <w:r w:rsidRPr="002A0C60">
        <w:rPr>
          <w:sz w:val="24"/>
          <w:szCs w:val="24"/>
        </w:rPr>
        <w:t>. 2007,</w:t>
      </w:r>
      <w:r w:rsidR="00971D9B">
        <w:rPr>
          <w:sz w:val="24"/>
          <w:szCs w:val="24"/>
        </w:rPr>
        <w:t xml:space="preserve"> 1161-1169.</w:t>
      </w:r>
    </w:p>
    <w:p w14:paraId="718E7427" w14:textId="77777777" w:rsidR="008530A1" w:rsidRPr="002A0C60" w:rsidRDefault="008530A1" w:rsidP="005E187E">
      <w:pPr>
        <w:pStyle w:val="Voetnoottekst"/>
        <w:spacing w:line="360" w:lineRule="auto"/>
        <w:rPr>
          <w:smallCaps/>
          <w:sz w:val="24"/>
          <w:szCs w:val="24"/>
        </w:rPr>
      </w:pPr>
    </w:p>
    <w:p w14:paraId="010AEAB1" w14:textId="6BB108EE" w:rsidR="008530A1" w:rsidRPr="002A0C60" w:rsidRDefault="008530A1" w:rsidP="005E187E">
      <w:pPr>
        <w:pStyle w:val="Voetnoottekst"/>
        <w:spacing w:line="360" w:lineRule="auto"/>
        <w:rPr>
          <w:sz w:val="24"/>
          <w:szCs w:val="24"/>
        </w:rPr>
      </w:pPr>
      <w:r w:rsidRPr="0059228C">
        <w:rPr>
          <w:smallCaps/>
          <w:sz w:val="24"/>
          <w:szCs w:val="24"/>
        </w:rPr>
        <w:t>Bouloc</w:t>
      </w:r>
      <w:r w:rsidR="00242660">
        <w:rPr>
          <w:smallCaps/>
          <w:sz w:val="24"/>
          <w:szCs w:val="24"/>
        </w:rPr>
        <w:t xml:space="preserve"> B.</w:t>
      </w:r>
      <w:r w:rsidRPr="0059228C">
        <w:rPr>
          <w:smallCaps/>
          <w:sz w:val="24"/>
          <w:szCs w:val="24"/>
        </w:rPr>
        <w:t>, “</w:t>
      </w:r>
      <w:r w:rsidRPr="0059228C">
        <w:rPr>
          <w:sz w:val="24"/>
          <w:szCs w:val="24"/>
        </w:rPr>
        <w:t xml:space="preserve">Marchandises données en gage. Marchandises vendues avec clause de réserve de propriété. Préférence du créancier gagiste”, </w:t>
      </w:r>
      <w:r w:rsidRPr="0059228C">
        <w:rPr>
          <w:i/>
          <w:sz w:val="24"/>
          <w:szCs w:val="24"/>
        </w:rPr>
        <w:t xml:space="preserve">RTD com. </w:t>
      </w:r>
      <w:r w:rsidRPr="0059228C">
        <w:rPr>
          <w:sz w:val="24"/>
          <w:szCs w:val="24"/>
        </w:rPr>
        <w:t>1990,</w:t>
      </w:r>
      <w:r w:rsidR="0059228C" w:rsidRPr="0059228C">
        <w:rPr>
          <w:sz w:val="24"/>
          <w:szCs w:val="24"/>
        </w:rPr>
        <w:t xml:space="preserve"> 253.</w:t>
      </w:r>
    </w:p>
    <w:p w14:paraId="1ADA38C8" w14:textId="77777777" w:rsidR="008530A1" w:rsidRPr="002A0C60" w:rsidRDefault="008530A1" w:rsidP="005E187E">
      <w:pPr>
        <w:pStyle w:val="Voetnoottekst"/>
        <w:spacing w:line="360" w:lineRule="auto"/>
        <w:rPr>
          <w:sz w:val="24"/>
          <w:szCs w:val="24"/>
        </w:rPr>
      </w:pPr>
    </w:p>
    <w:p w14:paraId="40C11824" w14:textId="6BFA8C78" w:rsidR="008530A1" w:rsidRPr="002A0C60" w:rsidRDefault="002A0C60" w:rsidP="005E187E">
      <w:pPr>
        <w:pStyle w:val="Voetnoottekst"/>
        <w:spacing w:line="360" w:lineRule="auto"/>
        <w:rPr>
          <w:smallCaps/>
          <w:sz w:val="24"/>
          <w:szCs w:val="24"/>
        </w:rPr>
      </w:pPr>
      <w:r w:rsidRPr="005F2ACB">
        <w:rPr>
          <w:smallCaps/>
          <w:sz w:val="24"/>
          <w:szCs w:val="24"/>
        </w:rPr>
        <w:t>Bourassin</w:t>
      </w:r>
      <w:r w:rsidR="00242660">
        <w:rPr>
          <w:smallCaps/>
          <w:sz w:val="24"/>
          <w:szCs w:val="24"/>
        </w:rPr>
        <w:t xml:space="preserve"> M.</w:t>
      </w:r>
      <w:r w:rsidRPr="005F2ACB">
        <w:rPr>
          <w:smallCaps/>
          <w:sz w:val="24"/>
          <w:szCs w:val="24"/>
        </w:rPr>
        <w:t xml:space="preserve">, </w:t>
      </w:r>
      <w:r w:rsidRPr="005F2ACB">
        <w:rPr>
          <w:sz w:val="24"/>
          <w:szCs w:val="24"/>
        </w:rPr>
        <w:t xml:space="preserve">“La force d’attraction du gage des stocks”, </w:t>
      </w:r>
      <w:r w:rsidRPr="005F2ACB">
        <w:rPr>
          <w:i/>
          <w:sz w:val="24"/>
          <w:szCs w:val="24"/>
        </w:rPr>
        <w:t>Recueil Dalloz</w:t>
      </w:r>
      <w:r w:rsidRPr="005F2ACB">
        <w:rPr>
          <w:sz w:val="24"/>
          <w:szCs w:val="24"/>
        </w:rPr>
        <w:t xml:space="preserve"> </w:t>
      </w:r>
      <w:r w:rsidRPr="005F2ACB">
        <w:rPr>
          <w:smallCaps/>
          <w:sz w:val="24"/>
          <w:szCs w:val="24"/>
        </w:rPr>
        <w:t>2013,</w:t>
      </w:r>
      <w:r w:rsidR="005F2ACB" w:rsidRPr="005F2ACB">
        <w:rPr>
          <w:smallCaps/>
          <w:sz w:val="24"/>
          <w:szCs w:val="24"/>
        </w:rPr>
        <w:t>1363-1370.</w:t>
      </w:r>
    </w:p>
    <w:p w14:paraId="4AC7E6FF" w14:textId="77777777" w:rsidR="008530A1" w:rsidRPr="002A0C60" w:rsidRDefault="008530A1" w:rsidP="005E187E">
      <w:pPr>
        <w:pStyle w:val="Voetnoottekst"/>
        <w:spacing w:line="360" w:lineRule="auto"/>
        <w:rPr>
          <w:sz w:val="24"/>
          <w:szCs w:val="24"/>
        </w:rPr>
      </w:pPr>
    </w:p>
    <w:p w14:paraId="71F5928F" w14:textId="401C5FE4" w:rsidR="008530A1" w:rsidRPr="002A0C60" w:rsidRDefault="008530A1" w:rsidP="005E187E">
      <w:pPr>
        <w:pStyle w:val="Voetnoottekst"/>
        <w:spacing w:line="360" w:lineRule="auto"/>
        <w:rPr>
          <w:sz w:val="24"/>
          <w:szCs w:val="24"/>
        </w:rPr>
      </w:pPr>
      <w:r w:rsidRPr="0059228C">
        <w:rPr>
          <w:smallCaps/>
          <w:sz w:val="24"/>
          <w:szCs w:val="24"/>
        </w:rPr>
        <w:t>Bouteiller</w:t>
      </w:r>
      <w:r w:rsidR="00242660">
        <w:rPr>
          <w:smallCaps/>
          <w:sz w:val="24"/>
          <w:szCs w:val="24"/>
        </w:rPr>
        <w:t xml:space="preserve"> P.</w:t>
      </w:r>
      <w:r w:rsidRPr="0059228C">
        <w:rPr>
          <w:smallCaps/>
          <w:sz w:val="24"/>
          <w:szCs w:val="24"/>
        </w:rPr>
        <w:t>, “</w:t>
      </w:r>
      <w:r w:rsidRPr="0059228C">
        <w:rPr>
          <w:sz w:val="24"/>
          <w:szCs w:val="24"/>
        </w:rPr>
        <w:t>Le gage de stocks de biens ou de marchandises</w:t>
      </w:r>
      <w:r w:rsidRPr="0059228C">
        <w:rPr>
          <w:i/>
          <w:sz w:val="24"/>
          <w:szCs w:val="24"/>
        </w:rPr>
        <w:t xml:space="preserve">”, Semaine Juridique Entreprise et Affaires </w:t>
      </w:r>
      <w:r w:rsidRPr="0059228C">
        <w:rPr>
          <w:sz w:val="24"/>
          <w:szCs w:val="24"/>
        </w:rPr>
        <w:t xml:space="preserve">2006, </w:t>
      </w:r>
      <w:r w:rsidR="0059228C" w:rsidRPr="0059228C">
        <w:rPr>
          <w:sz w:val="24"/>
          <w:szCs w:val="24"/>
        </w:rPr>
        <w:t>5.</w:t>
      </w:r>
    </w:p>
    <w:p w14:paraId="7504748D" w14:textId="77777777" w:rsidR="008530A1" w:rsidRPr="002A0C60" w:rsidRDefault="008530A1" w:rsidP="005E187E">
      <w:pPr>
        <w:pStyle w:val="Voetnoottekst"/>
        <w:spacing w:line="360" w:lineRule="auto"/>
        <w:rPr>
          <w:smallCaps/>
          <w:sz w:val="24"/>
          <w:szCs w:val="24"/>
        </w:rPr>
      </w:pPr>
    </w:p>
    <w:p w14:paraId="46F8481F" w14:textId="1E596703" w:rsidR="008530A1" w:rsidRPr="002A0C60" w:rsidRDefault="008530A1" w:rsidP="005E187E">
      <w:pPr>
        <w:pStyle w:val="Voetnoottekst"/>
        <w:spacing w:line="360" w:lineRule="auto"/>
        <w:rPr>
          <w:smallCaps/>
          <w:sz w:val="24"/>
          <w:szCs w:val="24"/>
        </w:rPr>
      </w:pPr>
      <w:r w:rsidRPr="002A0C60">
        <w:rPr>
          <w:smallCaps/>
          <w:sz w:val="24"/>
          <w:szCs w:val="24"/>
        </w:rPr>
        <w:t>Crocq</w:t>
      </w:r>
      <w:r w:rsidR="00242660">
        <w:rPr>
          <w:smallCaps/>
          <w:sz w:val="24"/>
          <w:szCs w:val="24"/>
        </w:rPr>
        <w:t xml:space="preserve"> P.</w:t>
      </w:r>
      <w:r w:rsidRPr="002A0C60">
        <w:rPr>
          <w:sz w:val="24"/>
          <w:szCs w:val="24"/>
        </w:rPr>
        <w:t xml:space="preserve">, “Gage”, </w:t>
      </w:r>
      <w:r w:rsidRPr="002A0C60">
        <w:rPr>
          <w:i/>
          <w:sz w:val="24"/>
          <w:szCs w:val="24"/>
        </w:rPr>
        <w:t xml:space="preserve">Répertoire de droit civil </w:t>
      </w:r>
      <w:r w:rsidRPr="002A0C60">
        <w:rPr>
          <w:sz w:val="24"/>
          <w:szCs w:val="24"/>
        </w:rPr>
        <w:t xml:space="preserve">2007, </w:t>
      </w:r>
      <w:r w:rsidR="00971D9B">
        <w:rPr>
          <w:sz w:val="24"/>
          <w:szCs w:val="24"/>
        </w:rPr>
        <w:t>32.</w:t>
      </w:r>
    </w:p>
    <w:p w14:paraId="3DF3B3B0" w14:textId="77777777" w:rsidR="008530A1" w:rsidRPr="002A0C60" w:rsidRDefault="008530A1" w:rsidP="005E187E">
      <w:pPr>
        <w:spacing w:line="360" w:lineRule="auto"/>
        <w:rPr>
          <w:smallCaps/>
        </w:rPr>
      </w:pPr>
    </w:p>
    <w:p w14:paraId="49414C64" w14:textId="1384B9ED" w:rsidR="008530A1" w:rsidRPr="002A0C60" w:rsidRDefault="008530A1" w:rsidP="005E187E">
      <w:pPr>
        <w:spacing w:line="360" w:lineRule="auto"/>
      </w:pPr>
      <w:r w:rsidRPr="005F2ACB">
        <w:rPr>
          <w:smallCaps/>
        </w:rPr>
        <w:t>Crocq</w:t>
      </w:r>
      <w:r w:rsidR="00242660">
        <w:rPr>
          <w:smallCaps/>
        </w:rPr>
        <w:t xml:space="preserve"> P.</w:t>
      </w:r>
      <w:r w:rsidRPr="005F2ACB">
        <w:rPr>
          <w:smallCaps/>
        </w:rPr>
        <w:t xml:space="preserve">, </w:t>
      </w:r>
      <w:r w:rsidRPr="005F2ACB">
        <w:t xml:space="preserve">“La nullité relative du gage de la chose d'autrui”, </w:t>
      </w:r>
      <w:r w:rsidRPr="005F2ACB">
        <w:rPr>
          <w:i/>
        </w:rPr>
        <w:t xml:space="preserve">RTD Civil </w:t>
      </w:r>
      <w:r w:rsidRPr="005F2ACB">
        <w:t xml:space="preserve">2008, </w:t>
      </w:r>
      <w:r w:rsidR="005F2ACB" w:rsidRPr="005F2ACB">
        <w:t>519.</w:t>
      </w:r>
    </w:p>
    <w:p w14:paraId="691C6FEB" w14:textId="77777777" w:rsidR="008530A1" w:rsidRPr="002A0C60" w:rsidRDefault="008530A1" w:rsidP="005E187E">
      <w:pPr>
        <w:spacing w:line="360" w:lineRule="auto"/>
      </w:pPr>
    </w:p>
    <w:p w14:paraId="02FE712D" w14:textId="7D9D34AD" w:rsidR="008530A1" w:rsidRPr="00971D9B" w:rsidRDefault="002A0C60" w:rsidP="005E187E">
      <w:pPr>
        <w:spacing w:line="360" w:lineRule="auto"/>
      </w:pPr>
      <w:r w:rsidRPr="00971D9B">
        <w:rPr>
          <w:smallCaps/>
        </w:rPr>
        <w:t>Damann</w:t>
      </w:r>
      <w:r w:rsidR="00242660">
        <w:rPr>
          <w:smallCaps/>
        </w:rPr>
        <w:t xml:space="preserve"> R., </w:t>
      </w:r>
      <w:r w:rsidRPr="00971D9B">
        <w:rPr>
          <w:smallCaps/>
        </w:rPr>
        <w:t>Podeur</w:t>
      </w:r>
      <w:r w:rsidR="00242660">
        <w:rPr>
          <w:smallCaps/>
        </w:rPr>
        <w:t xml:space="preserve"> G.</w:t>
      </w:r>
      <w:r w:rsidRPr="00971D9B">
        <w:rPr>
          <w:smallCaps/>
        </w:rPr>
        <w:t xml:space="preserve">, </w:t>
      </w:r>
      <w:r w:rsidRPr="00971D9B">
        <w:t xml:space="preserve">“Le nouveau paysage du droit des sûretés: première étape de la réforme de la fiducie et du gage sans dépossession”, </w:t>
      </w:r>
      <w:r w:rsidRPr="00971D9B">
        <w:rPr>
          <w:i/>
        </w:rPr>
        <w:t xml:space="preserve">Recueil Dalloz </w:t>
      </w:r>
      <w:r w:rsidRPr="00971D9B">
        <w:t>2008,</w:t>
      </w:r>
      <w:r w:rsidR="00971D9B" w:rsidRPr="00971D9B">
        <w:t xml:space="preserve"> 2300-2304.</w:t>
      </w:r>
    </w:p>
    <w:p w14:paraId="764886EA" w14:textId="77777777" w:rsidR="008530A1" w:rsidRPr="00971D9B" w:rsidRDefault="008530A1" w:rsidP="005E187E">
      <w:pPr>
        <w:spacing w:line="360" w:lineRule="auto"/>
        <w:rPr>
          <w:highlight w:val="cyan"/>
        </w:rPr>
      </w:pPr>
    </w:p>
    <w:p w14:paraId="576CA85C" w14:textId="3BDF29B6" w:rsidR="008530A1" w:rsidRPr="007765F2" w:rsidRDefault="008530A1" w:rsidP="005E187E">
      <w:pPr>
        <w:spacing w:line="360" w:lineRule="auto"/>
      </w:pPr>
      <w:r w:rsidRPr="007765F2">
        <w:rPr>
          <w:smallCaps/>
        </w:rPr>
        <w:t>Déruppré</w:t>
      </w:r>
      <w:r w:rsidR="00242660">
        <w:rPr>
          <w:smallCaps/>
        </w:rPr>
        <w:t xml:space="preserve"> J.</w:t>
      </w:r>
      <w:r w:rsidRPr="007765F2">
        <w:rPr>
          <w:smallCaps/>
        </w:rPr>
        <w:t>, “</w:t>
      </w:r>
      <w:r w:rsidRPr="007765F2">
        <w:t>Nantissement de fonds de commerce”</w:t>
      </w:r>
      <w:r w:rsidRPr="007765F2">
        <w:rPr>
          <w:i/>
        </w:rPr>
        <w:t xml:space="preserve">, Repertoire de droit commercial </w:t>
      </w:r>
      <w:r w:rsidR="007765F2" w:rsidRPr="007765F2">
        <w:t>2000, 22.</w:t>
      </w:r>
    </w:p>
    <w:p w14:paraId="7E83AACF" w14:textId="77777777" w:rsidR="008530A1" w:rsidRPr="00971D9B" w:rsidRDefault="008530A1" w:rsidP="005E187E">
      <w:pPr>
        <w:spacing w:line="360" w:lineRule="auto"/>
        <w:rPr>
          <w:highlight w:val="cyan"/>
        </w:rPr>
      </w:pPr>
    </w:p>
    <w:p w14:paraId="1C3CBBCA" w14:textId="7A53FFBA" w:rsidR="008530A1" w:rsidRPr="002A0C60" w:rsidRDefault="008530A1" w:rsidP="005E187E">
      <w:pPr>
        <w:spacing w:line="360" w:lineRule="auto"/>
      </w:pPr>
      <w:r w:rsidRPr="00971D9B">
        <w:rPr>
          <w:smallCaps/>
        </w:rPr>
        <w:t>Dross</w:t>
      </w:r>
      <w:r w:rsidR="00242660">
        <w:rPr>
          <w:smallCaps/>
        </w:rPr>
        <w:t xml:space="preserve"> W.</w:t>
      </w:r>
      <w:r w:rsidRPr="00971D9B">
        <w:rPr>
          <w:smallCaps/>
        </w:rPr>
        <w:t xml:space="preserve">, </w:t>
      </w:r>
      <w:r w:rsidRPr="00971D9B">
        <w:t xml:space="preserve">“Le singulier destin de l’article 2279 du Code Civil”, </w:t>
      </w:r>
      <w:r w:rsidRPr="00971D9B">
        <w:rPr>
          <w:i/>
        </w:rPr>
        <w:t xml:space="preserve">RTD civ. </w:t>
      </w:r>
      <w:r w:rsidRPr="00971D9B">
        <w:t>2006,</w:t>
      </w:r>
      <w:r w:rsidR="00971D9B" w:rsidRPr="00971D9B">
        <w:t>27-45.</w:t>
      </w:r>
    </w:p>
    <w:p w14:paraId="60FD0022" w14:textId="77777777" w:rsidR="008530A1" w:rsidRPr="002A0C60" w:rsidRDefault="008530A1" w:rsidP="005E187E">
      <w:pPr>
        <w:spacing w:line="360" w:lineRule="auto"/>
      </w:pPr>
    </w:p>
    <w:p w14:paraId="64FB0AB1" w14:textId="5776B894" w:rsidR="008530A1" w:rsidRPr="002A0C60" w:rsidRDefault="008530A1" w:rsidP="005E187E">
      <w:pPr>
        <w:spacing w:line="360" w:lineRule="auto"/>
      </w:pPr>
      <w:r w:rsidRPr="002A0C60">
        <w:rPr>
          <w:smallCaps/>
        </w:rPr>
        <w:t>Houtcieff</w:t>
      </w:r>
      <w:r w:rsidR="00242660">
        <w:rPr>
          <w:smallCaps/>
        </w:rPr>
        <w:t xml:space="preserve"> B.</w:t>
      </w:r>
      <w:r w:rsidRPr="002A0C60">
        <w:rPr>
          <w:smallCaps/>
        </w:rPr>
        <w:t>, “</w:t>
      </w:r>
      <w:r w:rsidRPr="002A0C60">
        <w:t>Gage Commercial”,</w:t>
      </w:r>
      <w:r w:rsidRPr="002A0C60">
        <w:rPr>
          <w:smallCaps/>
        </w:rPr>
        <w:t xml:space="preserve"> </w:t>
      </w:r>
      <w:r w:rsidRPr="002A0C60">
        <w:rPr>
          <w:i/>
        </w:rPr>
        <w:t xml:space="preserve">Répertoire de droit commercial </w:t>
      </w:r>
      <w:r w:rsidRPr="002A0C60">
        <w:t>2006,</w:t>
      </w:r>
      <w:r w:rsidR="00971D9B">
        <w:t xml:space="preserve"> 22.</w:t>
      </w:r>
    </w:p>
    <w:p w14:paraId="0DD60930" w14:textId="77777777" w:rsidR="008530A1" w:rsidRPr="002A0C60" w:rsidRDefault="008530A1" w:rsidP="005E187E">
      <w:pPr>
        <w:spacing w:line="360" w:lineRule="auto"/>
      </w:pPr>
    </w:p>
    <w:p w14:paraId="672B2497" w14:textId="462695C3" w:rsidR="008530A1" w:rsidRPr="002A0C60" w:rsidRDefault="008530A1" w:rsidP="005E187E">
      <w:pPr>
        <w:spacing w:line="360" w:lineRule="auto"/>
      </w:pPr>
      <w:r w:rsidRPr="002A0C60">
        <w:rPr>
          <w:smallCaps/>
        </w:rPr>
        <w:t>Juillet</w:t>
      </w:r>
      <w:r w:rsidR="00242660">
        <w:rPr>
          <w:smallCaps/>
        </w:rPr>
        <w:t xml:space="preserve"> C.</w:t>
      </w:r>
      <w:r w:rsidRPr="002A0C60">
        <w:rPr>
          <w:smallCaps/>
        </w:rPr>
        <w:t xml:space="preserve">, </w:t>
      </w:r>
      <w:r w:rsidRPr="002A0C60">
        <w:t xml:space="preserve">“La réforme du gage des stocks”, </w:t>
      </w:r>
      <w:r w:rsidRPr="002A0C60">
        <w:rPr>
          <w:i/>
        </w:rPr>
        <w:t xml:space="preserve">Recueil Dalloz </w:t>
      </w:r>
      <w:r w:rsidRPr="002A0C60">
        <w:t>2016</w:t>
      </w:r>
      <w:r w:rsidR="00971D9B">
        <w:t>, 561-566.</w:t>
      </w:r>
    </w:p>
    <w:p w14:paraId="7D27B0DC" w14:textId="77777777" w:rsidR="008530A1" w:rsidRPr="002A0C60" w:rsidRDefault="008530A1" w:rsidP="005E187E">
      <w:pPr>
        <w:spacing w:line="360" w:lineRule="auto"/>
      </w:pPr>
    </w:p>
    <w:p w14:paraId="76B8D95C" w14:textId="73A3D4A1" w:rsidR="008530A1" w:rsidRPr="002A0C60" w:rsidRDefault="008530A1" w:rsidP="005E187E">
      <w:pPr>
        <w:spacing w:line="360" w:lineRule="auto"/>
      </w:pPr>
      <w:r w:rsidRPr="002A0C60">
        <w:rPr>
          <w:smallCaps/>
        </w:rPr>
        <w:t>Juillet</w:t>
      </w:r>
      <w:r w:rsidR="00242660">
        <w:rPr>
          <w:smallCaps/>
        </w:rPr>
        <w:t xml:space="preserve"> C.</w:t>
      </w:r>
      <w:r w:rsidRPr="002A0C60">
        <w:rPr>
          <w:smallCaps/>
        </w:rPr>
        <w:t xml:space="preserve">, </w:t>
      </w:r>
      <w:r w:rsidRPr="002A0C60">
        <w:t xml:space="preserve">“Le warrant agricole, les sûretés mobilières spéciales et le droit commun du gage”, </w:t>
      </w:r>
      <w:r w:rsidRPr="002A0C60">
        <w:rPr>
          <w:i/>
        </w:rPr>
        <w:t xml:space="preserve">Reueil Dalloz </w:t>
      </w:r>
      <w:r w:rsidRPr="002A0C60">
        <w:t>2016,</w:t>
      </w:r>
      <w:r w:rsidR="00971D9B">
        <w:t xml:space="preserve"> 178-182.</w:t>
      </w:r>
    </w:p>
    <w:p w14:paraId="2C779EED" w14:textId="77777777" w:rsidR="008530A1" w:rsidRPr="002A0C60" w:rsidRDefault="008530A1" w:rsidP="005E187E">
      <w:pPr>
        <w:spacing w:line="360" w:lineRule="auto"/>
      </w:pPr>
    </w:p>
    <w:p w14:paraId="0418B15C" w14:textId="62CC0B9A" w:rsidR="008530A1" w:rsidRPr="002A0C60" w:rsidRDefault="008530A1" w:rsidP="005E187E">
      <w:pPr>
        <w:spacing w:line="360" w:lineRule="auto"/>
      </w:pPr>
      <w:r w:rsidRPr="007765F2">
        <w:rPr>
          <w:smallCaps/>
        </w:rPr>
        <w:t>Petel-teyssie</w:t>
      </w:r>
      <w:r w:rsidR="00242660">
        <w:rPr>
          <w:smallCaps/>
        </w:rPr>
        <w:t xml:space="preserve"> I.</w:t>
      </w:r>
      <w:r w:rsidRPr="007765F2">
        <w:t xml:space="preserve">, “Une Nouvelle sûreté: le nantissement du fonds agricole" </w:t>
      </w:r>
      <w:r w:rsidRPr="007765F2">
        <w:rPr>
          <w:i/>
        </w:rPr>
        <w:t xml:space="preserve">Rev. </w:t>
      </w:r>
      <w:proofErr w:type="gramStart"/>
      <w:r w:rsidRPr="007765F2">
        <w:rPr>
          <w:i/>
        </w:rPr>
        <w:t>dr.rural</w:t>
      </w:r>
      <w:proofErr w:type="gramEnd"/>
      <w:r w:rsidRPr="007765F2">
        <w:t xml:space="preserve"> 2006,</w:t>
      </w:r>
      <w:r w:rsidR="007765F2" w:rsidRPr="007765F2">
        <w:t xml:space="preserve"> 16.</w:t>
      </w:r>
    </w:p>
    <w:p w14:paraId="4258BFEF" w14:textId="77777777" w:rsidR="008530A1" w:rsidRPr="002A0C60" w:rsidRDefault="008530A1" w:rsidP="005E187E">
      <w:pPr>
        <w:pStyle w:val="Kop2"/>
        <w:numPr>
          <w:ilvl w:val="0"/>
          <w:numId w:val="0"/>
        </w:numPr>
        <w:spacing w:line="360" w:lineRule="auto"/>
        <w:jc w:val="both"/>
      </w:pPr>
      <w:bookmarkStart w:id="103" w:name="_Toc449982270"/>
      <w:r w:rsidRPr="002A0C60">
        <w:t>Nederland</w:t>
      </w:r>
      <w:bookmarkEnd w:id="103"/>
    </w:p>
    <w:p w14:paraId="61C7FF6D" w14:textId="77777777" w:rsidR="008530A1" w:rsidRPr="002A0C60" w:rsidRDefault="008530A1" w:rsidP="00781B71">
      <w:pPr>
        <w:pStyle w:val="Kop4"/>
        <w:numPr>
          <w:ilvl w:val="3"/>
          <w:numId w:val="18"/>
        </w:numPr>
        <w:spacing w:line="360" w:lineRule="auto"/>
        <w:jc w:val="both"/>
      </w:pPr>
      <w:bookmarkStart w:id="104" w:name="_Toc449982271"/>
      <w:r w:rsidRPr="002A0C60">
        <w:t>Wetgeving</w:t>
      </w:r>
      <w:bookmarkEnd w:id="104"/>
      <w:r w:rsidRPr="002A0C60">
        <w:t xml:space="preserve"> </w:t>
      </w:r>
    </w:p>
    <w:p w14:paraId="509EDD00" w14:textId="77777777" w:rsidR="008530A1" w:rsidRPr="002A0C60" w:rsidRDefault="008530A1" w:rsidP="005E187E">
      <w:pPr>
        <w:spacing w:line="360" w:lineRule="auto"/>
      </w:pPr>
    </w:p>
    <w:p w14:paraId="7991321F" w14:textId="5EB9C71C" w:rsidR="008530A1" w:rsidRPr="002A0C60" w:rsidRDefault="000E52EE" w:rsidP="005E187E">
      <w:pPr>
        <w:spacing w:line="360" w:lineRule="auto"/>
      </w:pPr>
      <w:r w:rsidRPr="002A0C60">
        <w:t xml:space="preserve">Boek III, </w:t>
      </w:r>
      <w:r w:rsidR="00D91ED5" w:rsidRPr="002A0C60">
        <w:t xml:space="preserve">Nieuw Burgerlijk Wetboek van 1 januari 1992, </w:t>
      </w:r>
      <w:r w:rsidR="00D91ED5" w:rsidRPr="002A0C60">
        <w:rPr>
          <w:i/>
        </w:rPr>
        <w:t xml:space="preserve">NS </w:t>
      </w:r>
      <w:r w:rsidRPr="002A0C60">
        <w:t xml:space="preserve"> april 1991.</w:t>
      </w:r>
    </w:p>
    <w:p w14:paraId="523CC965" w14:textId="77777777" w:rsidR="008530A1" w:rsidRPr="002A0C60" w:rsidRDefault="008530A1" w:rsidP="005E187E">
      <w:pPr>
        <w:spacing w:line="360" w:lineRule="auto"/>
      </w:pPr>
    </w:p>
    <w:p w14:paraId="01070488" w14:textId="77777777" w:rsidR="008530A1" w:rsidRPr="002A0C60" w:rsidRDefault="008530A1" w:rsidP="005E187E">
      <w:pPr>
        <w:spacing w:line="360" w:lineRule="auto"/>
      </w:pPr>
      <w:r w:rsidRPr="002A0C60">
        <w:lastRenderedPageBreak/>
        <w:t>Koninklijk Besluit 20 februari 1990.</w:t>
      </w:r>
    </w:p>
    <w:p w14:paraId="05458AE9" w14:textId="77777777" w:rsidR="008530A1" w:rsidRPr="002A0C60" w:rsidRDefault="008530A1" w:rsidP="005E187E">
      <w:pPr>
        <w:pStyle w:val="Kop4"/>
        <w:spacing w:line="360" w:lineRule="auto"/>
        <w:jc w:val="both"/>
      </w:pPr>
      <w:bookmarkStart w:id="105" w:name="_Toc449982272"/>
      <w:r w:rsidRPr="002A0C60">
        <w:t>Rechtspraak</w:t>
      </w:r>
      <w:bookmarkEnd w:id="105"/>
    </w:p>
    <w:p w14:paraId="57EEB448" w14:textId="77777777" w:rsidR="008530A1" w:rsidRPr="002A0C60" w:rsidRDefault="008530A1" w:rsidP="005E187E">
      <w:pPr>
        <w:spacing w:line="360" w:lineRule="auto"/>
      </w:pPr>
    </w:p>
    <w:p w14:paraId="7B8716DC" w14:textId="77777777" w:rsidR="008530A1" w:rsidRPr="002A0C60" w:rsidRDefault="008530A1" w:rsidP="005E187E">
      <w:pPr>
        <w:spacing w:line="360" w:lineRule="auto"/>
      </w:pPr>
      <w:r w:rsidRPr="002A0C60">
        <w:t xml:space="preserve">Hoge Raad 29 juni 1979, </w:t>
      </w:r>
      <w:r w:rsidRPr="002A0C60">
        <w:rPr>
          <w:i/>
        </w:rPr>
        <w:t xml:space="preserve">NJ </w:t>
      </w:r>
      <w:r w:rsidRPr="002A0C60">
        <w:t>1980, 133.</w:t>
      </w:r>
    </w:p>
    <w:p w14:paraId="0884FBAC" w14:textId="77777777" w:rsidR="008530A1" w:rsidRPr="002A0C60" w:rsidRDefault="008530A1" w:rsidP="005E187E">
      <w:pPr>
        <w:pStyle w:val="Kop4"/>
        <w:spacing w:line="360" w:lineRule="auto"/>
        <w:jc w:val="both"/>
      </w:pPr>
      <w:bookmarkStart w:id="106" w:name="_Toc449982273"/>
      <w:r w:rsidRPr="002A0C60">
        <w:t>Rechtsleer</w:t>
      </w:r>
      <w:bookmarkEnd w:id="106"/>
    </w:p>
    <w:p w14:paraId="70B7B1CD" w14:textId="77777777" w:rsidR="008530A1" w:rsidRPr="002A0C60" w:rsidRDefault="008530A1" w:rsidP="005E187E">
      <w:pPr>
        <w:pStyle w:val="Kop5"/>
        <w:spacing w:line="360" w:lineRule="auto"/>
        <w:jc w:val="both"/>
      </w:pPr>
      <w:bookmarkStart w:id="107" w:name="_Toc449982274"/>
      <w:r w:rsidRPr="002A0C60">
        <w:t>Boeken</w:t>
      </w:r>
      <w:bookmarkEnd w:id="107"/>
      <w:r w:rsidRPr="002A0C60">
        <w:t xml:space="preserve"> </w:t>
      </w:r>
    </w:p>
    <w:p w14:paraId="522CE7C7" w14:textId="77777777" w:rsidR="008530A1" w:rsidRPr="002A0C60" w:rsidRDefault="008530A1" w:rsidP="005E187E">
      <w:pPr>
        <w:spacing w:line="360" w:lineRule="auto"/>
      </w:pPr>
    </w:p>
    <w:p w14:paraId="1FC4A31F" w14:textId="7FC04B44" w:rsidR="008530A1" w:rsidRPr="002A0C60" w:rsidRDefault="008530A1" w:rsidP="005E187E">
      <w:pPr>
        <w:pStyle w:val="Voetnoottekst"/>
        <w:spacing w:line="360" w:lineRule="auto"/>
        <w:rPr>
          <w:sz w:val="24"/>
          <w:szCs w:val="24"/>
        </w:rPr>
      </w:pPr>
      <w:r w:rsidRPr="002A0C60">
        <w:rPr>
          <w:smallCaps/>
          <w:sz w:val="24"/>
          <w:szCs w:val="24"/>
        </w:rPr>
        <w:t>Asser</w:t>
      </w:r>
      <w:r w:rsidR="00242660">
        <w:rPr>
          <w:smallCaps/>
          <w:sz w:val="24"/>
          <w:szCs w:val="24"/>
        </w:rPr>
        <w:t xml:space="preserve"> C.</w:t>
      </w:r>
      <w:r w:rsidRPr="002A0C60">
        <w:rPr>
          <w:smallCaps/>
          <w:sz w:val="24"/>
          <w:szCs w:val="24"/>
        </w:rPr>
        <w:t xml:space="preserve">, </w:t>
      </w:r>
      <w:r w:rsidRPr="002A0C60">
        <w:rPr>
          <w:i/>
          <w:sz w:val="24"/>
          <w:szCs w:val="24"/>
        </w:rPr>
        <w:t xml:space="preserve">Algemeen goederenrecht, </w:t>
      </w:r>
      <w:r w:rsidRPr="002A0C60">
        <w:rPr>
          <w:sz w:val="24"/>
          <w:szCs w:val="24"/>
        </w:rPr>
        <w:t>3-IV, Deventer, Kluwer 2013,</w:t>
      </w:r>
      <w:r w:rsidR="0059228C">
        <w:rPr>
          <w:sz w:val="24"/>
          <w:szCs w:val="24"/>
        </w:rPr>
        <w:t xml:space="preserve"> 694.</w:t>
      </w:r>
    </w:p>
    <w:p w14:paraId="55B2B055" w14:textId="77777777" w:rsidR="008530A1" w:rsidRPr="002A0C60" w:rsidRDefault="008530A1" w:rsidP="005E187E">
      <w:pPr>
        <w:pStyle w:val="Voetnoottekst"/>
        <w:spacing w:line="360" w:lineRule="auto"/>
        <w:rPr>
          <w:sz w:val="24"/>
          <w:szCs w:val="24"/>
        </w:rPr>
      </w:pPr>
    </w:p>
    <w:p w14:paraId="43237F13" w14:textId="19BB876A" w:rsidR="008530A1" w:rsidRPr="002A0C60" w:rsidRDefault="008530A1" w:rsidP="005E187E">
      <w:pPr>
        <w:spacing w:line="360" w:lineRule="auto"/>
      </w:pPr>
      <w:r w:rsidRPr="002A0C60">
        <w:rPr>
          <w:smallCaps/>
        </w:rPr>
        <w:t>Mijnssen</w:t>
      </w:r>
      <w:r w:rsidR="00242660">
        <w:rPr>
          <w:smallCaps/>
        </w:rPr>
        <w:t xml:space="preserve"> F. en </w:t>
      </w:r>
      <w:r w:rsidRPr="002A0C60">
        <w:rPr>
          <w:smallCaps/>
        </w:rPr>
        <w:t>Schut</w:t>
      </w:r>
      <w:r w:rsidR="00242660">
        <w:rPr>
          <w:smallCaps/>
        </w:rPr>
        <w:t xml:space="preserve"> G.</w:t>
      </w:r>
      <w:r w:rsidRPr="002A0C60">
        <w:rPr>
          <w:smallCaps/>
        </w:rPr>
        <w:t xml:space="preserve">, </w:t>
      </w:r>
      <w:r w:rsidRPr="002A0C60">
        <w:rPr>
          <w:i/>
        </w:rPr>
        <w:t xml:space="preserve">Bezit, levering en overdracht, </w:t>
      </w:r>
      <w:r w:rsidRPr="002A0C60">
        <w:t xml:space="preserve">Zwolle, W.E.J. Tjeenk Willink Zwolle, 1991, </w:t>
      </w:r>
      <w:r w:rsidR="0059228C">
        <w:t>178.</w:t>
      </w:r>
    </w:p>
    <w:p w14:paraId="43CEDFB5" w14:textId="77777777" w:rsidR="008530A1" w:rsidRPr="002A0C60" w:rsidRDefault="008530A1" w:rsidP="005E187E">
      <w:pPr>
        <w:pStyle w:val="Voetnoottekst"/>
        <w:spacing w:line="360" w:lineRule="auto"/>
        <w:rPr>
          <w:sz w:val="24"/>
          <w:szCs w:val="24"/>
        </w:rPr>
      </w:pPr>
    </w:p>
    <w:p w14:paraId="7268FA7E" w14:textId="46F38A48" w:rsidR="008530A1" w:rsidRPr="002A0C60" w:rsidRDefault="008530A1" w:rsidP="005E187E">
      <w:pPr>
        <w:spacing w:line="360" w:lineRule="auto"/>
      </w:pPr>
      <w:r w:rsidRPr="002A0C60">
        <w:rPr>
          <w:smallCaps/>
        </w:rPr>
        <w:t xml:space="preserve">Nieskens-Isphording </w:t>
      </w:r>
      <w:r w:rsidR="004614C2" w:rsidRPr="002A0C60">
        <w:rPr>
          <w:smallCaps/>
        </w:rPr>
        <w:t xml:space="preserve">B.W.M. </w:t>
      </w:r>
      <w:r w:rsidRPr="002A0C60">
        <w:t>en</w:t>
      </w:r>
      <w:r w:rsidRPr="002A0C60">
        <w:rPr>
          <w:smallCaps/>
        </w:rPr>
        <w:t>. van der Put-Lauwers</w:t>
      </w:r>
      <w:r w:rsidR="004614C2">
        <w:rPr>
          <w:smallCaps/>
        </w:rPr>
        <w:t xml:space="preserve"> </w:t>
      </w:r>
      <w:r w:rsidR="004614C2" w:rsidRPr="002A0C60">
        <w:rPr>
          <w:smallCaps/>
        </w:rPr>
        <w:t>A.E.M</w:t>
      </w:r>
      <w:r w:rsidRPr="002A0C60">
        <w:rPr>
          <w:smallCaps/>
        </w:rPr>
        <w:t xml:space="preserve">, </w:t>
      </w:r>
      <w:r w:rsidRPr="002A0C60">
        <w:rPr>
          <w:i/>
        </w:rPr>
        <w:t>Derdenbescherming,</w:t>
      </w:r>
      <w:r w:rsidRPr="002A0C60">
        <w:t xml:space="preserve"> Deventer, Kluwer 2002, </w:t>
      </w:r>
      <w:r w:rsidR="0059228C">
        <w:t>85.</w:t>
      </w:r>
    </w:p>
    <w:p w14:paraId="34C5B004" w14:textId="77777777" w:rsidR="004614C2" w:rsidRDefault="004614C2" w:rsidP="005E187E">
      <w:pPr>
        <w:spacing w:line="360" w:lineRule="auto"/>
      </w:pPr>
    </w:p>
    <w:p w14:paraId="0A73836F" w14:textId="63357172" w:rsidR="008530A1" w:rsidRPr="002A0C60" w:rsidRDefault="008530A1" w:rsidP="005E187E">
      <w:pPr>
        <w:spacing w:line="360" w:lineRule="auto"/>
      </w:pPr>
      <w:r w:rsidRPr="002A0C60">
        <w:rPr>
          <w:smallCaps/>
        </w:rPr>
        <w:t>Reehuis</w:t>
      </w:r>
      <w:r w:rsidR="004614C2">
        <w:rPr>
          <w:smallCaps/>
        </w:rPr>
        <w:t xml:space="preserve"> </w:t>
      </w:r>
      <w:r w:rsidR="004614C2" w:rsidRPr="002A0C60">
        <w:rPr>
          <w:smallCaps/>
        </w:rPr>
        <w:t>W.H.M</w:t>
      </w:r>
      <w:r w:rsidR="004614C2">
        <w:rPr>
          <w:smallCaps/>
        </w:rPr>
        <w:t>.</w:t>
      </w:r>
      <w:r w:rsidRPr="002A0C60">
        <w:rPr>
          <w:smallCaps/>
        </w:rPr>
        <w:t xml:space="preserve">, </w:t>
      </w:r>
      <w:r w:rsidRPr="002A0C60">
        <w:rPr>
          <w:i/>
        </w:rPr>
        <w:t xml:space="preserve">Stille verpanding, </w:t>
      </w:r>
      <w:r w:rsidRPr="002A0C60">
        <w:t>Arhem, Gouda Quint 1987,</w:t>
      </w:r>
      <w:r w:rsidR="0059228C">
        <w:t xml:space="preserve"> 344.</w:t>
      </w:r>
    </w:p>
    <w:p w14:paraId="0C85E4A3" w14:textId="77777777" w:rsidR="008530A1" w:rsidRPr="002A0C60" w:rsidRDefault="008530A1" w:rsidP="005E187E">
      <w:pPr>
        <w:spacing w:line="360" w:lineRule="auto"/>
      </w:pPr>
    </w:p>
    <w:p w14:paraId="07A0F43F" w14:textId="6695ACB5" w:rsidR="008530A1" w:rsidRPr="002A0C60" w:rsidRDefault="008530A1" w:rsidP="005E187E">
      <w:pPr>
        <w:pStyle w:val="Voetnoottekst"/>
        <w:spacing w:line="360" w:lineRule="auto"/>
        <w:rPr>
          <w:sz w:val="24"/>
          <w:szCs w:val="24"/>
        </w:rPr>
      </w:pPr>
      <w:r w:rsidRPr="002A0C60">
        <w:rPr>
          <w:smallCaps/>
          <w:sz w:val="24"/>
          <w:szCs w:val="24"/>
        </w:rPr>
        <w:t>Reehuis</w:t>
      </w:r>
      <w:r w:rsidR="004614C2">
        <w:rPr>
          <w:smallCaps/>
          <w:sz w:val="24"/>
          <w:szCs w:val="24"/>
        </w:rPr>
        <w:t xml:space="preserve"> </w:t>
      </w:r>
      <w:r w:rsidR="004614C2" w:rsidRPr="002A0C60">
        <w:rPr>
          <w:smallCaps/>
        </w:rPr>
        <w:t>W.H.M</w:t>
      </w:r>
      <w:r w:rsidR="004614C2">
        <w:rPr>
          <w:smallCaps/>
        </w:rPr>
        <w:t>.</w:t>
      </w:r>
      <w:r w:rsidRPr="002A0C60">
        <w:rPr>
          <w:smallCaps/>
          <w:sz w:val="24"/>
          <w:szCs w:val="24"/>
        </w:rPr>
        <w:t xml:space="preserve"> </w:t>
      </w:r>
      <w:r w:rsidRPr="004614C2">
        <w:rPr>
          <w:sz w:val="24"/>
          <w:szCs w:val="24"/>
        </w:rPr>
        <w:t>en</w:t>
      </w:r>
      <w:r w:rsidR="004614C2">
        <w:rPr>
          <w:smallCaps/>
          <w:sz w:val="24"/>
          <w:szCs w:val="24"/>
        </w:rPr>
        <w:t xml:space="preserve"> </w:t>
      </w:r>
      <w:r w:rsidRPr="002A0C60">
        <w:rPr>
          <w:smallCaps/>
          <w:sz w:val="24"/>
          <w:szCs w:val="24"/>
        </w:rPr>
        <w:t>Slob</w:t>
      </w:r>
      <w:r w:rsidR="004614C2">
        <w:rPr>
          <w:smallCaps/>
          <w:sz w:val="24"/>
          <w:szCs w:val="24"/>
        </w:rPr>
        <w:t xml:space="preserve"> E.E.</w:t>
      </w:r>
      <w:r w:rsidRPr="002A0C60">
        <w:rPr>
          <w:smallCaps/>
          <w:sz w:val="24"/>
          <w:szCs w:val="24"/>
        </w:rPr>
        <w:t xml:space="preserve">, </w:t>
      </w:r>
      <w:r w:rsidRPr="002A0C60">
        <w:rPr>
          <w:i/>
          <w:sz w:val="24"/>
          <w:szCs w:val="24"/>
        </w:rPr>
        <w:t xml:space="preserve">Parlementaire geschiedenis van het Nieuwe Burgerlijk Wetboek: invoering boeken 3,5 en 6, </w:t>
      </w:r>
      <w:r w:rsidR="0059228C">
        <w:rPr>
          <w:sz w:val="24"/>
          <w:szCs w:val="24"/>
        </w:rPr>
        <w:t>Deventer, Kluwer 1990, V, 511.</w:t>
      </w:r>
    </w:p>
    <w:p w14:paraId="44C6BCC0" w14:textId="77777777" w:rsidR="008530A1" w:rsidRPr="002A0C60" w:rsidRDefault="008530A1" w:rsidP="005E187E">
      <w:pPr>
        <w:pStyle w:val="Voetnoottekst"/>
        <w:spacing w:line="360" w:lineRule="auto"/>
        <w:rPr>
          <w:sz w:val="24"/>
          <w:szCs w:val="24"/>
        </w:rPr>
      </w:pPr>
    </w:p>
    <w:p w14:paraId="1743DD81" w14:textId="479214B8" w:rsidR="008530A1" w:rsidRPr="002A0C60" w:rsidRDefault="008530A1" w:rsidP="005E187E">
      <w:pPr>
        <w:spacing w:line="360" w:lineRule="auto"/>
      </w:pPr>
      <w:r w:rsidRPr="0059228C">
        <w:rPr>
          <w:smallCaps/>
        </w:rPr>
        <w:t>Molenaar</w:t>
      </w:r>
      <w:r w:rsidR="004614C2">
        <w:rPr>
          <w:smallCaps/>
        </w:rPr>
        <w:t xml:space="preserve"> F.</w:t>
      </w:r>
      <w:r w:rsidRPr="0059228C">
        <w:rPr>
          <w:smallCaps/>
        </w:rPr>
        <w:t xml:space="preserve">, </w:t>
      </w:r>
      <w:r w:rsidRPr="0059228C">
        <w:rPr>
          <w:i/>
        </w:rPr>
        <w:t xml:space="preserve">Algemene bepalingen zekerheidsrechten op goederen, </w:t>
      </w:r>
      <w:r w:rsidR="0059228C" w:rsidRPr="0059228C">
        <w:t>Deventer, Kluwer 1992, 76.</w:t>
      </w:r>
    </w:p>
    <w:p w14:paraId="219569D8" w14:textId="77777777" w:rsidR="008530A1" w:rsidRPr="002A0C60" w:rsidRDefault="008530A1" w:rsidP="005E187E">
      <w:pPr>
        <w:spacing w:line="360" w:lineRule="auto"/>
        <w:rPr>
          <w:smallCaps/>
        </w:rPr>
      </w:pPr>
    </w:p>
    <w:p w14:paraId="7C0A3DFC" w14:textId="18580C76" w:rsidR="008530A1" w:rsidRPr="0059228C" w:rsidRDefault="008530A1" w:rsidP="005E187E">
      <w:pPr>
        <w:spacing w:line="360" w:lineRule="auto"/>
      </w:pPr>
      <w:r w:rsidRPr="002A0C60">
        <w:rPr>
          <w:smallCaps/>
        </w:rPr>
        <w:t>Reehuis</w:t>
      </w:r>
      <w:r w:rsidR="004614C2">
        <w:rPr>
          <w:smallCaps/>
        </w:rPr>
        <w:t xml:space="preserve"> </w:t>
      </w:r>
      <w:r w:rsidR="004614C2" w:rsidRPr="002A0C60">
        <w:rPr>
          <w:smallCaps/>
        </w:rPr>
        <w:t xml:space="preserve">W.H.M. </w:t>
      </w:r>
      <w:r w:rsidRPr="002A0C60">
        <w:rPr>
          <w:smallCaps/>
        </w:rPr>
        <w:t xml:space="preserve"> </w:t>
      </w:r>
      <w:proofErr w:type="gramStart"/>
      <w:r w:rsidRPr="004614C2">
        <w:t>en</w:t>
      </w:r>
      <w:proofErr w:type="gramEnd"/>
      <w:r w:rsidRPr="002A0C60">
        <w:rPr>
          <w:smallCaps/>
        </w:rPr>
        <w:t xml:space="preserve"> Heisterkamp</w:t>
      </w:r>
      <w:r w:rsidR="004614C2">
        <w:rPr>
          <w:smallCaps/>
        </w:rPr>
        <w:t xml:space="preserve"> </w:t>
      </w:r>
      <w:r w:rsidR="004614C2" w:rsidRPr="002A0C60">
        <w:rPr>
          <w:smallCaps/>
        </w:rPr>
        <w:t>A.H.T</w:t>
      </w:r>
      <w:r w:rsidRPr="002A0C60">
        <w:rPr>
          <w:smallCaps/>
        </w:rPr>
        <w:t xml:space="preserve">, </w:t>
      </w:r>
      <w:r w:rsidRPr="002A0C60">
        <w:rPr>
          <w:i/>
        </w:rPr>
        <w:t xml:space="preserve">Goederenrecht, </w:t>
      </w:r>
      <w:r w:rsidRPr="002A0C60">
        <w:t>Deventer</w:t>
      </w:r>
      <w:r w:rsidRPr="002A0C60">
        <w:rPr>
          <w:i/>
        </w:rPr>
        <w:t xml:space="preserve">, </w:t>
      </w:r>
      <w:r w:rsidRPr="002A0C60">
        <w:t>Kluwer 2006</w:t>
      </w:r>
      <w:r w:rsidRPr="002A0C60">
        <w:rPr>
          <w:i/>
        </w:rPr>
        <w:t xml:space="preserve">, </w:t>
      </w:r>
      <w:r w:rsidR="0059228C">
        <w:t>823.</w:t>
      </w:r>
    </w:p>
    <w:p w14:paraId="2FF8E76E" w14:textId="77777777" w:rsidR="008530A1" w:rsidRPr="002A0C60" w:rsidRDefault="008530A1" w:rsidP="005E187E">
      <w:pPr>
        <w:spacing w:line="360" w:lineRule="auto"/>
      </w:pPr>
    </w:p>
    <w:p w14:paraId="7AD33C9A" w14:textId="56AE4734" w:rsidR="008530A1" w:rsidRPr="002A0C60" w:rsidRDefault="008530A1" w:rsidP="005E187E">
      <w:pPr>
        <w:pStyle w:val="Voetnoottekst"/>
        <w:spacing w:line="360" w:lineRule="auto"/>
        <w:rPr>
          <w:sz w:val="24"/>
          <w:szCs w:val="24"/>
        </w:rPr>
      </w:pPr>
      <w:r w:rsidRPr="002A0C60">
        <w:rPr>
          <w:smallCaps/>
          <w:sz w:val="24"/>
          <w:szCs w:val="24"/>
        </w:rPr>
        <w:t>Reehuis</w:t>
      </w:r>
      <w:r w:rsidR="004614C2">
        <w:rPr>
          <w:smallCaps/>
          <w:sz w:val="24"/>
          <w:szCs w:val="24"/>
        </w:rPr>
        <w:t xml:space="preserve"> </w:t>
      </w:r>
      <w:r w:rsidR="004614C2" w:rsidRPr="002A0C60">
        <w:rPr>
          <w:smallCaps/>
          <w:sz w:val="24"/>
          <w:szCs w:val="24"/>
        </w:rPr>
        <w:t>W.H.M</w:t>
      </w:r>
      <w:r w:rsidR="004614C2">
        <w:rPr>
          <w:smallCaps/>
          <w:sz w:val="24"/>
          <w:szCs w:val="24"/>
        </w:rPr>
        <w:t>.</w:t>
      </w:r>
      <w:r w:rsidRPr="002A0C60">
        <w:rPr>
          <w:smallCaps/>
          <w:sz w:val="24"/>
          <w:szCs w:val="24"/>
        </w:rPr>
        <w:t xml:space="preserve">, </w:t>
      </w:r>
      <w:r w:rsidRPr="002A0C60">
        <w:rPr>
          <w:i/>
          <w:sz w:val="24"/>
          <w:szCs w:val="24"/>
        </w:rPr>
        <w:t xml:space="preserve">Zwaartepunten van het vermogensrecht, </w:t>
      </w:r>
      <w:r w:rsidRPr="002A0C60">
        <w:rPr>
          <w:sz w:val="24"/>
          <w:szCs w:val="24"/>
        </w:rPr>
        <w:t xml:space="preserve">Kluwer, Deventer 2010, </w:t>
      </w:r>
      <w:r w:rsidR="0059228C">
        <w:rPr>
          <w:sz w:val="24"/>
          <w:szCs w:val="24"/>
        </w:rPr>
        <w:t>433.</w:t>
      </w:r>
    </w:p>
    <w:p w14:paraId="14C8D164" w14:textId="77777777" w:rsidR="008530A1" w:rsidRPr="002A0C60" w:rsidRDefault="008530A1" w:rsidP="005E187E">
      <w:pPr>
        <w:pStyle w:val="Voetnoottekst"/>
        <w:spacing w:line="360" w:lineRule="auto"/>
        <w:rPr>
          <w:sz w:val="24"/>
          <w:szCs w:val="24"/>
        </w:rPr>
      </w:pPr>
    </w:p>
    <w:p w14:paraId="77159D1A" w14:textId="0D43AB7E" w:rsidR="008530A1" w:rsidRPr="002A0C60" w:rsidRDefault="008530A1" w:rsidP="005E187E">
      <w:pPr>
        <w:pStyle w:val="Voetnoottekst"/>
        <w:spacing w:line="360" w:lineRule="auto"/>
        <w:rPr>
          <w:sz w:val="24"/>
          <w:szCs w:val="24"/>
        </w:rPr>
      </w:pPr>
      <w:r w:rsidRPr="0059228C">
        <w:rPr>
          <w:smallCaps/>
          <w:sz w:val="24"/>
          <w:szCs w:val="24"/>
        </w:rPr>
        <w:t>Snijders</w:t>
      </w:r>
      <w:r w:rsidR="004614C2">
        <w:rPr>
          <w:smallCaps/>
          <w:sz w:val="24"/>
          <w:szCs w:val="24"/>
        </w:rPr>
        <w:t xml:space="preserve"> H.J. en </w:t>
      </w:r>
      <w:r w:rsidRPr="0059228C">
        <w:rPr>
          <w:smallCaps/>
          <w:sz w:val="24"/>
          <w:szCs w:val="24"/>
        </w:rPr>
        <w:t>Rank-Berenschoot</w:t>
      </w:r>
      <w:r w:rsidR="004614C2">
        <w:rPr>
          <w:smallCaps/>
          <w:sz w:val="24"/>
          <w:szCs w:val="24"/>
        </w:rPr>
        <w:t xml:space="preserve"> E.B.</w:t>
      </w:r>
      <w:r w:rsidRPr="0059228C">
        <w:rPr>
          <w:smallCaps/>
          <w:sz w:val="24"/>
          <w:szCs w:val="24"/>
        </w:rPr>
        <w:t xml:space="preserve">, </w:t>
      </w:r>
      <w:r w:rsidRPr="0059228C">
        <w:rPr>
          <w:i/>
          <w:sz w:val="24"/>
          <w:szCs w:val="24"/>
        </w:rPr>
        <w:t xml:space="preserve">Goederenrecht, </w:t>
      </w:r>
      <w:r w:rsidRPr="0059228C">
        <w:rPr>
          <w:sz w:val="24"/>
          <w:szCs w:val="24"/>
        </w:rPr>
        <w:t xml:space="preserve">Deventer, Kluwer, 2012, </w:t>
      </w:r>
      <w:r w:rsidR="0059228C" w:rsidRPr="0059228C">
        <w:rPr>
          <w:sz w:val="24"/>
          <w:szCs w:val="24"/>
        </w:rPr>
        <w:t>651.</w:t>
      </w:r>
    </w:p>
    <w:p w14:paraId="7F1B3C2C" w14:textId="77777777" w:rsidR="008530A1" w:rsidRPr="002A0C60" w:rsidRDefault="008530A1" w:rsidP="005E187E">
      <w:pPr>
        <w:pStyle w:val="Voetnoottekst"/>
        <w:spacing w:line="360" w:lineRule="auto"/>
        <w:rPr>
          <w:sz w:val="24"/>
          <w:szCs w:val="24"/>
        </w:rPr>
      </w:pPr>
    </w:p>
    <w:p w14:paraId="05BB13D3" w14:textId="1B415F16" w:rsidR="008530A1" w:rsidRPr="002A0C60" w:rsidRDefault="008530A1" w:rsidP="00781B71">
      <w:pPr>
        <w:pStyle w:val="Voetnoottekst"/>
        <w:spacing w:line="360" w:lineRule="auto"/>
        <w:rPr>
          <w:sz w:val="24"/>
          <w:szCs w:val="24"/>
        </w:rPr>
      </w:pPr>
      <w:r w:rsidRPr="002A0C60">
        <w:rPr>
          <w:smallCaps/>
          <w:sz w:val="24"/>
          <w:szCs w:val="24"/>
        </w:rPr>
        <w:t>Steneker</w:t>
      </w:r>
      <w:r w:rsidR="004614C2">
        <w:rPr>
          <w:smallCaps/>
          <w:sz w:val="24"/>
          <w:szCs w:val="24"/>
        </w:rPr>
        <w:t xml:space="preserve"> A.</w:t>
      </w:r>
      <w:r w:rsidRPr="002A0C60">
        <w:rPr>
          <w:smallCaps/>
          <w:sz w:val="24"/>
          <w:szCs w:val="24"/>
        </w:rPr>
        <w:t>,</w:t>
      </w:r>
      <w:r w:rsidRPr="002A0C60">
        <w:rPr>
          <w:sz w:val="24"/>
          <w:szCs w:val="24"/>
        </w:rPr>
        <w:t xml:space="preserve"> </w:t>
      </w:r>
      <w:r w:rsidRPr="002A0C60">
        <w:rPr>
          <w:i/>
          <w:sz w:val="24"/>
          <w:szCs w:val="24"/>
        </w:rPr>
        <w:t xml:space="preserve">Pandrecht, </w:t>
      </w:r>
      <w:r w:rsidR="0059228C">
        <w:rPr>
          <w:sz w:val="24"/>
          <w:szCs w:val="24"/>
        </w:rPr>
        <w:t>Deventer, Kluwer 2012, 209.</w:t>
      </w:r>
    </w:p>
    <w:p w14:paraId="74F44796" w14:textId="77777777" w:rsidR="008530A1" w:rsidRPr="002A0C60" w:rsidRDefault="008530A1" w:rsidP="005E187E">
      <w:pPr>
        <w:pStyle w:val="Kop5"/>
        <w:spacing w:line="360" w:lineRule="auto"/>
        <w:jc w:val="both"/>
      </w:pPr>
      <w:bookmarkStart w:id="108" w:name="_Toc449982275"/>
      <w:r w:rsidRPr="002A0C60">
        <w:lastRenderedPageBreak/>
        <w:t>Tijdschriftartikelen</w:t>
      </w:r>
      <w:bookmarkEnd w:id="108"/>
      <w:r w:rsidRPr="002A0C60">
        <w:t xml:space="preserve"> </w:t>
      </w:r>
    </w:p>
    <w:p w14:paraId="5A6B3FB3" w14:textId="77777777" w:rsidR="008530A1" w:rsidRPr="002A0C60" w:rsidRDefault="008530A1" w:rsidP="005E187E">
      <w:pPr>
        <w:spacing w:line="360" w:lineRule="auto"/>
      </w:pPr>
    </w:p>
    <w:p w14:paraId="5F7799C1" w14:textId="3D604056" w:rsidR="008530A1" w:rsidRDefault="008530A1" w:rsidP="005E187E">
      <w:pPr>
        <w:spacing w:line="360" w:lineRule="auto"/>
      </w:pPr>
      <w:r w:rsidRPr="002A0C60">
        <w:rPr>
          <w:smallCaps/>
        </w:rPr>
        <w:t>Hamwijk</w:t>
      </w:r>
      <w:r w:rsidR="004614C2">
        <w:rPr>
          <w:smallCaps/>
        </w:rPr>
        <w:t xml:space="preserve"> </w:t>
      </w:r>
      <w:r w:rsidR="004614C2" w:rsidRPr="002A0C60">
        <w:rPr>
          <w:smallCaps/>
        </w:rPr>
        <w:t>D.J.Y</w:t>
      </w:r>
      <w:r w:rsidRPr="002A0C60">
        <w:rPr>
          <w:smallCaps/>
        </w:rPr>
        <w:t xml:space="preserve">, </w:t>
      </w:r>
      <w:r w:rsidRPr="002A0C60">
        <w:t xml:space="preserve">“Een openbaar register voor bezitloze zekerheidsrechten op roerende zaken: in ieder geval niet belang voor concurrente (handels)crediteur”, </w:t>
      </w:r>
      <w:r w:rsidRPr="002A0C60">
        <w:rPr>
          <w:i/>
        </w:rPr>
        <w:t xml:space="preserve">TvL </w:t>
      </w:r>
      <w:r w:rsidRPr="002A0C60">
        <w:t>2011,</w:t>
      </w:r>
      <w:r w:rsidR="0059228C">
        <w:t xml:space="preserve"> www.navigator.nl.</w:t>
      </w:r>
    </w:p>
    <w:p w14:paraId="13D7F443" w14:textId="77777777" w:rsidR="0059228C" w:rsidRDefault="0059228C" w:rsidP="005E187E">
      <w:pPr>
        <w:spacing w:line="360" w:lineRule="auto"/>
      </w:pPr>
    </w:p>
    <w:p w14:paraId="5EC275E5" w14:textId="42E87BB8" w:rsidR="0059228C" w:rsidRPr="002A0C60" w:rsidRDefault="0059228C" w:rsidP="005E187E">
      <w:pPr>
        <w:spacing w:line="360" w:lineRule="auto"/>
      </w:pPr>
      <w:r w:rsidRPr="002A0C60">
        <w:rPr>
          <w:smallCaps/>
        </w:rPr>
        <w:t>Stein</w:t>
      </w:r>
      <w:r w:rsidR="004614C2">
        <w:rPr>
          <w:smallCaps/>
        </w:rPr>
        <w:t xml:space="preserve"> P.A.</w:t>
      </w:r>
      <w:r w:rsidRPr="002A0C60">
        <w:rPr>
          <w:smallCaps/>
        </w:rPr>
        <w:t>, “</w:t>
      </w:r>
      <w:r w:rsidRPr="002A0C60">
        <w:t xml:space="preserve">Vuistpandrecht en de goede trouw van de pandhouder”, </w:t>
      </w:r>
      <w:r w:rsidRPr="002A0C60">
        <w:rPr>
          <w:i/>
        </w:rPr>
        <w:t xml:space="preserve">Groene Serie </w:t>
      </w:r>
      <w:r>
        <w:t>2015, www.navigator.nl.</w:t>
      </w:r>
    </w:p>
    <w:p w14:paraId="0A527841" w14:textId="77777777" w:rsidR="008530A1" w:rsidRPr="002A0C60" w:rsidRDefault="008530A1" w:rsidP="005E187E">
      <w:pPr>
        <w:spacing w:line="360" w:lineRule="auto"/>
      </w:pPr>
    </w:p>
    <w:p w14:paraId="18DC01C0" w14:textId="0256AE8E" w:rsidR="008530A1" w:rsidRPr="002A0C60" w:rsidRDefault="008530A1" w:rsidP="005E187E">
      <w:pPr>
        <w:spacing w:line="360" w:lineRule="auto"/>
      </w:pPr>
      <w:r w:rsidRPr="002A0C60">
        <w:rPr>
          <w:smallCaps/>
        </w:rPr>
        <w:t>van Hoof</w:t>
      </w:r>
      <w:r w:rsidR="004614C2">
        <w:rPr>
          <w:smallCaps/>
        </w:rPr>
        <w:t xml:space="preserve"> </w:t>
      </w:r>
      <w:r w:rsidR="004614C2" w:rsidRPr="002A0C60">
        <w:rPr>
          <w:smallCaps/>
        </w:rPr>
        <w:t>V.J.M.</w:t>
      </w:r>
      <w:r w:rsidRPr="002A0C60">
        <w:rPr>
          <w:smallCaps/>
        </w:rPr>
        <w:t xml:space="preserve">, </w:t>
      </w:r>
      <w:r w:rsidRPr="002A0C60">
        <w:t xml:space="preserve">“De bescherming van een vuistpandhouder en retentor tegen een eerder gevestigd stil pandrecht”, </w:t>
      </w:r>
      <w:r w:rsidRPr="002A0C60">
        <w:rPr>
          <w:i/>
        </w:rPr>
        <w:t xml:space="preserve">NTBR </w:t>
      </w:r>
      <w:r w:rsidRPr="002A0C60">
        <w:t xml:space="preserve">2013, </w:t>
      </w:r>
      <w:r w:rsidR="0059228C">
        <w:t>www.navigator.nl.</w:t>
      </w:r>
    </w:p>
    <w:p w14:paraId="518221A6" w14:textId="52C1F4F1" w:rsidR="008530A1" w:rsidRPr="002A0C60" w:rsidRDefault="008530A1" w:rsidP="00781B71">
      <w:pPr>
        <w:pStyle w:val="Kop2"/>
        <w:numPr>
          <w:ilvl w:val="0"/>
          <w:numId w:val="0"/>
        </w:numPr>
        <w:spacing w:line="360" w:lineRule="auto"/>
        <w:jc w:val="both"/>
      </w:pPr>
      <w:bookmarkStart w:id="109" w:name="_Toc449982276"/>
      <w:r w:rsidRPr="002A0C60">
        <w:t>Draft common frame of reference</w:t>
      </w:r>
      <w:bookmarkEnd w:id="109"/>
      <w:r w:rsidRPr="002A0C60">
        <w:t xml:space="preserve"> </w:t>
      </w:r>
    </w:p>
    <w:p w14:paraId="0851AD2F" w14:textId="77777777" w:rsidR="008530A1" w:rsidRPr="002A0C60" w:rsidRDefault="008530A1" w:rsidP="00781B71">
      <w:pPr>
        <w:pStyle w:val="Kop4"/>
        <w:numPr>
          <w:ilvl w:val="3"/>
          <w:numId w:val="17"/>
        </w:numPr>
        <w:spacing w:line="360" w:lineRule="auto"/>
        <w:jc w:val="both"/>
      </w:pPr>
      <w:bookmarkStart w:id="110" w:name="_Toc449982277"/>
      <w:r w:rsidRPr="002A0C60">
        <w:t>Wetgeving</w:t>
      </w:r>
      <w:bookmarkEnd w:id="110"/>
      <w:r w:rsidRPr="002A0C60">
        <w:t xml:space="preserve"> </w:t>
      </w:r>
    </w:p>
    <w:p w14:paraId="406D8950" w14:textId="77777777" w:rsidR="008530A1" w:rsidRPr="002A0C60" w:rsidRDefault="008530A1" w:rsidP="005E187E">
      <w:pPr>
        <w:spacing w:line="360" w:lineRule="auto"/>
      </w:pPr>
    </w:p>
    <w:p w14:paraId="5C3085B0" w14:textId="643F8D41" w:rsidR="0015730C" w:rsidRPr="002A0C60" w:rsidRDefault="0015730C" w:rsidP="005E187E">
      <w:pPr>
        <w:spacing w:line="360" w:lineRule="auto"/>
      </w:pPr>
      <w:r w:rsidRPr="002A0C60">
        <w:t xml:space="preserve">Artikel IX- 2:108 Draft </w:t>
      </w:r>
      <w:r w:rsidR="00C97F8C">
        <w:t>Common Frame of Reference</w:t>
      </w:r>
      <w:r w:rsidRPr="002A0C60">
        <w:t>.</w:t>
      </w:r>
    </w:p>
    <w:p w14:paraId="3A88A1B3" w14:textId="77777777" w:rsidR="0015730C" w:rsidRPr="002A0C60" w:rsidRDefault="0015730C" w:rsidP="005E187E">
      <w:pPr>
        <w:spacing w:line="360" w:lineRule="auto"/>
      </w:pPr>
    </w:p>
    <w:p w14:paraId="4539A677" w14:textId="77777777" w:rsidR="008530A1" w:rsidRPr="002A0C60" w:rsidRDefault="008530A1" w:rsidP="005E187E">
      <w:pPr>
        <w:spacing w:line="360" w:lineRule="auto"/>
      </w:pPr>
      <w:r w:rsidRPr="002A0C60">
        <w:t>Artikel VIII.3:101 Draft Common Frame of Reference.</w:t>
      </w:r>
    </w:p>
    <w:p w14:paraId="494AD2D4" w14:textId="17FF4E08" w:rsidR="008530A1" w:rsidRPr="002A0C60" w:rsidRDefault="008530A1" w:rsidP="005E187E">
      <w:pPr>
        <w:pStyle w:val="Kop4"/>
        <w:spacing w:line="360" w:lineRule="auto"/>
        <w:jc w:val="both"/>
      </w:pPr>
      <w:bookmarkStart w:id="111" w:name="_Toc449982278"/>
      <w:r w:rsidRPr="002A0C60">
        <w:t>Rechtspraak</w:t>
      </w:r>
      <w:bookmarkEnd w:id="111"/>
    </w:p>
    <w:p w14:paraId="38615915" w14:textId="77777777" w:rsidR="00781B71" w:rsidRPr="002A0C60" w:rsidRDefault="00781B71" w:rsidP="00781B71">
      <w:pPr>
        <w:pStyle w:val="Nummer"/>
        <w:numPr>
          <w:ilvl w:val="0"/>
          <w:numId w:val="0"/>
        </w:numPr>
      </w:pPr>
    </w:p>
    <w:p w14:paraId="5686EBB3" w14:textId="281CF258" w:rsidR="008530A1" w:rsidRPr="002A0C60" w:rsidRDefault="008530A1" w:rsidP="005E187E">
      <w:pPr>
        <w:spacing w:line="360" w:lineRule="auto"/>
      </w:pPr>
      <w:r w:rsidRPr="002A0C60">
        <w:t xml:space="preserve">Hoge Raad 4 april 1986, </w:t>
      </w:r>
      <w:r w:rsidRPr="002A0C60">
        <w:rPr>
          <w:i/>
        </w:rPr>
        <w:t xml:space="preserve">NJ </w:t>
      </w:r>
      <w:r w:rsidRPr="002A0C60">
        <w:t>1986, 810</w:t>
      </w:r>
      <w:r w:rsidR="0059228C">
        <w:t>.</w:t>
      </w:r>
    </w:p>
    <w:p w14:paraId="110D2652" w14:textId="77777777" w:rsidR="008530A1" w:rsidRPr="002A0C60" w:rsidRDefault="008530A1" w:rsidP="005E187E">
      <w:pPr>
        <w:pStyle w:val="Kop4"/>
        <w:spacing w:line="360" w:lineRule="auto"/>
        <w:jc w:val="both"/>
      </w:pPr>
      <w:bookmarkStart w:id="112" w:name="_Toc449982279"/>
      <w:r w:rsidRPr="002A0C60">
        <w:t>Rechtsleer</w:t>
      </w:r>
      <w:bookmarkEnd w:id="112"/>
    </w:p>
    <w:p w14:paraId="4083C7AB" w14:textId="77777777" w:rsidR="008530A1" w:rsidRPr="002A0C60" w:rsidRDefault="008530A1" w:rsidP="005E187E">
      <w:pPr>
        <w:pStyle w:val="Kop5"/>
        <w:spacing w:line="360" w:lineRule="auto"/>
        <w:jc w:val="both"/>
      </w:pPr>
      <w:bookmarkStart w:id="113" w:name="_Toc449982280"/>
      <w:r w:rsidRPr="002A0C60">
        <w:t>Boeken</w:t>
      </w:r>
      <w:bookmarkEnd w:id="113"/>
      <w:r w:rsidRPr="002A0C60">
        <w:t xml:space="preserve"> </w:t>
      </w:r>
    </w:p>
    <w:p w14:paraId="1A8FC796" w14:textId="77777777" w:rsidR="008530A1" w:rsidRPr="002A0C60" w:rsidRDefault="008530A1" w:rsidP="005E187E">
      <w:pPr>
        <w:spacing w:line="360" w:lineRule="auto"/>
      </w:pPr>
    </w:p>
    <w:p w14:paraId="18E87E84" w14:textId="3160861D" w:rsidR="008530A1" w:rsidRPr="002A0C60" w:rsidRDefault="008530A1" w:rsidP="005E187E">
      <w:pPr>
        <w:spacing w:line="360" w:lineRule="auto"/>
      </w:pPr>
      <w:r w:rsidRPr="002A0C60">
        <w:rPr>
          <w:smallCaps/>
        </w:rPr>
        <w:t>Von Bar</w:t>
      </w:r>
      <w:r w:rsidR="004614C2">
        <w:rPr>
          <w:smallCaps/>
        </w:rPr>
        <w:t xml:space="preserve"> C. </w:t>
      </w:r>
      <w:r w:rsidR="004614C2" w:rsidRPr="004614C2">
        <w:t>en</w:t>
      </w:r>
      <w:r w:rsidR="004614C2">
        <w:rPr>
          <w:smallCaps/>
        </w:rPr>
        <w:t xml:space="preserve"> </w:t>
      </w:r>
      <w:r w:rsidRPr="002A0C60">
        <w:rPr>
          <w:smallCaps/>
        </w:rPr>
        <w:t>Clive</w:t>
      </w:r>
      <w:r w:rsidR="004614C2">
        <w:rPr>
          <w:smallCaps/>
        </w:rPr>
        <w:t xml:space="preserve"> E.</w:t>
      </w:r>
      <w:r w:rsidRPr="002A0C60">
        <w:rPr>
          <w:smallCaps/>
        </w:rPr>
        <w:t xml:space="preserve">, </w:t>
      </w:r>
      <w:r w:rsidRPr="002A0C60">
        <w:rPr>
          <w:i/>
        </w:rPr>
        <w:t xml:space="preserve">Principles, Definitions and Model Rules of European Private law: Draft Common Frame of Reference (DCFR), </w:t>
      </w:r>
      <w:r w:rsidRPr="002A0C60">
        <w:t xml:space="preserve">2009, </w:t>
      </w:r>
    </w:p>
    <w:p w14:paraId="2A4A4A32" w14:textId="77777777" w:rsidR="008530A1" w:rsidRPr="002A0C60" w:rsidRDefault="008530A1" w:rsidP="005E187E">
      <w:pPr>
        <w:pStyle w:val="Kop5"/>
        <w:spacing w:line="360" w:lineRule="auto"/>
        <w:jc w:val="both"/>
      </w:pPr>
      <w:bookmarkStart w:id="114" w:name="_Toc449982281"/>
      <w:r w:rsidRPr="002A0C60">
        <w:t>Tijdschriftartikelen</w:t>
      </w:r>
      <w:bookmarkEnd w:id="114"/>
      <w:r w:rsidRPr="002A0C60">
        <w:t xml:space="preserve"> </w:t>
      </w:r>
    </w:p>
    <w:p w14:paraId="7F0D3B80" w14:textId="77777777" w:rsidR="008530A1" w:rsidRPr="002A0C60" w:rsidRDefault="008530A1" w:rsidP="005E187E">
      <w:pPr>
        <w:spacing w:line="360" w:lineRule="auto"/>
      </w:pPr>
    </w:p>
    <w:p w14:paraId="39B08773" w14:textId="005DCA77" w:rsidR="008530A1" w:rsidRPr="002A0C60" w:rsidRDefault="008530A1" w:rsidP="005E187E">
      <w:pPr>
        <w:pStyle w:val="Voetnoottekst"/>
        <w:spacing w:line="360" w:lineRule="auto"/>
        <w:rPr>
          <w:sz w:val="24"/>
          <w:szCs w:val="24"/>
        </w:rPr>
      </w:pPr>
      <w:r w:rsidRPr="002A0C60">
        <w:rPr>
          <w:smallCaps/>
          <w:sz w:val="24"/>
          <w:szCs w:val="24"/>
        </w:rPr>
        <w:t>Stein</w:t>
      </w:r>
      <w:r w:rsidR="004614C2">
        <w:rPr>
          <w:smallCaps/>
          <w:sz w:val="24"/>
          <w:szCs w:val="24"/>
        </w:rPr>
        <w:t xml:space="preserve"> P.A.</w:t>
      </w:r>
      <w:r w:rsidRPr="002A0C60">
        <w:rPr>
          <w:smallCaps/>
          <w:sz w:val="24"/>
          <w:szCs w:val="24"/>
        </w:rPr>
        <w:t xml:space="preserve">, </w:t>
      </w:r>
      <w:r w:rsidRPr="002A0C60">
        <w:rPr>
          <w:sz w:val="24"/>
          <w:szCs w:val="24"/>
        </w:rPr>
        <w:t xml:space="preserve">“Bezitloos pandrecht volgens het Draft Common Frame of Reference”, </w:t>
      </w:r>
      <w:r w:rsidRPr="002A0C60">
        <w:rPr>
          <w:i/>
          <w:sz w:val="24"/>
          <w:szCs w:val="24"/>
        </w:rPr>
        <w:t>GS Vermogensrecht</w:t>
      </w:r>
      <w:r w:rsidRPr="002A0C60">
        <w:rPr>
          <w:sz w:val="24"/>
          <w:szCs w:val="24"/>
        </w:rPr>
        <w:t xml:space="preserve"> 2015</w:t>
      </w:r>
      <w:r w:rsidR="0059228C">
        <w:rPr>
          <w:sz w:val="24"/>
          <w:szCs w:val="24"/>
        </w:rPr>
        <w:t>, www.navigator.nl.</w:t>
      </w:r>
    </w:p>
    <w:p w14:paraId="44491A9F" w14:textId="77777777" w:rsidR="008530A1" w:rsidRPr="002A0C60" w:rsidRDefault="008530A1" w:rsidP="005E187E">
      <w:pPr>
        <w:pStyle w:val="Voetnoottekst"/>
        <w:spacing w:line="360" w:lineRule="auto"/>
        <w:rPr>
          <w:smallCaps/>
          <w:sz w:val="24"/>
          <w:szCs w:val="24"/>
        </w:rPr>
      </w:pPr>
    </w:p>
    <w:p w14:paraId="12859232" w14:textId="00B5E8AE" w:rsidR="005545E2" w:rsidRPr="002A0C60" w:rsidRDefault="008530A1" w:rsidP="00781B71">
      <w:pPr>
        <w:pStyle w:val="Voetnoottekst"/>
        <w:spacing w:line="360" w:lineRule="auto"/>
        <w:rPr>
          <w:sz w:val="24"/>
          <w:szCs w:val="24"/>
        </w:rPr>
      </w:pPr>
      <w:r w:rsidRPr="002A0C60">
        <w:rPr>
          <w:smallCaps/>
          <w:sz w:val="24"/>
          <w:szCs w:val="24"/>
        </w:rPr>
        <w:t>Van Vliet</w:t>
      </w:r>
      <w:r w:rsidR="004614C2">
        <w:rPr>
          <w:smallCaps/>
          <w:sz w:val="24"/>
          <w:szCs w:val="24"/>
        </w:rPr>
        <w:t xml:space="preserve"> </w:t>
      </w:r>
      <w:r w:rsidR="004614C2" w:rsidRPr="002A0C60">
        <w:rPr>
          <w:smallCaps/>
          <w:sz w:val="24"/>
          <w:szCs w:val="24"/>
        </w:rPr>
        <w:t>L.P.W.</w:t>
      </w:r>
      <w:r w:rsidRPr="002A0C60">
        <w:rPr>
          <w:smallCaps/>
          <w:sz w:val="24"/>
          <w:szCs w:val="24"/>
        </w:rPr>
        <w:t>, “</w:t>
      </w:r>
      <w:r w:rsidRPr="002A0C60">
        <w:rPr>
          <w:sz w:val="24"/>
          <w:szCs w:val="24"/>
        </w:rPr>
        <w:t>Book VII DCFR: Acquisition and loss of ownership”</w:t>
      </w:r>
      <w:r w:rsidRPr="002A0C60">
        <w:rPr>
          <w:i/>
          <w:sz w:val="24"/>
          <w:szCs w:val="24"/>
        </w:rPr>
        <w:t xml:space="preserve">, NTBR </w:t>
      </w:r>
      <w:r w:rsidRPr="002A0C60">
        <w:rPr>
          <w:sz w:val="24"/>
          <w:szCs w:val="24"/>
        </w:rPr>
        <w:t xml:space="preserve">2011, </w:t>
      </w:r>
      <w:r w:rsidR="004614C2">
        <w:rPr>
          <w:sz w:val="24"/>
          <w:szCs w:val="24"/>
        </w:rPr>
        <w:t>www.navigator.nl.</w:t>
      </w:r>
    </w:p>
    <w:p w14:paraId="70CDA72B" w14:textId="77777777" w:rsidR="00E0408F" w:rsidRPr="002A0C60" w:rsidRDefault="00E0408F" w:rsidP="00781B71">
      <w:pPr>
        <w:pStyle w:val="Voetnoottekst"/>
        <w:spacing w:line="360" w:lineRule="auto"/>
        <w:rPr>
          <w:sz w:val="24"/>
          <w:szCs w:val="24"/>
        </w:rPr>
      </w:pPr>
    </w:p>
    <w:p w14:paraId="74FD7EE3" w14:textId="0F0EA27C" w:rsidR="0015730C" w:rsidRPr="002A0C60" w:rsidRDefault="00E0408F" w:rsidP="00B94722">
      <w:pPr>
        <w:pStyle w:val="Voetnoottekst"/>
        <w:rPr>
          <w:sz w:val="24"/>
          <w:szCs w:val="24"/>
        </w:rPr>
      </w:pPr>
      <w:r w:rsidRPr="002A0C60">
        <w:rPr>
          <w:smallCaps/>
          <w:sz w:val="24"/>
          <w:szCs w:val="24"/>
        </w:rPr>
        <w:t>Salomons</w:t>
      </w:r>
      <w:r w:rsidR="004614C2">
        <w:rPr>
          <w:smallCaps/>
          <w:sz w:val="24"/>
          <w:szCs w:val="24"/>
        </w:rPr>
        <w:t xml:space="preserve"> A.</w:t>
      </w:r>
      <w:r w:rsidRPr="002A0C60">
        <w:rPr>
          <w:smallCaps/>
          <w:sz w:val="24"/>
          <w:szCs w:val="24"/>
        </w:rPr>
        <w:t xml:space="preserve">, </w:t>
      </w:r>
      <w:r w:rsidRPr="002A0C60">
        <w:rPr>
          <w:sz w:val="24"/>
          <w:szCs w:val="24"/>
        </w:rPr>
        <w:t xml:space="preserve">“The purpose and Coherence of the Rules on Good Faith Acquisition and Acquisitive Prescription in the Draft Common Frame of Reference: A Tale of Two Gatekeepers”, </w:t>
      </w:r>
      <w:r w:rsidRPr="002A0C60">
        <w:rPr>
          <w:i/>
          <w:sz w:val="24"/>
          <w:szCs w:val="24"/>
        </w:rPr>
        <w:t xml:space="preserve">ERPL </w:t>
      </w:r>
      <w:r w:rsidR="004614C2">
        <w:rPr>
          <w:sz w:val="24"/>
          <w:szCs w:val="24"/>
        </w:rPr>
        <w:t>2013, 843-862.</w:t>
      </w:r>
    </w:p>
    <w:sectPr w:rsidR="0015730C" w:rsidRPr="002A0C60" w:rsidSect="006460FD">
      <w:footerReference w:type="default" r:id="rId14"/>
      <w:pgSz w:w="11906" w:h="16838" w:code="9"/>
      <w:pgMar w:top="1418" w:right="1134" w:bottom="2268" w:left="1701" w:header="0" w:footer="85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50E61" w14:textId="77777777" w:rsidR="0026107B" w:rsidRDefault="0026107B">
      <w:r>
        <w:separator/>
      </w:r>
    </w:p>
  </w:endnote>
  <w:endnote w:type="continuationSeparator" w:id="0">
    <w:p w14:paraId="5121A612" w14:textId="77777777" w:rsidR="0026107B" w:rsidRDefault="0026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헤드라인A">
    <w:charset w:val="81"/>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1F913" w14:textId="77777777" w:rsidR="00C97F8C" w:rsidRDefault="00C97F8C" w:rsidP="008D06C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102</w:t>
    </w:r>
    <w:r>
      <w:rPr>
        <w:rStyle w:val="Paginanummer"/>
      </w:rPr>
      <w:fldChar w:fldCharType="end"/>
    </w:r>
  </w:p>
  <w:p w14:paraId="4EAC8187" w14:textId="77777777" w:rsidR="00C97F8C" w:rsidRDefault="00C97F8C" w:rsidP="00AC0357">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D869" w14:textId="77777777" w:rsidR="00C97F8C" w:rsidRDefault="00C97F8C" w:rsidP="006460FD">
    <w:pPr>
      <w:pStyle w:val="Voettekst"/>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999357"/>
      <w:docPartObj>
        <w:docPartGallery w:val="Page Numbers (Bottom of Page)"/>
        <w:docPartUnique/>
      </w:docPartObj>
    </w:sdtPr>
    <w:sdtContent>
      <w:p w14:paraId="0FA5131D" w14:textId="4D4D6FE4" w:rsidR="00C97F8C" w:rsidRDefault="00C97F8C">
        <w:pPr>
          <w:pStyle w:val="Voettekst"/>
          <w:jc w:val="right"/>
        </w:pPr>
        <w:r>
          <w:fldChar w:fldCharType="begin"/>
        </w:r>
        <w:r>
          <w:instrText>PAGE   \* MERGEFORMAT</w:instrText>
        </w:r>
        <w:r>
          <w:fldChar w:fldCharType="separate"/>
        </w:r>
        <w:r w:rsidR="00115335">
          <w:rPr>
            <w:noProof/>
          </w:rPr>
          <w:t>i</w:t>
        </w:r>
        <w:r>
          <w:fldChar w:fldCharType="end"/>
        </w:r>
      </w:p>
    </w:sdtContent>
  </w:sdt>
  <w:p w14:paraId="4BCFF756" w14:textId="77777777" w:rsidR="00C97F8C" w:rsidRDefault="00C97F8C">
    <w:pPr>
      <w:pStyle w:val="Voetteks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033678"/>
      <w:docPartObj>
        <w:docPartGallery w:val="Page Numbers (Bottom of Page)"/>
        <w:docPartUnique/>
      </w:docPartObj>
    </w:sdtPr>
    <w:sdtContent>
      <w:p w14:paraId="5181ACB4" w14:textId="739F5A17" w:rsidR="00C97F8C" w:rsidRDefault="00C97F8C">
        <w:pPr>
          <w:pStyle w:val="Voettekst"/>
          <w:jc w:val="right"/>
        </w:pPr>
        <w:r>
          <w:fldChar w:fldCharType="begin"/>
        </w:r>
        <w:r>
          <w:instrText>PAGE   \* MERGEFORMAT</w:instrText>
        </w:r>
        <w:r>
          <w:fldChar w:fldCharType="separate"/>
        </w:r>
        <w:r>
          <w:rPr>
            <w:noProof/>
          </w:rPr>
          <w:t>cii</w:t>
        </w:r>
        <w:r>
          <w:fldChar w:fldCharType="end"/>
        </w:r>
      </w:p>
    </w:sdtContent>
  </w:sdt>
  <w:p w14:paraId="18F920BD" w14:textId="77777777" w:rsidR="00C97F8C" w:rsidRDefault="00C97F8C" w:rsidP="006460FD">
    <w:pPr>
      <w:pStyle w:val="Voettekst"/>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998949"/>
      <w:docPartObj>
        <w:docPartGallery w:val="Page Numbers (Bottom of Page)"/>
        <w:docPartUnique/>
      </w:docPartObj>
    </w:sdtPr>
    <w:sdtContent>
      <w:p w14:paraId="16DDECAC" w14:textId="77777777" w:rsidR="00C97F8C" w:rsidRDefault="00C97F8C">
        <w:pPr>
          <w:pStyle w:val="Voettekst"/>
          <w:jc w:val="right"/>
        </w:pPr>
        <w:r>
          <w:fldChar w:fldCharType="begin"/>
        </w:r>
        <w:r>
          <w:instrText>PAGE   \* MERGEFORMAT</w:instrText>
        </w:r>
        <w:r>
          <w:fldChar w:fldCharType="separate"/>
        </w:r>
        <w:r w:rsidR="00192459">
          <w:rPr>
            <w:noProof/>
          </w:rPr>
          <w:t>83</w:t>
        </w:r>
        <w:r>
          <w:fldChar w:fldCharType="end"/>
        </w:r>
      </w:p>
    </w:sdtContent>
  </w:sdt>
  <w:p w14:paraId="5ACD2F4A" w14:textId="77777777" w:rsidR="00C97F8C" w:rsidRDefault="00C97F8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6F36E" w14:textId="77777777" w:rsidR="0026107B" w:rsidRDefault="0026107B">
      <w:r>
        <w:separator/>
      </w:r>
    </w:p>
  </w:footnote>
  <w:footnote w:type="continuationSeparator" w:id="0">
    <w:p w14:paraId="6D6B6E50" w14:textId="77777777" w:rsidR="0026107B" w:rsidRDefault="0026107B">
      <w:r>
        <w:continuationSeparator/>
      </w:r>
    </w:p>
  </w:footnote>
  <w:footnote w:id="1">
    <w:p w14:paraId="62210CB3"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Pr>
          <w:smallCaps/>
          <w:sz w:val="20"/>
        </w:rPr>
        <w:t>E. Dirix</w:t>
      </w:r>
      <w:r w:rsidRPr="00862B0F">
        <w:rPr>
          <w:smallCaps/>
          <w:sz w:val="20"/>
        </w:rPr>
        <w:t xml:space="preserve">, </w:t>
      </w:r>
      <w:r w:rsidRPr="00862B0F">
        <w:rPr>
          <w:i/>
          <w:sz w:val="20"/>
        </w:rPr>
        <w:t xml:space="preserve">De hervorming van de roerende zakelijke zekerheden, </w:t>
      </w:r>
      <w:r w:rsidRPr="00862B0F">
        <w:rPr>
          <w:sz w:val="20"/>
        </w:rPr>
        <w:t xml:space="preserve">Mechelen, Kluwer, 2013, 1, X, “Zakelijke zekerheden”, </w:t>
      </w:r>
      <w:r w:rsidRPr="00862B0F">
        <w:rPr>
          <w:i/>
          <w:sz w:val="20"/>
        </w:rPr>
        <w:t xml:space="preserve">NJW </w:t>
      </w:r>
      <w:r w:rsidRPr="00862B0F">
        <w:rPr>
          <w:sz w:val="20"/>
        </w:rPr>
        <w:t>2013, 648.</w:t>
      </w:r>
    </w:p>
  </w:footnote>
  <w:footnote w:id="2">
    <w:p w14:paraId="28F10F3D" w14:textId="480D0BA3" w:rsidR="00C97F8C" w:rsidRPr="00724127" w:rsidRDefault="00C97F8C" w:rsidP="00B768BB">
      <w:pPr>
        <w:pStyle w:val="Voetnoottekst"/>
        <w:rPr>
          <w:sz w:val="20"/>
        </w:rPr>
      </w:pPr>
      <w:r w:rsidRPr="00862B0F">
        <w:rPr>
          <w:rStyle w:val="Voetnootmarkering"/>
          <w:sz w:val="20"/>
        </w:rPr>
        <w:footnoteRef/>
      </w:r>
      <w:r w:rsidRPr="00862B0F">
        <w:rPr>
          <w:sz w:val="20"/>
        </w:rPr>
        <w:t xml:space="preserve"> MvT </w:t>
      </w:r>
      <w:r w:rsidRPr="00862B0F">
        <w:rPr>
          <w:i/>
          <w:sz w:val="20"/>
        </w:rPr>
        <w:t xml:space="preserve">Parl.St., </w:t>
      </w:r>
      <w:r w:rsidRPr="00862B0F">
        <w:rPr>
          <w:sz w:val="20"/>
        </w:rPr>
        <w:t xml:space="preserve">Kamer 2012-13, nr. 2463/001, 7; </w:t>
      </w:r>
      <w:r w:rsidRPr="00862B0F">
        <w:rPr>
          <w:smallCaps/>
          <w:sz w:val="20"/>
        </w:rPr>
        <w:t xml:space="preserve">F. Georges, </w:t>
      </w:r>
      <w:r w:rsidRPr="00862B0F">
        <w:rPr>
          <w:sz w:val="20"/>
        </w:rPr>
        <w:t xml:space="preserve">“La réforme des sûretés mobilières, </w:t>
      </w:r>
      <w:r w:rsidRPr="00862B0F">
        <w:rPr>
          <w:i/>
          <w:sz w:val="20"/>
        </w:rPr>
        <w:t xml:space="preserve">Ius en Actores </w:t>
      </w:r>
      <w:r w:rsidRPr="00862B0F">
        <w:rPr>
          <w:sz w:val="20"/>
        </w:rPr>
        <w:t xml:space="preserve">2013, 69; </w:t>
      </w:r>
      <w:r w:rsidRPr="00862B0F">
        <w:rPr>
          <w:smallCaps/>
          <w:sz w:val="20"/>
        </w:rPr>
        <w:t>S. Bogaerts</w:t>
      </w:r>
      <w:r w:rsidRPr="00862B0F">
        <w:rPr>
          <w:sz w:val="20"/>
        </w:rPr>
        <w:t xml:space="preserve"> en </w:t>
      </w:r>
      <w:r w:rsidRPr="00862B0F">
        <w:rPr>
          <w:smallCaps/>
          <w:sz w:val="20"/>
        </w:rPr>
        <w:t>V. Sagaert</w:t>
      </w:r>
      <w:r w:rsidRPr="00862B0F">
        <w:rPr>
          <w:sz w:val="20"/>
        </w:rPr>
        <w:t>, “Nieuwe Pandwet: grondige hervorming van zekerheden op roe</w:t>
      </w:r>
      <w:r>
        <w:rPr>
          <w:sz w:val="20"/>
        </w:rPr>
        <w:t xml:space="preserve">rende goederen”, </w:t>
      </w:r>
      <w:r w:rsidRPr="008367D0">
        <w:rPr>
          <w:i/>
          <w:sz w:val="20"/>
        </w:rPr>
        <w:t>Balans</w:t>
      </w:r>
      <w:r>
        <w:rPr>
          <w:sz w:val="20"/>
        </w:rPr>
        <w:t xml:space="preserve"> 2013, 1; X, “Bezitloos pandrecht uitgesteld”, </w:t>
      </w:r>
      <w:r>
        <w:rPr>
          <w:i/>
          <w:sz w:val="20"/>
        </w:rPr>
        <w:t xml:space="preserve">Juristenkrant </w:t>
      </w:r>
      <w:r>
        <w:rPr>
          <w:sz w:val="20"/>
        </w:rPr>
        <w:t xml:space="preserve">2014, 4; </w:t>
      </w:r>
      <w:r>
        <w:rPr>
          <w:smallCaps/>
          <w:sz w:val="20"/>
        </w:rPr>
        <w:t xml:space="preserve">J. Callebaut, </w:t>
      </w:r>
      <w:r>
        <w:rPr>
          <w:sz w:val="20"/>
        </w:rPr>
        <w:t xml:space="preserve">Uitstel van de inwerkingtreding van het nieuwe pandrecht”, </w:t>
      </w:r>
      <w:r>
        <w:rPr>
          <w:i/>
          <w:sz w:val="20"/>
        </w:rPr>
        <w:t>Nieuw notariaal kwartaaltijdschrift</w:t>
      </w:r>
      <w:r>
        <w:rPr>
          <w:sz w:val="20"/>
        </w:rPr>
        <w:t xml:space="preserve"> 2015, 14.</w:t>
      </w:r>
    </w:p>
  </w:footnote>
  <w:footnote w:id="3">
    <w:p w14:paraId="4373E487" w14:textId="77777777" w:rsidR="00C97F8C" w:rsidRPr="00702D43" w:rsidRDefault="00C97F8C" w:rsidP="00B768BB">
      <w:pPr>
        <w:widowControl w:val="0"/>
        <w:autoSpaceDE w:val="0"/>
        <w:autoSpaceDN w:val="0"/>
        <w:adjustRightInd w:val="0"/>
        <w:rPr>
          <w:sz w:val="20"/>
          <w:szCs w:val="20"/>
        </w:rPr>
      </w:pPr>
      <w:r w:rsidRPr="00862B0F">
        <w:rPr>
          <w:rStyle w:val="Voetnootmarkering"/>
          <w:sz w:val="20"/>
          <w:szCs w:val="20"/>
        </w:rPr>
        <w:footnoteRef/>
      </w:r>
      <w:r w:rsidRPr="00862B0F">
        <w:rPr>
          <w:sz w:val="20"/>
          <w:szCs w:val="20"/>
        </w:rPr>
        <w:t xml:space="preserve"> </w:t>
      </w:r>
      <w:r w:rsidRPr="00862B0F">
        <w:rPr>
          <w:rFonts w:eastAsia="헤드라인A"/>
          <w:sz w:val="20"/>
          <w:szCs w:val="20"/>
        </w:rPr>
        <w:t xml:space="preserve">Artikel 2 van de wet van 26 november 2014 tot wijziging van de datum van inwerkingtreding van de Pandwet, </w:t>
      </w:r>
      <w:r w:rsidRPr="00862B0F">
        <w:rPr>
          <w:rFonts w:eastAsia="헤드라인A"/>
          <w:i/>
          <w:sz w:val="20"/>
          <w:szCs w:val="20"/>
        </w:rPr>
        <w:t xml:space="preserve">BS </w:t>
      </w:r>
      <w:r>
        <w:rPr>
          <w:rFonts w:eastAsia="헤드라인A"/>
          <w:sz w:val="20"/>
          <w:szCs w:val="20"/>
        </w:rPr>
        <w:t xml:space="preserve">1 december 2014; </w:t>
      </w:r>
      <w:r>
        <w:rPr>
          <w:rFonts w:eastAsia="헤드라인A"/>
          <w:smallCaps/>
          <w:sz w:val="20"/>
          <w:szCs w:val="20"/>
        </w:rPr>
        <w:t>J. Malekzadem,</w:t>
      </w:r>
      <w:r>
        <w:rPr>
          <w:rFonts w:eastAsia="헤드라인A"/>
          <w:sz w:val="20"/>
          <w:szCs w:val="20"/>
        </w:rPr>
        <w:t xml:space="preserve"> “De Pandwet uitgesteld”, </w:t>
      </w:r>
      <w:r>
        <w:rPr>
          <w:rFonts w:eastAsia="헤드라인A"/>
          <w:i/>
          <w:sz w:val="20"/>
          <w:szCs w:val="20"/>
        </w:rPr>
        <w:t xml:space="preserve">RW </w:t>
      </w:r>
      <w:r>
        <w:rPr>
          <w:rFonts w:eastAsia="헤드라인A"/>
          <w:sz w:val="20"/>
          <w:szCs w:val="20"/>
        </w:rPr>
        <w:t>2014-15, 722.</w:t>
      </w:r>
    </w:p>
  </w:footnote>
  <w:footnote w:id="4">
    <w:p w14:paraId="2E1530DA" w14:textId="77777777" w:rsidR="00C97F8C" w:rsidRPr="00862B0F" w:rsidRDefault="00C97F8C" w:rsidP="00B768BB">
      <w:pPr>
        <w:rPr>
          <w:sz w:val="20"/>
          <w:szCs w:val="20"/>
        </w:rPr>
      </w:pPr>
      <w:r w:rsidRPr="00862B0F">
        <w:rPr>
          <w:rStyle w:val="Voetnootmarkering"/>
          <w:sz w:val="20"/>
          <w:szCs w:val="20"/>
        </w:rPr>
        <w:footnoteRef/>
      </w:r>
      <w:r w:rsidRPr="00862B0F">
        <w:rPr>
          <w:sz w:val="20"/>
          <w:szCs w:val="20"/>
        </w:rPr>
        <w:t xml:space="preserve"> </w:t>
      </w:r>
      <w:r>
        <w:rPr>
          <w:sz w:val="20"/>
          <w:szCs w:val="20"/>
        </w:rPr>
        <w:t xml:space="preserve">Artikel 2076 Burgerlijk Wetboek; </w:t>
      </w:r>
      <w:r w:rsidRPr="00862B0F">
        <w:rPr>
          <w:sz w:val="20"/>
        </w:rPr>
        <w:t xml:space="preserve">MvT </w:t>
      </w:r>
      <w:r w:rsidRPr="00862B0F">
        <w:rPr>
          <w:i/>
          <w:sz w:val="20"/>
        </w:rPr>
        <w:t xml:space="preserve">Parl.St., </w:t>
      </w:r>
      <w:r>
        <w:rPr>
          <w:sz w:val="20"/>
        </w:rPr>
        <w:t>Kamer 2012-13, nr. 2463/001, 15;</w:t>
      </w:r>
      <w:r>
        <w:rPr>
          <w:sz w:val="20"/>
          <w:szCs w:val="20"/>
        </w:rPr>
        <w:t xml:space="preserve"> </w:t>
      </w:r>
      <w:r w:rsidRPr="00862B0F">
        <w:rPr>
          <w:smallCaps/>
          <w:sz w:val="20"/>
          <w:szCs w:val="20"/>
        </w:rPr>
        <w:t xml:space="preserve">E. Dirix, </w:t>
      </w:r>
      <w:r w:rsidRPr="00862B0F">
        <w:rPr>
          <w:sz w:val="20"/>
          <w:szCs w:val="20"/>
        </w:rPr>
        <w:t xml:space="preserve">“De wet van 11 juli 2013 betreffende de zakelijke zekerheden op roerende goederen”, </w:t>
      </w:r>
      <w:r w:rsidRPr="00862B0F">
        <w:rPr>
          <w:i/>
          <w:sz w:val="20"/>
          <w:szCs w:val="20"/>
        </w:rPr>
        <w:t>Nieuwsbrief Notariaat</w:t>
      </w:r>
      <w:r w:rsidRPr="00862B0F">
        <w:rPr>
          <w:sz w:val="20"/>
          <w:szCs w:val="20"/>
        </w:rPr>
        <w:t xml:space="preserve"> 2014, 1.</w:t>
      </w:r>
    </w:p>
  </w:footnote>
  <w:footnote w:id="5">
    <w:p w14:paraId="7DFFE18D" w14:textId="0BDAF91A" w:rsidR="00C97F8C" w:rsidRPr="00862B0F" w:rsidRDefault="00C97F8C" w:rsidP="00B768BB">
      <w:pPr>
        <w:pStyle w:val="Voetnoottekst"/>
        <w:rPr>
          <w:sz w:val="20"/>
        </w:rPr>
      </w:pPr>
      <w:r w:rsidRPr="00862B0F">
        <w:rPr>
          <w:rStyle w:val="Voetnootmarkering"/>
          <w:sz w:val="20"/>
        </w:rPr>
        <w:footnoteRef/>
      </w:r>
      <w:r w:rsidRPr="00862B0F">
        <w:rPr>
          <w:sz w:val="20"/>
        </w:rPr>
        <w:t xml:space="preserve"> E.</w:t>
      </w:r>
      <w:r>
        <w:rPr>
          <w:sz w:val="20"/>
        </w:rPr>
        <w:t xml:space="preserve"> </w:t>
      </w:r>
      <w:r>
        <w:rPr>
          <w:smallCaps/>
          <w:sz w:val="20"/>
        </w:rPr>
        <w:t>Dirix</w:t>
      </w:r>
      <w:r w:rsidRPr="00862B0F">
        <w:rPr>
          <w:smallCaps/>
          <w:sz w:val="20"/>
        </w:rPr>
        <w:t xml:space="preserve">, </w:t>
      </w:r>
      <w:r w:rsidRPr="00862B0F">
        <w:rPr>
          <w:i/>
          <w:sz w:val="20"/>
        </w:rPr>
        <w:t xml:space="preserve">De hervorming van de roerende zakelijke zekerheden, </w:t>
      </w:r>
      <w:r>
        <w:rPr>
          <w:sz w:val="20"/>
        </w:rPr>
        <w:t xml:space="preserve">Mechelen, Kluwer, 2013, </w:t>
      </w:r>
      <w:r w:rsidRPr="00862B0F">
        <w:rPr>
          <w:sz w:val="20"/>
        </w:rPr>
        <w:t>22.</w:t>
      </w:r>
    </w:p>
  </w:footnote>
  <w:footnote w:id="6">
    <w:p w14:paraId="0916647C" w14:textId="5812A889" w:rsidR="00C97F8C" w:rsidRPr="002C5E77" w:rsidRDefault="00C97F8C" w:rsidP="00B768BB">
      <w:pPr>
        <w:pStyle w:val="Voetnoottekst"/>
        <w:rPr>
          <w:sz w:val="20"/>
          <w:lang w:val="nl-BE"/>
        </w:rPr>
      </w:pPr>
      <w:r>
        <w:rPr>
          <w:rStyle w:val="Voetnootmarkering"/>
        </w:rPr>
        <w:footnoteRef/>
      </w:r>
      <w:r>
        <w:t xml:space="preserve"> </w:t>
      </w:r>
      <w:r>
        <w:rPr>
          <w:sz w:val="20"/>
        </w:rPr>
        <w:t xml:space="preserve">Wet van </w:t>
      </w:r>
      <w:r w:rsidRPr="00862B0F">
        <w:rPr>
          <w:sz w:val="20"/>
        </w:rPr>
        <w:t xml:space="preserve">15 april 1884 betreffende de landbouwlening, </w:t>
      </w:r>
      <w:r w:rsidRPr="00862B0F">
        <w:rPr>
          <w:i/>
          <w:sz w:val="20"/>
        </w:rPr>
        <w:t xml:space="preserve">BS </w:t>
      </w:r>
      <w:r w:rsidRPr="00862B0F">
        <w:rPr>
          <w:sz w:val="20"/>
        </w:rPr>
        <w:t xml:space="preserve"> 11 mei 1884</w:t>
      </w:r>
      <w:r>
        <w:rPr>
          <w:sz w:val="20"/>
        </w:rPr>
        <w:t xml:space="preserve">; </w:t>
      </w:r>
      <w:r w:rsidRPr="00862B0F">
        <w:rPr>
          <w:sz w:val="20"/>
        </w:rPr>
        <w:t xml:space="preserve">Wet van 25 oktober 1919 betreffende het in pand geven van de handelszaak, het disconto en het in pand geven van de factuur, alsmede de aanvaarding en de keuring van de rechtstreeks voor het verbruik gedane leveringen, </w:t>
      </w:r>
      <w:r w:rsidRPr="00862B0F">
        <w:rPr>
          <w:i/>
          <w:sz w:val="20"/>
        </w:rPr>
        <w:t xml:space="preserve">BS </w:t>
      </w:r>
      <w:r w:rsidRPr="00862B0F">
        <w:rPr>
          <w:sz w:val="20"/>
        </w:rPr>
        <w:t>5 november 1919</w:t>
      </w:r>
      <w:r>
        <w:rPr>
          <w:sz w:val="20"/>
        </w:rPr>
        <w:t>.</w:t>
      </w:r>
    </w:p>
  </w:footnote>
  <w:footnote w:id="7">
    <w:p w14:paraId="2F52F281"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P. </w:t>
      </w:r>
      <w:r w:rsidRPr="00862B0F">
        <w:rPr>
          <w:smallCaps/>
          <w:sz w:val="20"/>
        </w:rPr>
        <w:t xml:space="preserve">Ancel, </w:t>
      </w:r>
      <w:r w:rsidRPr="00862B0F">
        <w:rPr>
          <w:sz w:val="20"/>
        </w:rPr>
        <w:t xml:space="preserve">“La réforme du droit des sûretés en France” in </w:t>
      </w:r>
      <w:r w:rsidRPr="00862B0F">
        <w:rPr>
          <w:i/>
          <w:sz w:val="20"/>
        </w:rPr>
        <w:t>La réforme du droit privé en France</w:t>
      </w:r>
      <w:r w:rsidRPr="00862B0F">
        <w:rPr>
          <w:sz w:val="20"/>
        </w:rPr>
        <w:t>, Brussel, Larcier 2009, 29.</w:t>
      </w:r>
    </w:p>
  </w:footnote>
  <w:footnote w:id="8">
    <w:p w14:paraId="1C2E0F1D"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MvT </w:t>
      </w:r>
      <w:r w:rsidRPr="00862B0F">
        <w:rPr>
          <w:i/>
          <w:sz w:val="20"/>
        </w:rPr>
        <w:t xml:space="preserve">Parl.St., </w:t>
      </w:r>
      <w:r w:rsidRPr="00862B0F">
        <w:rPr>
          <w:sz w:val="20"/>
        </w:rPr>
        <w:t>Kamer 2012-13, nr. 2463/001, 11</w:t>
      </w:r>
      <w:r>
        <w:rPr>
          <w:sz w:val="20"/>
        </w:rPr>
        <w:t xml:space="preserve">; </w:t>
      </w:r>
      <w:r w:rsidRPr="00862B0F">
        <w:rPr>
          <w:smallCaps/>
          <w:sz w:val="20"/>
        </w:rPr>
        <w:t xml:space="preserve">E. Dirix </w:t>
      </w:r>
      <w:r w:rsidRPr="00862B0F">
        <w:rPr>
          <w:sz w:val="20"/>
        </w:rPr>
        <w:t xml:space="preserve">“La réforme du </w:t>
      </w:r>
      <w:proofErr w:type="spellStart"/>
      <w:r w:rsidRPr="00862B0F">
        <w:rPr>
          <w:sz w:val="20"/>
        </w:rPr>
        <w:t>régime</w:t>
      </w:r>
      <w:proofErr w:type="spellEnd"/>
      <w:r w:rsidRPr="00862B0F">
        <w:rPr>
          <w:sz w:val="20"/>
        </w:rPr>
        <w:t xml:space="preserve"> des sûretés en France”, in </w:t>
      </w:r>
      <w:r w:rsidRPr="00862B0F">
        <w:rPr>
          <w:i/>
          <w:sz w:val="20"/>
        </w:rPr>
        <w:t>La réforme du droit privé en France</w:t>
      </w:r>
      <w:r w:rsidRPr="00862B0F">
        <w:rPr>
          <w:sz w:val="20"/>
        </w:rPr>
        <w:t>, Brussel, Larcier 2009, 49.</w:t>
      </w:r>
    </w:p>
  </w:footnote>
  <w:footnote w:id="9">
    <w:p w14:paraId="2E06939E"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Koninklijk Besluit 20 februari 1990; MvT </w:t>
      </w:r>
      <w:r w:rsidRPr="00862B0F">
        <w:rPr>
          <w:i/>
          <w:sz w:val="20"/>
        </w:rPr>
        <w:t xml:space="preserve">Parl.St., </w:t>
      </w:r>
      <w:r w:rsidRPr="00862B0F">
        <w:rPr>
          <w:sz w:val="20"/>
        </w:rPr>
        <w:t xml:space="preserve">Kamer 2012-13, nr. 2463/001, 11; </w:t>
      </w:r>
      <w:r w:rsidRPr="00862B0F">
        <w:rPr>
          <w:smallCaps/>
          <w:sz w:val="20"/>
        </w:rPr>
        <w:t xml:space="preserve">W.H.M. Reehuis en E.E. Slob, </w:t>
      </w:r>
      <w:r w:rsidRPr="00862B0F">
        <w:rPr>
          <w:i/>
          <w:sz w:val="20"/>
        </w:rPr>
        <w:t xml:space="preserve">Parlementaire geschiedenis van het Nieuwe Burgerlijk Wetboek: invoering boeken 3,5 en 6, </w:t>
      </w:r>
      <w:r w:rsidRPr="00862B0F">
        <w:rPr>
          <w:sz w:val="20"/>
        </w:rPr>
        <w:t>Deventer, Kluwer 1990, V.</w:t>
      </w:r>
    </w:p>
  </w:footnote>
  <w:footnote w:id="10">
    <w:p w14:paraId="49ECB7EE"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MvT </w:t>
      </w:r>
      <w:r w:rsidRPr="00862B0F">
        <w:rPr>
          <w:i/>
          <w:sz w:val="20"/>
        </w:rPr>
        <w:t xml:space="preserve">Parl.St., </w:t>
      </w:r>
      <w:r w:rsidRPr="00862B0F">
        <w:rPr>
          <w:sz w:val="20"/>
        </w:rPr>
        <w:t>Kamer 2012-13, nr. 2463/001, 11.</w:t>
      </w:r>
    </w:p>
  </w:footnote>
  <w:footnote w:id="11">
    <w:p w14:paraId="495EAF15" w14:textId="3B5B7D05" w:rsidR="00C97F8C" w:rsidRPr="000A1FD4" w:rsidRDefault="00C97F8C" w:rsidP="00B768BB">
      <w:pPr>
        <w:pStyle w:val="Voetnoottekst"/>
        <w:rPr>
          <w:sz w:val="20"/>
        </w:rPr>
      </w:pPr>
      <w:r>
        <w:rPr>
          <w:rStyle w:val="Voetnootmarkering"/>
        </w:rPr>
        <w:footnoteRef/>
      </w:r>
      <w:r>
        <w:t xml:space="preserve"> </w:t>
      </w:r>
      <w:r w:rsidRPr="00C754EB">
        <w:rPr>
          <w:sz w:val="20"/>
        </w:rPr>
        <w:t xml:space="preserve">Artikel 2279 Burgerlijk Wetboek: </w:t>
      </w:r>
      <w:r>
        <w:rPr>
          <w:smallCaps/>
          <w:sz w:val="20"/>
        </w:rPr>
        <w:t xml:space="preserve">F. Laurent, </w:t>
      </w:r>
      <w:r>
        <w:rPr>
          <w:i/>
          <w:sz w:val="20"/>
        </w:rPr>
        <w:t>Principes de droit civil. Tome XXXII,</w:t>
      </w:r>
      <w:r>
        <w:rPr>
          <w:sz w:val="20"/>
        </w:rPr>
        <w:t xml:space="preserve"> Bruylant, Brussel 1878, 552; </w:t>
      </w:r>
      <w:r>
        <w:rPr>
          <w:smallCaps/>
          <w:sz w:val="20"/>
        </w:rPr>
        <w:t xml:space="preserve">A. Kluyskens, </w:t>
      </w:r>
      <w:r>
        <w:rPr>
          <w:i/>
          <w:sz w:val="20"/>
        </w:rPr>
        <w:t xml:space="preserve">Beginselen van Burgerlijk Recht – Zakenrecht, </w:t>
      </w:r>
      <w:r>
        <w:rPr>
          <w:sz w:val="20"/>
        </w:rPr>
        <w:t xml:space="preserve">Standaard, Gent 1940, 66; </w:t>
      </w:r>
      <w:r>
        <w:rPr>
          <w:smallCaps/>
          <w:sz w:val="20"/>
        </w:rPr>
        <w:t xml:space="preserve">R. Derine, F. Van Neste, H. Vandenberghe, </w:t>
      </w:r>
      <w:r>
        <w:rPr>
          <w:i/>
          <w:sz w:val="20"/>
        </w:rPr>
        <w:t xml:space="preserve">Zakenrecht – Deel 1.B, </w:t>
      </w:r>
      <w:r>
        <w:rPr>
          <w:sz w:val="20"/>
        </w:rPr>
        <w:t>Antwerpen, Standaard 1974, 914-915;</w:t>
      </w:r>
      <w:r>
        <w:rPr>
          <w:i/>
          <w:sz w:val="20"/>
        </w:rPr>
        <w:t xml:space="preserve"> </w:t>
      </w:r>
      <w:r>
        <w:rPr>
          <w:smallCaps/>
          <w:sz w:val="20"/>
        </w:rPr>
        <w:t>A. Heyvaert, “</w:t>
      </w:r>
      <w:r>
        <w:rPr>
          <w:sz w:val="20"/>
        </w:rPr>
        <w:t xml:space="preserve">Overzicht van rechtspraak 1961-64”, </w:t>
      </w:r>
      <w:r>
        <w:rPr>
          <w:i/>
          <w:sz w:val="20"/>
        </w:rPr>
        <w:t xml:space="preserve">TPR </w:t>
      </w:r>
      <w:r>
        <w:rPr>
          <w:sz w:val="20"/>
        </w:rPr>
        <w:t xml:space="preserve">1975, 119; </w:t>
      </w:r>
      <w:r>
        <w:rPr>
          <w:smallCaps/>
          <w:sz w:val="20"/>
        </w:rPr>
        <w:t xml:space="preserve">A.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 xml:space="preserve">Gent, RUG 1983, 181; </w:t>
      </w:r>
      <w:r>
        <w:rPr>
          <w:smallCaps/>
          <w:sz w:val="20"/>
        </w:rPr>
        <w:t xml:space="preserve">J. Hansenne, </w:t>
      </w:r>
      <w:r>
        <w:rPr>
          <w:sz w:val="20"/>
        </w:rPr>
        <w:t xml:space="preserve">“Les biens”, in </w:t>
      </w:r>
      <w:r>
        <w:rPr>
          <w:i/>
          <w:sz w:val="20"/>
        </w:rPr>
        <w:t xml:space="preserve">Chronique de droit à l’usage du Palais, </w:t>
      </w:r>
      <w:r>
        <w:rPr>
          <w:sz w:val="20"/>
        </w:rPr>
        <w:t xml:space="preserve">Brussel, Story-Scientia, 28; </w:t>
      </w:r>
      <w:r>
        <w:rPr>
          <w:smallCaps/>
          <w:sz w:val="20"/>
        </w:rPr>
        <w:t xml:space="preserve">J. F. Romain, </w:t>
      </w:r>
      <w:r>
        <w:rPr>
          <w:sz w:val="20"/>
        </w:rPr>
        <w:t xml:space="preserve">“De la </w:t>
      </w:r>
      <w:proofErr w:type="spellStart"/>
      <w:r>
        <w:rPr>
          <w:sz w:val="20"/>
        </w:rPr>
        <w:t>possession</w:t>
      </w:r>
      <w:proofErr w:type="spellEnd"/>
      <w:r>
        <w:rPr>
          <w:sz w:val="20"/>
        </w:rPr>
        <w:t xml:space="preserve">”, </w:t>
      </w:r>
      <w:r>
        <w:rPr>
          <w:i/>
          <w:sz w:val="20"/>
        </w:rPr>
        <w:t xml:space="preserve">JT </w:t>
      </w:r>
      <w:r>
        <w:rPr>
          <w:sz w:val="20"/>
        </w:rPr>
        <w:t xml:space="preserve">2004, 340; </w:t>
      </w:r>
      <w:r w:rsidRPr="00862B0F">
        <w:rPr>
          <w:smallCaps/>
          <w:sz w:val="20"/>
        </w:rPr>
        <w:t xml:space="preserve">Dekkers en E. Dirix, </w:t>
      </w:r>
      <w:r w:rsidRPr="00862B0F">
        <w:rPr>
          <w:i/>
          <w:sz w:val="20"/>
        </w:rPr>
        <w:t xml:space="preserve">Handboek Burgerlijk Recht – Deel II, </w:t>
      </w:r>
      <w:r w:rsidRPr="00862B0F">
        <w:rPr>
          <w:sz w:val="20"/>
        </w:rPr>
        <w:t>Antwerpe</w:t>
      </w:r>
      <w:r>
        <w:rPr>
          <w:sz w:val="20"/>
        </w:rPr>
        <w:t xml:space="preserve">n, Intersentia, 2005, 90; </w:t>
      </w:r>
      <w:r>
        <w:rPr>
          <w:smallCaps/>
          <w:sz w:val="20"/>
        </w:rPr>
        <w:t xml:space="preserve">H. Vandenberghe, </w:t>
      </w:r>
      <w:r>
        <w:rPr>
          <w:i/>
          <w:sz w:val="20"/>
        </w:rPr>
        <w:t xml:space="preserve">Goederenrecht, </w:t>
      </w:r>
      <w:r>
        <w:rPr>
          <w:sz w:val="20"/>
        </w:rPr>
        <w:t xml:space="preserve">Leuven Acco 2006, 124; </w:t>
      </w:r>
      <w:r>
        <w:rPr>
          <w:smallCaps/>
          <w:sz w:val="20"/>
        </w:rPr>
        <w:t xml:space="preserve">J. Del Corral, </w:t>
      </w:r>
      <w:r>
        <w:rPr>
          <w:sz w:val="20"/>
        </w:rPr>
        <w:t xml:space="preserve">“Bezit geldt als titel van eigendom”, </w:t>
      </w:r>
      <w:r>
        <w:rPr>
          <w:i/>
          <w:sz w:val="20"/>
        </w:rPr>
        <w:t xml:space="preserve">Not. Fisc. M. </w:t>
      </w:r>
      <w:r>
        <w:rPr>
          <w:sz w:val="20"/>
        </w:rPr>
        <w:t xml:space="preserve">2008, 318; </w:t>
      </w:r>
      <w:r>
        <w:rPr>
          <w:smallCaps/>
          <w:sz w:val="20"/>
        </w:rPr>
        <w:t xml:space="preserve">J. Baeck, </w:t>
      </w:r>
      <w:r>
        <w:rPr>
          <w:sz w:val="20"/>
        </w:rPr>
        <w:t xml:space="preserve">“Ontbinding en derden: niet storen a.u.b.”, </w:t>
      </w:r>
      <w:r>
        <w:rPr>
          <w:i/>
          <w:sz w:val="20"/>
        </w:rPr>
        <w:t xml:space="preserve">TPR </w:t>
      </w:r>
      <w:r>
        <w:rPr>
          <w:sz w:val="20"/>
        </w:rPr>
        <w:t xml:space="preserve">2009, 700; </w:t>
      </w:r>
      <w:r>
        <w:rPr>
          <w:smallCaps/>
          <w:sz w:val="20"/>
        </w:rPr>
        <w:t>S. Boufflette, “</w:t>
      </w:r>
      <w:r w:rsidRPr="00465671">
        <w:rPr>
          <w:sz w:val="20"/>
        </w:rPr>
        <w:t xml:space="preserve">La </w:t>
      </w:r>
      <w:proofErr w:type="spellStart"/>
      <w:r w:rsidRPr="00465671">
        <w:rPr>
          <w:sz w:val="20"/>
        </w:rPr>
        <w:t>possession</w:t>
      </w:r>
      <w:proofErr w:type="spellEnd"/>
      <w:r w:rsidRPr="00465671">
        <w:rPr>
          <w:sz w:val="20"/>
        </w:rPr>
        <w:t xml:space="preserve"> en matière mobilière et l’article 2279 du Code civil</w:t>
      </w:r>
      <w:r>
        <w:rPr>
          <w:sz w:val="20"/>
        </w:rPr>
        <w:t xml:space="preserve">”, </w:t>
      </w:r>
      <w:r>
        <w:rPr>
          <w:i/>
          <w:sz w:val="20"/>
        </w:rPr>
        <w:t xml:space="preserve">Revue Generale de droit civil Belge </w:t>
      </w:r>
      <w:r>
        <w:rPr>
          <w:sz w:val="20"/>
        </w:rPr>
        <w:t xml:space="preserve">2009, 79; </w:t>
      </w:r>
      <w:r>
        <w:rPr>
          <w:smallCaps/>
          <w:sz w:val="20"/>
        </w:rPr>
        <w:t>R.</w:t>
      </w:r>
      <w:r w:rsidRPr="004E082E">
        <w:rPr>
          <w:smallCaps/>
          <w:sz w:val="20"/>
        </w:rPr>
        <w:t xml:space="preserve"> Jansen, </w:t>
      </w:r>
      <w:r w:rsidRPr="004E082E">
        <w:rPr>
          <w:sz w:val="20"/>
        </w:rPr>
        <w:t>“Soms geldt be</w:t>
      </w:r>
      <w:r>
        <w:rPr>
          <w:sz w:val="20"/>
        </w:rPr>
        <w:t>zit als vermoeden van titel, so</w:t>
      </w:r>
      <w:r w:rsidRPr="004E082E">
        <w:rPr>
          <w:sz w:val="20"/>
        </w:rPr>
        <w:t>m</w:t>
      </w:r>
      <w:r>
        <w:rPr>
          <w:sz w:val="20"/>
        </w:rPr>
        <w:t>s</w:t>
      </w:r>
      <w:r w:rsidRPr="004E082E">
        <w:rPr>
          <w:sz w:val="20"/>
        </w:rPr>
        <w:t xml:space="preserve"> als termijn”, </w:t>
      </w:r>
      <w:r w:rsidRPr="004E082E">
        <w:rPr>
          <w:i/>
          <w:sz w:val="20"/>
        </w:rPr>
        <w:t xml:space="preserve">RW </w:t>
      </w:r>
      <w:r w:rsidRPr="004E082E">
        <w:rPr>
          <w:sz w:val="20"/>
        </w:rPr>
        <w:t>2008-09, 827 (noot onder Cass. 24 september 2009</w:t>
      </w:r>
      <w:r>
        <w:rPr>
          <w:sz w:val="20"/>
        </w:rPr>
        <w:t xml:space="preserve">), 826; </w:t>
      </w:r>
      <w:r w:rsidRPr="00C754EB">
        <w:rPr>
          <w:smallCaps/>
          <w:sz w:val="20"/>
          <w:lang w:val="nl-BE"/>
        </w:rPr>
        <w:t xml:space="preserve">S. Boufflette, </w:t>
      </w:r>
      <w:r w:rsidRPr="00C754EB">
        <w:rPr>
          <w:i/>
          <w:sz w:val="20"/>
          <w:lang w:val="nl-BE"/>
        </w:rPr>
        <w:t>La Possession,</w:t>
      </w:r>
      <w:r w:rsidRPr="00C754EB">
        <w:rPr>
          <w:sz w:val="20"/>
          <w:lang w:val="nl-BE"/>
        </w:rPr>
        <w:t xml:space="preserve"> Brussel</w:t>
      </w:r>
      <w:r w:rsidRPr="00C754EB">
        <w:rPr>
          <w:i/>
          <w:sz w:val="20"/>
          <w:lang w:val="nl-BE"/>
        </w:rPr>
        <w:t xml:space="preserve"> </w:t>
      </w:r>
      <w:r w:rsidRPr="00C754EB">
        <w:rPr>
          <w:sz w:val="20"/>
          <w:lang w:val="nl-BE"/>
        </w:rPr>
        <w:t>Larcier 2010, 125</w:t>
      </w:r>
      <w:r>
        <w:rPr>
          <w:sz w:val="20"/>
          <w:lang w:val="nl-BE"/>
        </w:rPr>
        <w:t xml:space="preserve">; </w:t>
      </w:r>
      <w:r w:rsidRPr="00BE041A">
        <w:rPr>
          <w:smallCaps/>
          <w:sz w:val="20"/>
        </w:rPr>
        <w:t xml:space="preserve">P. Lecocq, </w:t>
      </w:r>
      <w:r w:rsidRPr="00BE041A">
        <w:rPr>
          <w:i/>
          <w:sz w:val="20"/>
        </w:rPr>
        <w:t xml:space="preserve">Manuel de droit des biens, </w:t>
      </w:r>
      <w:r>
        <w:rPr>
          <w:sz w:val="20"/>
        </w:rPr>
        <w:t xml:space="preserve">Brussel, Larcier, 2012, 142; </w:t>
      </w:r>
      <w:r>
        <w:rPr>
          <w:smallCaps/>
          <w:sz w:val="20"/>
        </w:rPr>
        <w:t xml:space="preserve">N. Bernard, </w:t>
      </w:r>
      <w:r>
        <w:rPr>
          <w:i/>
          <w:sz w:val="20"/>
        </w:rPr>
        <w:t xml:space="preserve">Precis de droit des biens, </w:t>
      </w:r>
      <w:r>
        <w:rPr>
          <w:sz w:val="20"/>
        </w:rPr>
        <w:t xml:space="preserve">Limal, Anthemis 2012, 155. </w:t>
      </w:r>
      <w:r>
        <w:rPr>
          <w:sz w:val="20"/>
          <w:u w:val="single"/>
        </w:rPr>
        <w:t>Frankrijk:</w:t>
      </w:r>
      <w:r w:rsidRPr="00E27D67">
        <w:rPr>
          <w:sz w:val="20"/>
        </w:rPr>
        <w:t xml:space="preserve"> </w:t>
      </w:r>
      <w:r>
        <w:rPr>
          <w:smallCaps/>
          <w:sz w:val="20"/>
        </w:rPr>
        <w:t xml:space="preserve">A. Weill, F. Terré, P. Simler, </w:t>
      </w:r>
      <w:r>
        <w:rPr>
          <w:i/>
          <w:sz w:val="20"/>
        </w:rPr>
        <w:t xml:space="preserve">Les biens, </w:t>
      </w:r>
      <w:r>
        <w:rPr>
          <w:sz w:val="20"/>
        </w:rPr>
        <w:t xml:space="preserve">Parijs, Dalloz 1985, 359; </w:t>
      </w:r>
      <w:r>
        <w:rPr>
          <w:smallCaps/>
          <w:sz w:val="20"/>
        </w:rPr>
        <w:t xml:space="preserve">P. Jourdain, </w:t>
      </w:r>
      <w:r>
        <w:rPr>
          <w:sz w:val="20"/>
        </w:rPr>
        <w:t xml:space="preserve">“Les biens”, in </w:t>
      </w:r>
      <w:r>
        <w:rPr>
          <w:i/>
          <w:sz w:val="20"/>
        </w:rPr>
        <w:t xml:space="preserve">Marty en Raynaud, </w:t>
      </w:r>
      <w:r>
        <w:rPr>
          <w:sz w:val="20"/>
        </w:rPr>
        <w:t xml:space="preserve">Parijs, Dalloz 1995, 468;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363;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Librairies techniques 1961, 147;</w:t>
      </w:r>
      <w:r>
        <w:rPr>
          <w:sz w:val="20"/>
        </w:rPr>
        <w:t xml:space="preserve"> </w:t>
      </w:r>
      <w:r>
        <w:rPr>
          <w:smallCaps/>
          <w:sz w:val="20"/>
        </w:rPr>
        <w:t xml:space="preserve">J. </w:t>
      </w:r>
      <w:proofErr w:type="spellStart"/>
      <w:r>
        <w:rPr>
          <w:smallCaps/>
          <w:sz w:val="20"/>
        </w:rPr>
        <w:t>Carbonnier</w:t>
      </w:r>
      <w:proofErr w:type="spellEnd"/>
      <w:r>
        <w:rPr>
          <w:smallCaps/>
          <w:sz w:val="20"/>
        </w:rPr>
        <w:t xml:space="preserve">, </w:t>
      </w:r>
      <w:r>
        <w:rPr>
          <w:i/>
          <w:sz w:val="20"/>
        </w:rPr>
        <w:t xml:space="preserve">Les bies -  Tome III, </w:t>
      </w:r>
      <w:r>
        <w:rPr>
          <w:sz w:val="20"/>
        </w:rPr>
        <w:t>Parijs, Presses Universitaires de France, 357;</w:t>
      </w:r>
      <w:r>
        <w:rPr>
          <w:i/>
          <w:sz w:val="20"/>
        </w:rPr>
        <w:t xml:space="preserve"> </w:t>
      </w:r>
      <w:r w:rsidRPr="002B62C7">
        <w:rPr>
          <w:sz w:val="20"/>
        </w:rPr>
        <w:t>W</w:t>
      </w:r>
      <w:r>
        <w:rPr>
          <w:smallCaps/>
          <w:sz w:val="20"/>
        </w:rPr>
        <w:t xml:space="preserve">. Dross, </w:t>
      </w:r>
      <w:r>
        <w:rPr>
          <w:sz w:val="20"/>
        </w:rPr>
        <w:t xml:space="preserve">“Le singulier destin de l’article 2279 du Code Civil”, </w:t>
      </w:r>
      <w:r>
        <w:rPr>
          <w:i/>
          <w:sz w:val="20"/>
        </w:rPr>
        <w:t xml:space="preserve">RTD civ. </w:t>
      </w:r>
      <w:r>
        <w:rPr>
          <w:sz w:val="20"/>
        </w:rPr>
        <w:t xml:space="preserve">2006, 27; </w:t>
      </w:r>
      <w:r>
        <w:rPr>
          <w:smallCaps/>
          <w:sz w:val="20"/>
        </w:rPr>
        <w:t xml:space="preserve">F. </w:t>
      </w:r>
      <w:proofErr w:type="spellStart"/>
      <w:r>
        <w:rPr>
          <w:smallCaps/>
          <w:sz w:val="20"/>
        </w:rPr>
        <w:t>Danos</w:t>
      </w:r>
      <w:proofErr w:type="spellEnd"/>
      <w:r>
        <w:rPr>
          <w:smallCaps/>
          <w:sz w:val="20"/>
        </w:rPr>
        <w:t xml:space="preserve">, </w:t>
      </w:r>
      <w:r>
        <w:rPr>
          <w:i/>
          <w:sz w:val="20"/>
        </w:rPr>
        <w:t xml:space="preserve">Propriété, </w:t>
      </w:r>
      <w:proofErr w:type="spellStart"/>
      <w:r>
        <w:rPr>
          <w:i/>
          <w:sz w:val="20"/>
        </w:rPr>
        <w:t>possession</w:t>
      </w:r>
      <w:proofErr w:type="spellEnd"/>
      <w:r>
        <w:rPr>
          <w:i/>
          <w:sz w:val="20"/>
        </w:rPr>
        <w:t xml:space="preserve"> et </w:t>
      </w:r>
      <w:proofErr w:type="spellStart"/>
      <w:r>
        <w:rPr>
          <w:i/>
          <w:sz w:val="20"/>
        </w:rPr>
        <w:t>opposabilité</w:t>
      </w:r>
      <w:proofErr w:type="spellEnd"/>
      <w:r>
        <w:rPr>
          <w:i/>
          <w:sz w:val="20"/>
        </w:rPr>
        <w:t xml:space="preserve">, </w:t>
      </w:r>
      <w:r>
        <w:rPr>
          <w:sz w:val="20"/>
        </w:rPr>
        <w:t xml:space="preserve">Parijs, Economica 2007, 305; </w:t>
      </w:r>
      <w:r>
        <w:rPr>
          <w:smallCaps/>
          <w:sz w:val="20"/>
        </w:rPr>
        <w:t xml:space="preserve">W. Dross, </w:t>
      </w:r>
      <w:r>
        <w:rPr>
          <w:i/>
          <w:sz w:val="20"/>
        </w:rPr>
        <w:t xml:space="preserve">Les choses, </w:t>
      </w:r>
      <w:r>
        <w:rPr>
          <w:sz w:val="20"/>
        </w:rPr>
        <w:t>Parijs, LGDJ Lextenso éditions 2012, 535;</w:t>
      </w:r>
      <w:r w:rsidRPr="001D5EF4">
        <w:rPr>
          <w:sz w:val="20"/>
        </w:rPr>
        <w:t xml:space="preserve"> </w:t>
      </w:r>
      <w:r>
        <w:rPr>
          <w:sz w:val="20"/>
        </w:rPr>
        <w:t xml:space="preserve">M.L. </w:t>
      </w:r>
      <w:r>
        <w:rPr>
          <w:smallCaps/>
          <w:sz w:val="20"/>
        </w:rPr>
        <w:t xml:space="preserve">Mathieu, </w:t>
      </w:r>
      <w:r>
        <w:rPr>
          <w:i/>
          <w:sz w:val="20"/>
        </w:rPr>
        <w:t xml:space="preserve">Droit Civil. Les Biens, </w:t>
      </w:r>
      <w:r>
        <w:rPr>
          <w:sz w:val="20"/>
        </w:rPr>
        <w:t xml:space="preserve">Parijs, Dalloz 2013, 338; </w:t>
      </w:r>
      <w:r>
        <w:rPr>
          <w:smallCaps/>
          <w:sz w:val="20"/>
        </w:rPr>
        <w:t xml:space="preserve">C. Atias, </w:t>
      </w:r>
      <w:r>
        <w:rPr>
          <w:i/>
          <w:sz w:val="20"/>
        </w:rPr>
        <w:t>Manuel Droit Civil. Les Biens,</w:t>
      </w:r>
      <w:r>
        <w:rPr>
          <w:sz w:val="20"/>
        </w:rPr>
        <w:t xml:space="preserve"> Parijs, Litec 2014, 251.</w:t>
      </w:r>
    </w:p>
  </w:footnote>
  <w:footnote w:id="12">
    <w:p w14:paraId="18FC5DAE" w14:textId="406C926A" w:rsidR="00C97F8C" w:rsidRPr="00787BBC" w:rsidRDefault="00C97F8C">
      <w:pPr>
        <w:pStyle w:val="Voetnoottekst"/>
        <w:rPr>
          <w:sz w:val="20"/>
          <w:lang w:val="nl-BE"/>
        </w:rPr>
      </w:pPr>
      <w:r>
        <w:rPr>
          <w:rStyle w:val="Voetnootmarkering"/>
        </w:rPr>
        <w:footnoteRef/>
      </w:r>
      <w:r>
        <w:t xml:space="preserve"> </w:t>
      </w:r>
      <w:r>
        <w:rPr>
          <w:sz w:val="20"/>
          <w:lang w:val="nl-BE"/>
        </w:rPr>
        <w:t xml:space="preserve">Artikel 2276 Code Civil français; Artikel 3:86 Nieuw Burgerlijk Wetboek; </w:t>
      </w:r>
      <w:r w:rsidRPr="006E7596">
        <w:rPr>
          <w:sz w:val="20"/>
          <w:lang w:val="nl-BE"/>
        </w:rPr>
        <w:t>Artikel VIII.-3:101</w:t>
      </w:r>
      <w:r>
        <w:rPr>
          <w:sz w:val="20"/>
          <w:lang w:val="nl-BE"/>
        </w:rPr>
        <w:t>Draft Common Frame of Reference.</w:t>
      </w:r>
    </w:p>
  </w:footnote>
  <w:footnote w:id="13">
    <w:p w14:paraId="7F6CA859" w14:textId="743DA894" w:rsidR="00C97F8C" w:rsidRPr="00E0408F" w:rsidRDefault="00C97F8C" w:rsidP="00B768BB">
      <w:pPr>
        <w:pStyle w:val="Voetnoottekst"/>
        <w:rPr>
          <w:lang w:val="nl-BE"/>
        </w:rPr>
      </w:pPr>
      <w:r>
        <w:rPr>
          <w:rStyle w:val="Voetnootmarkering"/>
        </w:rPr>
        <w:footnoteRef/>
      </w:r>
      <w:r>
        <w:t xml:space="preserve"> </w:t>
      </w:r>
      <w:r>
        <w:rPr>
          <w:smallCaps/>
          <w:sz w:val="20"/>
        </w:rPr>
        <w:t xml:space="preserve">R. Derine, F. Van Neste, H. Vandenberghe, </w:t>
      </w:r>
      <w:r>
        <w:rPr>
          <w:i/>
          <w:sz w:val="20"/>
        </w:rPr>
        <w:t xml:space="preserve">Zakenrecht – Deel 1.A, </w:t>
      </w:r>
      <w:r>
        <w:rPr>
          <w:sz w:val="20"/>
        </w:rPr>
        <w:t xml:space="preserve">Antwerpen, Standaard 1974, 241; </w:t>
      </w:r>
      <w:r>
        <w:rPr>
          <w:smallCaps/>
          <w:sz w:val="20"/>
        </w:rPr>
        <w:t xml:space="preserve">R. Derine, F. Van Neste, H. Vandenberghe, </w:t>
      </w:r>
      <w:r>
        <w:rPr>
          <w:i/>
          <w:sz w:val="20"/>
        </w:rPr>
        <w:t xml:space="preserve">Zakenrecht – Deel 1.B, </w:t>
      </w:r>
      <w:r>
        <w:rPr>
          <w:sz w:val="20"/>
        </w:rPr>
        <w:t>Antwerpen, Standaard 1974, 914-915;</w:t>
      </w:r>
      <w:r>
        <w:t xml:space="preserve"> </w:t>
      </w:r>
      <w:r>
        <w:rPr>
          <w:smallCaps/>
          <w:sz w:val="20"/>
        </w:rPr>
        <w:t xml:space="preserve">A.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 xml:space="preserve">Gent, RUG 1983, 175; </w:t>
      </w:r>
      <w:r>
        <w:rPr>
          <w:smallCaps/>
          <w:sz w:val="20"/>
        </w:rPr>
        <w:t xml:space="preserve">J. F. Romain, </w:t>
      </w:r>
      <w:r>
        <w:rPr>
          <w:sz w:val="20"/>
        </w:rPr>
        <w:t xml:space="preserve">“De la </w:t>
      </w:r>
      <w:proofErr w:type="spellStart"/>
      <w:r>
        <w:rPr>
          <w:sz w:val="20"/>
        </w:rPr>
        <w:t>possession</w:t>
      </w:r>
      <w:proofErr w:type="spellEnd"/>
      <w:r>
        <w:rPr>
          <w:sz w:val="20"/>
        </w:rPr>
        <w:t xml:space="preserve">”, </w:t>
      </w:r>
      <w:r>
        <w:rPr>
          <w:i/>
          <w:sz w:val="20"/>
        </w:rPr>
        <w:t xml:space="preserve">JT </w:t>
      </w:r>
      <w:r>
        <w:rPr>
          <w:sz w:val="20"/>
        </w:rPr>
        <w:t xml:space="preserve">2004, 340; </w:t>
      </w:r>
      <w:r>
        <w:rPr>
          <w:smallCaps/>
          <w:sz w:val="20"/>
        </w:rPr>
        <w:t xml:space="preserve">H. Vandenberghe, </w:t>
      </w:r>
      <w:r>
        <w:rPr>
          <w:i/>
          <w:sz w:val="20"/>
        </w:rPr>
        <w:t xml:space="preserve">Goederenrecht, </w:t>
      </w:r>
      <w:r>
        <w:rPr>
          <w:sz w:val="20"/>
        </w:rPr>
        <w:t xml:space="preserve">Leuven Acco 2006, 122; </w:t>
      </w:r>
      <w:r>
        <w:rPr>
          <w:smallCaps/>
          <w:sz w:val="20"/>
        </w:rPr>
        <w:t xml:space="preserve">S. Boufflette, </w:t>
      </w:r>
      <w:r>
        <w:rPr>
          <w:sz w:val="20"/>
        </w:rPr>
        <w:t xml:space="preserve">“La </w:t>
      </w:r>
      <w:proofErr w:type="spellStart"/>
      <w:r>
        <w:rPr>
          <w:sz w:val="20"/>
        </w:rPr>
        <w:t>possession</w:t>
      </w:r>
      <w:proofErr w:type="spellEnd"/>
      <w:r>
        <w:rPr>
          <w:sz w:val="20"/>
        </w:rPr>
        <w:t xml:space="preserve"> en matière </w:t>
      </w:r>
      <w:proofErr w:type="spellStart"/>
      <w:r>
        <w:rPr>
          <w:sz w:val="20"/>
        </w:rPr>
        <w:t>mobilière</w:t>
      </w:r>
      <w:proofErr w:type="spellEnd"/>
      <w:r>
        <w:rPr>
          <w:sz w:val="20"/>
        </w:rPr>
        <w:t xml:space="preserve"> et l’article 2279 du Code Civil, </w:t>
      </w:r>
      <w:r>
        <w:rPr>
          <w:i/>
          <w:sz w:val="20"/>
        </w:rPr>
        <w:t xml:space="preserve">TBBR </w:t>
      </w:r>
      <w:r>
        <w:rPr>
          <w:sz w:val="20"/>
        </w:rPr>
        <w:t>2007, 80; J</w:t>
      </w:r>
      <w:r>
        <w:rPr>
          <w:smallCaps/>
          <w:sz w:val="20"/>
        </w:rPr>
        <w:t xml:space="preserve">. Del Corral, </w:t>
      </w:r>
      <w:r>
        <w:rPr>
          <w:sz w:val="20"/>
        </w:rPr>
        <w:t xml:space="preserve">“Bezit geldt als titel van eigendom”, </w:t>
      </w:r>
      <w:r>
        <w:rPr>
          <w:i/>
          <w:sz w:val="20"/>
        </w:rPr>
        <w:t xml:space="preserve">Not. Fisc. M. </w:t>
      </w:r>
      <w:r>
        <w:rPr>
          <w:sz w:val="20"/>
        </w:rPr>
        <w:t xml:space="preserve">2008, 318; </w:t>
      </w:r>
      <w:r>
        <w:rPr>
          <w:smallCaps/>
          <w:sz w:val="20"/>
        </w:rPr>
        <w:t>R.</w:t>
      </w:r>
      <w:r w:rsidRPr="004E082E">
        <w:rPr>
          <w:smallCaps/>
          <w:sz w:val="20"/>
        </w:rPr>
        <w:t xml:space="preserve"> Jansen, </w:t>
      </w:r>
      <w:r w:rsidRPr="004E082E">
        <w:rPr>
          <w:sz w:val="20"/>
        </w:rPr>
        <w:t>“Soms geldt bezit als vermoeden v</w:t>
      </w:r>
      <w:r>
        <w:rPr>
          <w:sz w:val="20"/>
        </w:rPr>
        <w:t>an titel, so</w:t>
      </w:r>
      <w:r w:rsidRPr="004E082E">
        <w:rPr>
          <w:sz w:val="20"/>
        </w:rPr>
        <w:t>m</w:t>
      </w:r>
      <w:r>
        <w:rPr>
          <w:sz w:val="20"/>
        </w:rPr>
        <w:t>s</w:t>
      </w:r>
      <w:r w:rsidRPr="004E082E">
        <w:rPr>
          <w:sz w:val="20"/>
        </w:rPr>
        <w:t xml:space="preserve"> als termijn”, </w:t>
      </w:r>
      <w:r w:rsidRPr="004E082E">
        <w:rPr>
          <w:i/>
          <w:sz w:val="20"/>
        </w:rPr>
        <w:t xml:space="preserve">RW </w:t>
      </w:r>
      <w:r w:rsidRPr="004E082E">
        <w:rPr>
          <w:sz w:val="20"/>
        </w:rPr>
        <w:t>2008-09, 827 (noot onder Cass. 24 september 2009</w:t>
      </w:r>
      <w:r>
        <w:rPr>
          <w:sz w:val="20"/>
        </w:rPr>
        <w:t xml:space="preserve">, 826); </w:t>
      </w:r>
      <w:r w:rsidRPr="00BE041A">
        <w:rPr>
          <w:smallCaps/>
          <w:sz w:val="20"/>
        </w:rPr>
        <w:t xml:space="preserve">P. Lecocq, </w:t>
      </w:r>
      <w:r w:rsidRPr="00BE041A">
        <w:rPr>
          <w:i/>
          <w:sz w:val="20"/>
        </w:rPr>
        <w:t xml:space="preserve">Manuel de droit des biens, </w:t>
      </w:r>
      <w:r>
        <w:rPr>
          <w:sz w:val="20"/>
        </w:rPr>
        <w:t xml:space="preserve">Brussel, Larcier, 2012, 142; </w:t>
      </w:r>
      <w:r w:rsidRPr="00862B0F">
        <w:rPr>
          <w:smallCaps/>
          <w:sz w:val="20"/>
        </w:rPr>
        <w:t xml:space="preserve">J. Del Corral, </w:t>
      </w:r>
      <w:r w:rsidRPr="00862B0F">
        <w:rPr>
          <w:i/>
          <w:sz w:val="20"/>
        </w:rPr>
        <w:t>De leveringsplicht bij de overdracht van roerende lichamelijke goederen</w:t>
      </w:r>
      <w:r w:rsidRPr="00862B0F">
        <w:rPr>
          <w:sz w:val="20"/>
        </w:rPr>
        <w:t>,</w:t>
      </w:r>
      <w:r>
        <w:rPr>
          <w:sz w:val="20"/>
        </w:rPr>
        <w:t xml:space="preserve"> Antwerpen, Intersentia, 2013, 500; </w:t>
      </w:r>
      <w:r>
        <w:rPr>
          <w:smallCaps/>
          <w:sz w:val="20"/>
        </w:rPr>
        <w:t xml:space="preserve">A. Salomons, </w:t>
      </w:r>
      <w:r>
        <w:rPr>
          <w:sz w:val="20"/>
        </w:rPr>
        <w:t xml:space="preserve">“The purpose and Coherence of the Rules on Good Faith Acquisition and Acquisitive Prescription in the Draft Common Frame of Reference: A Tale of Two Gatekeepers”, </w:t>
      </w:r>
      <w:r>
        <w:rPr>
          <w:i/>
          <w:sz w:val="20"/>
        </w:rPr>
        <w:t xml:space="preserve">ERPL </w:t>
      </w:r>
      <w:r>
        <w:rPr>
          <w:sz w:val="20"/>
        </w:rPr>
        <w:t xml:space="preserve">2013, 846; </w:t>
      </w:r>
      <w:r>
        <w:rPr>
          <w:smallCaps/>
          <w:sz w:val="20"/>
        </w:rPr>
        <w:t xml:space="preserve">N. Bernard, </w:t>
      </w:r>
      <w:r>
        <w:rPr>
          <w:i/>
          <w:sz w:val="20"/>
        </w:rPr>
        <w:t xml:space="preserve">Precis de droit des biens, </w:t>
      </w:r>
      <w:r>
        <w:rPr>
          <w:sz w:val="20"/>
        </w:rPr>
        <w:t xml:space="preserve">Limal, Anthemis 2012, 155-156; </w:t>
      </w:r>
      <w:r w:rsidRPr="00862B0F">
        <w:rPr>
          <w:smallCaps/>
          <w:sz w:val="20"/>
        </w:rPr>
        <w:t xml:space="preserve">V. Sagaert, </w:t>
      </w:r>
      <w:r w:rsidRPr="00862B0F">
        <w:rPr>
          <w:i/>
          <w:sz w:val="20"/>
        </w:rPr>
        <w:t>Beginselen van Belgisch Privaatrecht – V – Goederenrecht</w:t>
      </w:r>
      <w:r>
        <w:rPr>
          <w:sz w:val="20"/>
        </w:rPr>
        <w:t xml:space="preserve">, Mechelen, Kluwer 2014, 651. </w:t>
      </w:r>
      <w:r>
        <w:rPr>
          <w:sz w:val="20"/>
          <w:u w:val="single"/>
        </w:rPr>
        <w:t>Frankrijk:</w:t>
      </w:r>
      <w:r>
        <w:rPr>
          <w:sz w:val="20"/>
        </w:rPr>
        <w:t xml:space="preserve">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370; </w:t>
      </w:r>
      <w:r>
        <w:rPr>
          <w:smallCaps/>
          <w:sz w:val="20"/>
        </w:rPr>
        <w:t xml:space="preserve">A. Weill, F. Terré, P. Simler, </w:t>
      </w:r>
      <w:r>
        <w:rPr>
          <w:i/>
          <w:sz w:val="20"/>
        </w:rPr>
        <w:t xml:space="preserve">Les biens, </w:t>
      </w:r>
      <w:r>
        <w:rPr>
          <w:sz w:val="20"/>
        </w:rPr>
        <w:t xml:space="preserve">Parijs, Dalloz 1985, 359; </w:t>
      </w:r>
      <w:r>
        <w:rPr>
          <w:smallCaps/>
          <w:sz w:val="20"/>
        </w:rPr>
        <w:t xml:space="preserve">P. Jourdain, </w:t>
      </w:r>
      <w:r>
        <w:rPr>
          <w:sz w:val="20"/>
        </w:rPr>
        <w:t xml:space="preserve">“Les biens”, in </w:t>
      </w:r>
      <w:r>
        <w:rPr>
          <w:i/>
          <w:sz w:val="20"/>
        </w:rPr>
        <w:t xml:space="preserve">Marty en Raynaud, </w:t>
      </w:r>
      <w:r>
        <w:rPr>
          <w:sz w:val="20"/>
        </w:rPr>
        <w:t>Parijs, Dalloz 1995, 472, 482; W</w:t>
      </w:r>
      <w:r>
        <w:rPr>
          <w:smallCaps/>
          <w:sz w:val="20"/>
        </w:rPr>
        <w:t xml:space="preserve">. Dross, </w:t>
      </w:r>
      <w:r>
        <w:rPr>
          <w:sz w:val="20"/>
        </w:rPr>
        <w:t xml:space="preserve">“Le singulier destin de l’article 2279 du Code Civil”, </w:t>
      </w:r>
      <w:r>
        <w:rPr>
          <w:i/>
          <w:sz w:val="20"/>
        </w:rPr>
        <w:t xml:space="preserve">RTD civ. </w:t>
      </w:r>
      <w:r>
        <w:rPr>
          <w:sz w:val="20"/>
        </w:rPr>
        <w:t xml:space="preserve">2006, 31; </w:t>
      </w:r>
      <w:r w:rsidRPr="00161094">
        <w:rPr>
          <w:smallCaps/>
          <w:sz w:val="20"/>
        </w:rPr>
        <w:t xml:space="preserve">R. Boffa, </w:t>
      </w:r>
      <w:r w:rsidRPr="00161094">
        <w:rPr>
          <w:sz w:val="20"/>
        </w:rPr>
        <w:t xml:space="preserve">L’opposabilité du gage sans dépossession, </w:t>
      </w:r>
      <w:r w:rsidRPr="00161094">
        <w:rPr>
          <w:i/>
          <w:sz w:val="20"/>
        </w:rPr>
        <w:t>Chron</w:t>
      </w:r>
      <w:r w:rsidRPr="00161094">
        <w:rPr>
          <w:sz w:val="20"/>
        </w:rPr>
        <w:t xml:space="preserve">. </w:t>
      </w:r>
      <w:r w:rsidRPr="006460FD">
        <w:rPr>
          <w:sz w:val="20"/>
          <w:lang w:val="en-GB"/>
        </w:rPr>
        <w:t xml:space="preserve">2007, 3; </w:t>
      </w:r>
      <w:r w:rsidRPr="006460FD">
        <w:rPr>
          <w:smallCaps/>
          <w:sz w:val="20"/>
          <w:lang w:val="en-GB"/>
        </w:rPr>
        <w:t xml:space="preserve">F. </w:t>
      </w:r>
      <w:proofErr w:type="spellStart"/>
      <w:r w:rsidRPr="006460FD">
        <w:rPr>
          <w:smallCaps/>
          <w:sz w:val="20"/>
          <w:lang w:val="en-GB"/>
        </w:rPr>
        <w:t>Danos</w:t>
      </w:r>
      <w:proofErr w:type="spellEnd"/>
      <w:r w:rsidRPr="006460FD">
        <w:rPr>
          <w:smallCaps/>
          <w:sz w:val="20"/>
          <w:lang w:val="en-GB"/>
        </w:rPr>
        <w:t xml:space="preserve">, </w:t>
      </w:r>
      <w:r w:rsidRPr="006460FD">
        <w:rPr>
          <w:i/>
          <w:sz w:val="20"/>
          <w:lang w:val="en-GB"/>
        </w:rPr>
        <w:t xml:space="preserve">Propriété, possession et </w:t>
      </w:r>
      <w:proofErr w:type="spellStart"/>
      <w:r w:rsidRPr="006460FD">
        <w:rPr>
          <w:i/>
          <w:sz w:val="20"/>
          <w:lang w:val="en-GB"/>
        </w:rPr>
        <w:t>opposabilité</w:t>
      </w:r>
      <w:proofErr w:type="spellEnd"/>
      <w:r w:rsidRPr="006460FD">
        <w:rPr>
          <w:i/>
          <w:sz w:val="20"/>
          <w:lang w:val="en-GB"/>
        </w:rPr>
        <w:t xml:space="preserve">, </w:t>
      </w:r>
      <w:r w:rsidRPr="006460FD">
        <w:rPr>
          <w:sz w:val="20"/>
          <w:lang w:val="en-GB"/>
        </w:rPr>
        <w:t xml:space="preserve">Parijs, Economica 2007, 308, 311; </w:t>
      </w:r>
      <w:r w:rsidRPr="006460FD">
        <w:rPr>
          <w:smallCaps/>
          <w:sz w:val="20"/>
          <w:lang w:val="en-GB"/>
        </w:rPr>
        <w:t xml:space="preserve">C. Atias, </w:t>
      </w:r>
      <w:r w:rsidRPr="006460FD">
        <w:rPr>
          <w:i/>
          <w:sz w:val="20"/>
          <w:lang w:val="en-GB"/>
        </w:rPr>
        <w:t xml:space="preserve">Manuel Droit Civil. </w:t>
      </w:r>
      <w:r>
        <w:rPr>
          <w:i/>
          <w:sz w:val="20"/>
        </w:rPr>
        <w:t>Les Biens,</w:t>
      </w:r>
      <w:r>
        <w:rPr>
          <w:sz w:val="20"/>
        </w:rPr>
        <w:t xml:space="preserve"> Parijs, Litec 2014, 251.</w:t>
      </w:r>
    </w:p>
  </w:footnote>
  <w:footnote w:id="14">
    <w:p w14:paraId="02849259" w14:textId="2D1BF0B0" w:rsidR="00C97F8C" w:rsidRPr="00C73C6E" w:rsidRDefault="00C97F8C" w:rsidP="00B768BB">
      <w:pPr>
        <w:pStyle w:val="Voetnoottekst"/>
        <w:rPr>
          <w:lang w:val="nl-BE"/>
        </w:rPr>
      </w:pPr>
      <w:r>
        <w:rPr>
          <w:rStyle w:val="Voetnootmarkering"/>
        </w:rPr>
        <w:footnoteRef/>
      </w:r>
      <w:r>
        <w:t xml:space="preserve"> </w:t>
      </w:r>
      <w:r>
        <w:rPr>
          <w:smallCaps/>
          <w:sz w:val="20"/>
        </w:rPr>
        <w:t xml:space="preserve">F. Laurent, </w:t>
      </w:r>
      <w:r>
        <w:rPr>
          <w:i/>
          <w:sz w:val="20"/>
        </w:rPr>
        <w:t xml:space="preserve">Principes de droit civil. Tome </w:t>
      </w:r>
      <w:r w:rsidRPr="0083684D">
        <w:rPr>
          <w:i/>
          <w:sz w:val="20"/>
        </w:rPr>
        <w:t>XXXII</w:t>
      </w:r>
      <w:r>
        <w:rPr>
          <w:i/>
          <w:sz w:val="20"/>
        </w:rPr>
        <w:t>,</w:t>
      </w:r>
      <w:r>
        <w:rPr>
          <w:sz w:val="20"/>
        </w:rPr>
        <w:t xml:space="preserve"> Bruylant, Brussel 1878, 554; </w:t>
      </w:r>
      <w:r>
        <w:rPr>
          <w:smallCaps/>
          <w:sz w:val="20"/>
        </w:rPr>
        <w:t xml:space="preserve">A. Kluyskens, </w:t>
      </w:r>
      <w:r>
        <w:rPr>
          <w:i/>
          <w:sz w:val="20"/>
        </w:rPr>
        <w:t xml:space="preserve">Beginselen van Burgerlijk Recht – Zakenrecht, </w:t>
      </w:r>
      <w:r>
        <w:rPr>
          <w:sz w:val="20"/>
        </w:rPr>
        <w:t xml:space="preserve">Standaard, Gent 1940, 69; </w:t>
      </w:r>
      <w:r>
        <w:rPr>
          <w:smallCaps/>
          <w:sz w:val="20"/>
        </w:rPr>
        <w:t xml:space="preserve">R. Derine, F. Van Neste, H. Vandenberghe, </w:t>
      </w:r>
      <w:r>
        <w:rPr>
          <w:i/>
          <w:sz w:val="20"/>
        </w:rPr>
        <w:t xml:space="preserve">Zakenrecht – Deel 1.B, </w:t>
      </w:r>
      <w:r>
        <w:rPr>
          <w:sz w:val="20"/>
        </w:rPr>
        <w:t xml:space="preserve">Antwerpen, Standaard 1974, 315-316; </w:t>
      </w:r>
      <w:r>
        <w:rPr>
          <w:smallCaps/>
          <w:sz w:val="20"/>
        </w:rPr>
        <w:t>A. Heyvaert, “</w:t>
      </w:r>
      <w:r>
        <w:rPr>
          <w:sz w:val="20"/>
        </w:rPr>
        <w:t xml:space="preserve">Overzicht van rechtspraak 1961-64”, </w:t>
      </w:r>
      <w:r>
        <w:rPr>
          <w:i/>
          <w:sz w:val="20"/>
        </w:rPr>
        <w:t xml:space="preserve">TPR </w:t>
      </w:r>
      <w:r>
        <w:rPr>
          <w:sz w:val="20"/>
        </w:rPr>
        <w:t xml:space="preserve">1975, 119; </w:t>
      </w:r>
      <w:r w:rsidRPr="00C754EB">
        <w:rPr>
          <w:smallCaps/>
          <w:sz w:val="20"/>
          <w:lang w:val="nl-BE"/>
        </w:rPr>
        <w:t xml:space="preserve">S. Boufflette, </w:t>
      </w:r>
      <w:r w:rsidRPr="00C754EB">
        <w:rPr>
          <w:i/>
          <w:sz w:val="20"/>
          <w:lang w:val="nl-BE"/>
        </w:rPr>
        <w:t>La Possession,</w:t>
      </w:r>
      <w:r w:rsidRPr="00C754EB">
        <w:rPr>
          <w:sz w:val="20"/>
          <w:lang w:val="nl-BE"/>
        </w:rPr>
        <w:t xml:space="preserve"> Brussel</w:t>
      </w:r>
      <w:r w:rsidRPr="00C754EB">
        <w:rPr>
          <w:i/>
          <w:sz w:val="20"/>
          <w:lang w:val="nl-BE"/>
        </w:rPr>
        <w:t xml:space="preserve"> </w:t>
      </w:r>
      <w:r>
        <w:rPr>
          <w:sz w:val="20"/>
          <w:lang w:val="nl-BE"/>
        </w:rPr>
        <w:t xml:space="preserve">Larcier 2010, 120; </w:t>
      </w:r>
      <w:r>
        <w:rPr>
          <w:smallCaps/>
          <w:sz w:val="20"/>
          <w:lang w:val="nl-BE"/>
        </w:rPr>
        <w:t xml:space="preserve">H. De Page, </w:t>
      </w:r>
      <w:r>
        <w:rPr>
          <w:i/>
          <w:sz w:val="20"/>
          <w:lang w:val="nl-BE"/>
        </w:rPr>
        <w:t xml:space="preserve">Traité élémentaire de droit civil belge -  Tome V, </w:t>
      </w:r>
      <w:r>
        <w:rPr>
          <w:sz w:val="20"/>
          <w:lang w:val="nl-BE"/>
        </w:rPr>
        <w:t>Brussel, Bruylant 1975, 913;</w:t>
      </w:r>
      <w:r>
        <w:rPr>
          <w:sz w:val="20"/>
        </w:rPr>
        <w:t xml:space="preserve"> </w:t>
      </w:r>
      <w:r>
        <w:rPr>
          <w:smallCaps/>
          <w:sz w:val="20"/>
        </w:rPr>
        <w:t xml:space="preserve">A.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Gent 1983, 171;</w:t>
      </w:r>
      <w:r w:rsidRPr="007E1F2E">
        <w:rPr>
          <w:smallCaps/>
          <w:sz w:val="20"/>
        </w:rPr>
        <w:t xml:space="preserve"> </w:t>
      </w:r>
      <w:r>
        <w:rPr>
          <w:smallCaps/>
          <w:sz w:val="20"/>
        </w:rPr>
        <w:t xml:space="preserve">B.W.M. Nieskens-Isphording </w:t>
      </w:r>
      <w:r>
        <w:rPr>
          <w:sz w:val="20"/>
        </w:rPr>
        <w:t xml:space="preserve">en </w:t>
      </w:r>
      <w:r>
        <w:rPr>
          <w:smallCaps/>
          <w:sz w:val="20"/>
        </w:rPr>
        <w:t xml:space="preserve">A.E.M. van der Put-Lauwers, </w:t>
      </w:r>
      <w:r>
        <w:rPr>
          <w:i/>
          <w:sz w:val="20"/>
        </w:rPr>
        <w:t>Derdenbescherming,</w:t>
      </w:r>
      <w:r>
        <w:rPr>
          <w:sz w:val="20"/>
        </w:rPr>
        <w:t xml:space="preserve"> Deventer, Kluwer 2002, 6; </w:t>
      </w:r>
      <w:r w:rsidRPr="00862B0F">
        <w:rPr>
          <w:smallCaps/>
          <w:sz w:val="20"/>
        </w:rPr>
        <w:t xml:space="preserve">R. Dekkers en E. Dirix, </w:t>
      </w:r>
      <w:r w:rsidRPr="00862B0F">
        <w:rPr>
          <w:i/>
          <w:sz w:val="20"/>
        </w:rPr>
        <w:t xml:space="preserve">Handboek Burgerlijk Recht – Deel II, </w:t>
      </w:r>
      <w:r w:rsidRPr="00862B0F">
        <w:rPr>
          <w:sz w:val="20"/>
        </w:rPr>
        <w:t>Antwerpe</w:t>
      </w:r>
      <w:r>
        <w:rPr>
          <w:sz w:val="20"/>
        </w:rPr>
        <w:t xml:space="preserve">n, Intersentia, 2005, 90; </w:t>
      </w:r>
      <w:r w:rsidRPr="00BE041A">
        <w:rPr>
          <w:smallCaps/>
          <w:sz w:val="20"/>
        </w:rPr>
        <w:t xml:space="preserve">P. Lecocq, </w:t>
      </w:r>
      <w:r w:rsidRPr="00BE041A">
        <w:rPr>
          <w:i/>
          <w:sz w:val="20"/>
        </w:rPr>
        <w:t xml:space="preserve">Manuel de droit des biens, </w:t>
      </w:r>
      <w:r>
        <w:rPr>
          <w:sz w:val="20"/>
        </w:rPr>
        <w:t xml:space="preserve">Brussel, Larcier, 2012, 142; </w:t>
      </w:r>
      <w:r w:rsidRPr="00862B0F">
        <w:rPr>
          <w:smallCaps/>
          <w:sz w:val="20"/>
        </w:rPr>
        <w:t xml:space="preserve">V. Sagaert, </w:t>
      </w:r>
      <w:r w:rsidRPr="00862B0F">
        <w:rPr>
          <w:i/>
          <w:sz w:val="20"/>
        </w:rPr>
        <w:t>Beginselen van Belgisch Privaatrecht – V – Goederenrecht</w:t>
      </w:r>
      <w:r>
        <w:rPr>
          <w:sz w:val="20"/>
        </w:rPr>
        <w:t xml:space="preserve">, Mechelen, Kluwer 2014, 651; </w:t>
      </w:r>
      <w:r>
        <w:rPr>
          <w:smallCaps/>
          <w:sz w:val="20"/>
        </w:rPr>
        <w:t xml:space="preserve">N. Bernard, </w:t>
      </w:r>
      <w:r>
        <w:rPr>
          <w:i/>
          <w:sz w:val="20"/>
        </w:rPr>
        <w:t xml:space="preserve">Precis de droit des biens, </w:t>
      </w:r>
      <w:r>
        <w:rPr>
          <w:sz w:val="20"/>
        </w:rPr>
        <w:t xml:space="preserve">Limal, Anthemis 2012, 157.  </w:t>
      </w:r>
      <w:r w:rsidRPr="00BE1AF7">
        <w:rPr>
          <w:sz w:val="20"/>
          <w:u w:val="single"/>
        </w:rPr>
        <w:t>Frankrijk</w:t>
      </w:r>
      <w:r w:rsidRPr="006460FD">
        <w:rPr>
          <w:sz w:val="20"/>
          <w:u w:val="single"/>
          <w:lang w:val="en-GB"/>
        </w:rPr>
        <w:t>:</w:t>
      </w:r>
      <w:r w:rsidRPr="006460FD">
        <w:rPr>
          <w:sz w:val="20"/>
          <w:lang w:val="en-GB"/>
        </w:rPr>
        <w:t xml:space="preserve"> </w:t>
      </w:r>
      <w:r w:rsidRPr="006460FD">
        <w:rPr>
          <w:smallCaps/>
          <w:sz w:val="20"/>
          <w:lang w:val="en-GB"/>
        </w:rPr>
        <w:t xml:space="preserve">A. Weill, F. Terré, P. Simler, </w:t>
      </w:r>
      <w:r w:rsidRPr="006460FD">
        <w:rPr>
          <w:i/>
          <w:sz w:val="20"/>
          <w:lang w:val="en-GB"/>
        </w:rPr>
        <w:t xml:space="preserve">Les biens, </w:t>
      </w:r>
      <w:r w:rsidRPr="006460FD">
        <w:rPr>
          <w:sz w:val="20"/>
          <w:lang w:val="en-GB"/>
        </w:rPr>
        <w:t xml:space="preserve">Parijs, Dalloz 1985, 367; </w:t>
      </w:r>
      <w:r w:rsidRPr="006460FD">
        <w:rPr>
          <w:smallCaps/>
          <w:sz w:val="20"/>
          <w:lang w:val="en-GB"/>
        </w:rPr>
        <w:t xml:space="preserve">J. F. </w:t>
      </w:r>
      <w:proofErr w:type="spellStart"/>
      <w:r w:rsidRPr="006460FD">
        <w:rPr>
          <w:smallCaps/>
          <w:sz w:val="20"/>
          <w:lang w:val="en-GB"/>
        </w:rPr>
        <w:t>Romain</w:t>
      </w:r>
      <w:proofErr w:type="spellEnd"/>
      <w:r w:rsidRPr="006460FD">
        <w:rPr>
          <w:smallCaps/>
          <w:sz w:val="20"/>
          <w:lang w:val="en-GB"/>
        </w:rPr>
        <w:t xml:space="preserve">, </w:t>
      </w:r>
      <w:r w:rsidRPr="006460FD">
        <w:rPr>
          <w:sz w:val="20"/>
          <w:lang w:val="en-GB"/>
        </w:rPr>
        <w:t xml:space="preserve">“De la possession”, </w:t>
      </w:r>
      <w:r w:rsidRPr="006460FD">
        <w:rPr>
          <w:i/>
          <w:sz w:val="20"/>
          <w:lang w:val="en-GB"/>
        </w:rPr>
        <w:t xml:space="preserve">JT </w:t>
      </w:r>
      <w:r w:rsidRPr="006460FD">
        <w:rPr>
          <w:sz w:val="20"/>
          <w:lang w:val="en-GB"/>
        </w:rPr>
        <w:t xml:space="preserve">2004, 34; </w:t>
      </w:r>
      <w:r w:rsidRPr="006460FD">
        <w:rPr>
          <w:smallCaps/>
          <w:sz w:val="20"/>
          <w:lang w:val="en-GB"/>
        </w:rPr>
        <w:t xml:space="preserve">W. Dross, </w:t>
      </w:r>
      <w:r w:rsidRPr="006460FD">
        <w:rPr>
          <w:i/>
          <w:sz w:val="20"/>
          <w:lang w:val="en-GB"/>
        </w:rPr>
        <w:t xml:space="preserve">Les choses, </w:t>
      </w:r>
      <w:r w:rsidRPr="006460FD">
        <w:rPr>
          <w:sz w:val="20"/>
          <w:lang w:val="en-GB"/>
        </w:rPr>
        <w:t xml:space="preserve">Parijs, LGDJ Lextenso éditions 2012, 536; </w:t>
      </w:r>
      <w:r w:rsidRPr="006460FD">
        <w:rPr>
          <w:smallCaps/>
          <w:sz w:val="20"/>
          <w:lang w:val="en-GB"/>
        </w:rPr>
        <w:t xml:space="preserve">C. Atias, </w:t>
      </w:r>
      <w:r w:rsidRPr="006460FD">
        <w:rPr>
          <w:i/>
          <w:sz w:val="20"/>
          <w:lang w:val="en-GB"/>
        </w:rPr>
        <w:t xml:space="preserve">Manuel Droit Civil. </w:t>
      </w:r>
      <w:r>
        <w:rPr>
          <w:i/>
          <w:sz w:val="20"/>
        </w:rPr>
        <w:t>Les Biens,</w:t>
      </w:r>
      <w:r>
        <w:rPr>
          <w:sz w:val="20"/>
        </w:rPr>
        <w:t xml:space="preserve"> Parijs, Litec 2014, 251. </w:t>
      </w:r>
      <w:r>
        <w:rPr>
          <w:sz w:val="20"/>
          <w:u w:val="single"/>
        </w:rPr>
        <w:t>Nederland:</w:t>
      </w:r>
      <w:r>
        <w:rPr>
          <w:sz w:val="20"/>
        </w:rPr>
        <w:t xml:space="preserve"> </w:t>
      </w:r>
      <w:r>
        <w:rPr>
          <w:smallCaps/>
          <w:sz w:val="20"/>
        </w:rPr>
        <w:t xml:space="preserve">W.H.M. Reehuis, </w:t>
      </w:r>
      <w:r>
        <w:rPr>
          <w:i/>
          <w:sz w:val="20"/>
        </w:rPr>
        <w:t xml:space="preserve">Zwaartepunten van het vermogensrecht, </w:t>
      </w:r>
      <w:r>
        <w:rPr>
          <w:sz w:val="20"/>
        </w:rPr>
        <w:t>Kluwer, Deventer 2010, 80.</w:t>
      </w:r>
    </w:p>
  </w:footnote>
  <w:footnote w:id="15">
    <w:p w14:paraId="60DA673B" w14:textId="21F01BEC" w:rsidR="00C97F8C" w:rsidRPr="006460FD" w:rsidRDefault="00C97F8C" w:rsidP="00B768BB">
      <w:pPr>
        <w:pStyle w:val="Voetnoottekst"/>
        <w:rPr>
          <w:lang w:val="en-GB"/>
        </w:rPr>
      </w:pPr>
      <w:r>
        <w:rPr>
          <w:rStyle w:val="Voetnootmarkering"/>
        </w:rPr>
        <w:footnoteRef/>
      </w:r>
      <w:r>
        <w:t xml:space="preserve"> </w:t>
      </w:r>
      <w:r>
        <w:rPr>
          <w:smallCaps/>
          <w:sz w:val="20"/>
        </w:rPr>
        <w:t xml:space="preserve">A. Kluyskens, </w:t>
      </w:r>
      <w:r>
        <w:rPr>
          <w:i/>
          <w:sz w:val="20"/>
        </w:rPr>
        <w:t xml:space="preserve">Beginselen van Burgerlijk Recht – Zakenrecht, </w:t>
      </w:r>
      <w:r>
        <w:rPr>
          <w:sz w:val="20"/>
        </w:rPr>
        <w:t xml:space="preserve">Standaard, Gent 1940, 69; </w:t>
      </w:r>
      <w:r>
        <w:rPr>
          <w:smallCaps/>
          <w:sz w:val="20"/>
        </w:rPr>
        <w:t xml:space="preserve">A.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 xml:space="preserve">Gent 1983, 171; </w:t>
      </w:r>
      <w:r>
        <w:rPr>
          <w:smallCaps/>
          <w:sz w:val="20"/>
        </w:rPr>
        <w:t xml:space="preserve">B.W.M. Nieskens-Isphording </w:t>
      </w:r>
      <w:r>
        <w:rPr>
          <w:sz w:val="20"/>
        </w:rPr>
        <w:t xml:space="preserve">en </w:t>
      </w:r>
      <w:r>
        <w:rPr>
          <w:smallCaps/>
          <w:sz w:val="20"/>
        </w:rPr>
        <w:t xml:space="preserve">A.E.M. van der Put-Lauwers, </w:t>
      </w:r>
      <w:r>
        <w:rPr>
          <w:i/>
          <w:sz w:val="20"/>
        </w:rPr>
        <w:t>Derdenbescherming,</w:t>
      </w:r>
      <w:r>
        <w:rPr>
          <w:sz w:val="20"/>
        </w:rPr>
        <w:t xml:space="preserve"> Deventer, Kluwer 2002, 6. </w:t>
      </w:r>
      <w:r w:rsidRPr="006460FD">
        <w:rPr>
          <w:sz w:val="20"/>
          <w:u w:val="single"/>
          <w:lang w:val="en-GB"/>
        </w:rPr>
        <w:t>Draft Common Frame of Reference:</w:t>
      </w:r>
      <w:r w:rsidRPr="006460FD">
        <w:rPr>
          <w:sz w:val="20"/>
          <w:lang w:val="en-GB"/>
        </w:rPr>
        <w:t xml:space="preserve"> </w:t>
      </w:r>
      <w:r w:rsidRPr="006460FD">
        <w:rPr>
          <w:smallCaps/>
          <w:sz w:val="20"/>
          <w:lang w:val="en-GB"/>
        </w:rPr>
        <w:t xml:space="preserve">A. </w:t>
      </w:r>
      <w:proofErr w:type="spellStart"/>
      <w:r w:rsidRPr="006460FD">
        <w:rPr>
          <w:smallCaps/>
          <w:sz w:val="20"/>
          <w:lang w:val="en-GB"/>
        </w:rPr>
        <w:t>Salomons</w:t>
      </w:r>
      <w:proofErr w:type="spellEnd"/>
      <w:r w:rsidRPr="006460FD">
        <w:rPr>
          <w:smallCaps/>
          <w:sz w:val="20"/>
          <w:lang w:val="en-GB"/>
        </w:rPr>
        <w:t xml:space="preserve">, </w:t>
      </w:r>
      <w:r w:rsidRPr="006460FD">
        <w:rPr>
          <w:sz w:val="20"/>
          <w:lang w:val="en-GB"/>
        </w:rPr>
        <w:t xml:space="preserve">“The purpose and Coherence of the Rules on Good Faith Acquisition and Acquisitive Prescription in the Draft Common Frame of Reference: A Tale of Two Gatekeepers”, </w:t>
      </w:r>
      <w:r w:rsidRPr="006460FD">
        <w:rPr>
          <w:i/>
          <w:sz w:val="20"/>
          <w:lang w:val="en-GB"/>
        </w:rPr>
        <w:t xml:space="preserve">ERPL </w:t>
      </w:r>
      <w:r w:rsidRPr="006460FD">
        <w:rPr>
          <w:sz w:val="20"/>
          <w:lang w:val="en-GB"/>
        </w:rPr>
        <w:t>2013, 854.</w:t>
      </w:r>
    </w:p>
  </w:footnote>
  <w:footnote w:id="16">
    <w:p w14:paraId="37BCE35C" w14:textId="4924B401" w:rsidR="00C97F8C" w:rsidRPr="00F00FF7" w:rsidRDefault="00C97F8C" w:rsidP="00B768BB">
      <w:pPr>
        <w:pStyle w:val="Voetnoottekst"/>
        <w:rPr>
          <w:lang w:val="nl-BE"/>
        </w:rPr>
      </w:pPr>
      <w:r>
        <w:rPr>
          <w:rStyle w:val="Voetnootmarkering"/>
        </w:rPr>
        <w:footnoteRef/>
      </w:r>
      <w:r>
        <w:t xml:space="preserve"> </w:t>
      </w:r>
      <w:r>
        <w:rPr>
          <w:smallCaps/>
          <w:sz w:val="20"/>
        </w:rPr>
        <w:t xml:space="preserve">R. Derine, F. Van Neste, H. Vandenberghe, </w:t>
      </w:r>
      <w:r>
        <w:rPr>
          <w:i/>
          <w:sz w:val="20"/>
        </w:rPr>
        <w:t xml:space="preserve">Zakenrecht – Deel 1.B, </w:t>
      </w:r>
      <w:r>
        <w:rPr>
          <w:sz w:val="20"/>
        </w:rPr>
        <w:t xml:space="preserve">Antwerpen, Standaard 1974, 918; </w:t>
      </w:r>
      <w:r>
        <w:rPr>
          <w:smallCaps/>
          <w:sz w:val="20"/>
        </w:rPr>
        <w:t>A. Heyvaert, “</w:t>
      </w:r>
      <w:r>
        <w:rPr>
          <w:sz w:val="20"/>
        </w:rPr>
        <w:t xml:space="preserve">Overzicht van rechtspraak 1961-64”, </w:t>
      </w:r>
      <w:r>
        <w:rPr>
          <w:i/>
          <w:sz w:val="20"/>
        </w:rPr>
        <w:t xml:space="preserve">TPR </w:t>
      </w:r>
      <w:r>
        <w:rPr>
          <w:sz w:val="20"/>
        </w:rPr>
        <w:t xml:space="preserve">1975, 119; </w:t>
      </w:r>
      <w:r>
        <w:rPr>
          <w:smallCaps/>
          <w:sz w:val="20"/>
        </w:rPr>
        <w:t xml:space="preserve">H. Vandenberghe, </w:t>
      </w:r>
      <w:r>
        <w:rPr>
          <w:i/>
          <w:sz w:val="20"/>
        </w:rPr>
        <w:t xml:space="preserve">Goederenrecht, </w:t>
      </w:r>
      <w:r>
        <w:rPr>
          <w:sz w:val="20"/>
        </w:rPr>
        <w:t xml:space="preserve">Leuven Acco 2006, 124; </w:t>
      </w:r>
      <w:r w:rsidRPr="00C754EB">
        <w:rPr>
          <w:smallCaps/>
          <w:sz w:val="20"/>
          <w:lang w:val="nl-BE"/>
        </w:rPr>
        <w:t xml:space="preserve">S. Boufflette, </w:t>
      </w:r>
      <w:r w:rsidRPr="00C754EB">
        <w:rPr>
          <w:i/>
          <w:sz w:val="20"/>
          <w:lang w:val="nl-BE"/>
        </w:rPr>
        <w:t>La Possession,</w:t>
      </w:r>
      <w:r w:rsidRPr="00C754EB">
        <w:rPr>
          <w:sz w:val="20"/>
          <w:lang w:val="nl-BE"/>
        </w:rPr>
        <w:t xml:space="preserve"> Brussel</w:t>
      </w:r>
      <w:r w:rsidRPr="00C754EB">
        <w:rPr>
          <w:i/>
          <w:sz w:val="20"/>
          <w:lang w:val="nl-BE"/>
        </w:rPr>
        <w:t xml:space="preserve"> </w:t>
      </w:r>
      <w:r w:rsidRPr="00C754EB">
        <w:rPr>
          <w:sz w:val="20"/>
          <w:lang w:val="nl-BE"/>
        </w:rPr>
        <w:t>Larcier 2010, 125</w:t>
      </w:r>
      <w:r>
        <w:rPr>
          <w:sz w:val="20"/>
          <w:lang w:val="nl-BE"/>
        </w:rPr>
        <w:t xml:space="preserve">; </w:t>
      </w:r>
      <w:r w:rsidRPr="00862B0F">
        <w:rPr>
          <w:smallCaps/>
          <w:sz w:val="20"/>
        </w:rPr>
        <w:t xml:space="preserve">V. Sagaert, </w:t>
      </w:r>
      <w:r w:rsidRPr="00862B0F">
        <w:rPr>
          <w:i/>
          <w:sz w:val="20"/>
        </w:rPr>
        <w:t>Beginselen van Belgisch Privaatrecht – V – Goederenrecht</w:t>
      </w:r>
      <w:r>
        <w:rPr>
          <w:sz w:val="20"/>
        </w:rPr>
        <w:t>, Mechelen, Kluwer 2014, 684.</w:t>
      </w:r>
      <w:r>
        <w:rPr>
          <w:lang w:val="nl-BE"/>
        </w:rPr>
        <w:t xml:space="preserve"> </w:t>
      </w:r>
      <w:r>
        <w:rPr>
          <w:sz w:val="20"/>
          <w:u w:val="single"/>
        </w:rPr>
        <w:t>Frankrijk:</w:t>
      </w:r>
      <w:r w:rsidRPr="00803CF3">
        <w:rPr>
          <w:sz w:val="20"/>
        </w:rPr>
        <w:t xml:space="preserve"> </w:t>
      </w:r>
      <w:r>
        <w:rPr>
          <w:smallCaps/>
          <w:sz w:val="20"/>
        </w:rPr>
        <w:t xml:space="preserve">F. </w:t>
      </w:r>
      <w:proofErr w:type="spellStart"/>
      <w:r>
        <w:rPr>
          <w:smallCaps/>
          <w:sz w:val="20"/>
        </w:rPr>
        <w:t>Danos</w:t>
      </w:r>
      <w:proofErr w:type="spellEnd"/>
      <w:r>
        <w:rPr>
          <w:smallCaps/>
          <w:sz w:val="20"/>
        </w:rPr>
        <w:t xml:space="preserve">, </w:t>
      </w:r>
      <w:r>
        <w:rPr>
          <w:i/>
          <w:sz w:val="20"/>
        </w:rPr>
        <w:t xml:space="preserve">Propriété, </w:t>
      </w:r>
      <w:proofErr w:type="spellStart"/>
      <w:r>
        <w:rPr>
          <w:i/>
          <w:sz w:val="20"/>
        </w:rPr>
        <w:t>possession</w:t>
      </w:r>
      <w:proofErr w:type="spellEnd"/>
      <w:r>
        <w:rPr>
          <w:i/>
          <w:sz w:val="20"/>
        </w:rPr>
        <w:t xml:space="preserve"> et </w:t>
      </w:r>
      <w:proofErr w:type="spellStart"/>
      <w:r>
        <w:rPr>
          <w:i/>
          <w:sz w:val="20"/>
        </w:rPr>
        <w:t>opposabilité</w:t>
      </w:r>
      <w:proofErr w:type="spellEnd"/>
      <w:r>
        <w:rPr>
          <w:i/>
          <w:sz w:val="20"/>
        </w:rPr>
        <w:t xml:space="preserve">, </w:t>
      </w:r>
      <w:r>
        <w:rPr>
          <w:sz w:val="20"/>
        </w:rPr>
        <w:t xml:space="preserve">Parijs, Economica 2007, 389;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148; </w:t>
      </w:r>
      <w:r>
        <w:rPr>
          <w:smallCaps/>
          <w:sz w:val="20"/>
        </w:rPr>
        <w:t xml:space="preserve">A. Weill, F. Terré, P. Simler, </w:t>
      </w:r>
      <w:r>
        <w:rPr>
          <w:i/>
          <w:sz w:val="20"/>
        </w:rPr>
        <w:t xml:space="preserve">Les biens, </w:t>
      </w:r>
      <w:r>
        <w:rPr>
          <w:sz w:val="20"/>
        </w:rPr>
        <w:t xml:space="preserve">Parijs, Dalloz 1985, 369; </w:t>
      </w:r>
      <w:r>
        <w:rPr>
          <w:smallCaps/>
          <w:sz w:val="20"/>
        </w:rPr>
        <w:t xml:space="preserve">P. Jourdain, </w:t>
      </w:r>
      <w:r>
        <w:rPr>
          <w:sz w:val="20"/>
        </w:rPr>
        <w:t xml:space="preserve">“Les biens”, in </w:t>
      </w:r>
      <w:r>
        <w:rPr>
          <w:i/>
          <w:sz w:val="20"/>
        </w:rPr>
        <w:t xml:space="preserve">Marty en Raynaud, </w:t>
      </w:r>
      <w:r>
        <w:rPr>
          <w:sz w:val="20"/>
        </w:rPr>
        <w:t xml:space="preserve">Parijs, Dalloz 1995, 478; </w:t>
      </w:r>
      <w:r>
        <w:rPr>
          <w:smallCaps/>
          <w:sz w:val="20"/>
        </w:rPr>
        <w:t xml:space="preserve">F. Terré, P. Simler, </w:t>
      </w:r>
      <w:r>
        <w:rPr>
          <w:i/>
          <w:sz w:val="20"/>
        </w:rPr>
        <w:t xml:space="preserve">Droit Civil. </w:t>
      </w:r>
      <w:r w:rsidRPr="006460FD">
        <w:rPr>
          <w:i/>
          <w:sz w:val="20"/>
          <w:lang w:val="en-GB"/>
        </w:rPr>
        <w:t xml:space="preserve">Les Biens, </w:t>
      </w:r>
      <w:r w:rsidRPr="006460FD">
        <w:rPr>
          <w:sz w:val="20"/>
          <w:lang w:val="en-GB"/>
        </w:rPr>
        <w:t xml:space="preserve">Parijs, Dalloz 2010, 347; </w:t>
      </w:r>
      <w:r w:rsidRPr="006460FD">
        <w:rPr>
          <w:smallCaps/>
          <w:sz w:val="20"/>
          <w:lang w:val="en-GB"/>
        </w:rPr>
        <w:t xml:space="preserve">P. Malaurie, L. Aynes, </w:t>
      </w:r>
      <w:r w:rsidRPr="006460FD">
        <w:rPr>
          <w:i/>
          <w:sz w:val="20"/>
          <w:lang w:val="en-GB"/>
        </w:rPr>
        <w:t xml:space="preserve">Les Biens, </w:t>
      </w:r>
      <w:r w:rsidRPr="006460FD">
        <w:rPr>
          <w:sz w:val="20"/>
          <w:lang w:val="en-GB"/>
        </w:rPr>
        <w:t xml:space="preserve">Parijs, Defrénois 2010, 181; </w:t>
      </w:r>
      <w:r w:rsidRPr="006460FD">
        <w:rPr>
          <w:smallCaps/>
          <w:sz w:val="20"/>
          <w:lang w:val="en-GB"/>
        </w:rPr>
        <w:t xml:space="preserve">W. Dross, </w:t>
      </w:r>
      <w:r w:rsidRPr="006460FD">
        <w:rPr>
          <w:i/>
          <w:sz w:val="20"/>
          <w:lang w:val="en-GB"/>
        </w:rPr>
        <w:t xml:space="preserve">Les choses, </w:t>
      </w:r>
      <w:r w:rsidRPr="006460FD">
        <w:rPr>
          <w:sz w:val="20"/>
          <w:lang w:val="en-GB"/>
        </w:rPr>
        <w:t xml:space="preserve">Parijs, LGDJ Lextenso éditions 2012, 542; M.-L. </w:t>
      </w:r>
      <w:r w:rsidRPr="006460FD">
        <w:rPr>
          <w:smallCaps/>
          <w:sz w:val="20"/>
          <w:lang w:val="en-GB"/>
        </w:rPr>
        <w:t xml:space="preserve">Mathieu, </w:t>
      </w:r>
      <w:r w:rsidRPr="006460FD">
        <w:rPr>
          <w:i/>
          <w:sz w:val="20"/>
          <w:lang w:val="en-GB"/>
        </w:rPr>
        <w:t xml:space="preserve">Droit Civil. </w:t>
      </w:r>
      <w:r>
        <w:rPr>
          <w:i/>
          <w:sz w:val="20"/>
        </w:rPr>
        <w:t xml:space="preserve">Les Biens, </w:t>
      </w:r>
      <w:r>
        <w:rPr>
          <w:sz w:val="20"/>
        </w:rPr>
        <w:t xml:space="preserve">Parijs, Dalloz 2013, 341. </w:t>
      </w:r>
      <w:r>
        <w:rPr>
          <w:sz w:val="20"/>
          <w:u w:val="single"/>
          <w:lang w:val="nl-BE"/>
        </w:rPr>
        <w:t>Nederland:</w:t>
      </w:r>
      <w:r>
        <w:rPr>
          <w:sz w:val="20"/>
          <w:lang w:val="nl-BE"/>
        </w:rPr>
        <w:t xml:space="preserve"> Artikel 3:83 lid 3 Nieuw Burgerlijk Wetboek; </w:t>
      </w:r>
      <w:r w:rsidRPr="00862B0F">
        <w:rPr>
          <w:smallCaps/>
          <w:sz w:val="20"/>
        </w:rPr>
        <w:t xml:space="preserve">W.H.M. Reehuis en A.H.T. Heisterkamp, </w:t>
      </w:r>
      <w:r>
        <w:rPr>
          <w:i/>
          <w:sz w:val="20"/>
        </w:rPr>
        <w:t xml:space="preserve">Goederenrecht, </w:t>
      </w:r>
      <w:r w:rsidRPr="002D5D53">
        <w:rPr>
          <w:sz w:val="20"/>
        </w:rPr>
        <w:t>Deventer</w:t>
      </w:r>
      <w:r>
        <w:rPr>
          <w:i/>
          <w:sz w:val="20"/>
        </w:rPr>
        <w:t xml:space="preserve">, </w:t>
      </w:r>
      <w:r>
        <w:rPr>
          <w:sz w:val="20"/>
        </w:rPr>
        <w:t>Kluwer 2006</w:t>
      </w:r>
      <w:r>
        <w:rPr>
          <w:i/>
          <w:sz w:val="20"/>
        </w:rPr>
        <w:t xml:space="preserve">, </w:t>
      </w:r>
      <w:r>
        <w:rPr>
          <w:sz w:val="20"/>
        </w:rPr>
        <w:t>143;</w:t>
      </w:r>
      <w:r>
        <w:rPr>
          <w:sz w:val="20"/>
          <w:lang w:val="nl-BE"/>
        </w:rPr>
        <w:t xml:space="preserve"> </w:t>
      </w:r>
      <w:r w:rsidRPr="00862B0F">
        <w:rPr>
          <w:smallCaps/>
          <w:sz w:val="20"/>
        </w:rPr>
        <w:t xml:space="preserve">C. Asser, </w:t>
      </w:r>
      <w:r w:rsidRPr="00862B0F">
        <w:rPr>
          <w:i/>
          <w:sz w:val="20"/>
        </w:rPr>
        <w:t xml:space="preserve">Algemeen goederenrecht, </w:t>
      </w:r>
      <w:r>
        <w:rPr>
          <w:sz w:val="20"/>
        </w:rPr>
        <w:t>3-IV, Deventer, Kluwer 2013, 416.</w:t>
      </w:r>
    </w:p>
  </w:footnote>
  <w:footnote w:id="17">
    <w:p w14:paraId="5855300A" w14:textId="5E092E32" w:rsidR="00C97F8C" w:rsidRPr="00D64863" w:rsidRDefault="00C97F8C" w:rsidP="00B768BB">
      <w:pPr>
        <w:pStyle w:val="Voetnoottekst"/>
        <w:rPr>
          <w:sz w:val="20"/>
          <w:u w:val="single"/>
          <w:lang w:val="nl-BE"/>
        </w:rPr>
      </w:pPr>
      <w:r>
        <w:rPr>
          <w:rStyle w:val="Voetnootmarkering"/>
        </w:rPr>
        <w:footnoteRef/>
      </w:r>
      <w:r>
        <w:t xml:space="preserve"> </w:t>
      </w:r>
      <w:r w:rsidRPr="009A41F9">
        <w:rPr>
          <w:sz w:val="20"/>
        </w:rPr>
        <w:t>Artikel 2279</w:t>
      </w:r>
      <w:r>
        <w:rPr>
          <w:sz w:val="20"/>
        </w:rPr>
        <w:t xml:space="preserve"> lid 1</w:t>
      </w:r>
      <w:r w:rsidRPr="009A41F9">
        <w:rPr>
          <w:sz w:val="20"/>
        </w:rPr>
        <w:t xml:space="preserve"> Burgerlijk Wetboek;</w:t>
      </w:r>
      <w:r>
        <w:rPr>
          <w:sz w:val="20"/>
        </w:rPr>
        <w:t xml:space="preserve"> </w:t>
      </w:r>
      <w:r>
        <w:rPr>
          <w:smallCaps/>
          <w:sz w:val="20"/>
        </w:rPr>
        <w:t xml:space="preserve">A. Kluyskens, </w:t>
      </w:r>
      <w:r>
        <w:rPr>
          <w:i/>
          <w:sz w:val="20"/>
        </w:rPr>
        <w:t xml:space="preserve">Beginselen van Burgerlijk Recht – Zakenrecht, </w:t>
      </w:r>
      <w:r>
        <w:rPr>
          <w:sz w:val="20"/>
        </w:rPr>
        <w:t>Standaard, Gent 1940, 74;</w:t>
      </w:r>
      <w:r w:rsidRPr="009A41F9">
        <w:rPr>
          <w:sz w:val="20"/>
        </w:rPr>
        <w:t xml:space="preserve"> </w:t>
      </w:r>
      <w:r w:rsidRPr="009A41F9">
        <w:rPr>
          <w:smallCaps/>
          <w:sz w:val="20"/>
          <w:lang w:val="nl-BE"/>
        </w:rPr>
        <w:t xml:space="preserve">S. Boufflette, </w:t>
      </w:r>
      <w:r w:rsidRPr="009A41F9">
        <w:rPr>
          <w:i/>
          <w:sz w:val="20"/>
          <w:lang w:val="nl-BE"/>
        </w:rPr>
        <w:t>La Possession,</w:t>
      </w:r>
      <w:r w:rsidRPr="009A41F9">
        <w:rPr>
          <w:sz w:val="20"/>
          <w:lang w:val="nl-BE"/>
        </w:rPr>
        <w:t xml:space="preserve"> Brussel</w:t>
      </w:r>
      <w:r w:rsidRPr="009A41F9">
        <w:rPr>
          <w:i/>
          <w:sz w:val="20"/>
          <w:lang w:val="nl-BE"/>
        </w:rPr>
        <w:t xml:space="preserve"> </w:t>
      </w:r>
      <w:r w:rsidRPr="009A41F9">
        <w:rPr>
          <w:sz w:val="20"/>
          <w:lang w:val="nl-BE"/>
        </w:rPr>
        <w:t>Larci</w:t>
      </w:r>
      <w:r>
        <w:rPr>
          <w:sz w:val="20"/>
          <w:lang w:val="nl-BE"/>
        </w:rPr>
        <w:t xml:space="preserve">er 2010, 126; </w:t>
      </w:r>
      <w:r>
        <w:rPr>
          <w:smallCaps/>
          <w:sz w:val="20"/>
        </w:rPr>
        <w:t xml:space="preserve">R. Derine, F. Van Neste, H. Vandenberghe, </w:t>
      </w:r>
      <w:r>
        <w:rPr>
          <w:i/>
          <w:sz w:val="20"/>
        </w:rPr>
        <w:t xml:space="preserve">Zakenrecht – Deel 1.B, </w:t>
      </w:r>
      <w:r>
        <w:rPr>
          <w:sz w:val="20"/>
        </w:rPr>
        <w:t xml:space="preserve">Antwerpen, Standaard 1974, 917; </w:t>
      </w:r>
      <w:r>
        <w:rPr>
          <w:smallCaps/>
          <w:sz w:val="20"/>
        </w:rPr>
        <w:t xml:space="preserve">H. Vandenberghe, </w:t>
      </w:r>
      <w:r>
        <w:rPr>
          <w:i/>
          <w:sz w:val="20"/>
        </w:rPr>
        <w:t xml:space="preserve">Goederenrecht, </w:t>
      </w:r>
      <w:r>
        <w:rPr>
          <w:sz w:val="20"/>
        </w:rPr>
        <w:t>Leuven Acco 2006, 124;</w:t>
      </w:r>
      <w:r w:rsidRPr="00862B0F">
        <w:rPr>
          <w:sz w:val="20"/>
        </w:rPr>
        <w:t xml:space="preserve"> </w:t>
      </w:r>
      <w:r w:rsidRPr="00862B0F">
        <w:rPr>
          <w:smallCaps/>
          <w:sz w:val="20"/>
        </w:rPr>
        <w:t xml:space="preserve">M. Storme, </w:t>
      </w:r>
      <w:r w:rsidRPr="00862B0F">
        <w:rPr>
          <w:i/>
          <w:sz w:val="20"/>
        </w:rPr>
        <w:t>I</w:t>
      </w:r>
      <w:r>
        <w:rPr>
          <w:i/>
          <w:sz w:val="20"/>
        </w:rPr>
        <w:t xml:space="preserve">nsolventierecht in kortbestek, </w:t>
      </w:r>
      <w:r w:rsidRPr="00862B0F">
        <w:rPr>
          <w:i/>
          <w:sz w:val="20"/>
        </w:rPr>
        <w:t xml:space="preserve">Gent-Mariakerke, </w:t>
      </w:r>
      <w:r>
        <w:rPr>
          <w:sz w:val="20"/>
        </w:rPr>
        <w:t xml:space="preserve">2011, 160; </w:t>
      </w:r>
      <w:r>
        <w:rPr>
          <w:smallCaps/>
          <w:sz w:val="20"/>
        </w:rPr>
        <w:t xml:space="preserve">A.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Gent 1983, 181;</w:t>
      </w:r>
      <w:r w:rsidRPr="000A1FD4">
        <w:rPr>
          <w:smallCaps/>
          <w:sz w:val="20"/>
        </w:rPr>
        <w:t xml:space="preserve"> </w:t>
      </w:r>
      <w:r w:rsidRPr="00862B0F">
        <w:rPr>
          <w:smallCaps/>
          <w:sz w:val="20"/>
        </w:rPr>
        <w:t xml:space="preserve">J. Del Corral, </w:t>
      </w:r>
      <w:r w:rsidRPr="00862B0F">
        <w:rPr>
          <w:i/>
          <w:sz w:val="20"/>
        </w:rPr>
        <w:t>De leveringsplicht bij de overdracht van roerende lichamelijke goederen</w:t>
      </w:r>
      <w:r w:rsidRPr="00862B0F">
        <w:rPr>
          <w:sz w:val="20"/>
        </w:rPr>
        <w:t>, Antwerpen, Intersentia, 2013, 437</w:t>
      </w:r>
      <w:r>
        <w:rPr>
          <w:sz w:val="20"/>
        </w:rPr>
        <w:t xml:space="preserve">. </w:t>
      </w:r>
      <w:r>
        <w:rPr>
          <w:sz w:val="20"/>
          <w:u w:val="single"/>
        </w:rPr>
        <w:t>Frankrijk:</w:t>
      </w:r>
      <w:r>
        <w:rPr>
          <w:sz w:val="20"/>
        </w:rPr>
        <w:t xml:space="preserve"> </w:t>
      </w:r>
      <w:r w:rsidRPr="00862B0F">
        <w:rPr>
          <w:sz w:val="20"/>
        </w:rPr>
        <w:t>Artikel 2276</w:t>
      </w:r>
      <w:r>
        <w:rPr>
          <w:sz w:val="20"/>
        </w:rPr>
        <w:t xml:space="preserve"> lid 2</w:t>
      </w:r>
      <w:r w:rsidRPr="00862B0F">
        <w:rPr>
          <w:sz w:val="20"/>
        </w:rPr>
        <w:t xml:space="preserve"> Code Civil Français</w:t>
      </w:r>
      <w:r>
        <w:rPr>
          <w:sz w:val="20"/>
        </w:rPr>
        <w:t xml:space="preserve">; J.L. </w:t>
      </w:r>
      <w:r>
        <w:rPr>
          <w:smallCaps/>
          <w:sz w:val="20"/>
        </w:rPr>
        <w:t xml:space="preserve">Bergel, M. Bruschi, S. Cimamonti, </w:t>
      </w:r>
      <w:r>
        <w:rPr>
          <w:i/>
          <w:sz w:val="20"/>
        </w:rPr>
        <w:t xml:space="preserve">Traité de droit civil. Les Biens, </w:t>
      </w:r>
      <w:r>
        <w:rPr>
          <w:sz w:val="20"/>
        </w:rPr>
        <w:t xml:space="preserve">Parijs, Librairie Générale de Droit et de Jurisprudence 2000, 245; </w:t>
      </w:r>
      <w:r>
        <w:rPr>
          <w:smallCaps/>
          <w:sz w:val="20"/>
        </w:rPr>
        <w:t xml:space="preserve">F. Terré, P. Simler, </w:t>
      </w:r>
      <w:r>
        <w:rPr>
          <w:i/>
          <w:sz w:val="20"/>
        </w:rPr>
        <w:t xml:space="preserve">Droit Civil. Les Biens, </w:t>
      </w:r>
      <w:r>
        <w:rPr>
          <w:sz w:val="20"/>
        </w:rPr>
        <w:t xml:space="preserve">Parijs, Dalloz 206, </w:t>
      </w:r>
      <w:r w:rsidRPr="000334CD">
        <w:rPr>
          <w:sz w:val="20"/>
        </w:rPr>
        <w:t>347-348</w:t>
      </w:r>
      <w:r>
        <w:rPr>
          <w:sz w:val="20"/>
        </w:rPr>
        <w:t xml:space="preserve">; </w:t>
      </w:r>
      <w:r>
        <w:rPr>
          <w:smallCaps/>
          <w:sz w:val="20"/>
          <w:lang w:val="nl-BE"/>
        </w:rPr>
        <w:t xml:space="preserve">P. Malaurie, L. Aynes, </w:t>
      </w:r>
      <w:r>
        <w:rPr>
          <w:i/>
          <w:sz w:val="20"/>
          <w:lang w:val="nl-BE"/>
        </w:rPr>
        <w:t xml:space="preserve">Les Biens, </w:t>
      </w:r>
      <w:r>
        <w:rPr>
          <w:sz w:val="20"/>
          <w:lang w:val="nl-BE"/>
        </w:rPr>
        <w:t xml:space="preserve">Parijs, Defrénois 2010, 183; </w:t>
      </w:r>
      <w:r>
        <w:rPr>
          <w:smallCaps/>
          <w:sz w:val="20"/>
        </w:rPr>
        <w:t xml:space="preserve">C. Atias, </w:t>
      </w:r>
      <w:r>
        <w:rPr>
          <w:i/>
          <w:sz w:val="20"/>
        </w:rPr>
        <w:t>Manuel Droit Civil. Les Biens,</w:t>
      </w:r>
      <w:r>
        <w:rPr>
          <w:sz w:val="20"/>
        </w:rPr>
        <w:t xml:space="preserve"> Parijs, Litec 2011, 260; </w:t>
      </w:r>
      <w:r>
        <w:rPr>
          <w:smallCaps/>
          <w:sz w:val="20"/>
        </w:rPr>
        <w:t xml:space="preserve">W. Dross, </w:t>
      </w:r>
      <w:r>
        <w:rPr>
          <w:i/>
          <w:sz w:val="20"/>
        </w:rPr>
        <w:t xml:space="preserve">Droit des Biens, </w:t>
      </w:r>
      <w:r>
        <w:rPr>
          <w:sz w:val="20"/>
        </w:rPr>
        <w:t xml:space="preserve">Parijs, Montchrestien 2012, 244; M.-L. </w:t>
      </w:r>
      <w:r>
        <w:rPr>
          <w:smallCaps/>
          <w:sz w:val="20"/>
        </w:rPr>
        <w:t xml:space="preserve">Mathieu, </w:t>
      </w:r>
      <w:r>
        <w:rPr>
          <w:i/>
          <w:sz w:val="20"/>
        </w:rPr>
        <w:t xml:space="preserve">Droit Civil. Les Biens, </w:t>
      </w:r>
      <w:r>
        <w:rPr>
          <w:sz w:val="20"/>
        </w:rPr>
        <w:t xml:space="preserve">Parijs, Dalloz 2013, 341. </w:t>
      </w:r>
      <w:r>
        <w:rPr>
          <w:sz w:val="20"/>
          <w:u w:val="single"/>
        </w:rPr>
        <w:t>Nederland:</w:t>
      </w:r>
      <w:r>
        <w:rPr>
          <w:sz w:val="20"/>
        </w:rPr>
        <w:t xml:space="preserve"> </w:t>
      </w:r>
      <w:r w:rsidRPr="00862B0F">
        <w:rPr>
          <w:smallCaps/>
          <w:sz w:val="20"/>
        </w:rPr>
        <w:t xml:space="preserve">C. Asser, </w:t>
      </w:r>
      <w:r w:rsidRPr="00862B0F">
        <w:rPr>
          <w:i/>
          <w:sz w:val="20"/>
        </w:rPr>
        <w:t xml:space="preserve">Algemeen goederenrecht, </w:t>
      </w:r>
      <w:r>
        <w:rPr>
          <w:sz w:val="20"/>
        </w:rPr>
        <w:t>3-IV, Deventer, Kluwer 2013, 416.</w:t>
      </w:r>
    </w:p>
  </w:footnote>
  <w:footnote w:id="18">
    <w:p w14:paraId="649DD796" w14:textId="49D5593A" w:rsidR="00C97F8C" w:rsidRPr="00BE07E8" w:rsidRDefault="00C97F8C" w:rsidP="00B768BB">
      <w:pPr>
        <w:pStyle w:val="Voetnoottekst"/>
        <w:rPr>
          <w:lang w:val="nl-BE"/>
        </w:rPr>
      </w:pPr>
      <w:r>
        <w:rPr>
          <w:rStyle w:val="Voetnootmarkering"/>
        </w:rPr>
        <w:footnoteRef/>
      </w:r>
      <w:r>
        <w:t xml:space="preserve"> </w:t>
      </w:r>
      <w:r>
        <w:rPr>
          <w:smallCaps/>
          <w:sz w:val="20"/>
        </w:rPr>
        <w:t xml:space="preserve">B.W.M. Nieskens-Isphording </w:t>
      </w:r>
      <w:r>
        <w:rPr>
          <w:sz w:val="20"/>
        </w:rPr>
        <w:t xml:space="preserve">en </w:t>
      </w:r>
      <w:r>
        <w:rPr>
          <w:smallCaps/>
          <w:sz w:val="20"/>
        </w:rPr>
        <w:t xml:space="preserve">A.E.M. van der Put-Lauwers, </w:t>
      </w:r>
      <w:r>
        <w:rPr>
          <w:i/>
          <w:sz w:val="20"/>
        </w:rPr>
        <w:t>Derdenbescherming,</w:t>
      </w:r>
      <w:r>
        <w:rPr>
          <w:sz w:val="20"/>
        </w:rPr>
        <w:t xml:space="preserve"> Deventer, Kluwer 2002, 41; </w:t>
      </w:r>
      <w:r w:rsidRPr="00862B0F">
        <w:rPr>
          <w:smallCaps/>
          <w:sz w:val="20"/>
        </w:rPr>
        <w:t xml:space="preserve">W.H.M. Reehuis </w:t>
      </w:r>
      <w:r w:rsidRPr="00E96979">
        <w:rPr>
          <w:sz w:val="20"/>
        </w:rPr>
        <w:t>en</w:t>
      </w:r>
      <w:r w:rsidRPr="00862B0F">
        <w:rPr>
          <w:smallCaps/>
          <w:sz w:val="20"/>
        </w:rPr>
        <w:t xml:space="preserve"> A.H.T. Heisterkamp, </w:t>
      </w:r>
      <w:r>
        <w:rPr>
          <w:i/>
          <w:sz w:val="20"/>
        </w:rPr>
        <w:t xml:space="preserve">Goederenrecht, </w:t>
      </w:r>
      <w:r w:rsidRPr="002D5D53">
        <w:rPr>
          <w:sz w:val="20"/>
        </w:rPr>
        <w:t>Deventer</w:t>
      </w:r>
      <w:r>
        <w:rPr>
          <w:i/>
          <w:sz w:val="20"/>
        </w:rPr>
        <w:t xml:space="preserve">, </w:t>
      </w:r>
      <w:r>
        <w:rPr>
          <w:sz w:val="20"/>
        </w:rPr>
        <w:t>Kluwer 2006</w:t>
      </w:r>
      <w:r>
        <w:rPr>
          <w:i/>
          <w:sz w:val="20"/>
        </w:rPr>
        <w:t xml:space="preserve">, </w:t>
      </w:r>
      <w:r w:rsidRPr="002D5D53">
        <w:rPr>
          <w:sz w:val="20"/>
        </w:rPr>
        <w:t>1</w:t>
      </w:r>
      <w:r>
        <w:rPr>
          <w:sz w:val="20"/>
        </w:rPr>
        <w:t xml:space="preserve">43; </w:t>
      </w:r>
      <w:r>
        <w:rPr>
          <w:smallCaps/>
          <w:sz w:val="20"/>
        </w:rPr>
        <w:t xml:space="preserve">W.H.M. Reehuis, </w:t>
      </w:r>
      <w:r>
        <w:rPr>
          <w:i/>
          <w:sz w:val="20"/>
        </w:rPr>
        <w:t xml:space="preserve">Zwaartepunten van het vermogensrecht, </w:t>
      </w:r>
      <w:r>
        <w:rPr>
          <w:sz w:val="20"/>
        </w:rPr>
        <w:t xml:space="preserve">Kluwer, Deventer 2010, 86; </w:t>
      </w:r>
      <w:r w:rsidRPr="00862B0F">
        <w:rPr>
          <w:smallCaps/>
          <w:sz w:val="20"/>
        </w:rPr>
        <w:t xml:space="preserve">C. Asser, </w:t>
      </w:r>
      <w:r w:rsidRPr="00862B0F">
        <w:rPr>
          <w:i/>
          <w:sz w:val="20"/>
        </w:rPr>
        <w:t xml:space="preserve">Algemeen goederenrecht, </w:t>
      </w:r>
      <w:r>
        <w:rPr>
          <w:sz w:val="20"/>
        </w:rPr>
        <w:t>3-IV, Deventer, Kluwer 2013, 416.</w:t>
      </w:r>
    </w:p>
  </w:footnote>
  <w:footnote w:id="19">
    <w:p w14:paraId="42752CE4" w14:textId="68E7BD47" w:rsidR="00C97F8C" w:rsidRPr="006460FD" w:rsidRDefault="00C97F8C" w:rsidP="00B768BB">
      <w:pPr>
        <w:pStyle w:val="Voetnoottekst"/>
        <w:rPr>
          <w:lang w:val="en-GB"/>
        </w:rPr>
      </w:pPr>
      <w:r>
        <w:rPr>
          <w:rStyle w:val="Voetnootmarkering"/>
        </w:rPr>
        <w:footnoteRef/>
      </w:r>
      <w:r>
        <w:t xml:space="preserve"> </w:t>
      </w:r>
      <w:r w:rsidRPr="009A41F9">
        <w:rPr>
          <w:sz w:val="20"/>
        </w:rPr>
        <w:t>Artikel 2279</w:t>
      </w:r>
      <w:r>
        <w:rPr>
          <w:sz w:val="20"/>
        </w:rPr>
        <w:t xml:space="preserve"> lid 2</w:t>
      </w:r>
      <w:r w:rsidRPr="009A41F9">
        <w:rPr>
          <w:sz w:val="20"/>
        </w:rPr>
        <w:t xml:space="preserve"> Burgerlijk Wetboek;</w:t>
      </w:r>
      <w:r>
        <w:rPr>
          <w:sz w:val="20"/>
        </w:rPr>
        <w:t xml:space="preserve"> </w:t>
      </w:r>
      <w:r>
        <w:rPr>
          <w:smallCaps/>
          <w:sz w:val="20"/>
        </w:rPr>
        <w:t xml:space="preserve">A. Kluyskens, </w:t>
      </w:r>
      <w:r>
        <w:rPr>
          <w:i/>
          <w:sz w:val="20"/>
        </w:rPr>
        <w:t xml:space="preserve">Beginselen van Burgerlijk Recht – Zakenrecht, </w:t>
      </w:r>
      <w:r>
        <w:rPr>
          <w:sz w:val="20"/>
        </w:rPr>
        <w:t>Standaard, Gent 1940, 74;</w:t>
      </w:r>
      <w:r w:rsidRPr="009A41F9">
        <w:rPr>
          <w:sz w:val="20"/>
        </w:rPr>
        <w:t xml:space="preserve"> </w:t>
      </w:r>
      <w:r w:rsidRPr="009A41F9">
        <w:rPr>
          <w:smallCaps/>
          <w:sz w:val="20"/>
          <w:lang w:val="nl-BE"/>
        </w:rPr>
        <w:t xml:space="preserve">S. Boufflette, </w:t>
      </w:r>
      <w:r w:rsidRPr="009A41F9">
        <w:rPr>
          <w:i/>
          <w:sz w:val="20"/>
          <w:lang w:val="nl-BE"/>
        </w:rPr>
        <w:t>La Possession,</w:t>
      </w:r>
      <w:r w:rsidRPr="009A41F9">
        <w:rPr>
          <w:sz w:val="20"/>
          <w:lang w:val="nl-BE"/>
        </w:rPr>
        <w:t xml:space="preserve"> Brussel</w:t>
      </w:r>
      <w:r w:rsidRPr="009A41F9">
        <w:rPr>
          <w:i/>
          <w:sz w:val="20"/>
          <w:lang w:val="nl-BE"/>
        </w:rPr>
        <w:t xml:space="preserve"> </w:t>
      </w:r>
      <w:r w:rsidRPr="009A41F9">
        <w:rPr>
          <w:sz w:val="20"/>
          <w:lang w:val="nl-BE"/>
        </w:rPr>
        <w:t>Larci</w:t>
      </w:r>
      <w:r>
        <w:rPr>
          <w:sz w:val="20"/>
          <w:lang w:val="nl-BE"/>
        </w:rPr>
        <w:t xml:space="preserve">er 2010, 126; </w:t>
      </w:r>
      <w:r>
        <w:rPr>
          <w:smallCaps/>
          <w:sz w:val="20"/>
        </w:rPr>
        <w:t xml:space="preserve">R. Derine, F. Van Neste, H. Vandenberghe, </w:t>
      </w:r>
      <w:r>
        <w:rPr>
          <w:i/>
          <w:sz w:val="20"/>
        </w:rPr>
        <w:t xml:space="preserve">Zakenrecht – Deel 1.B, </w:t>
      </w:r>
      <w:r>
        <w:rPr>
          <w:sz w:val="20"/>
        </w:rPr>
        <w:t xml:space="preserve">Antwerpen, Standaard 1974, 917; </w:t>
      </w:r>
      <w:r w:rsidRPr="00862B0F">
        <w:rPr>
          <w:smallCaps/>
          <w:sz w:val="20"/>
        </w:rPr>
        <w:t xml:space="preserve">J. Del Corral, </w:t>
      </w:r>
      <w:r w:rsidRPr="00862B0F">
        <w:rPr>
          <w:i/>
          <w:sz w:val="20"/>
        </w:rPr>
        <w:t>De leveringsplicht bij de overdracht van roerende lichamelijke goederen</w:t>
      </w:r>
      <w:r w:rsidRPr="00862B0F">
        <w:rPr>
          <w:sz w:val="20"/>
        </w:rPr>
        <w:t xml:space="preserve">, Antwerpen, Intersentia, 2013, 437; </w:t>
      </w:r>
      <w:r w:rsidRPr="00862B0F">
        <w:rPr>
          <w:smallCaps/>
          <w:sz w:val="20"/>
        </w:rPr>
        <w:t xml:space="preserve">M. Storme, </w:t>
      </w:r>
      <w:r w:rsidRPr="00862B0F">
        <w:rPr>
          <w:i/>
          <w:sz w:val="20"/>
        </w:rPr>
        <w:t>I</w:t>
      </w:r>
      <w:r>
        <w:rPr>
          <w:i/>
          <w:sz w:val="20"/>
        </w:rPr>
        <w:t xml:space="preserve">nsolventierecht in kortbestek, </w:t>
      </w:r>
      <w:r w:rsidRPr="00862B0F">
        <w:rPr>
          <w:i/>
          <w:sz w:val="20"/>
        </w:rPr>
        <w:t xml:space="preserve">Gent-Mariakerke, </w:t>
      </w:r>
      <w:r>
        <w:rPr>
          <w:sz w:val="20"/>
        </w:rPr>
        <w:t xml:space="preserve">2011, 160; </w:t>
      </w:r>
      <w:r>
        <w:rPr>
          <w:smallCaps/>
          <w:sz w:val="20"/>
        </w:rPr>
        <w:t xml:space="preserve">A.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 xml:space="preserve">Gent 1983, 181; </w:t>
      </w:r>
      <w:r w:rsidRPr="00862B0F">
        <w:rPr>
          <w:smallCaps/>
          <w:sz w:val="20"/>
        </w:rPr>
        <w:t xml:space="preserve">V. Sagaert, </w:t>
      </w:r>
      <w:r w:rsidRPr="00862B0F">
        <w:rPr>
          <w:i/>
          <w:sz w:val="20"/>
        </w:rPr>
        <w:t>Beginselen van Belgisch Privaatrecht – V – Goederenrecht</w:t>
      </w:r>
      <w:r>
        <w:rPr>
          <w:sz w:val="20"/>
        </w:rPr>
        <w:t xml:space="preserve">, Mechelen, Kluwer 2014, 684; </w:t>
      </w:r>
      <w:r>
        <w:rPr>
          <w:sz w:val="20"/>
          <w:u w:val="single"/>
        </w:rPr>
        <w:t>Frankrijk:</w:t>
      </w:r>
      <w:r>
        <w:rPr>
          <w:sz w:val="20"/>
        </w:rPr>
        <w:t xml:space="preserve"> </w:t>
      </w:r>
      <w:r w:rsidRPr="00862B0F">
        <w:rPr>
          <w:sz w:val="20"/>
        </w:rPr>
        <w:t>Artikel 2276</w:t>
      </w:r>
      <w:r>
        <w:rPr>
          <w:sz w:val="20"/>
        </w:rPr>
        <w:t xml:space="preserve"> lid 2</w:t>
      </w:r>
      <w:r w:rsidRPr="00862B0F">
        <w:rPr>
          <w:sz w:val="20"/>
        </w:rPr>
        <w:t xml:space="preserve"> Code Civil Français</w:t>
      </w:r>
      <w:r>
        <w:rPr>
          <w:sz w:val="20"/>
        </w:rPr>
        <w:t xml:space="preserve">; </w:t>
      </w:r>
      <w:r>
        <w:rPr>
          <w:smallCaps/>
          <w:sz w:val="20"/>
        </w:rPr>
        <w:t xml:space="preserve">F. </w:t>
      </w:r>
      <w:proofErr w:type="spellStart"/>
      <w:r>
        <w:rPr>
          <w:smallCaps/>
          <w:sz w:val="20"/>
        </w:rPr>
        <w:t>Danos</w:t>
      </w:r>
      <w:proofErr w:type="spellEnd"/>
      <w:r>
        <w:rPr>
          <w:smallCaps/>
          <w:sz w:val="20"/>
        </w:rPr>
        <w:t xml:space="preserve">, </w:t>
      </w:r>
      <w:r>
        <w:rPr>
          <w:i/>
          <w:sz w:val="20"/>
        </w:rPr>
        <w:t xml:space="preserve">Propriété, </w:t>
      </w:r>
      <w:proofErr w:type="spellStart"/>
      <w:r>
        <w:rPr>
          <w:i/>
          <w:sz w:val="20"/>
        </w:rPr>
        <w:t>possession</w:t>
      </w:r>
      <w:proofErr w:type="spellEnd"/>
      <w:r>
        <w:rPr>
          <w:i/>
          <w:sz w:val="20"/>
        </w:rPr>
        <w:t xml:space="preserve"> et </w:t>
      </w:r>
      <w:proofErr w:type="spellStart"/>
      <w:r>
        <w:rPr>
          <w:i/>
          <w:sz w:val="20"/>
        </w:rPr>
        <w:t>opposabilité</w:t>
      </w:r>
      <w:proofErr w:type="spellEnd"/>
      <w:r>
        <w:rPr>
          <w:i/>
          <w:sz w:val="20"/>
        </w:rPr>
        <w:t xml:space="preserve">, </w:t>
      </w:r>
      <w:r>
        <w:rPr>
          <w:sz w:val="20"/>
        </w:rPr>
        <w:t xml:space="preserve">Parijs, Economica 2007, 391;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148; </w:t>
      </w:r>
      <w:r>
        <w:rPr>
          <w:smallCaps/>
          <w:sz w:val="20"/>
        </w:rPr>
        <w:t xml:space="preserve">A. Weill, F. Terré, P. Simler, </w:t>
      </w:r>
      <w:r>
        <w:rPr>
          <w:i/>
          <w:sz w:val="20"/>
        </w:rPr>
        <w:t xml:space="preserve">Les biens, </w:t>
      </w:r>
      <w:r>
        <w:rPr>
          <w:sz w:val="20"/>
        </w:rPr>
        <w:t xml:space="preserve">Parijs, Dalloz 1985, 369; </w:t>
      </w:r>
      <w:r>
        <w:rPr>
          <w:smallCaps/>
          <w:sz w:val="20"/>
        </w:rPr>
        <w:t xml:space="preserve">P. Jourdain, </w:t>
      </w:r>
      <w:r>
        <w:rPr>
          <w:sz w:val="20"/>
        </w:rPr>
        <w:t xml:space="preserve">“Les biens”, in </w:t>
      </w:r>
      <w:r>
        <w:rPr>
          <w:i/>
          <w:sz w:val="20"/>
        </w:rPr>
        <w:t xml:space="preserve">Marty en Raynaud, </w:t>
      </w:r>
      <w:r>
        <w:rPr>
          <w:sz w:val="20"/>
        </w:rPr>
        <w:t xml:space="preserve">Parijs, Dalloz 1995, 478; J.L. </w:t>
      </w:r>
      <w:r>
        <w:rPr>
          <w:smallCaps/>
          <w:sz w:val="20"/>
        </w:rPr>
        <w:t xml:space="preserve">Bergel, M. Bruschi, S. Cimamonti, </w:t>
      </w:r>
      <w:r>
        <w:rPr>
          <w:i/>
          <w:sz w:val="20"/>
        </w:rPr>
        <w:t xml:space="preserve">Traité de droit civil. Les Biens, </w:t>
      </w:r>
      <w:r>
        <w:rPr>
          <w:sz w:val="20"/>
        </w:rPr>
        <w:t xml:space="preserve">Parijs, Librairie Générale de Droit et de Jurisprudence 2000, 245; </w:t>
      </w:r>
      <w:r>
        <w:rPr>
          <w:smallCaps/>
          <w:sz w:val="20"/>
        </w:rPr>
        <w:t xml:space="preserve">F. Terré, P. Simler, </w:t>
      </w:r>
      <w:r>
        <w:rPr>
          <w:i/>
          <w:sz w:val="20"/>
        </w:rPr>
        <w:t xml:space="preserve">Droit Civil. Les Biens, </w:t>
      </w:r>
      <w:r>
        <w:rPr>
          <w:sz w:val="20"/>
        </w:rPr>
        <w:t xml:space="preserve">Parijs, Dalloz 2006, </w:t>
      </w:r>
      <w:r w:rsidRPr="000334CD">
        <w:rPr>
          <w:sz w:val="20"/>
        </w:rPr>
        <w:t>347-348;</w:t>
      </w:r>
      <w:r>
        <w:rPr>
          <w:sz w:val="20"/>
        </w:rPr>
        <w:t xml:space="preserve"> </w:t>
      </w:r>
      <w:r>
        <w:rPr>
          <w:smallCaps/>
          <w:sz w:val="20"/>
          <w:lang w:val="nl-BE"/>
        </w:rPr>
        <w:t xml:space="preserve">P. Malaurie, L. Aynes, </w:t>
      </w:r>
      <w:r>
        <w:rPr>
          <w:i/>
          <w:sz w:val="20"/>
          <w:lang w:val="nl-BE"/>
        </w:rPr>
        <w:t xml:space="preserve">Les Biens, </w:t>
      </w:r>
      <w:r>
        <w:rPr>
          <w:sz w:val="20"/>
          <w:lang w:val="nl-BE"/>
        </w:rPr>
        <w:t xml:space="preserve">Parijs, Defrénois 2010, 183; </w:t>
      </w:r>
      <w:r>
        <w:rPr>
          <w:smallCaps/>
          <w:sz w:val="20"/>
        </w:rPr>
        <w:t xml:space="preserve">C. Atias, </w:t>
      </w:r>
      <w:r>
        <w:rPr>
          <w:i/>
          <w:sz w:val="20"/>
        </w:rPr>
        <w:t xml:space="preserve">Manuel Droit Civil. </w:t>
      </w:r>
      <w:r w:rsidRPr="006460FD">
        <w:rPr>
          <w:i/>
          <w:sz w:val="20"/>
          <w:lang w:val="en-GB"/>
        </w:rPr>
        <w:t>Les Biens,</w:t>
      </w:r>
      <w:r w:rsidRPr="006460FD">
        <w:rPr>
          <w:sz w:val="20"/>
          <w:lang w:val="en-GB"/>
        </w:rPr>
        <w:t xml:space="preserve"> Parijs, Litec 2011, 260; </w:t>
      </w:r>
      <w:r w:rsidRPr="006460FD">
        <w:rPr>
          <w:smallCaps/>
          <w:sz w:val="20"/>
          <w:lang w:val="en-GB"/>
        </w:rPr>
        <w:t xml:space="preserve">W. Dross, </w:t>
      </w:r>
      <w:r w:rsidRPr="006460FD">
        <w:rPr>
          <w:i/>
          <w:sz w:val="20"/>
          <w:lang w:val="en-GB"/>
        </w:rPr>
        <w:t xml:space="preserve">Droit des Biens, </w:t>
      </w:r>
      <w:r w:rsidRPr="006460FD">
        <w:rPr>
          <w:sz w:val="20"/>
          <w:lang w:val="en-GB"/>
        </w:rPr>
        <w:t>Parijs, Montchrestien</w:t>
      </w:r>
      <w:r>
        <w:rPr>
          <w:sz w:val="20"/>
          <w:lang w:val="en-GB"/>
        </w:rPr>
        <w:t xml:space="preserve"> 2012</w:t>
      </w:r>
      <w:r w:rsidRPr="006460FD">
        <w:rPr>
          <w:sz w:val="20"/>
          <w:lang w:val="en-GB"/>
        </w:rPr>
        <w:t xml:space="preserve">, 244; </w:t>
      </w:r>
      <w:r w:rsidRPr="006460FD">
        <w:rPr>
          <w:smallCaps/>
          <w:sz w:val="20"/>
          <w:lang w:val="en-GB"/>
        </w:rPr>
        <w:t xml:space="preserve">W. Dross, </w:t>
      </w:r>
      <w:r w:rsidRPr="006460FD">
        <w:rPr>
          <w:i/>
          <w:sz w:val="20"/>
          <w:lang w:val="en-GB"/>
        </w:rPr>
        <w:t xml:space="preserve">Les choses, </w:t>
      </w:r>
      <w:r w:rsidRPr="006460FD">
        <w:rPr>
          <w:sz w:val="20"/>
          <w:lang w:val="en-GB"/>
        </w:rPr>
        <w:t xml:space="preserve">Parijs, LGDJ Lextenso éditions 2012, 542-543; M.-L. </w:t>
      </w:r>
      <w:r w:rsidRPr="006460FD">
        <w:rPr>
          <w:smallCaps/>
          <w:sz w:val="20"/>
          <w:lang w:val="en-GB"/>
        </w:rPr>
        <w:t xml:space="preserve">Mathieu, </w:t>
      </w:r>
      <w:r w:rsidRPr="006460FD">
        <w:rPr>
          <w:i/>
          <w:sz w:val="20"/>
          <w:lang w:val="en-GB"/>
        </w:rPr>
        <w:t xml:space="preserve">Droit Civil. Les Biens, </w:t>
      </w:r>
      <w:r w:rsidRPr="006460FD">
        <w:rPr>
          <w:sz w:val="20"/>
          <w:lang w:val="en-GB"/>
        </w:rPr>
        <w:t>Parijs, Dalloz 2013, 341.</w:t>
      </w:r>
    </w:p>
  </w:footnote>
  <w:footnote w:id="20">
    <w:p w14:paraId="1EDDEB18" w14:textId="77A3DA36" w:rsidR="00C97F8C" w:rsidRPr="006460FD" w:rsidRDefault="00C97F8C" w:rsidP="000B0AA4">
      <w:pPr>
        <w:pStyle w:val="Voetnoottekst"/>
        <w:rPr>
          <w:lang w:val="en-GB"/>
        </w:rPr>
      </w:pPr>
      <w:r>
        <w:rPr>
          <w:rStyle w:val="Voetnootmarkering"/>
        </w:rPr>
        <w:footnoteRef/>
      </w:r>
      <w:r w:rsidRPr="006460FD">
        <w:rPr>
          <w:lang w:val="en-GB"/>
        </w:rPr>
        <w:t xml:space="preserve"> </w:t>
      </w:r>
      <w:proofErr w:type="spellStart"/>
      <w:r w:rsidRPr="006460FD">
        <w:rPr>
          <w:sz w:val="20"/>
          <w:lang w:val="en-GB"/>
        </w:rPr>
        <w:t>Artikel</w:t>
      </w:r>
      <w:proofErr w:type="spellEnd"/>
      <w:r w:rsidRPr="006460FD">
        <w:rPr>
          <w:sz w:val="20"/>
          <w:lang w:val="en-GB"/>
        </w:rPr>
        <w:t xml:space="preserve"> VIII.3:101 Draft Common Frame of Reference; </w:t>
      </w:r>
      <w:r w:rsidRPr="006460FD">
        <w:rPr>
          <w:smallCaps/>
          <w:sz w:val="20"/>
          <w:lang w:val="en-GB"/>
        </w:rPr>
        <w:t xml:space="preserve">L.P.W. Van </w:t>
      </w:r>
      <w:proofErr w:type="spellStart"/>
      <w:r w:rsidRPr="006460FD">
        <w:rPr>
          <w:smallCaps/>
          <w:sz w:val="20"/>
          <w:lang w:val="en-GB"/>
        </w:rPr>
        <w:t>Vliet</w:t>
      </w:r>
      <w:proofErr w:type="spellEnd"/>
      <w:r w:rsidRPr="006460FD">
        <w:rPr>
          <w:smallCaps/>
          <w:sz w:val="20"/>
          <w:lang w:val="en-GB"/>
        </w:rPr>
        <w:t>, “</w:t>
      </w:r>
      <w:r w:rsidRPr="006460FD">
        <w:rPr>
          <w:sz w:val="20"/>
          <w:lang w:val="en-GB"/>
        </w:rPr>
        <w:t>Book VII DCFR: Acquisition and loss of ownership”</w:t>
      </w:r>
      <w:r w:rsidRPr="006460FD">
        <w:rPr>
          <w:i/>
          <w:sz w:val="20"/>
          <w:lang w:val="en-GB"/>
        </w:rPr>
        <w:t xml:space="preserve">, NTBR </w:t>
      </w:r>
      <w:r w:rsidRPr="006460FD">
        <w:rPr>
          <w:sz w:val="20"/>
          <w:lang w:val="en-GB"/>
        </w:rPr>
        <w:t xml:space="preserve">2011, 6; </w:t>
      </w:r>
      <w:r w:rsidRPr="006460FD">
        <w:rPr>
          <w:smallCaps/>
          <w:sz w:val="20"/>
          <w:lang w:val="en-GB"/>
        </w:rPr>
        <w:t xml:space="preserve">A. </w:t>
      </w:r>
      <w:proofErr w:type="spellStart"/>
      <w:r w:rsidRPr="006460FD">
        <w:rPr>
          <w:smallCaps/>
          <w:sz w:val="20"/>
          <w:lang w:val="en-GB"/>
        </w:rPr>
        <w:t>Salomons</w:t>
      </w:r>
      <w:proofErr w:type="spellEnd"/>
      <w:r w:rsidRPr="006460FD">
        <w:rPr>
          <w:smallCaps/>
          <w:sz w:val="20"/>
          <w:lang w:val="en-GB"/>
        </w:rPr>
        <w:t xml:space="preserve">, </w:t>
      </w:r>
      <w:r w:rsidRPr="006460FD">
        <w:rPr>
          <w:sz w:val="20"/>
          <w:lang w:val="en-GB"/>
        </w:rPr>
        <w:t xml:space="preserve">“The purpose and Coherence of the Rules on Good Faith Acquisition and Acquisitive Prescription in the Draft Common Frame of Reference: A Tale of Two Gatekeepers”, </w:t>
      </w:r>
      <w:r w:rsidRPr="006460FD">
        <w:rPr>
          <w:i/>
          <w:sz w:val="20"/>
          <w:lang w:val="en-GB"/>
        </w:rPr>
        <w:t xml:space="preserve">ERPL </w:t>
      </w:r>
      <w:r w:rsidRPr="006460FD">
        <w:rPr>
          <w:sz w:val="20"/>
          <w:lang w:val="en-GB"/>
        </w:rPr>
        <w:t>2013, 846.</w:t>
      </w:r>
    </w:p>
  </w:footnote>
  <w:footnote w:id="21">
    <w:p w14:paraId="4FACC629" w14:textId="77777777" w:rsidR="00C97F8C" w:rsidRPr="00526C87" w:rsidRDefault="00C97F8C" w:rsidP="00B768BB">
      <w:pPr>
        <w:pStyle w:val="Voetnoottekst"/>
        <w:rPr>
          <w:lang w:val="nl-BE"/>
        </w:rPr>
      </w:pPr>
      <w:r>
        <w:rPr>
          <w:rStyle w:val="Voetnootmarkering"/>
        </w:rPr>
        <w:footnoteRef/>
      </w:r>
      <w:r>
        <w:t xml:space="preserve"> </w:t>
      </w:r>
      <w:r w:rsidRPr="00BE041A">
        <w:rPr>
          <w:smallCaps/>
          <w:sz w:val="20"/>
        </w:rPr>
        <w:t xml:space="preserve">P. Lecocq, </w:t>
      </w:r>
      <w:r w:rsidRPr="00BE041A">
        <w:rPr>
          <w:i/>
          <w:sz w:val="20"/>
        </w:rPr>
        <w:t xml:space="preserve">Manuel de droit des biens, </w:t>
      </w:r>
      <w:r>
        <w:rPr>
          <w:sz w:val="20"/>
        </w:rPr>
        <w:t>Brussel, Larcier, 2012, 160.</w:t>
      </w:r>
    </w:p>
  </w:footnote>
  <w:footnote w:id="22">
    <w:p w14:paraId="183F9AF3" w14:textId="6E0DEF2A" w:rsidR="00C97F8C" w:rsidRPr="00A8206D" w:rsidRDefault="00C97F8C" w:rsidP="00B768BB">
      <w:pPr>
        <w:pStyle w:val="Voetnoottekst"/>
        <w:rPr>
          <w:lang w:val="nl-BE"/>
        </w:rPr>
      </w:pPr>
      <w:r>
        <w:rPr>
          <w:rStyle w:val="Voetnootmarkering"/>
        </w:rPr>
        <w:footnoteRef/>
      </w:r>
      <w:r>
        <w:t xml:space="preserve"> </w:t>
      </w:r>
      <w:r>
        <w:rPr>
          <w:sz w:val="20"/>
          <w:lang w:val="nl-BE"/>
        </w:rPr>
        <w:t xml:space="preserve">Na inwerkingtreding van de nieuwe Pandwet wordt de mogelijkheid voor de retentor om beroep te doen op artikel 2279 Burgerlijk Wetboek wettelijk verankerd. De retentor kan zijn retentierecht tegenwerpen aan derden met een ouder zakelijk recht wanneer de schuldeiser bij ontvangst van het goed ervan uit mocht gaan dat de schuldenaar de bevoegdheid had om dit goed aan een retentierecht te onderwerpen. (Artikel 75 Pandwet; </w:t>
      </w:r>
      <w:r w:rsidRPr="00862B0F">
        <w:rPr>
          <w:smallCaps/>
          <w:sz w:val="20"/>
        </w:rPr>
        <w:t xml:space="preserve">. Sagaert, </w:t>
      </w:r>
      <w:r w:rsidRPr="00862B0F">
        <w:rPr>
          <w:i/>
          <w:sz w:val="20"/>
        </w:rPr>
        <w:t>Beginselen van Belgisch Privaatrecht – V – Goederenrecht</w:t>
      </w:r>
      <w:r w:rsidRPr="00862B0F">
        <w:rPr>
          <w:sz w:val="20"/>
        </w:rPr>
        <w:t>, Mechelen, Kluwer 2014, 67</w:t>
      </w:r>
      <w:r>
        <w:rPr>
          <w:sz w:val="20"/>
        </w:rPr>
        <w:t>6).</w:t>
      </w:r>
    </w:p>
  </w:footnote>
  <w:footnote w:id="23">
    <w:p w14:paraId="3652BC7F" w14:textId="09798EBC" w:rsidR="00C97F8C" w:rsidRPr="00BA3E43" w:rsidRDefault="00C97F8C" w:rsidP="00B768BB">
      <w:pPr>
        <w:pStyle w:val="Voetnoottekst"/>
        <w:rPr>
          <w:lang w:val="nl-BE"/>
        </w:rPr>
      </w:pPr>
      <w:r w:rsidRPr="00862B0F">
        <w:rPr>
          <w:rStyle w:val="Voetnootmarkering"/>
          <w:sz w:val="20"/>
        </w:rPr>
        <w:footnoteRef/>
      </w:r>
      <w:r w:rsidRPr="006460FD">
        <w:rPr>
          <w:sz w:val="20"/>
          <w:lang w:val="en-GB"/>
        </w:rPr>
        <w:t xml:space="preserve"> Cass. 21 maart 2003, </w:t>
      </w:r>
      <w:r w:rsidRPr="006460FD">
        <w:rPr>
          <w:i/>
          <w:sz w:val="20"/>
          <w:lang w:val="en-GB"/>
        </w:rPr>
        <w:t xml:space="preserve">Arr. Cass. </w:t>
      </w:r>
      <w:r w:rsidRPr="006460FD">
        <w:rPr>
          <w:sz w:val="20"/>
          <w:lang w:val="en-GB"/>
        </w:rPr>
        <w:t xml:space="preserve">2003, 712; Cass.12 februari 2004, </w:t>
      </w:r>
      <w:r w:rsidRPr="006460FD">
        <w:rPr>
          <w:i/>
          <w:sz w:val="20"/>
          <w:lang w:val="en-GB"/>
        </w:rPr>
        <w:t xml:space="preserve">Arr. </w:t>
      </w:r>
      <w:r>
        <w:rPr>
          <w:i/>
          <w:sz w:val="20"/>
        </w:rPr>
        <w:t xml:space="preserve">Cass. </w:t>
      </w:r>
      <w:r>
        <w:rPr>
          <w:sz w:val="20"/>
        </w:rPr>
        <w:t xml:space="preserve">2004, 256; Cass. 27 april 2006, </w:t>
      </w:r>
      <w:r>
        <w:rPr>
          <w:i/>
          <w:sz w:val="20"/>
        </w:rPr>
        <w:t xml:space="preserve">Arr. Cass. </w:t>
      </w:r>
      <w:r>
        <w:rPr>
          <w:sz w:val="20"/>
        </w:rPr>
        <w:t xml:space="preserve">2006, 986; Cass. 10 oktober 2007, </w:t>
      </w:r>
      <w:r>
        <w:rPr>
          <w:i/>
          <w:sz w:val="20"/>
        </w:rPr>
        <w:t xml:space="preserve">Arr. Cass. </w:t>
      </w:r>
      <w:r>
        <w:rPr>
          <w:sz w:val="20"/>
        </w:rPr>
        <w:t xml:space="preserve">2007, 1890; Brussel 30 april 2001, </w:t>
      </w:r>
      <w:r>
        <w:rPr>
          <w:i/>
          <w:sz w:val="20"/>
        </w:rPr>
        <w:t xml:space="preserve">RW 2002-03, </w:t>
      </w:r>
      <w:r>
        <w:rPr>
          <w:sz w:val="20"/>
        </w:rPr>
        <w:t xml:space="preserve">626; Antwerpen 25 juni 2004, </w:t>
      </w:r>
      <w:r>
        <w:rPr>
          <w:i/>
          <w:sz w:val="20"/>
        </w:rPr>
        <w:t xml:space="preserve">TBH </w:t>
      </w:r>
      <w:r>
        <w:rPr>
          <w:sz w:val="20"/>
        </w:rPr>
        <w:t xml:space="preserve">2005, 537; </w:t>
      </w:r>
      <w:r w:rsidRPr="00862B0F">
        <w:rPr>
          <w:smallCaps/>
          <w:sz w:val="20"/>
        </w:rPr>
        <w:t xml:space="preserve">R. Dekkers en E. Dirix, </w:t>
      </w:r>
      <w:r w:rsidRPr="00862B0F">
        <w:rPr>
          <w:i/>
          <w:sz w:val="20"/>
        </w:rPr>
        <w:t xml:space="preserve">Handboek Burgerlijk Recht – Deel II, </w:t>
      </w:r>
      <w:r w:rsidRPr="00862B0F">
        <w:rPr>
          <w:sz w:val="20"/>
        </w:rPr>
        <w:t>Antwerpe</w:t>
      </w:r>
      <w:r>
        <w:rPr>
          <w:sz w:val="20"/>
        </w:rPr>
        <w:t xml:space="preserve">n, Intersentia, 2005, 103;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w:t>
      </w:r>
      <w:r>
        <w:rPr>
          <w:sz w:val="20"/>
          <w:lang w:val="nl-BE"/>
        </w:rPr>
        <w:t xml:space="preserve">6; </w:t>
      </w:r>
      <w:r>
        <w:rPr>
          <w:smallCaps/>
          <w:sz w:val="20"/>
          <w:lang w:val="nl-BE"/>
        </w:rPr>
        <w:t xml:space="preserve">H. De Page, </w:t>
      </w:r>
      <w:r>
        <w:rPr>
          <w:i/>
          <w:sz w:val="20"/>
          <w:lang w:val="nl-BE"/>
        </w:rPr>
        <w:t xml:space="preserve">Traité élémentaire de droit civil belge -  Tome V, </w:t>
      </w:r>
      <w:r>
        <w:rPr>
          <w:sz w:val="20"/>
          <w:lang w:val="nl-BE"/>
        </w:rPr>
        <w:t xml:space="preserve">Brussel, Bruylant 1975, 938; </w:t>
      </w:r>
      <w:r w:rsidRPr="00D03752">
        <w:rPr>
          <w:smallCaps/>
          <w:sz w:val="20"/>
          <w:lang w:val="nl-BE"/>
        </w:rPr>
        <w:t>J. Van Kokelenberg, V. Sagaert, T Van Sinay en R. Jansen, “</w:t>
      </w:r>
      <w:r w:rsidRPr="00D03752">
        <w:rPr>
          <w:sz w:val="20"/>
          <w:lang w:val="nl-BE"/>
        </w:rPr>
        <w:t xml:space="preserve">Zakenrecht – overzicht van rechtspraak (2000-2008)”, </w:t>
      </w:r>
      <w:r w:rsidRPr="00D03752">
        <w:rPr>
          <w:i/>
          <w:sz w:val="20"/>
          <w:lang w:val="nl-BE"/>
        </w:rPr>
        <w:t xml:space="preserve">TPR </w:t>
      </w:r>
      <w:r w:rsidRPr="00D03752">
        <w:rPr>
          <w:sz w:val="20"/>
          <w:lang w:val="nl-BE"/>
        </w:rPr>
        <w:t xml:space="preserve"> 2009, 169</w:t>
      </w:r>
      <w:r>
        <w:rPr>
          <w:sz w:val="20"/>
          <w:lang w:val="nl-BE"/>
        </w:rPr>
        <w:t xml:space="preserve">0;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Pr>
          <w:sz w:val="20"/>
          <w:lang w:val="nl-BE"/>
        </w:rPr>
        <w:t xml:space="preserve">Larcier 2010, 126; </w:t>
      </w:r>
      <w:r>
        <w:rPr>
          <w:smallCaps/>
          <w:sz w:val="20"/>
        </w:rPr>
        <w:t xml:space="preserve">N. Bernard, </w:t>
      </w:r>
      <w:r>
        <w:rPr>
          <w:i/>
          <w:sz w:val="20"/>
        </w:rPr>
        <w:t xml:space="preserve">Precis de droit des biens, </w:t>
      </w:r>
      <w:r>
        <w:rPr>
          <w:sz w:val="20"/>
        </w:rPr>
        <w:t>Limal, Anthemis 2012, 159;</w:t>
      </w:r>
      <w:r>
        <w:rPr>
          <w:sz w:val="20"/>
          <w:lang w:val="nl-BE"/>
        </w:rPr>
        <w:t xml:space="preserve"> </w:t>
      </w:r>
      <w:r w:rsidRPr="00862B0F">
        <w:rPr>
          <w:smallCaps/>
          <w:sz w:val="20"/>
        </w:rPr>
        <w:t xml:space="preserve">J. Del Corral, </w:t>
      </w:r>
      <w:r w:rsidRPr="00862B0F">
        <w:rPr>
          <w:i/>
          <w:sz w:val="20"/>
        </w:rPr>
        <w:t>De leveringsplicht bij de overdracht van roerende lichamelijke goederen</w:t>
      </w:r>
      <w:r w:rsidRPr="00862B0F">
        <w:rPr>
          <w:sz w:val="20"/>
        </w:rPr>
        <w:t>,</w:t>
      </w:r>
      <w:r>
        <w:rPr>
          <w:sz w:val="20"/>
        </w:rPr>
        <w:t xml:space="preserve"> Antwerpen, Intersentia, 2013, 525;</w:t>
      </w:r>
      <w:r w:rsidRPr="0097646B">
        <w:rPr>
          <w:smallCaps/>
          <w:sz w:val="20"/>
        </w:rPr>
        <w:t xml:space="preserve"> </w:t>
      </w:r>
      <w:r w:rsidRPr="00862B0F">
        <w:rPr>
          <w:smallCaps/>
          <w:sz w:val="20"/>
        </w:rPr>
        <w:t xml:space="preserve">V. Sagaert, </w:t>
      </w:r>
      <w:r w:rsidRPr="00862B0F">
        <w:rPr>
          <w:i/>
          <w:sz w:val="20"/>
        </w:rPr>
        <w:t>Beginselen van Belgisch Privaatrecht – V – Goederenrecht</w:t>
      </w:r>
      <w:r>
        <w:rPr>
          <w:sz w:val="20"/>
        </w:rPr>
        <w:t>, Mechelen, Kluwer 2014, 677.</w:t>
      </w:r>
    </w:p>
  </w:footnote>
  <w:footnote w:id="24">
    <w:p w14:paraId="2C57F4DF" w14:textId="079A6192" w:rsidR="00C97F8C" w:rsidRPr="000D5CD2" w:rsidRDefault="00C97F8C" w:rsidP="00B768BB">
      <w:pPr>
        <w:pStyle w:val="Voetnoottekst"/>
        <w:rPr>
          <w:lang w:val="nl-BE"/>
        </w:rPr>
      </w:pPr>
      <w:r>
        <w:rPr>
          <w:rStyle w:val="Voetnootmarkering"/>
        </w:rPr>
        <w:footnoteRef/>
      </w:r>
      <w:r>
        <w:t xml:space="preserve"> </w:t>
      </w:r>
      <w:r w:rsidRPr="00E4743A">
        <w:rPr>
          <w:sz w:val="20"/>
          <w:u w:val="single"/>
        </w:rPr>
        <w:t>Frankrijk:</w:t>
      </w:r>
      <w:r w:rsidRPr="00E4743A">
        <w:rPr>
          <w:sz w:val="20"/>
        </w:rPr>
        <w:t xml:space="preserve"> </w:t>
      </w:r>
      <w:r w:rsidRPr="00E4743A">
        <w:rPr>
          <w:smallCaps/>
          <w:sz w:val="20"/>
        </w:rPr>
        <w:t>P. Esmein</w:t>
      </w:r>
      <w:r>
        <w:rPr>
          <w:smallCaps/>
          <w:sz w:val="20"/>
        </w:rPr>
        <w:t>,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154; </w:t>
      </w:r>
      <w:r>
        <w:rPr>
          <w:smallCaps/>
          <w:sz w:val="20"/>
        </w:rPr>
        <w:t xml:space="preserve">C. Larroumet, </w:t>
      </w:r>
      <w:r>
        <w:rPr>
          <w:i/>
          <w:sz w:val="20"/>
        </w:rPr>
        <w:t xml:space="preserve">Droit Civil -  Tome II – Les biens, droit réels principaux, </w:t>
      </w:r>
      <w:r>
        <w:rPr>
          <w:sz w:val="20"/>
        </w:rPr>
        <w:t xml:space="preserve">Parijs, Economica 1985, 524; </w:t>
      </w:r>
      <w:r>
        <w:rPr>
          <w:smallCaps/>
          <w:sz w:val="20"/>
        </w:rPr>
        <w:t xml:space="preserve">H. </w:t>
      </w:r>
      <w:r w:rsidRPr="00DB514B">
        <w:rPr>
          <w:sz w:val="20"/>
        </w:rPr>
        <w:t>en</w:t>
      </w:r>
      <w:r>
        <w:rPr>
          <w:smallCaps/>
          <w:sz w:val="20"/>
        </w:rPr>
        <w:t xml:space="preserve"> L. Mazeaud, </w:t>
      </w:r>
      <w:r w:rsidRPr="00862B0F">
        <w:rPr>
          <w:smallCaps/>
          <w:sz w:val="20"/>
        </w:rPr>
        <w:t xml:space="preserve">J. mazeaud en F. Chabas, </w:t>
      </w:r>
      <w:r w:rsidRPr="00862B0F">
        <w:rPr>
          <w:i/>
          <w:sz w:val="20"/>
        </w:rPr>
        <w:t xml:space="preserve">Biens, </w:t>
      </w:r>
      <w:r>
        <w:rPr>
          <w:sz w:val="20"/>
        </w:rPr>
        <w:t xml:space="preserve">Parijs, Montchrestien 1994, 276; </w:t>
      </w:r>
      <w:r>
        <w:rPr>
          <w:smallCaps/>
          <w:sz w:val="20"/>
        </w:rPr>
        <w:t xml:space="preserve">P. Jourdain, </w:t>
      </w:r>
      <w:r>
        <w:rPr>
          <w:sz w:val="20"/>
        </w:rPr>
        <w:t xml:space="preserve">“Les biens”, in </w:t>
      </w:r>
      <w:r>
        <w:rPr>
          <w:i/>
          <w:sz w:val="20"/>
        </w:rPr>
        <w:t xml:space="preserve">Marty en Raynaud, </w:t>
      </w:r>
      <w:r>
        <w:rPr>
          <w:sz w:val="20"/>
        </w:rPr>
        <w:t xml:space="preserve">Parijs, Dalloz 1995, 488; </w:t>
      </w:r>
      <w:r>
        <w:rPr>
          <w:smallCaps/>
          <w:sz w:val="20"/>
          <w:lang w:val="nl-BE"/>
        </w:rPr>
        <w:t xml:space="preserve">P. Simler, P. Delebecque, </w:t>
      </w:r>
      <w:r>
        <w:rPr>
          <w:i/>
          <w:sz w:val="20"/>
          <w:lang w:val="nl-BE"/>
        </w:rPr>
        <w:t xml:space="preserve">Les sûretés, la publicité foncière, </w:t>
      </w:r>
      <w:r>
        <w:rPr>
          <w:sz w:val="20"/>
          <w:lang w:val="nl-BE"/>
        </w:rPr>
        <w:t>Parijs, Dalloz 2009, 535;</w:t>
      </w:r>
      <w:r>
        <w:rPr>
          <w:sz w:val="20"/>
        </w:rPr>
        <w:t xml:space="preserve"> </w:t>
      </w:r>
      <w:r>
        <w:rPr>
          <w:smallCaps/>
          <w:sz w:val="20"/>
        </w:rPr>
        <w:t xml:space="preserve">F. Terré, P. Simler, </w:t>
      </w:r>
      <w:r>
        <w:rPr>
          <w:i/>
          <w:sz w:val="20"/>
        </w:rPr>
        <w:t xml:space="preserve">Droit Civil. Les Biens, </w:t>
      </w:r>
      <w:r>
        <w:rPr>
          <w:sz w:val="20"/>
        </w:rPr>
        <w:t xml:space="preserve">Parijs, Dalloz 2006, </w:t>
      </w:r>
      <w:r w:rsidRPr="0083684D">
        <w:rPr>
          <w:sz w:val="20"/>
        </w:rPr>
        <w:t>345</w:t>
      </w:r>
      <w:r>
        <w:rPr>
          <w:sz w:val="20"/>
        </w:rPr>
        <w:t xml:space="preserve">; </w:t>
      </w:r>
      <w:r>
        <w:rPr>
          <w:smallCaps/>
          <w:sz w:val="20"/>
          <w:lang w:val="nl-BE"/>
        </w:rPr>
        <w:t xml:space="preserve">M. Cabrillac, C. Mouly, S. Cabrillac, P. Pétel, </w:t>
      </w:r>
      <w:r>
        <w:rPr>
          <w:i/>
          <w:sz w:val="20"/>
          <w:lang w:val="nl-BE"/>
        </w:rPr>
        <w:t xml:space="preserve">Droit des sûretés, </w:t>
      </w:r>
      <w:r>
        <w:rPr>
          <w:sz w:val="20"/>
          <w:lang w:val="nl-BE"/>
        </w:rPr>
        <w:t>Parijs, Litec 2010, 556;</w:t>
      </w:r>
      <w:r>
        <w:rPr>
          <w:sz w:val="20"/>
        </w:rPr>
        <w:t xml:space="preserve"> </w:t>
      </w:r>
      <w:r>
        <w:rPr>
          <w:smallCaps/>
          <w:sz w:val="20"/>
          <w:lang w:val="nl-BE"/>
        </w:rPr>
        <w:t xml:space="preserve">P. Malaurie, L. Aynes, </w:t>
      </w:r>
      <w:r>
        <w:rPr>
          <w:i/>
          <w:sz w:val="20"/>
          <w:lang w:val="nl-BE"/>
        </w:rPr>
        <w:t xml:space="preserve">Les Biens, </w:t>
      </w:r>
      <w:r>
        <w:rPr>
          <w:sz w:val="20"/>
          <w:lang w:val="nl-BE"/>
        </w:rPr>
        <w:t xml:space="preserve">Parijs, Defrénois 2010, 179; </w:t>
      </w:r>
      <w:r>
        <w:rPr>
          <w:smallCaps/>
          <w:sz w:val="20"/>
        </w:rPr>
        <w:t xml:space="preserve">D. Legeais, </w:t>
      </w:r>
      <w:r>
        <w:rPr>
          <w:i/>
          <w:sz w:val="20"/>
        </w:rPr>
        <w:t xml:space="preserve">Sûretés et garanties du crédit, </w:t>
      </w:r>
      <w:r>
        <w:rPr>
          <w:sz w:val="20"/>
        </w:rPr>
        <w:t>Parijs, LGDJ Lextenso éditions 2011, 402;</w:t>
      </w:r>
      <w:r>
        <w:rPr>
          <w:sz w:val="20"/>
          <w:lang w:val="nl-BE"/>
        </w:rPr>
        <w:t xml:space="preserve"> </w:t>
      </w:r>
      <w:r>
        <w:rPr>
          <w:sz w:val="20"/>
        </w:rPr>
        <w:t xml:space="preserve">M.-L. </w:t>
      </w:r>
      <w:r>
        <w:rPr>
          <w:smallCaps/>
          <w:sz w:val="20"/>
        </w:rPr>
        <w:t xml:space="preserve">Mathieu, </w:t>
      </w:r>
      <w:r>
        <w:rPr>
          <w:i/>
          <w:sz w:val="20"/>
        </w:rPr>
        <w:t xml:space="preserve">Droit Civil. </w:t>
      </w:r>
      <w:r w:rsidRPr="006460FD">
        <w:rPr>
          <w:i/>
          <w:sz w:val="20"/>
          <w:lang w:val="en-GB"/>
        </w:rPr>
        <w:t xml:space="preserve">Les Biens, </w:t>
      </w:r>
      <w:r w:rsidRPr="006460FD">
        <w:rPr>
          <w:sz w:val="20"/>
          <w:lang w:val="en-GB"/>
        </w:rPr>
        <w:t>Parijs, Dalloz 2013, 338;</w:t>
      </w:r>
      <w:r w:rsidRPr="006460FD">
        <w:rPr>
          <w:lang w:val="en-GB"/>
        </w:rPr>
        <w:t xml:space="preserve"> </w:t>
      </w:r>
      <w:r w:rsidRPr="006460FD">
        <w:rPr>
          <w:smallCaps/>
          <w:sz w:val="20"/>
          <w:lang w:val="en-GB"/>
        </w:rPr>
        <w:t xml:space="preserve">M. Bourassin, V. brémond, M.-N. </w:t>
      </w:r>
      <w:proofErr w:type="spellStart"/>
      <w:r w:rsidRPr="006460FD">
        <w:rPr>
          <w:smallCaps/>
          <w:sz w:val="20"/>
          <w:lang w:val="en-GB"/>
        </w:rPr>
        <w:t>Jobard-Bachellier</w:t>
      </w:r>
      <w:proofErr w:type="spellEnd"/>
      <w:r w:rsidRPr="006460FD">
        <w:rPr>
          <w:smallCaps/>
          <w:sz w:val="20"/>
          <w:lang w:val="en-GB"/>
        </w:rPr>
        <w:t xml:space="preserve">, </w:t>
      </w:r>
      <w:r w:rsidRPr="006460FD">
        <w:rPr>
          <w:i/>
          <w:sz w:val="20"/>
          <w:lang w:val="en-GB"/>
        </w:rPr>
        <w:t xml:space="preserve">Droit des sûretés, </w:t>
      </w:r>
      <w:r w:rsidRPr="006460FD">
        <w:rPr>
          <w:sz w:val="20"/>
          <w:lang w:val="en-GB"/>
        </w:rPr>
        <w:t xml:space="preserve">Parijs, Dalloz 2014, 461; </w:t>
      </w:r>
      <w:r w:rsidRPr="006460FD">
        <w:rPr>
          <w:smallCaps/>
          <w:sz w:val="20"/>
          <w:lang w:val="en-GB"/>
        </w:rPr>
        <w:t xml:space="preserve">C. Atias, </w:t>
      </w:r>
      <w:r w:rsidRPr="006460FD">
        <w:rPr>
          <w:i/>
          <w:sz w:val="20"/>
          <w:lang w:val="en-GB"/>
        </w:rPr>
        <w:t xml:space="preserve">Manuel Droit Civil. </w:t>
      </w:r>
      <w:r>
        <w:rPr>
          <w:i/>
          <w:sz w:val="20"/>
        </w:rPr>
        <w:t>Les Biens,</w:t>
      </w:r>
      <w:r>
        <w:rPr>
          <w:sz w:val="20"/>
        </w:rPr>
        <w:t xml:space="preserve"> Parijs, Litec 2014, 251. </w:t>
      </w:r>
      <w:r>
        <w:rPr>
          <w:sz w:val="20"/>
          <w:u w:val="single"/>
        </w:rPr>
        <w:t>Nederland:</w:t>
      </w:r>
      <w:r>
        <w:rPr>
          <w:sz w:val="20"/>
        </w:rPr>
        <w:t xml:space="preserve"> </w:t>
      </w:r>
      <w:r>
        <w:rPr>
          <w:smallCaps/>
          <w:sz w:val="20"/>
        </w:rPr>
        <w:t xml:space="preserve">B.W.M. Nieskens-Isphording </w:t>
      </w:r>
      <w:r>
        <w:rPr>
          <w:sz w:val="20"/>
        </w:rPr>
        <w:t xml:space="preserve">en </w:t>
      </w:r>
      <w:r>
        <w:rPr>
          <w:smallCaps/>
          <w:sz w:val="20"/>
        </w:rPr>
        <w:t xml:space="preserve">A.E.M. van der Put-Lauwers, </w:t>
      </w:r>
      <w:r>
        <w:rPr>
          <w:i/>
          <w:sz w:val="20"/>
        </w:rPr>
        <w:t>Derdenbescherming,</w:t>
      </w:r>
      <w:r>
        <w:rPr>
          <w:sz w:val="20"/>
        </w:rPr>
        <w:t xml:space="preserve"> Deventer, Kluwer 2002, 41; </w:t>
      </w:r>
      <w:r w:rsidRPr="00862B0F">
        <w:rPr>
          <w:smallCaps/>
          <w:sz w:val="20"/>
        </w:rPr>
        <w:t xml:space="preserve">H.J. Snijders en E.B. Rank-Berenschoot, </w:t>
      </w:r>
      <w:r w:rsidRPr="00862B0F">
        <w:rPr>
          <w:i/>
          <w:sz w:val="20"/>
        </w:rPr>
        <w:t xml:space="preserve">Goederenrecht, </w:t>
      </w:r>
      <w:r>
        <w:rPr>
          <w:sz w:val="20"/>
        </w:rPr>
        <w:t xml:space="preserve">Deventer, Kluwer, 2012, 309, 452; </w:t>
      </w:r>
      <w:r>
        <w:rPr>
          <w:smallCaps/>
          <w:sz w:val="20"/>
        </w:rPr>
        <w:t>A. Steneker,</w:t>
      </w:r>
      <w:r>
        <w:rPr>
          <w:sz w:val="20"/>
        </w:rPr>
        <w:t xml:space="preserve"> </w:t>
      </w:r>
      <w:r>
        <w:rPr>
          <w:i/>
          <w:sz w:val="20"/>
        </w:rPr>
        <w:t xml:space="preserve">Pandrecht, </w:t>
      </w:r>
      <w:r>
        <w:rPr>
          <w:sz w:val="20"/>
        </w:rPr>
        <w:t xml:space="preserve">Deventer, Kluwer 2012, 95; </w:t>
      </w:r>
      <w:r w:rsidRPr="00862B0F">
        <w:rPr>
          <w:smallCaps/>
          <w:sz w:val="20"/>
        </w:rPr>
        <w:t xml:space="preserve">C. Asser, </w:t>
      </w:r>
      <w:r w:rsidRPr="00862B0F">
        <w:rPr>
          <w:i/>
          <w:sz w:val="20"/>
        </w:rPr>
        <w:t xml:space="preserve">Algemeen goederenrecht, </w:t>
      </w:r>
      <w:r w:rsidRPr="00862B0F">
        <w:rPr>
          <w:sz w:val="20"/>
        </w:rPr>
        <w:t>3</w:t>
      </w:r>
      <w:r>
        <w:rPr>
          <w:sz w:val="20"/>
        </w:rPr>
        <w:t>-IV, Deventer, Kluwer 2013, 397.</w:t>
      </w:r>
    </w:p>
  </w:footnote>
  <w:footnote w:id="25">
    <w:p w14:paraId="6D8AC163" w14:textId="6C7B0418" w:rsidR="00C97F8C" w:rsidRPr="004A1872" w:rsidRDefault="00C97F8C" w:rsidP="00B768BB">
      <w:pPr>
        <w:pStyle w:val="Voetnoottekst"/>
        <w:rPr>
          <w:lang w:val="nl-BE"/>
        </w:rPr>
      </w:pPr>
      <w:r>
        <w:rPr>
          <w:rStyle w:val="Voetnootmarkering"/>
        </w:rPr>
        <w:footnoteRef/>
      </w:r>
      <w:r>
        <w:t xml:space="preserve"> </w:t>
      </w:r>
      <w:r>
        <w:rPr>
          <w:smallCaps/>
          <w:sz w:val="20"/>
        </w:rPr>
        <w:t xml:space="preserve">A. Kluyskens, </w:t>
      </w:r>
      <w:r>
        <w:rPr>
          <w:i/>
          <w:sz w:val="20"/>
        </w:rPr>
        <w:t xml:space="preserve">Beginselen van Burgerlijk Recht – Zakenrecht, </w:t>
      </w:r>
      <w:r>
        <w:rPr>
          <w:sz w:val="20"/>
        </w:rPr>
        <w:t xml:space="preserve">Standaard, Gent 1940, 71; </w:t>
      </w:r>
      <w:r>
        <w:rPr>
          <w:smallCaps/>
          <w:sz w:val="20"/>
        </w:rPr>
        <w:t xml:space="preserve">R. Derine, F. Van Neste, H. Vandenberghe, </w:t>
      </w:r>
      <w:r>
        <w:rPr>
          <w:i/>
          <w:sz w:val="20"/>
        </w:rPr>
        <w:t xml:space="preserve">Zakenrecht – Deel 1.B, </w:t>
      </w:r>
      <w:r>
        <w:rPr>
          <w:sz w:val="20"/>
        </w:rPr>
        <w:t xml:space="preserve">Antwerpen, Standaard 1974, 915;  </w:t>
      </w:r>
      <w:r>
        <w:rPr>
          <w:smallCaps/>
          <w:sz w:val="20"/>
        </w:rPr>
        <w:t xml:space="preserve">A.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 xml:space="preserve">Gent 1983, 177; </w:t>
      </w:r>
      <w:r>
        <w:rPr>
          <w:smallCaps/>
          <w:sz w:val="20"/>
        </w:rPr>
        <w:t xml:space="preserve">M.E. Storme, </w:t>
      </w:r>
      <w:r>
        <w:rPr>
          <w:sz w:val="20"/>
        </w:rPr>
        <w:t xml:space="preserve">“Overdracht van roerende goederen, vestiging van pandrecht, eigendomsvoorbehoud: een poging tot systematisatie” in </w:t>
      </w:r>
      <w:r>
        <w:rPr>
          <w:i/>
          <w:sz w:val="20"/>
        </w:rPr>
        <w:t xml:space="preserve">Zakenrecht; absoluut niet een rustig bezit, </w:t>
      </w:r>
      <w:r>
        <w:rPr>
          <w:sz w:val="20"/>
        </w:rPr>
        <w:t xml:space="preserve">1992, 482; </w:t>
      </w:r>
      <w:r>
        <w:rPr>
          <w:smallCaps/>
          <w:sz w:val="20"/>
        </w:rPr>
        <w:t xml:space="preserve">J. Baeck, </w:t>
      </w:r>
      <w:r>
        <w:rPr>
          <w:sz w:val="20"/>
        </w:rPr>
        <w:t xml:space="preserve">“Ontbinding en derden: niet storen a.u.b.”, </w:t>
      </w:r>
      <w:r>
        <w:rPr>
          <w:i/>
          <w:sz w:val="20"/>
        </w:rPr>
        <w:t xml:space="preserve">TPR </w:t>
      </w:r>
      <w:r>
        <w:rPr>
          <w:sz w:val="20"/>
        </w:rPr>
        <w:t xml:space="preserve">2009, 700; </w:t>
      </w:r>
      <w:r w:rsidRPr="00D03752">
        <w:rPr>
          <w:smallCaps/>
          <w:sz w:val="20"/>
          <w:lang w:val="nl-BE"/>
        </w:rPr>
        <w:t>J. Van Kokelenberg, V. Sagaert, T Van Sinay en R. Jansen, “</w:t>
      </w:r>
      <w:r w:rsidRPr="00D03752">
        <w:rPr>
          <w:sz w:val="20"/>
          <w:lang w:val="nl-BE"/>
        </w:rPr>
        <w:t xml:space="preserve">Zakenrecht – overzicht van rechtspraak (2000-2008)”, </w:t>
      </w:r>
      <w:r w:rsidRPr="00D03752">
        <w:rPr>
          <w:i/>
          <w:sz w:val="20"/>
          <w:lang w:val="nl-BE"/>
        </w:rPr>
        <w:t xml:space="preserve">TPR </w:t>
      </w:r>
      <w:r w:rsidRPr="00D03752">
        <w:rPr>
          <w:sz w:val="20"/>
          <w:lang w:val="nl-BE"/>
        </w:rPr>
        <w:t xml:space="preserve"> 2009, 1692</w:t>
      </w:r>
      <w:r>
        <w:rPr>
          <w:sz w:val="20"/>
          <w:lang w:val="nl-BE"/>
        </w:rPr>
        <w:t xml:space="preserve">;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125</w:t>
      </w:r>
      <w:r>
        <w:rPr>
          <w:sz w:val="20"/>
          <w:lang w:val="nl-BE"/>
        </w:rPr>
        <w:t xml:space="preserve">;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46</w:t>
      </w:r>
      <w:r>
        <w:rPr>
          <w:sz w:val="20"/>
          <w:lang w:val="nl-BE"/>
        </w:rPr>
        <w:t xml:space="preserve">. </w:t>
      </w:r>
      <w:r>
        <w:rPr>
          <w:sz w:val="20"/>
          <w:u w:val="single"/>
        </w:rPr>
        <w:t>Frankrijk</w:t>
      </w:r>
      <w:r>
        <w:rPr>
          <w:sz w:val="20"/>
        </w:rPr>
        <w:t xml:space="preserve">: J.L. </w:t>
      </w:r>
      <w:r>
        <w:rPr>
          <w:smallCaps/>
          <w:sz w:val="20"/>
        </w:rPr>
        <w:t xml:space="preserve">Bergel, M. Bruschi, S. Cimamonti, </w:t>
      </w:r>
      <w:r>
        <w:rPr>
          <w:i/>
          <w:sz w:val="20"/>
        </w:rPr>
        <w:t xml:space="preserve">Traité de droit civil. Les Biens, </w:t>
      </w:r>
      <w:r>
        <w:rPr>
          <w:sz w:val="20"/>
        </w:rPr>
        <w:t xml:space="preserve">Parijs, Librairie Générale de Droit et de Jurisprudence 2000, 237; </w:t>
      </w:r>
      <w:r>
        <w:rPr>
          <w:smallCaps/>
          <w:sz w:val="20"/>
        </w:rPr>
        <w:t xml:space="preserve">F. Terré, P. Simler, </w:t>
      </w:r>
      <w:r>
        <w:rPr>
          <w:i/>
          <w:sz w:val="20"/>
        </w:rPr>
        <w:t xml:space="preserve">Droit Civil. Les Biens, </w:t>
      </w:r>
      <w:r>
        <w:rPr>
          <w:sz w:val="20"/>
        </w:rPr>
        <w:t xml:space="preserve">Parijs, Dalloz 2006, </w:t>
      </w:r>
      <w:r w:rsidRPr="000334CD">
        <w:rPr>
          <w:sz w:val="20"/>
        </w:rPr>
        <w:t>363</w:t>
      </w:r>
      <w:r>
        <w:rPr>
          <w:sz w:val="20"/>
        </w:rPr>
        <w:t xml:space="preserve">; </w:t>
      </w:r>
      <w:r>
        <w:rPr>
          <w:smallCaps/>
          <w:sz w:val="20"/>
        </w:rPr>
        <w:t xml:space="preserve">W. Dross, </w:t>
      </w:r>
      <w:r>
        <w:rPr>
          <w:i/>
          <w:sz w:val="20"/>
        </w:rPr>
        <w:t xml:space="preserve">Droit des Biens, </w:t>
      </w:r>
      <w:r>
        <w:rPr>
          <w:sz w:val="20"/>
        </w:rPr>
        <w:t xml:space="preserve">Parijs, Montchrestien 2012, 242; M.-L. </w:t>
      </w:r>
      <w:r>
        <w:rPr>
          <w:smallCaps/>
          <w:sz w:val="20"/>
        </w:rPr>
        <w:t xml:space="preserve">Mathieu, </w:t>
      </w:r>
      <w:r>
        <w:rPr>
          <w:i/>
          <w:sz w:val="20"/>
        </w:rPr>
        <w:t xml:space="preserve">Droit Civil. Les Biens, </w:t>
      </w:r>
      <w:r>
        <w:rPr>
          <w:sz w:val="20"/>
        </w:rPr>
        <w:t>Parijs, Dalloz 2013, 338.</w:t>
      </w:r>
    </w:p>
  </w:footnote>
  <w:footnote w:id="26">
    <w:p w14:paraId="6CFABC6D" w14:textId="054806AF"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sidRPr="00862B0F">
        <w:rPr>
          <w:smallCaps/>
          <w:sz w:val="20"/>
        </w:rPr>
        <w:t xml:space="preserve">C. Asser, </w:t>
      </w:r>
      <w:r w:rsidRPr="00862B0F">
        <w:rPr>
          <w:i/>
          <w:sz w:val="20"/>
        </w:rPr>
        <w:t xml:space="preserve">Algemeen goederenrecht, </w:t>
      </w:r>
      <w:r w:rsidRPr="00862B0F">
        <w:rPr>
          <w:sz w:val="20"/>
        </w:rPr>
        <w:t>3</w:t>
      </w:r>
      <w:r>
        <w:rPr>
          <w:sz w:val="20"/>
        </w:rPr>
        <w:t xml:space="preserve">-IV, Deventer, Kluwer 2013, 398; </w:t>
      </w:r>
      <w:r w:rsidRPr="00862B0F">
        <w:rPr>
          <w:smallCaps/>
          <w:sz w:val="20"/>
        </w:rPr>
        <w:t xml:space="preserve">W.H.M. Reehuis en A.H.T. Heisterkamp, </w:t>
      </w:r>
      <w:r>
        <w:rPr>
          <w:i/>
          <w:sz w:val="20"/>
        </w:rPr>
        <w:t xml:space="preserve">Goederenrecht, </w:t>
      </w:r>
      <w:r w:rsidRPr="002D5D53">
        <w:rPr>
          <w:sz w:val="20"/>
        </w:rPr>
        <w:t>Deventer</w:t>
      </w:r>
      <w:r>
        <w:rPr>
          <w:i/>
          <w:sz w:val="20"/>
        </w:rPr>
        <w:t xml:space="preserve">, </w:t>
      </w:r>
      <w:r>
        <w:rPr>
          <w:sz w:val="20"/>
        </w:rPr>
        <w:t>Kluwer 2006</w:t>
      </w:r>
      <w:r>
        <w:rPr>
          <w:i/>
          <w:sz w:val="20"/>
        </w:rPr>
        <w:t xml:space="preserve">, </w:t>
      </w:r>
      <w:r>
        <w:rPr>
          <w:sz w:val="20"/>
        </w:rPr>
        <w:t>133, 213.</w:t>
      </w:r>
    </w:p>
  </w:footnote>
  <w:footnote w:id="27">
    <w:p w14:paraId="0C33AFF8"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sidRPr="00862B0F">
        <w:rPr>
          <w:smallCaps/>
          <w:sz w:val="20"/>
        </w:rPr>
        <w:t xml:space="preserve">C. Asser, </w:t>
      </w:r>
      <w:r w:rsidRPr="00862B0F">
        <w:rPr>
          <w:i/>
          <w:sz w:val="20"/>
        </w:rPr>
        <w:t xml:space="preserve">Algemeen goederenrecht, </w:t>
      </w:r>
      <w:r w:rsidRPr="00862B0F">
        <w:rPr>
          <w:sz w:val="20"/>
        </w:rPr>
        <w:t>3-IV, Deventer, Kluwer 2013, 398.</w:t>
      </w:r>
    </w:p>
  </w:footnote>
  <w:footnote w:id="28">
    <w:p w14:paraId="13A3DDBD" w14:textId="77777777" w:rsidR="00C97F8C" w:rsidRPr="006460FD" w:rsidRDefault="00C97F8C" w:rsidP="00B768BB">
      <w:pPr>
        <w:pStyle w:val="Voetnoottekst"/>
        <w:rPr>
          <w:sz w:val="20"/>
          <w:lang w:val="en-GB"/>
        </w:rPr>
      </w:pPr>
      <w:r w:rsidRPr="00862B0F">
        <w:rPr>
          <w:rStyle w:val="Voetnootmarkering"/>
          <w:sz w:val="20"/>
        </w:rPr>
        <w:footnoteRef/>
      </w:r>
      <w:r w:rsidRPr="006460FD">
        <w:rPr>
          <w:sz w:val="20"/>
          <w:lang w:val="en-GB"/>
        </w:rPr>
        <w:t xml:space="preserve"> </w:t>
      </w:r>
      <w:proofErr w:type="spellStart"/>
      <w:r w:rsidRPr="006460FD">
        <w:rPr>
          <w:sz w:val="20"/>
          <w:lang w:val="en-GB"/>
        </w:rPr>
        <w:t>Artikel</w:t>
      </w:r>
      <w:proofErr w:type="spellEnd"/>
      <w:r w:rsidRPr="006460FD">
        <w:rPr>
          <w:sz w:val="20"/>
          <w:lang w:val="en-GB"/>
        </w:rPr>
        <w:t xml:space="preserve"> VII- 3:101 Draft Common Frame of Reference; </w:t>
      </w:r>
      <w:r w:rsidRPr="006460FD">
        <w:rPr>
          <w:smallCaps/>
          <w:sz w:val="20"/>
          <w:lang w:val="en-GB"/>
        </w:rPr>
        <w:t xml:space="preserve">C. Von Bar en E. Clive, </w:t>
      </w:r>
      <w:r w:rsidRPr="006460FD">
        <w:rPr>
          <w:i/>
          <w:sz w:val="20"/>
          <w:lang w:val="en-GB"/>
        </w:rPr>
        <w:t xml:space="preserve">Principles, Definitions and Model Rules of European Private law: Draft Common Frame of Reference (DCFR), </w:t>
      </w:r>
      <w:r w:rsidRPr="006460FD">
        <w:rPr>
          <w:sz w:val="20"/>
          <w:lang w:val="en-GB"/>
        </w:rPr>
        <w:t xml:space="preserve">2009, 4827-4328; </w:t>
      </w:r>
      <w:r w:rsidRPr="006460FD">
        <w:rPr>
          <w:smallCaps/>
          <w:sz w:val="20"/>
          <w:lang w:val="en-GB"/>
        </w:rPr>
        <w:t xml:space="preserve">L.P.W. Van </w:t>
      </w:r>
      <w:proofErr w:type="spellStart"/>
      <w:r w:rsidRPr="006460FD">
        <w:rPr>
          <w:smallCaps/>
          <w:sz w:val="20"/>
          <w:lang w:val="en-GB"/>
        </w:rPr>
        <w:t>Vliet</w:t>
      </w:r>
      <w:proofErr w:type="spellEnd"/>
      <w:r w:rsidRPr="006460FD">
        <w:rPr>
          <w:smallCaps/>
          <w:sz w:val="20"/>
          <w:lang w:val="en-GB"/>
        </w:rPr>
        <w:t>, “</w:t>
      </w:r>
      <w:r w:rsidRPr="006460FD">
        <w:rPr>
          <w:sz w:val="20"/>
          <w:lang w:val="en-GB"/>
        </w:rPr>
        <w:t>Book VII DCFR: Acquisition and loss of ownership”</w:t>
      </w:r>
      <w:r w:rsidRPr="006460FD">
        <w:rPr>
          <w:i/>
          <w:sz w:val="20"/>
          <w:lang w:val="en-GB"/>
        </w:rPr>
        <w:t xml:space="preserve">, NTBR </w:t>
      </w:r>
      <w:r w:rsidRPr="006460FD">
        <w:rPr>
          <w:sz w:val="20"/>
          <w:lang w:val="en-GB"/>
        </w:rPr>
        <w:t>2011, 6.</w:t>
      </w:r>
    </w:p>
  </w:footnote>
  <w:footnote w:id="29">
    <w:p w14:paraId="107E6A7D" w14:textId="31E373B4" w:rsidR="00C97F8C" w:rsidRPr="004E082E" w:rsidRDefault="00C97F8C" w:rsidP="00B768BB">
      <w:pPr>
        <w:pStyle w:val="Voetnoottekst"/>
        <w:rPr>
          <w:sz w:val="20"/>
        </w:rPr>
      </w:pPr>
      <w:r w:rsidRPr="00862B0F">
        <w:rPr>
          <w:rStyle w:val="Voetnootmarkering"/>
          <w:sz w:val="20"/>
        </w:rPr>
        <w:footnoteRef/>
      </w:r>
      <w:r w:rsidRPr="006460FD">
        <w:rPr>
          <w:sz w:val="20"/>
          <w:lang w:val="en-GB"/>
        </w:rPr>
        <w:t xml:space="preserve"> Cass. 20 december 1974, </w:t>
      </w:r>
      <w:r w:rsidRPr="006460FD">
        <w:rPr>
          <w:i/>
          <w:sz w:val="20"/>
          <w:lang w:val="en-GB"/>
        </w:rPr>
        <w:t xml:space="preserve">RW </w:t>
      </w:r>
      <w:r w:rsidRPr="006460FD">
        <w:rPr>
          <w:sz w:val="20"/>
          <w:lang w:val="en-GB"/>
        </w:rPr>
        <w:t xml:space="preserve">1974-75, 1835; </w:t>
      </w:r>
      <w:r w:rsidRPr="006460FD">
        <w:rPr>
          <w:smallCaps/>
          <w:sz w:val="20"/>
          <w:lang w:val="en-GB"/>
        </w:rPr>
        <w:t xml:space="preserve">F. Laurent, </w:t>
      </w:r>
      <w:proofErr w:type="spellStart"/>
      <w:r w:rsidRPr="006460FD">
        <w:rPr>
          <w:i/>
          <w:sz w:val="20"/>
          <w:lang w:val="en-GB"/>
        </w:rPr>
        <w:t>Principes</w:t>
      </w:r>
      <w:proofErr w:type="spellEnd"/>
      <w:r w:rsidRPr="006460FD">
        <w:rPr>
          <w:i/>
          <w:sz w:val="20"/>
          <w:lang w:val="en-GB"/>
        </w:rPr>
        <w:t xml:space="preserve"> de droit civil. </w:t>
      </w:r>
      <w:r>
        <w:rPr>
          <w:i/>
          <w:sz w:val="20"/>
        </w:rPr>
        <w:t xml:space="preserve">Tome </w:t>
      </w:r>
      <w:r w:rsidRPr="0083684D">
        <w:rPr>
          <w:i/>
          <w:sz w:val="20"/>
        </w:rPr>
        <w:t>XXXII</w:t>
      </w:r>
      <w:r>
        <w:rPr>
          <w:i/>
          <w:sz w:val="20"/>
        </w:rPr>
        <w:t>,</w:t>
      </w:r>
      <w:r>
        <w:rPr>
          <w:sz w:val="20"/>
        </w:rPr>
        <w:t xml:space="preserve"> Bruylant, Brussel 1878, 574;</w:t>
      </w:r>
      <w:r w:rsidRPr="00862B0F">
        <w:rPr>
          <w:sz w:val="20"/>
        </w:rPr>
        <w:t xml:space="preserve"> </w:t>
      </w:r>
      <w:r>
        <w:rPr>
          <w:smallCaps/>
          <w:sz w:val="20"/>
          <w:lang w:val="nl-BE"/>
        </w:rPr>
        <w:t xml:space="preserve">H. De Page, </w:t>
      </w:r>
      <w:r>
        <w:rPr>
          <w:i/>
          <w:sz w:val="20"/>
          <w:lang w:val="nl-BE"/>
        </w:rPr>
        <w:t xml:space="preserve">Traité élémentaire de droit civil belge -  Tome V, </w:t>
      </w:r>
      <w:r>
        <w:rPr>
          <w:sz w:val="20"/>
          <w:lang w:val="nl-BE"/>
        </w:rPr>
        <w:t>Brussel, Bruylant 1975, 922</w:t>
      </w:r>
      <w:proofErr w:type="gramStart"/>
      <w:r>
        <w:rPr>
          <w:sz w:val="20"/>
          <w:lang w:val="nl-BE"/>
        </w:rPr>
        <w:t xml:space="preserve">; </w:t>
      </w:r>
      <w:r>
        <w:rPr>
          <w:smallCaps/>
          <w:sz w:val="20"/>
        </w:rPr>
        <w:t>.</w:t>
      </w:r>
      <w:proofErr w:type="gramEnd"/>
      <w:r>
        <w:rPr>
          <w:smallCaps/>
          <w:sz w:val="20"/>
        </w:rPr>
        <w:t xml:space="preserve"> Del Corral, </w:t>
      </w:r>
      <w:r>
        <w:rPr>
          <w:sz w:val="20"/>
        </w:rPr>
        <w:t xml:space="preserve">“Bezit geldt als titel van eigendom”, </w:t>
      </w:r>
      <w:r>
        <w:rPr>
          <w:i/>
          <w:sz w:val="20"/>
        </w:rPr>
        <w:t xml:space="preserve">Not. Fisc. M. </w:t>
      </w:r>
      <w:r>
        <w:rPr>
          <w:sz w:val="20"/>
        </w:rPr>
        <w:t xml:space="preserve">2008, 318;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Pr>
          <w:sz w:val="20"/>
          <w:lang w:val="nl-BE"/>
        </w:rPr>
        <w:t xml:space="preserve">Larcier 2010, 130; </w:t>
      </w:r>
      <w:r w:rsidRPr="00862B0F">
        <w:rPr>
          <w:smallCaps/>
          <w:sz w:val="20"/>
        </w:rPr>
        <w:t xml:space="preserve">V. Sagaert, </w:t>
      </w:r>
      <w:r w:rsidRPr="00862B0F">
        <w:rPr>
          <w:i/>
          <w:sz w:val="20"/>
        </w:rPr>
        <w:t>Beginselen van Belgisch Privaatrecht – V – Goederenrecht</w:t>
      </w:r>
      <w:r w:rsidRPr="00862B0F">
        <w:rPr>
          <w:sz w:val="20"/>
        </w:rPr>
        <w:t>, Mechelen, Kluwer 2014, 679.</w:t>
      </w:r>
      <w:r>
        <w:rPr>
          <w:sz w:val="20"/>
        </w:rPr>
        <w:t xml:space="preserve"> </w:t>
      </w:r>
      <w:r w:rsidRPr="00541644">
        <w:rPr>
          <w:sz w:val="20"/>
          <w:u w:val="single"/>
        </w:rPr>
        <w:t>Frankrijk</w:t>
      </w:r>
      <w:r>
        <w:rPr>
          <w:sz w:val="20"/>
        </w:rPr>
        <w:t xml:space="preserve">: </w:t>
      </w:r>
      <w:r>
        <w:rPr>
          <w:smallCaps/>
          <w:sz w:val="20"/>
        </w:rPr>
        <w:t xml:space="preserve">H. </w:t>
      </w:r>
      <w:r w:rsidRPr="00872188">
        <w:rPr>
          <w:sz w:val="20"/>
        </w:rPr>
        <w:t>en</w:t>
      </w:r>
      <w:r>
        <w:rPr>
          <w:smallCaps/>
          <w:sz w:val="20"/>
        </w:rPr>
        <w:t xml:space="preserve"> L. Mazeaud, </w:t>
      </w:r>
      <w:r w:rsidRPr="00862B0F">
        <w:rPr>
          <w:smallCaps/>
          <w:sz w:val="20"/>
        </w:rPr>
        <w:t xml:space="preserve">J. mazeaud en F. Chabas, </w:t>
      </w:r>
      <w:r w:rsidRPr="00862B0F">
        <w:rPr>
          <w:i/>
          <w:sz w:val="20"/>
        </w:rPr>
        <w:t xml:space="preserve">Biens, </w:t>
      </w:r>
      <w:r>
        <w:rPr>
          <w:sz w:val="20"/>
        </w:rPr>
        <w:t xml:space="preserve">Parijs, Montchrestien 1994, 280. </w:t>
      </w:r>
      <w:r w:rsidRPr="004E082E">
        <w:rPr>
          <w:sz w:val="20"/>
          <w:u w:val="single"/>
        </w:rPr>
        <w:t>Contra:</w:t>
      </w:r>
      <w:r w:rsidRPr="004E082E">
        <w:rPr>
          <w:sz w:val="20"/>
        </w:rPr>
        <w:t xml:space="preserve"> Sommige auteurs stellen echter, tegen de heersende leer in dat wel een wettige titel vereist is, aangezien in hun visie de eigendomsverkrijgende functie een bijzondere toepassing is van de verkrijgen</w:t>
      </w:r>
      <w:r>
        <w:rPr>
          <w:sz w:val="20"/>
        </w:rPr>
        <w:t>de verjar</w:t>
      </w:r>
      <w:r w:rsidRPr="004E082E">
        <w:rPr>
          <w:sz w:val="20"/>
        </w:rPr>
        <w:t>ing. (</w:t>
      </w:r>
      <w:r>
        <w:rPr>
          <w:smallCaps/>
          <w:sz w:val="20"/>
          <w:lang w:val="nl-BE"/>
        </w:rPr>
        <w:t xml:space="preserve">H. De Page, </w:t>
      </w:r>
      <w:r>
        <w:rPr>
          <w:i/>
          <w:sz w:val="20"/>
          <w:lang w:val="nl-BE"/>
        </w:rPr>
        <w:t xml:space="preserve">Traité élémentaire de droit civil belge -  Tome V, </w:t>
      </w:r>
      <w:r>
        <w:rPr>
          <w:sz w:val="20"/>
          <w:lang w:val="nl-BE"/>
        </w:rPr>
        <w:t xml:space="preserve">Brussel, Bruylant 1975, 932; </w:t>
      </w:r>
      <w:r w:rsidRPr="004E082E">
        <w:rPr>
          <w:smallCaps/>
          <w:sz w:val="20"/>
        </w:rPr>
        <w:t xml:space="preserve">R. Dekkers en E. Dirix, </w:t>
      </w:r>
      <w:r w:rsidRPr="004E082E">
        <w:rPr>
          <w:i/>
          <w:sz w:val="20"/>
        </w:rPr>
        <w:t xml:space="preserve">Handboek Burgerlijk Recht – Deel II, </w:t>
      </w:r>
      <w:r w:rsidRPr="004E082E">
        <w:rPr>
          <w:sz w:val="20"/>
        </w:rPr>
        <w:t>Antwerpen, Intersentia, 2005,</w:t>
      </w:r>
      <w:r>
        <w:rPr>
          <w:sz w:val="20"/>
        </w:rPr>
        <w:t xml:space="preserve"> 96</w:t>
      </w:r>
      <w:r w:rsidRPr="004E082E">
        <w:rPr>
          <w:sz w:val="20"/>
        </w:rPr>
        <w:t xml:space="preserve">; </w:t>
      </w:r>
      <w:r>
        <w:rPr>
          <w:smallCaps/>
          <w:sz w:val="20"/>
        </w:rPr>
        <w:t>R.</w:t>
      </w:r>
      <w:r w:rsidRPr="004E082E">
        <w:rPr>
          <w:smallCaps/>
          <w:sz w:val="20"/>
        </w:rPr>
        <w:t xml:space="preserve"> Jansen, </w:t>
      </w:r>
      <w:r w:rsidRPr="004E082E">
        <w:rPr>
          <w:sz w:val="20"/>
        </w:rPr>
        <w:t>“Soms geldt bezit als vermoeden van titel,</w:t>
      </w:r>
      <w:r>
        <w:rPr>
          <w:sz w:val="20"/>
        </w:rPr>
        <w:t xml:space="preserve"> soms</w:t>
      </w:r>
      <w:r w:rsidRPr="004E082E">
        <w:rPr>
          <w:sz w:val="20"/>
        </w:rPr>
        <w:t xml:space="preserve"> als termijn”, </w:t>
      </w:r>
      <w:r w:rsidRPr="004E082E">
        <w:rPr>
          <w:i/>
          <w:sz w:val="20"/>
        </w:rPr>
        <w:t xml:space="preserve">RW </w:t>
      </w:r>
      <w:r w:rsidRPr="004E082E">
        <w:rPr>
          <w:sz w:val="20"/>
        </w:rPr>
        <w:t>2008-09, 827 (noot onder Cass. 24 september 2009</w:t>
      </w:r>
      <w:r>
        <w:rPr>
          <w:sz w:val="20"/>
        </w:rPr>
        <w:t>, 827</w:t>
      </w:r>
      <w:r w:rsidRPr="004E082E">
        <w:rPr>
          <w:sz w:val="20"/>
        </w:rPr>
        <w:t>)).</w:t>
      </w:r>
    </w:p>
  </w:footnote>
  <w:footnote w:id="30">
    <w:p w14:paraId="5CC7F42E"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sidRPr="00862B0F">
        <w:rPr>
          <w:smallCaps/>
          <w:sz w:val="20"/>
        </w:rPr>
        <w:t xml:space="preserve">W.H.M. Reehuis en A.H.T. Heisterkamp, </w:t>
      </w:r>
      <w:r>
        <w:rPr>
          <w:i/>
          <w:sz w:val="20"/>
        </w:rPr>
        <w:t xml:space="preserve">Goederenrecht, </w:t>
      </w:r>
      <w:r w:rsidRPr="002D5D53">
        <w:rPr>
          <w:sz w:val="20"/>
        </w:rPr>
        <w:t>Deventer</w:t>
      </w:r>
      <w:r>
        <w:rPr>
          <w:i/>
          <w:sz w:val="20"/>
        </w:rPr>
        <w:t xml:space="preserve">, </w:t>
      </w:r>
      <w:r>
        <w:rPr>
          <w:sz w:val="20"/>
        </w:rPr>
        <w:t>Kluwer 2006</w:t>
      </w:r>
      <w:r>
        <w:rPr>
          <w:i/>
          <w:sz w:val="20"/>
        </w:rPr>
        <w:t xml:space="preserve">, </w:t>
      </w:r>
      <w:r w:rsidRPr="002D5D53">
        <w:rPr>
          <w:sz w:val="20"/>
        </w:rPr>
        <w:t>1</w:t>
      </w:r>
      <w:r>
        <w:rPr>
          <w:sz w:val="20"/>
        </w:rPr>
        <w:t xml:space="preserve">40; </w:t>
      </w:r>
      <w:r w:rsidRPr="00862B0F">
        <w:rPr>
          <w:smallCaps/>
          <w:sz w:val="20"/>
        </w:rPr>
        <w:t xml:space="preserve">C. Asser, </w:t>
      </w:r>
      <w:r w:rsidRPr="00862B0F">
        <w:rPr>
          <w:i/>
          <w:sz w:val="20"/>
        </w:rPr>
        <w:t xml:space="preserve">Algemeen goederenrecht, </w:t>
      </w:r>
      <w:r w:rsidRPr="00862B0F">
        <w:rPr>
          <w:sz w:val="20"/>
        </w:rPr>
        <w:t>3</w:t>
      </w:r>
      <w:r>
        <w:rPr>
          <w:sz w:val="20"/>
        </w:rPr>
        <w:t xml:space="preserve">-IV, Deventer, Kluwer 2013, 404; </w:t>
      </w:r>
      <w:r w:rsidRPr="00862B0F">
        <w:rPr>
          <w:smallCaps/>
          <w:sz w:val="20"/>
        </w:rPr>
        <w:t xml:space="preserve">V. Sagaert, </w:t>
      </w:r>
      <w:r w:rsidRPr="00862B0F">
        <w:rPr>
          <w:i/>
          <w:sz w:val="20"/>
        </w:rPr>
        <w:t>Beginselen van Belgisch Privaatrecht – V – Goederenrecht</w:t>
      </w:r>
      <w:r w:rsidRPr="00862B0F">
        <w:rPr>
          <w:sz w:val="20"/>
        </w:rPr>
        <w:t>, Mechelen, Kl</w:t>
      </w:r>
      <w:r>
        <w:rPr>
          <w:sz w:val="20"/>
        </w:rPr>
        <w:t>uwer 2014, 677.</w:t>
      </w:r>
    </w:p>
  </w:footnote>
  <w:footnote w:id="31">
    <w:p w14:paraId="7DEF8071" w14:textId="77777777" w:rsidR="00C97F8C" w:rsidRPr="00BB7247" w:rsidRDefault="00C97F8C" w:rsidP="00B768BB">
      <w:pPr>
        <w:pStyle w:val="Voetnoottekst"/>
        <w:rPr>
          <w:lang w:val="nl-BE"/>
        </w:rPr>
      </w:pPr>
      <w:r w:rsidRPr="00862B0F">
        <w:rPr>
          <w:rStyle w:val="Voetnootmarkering"/>
          <w:sz w:val="20"/>
        </w:rPr>
        <w:footnoteRef/>
      </w:r>
      <w:r w:rsidRPr="00862B0F">
        <w:rPr>
          <w:sz w:val="20"/>
        </w:rPr>
        <w:t xml:space="preserve"> </w:t>
      </w:r>
      <w:r w:rsidRPr="00862B0F">
        <w:rPr>
          <w:smallCaps/>
          <w:sz w:val="20"/>
        </w:rPr>
        <w:t xml:space="preserve">W.H.M. Reehuis en A.H.T. Heisterkamp, </w:t>
      </w:r>
      <w:r>
        <w:rPr>
          <w:i/>
          <w:sz w:val="20"/>
        </w:rPr>
        <w:t xml:space="preserve">Goederenrecht, </w:t>
      </w:r>
      <w:r w:rsidRPr="002D5D53">
        <w:rPr>
          <w:sz w:val="20"/>
        </w:rPr>
        <w:t>Deventer</w:t>
      </w:r>
      <w:r>
        <w:rPr>
          <w:i/>
          <w:sz w:val="20"/>
        </w:rPr>
        <w:t xml:space="preserve">, </w:t>
      </w:r>
      <w:r>
        <w:rPr>
          <w:sz w:val="20"/>
        </w:rPr>
        <w:t>Kluwer 2006</w:t>
      </w:r>
      <w:r>
        <w:rPr>
          <w:i/>
          <w:sz w:val="20"/>
        </w:rPr>
        <w:t xml:space="preserve">, </w:t>
      </w:r>
      <w:r w:rsidRPr="002D5D53">
        <w:rPr>
          <w:sz w:val="20"/>
        </w:rPr>
        <w:t>1</w:t>
      </w:r>
      <w:r>
        <w:rPr>
          <w:sz w:val="20"/>
        </w:rPr>
        <w:t xml:space="preserve">38; </w:t>
      </w:r>
      <w:r>
        <w:rPr>
          <w:smallCaps/>
          <w:sz w:val="20"/>
        </w:rPr>
        <w:t xml:space="preserve">W.H.M. Reehuis, </w:t>
      </w:r>
      <w:r>
        <w:rPr>
          <w:i/>
          <w:sz w:val="20"/>
        </w:rPr>
        <w:t xml:space="preserve">Zwaartepunten van het vermogensrecht, </w:t>
      </w:r>
      <w:r>
        <w:rPr>
          <w:sz w:val="20"/>
        </w:rPr>
        <w:t xml:space="preserve">Kluwer, Deventer 2010, 85; </w:t>
      </w:r>
      <w:r w:rsidRPr="00862B0F">
        <w:rPr>
          <w:smallCaps/>
          <w:sz w:val="20"/>
        </w:rPr>
        <w:t xml:space="preserve">C. Asser, </w:t>
      </w:r>
      <w:r w:rsidRPr="00862B0F">
        <w:rPr>
          <w:i/>
          <w:sz w:val="20"/>
        </w:rPr>
        <w:t xml:space="preserve">Algemeen goederenrecht, </w:t>
      </w:r>
      <w:r w:rsidRPr="00862B0F">
        <w:rPr>
          <w:sz w:val="20"/>
        </w:rPr>
        <w:t>3-IV, Deventer, Kluwer 2013, 405.</w:t>
      </w:r>
    </w:p>
  </w:footnote>
  <w:footnote w:id="32">
    <w:p w14:paraId="681F794B" w14:textId="77777777" w:rsidR="00C97F8C" w:rsidRPr="00B77DCB" w:rsidRDefault="00C97F8C" w:rsidP="00B768BB">
      <w:pPr>
        <w:pStyle w:val="Voetnoottekst"/>
        <w:rPr>
          <w:lang w:val="nl-BE"/>
        </w:rPr>
      </w:pPr>
      <w:r>
        <w:rPr>
          <w:rStyle w:val="Voetnootmarkering"/>
        </w:rPr>
        <w:footnoteRef/>
      </w:r>
      <w:r>
        <w:t xml:space="preserve"> </w:t>
      </w:r>
      <w:r w:rsidRPr="00862B0F">
        <w:rPr>
          <w:smallCaps/>
          <w:sz w:val="20"/>
        </w:rPr>
        <w:t xml:space="preserve">H.J. Snijders en E.B. Rank-Berenschoot, </w:t>
      </w:r>
      <w:r w:rsidRPr="00862B0F">
        <w:rPr>
          <w:i/>
          <w:sz w:val="20"/>
        </w:rPr>
        <w:t xml:space="preserve">Goederenrecht, </w:t>
      </w:r>
      <w:r>
        <w:rPr>
          <w:sz w:val="20"/>
        </w:rPr>
        <w:t xml:space="preserve">Deventer, Kluwer, 2012, 216. </w:t>
      </w:r>
    </w:p>
  </w:footnote>
  <w:footnote w:id="33">
    <w:p w14:paraId="1A7D1108" w14:textId="26D098C4" w:rsidR="00C97F8C" w:rsidRPr="006A04A9" w:rsidRDefault="00C97F8C" w:rsidP="00B768BB">
      <w:pPr>
        <w:pStyle w:val="Voetnoottekst"/>
        <w:rPr>
          <w:lang w:val="nl-BE"/>
        </w:rPr>
      </w:pPr>
      <w:r>
        <w:rPr>
          <w:rStyle w:val="Voetnootmarkering"/>
        </w:rPr>
        <w:footnoteRef/>
      </w:r>
      <w:r>
        <w:t xml:space="preserve"> </w:t>
      </w:r>
      <w:r>
        <w:rPr>
          <w:smallCaps/>
          <w:sz w:val="20"/>
          <w:lang w:val="nl-BE"/>
        </w:rPr>
        <w:t xml:space="preserve">H. De Page, </w:t>
      </w:r>
      <w:r>
        <w:rPr>
          <w:i/>
          <w:sz w:val="20"/>
          <w:lang w:val="nl-BE"/>
        </w:rPr>
        <w:t xml:space="preserve">Traité élémentaire de droit civil belge -  Tome V, </w:t>
      </w:r>
      <w:r>
        <w:rPr>
          <w:sz w:val="20"/>
          <w:lang w:val="nl-BE"/>
        </w:rPr>
        <w:t xml:space="preserve">Brussel, Bruylant 1975, 919; </w:t>
      </w:r>
      <w:r>
        <w:rPr>
          <w:smallCaps/>
          <w:sz w:val="20"/>
        </w:rPr>
        <w:t xml:space="preserve">A. Kluyskens, </w:t>
      </w:r>
      <w:r>
        <w:rPr>
          <w:i/>
          <w:sz w:val="20"/>
        </w:rPr>
        <w:t xml:space="preserve">Beginselen van Burgerlijk Recht – Zakenrecht, </w:t>
      </w:r>
      <w:r>
        <w:rPr>
          <w:sz w:val="20"/>
        </w:rPr>
        <w:t xml:space="preserve">Standaard, Gent 1940, 71; </w:t>
      </w:r>
      <w:r>
        <w:rPr>
          <w:smallCaps/>
          <w:sz w:val="20"/>
        </w:rPr>
        <w:t xml:space="preserve">R. Derine, F. Van Neste, H. Vandenberghe, </w:t>
      </w:r>
      <w:r>
        <w:rPr>
          <w:i/>
          <w:sz w:val="20"/>
        </w:rPr>
        <w:t xml:space="preserve">Zakenrecht – Deel 1.B, </w:t>
      </w:r>
      <w:r>
        <w:rPr>
          <w:sz w:val="20"/>
        </w:rPr>
        <w:t xml:space="preserve">Antwerpen, Standaard 1974, 915; </w:t>
      </w:r>
      <w:r>
        <w:rPr>
          <w:smallCaps/>
          <w:sz w:val="20"/>
        </w:rPr>
        <w:t xml:space="preserve">A.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 xml:space="preserve">Gent 1983, 174; </w:t>
      </w:r>
      <w:r>
        <w:rPr>
          <w:smallCaps/>
          <w:sz w:val="20"/>
        </w:rPr>
        <w:t xml:space="preserve">H. Vandenberghe, </w:t>
      </w:r>
      <w:r>
        <w:rPr>
          <w:i/>
          <w:sz w:val="20"/>
        </w:rPr>
        <w:t xml:space="preserve">Goederenrecht, </w:t>
      </w:r>
      <w:r>
        <w:rPr>
          <w:sz w:val="20"/>
        </w:rPr>
        <w:t xml:space="preserve">Leuven Acco 2006, 122-123;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125</w:t>
      </w:r>
      <w:r>
        <w:rPr>
          <w:sz w:val="20"/>
          <w:lang w:val="nl-BE"/>
        </w:rPr>
        <w:t xml:space="preserve">;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 xml:space="preserve">46; </w:t>
      </w:r>
      <w:r>
        <w:rPr>
          <w:smallCaps/>
          <w:sz w:val="20"/>
        </w:rPr>
        <w:t xml:space="preserve">N. Bernard, </w:t>
      </w:r>
      <w:r>
        <w:rPr>
          <w:i/>
          <w:sz w:val="20"/>
        </w:rPr>
        <w:t xml:space="preserve">Precis de droit des biens, </w:t>
      </w:r>
      <w:r>
        <w:rPr>
          <w:sz w:val="20"/>
        </w:rPr>
        <w:t xml:space="preserve">Limal, Anthemis 2012, 158; </w:t>
      </w:r>
      <w:r w:rsidRPr="00862B0F">
        <w:rPr>
          <w:smallCaps/>
          <w:sz w:val="20"/>
        </w:rPr>
        <w:t xml:space="preserve">V. Sagaert, </w:t>
      </w:r>
      <w:r w:rsidRPr="00862B0F">
        <w:rPr>
          <w:i/>
          <w:sz w:val="20"/>
        </w:rPr>
        <w:t>Beginselen van Belgisch Privaatrecht – V – Goederenrecht</w:t>
      </w:r>
      <w:r>
        <w:rPr>
          <w:sz w:val="20"/>
        </w:rPr>
        <w:t>, Mechelen, Kluwer 2014, 672.</w:t>
      </w:r>
    </w:p>
  </w:footnote>
  <w:footnote w:id="34">
    <w:p w14:paraId="4B033121" w14:textId="1A5E2FA9" w:rsidR="00C97F8C" w:rsidRPr="002373E1" w:rsidRDefault="00C97F8C" w:rsidP="00B768BB">
      <w:pPr>
        <w:pStyle w:val="Voetnoottekst"/>
        <w:rPr>
          <w:b/>
          <w:lang w:val="nl-BE"/>
        </w:rPr>
      </w:pPr>
      <w:r>
        <w:rPr>
          <w:rStyle w:val="Voetnootmarkering"/>
        </w:rPr>
        <w:footnoteRef/>
      </w:r>
      <w:r>
        <w:t xml:space="preserve">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366;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150; </w:t>
      </w:r>
      <w:r>
        <w:rPr>
          <w:smallCaps/>
          <w:sz w:val="20"/>
        </w:rPr>
        <w:t xml:space="preserve">A. Weill, F. Terré, P. Simler, </w:t>
      </w:r>
      <w:r>
        <w:rPr>
          <w:i/>
          <w:sz w:val="20"/>
        </w:rPr>
        <w:t xml:space="preserve">Les biens, </w:t>
      </w:r>
      <w:r>
        <w:rPr>
          <w:sz w:val="20"/>
        </w:rPr>
        <w:t xml:space="preserve">Parijs, Dalloz 1985, 364; </w:t>
      </w:r>
      <w:r>
        <w:rPr>
          <w:smallCaps/>
          <w:sz w:val="20"/>
        </w:rPr>
        <w:t xml:space="preserve">P. Jourdain, </w:t>
      </w:r>
      <w:r>
        <w:rPr>
          <w:sz w:val="20"/>
        </w:rPr>
        <w:t xml:space="preserve">“Les biens”, in </w:t>
      </w:r>
      <w:r>
        <w:rPr>
          <w:i/>
          <w:sz w:val="20"/>
        </w:rPr>
        <w:t xml:space="preserve">Marty en Raynaud, </w:t>
      </w:r>
      <w:r>
        <w:rPr>
          <w:sz w:val="20"/>
        </w:rPr>
        <w:t xml:space="preserve">Parijs, Dalloz 1995, 486; J.L. </w:t>
      </w:r>
      <w:r>
        <w:rPr>
          <w:smallCaps/>
          <w:sz w:val="20"/>
        </w:rPr>
        <w:t xml:space="preserve">Bergel, M. Bruschi, S. Cimamonti, </w:t>
      </w:r>
      <w:r>
        <w:rPr>
          <w:i/>
          <w:sz w:val="20"/>
        </w:rPr>
        <w:t xml:space="preserve">Traité de droit civil. Les Biens, </w:t>
      </w:r>
      <w:r>
        <w:rPr>
          <w:sz w:val="20"/>
        </w:rPr>
        <w:t xml:space="preserve">Parijs, Librairie Générale de Droit et de Jurisprudence 2000, 237; </w:t>
      </w:r>
      <w:r>
        <w:rPr>
          <w:smallCaps/>
          <w:sz w:val="20"/>
        </w:rPr>
        <w:t xml:space="preserve">F. Terré, P. Simler, </w:t>
      </w:r>
      <w:r>
        <w:rPr>
          <w:i/>
          <w:sz w:val="20"/>
        </w:rPr>
        <w:t xml:space="preserve">Droit Civil. Les Biens, </w:t>
      </w:r>
      <w:r>
        <w:rPr>
          <w:sz w:val="20"/>
        </w:rPr>
        <w:t xml:space="preserve">Parijs, Dalloz 2006, </w:t>
      </w:r>
      <w:r w:rsidRPr="000334CD">
        <w:rPr>
          <w:sz w:val="20"/>
        </w:rPr>
        <w:t>363</w:t>
      </w:r>
      <w:r>
        <w:rPr>
          <w:sz w:val="20"/>
        </w:rPr>
        <w:t xml:space="preserve">; </w:t>
      </w:r>
      <w:r>
        <w:rPr>
          <w:smallCaps/>
          <w:sz w:val="20"/>
        </w:rPr>
        <w:t xml:space="preserve">W. Dross, </w:t>
      </w:r>
      <w:r>
        <w:rPr>
          <w:i/>
          <w:sz w:val="20"/>
        </w:rPr>
        <w:t xml:space="preserve">Droit des Biens, </w:t>
      </w:r>
      <w:r>
        <w:rPr>
          <w:sz w:val="20"/>
        </w:rPr>
        <w:t xml:space="preserve">Parijs, Montchrestien 2012, 242; M.-L. </w:t>
      </w:r>
      <w:r>
        <w:rPr>
          <w:smallCaps/>
          <w:sz w:val="20"/>
        </w:rPr>
        <w:t xml:space="preserve">Mathieu, </w:t>
      </w:r>
      <w:r>
        <w:rPr>
          <w:i/>
          <w:sz w:val="20"/>
        </w:rPr>
        <w:t xml:space="preserve">Droit Civil. Les Biens, </w:t>
      </w:r>
      <w:r>
        <w:rPr>
          <w:sz w:val="20"/>
        </w:rPr>
        <w:t xml:space="preserve">Parijs, Dalloz 2013, 338; </w:t>
      </w:r>
      <w:r>
        <w:rPr>
          <w:smallCaps/>
          <w:sz w:val="20"/>
        </w:rPr>
        <w:t xml:space="preserve">C. Atias, </w:t>
      </w:r>
      <w:r>
        <w:rPr>
          <w:i/>
          <w:sz w:val="20"/>
        </w:rPr>
        <w:t>Manuel Droit Civil. Les Biens,</w:t>
      </w:r>
      <w:r>
        <w:rPr>
          <w:sz w:val="20"/>
        </w:rPr>
        <w:t xml:space="preserve"> Parijs, Litec 2014, 251.</w:t>
      </w:r>
    </w:p>
  </w:footnote>
  <w:footnote w:id="35">
    <w:p w14:paraId="548094EE" w14:textId="6627B249" w:rsidR="00C97F8C" w:rsidRPr="00113A0D" w:rsidRDefault="00C97F8C" w:rsidP="00B768BB">
      <w:pPr>
        <w:pStyle w:val="Voetnoottekst"/>
        <w:rPr>
          <w:lang w:val="nl-BE"/>
        </w:rPr>
      </w:pPr>
      <w:r>
        <w:rPr>
          <w:rStyle w:val="Voetnootmarkering"/>
        </w:rPr>
        <w:footnoteRef/>
      </w:r>
      <w:r>
        <w:t xml:space="preserve"> </w:t>
      </w:r>
      <w:r w:rsidRPr="009D6626">
        <w:rPr>
          <w:sz w:val="20"/>
          <w:lang w:val="nl-BE"/>
        </w:rPr>
        <w:t>Verondersteld wordt dat het gaat om bankbiljetten die individualiseerbaar zijn door een serienummer en die gestolen of verloren zijn.</w:t>
      </w:r>
      <w:r w:rsidRPr="00113A0D">
        <w:rPr>
          <w:sz w:val="20"/>
          <w:lang w:val="nl-BE"/>
        </w:rPr>
        <w:t xml:space="preserve"> </w:t>
      </w:r>
      <w:r w:rsidRPr="009D6626">
        <w:rPr>
          <w:sz w:val="20"/>
          <w:lang w:val="nl-BE"/>
        </w:rPr>
        <w:t>Artikel 2279, derde lid Burgerlijk Wetboek;</w:t>
      </w:r>
      <w:r>
        <w:rPr>
          <w:lang w:val="nl-BE"/>
        </w:rPr>
        <w:t xml:space="preserve"> </w:t>
      </w:r>
      <w:r>
        <w:rPr>
          <w:smallCaps/>
          <w:sz w:val="20"/>
        </w:rPr>
        <w:t xml:space="preserve">H. Vandenberghe, </w:t>
      </w:r>
      <w:r>
        <w:rPr>
          <w:i/>
          <w:sz w:val="20"/>
        </w:rPr>
        <w:t xml:space="preserve">Goederenrecht, </w:t>
      </w:r>
      <w:r>
        <w:rPr>
          <w:sz w:val="20"/>
        </w:rPr>
        <w:t xml:space="preserve">Leuven Acco 2006, 123;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w:t>
      </w:r>
      <w:r>
        <w:rPr>
          <w:sz w:val="20"/>
          <w:lang w:val="nl-BE"/>
        </w:rPr>
        <w:t xml:space="preserve">2; </w:t>
      </w:r>
      <w:r>
        <w:rPr>
          <w:smallCaps/>
          <w:sz w:val="20"/>
        </w:rPr>
        <w:t xml:space="preserve">A.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 xml:space="preserve">Gent 1983, 181;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 xml:space="preserve">46. </w:t>
      </w:r>
      <w:r>
        <w:rPr>
          <w:sz w:val="20"/>
          <w:u w:val="single"/>
        </w:rPr>
        <w:t>Frankrijk:</w:t>
      </w:r>
      <w:r>
        <w:rPr>
          <w:sz w:val="20"/>
        </w:rPr>
        <w:t xml:space="preserve"> </w:t>
      </w:r>
      <w:r>
        <w:rPr>
          <w:smallCaps/>
          <w:sz w:val="20"/>
        </w:rPr>
        <w:t xml:space="preserve">W. Dross, </w:t>
      </w:r>
      <w:r>
        <w:rPr>
          <w:i/>
          <w:sz w:val="20"/>
        </w:rPr>
        <w:t xml:space="preserve">Droit des Biens, </w:t>
      </w:r>
      <w:r>
        <w:rPr>
          <w:sz w:val="20"/>
        </w:rPr>
        <w:t xml:space="preserve">Parijs, Montchrestien 2012, 242; </w:t>
      </w:r>
      <w:r w:rsidRPr="00862B0F">
        <w:rPr>
          <w:smallCaps/>
          <w:sz w:val="20"/>
        </w:rPr>
        <w:t xml:space="preserve">V. Sagaert, </w:t>
      </w:r>
      <w:r w:rsidRPr="00862B0F">
        <w:rPr>
          <w:i/>
          <w:sz w:val="20"/>
        </w:rPr>
        <w:t>Beginselen van Belgisch Privaatrecht – V – Goederenrecht</w:t>
      </w:r>
      <w:r>
        <w:rPr>
          <w:sz w:val="20"/>
        </w:rPr>
        <w:t>, Mechelen, Kluwer 2014, 672.</w:t>
      </w:r>
    </w:p>
  </w:footnote>
  <w:footnote w:id="36">
    <w:p w14:paraId="63DE5569" w14:textId="52CF3285" w:rsidR="00C97F8C" w:rsidRPr="00376E64" w:rsidRDefault="00C97F8C" w:rsidP="00B768BB">
      <w:pPr>
        <w:pStyle w:val="Voetnoottekst"/>
        <w:rPr>
          <w:lang w:val="nl-BE"/>
        </w:rPr>
      </w:pPr>
      <w:r>
        <w:rPr>
          <w:rStyle w:val="Voetnootmarkering"/>
        </w:rPr>
        <w:footnoteRef/>
      </w:r>
      <w:r>
        <w:t xml:space="preserve"> </w:t>
      </w:r>
      <w:r>
        <w:rPr>
          <w:smallCaps/>
          <w:sz w:val="20"/>
        </w:rPr>
        <w:t xml:space="preserve">R. Derine, F. Van Neste, H. Vandenberghe, </w:t>
      </w:r>
      <w:r>
        <w:rPr>
          <w:i/>
          <w:sz w:val="20"/>
        </w:rPr>
        <w:t xml:space="preserve">Zakenrecht – Deel 1.B, </w:t>
      </w:r>
      <w:r>
        <w:rPr>
          <w:sz w:val="20"/>
        </w:rPr>
        <w:t xml:space="preserve">Antwerpen, Standaard 1974, 916;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w:t>
      </w:r>
      <w:r>
        <w:rPr>
          <w:sz w:val="20"/>
          <w:lang w:val="nl-BE"/>
        </w:rPr>
        <w:t xml:space="preserve">2. </w:t>
      </w:r>
      <w:r>
        <w:rPr>
          <w:sz w:val="20"/>
          <w:u w:val="single"/>
          <w:lang w:val="nl-BE"/>
        </w:rPr>
        <w:t>Frankrijk:</w:t>
      </w:r>
      <w:r>
        <w:rPr>
          <w:sz w:val="20"/>
          <w:lang w:val="nl-BE"/>
        </w:rPr>
        <w:t xml:space="preserve"> </w:t>
      </w:r>
      <w:r>
        <w:rPr>
          <w:smallCaps/>
          <w:sz w:val="20"/>
        </w:rPr>
        <w:t xml:space="preserve">P. Jourdain, </w:t>
      </w:r>
      <w:r>
        <w:rPr>
          <w:sz w:val="20"/>
        </w:rPr>
        <w:t xml:space="preserve">“Les biens”, in </w:t>
      </w:r>
      <w:r>
        <w:rPr>
          <w:i/>
          <w:sz w:val="20"/>
        </w:rPr>
        <w:t xml:space="preserve">Marty en Raynaud, </w:t>
      </w:r>
      <w:r>
        <w:rPr>
          <w:sz w:val="20"/>
        </w:rPr>
        <w:t xml:space="preserve">Parijs, Dalloz 1995, 487; J.L. </w:t>
      </w:r>
      <w:r>
        <w:rPr>
          <w:smallCaps/>
          <w:sz w:val="20"/>
        </w:rPr>
        <w:t xml:space="preserve">Bergel, M. Bruschi, S. Cimamonti, </w:t>
      </w:r>
      <w:r>
        <w:rPr>
          <w:i/>
          <w:sz w:val="20"/>
        </w:rPr>
        <w:t xml:space="preserve">Traité de droit civil. Les Biens, </w:t>
      </w:r>
      <w:r>
        <w:rPr>
          <w:sz w:val="20"/>
        </w:rPr>
        <w:t xml:space="preserve">Parijs, Librairie Générale de Droit et de Jurisprudence 2000, 237; </w:t>
      </w:r>
      <w:r>
        <w:rPr>
          <w:smallCaps/>
          <w:sz w:val="20"/>
        </w:rPr>
        <w:t xml:space="preserve">W. Dross, </w:t>
      </w:r>
      <w:r>
        <w:rPr>
          <w:i/>
          <w:sz w:val="20"/>
        </w:rPr>
        <w:t xml:space="preserve">Les choses, </w:t>
      </w:r>
      <w:r>
        <w:rPr>
          <w:sz w:val="20"/>
        </w:rPr>
        <w:t xml:space="preserve">Parijs, LGDJ Lextenso éditions 2012, 537; M.-L. </w:t>
      </w:r>
      <w:r>
        <w:rPr>
          <w:smallCaps/>
          <w:sz w:val="20"/>
        </w:rPr>
        <w:t xml:space="preserve">Mathieu, </w:t>
      </w:r>
      <w:r>
        <w:rPr>
          <w:i/>
          <w:sz w:val="20"/>
        </w:rPr>
        <w:t xml:space="preserve">Droit Civil. Les Biens, </w:t>
      </w:r>
      <w:r>
        <w:rPr>
          <w:sz w:val="20"/>
        </w:rPr>
        <w:t>Parijs, Dalloz 2013, 338.</w:t>
      </w:r>
    </w:p>
  </w:footnote>
  <w:footnote w:id="37">
    <w:p w14:paraId="637F8D03" w14:textId="3A1BB69F" w:rsidR="00C97F8C" w:rsidRPr="00D43C39" w:rsidRDefault="00C97F8C" w:rsidP="00B768BB">
      <w:pPr>
        <w:pStyle w:val="Voetnoottekst"/>
        <w:rPr>
          <w:lang w:val="nl-BE"/>
        </w:rPr>
      </w:pPr>
      <w:r>
        <w:rPr>
          <w:rStyle w:val="Voetnootmarkering"/>
        </w:rPr>
        <w:footnoteRef/>
      </w:r>
      <w:r>
        <w:t xml:space="preserve">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368;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152; </w:t>
      </w:r>
      <w:r>
        <w:rPr>
          <w:smallCaps/>
          <w:sz w:val="20"/>
        </w:rPr>
        <w:t xml:space="preserve">A. Weill, F. Terré, P. Simler, </w:t>
      </w:r>
      <w:r>
        <w:rPr>
          <w:i/>
          <w:sz w:val="20"/>
        </w:rPr>
        <w:t xml:space="preserve">Les biens, </w:t>
      </w:r>
      <w:r>
        <w:rPr>
          <w:sz w:val="20"/>
        </w:rPr>
        <w:t xml:space="preserve">Parijs, Dalloz 1985, 364; </w:t>
      </w:r>
      <w:r>
        <w:rPr>
          <w:smallCaps/>
          <w:sz w:val="20"/>
        </w:rPr>
        <w:t xml:space="preserve">P. Jourdain, </w:t>
      </w:r>
      <w:r>
        <w:rPr>
          <w:sz w:val="20"/>
        </w:rPr>
        <w:t xml:space="preserve">“Les biens”, in </w:t>
      </w:r>
      <w:r>
        <w:rPr>
          <w:i/>
          <w:sz w:val="20"/>
        </w:rPr>
        <w:t xml:space="preserve">Marty en Raynaud, </w:t>
      </w:r>
      <w:r>
        <w:rPr>
          <w:sz w:val="20"/>
        </w:rPr>
        <w:t xml:space="preserve">Parijs, Dalloz 1995,487; J.L. </w:t>
      </w:r>
      <w:r>
        <w:rPr>
          <w:smallCaps/>
          <w:sz w:val="20"/>
        </w:rPr>
        <w:t xml:space="preserve">Bergel, M. Bruschi, S. Cimamonti, </w:t>
      </w:r>
      <w:r>
        <w:rPr>
          <w:i/>
          <w:sz w:val="20"/>
        </w:rPr>
        <w:t xml:space="preserve">Traité de droit civil. Les Biens, </w:t>
      </w:r>
      <w:r>
        <w:rPr>
          <w:sz w:val="20"/>
        </w:rPr>
        <w:t>Parijs, Librairie Générale de Droit et de Jurisprudence 2000, 239.</w:t>
      </w:r>
    </w:p>
  </w:footnote>
  <w:footnote w:id="38">
    <w:p w14:paraId="2F518D33" w14:textId="1BEF7DA7" w:rsidR="00C97F8C" w:rsidRPr="00D43C39" w:rsidRDefault="00C97F8C" w:rsidP="00B768BB">
      <w:pPr>
        <w:pStyle w:val="Voetnoottekst"/>
        <w:rPr>
          <w:lang w:val="nl-BE"/>
        </w:rPr>
      </w:pPr>
      <w:r>
        <w:rPr>
          <w:rStyle w:val="Voetnootmarkering"/>
        </w:rPr>
        <w:footnoteRef/>
      </w:r>
      <w:r>
        <w:t xml:space="preserve">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368-369;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153; </w:t>
      </w:r>
      <w:r>
        <w:rPr>
          <w:smallCaps/>
          <w:sz w:val="20"/>
        </w:rPr>
        <w:t xml:space="preserve">A. Weill, F. Terré, P. Simler, </w:t>
      </w:r>
      <w:r>
        <w:rPr>
          <w:i/>
          <w:sz w:val="20"/>
        </w:rPr>
        <w:t xml:space="preserve">Les biens, </w:t>
      </w:r>
      <w:r>
        <w:rPr>
          <w:sz w:val="20"/>
        </w:rPr>
        <w:t xml:space="preserve">Parijs, Dalloz 1985, 365; J.L. </w:t>
      </w:r>
      <w:r>
        <w:rPr>
          <w:smallCaps/>
          <w:sz w:val="20"/>
        </w:rPr>
        <w:t xml:space="preserve">Bergel, M. Bruschi, S. Cimamonti, </w:t>
      </w:r>
      <w:r>
        <w:rPr>
          <w:i/>
          <w:sz w:val="20"/>
        </w:rPr>
        <w:t xml:space="preserve">Traité de droit civil. Les Biens, </w:t>
      </w:r>
      <w:r>
        <w:rPr>
          <w:sz w:val="20"/>
        </w:rPr>
        <w:t xml:space="preserve">Parijs, Librairie Générale de Droit et de Jurisprudence 2000, 239; </w:t>
      </w:r>
      <w:r>
        <w:rPr>
          <w:smallCaps/>
          <w:sz w:val="20"/>
        </w:rPr>
        <w:t xml:space="preserve">W. Dross, </w:t>
      </w:r>
      <w:r>
        <w:rPr>
          <w:i/>
          <w:sz w:val="20"/>
        </w:rPr>
        <w:t xml:space="preserve">Droit des Biens, </w:t>
      </w:r>
      <w:r>
        <w:rPr>
          <w:sz w:val="20"/>
        </w:rPr>
        <w:t>Parijs, Montchrestien 2012, 242;</w:t>
      </w:r>
      <w:r w:rsidRPr="000B433A">
        <w:rPr>
          <w:smallCaps/>
          <w:sz w:val="20"/>
        </w:rPr>
        <w:t xml:space="preserve"> </w:t>
      </w:r>
      <w:r>
        <w:rPr>
          <w:smallCaps/>
          <w:sz w:val="20"/>
        </w:rPr>
        <w:t xml:space="preserve">W. Dross, </w:t>
      </w:r>
      <w:r>
        <w:rPr>
          <w:i/>
          <w:sz w:val="20"/>
        </w:rPr>
        <w:t xml:space="preserve">Les choses, </w:t>
      </w:r>
      <w:r>
        <w:rPr>
          <w:sz w:val="20"/>
        </w:rPr>
        <w:t xml:space="preserve">Parijs, LGDJ Lextenso éditions 2012, 537; </w:t>
      </w:r>
      <w:r>
        <w:rPr>
          <w:smallCaps/>
          <w:sz w:val="20"/>
        </w:rPr>
        <w:t xml:space="preserve">C. Atias, </w:t>
      </w:r>
      <w:r>
        <w:rPr>
          <w:i/>
          <w:sz w:val="20"/>
        </w:rPr>
        <w:t>Manuel Droit Civil. Les Biens,</w:t>
      </w:r>
      <w:r>
        <w:rPr>
          <w:sz w:val="20"/>
        </w:rPr>
        <w:t xml:space="preserve"> Parijs, Litec 2014, 251.</w:t>
      </w:r>
    </w:p>
  </w:footnote>
  <w:footnote w:id="39">
    <w:p w14:paraId="66A2A096" w14:textId="4505B327" w:rsidR="00C97F8C" w:rsidRPr="00AD72E7" w:rsidRDefault="00C97F8C" w:rsidP="00B768BB">
      <w:pPr>
        <w:pStyle w:val="Voetnoottekst"/>
        <w:rPr>
          <w:lang w:val="nl-BE"/>
        </w:rPr>
      </w:pPr>
      <w:r>
        <w:rPr>
          <w:rStyle w:val="Voetnootmarkering"/>
        </w:rPr>
        <w:footnoteRef/>
      </w:r>
      <w:r>
        <w:t xml:space="preserve"> </w:t>
      </w:r>
      <w:r w:rsidRPr="00AD72E7">
        <w:rPr>
          <w:sz w:val="20"/>
          <w:lang w:val="nl-BE"/>
        </w:rPr>
        <w:t>Artikel 25 Pandwet</w:t>
      </w:r>
      <w:r>
        <w:rPr>
          <w:sz w:val="20"/>
          <w:lang w:val="nl-BE"/>
        </w:rPr>
        <w:t>;</w:t>
      </w:r>
      <w:r w:rsidRPr="000A1FD4">
        <w:rPr>
          <w:smallCaps/>
          <w:sz w:val="20"/>
        </w:rPr>
        <w:t xml:space="preserve"> </w:t>
      </w:r>
      <w:r>
        <w:rPr>
          <w:smallCaps/>
          <w:sz w:val="20"/>
        </w:rPr>
        <w:t xml:space="preserve">H. Vandenberghe, </w:t>
      </w:r>
      <w:r>
        <w:rPr>
          <w:i/>
          <w:sz w:val="20"/>
        </w:rPr>
        <w:t xml:space="preserve">Goederenrecht, </w:t>
      </w:r>
      <w:r>
        <w:rPr>
          <w:sz w:val="20"/>
        </w:rPr>
        <w:t>Leuven Acco 2006, 123;</w:t>
      </w:r>
      <w:r>
        <w:rPr>
          <w:sz w:val="20"/>
          <w:lang w:val="nl-BE"/>
        </w:rPr>
        <w:t xml:space="preserve">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w:t>
      </w:r>
      <w:r>
        <w:rPr>
          <w:sz w:val="20"/>
          <w:lang w:val="nl-BE"/>
        </w:rPr>
        <w:t>4;</w:t>
      </w:r>
      <w:r w:rsidRPr="00E5398C">
        <w:rPr>
          <w:smallCaps/>
          <w:sz w:val="20"/>
        </w:rPr>
        <w:t xml:space="preserve">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 xml:space="preserve">48; </w:t>
      </w:r>
      <w:r>
        <w:rPr>
          <w:smallCaps/>
          <w:sz w:val="20"/>
        </w:rPr>
        <w:t xml:space="preserve">N. Bernard, </w:t>
      </w:r>
      <w:r>
        <w:rPr>
          <w:i/>
          <w:sz w:val="20"/>
        </w:rPr>
        <w:t xml:space="preserve">Precis de droit des biens, </w:t>
      </w:r>
      <w:r>
        <w:rPr>
          <w:sz w:val="20"/>
        </w:rPr>
        <w:t xml:space="preserve">Limal, Anthemis 2012, 159; </w:t>
      </w:r>
      <w:r w:rsidRPr="00862B0F">
        <w:rPr>
          <w:smallCaps/>
          <w:sz w:val="20"/>
        </w:rPr>
        <w:t xml:space="preserve">V. Sagaert, </w:t>
      </w:r>
      <w:r w:rsidRPr="00862B0F">
        <w:rPr>
          <w:i/>
          <w:sz w:val="20"/>
        </w:rPr>
        <w:t>Beginselen van Belgisch Privaatrecht – V – Goederenrecht</w:t>
      </w:r>
      <w:r w:rsidRPr="00862B0F">
        <w:rPr>
          <w:sz w:val="20"/>
        </w:rPr>
        <w:t>, Mechelen, Kluwer 2014, 67</w:t>
      </w:r>
      <w:r>
        <w:rPr>
          <w:sz w:val="20"/>
        </w:rPr>
        <w:t>5.</w:t>
      </w:r>
    </w:p>
  </w:footnote>
  <w:footnote w:id="40">
    <w:p w14:paraId="07F78A24" w14:textId="2A573093" w:rsidR="00C97F8C" w:rsidRPr="002957AF" w:rsidRDefault="00C97F8C" w:rsidP="00B768BB">
      <w:pPr>
        <w:pStyle w:val="Voetnoottekst"/>
        <w:rPr>
          <w:lang w:val="nl-BE"/>
        </w:rPr>
      </w:pPr>
      <w:r>
        <w:rPr>
          <w:rStyle w:val="Voetnootmarkering"/>
        </w:rPr>
        <w:footnoteRef/>
      </w:r>
      <w:r>
        <w:t xml:space="preserve"> </w:t>
      </w:r>
      <w:r>
        <w:rPr>
          <w:smallCaps/>
          <w:sz w:val="20"/>
        </w:rPr>
        <w:t xml:space="preserve">R. Derine, F. Van Neste, H. Vandenberghe, </w:t>
      </w:r>
      <w:r>
        <w:rPr>
          <w:i/>
          <w:sz w:val="20"/>
        </w:rPr>
        <w:t xml:space="preserve">Zakenrecht – Deel 1.B, </w:t>
      </w:r>
      <w:r>
        <w:rPr>
          <w:sz w:val="20"/>
        </w:rPr>
        <w:t xml:space="preserve">Antwerpen, Standaard 1974, 990;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 xml:space="preserve">Larcier 2010, </w:t>
      </w:r>
      <w:r w:rsidRPr="003A4992">
        <w:rPr>
          <w:sz w:val="20"/>
          <w:lang w:val="nl-BE"/>
        </w:rPr>
        <w:t>124</w:t>
      </w:r>
      <w:r>
        <w:rPr>
          <w:smallCaps/>
          <w:sz w:val="20"/>
        </w:rPr>
        <w:t xml:space="preserve">; </w:t>
      </w:r>
      <w:r w:rsidRPr="00862B0F">
        <w:rPr>
          <w:smallCaps/>
          <w:sz w:val="20"/>
        </w:rPr>
        <w:t xml:space="preserve">V. Sagaert, </w:t>
      </w:r>
      <w:r w:rsidRPr="00862B0F">
        <w:rPr>
          <w:i/>
          <w:sz w:val="20"/>
        </w:rPr>
        <w:t>Beginselen van Belgisch Privaatrecht – V – Goederenrecht</w:t>
      </w:r>
      <w:r w:rsidRPr="00862B0F">
        <w:rPr>
          <w:sz w:val="20"/>
        </w:rPr>
        <w:t>, Mechelen, Kluwer 2014, 67</w:t>
      </w:r>
      <w:r>
        <w:rPr>
          <w:sz w:val="20"/>
        </w:rPr>
        <w:t>6.</w:t>
      </w:r>
    </w:p>
  </w:footnote>
  <w:footnote w:id="41">
    <w:p w14:paraId="3E7B2CEB" w14:textId="77777777" w:rsidR="00C97F8C" w:rsidRPr="006969D4" w:rsidRDefault="00C97F8C" w:rsidP="00B768BB">
      <w:pPr>
        <w:pStyle w:val="Voetnoottekst"/>
        <w:rPr>
          <w:lang w:val="nl-BE"/>
        </w:rPr>
      </w:pPr>
      <w:r>
        <w:rPr>
          <w:rStyle w:val="Voetnootmarkering"/>
        </w:rPr>
        <w:footnoteRef/>
      </w:r>
      <w:r>
        <w:t xml:space="preserve"> </w:t>
      </w:r>
      <w:r>
        <w:rPr>
          <w:sz w:val="20"/>
        </w:rPr>
        <w:t>Ook voor registergoederen bestaat er derdenbescherming. Deze wordt verleend door artikel 3:88 Nieuw Burgerlijk Wetboek.</w:t>
      </w:r>
      <w:r w:rsidRPr="006969D4">
        <w:rPr>
          <w:sz w:val="20"/>
          <w:lang w:val="nl-BE"/>
        </w:rPr>
        <w:t>Artikel 3:86 Nieuw Burgerlijk Wetboek;</w:t>
      </w:r>
      <w:r>
        <w:rPr>
          <w:sz w:val="20"/>
          <w:lang w:val="nl-BE"/>
        </w:rPr>
        <w:t xml:space="preserve"> </w:t>
      </w:r>
      <w:r w:rsidRPr="00862B0F">
        <w:rPr>
          <w:smallCaps/>
          <w:sz w:val="20"/>
        </w:rPr>
        <w:t xml:space="preserve">W.H.M. Reehuis en A.H.T. Heisterkamp, </w:t>
      </w:r>
      <w:r>
        <w:rPr>
          <w:i/>
          <w:sz w:val="20"/>
        </w:rPr>
        <w:t xml:space="preserve">Goederenrecht, </w:t>
      </w:r>
      <w:r w:rsidRPr="002D5D53">
        <w:rPr>
          <w:sz w:val="20"/>
        </w:rPr>
        <w:t>Deventer</w:t>
      </w:r>
      <w:r>
        <w:rPr>
          <w:i/>
          <w:sz w:val="20"/>
        </w:rPr>
        <w:t xml:space="preserve">, </w:t>
      </w:r>
      <w:r>
        <w:rPr>
          <w:sz w:val="20"/>
        </w:rPr>
        <w:t>Kluwer 2006</w:t>
      </w:r>
      <w:r>
        <w:rPr>
          <w:i/>
          <w:sz w:val="20"/>
        </w:rPr>
        <w:t xml:space="preserve">, </w:t>
      </w:r>
      <w:r>
        <w:rPr>
          <w:sz w:val="20"/>
        </w:rPr>
        <w:t>134;</w:t>
      </w:r>
      <w:r>
        <w:rPr>
          <w:lang w:val="nl-BE"/>
        </w:rPr>
        <w:t xml:space="preserve"> </w:t>
      </w:r>
      <w:r>
        <w:rPr>
          <w:smallCaps/>
          <w:sz w:val="20"/>
        </w:rPr>
        <w:t xml:space="preserve">W.H.M. Reehuis, </w:t>
      </w:r>
      <w:r>
        <w:rPr>
          <w:i/>
          <w:sz w:val="20"/>
        </w:rPr>
        <w:t xml:space="preserve">Zwaartepunten van het vermogensrecht, </w:t>
      </w:r>
      <w:r>
        <w:rPr>
          <w:sz w:val="20"/>
        </w:rPr>
        <w:t xml:space="preserve">Kluwer, Deventer 2010, 80; </w:t>
      </w:r>
      <w:r w:rsidRPr="00862B0F">
        <w:rPr>
          <w:smallCaps/>
          <w:sz w:val="20"/>
        </w:rPr>
        <w:t xml:space="preserve">C. Asser, </w:t>
      </w:r>
      <w:r w:rsidRPr="00862B0F">
        <w:rPr>
          <w:i/>
          <w:sz w:val="20"/>
        </w:rPr>
        <w:t xml:space="preserve">Algemeen goederenrecht, </w:t>
      </w:r>
      <w:r w:rsidRPr="00862B0F">
        <w:rPr>
          <w:sz w:val="20"/>
        </w:rPr>
        <w:t xml:space="preserve">3-IV, Deventer, Kluwer 2013, </w:t>
      </w:r>
      <w:r>
        <w:rPr>
          <w:sz w:val="20"/>
        </w:rPr>
        <w:t xml:space="preserve">395; </w:t>
      </w:r>
      <w:r w:rsidRPr="00862B0F">
        <w:rPr>
          <w:smallCaps/>
          <w:sz w:val="20"/>
        </w:rPr>
        <w:t xml:space="preserve">H.J. Snijders en E.B. Rank-Berenschoot, </w:t>
      </w:r>
      <w:r w:rsidRPr="00862B0F">
        <w:rPr>
          <w:i/>
          <w:sz w:val="20"/>
        </w:rPr>
        <w:t xml:space="preserve">Goederenrecht, </w:t>
      </w:r>
      <w:r>
        <w:rPr>
          <w:sz w:val="20"/>
        </w:rPr>
        <w:t>Deventer, Kluwer, 2012, 309. (</w:t>
      </w:r>
      <w:r w:rsidRPr="00862B0F">
        <w:rPr>
          <w:smallCaps/>
          <w:sz w:val="20"/>
        </w:rPr>
        <w:t xml:space="preserve">W.H.M. Reehuis en A.H.T. Heisterkamp, </w:t>
      </w:r>
      <w:r>
        <w:rPr>
          <w:i/>
          <w:sz w:val="20"/>
        </w:rPr>
        <w:t xml:space="preserve">Goederenrecht, </w:t>
      </w:r>
      <w:r w:rsidRPr="002D5D53">
        <w:rPr>
          <w:sz w:val="20"/>
        </w:rPr>
        <w:t>Deventer</w:t>
      </w:r>
      <w:r>
        <w:rPr>
          <w:i/>
          <w:sz w:val="20"/>
        </w:rPr>
        <w:t xml:space="preserve">, </w:t>
      </w:r>
      <w:r>
        <w:rPr>
          <w:sz w:val="20"/>
        </w:rPr>
        <w:t>Kluwer 2006</w:t>
      </w:r>
      <w:r>
        <w:rPr>
          <w:i/>
          <w:sz w:val="20"/>
        </w:rPr>
        <w:t xml:space="preserve">, </w:t>
      </w:r>
      <w:r w:rsidRPr="002D5D53">
        <w:rPr>
          <w:sz w:val="20"/>
        </w:rPr>
        <w:t>189;</w:t>
      </w:r>
      <w:r>
        <w:rPr>
          <w:i/>
          <w:sz w:val="20"/>
        </w:rPr>
        <w:t xml:space="preserve"> </w:t>
      </w:r>
      <w:r w:rsidRPr="00862B0F">
        <w:rPr>
          <w:smallCaps/>
          <w:sz w:val="20"/>
        </w:rPr>
        <w:t xml:space="preserve">H.J. Snijders en E.B. Rank-Berenschoot, </w:t>
      </w:r>
      <w:r w:rsidRPr="00862B0F">
        <w:rPr>
          <w:i/>
          <w:sz w:val="20"/>
        </w:rPr>
        <w:t xml:space="preserve">Goederenrecht, </w:t>
      </w:r>
      <w:r>
        <w:rPr>
          <w:sz w:val="20"/>
        </w:rPr>
        <w:t>Deventer, Kluwer, 2012, 322).</w:t>
      </w:r>
    </w:p>
  </w:footnote>
  <w:footnote w:id="42">
    <w:p w14:paraId="167702CC" w14:textId="77777777" w:rsidR="00C97F8C" w:rsidRPr="00AA69E3" w:rsidRDefault="00C97F8C" w:rsidP="00B768BB">
      <w:pPr>
        <w:pStyle w:val="Voetnoottekst"/>
        <w:rPr>
          <w:lang w:val="nl-BE"/>
        </w:rPr>
      </w:pPr>
      <w:r>
        <w:rPr>
          <w:rStyle w:val="Voetnootmarkering"/>
        </w:rPr>
        <w:footnoteRef/>
      </w:r>
      <w:r>
        <w:t xml:space="preserve"> </w:t>
      </w:r>
      <w:r w:rsidRPr="00862B0F">
        <w:rPr>
          <w:smallCaps/>
          <w:sz w:val="20"/>
        </w:rPr>
        <w:t xml:space="preserve">H.J. Snijders en E.B. Rank-Berenschoot, </w:t>
      </w:r>
      <w:r w:rsidRPr="00862B0F">
        <w:rPr>
          <w:i/>
          <w:sz w:val="20"/>
        </w:rPr>
        <w:t xml:space="preserve">Goederenrecht, </w:t>
      </w:r>
      <w:r>
        <w:rPr>
          <w:sz w:val="20"/>
        </w:rPr>
        <w:t>Deventer, Kluwer, 2012, 216.</w:t>
      </w:r>
    </w:p>
  </w:footnote>
  <w:footnote w:id="43">
    <w:p w14:paraId="6EB31443" w14:textId="7DDA9475" w:rsidR="00C97F8C" w:rsidRPr="00DF5C81" w:rsidRDefault="00C97F8C" w:rsidP="007E38F7">
      <w:pPr>
        <w:pStyle w:val="Voetnoottekst"/>
        <w:rPr>
          <w:lang w:val="nl-BE"/>
        </w:rPr>
      </w:pPr>
      <w:r>
        <w:rPr>
          <w:rStyle w:val="Voetnootmarkering"/>
        </w:rPr>
        <w:footnoteRef/>
      </w:r>
      <w:r>
        <w:t xml:space="preserve"> </w:t>
      </w:r>
      <w:r>
        <w:rPr>
          <w:smallCaps/>
          <w:sz w:val="20"/>
          <w:lang w:val="nl-BE"/>
        </w:rPr>
        <w:t xml:space="preserve">H. De Page, </w:t>
      </w:r>
      <w:r>
        <w:rPr>
          <w:i/>
          <w:sz w:val="20"/>
          <w:lang w:val="nl-BE"/>
        </w:rPr>
        <w:t xml:space="preserve">Traité élémentaire de droit civil belge -  Tome V, </w:t>
      </w:r>
      <w:r>
        <w:rPr>
          <w:sz w:val="20"/>
          <w:lang w:val="nl-BE"/>
        </w:rPr>
        <w:t xml:space="preserve">Brussel, Bruylant 1975, 924; </w:t>
      </w:r>
      <w:r>
        <w:rPr>
          <w:smallCaps/>
          <w:sz w:val="20"/>
        </w:rPr>
        <w:t xml:space="preserve">J. Hansenne, </w:t>
      </w:r>
      <w:r>
        <w:rPr>
          <w:sz w:val="20"/>
        </w:rPr>
        <w:t xml:space="preserve">“Les biens”, in </w:t>
      </w:r>
      <w:r>
        <w:rPr>
          <w:i/>
          <w:sz w:val="20"/>
        </w:rPr>
        <w:t xml:space="preserve">Chronique de droit à l’usage du Palais, </w:t>
      </w:r>
      <w:r>
        <w:rPr>
          <w:sz w:val="20"/>
        </w:rPr>
        <w:t xml:space="preserve">Brussel, Story-Scientia, 31; </w:t>
      </w:r>
      <w:r>
        <w:rPr>
          <w:smallCaps/>
          <w:sz w:val="20"/>
        </w:rPr>
        <w:t xml:space="preserve">H. Vandenberghe, </w:t>
      </w:r>
      <w:r>
        <w:rPr>
          <w:i/>
          <w:sz w:val="20"/>
        </w:rPr>
        <w:t xml:space="preserve">Goederenrecht, </w:t>
      </w:r>
      <w:r>
        <w:rPr>
          <w:sz w:val="20"/>
        </w:rPr>
        <w:t>Leuven Acco 2006, 125;</w:t>
      </w:r>
      <w:r>
        <w:rPr>
          <w:sz w:val="20"/>
          <w:lang w:val="nl-BE"/>
        </w:rPr>
        <w:t xml:space="preserve">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w:t>
      </w:r>
      <w:r>
        <w:rPr>
          <w:sz w:val="20"/>
          <w:lang w:val="nl-BE"/>
        </w:rPr>
        <w:t xml:space="preserve">6;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 xml:space="preserve">50; </w:t>
      </w:r>
      <w:r>
        <w:rPr>
          <w:smallCaps/>
          <w:sz w:val="20"/>
        </w:rPr>
        <w:t xml:space="preserve">R. Derine, F. Van Neste, H. Vandenberghe, </w:t>
      </w:r>
      <w:r>
        <w:rPr>
          <w:i/>
          <w:sz w:val="20"/>
        </w:rPr>
        <w:t xml:space="preserve">Zakenrecht – Deel 1.B, </w:t>
      </w:r>
      <w:r>
        <w:rPr>
          <w:sz w:val="20"/>
        </w:rPr>
        <w:t>Antwerpen, Standaard 1974, 919; J</w:t>
      </w:r>
      <w:r>
        <w:rPr>
          <w:smallCaps/>
          <w:sz w:val="20"/>
        </w:rPr>
        <w:t xml:space="preserve">. Del Corral, </w:t>
      </w:r>
      <w:r>
        <w:rPr>
          <w:sz w:val="20"/>
        </w:rPr>
        <w:t xml:space="preserve">“Bezit geldt als titel van eigendom”, </w:t>
      </w:r>
      <w:r>
        <w:rPr>
          <w:i/>
          <w:sz w:val="20"/>
        </w:rPr>
        <w:t xml:space="preserve">Not. Fisc. M. </w:t>
      </w:r>
      <w:r>
        <w:rPr>
          <w:sz w:val="20"/>
        </w:rPr>
        <w:t xml:space="preserve">2008, 317; </w:t>
      </w:r>
      <w:r>
        <w:rPr>
          <w:smallCaps/>
          <w:sz w:val="20"/>
        </w:rPr>
        <w:t>J.</w:t>
      </w:r>
      <w:r w:rsidRPr="00862B0F">
        <w:rPr>
          <w:smallCaps/>
          <w:sz w:val="20"/>
        </w:rPr>
        <w:t xml:space="preserve"> Del Corral, </w:t>
      </w:r>
      <w:r w:rsidRPr="00862B0F">
        <w:rPr>
          <w:i/>
          <w:sz w:val="20"/>
        </w:rPr>
        <w:t>De leveringsplicht bij de overdracht van roerende lichamelijke goederen</w:t>
      </w:r>
      <w:r w:rsidRPr="00862B0F">
        <w:rPr>
          <w:sz w:val="20"/>
        </w:rPr>
        <w:t>,</w:t>
      </w:r>
      <w:r>
        <w:rPr>
          <w:sz w:val="20"/>
        </w:rPr>
        <w:t xml:space="preserve"> Antwerpen, Intersentia, 2013, 508; V</w:t>
      </w:r>
      <w:r w:rsidRPr="00862B0F">
        <w:rPr>
          <w:smallCaps/>
          <w:sz w:val="20"/>
        </w:rPr>
        <w:t xml:space="preserve">. Sagaert, </w:t>
      </w:r>
      <w:r w:rsidRPr="00862B0F">
        <w:rPr>
          <w:i/>
          <w:sz w:val="20"/>
        </w:rPr>
        <w:t>Beginselen van Belgisch Privaatrecht – V – Goederenrecht</w:t>
      </w:r>
      <w:r w:rsidRPr="00862B0F">
        <w:rPr>
          <w:sz w:val="20"/>
        </w:rPr>
        <w:t>, Mechelen, Kluwer 2014, 67</w:t>
      </w:r>
      <w:r>
        <w:rPr>
          <w:sz w:val="20"/>
        </w:rPr>
        <w:t>8.</w:t>
      </w:r>
    </w:p>
  </w:footnote>
  <w:footnote w:id="44">
    <w:p w14:paraId="671D4B78" w14:textId="77777777" w:rsidR="00C97F8C" w:rsidRPr="0060414E" w:rsidRDefault="00C97F8C" w:rsidP="007E38F7">
      <w:pPr>
        <w:pStyle w:val="Voetnoottekst"/>
        <w:rPr>
          <w:sz w:val="20"/>
          <w:lang w:val="nl-BE"/>
        </w:rPr>
      </w:pPr>
      <w:r>
        <w:rPr>
          <w:rStyle w:val="Voetnootmarkering"/>
        </w:rPr>
        <w:footnoteRef/>
      </w:r>
      <w:r>
        <w:t xml:space="preserve"> </w:t>
      </w:r>
      <w:r>
        <w:rPr>
          <w:sz w:val="20"/>
          <w:lang w:val="nl-BE"/>
        </w:rPr>
        <w:t xml:space="preserve">Brussel 7 juli 1920, </w:t>
      </w:r>
      <w:r>
        <w:rPr>
          <w:i/>
          <w:sz w:val="20"/>
          <w:lang w:val="nl-BE"/>
        </w:rPr>
        <w:t xml:space="preserve">Pas. </w:t>
      </w:r>
      <w:r>
        <w:rPr>
          <w:sz w:val="20"/>
          <w:lang w:val="nl-BE"/>
        </w:rPr>
        <w:t xml:space="preserve">1920, 148; Brussel 11 februari 1964, </w:t>
      </w:r>
      <w:r>
        <w:rPr>
          <w:i/>
          <w:sz w:val="20"/>
          <w:lang w:val="nl-BE"/>
        </w:rPr>
        <w:t xml:space="preserve">Pas. </w:t>
      </w:r>
      <w:r>
        <w:rPr>
          <w:sz w:val="20"/>
          <w:lang w:val="nl-BE"/>
        </w:rPr>
        <w:t xml:space="preserve">1965, 74; Brussel 11 maart 1969, </w:t>
      </w:r>
      <w:r>
        <w:rPr>
          <w:i/>
          <w:sz w:val="20"/>
          <w:lang w:val="nl-BE"/>
        </w:rPr>
        <w:t xml:space="preserve">Pas. </w:t>
      </w:r>
      <w:r>
        <w:rPr>
          <w:sz w:val="20"/>
          <w:lang w:val="nl-BE"/>
        </w:rPr>
        <w:t>1969, 134.</w:t>
      </w:r>
    </w:p>
  </w:footnote>
  <w:footnote w:id="45">
    <w:p w14:paraId="69E5219E" w14:textId="1009D4D6" w:rsidR="00C97F8C" w:rsidRPr="00AF4CDD" w:rsidRDefault="00C97F8C" w:rsidP="007E38F7">
      <w:pPr>
        <w:pStyle w:val="Voetnoottekst"/>
        <w:rPr>
          <w:lang w:val="nl-BE"/>
        </w:rPr>
      </w:pPr>
      <w:r>
        <w:rPr>
          <w:rStyle w:val="Voetnootmarkering"/>
        </w:rPr>
        <w:footnoteRef/>
      </w:r>
      <w:r>
        <w:t xml:space="preserve">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372;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Librairies techniques 1961,</w:t>
      </w:r>
      <w:r>
        <w:rPr>
          <w:sz w:val="20"/>
        </w:rPr>
        <w:t xml:space="preserve"> 379; </w:t>
      </w:r>
      <w:r>
        <w:rPr>
          <w:smallCaps/>
          <w:sz w:val="20"/>
        </w:rPr>
        <w:t xml:space="preserve">A. Weill, F. Terré, P. Simler, </w:t>
      </w:r>
      <w:r>
        <w:rPr>
          <w:i/>
          <w:sz w:val="20"/>
        </w:rPr>
        <w:t xml:space="preserve">Les biens, </w:t>
      </w:r>
      <w:r>
        <w:rPr>
          <w:sz w:val="20"/>
        </w:rPr>
        <w:t xml:space="preserve">Parijs, Dalloz 1985,365; </w:t>
      </w:r>
      <w:r>
        <w:rPr>
          <w:smallCaps/>
          <w:sz w:val="20"/>
        </w:rPr>
        <w:t xml:space="preserve">P. Jourdain, </w:t>
      </w:r>
      <w:r>
        <w:rPr>
          <w:sz w:val="20"/>
        </w:rPr>
        <w:t xml:space="preserve">“Les biens”, in </w:t>
      </w:r>
      <w:r>
        <w:rPr>
          <w:i/>
          <w:sz w:val="20"/>
        </w:rPr>
        <w:t xml:space="preserve">Marty en Raynaud, </w:t>
      </w:r>
      <w:r>
        <w:rPr>
          <w:sz w:val="20"/>
        </w:rPr>
        <w:t xml:space="preserve">Parijs, Dalloz 1995, 474; J.L. </w:t>
      </w:r>
      <w:r>
        <w:rPr>
          <w:smallCaps/>
          <w:sz w:val="20"/>
        </w:rPr>
        <w:t xml:space="preserve">Bergel, M. Bruschi, S. Cimamonti, </w:t>
      </w:r>
      <w:r>
        <w:rPr>
          <w:i/>
          <w:sz w:val="20"/>
        </w:rPr>
        <w:t xml:space="preserve">Traité de droit civil. Les Biens, </w:t>
      </w:r>
      <w:r>
        <w:rPr>
          <w:sz w:val="20"/>
        </w:rPr>
        <w:t xml:space="preserve">Parijs, Librairie Générale de Droit et de Jurisprudence 2000, 239; </w:t>
      </w:r>
      <w:r>
        <w:rPr>
          <w:smallCaps/>
          <w:sz w:val="20"/>
        </w:rPr>
        <w:t xml:space="preserve">F. Terré, P. Simler, </w:t>
      </w:r>
      <w:r>
        <w:rPr>
          <w:i/>
          <w:sz w:val="20"/>
        </w:rPr>
        <w:t xml:space="preserve">Droit Civil. Les Biens, </w:t>
      </w:r>
      <w:r>
        <w:rPr>
          <w:sz w:val="20"/>
        </w:rPr>
        <w:t xml:space="preserve">Parijs, Dalloz 2006, </w:t>
      </w:r>
      <w:r w:rsidRPr="000334CD">
        <w:rPr>
          <w:sz w:val="20"/>
        </w:rPr>
        <w:t>344</w:t>
      </w:r>
      <w:r>
        <w:rPr>
          <w:sz w:val="20"/>
        </w:rPr>
        <w:t xml:space="preserve">; </w:t>
      </w:r>
      <w:r>
        <w:rPr>
          <w:smallCaps/>
          <w:sz w:val="20"/>
          <w:lang w:val="nl-BE"/>
        </w:rPr>
        <w:t xml:space="preserve">P. Malaurie, L. Aynes, </w:t>
      </w:r>
      <w:r>
        <w:rPr>
          <w:i/>
          <w:sz w:val="20"/>
          <w:lang w:val="nl-BE"/>
        </w:rPr>
        <w:t xml:space="preserve">Les Biens, </w:t>
      </w:r>
      <w:r>
        <w:rPr>
          <w:sz w:val="20"/>
          <w:lang w:val="nl-BE"/>
        </w:rPr>
        <w:t xml:space="preserve">Parijs, Defrénois 2010, 179; </w:t>
      </w:r>
      <w:r>
        <w:rPr>
          <w:smallCaps/>
          <w:sz w:val="20"/>
        </w:rPr>
        <w:t xml:space="preserve">W. Dross, </w:t>
      </w:r>
      <w:r>
        <w:rPr>
          <w:i/>
          <w:sz w:val="20"/>
        </w:rPr>
        <w:t xml:space="preserve">Droit des Biens, </w:t>
      </w:r>
      <w:r>
        <w:rPr>
          <w:sz w:val="20"/>
        </w:rPr>
        <w:t xml:space="preserve">Parijs, Montchrestien 2012, 245.; </w:t>
      </w:r>
      <w:r>
        <w:rPr>
          <w:smallCaps/>
          <w:sz w:val="20"/>
        </w:rPr>
        <w:t xml:space="preserve">W. Dross, </w:t>
      </w:r>
      <w:r>
        <w:rPr>
          <w:i/>
          <w:sz w:val="20"/>
        </w:rPr>
        <w:t xml:space="preserve">Les choses, </w:t>
      </w:r>
      <w:r>
        <w:rPr>
          <w:sz w:val="20"/>
        </w:rPr>
        <w:t xml:space="preserve">Parijs, LGDJ Lextenso éditions 2012, 547; </w:t>
      </w:r>
      <w:r>
        <w:rPr>
          <w:smallCaps/>
          <w:sz w:val="20"/>
        </w:rPr>
        <w:t xml:space="preserve">C. Atias, </w:t>
      </w:r>
      <w:r>
        <w:rPr>
          <w:i/>
          <w:sz w:val="20"/>
        </w:rPr>
        <w:t>Manuel Droit Civil. Les Biens,</w:t>
      </w:r>
      <w:r>
        <w:rPr>
          <w:sz w:val="20"/>
        </w:rPr>
        <w:t xml:space="preserve"> Parijs, Litec 2014, 252.</w:t>
      </w:r>
    </w:p>
  </w:footnote>
  <w:footnote w:id="46">
    <w:p w14:paraId="1647A13D" w14:textId="77777777" w:rsidR="00C97F8C" w:rsidRPr="00ED6D4F" w:rsidRDefault="00C97F8C" w:rsidP="007E38F7">
      <w:pPr>
        <w:pStyle w:val="Voetnoottekst"/>
        <w:rPr>
          <w:sz w:val="20"/>
          <w:lang w:val="nl-BE"/>
        </w:rPr>
      </w:pPr>
      <w:r>
        <w:rPr>
          <w:rStyle w:val="Voetnootmarkering"/>
        </w:rPr>
        <w:footnoteRef/>
      </w:r>
      <w:r>
        <w:t xml:space="preserve"> </w:t>
      </w:r>
      <w:r w:rsidRPr="00D03752">
        <w:rPr>
          <w:smallCaps/>
          <w:sz w:val="20"/>
          <w:lang w:val="nl-BE"/>
        </w:rPr>
        <w:t>J. Van Kokelenberg, V. Sagaert, T Van Sinay en R. Jansen, “</w:t>
      </w:r>
      <w:r w:rsidRPr="00D03752">
        <w:rPr>
          <w:sz w:val="20"/>
          <w:lang w:val="nl-BE"/>
        </w:rPr>
        <w:t xml:space="preserve">Zakenrecht – overzicht van rechtspraak (2000-2008)”, </w:t>
      </w:r>
      <w:r w:rsidRPr="00D03752">
        <w:rPr>
          <w:i/>
          <w:sz w:val="20"/>
          <w:lang w:val="nl-BE"/>
        </w:rPr>
        <w:t xml:space="preserve">TPR </w:t>
      </w:r>
      <w:r w:rsidRPr="00D03752">
        <w:rPr>
          <w:sz w:val="20"/>
          <w:lang w:val="nl-BE"/>
        </w:rPr>
        <w:t xml:space="preserve"> 2009, 1690; </w:t>
      </w:r>
      <w:r w:rsidRPr="00D03752">
        <w:rPr>
          <w:smallCaps/>
          <w:sz w:val="20"/>
          <w:lang w:val="nl-BE"/>
        </w:rPr>
        <w:t xml:space="preserve">K. Vanhove, </w:t>
      </w:r>
      <w:r w:rsidRPr="00D03752">
        <w:rPr>
          <w:sz w:val="20"/>
          <w:lang w:val="nl-BE"/>
        </w:rPr>
        <w:t xml:space="preserve">“Bezit en revindicatie bij sale en leaseback”, </w:t>
      </w:r>
      <w:r w:rsidRPr="00D03752">
        <w:rPr>
          <w:i/>
          <w:sz w:val="20"/>
          <w:lang w:val="nl-BE"/>
        </w:rPr>
        <w:t xml:space="preserve">NJW </w:t>
      </w:r>
      <w:r>
        <w:rPr>
          <w:sz w:val="20"/>
          <w:lang w:val="nl-BE"/>
        </w:rPr>
        <w:t xml:space="preserve">2003, 153; </w:t>
      </w:r>
    </w:p>
  </w:footnote>
  <w:footnote w:id="47">
    <w:p w14:paraId="550157C8" w14:textId="77777777" w:rsidR="00C97F8C" w:rsidRPr="00C63282" w:rsidRDefault="00C97F8C" w:rsidP="007E38F7">
      <w:pPr>
        <w:pStyle w:val="Voetnoottekst"/>
        <w:rPr>
          <w:lang w:val="nl-BE"/>
        </w:rPr>
      </w:pPr>
      <w:r>
        <w:rPr>
          <w:rStyle w:val="Voetnootmarkering"/>
        </w:rPr>
        <w:footnoteRef/>
      </w:r>
      <w:r>
        <w:t xml:space="preserve"> </w:t>
      </w:r>
      <w:r>
        <w:rPr>
          <w:sz w:val="20"/>
        </w:rPr>
        <w:t xml:space="preserve">Cass. 7 september 2001, </w:t>
      </w:r>
      <w:r>
        <w:rPr>
          <w:i/>
          <w:sz w:val="20"/>
        </w:rPr>
        <w:t xml:space="preserve">JT </w:t>
      </w:r>
      <w:r>
        <w:rPr>
          <w:sz w:val="20"/>
        </w:rPr>
        <w:t xml:space="preserve">2001, 825, noot </w:t>
      </w:r>
      <w:r>
        <w:rPr>
          <w:smallCaps/>
          <w:sz w:val="20"/>
        </w:rPr>
        <w:t xml:space="preserve">P. Lecocq;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w:t>
      </w:r>
      <w:r>
        <w:rPr>
          <w:sz w:val="20"/>
          <w:lang w:val="nl-BE"/>
        </w:rPr>
        <w:t xml:space="preserve">7;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53.</w:t>
      </w:r>
    </w:p>
  </w:footnote>
  <w:footnote w:id="48">
    <w:p w14:paraId="2F917D75" w14:textId="77777777" w:rsidR="00C97F8C" w:rsidRPr="002373E1" w:rsidRDefault="00C97F8C" w:rsidP="007E38F7">
      <w:pPr>
        <w:pStyle w:val="Voetnoottekst"/>
        <w:rPr>
          <w:lang w:val="nl-BE"/>
        </w:rPr>
      </w:pPr>
      <w:r>
        <w:rPr>
          <w:rStyle w:val="Voetnootmarkering"/>
        </w:rPr>
        <w:footnoteRef/>
      </w:r>
      <w:r w:rsidRPr="006460FD">
        <w:rPr>
          <w:lang w:val="en-GB"/>
        </w:rPr>
        <w:t xml:space="preserve"> </w:t>
      </w:r>
      <w:r w:rsidRPr="006460FD">
        <w:rPr>
          <w:sz w:val="20"/>
          <w:lang w:val="en-GB"/>
        </w:rPr>
        <w:t xml:space="preserve">M.-L. </w:t>
      </w:r>
      <w:r w:rsidRPr="006460FD">
        <w:rPr>
          <w:smallCaps/>
          <w:sz w:val="20"/>
          <w:lang w:val="en-GB"/>
        </w:rPr>
        <w:t xml:space="preserve">Mathieu, </w:t>
      </w:r>
      <w:r w:rsidRPr="006460FD">
        <w:rPr>
          <w:i/>
          <w:sz w:val="20"/>
          <w:lang w:val="en-GB"/>
        </w:rPr>
        <w:t xml:space="preserve">Droit Civil. </w:t>
      </w:r>
      <w:r>
        <w:rPr>
          <w:i/>
          <w:sz w:val="20"/>
        </w:rPr>
        <w:t xml:space="preserve">Les Biens, </w:t>
      </w:r>
      <w:r>
        <w:rPr>
          <w:sz w:val="20"/>
        </w:rPr>
        <w:t>Parijs, Dalloz 2013, 338.</w:t>
      </w:r>
    </w:p>
  </w:footnote>
  <w:footnote w:id="49">
    <w:p w14:paraId="7B86B742" w14:textId="77777777" w:rsidR="00C97F8C" w:rsidRPr="00AC0357" w:rsidRDefault="00C97F8C" w:rsidP="007E38F7">
      <w:pPr>
        <w:pStyle w:val="Voetnoottekst"/>
        <w:rPr>
          <w:sz w:val="20"/>
          <w:lang w:val="nl-BE"/>
        </w:rPr>
      </w:pPr>
      <w:r>
        <w:rPr>
          <w:rStyle w:val="Voetnootmarkering"/>
        </w:rPr>
        <w:footnoteRef/>
      </w:r>
      <w:r>
        <w:t xml:space="preserve"> </w:t>
      </w:r>
      <w:r w:rsidRPr="00BF2D8B">
        <w:rPr>
          <w:sz w:val="20"/>
          <w:lang w:val="nl-BE"/>
        </w:rPr>
        <w:t>Antwerpen</w:t>
      </w:r>
      <w:r>
        <w:rPr>
          <w:sz w:val="20"/>
          <w:lang w:val="nl-BE"/>
        </w:rPr>
        <w:t xml:space="preserve"> 12 februari 2001, </w:t>
      </w:r>
      <w:r>
        <w:rPr>
          <w:i/>
          <w:sz w:val="20"/>
          <w:lang w:val="nl-BE"/>
        </w:rPr>
        <w:t xml:space="preserve">RW </w:t>
      </w:r>
      <w:r>
        <w:rPr>
          <w:sz w:val="20"/>
          <w:lang w:val="nl-BE"/>
        </w:rPr>
        <w:t xml:space="preserve">2001-02, 603; Antwerpen, 3 december 2007, </w:t>
      </w:r>
      <w:r>
        <w:rPr>
          <w:i/>
          <w:sz w:val="20"/>
          <w:lang w:val="nl-BE"/>
        </w:rPr>
        <w:t xml:space="preserve">RW </w:t>
      </w:r>
      <w:r>
        <w:rPr>
          <w:sz w:val="20"/>
          <w:lang w:val="nl-BE"/>
        </w:rPr>
        <w:t xml:space="preserve">2008-09, 961, noot </w:t>
      </w:r>
      <w:r>
        <w:rPr>
          <w:smallCaps/>
          <w:sz w:val="20"/>
          <w:lang w:val="nl-BE"/>
        </w:rPr>
        <w:t xml:space="preserve">V. Sagaert;  </w:t>
      </w:r>
      <w:r>
        <w:rPr>
          <w:sz w:val="20"/>
          <w:lang w:val="nl-BE"/>
        </w:rPr>
        <w:t xml:space="preserve">Rb. Koophandel Namen 14 juli 1977 en 5 januari 1978, </w:t>
      </w:r>
      <w:r>
        <w:rPr>
          <w:i/>
          <w:sz w:val="20"/>
          <w:lang w:val="nl-BE"/>
        </w:rPr>
        <w:t>Rev. rég. dr.</w:t>
      </w:r>
      <w:r>
        <w:rPr>
          <w:sz w:val="20"/>
          <w:lang w:val="nl-BE"/>
        </w:rPr>
        <w:t xml:space="preserve">1978, 615. </w:t>
      </w:r>
    </w:p>
  </w:footnote>
  <w:footnote w:id="50">
    <w:p w14:paraId="7A31634C" w14:textId="77777777" w:rsidR="00C97F8C" w:rsidRPr="00930779" w:rsidRDefault="00C97F8C" w:rsidP="007E38F7">
      <w:pPr>
        <w:pStyle w:val="Voetnoottekst"/>
        <w:rPr>
          <w:lang w:val="nl-BE"/>
        </w:rPr>
      </w:pPr>
      <w:r>
        <w:rPr>
          <w:rStyle w:val="Voetnootmarkering"/>
        </w:rPr>
        <w:footnoteRef/>
      </w:r>
      <w:r>
        <w:t xml:space="preserve"> </w:t>
      </w:r>
      <w:r w:rsidRPr="00862B0F">
        <w:rPr>
          <w:smallCaps/>
          <w:sz w:val="20"/>
        </w:rPr>
        <w:t xml:space="preserve">C. Asser, </w:t>
      </w:r>
      <w:r w:rsidRPr="00862B0F">
        <w:rPr>
          <w:i/>
          <w:sz w:val="20"/>
        </w:rPr>
        <w:t xml:space="preserve">Algemeen goederenrecht, </w:t>
      </w:r>
      <w:r w:rsidRPr="00862B0F">
        <w:rPr>
          <w:sz w:val="20"/>
        </w:rPr>
        <w:t>3-IV, Deventer, Kluwer 2013</w:t>
      </w:r>
      <w:r w:rsidRPr="000334CD">
        <w:rPr>
          <w:sz w:val="20"/>
        </w:rPr>
        <w:t>, 405.</w:t>
      </w:r>
    </w:p>
  </w:footnote>
  <w:footnote w:id="51">
    <w:p w14:paraId="53BB526B" w14:textId="77777777" w:rsidR="00C97F8C" w:rsidRPr="00930779" w:rsidRDefault="00C97F8C" w:rsidP="00B768BB">
      <w:pPr>
        <w:pStyle w:val="Voetnoottekst"/>
        <w:rPr>
          <w:lang w:val="nl-BE"/>
        </w:rPr>
      </w:pPr>
      <w:r>
        <w:rPr>
          <w:rStyle w:val="Voetnootmarkering"/>
        </w:rPr>
        <w:footnoteRef/>
      </w:r>
      <w:r>
        <w:t xml:space="preserve"> </w:t>
      </w:r>
      <w:r>
        <w:rPr>
          <w:smallCaps/>
          <w:sz w:val="20"/>
        </w:rPr>
        <w:t>J.</w:t>
      </w:r>
      <w:r w:rsidRPr="00862B0F">
        <w:rPr>
          <w:smallCaps/>
          <w:sz w:val="20"/>
        </w:rPr>
        <w:t xml:space="preserve"> Del Corral, </w:t>
      </w:r>
      <w:r w:rsidRPr="00862B0F">
        <w:rPr>
          <w:i/>
          <w:sz w:val="20"/>
        </w:rPr>
        <w:t>De leveringsplicht bij de overdracht van roerende lichamelijke goederen</w:t>
      </w:r>
      <w:r w:rsidRPr="00862B0F">
        <w:rPr>
          <w:sz w:val="20"/>
        </w:rPr>
        <w:t>,</w:t>
      </w:r>
      <w:r>
        <w:rPr>
          <w:sz w:val="20"/>
        </w:rPr>
        <w:t xml:space="preserve"> Antwerpen, Intersentia, 2013, 508.</w:t>
      </w:r>
    </w:p>
  </w:footnote>
  <w:footnote w:id="52">
    <w:p w14:paraId="6E1BD4D7" w14:textId="182C5AB2" w:rsidR="00C97F8C" w:rsidRPr="002107FC" w:rsidRDefault="00C97F8C" w:rsidP="002107FC">
      <w:pPr>
        <w:pStyle w:val="Voetnoottekst"/>
        <w:rPr>
          <w:sz w:val="20"/>
        </w:rPr>
      </w:pPr>
      <w:r>
        <w:rPr>
          <w:rStyle w:val="Voetnootmarkering"/>
        </w:rPr>
        <w:footnoteRef/>
      </w:r>
      <w:r>
        <w:t xml:space="preserve"> </w:t>
      </w:r>
      <w:r>
        <w:rPr>
          <w:smallCaps/>
          <w:sz w:val="20"/>
        </w:rPr>
        <w:t xml:space="preserve">A. Kluyskens, </w:t>
      </w:r>
      <w:r>
        <w:rPr>
          <w:i/>
          <w:sz w:val="20"/>
        </w:rPr>
        <w:t xml:space="preserve">Beginselen van Burgerlijk Recht – Zakenrecht, </w:t>
      </w:r>
      <w:r>
        <w:rPr>
          <w:sz w:val="20"/>
        </w:rPr>
        <w:t xml:space="preserve">Standaard, Gent 1940, 70; </w:t>
      </w:r>
      <w:r>
        <w:rPr>
          <w:smallCaps/>
          <w:sz w:val="20"/>
        </w:rPr>
        <w:t xml:space="preserve">R. Derine, F. Van Neste, H. Vandenberghe, </w:t>
      </w:r>
      <w:r>
        <w:rPr>
          <w:i/>
          <w:sz w:val="20"/>
        </w:rPr>
        <w:t xml:space="preserve">Zakenrecht – Deel 1.B, </w:t>
      </w:r>
      <w:r>
        <w:rPr>
          <w:sz w:val="20"/>
        </w:rPr>
        <w:t xml:space="preserve">Antwerpen, Standaard 1974, 924-925; </w:t>
      </w:r>
      <w:r>
        <w:rPr>
          <w:smallCaps/>
          <w:sz w:val="20"/>
          <w:lang w:val="nl-BE"/>
        </w:rPr>
        <w:t xml:space="preserve">H. De Page, </w:t>
      </w:r>
      <w:r>
        <w:rPr>
          <w:i/>
          <w:sz w:val="20"/>
          <w:lang w:val="nl-BE"/>
        </w:rPr>
        <w:t xml:space="preserve">Traité élémentaire de droit civil belge -  Tome V, </w:t>
      </w:r>
      <w:r>
        <w:rPr>
          <w:sz w:val="20"/>
          <w:lang w:val="nl-BE"/>
        </w:rPr>
        <w:t xml:space="preserve">Brussel, Bruylant 1975, 933; </w:t>
      </w:r>
      <w:r>
        <w:rPr>
          <w:smallCaps/>
          <w:sz w:val="20"/>
        </w:rPr>
        <w:t xml:space="preserve">J. Hansenne, </w:t>
      </w:r>
      <w:r>
        <w:rPr>
          <w:sz w:val="20"/>
        </w:rPr>
        <w:t xml:space="preserve">“Les biens”, in </w:t>
      </w:r>
      <w:r>
        <w:rPr>
          <w:i/>
          <w:sz w:val="20"/>
        </w:rPr>
        <w:t xml:space="preserve">Chronique de droit à l’usage du Palais, </w:t>
      </w:r>
      <w:r>
        <w:rPr>
          <w:sz w:val="20"/>
        </w:rPr>
        <w:t xml:space="preserve">Brussel, Story-Scientia, 31; </w:t>
      </w:r>
      <w:r>
        <w:rPr>
          <w:smallCaps/>
          <w:sz w:val="20"/>
        </w:rPr>
        <w:t xml:space="preserve">H. Vandenberghe, </w:t>
      </w:r>
      <w:r>
        <w:rPr>
          <w:i/>
          <w:sz w:val="20"/>
        </w:rPr>
        <w:t xml:space="preserve">Goederenrecht, </w:t>
      </w:r>
      <w:r>
        <w:rPr>
          <w:sz w:val="20"/>
        </w:rPr>
        <w:t xml:space="preserve">Leuven Acco 2006, 126;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w:t>
      </w:r>
      <w:r>
        <w:rPr>
          <w:sz w:val="20"/>
          <w:lang w:val="nl-BE"/>
        </w:rPr>
        <w:t xml:space="preserve">8; </w:t>
      </w:r>
      <w:r>
        <w:rPr>
          <w:smallCaps/>
          <w:sz w:val="20"/>
        </w:rPr>
        <w:t xml:space="preserve">A.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 xml:space="preserve">Gent 1983, 177; </w:t>
      </w:r>
      <w:r>
        <w:rPr>
          <w:smallCaps/>
          <w:sz w:val="20"/>
        </w:rPr>
        <w:t xml:space="preserve">A. Van Oevelen, </w:t>
      </w:r>
      <w:r>
        <w:rPr>
          <w:sz w:val="20"/>
        </w:rPr>
        <w:t>“ De zogenaamde s</w:t>
      </w:r>
      <w:r w:rsidRPr="002107FC">
        <w:rPr>
          <w:sz w:val="20"/>
        </w:rPr>
        <w:t>ubjectieve" goede trouw in het Belgische materiele privaatrecht</w:t>
      </w:r>
      <w:r>
        <w:rPr>
          <w:sz w:val="20"/>
        </w:rPr>
        <w:t xml:space="preserve"> </w:t>
      </w:r>
      <w:r w:rsidRPr="002107FC">
        <w:rPr>
          <w:sz w:val="20"/>
        </w:rPr>
        <w:t>(in het bijzonder in de materies die het notariaat aanbelangen)</w:t>
      </w:r>
      <w:r>
        <w:rPr>
          <w:sz w:val="20"/>
        </w:rPr>
        <w:t xml:space="preserve">”, </w:t>
      </w:r>
      <w:r>
        <w:rPr>
          <w:i/>
          <w:sz w:val="20"/>
        </w:rPr>
        <w:t xml:space="preserve">TPR </w:t>
      </w:r>
      <w:r>
        <w:rPr>
          <w:sz w:val="20"/>
        </w:rPr>
        <w:t xml:space="preserve">1990, 1106; </w:t>
      </w:r>
      <w:r>
        <w:rPr>
          <w:smallCaps/>
          <w:sz w:val="20"/>
        </w:rPr>
        <w:t xml:space="preserve">M.E. Storme, </w:t>
      </w:r>
      <w:r>
        <w:rPr>
          <w:sz w:val="20"/>
        </w:rPr>
        <w:t xml:space="preserve">“Overdracht van roerende goederen, vestiging van pandrecht, eigendomsvoorbehoud: een poging tot systematisatie” in </w:t>
      </w:r>
      <w:r>
        <w:rPr>
          <w:i/>
          <w:sz w:val="20"/>
        </w:rPr>
        <w:t xml:space="preserve">Zakenrecht; absoluut niet een rustig bezit, </w:t>
      </w:r>
      <w:r>
        <w:rPr>
          <w:sz w:val="20"/>
        </w:rPr>
        <w:t xml:space="preserve">1992, 482; </w:t>
      </w:r>
      <w:r>
        <w:rPr>
          <w:smallCaps/>
          <w:sz w:val="20"/>
        </w:rPr>
        <w:t xml:space="preserve">. Del Corral, </w:t>
      </w:r>
      <w:r>
        <w:rPr>
          <w:sz w:val="20"/>
        </w:rPr>
        <w:t xml:space="preserve">“Bezit geldt als titel van eigendom”, </w:t>
      </w:r>
      <w:r>
        <w:rPr>
          <w:i/>
          <w:sz w:val="20"/>
        </w:rPr>
        <w:t xml:space="preserve">Not. Fisc. M. </w:t>
      </w:r>
      <w:r>
        <w:rPr>
          <w:sz w:val="20"/>
        </w:rPr>
        <w:t xml:space="preserve">2008, 318; </w:t>
      </w:r>
      <w:r>
        <w:rPr>
          <w:smallCaps/>
          <w:sz w:val="20"/>
        </w:rPr>
        <w:t xml:space="preserve">J. Baeck, </w:t>
      </w:r>
      <w:r>
        <w:rPr>
          <w:sz w:val="20"/>
        </w:rPr>
        <w:t xml:space="preserve">“Ontbinding en derden: niet storen a.u.b.”, </w:t>
      </w:r>
      <w:r>
        <w:rPr>
          <w:i/>
          <w:sz w:val="20"/>
        </w:rPr>
        <w:t xml:space="preserve">TPR </w:t>
      </w:r>
      <w:r>
        <w:rPr>
          <w:sz w:val="20"/>
        </w:rPr>
        <w:t xml:space="preserve">2009, 700; </w:t>
      </w:r>
      <w:r>
        <w:rPr>
          <w:smallCaps/>
          <w:sz w:val="20"/>
        </w:rPr>
        <w:t xml:space="preserve">J. Baeck, </w:t>
      </w:r>
      <w:r>
        <w:rPr>
          <w:sz w:val="20"/>
        </w:rPr>
        <w:t xml:space="preserve">“Ontbinding en derden: niet storen a.u.b.”, </w:t>
      </w:r>
      <w:r>
        <w:rPr>
          <w:i/>
          <w:sz w:val="20"/>
        </w:rPr>
        <w:t xml:space="preserve">TPR </w:t>
      </w:r>
      <w:r>
        <w:rPr>
          <w:sz w:val="20"/>
        </w:rPr>
        <w:t>2009, 700</w:t>
      </w:r>
      <w:r w:rsidRPr="00D03752">
        <w:rPr>
          <w:sz w:val="20"/>
        </w:rPr>
        <w:t xml:space="preserve">; </w:t>
      </w:r>
      <w:r w:rsidRPr="00D03752">
        <w:rPr>
          <w:smallCaps/>
          <w:sz w:val="20"/>
          <w:lang w:val="nl-BE"/>
        </w:rPr>
        <w:t xml:space="preserve"> J. Van Kokelenberg, V. Sagaert, T Van Sinay en R. Jansen, “</w:t>
      </w:r>
      <w:r w:rsidRPr="00D03752">
        <w:rPr>
          <w:sz w:val="20"/>
          <w:lang w:val="nl-BE"/>
        </w:rPr>
        <w:t xml:space="preserve">Zakenrecht – overzicht van rechtspraak (2000-2008)”, </w:t>
      </w:r>
      <w:r w:rsidRPr="00D03752">
        <w:rPr>
          <w:i/>
          <w:sz w:val="20"/>
          <w:lang w:val="nl-BE"/>
        </w:rPr>
        <w:t xml:space="preserve">TPR </w:t>
      </w:r>
      <w:r w:rsidRPr="00D03752">
        <w:rPr>
          <w:sz w:val="20"/>
          <w:lang w:val="nl-BE"/>
        </w:rPr>
        <w:t xml:space="preserve"> 2009, 1692</w:t>
      </w:r>
      <w:r>
        <w:rPr>
          <w:sz w:val="20"/>
          <w:lang w:val="nl-BE"/>
        </w:rPr>
        <w:t xml:space="preserve">;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 xml:space="preserve">50,155; </w:t>
      </w:r>
      <w:r>
        <w:rPr>
          <w:smallCaps/>
          <w:sz w:val="20"/>
        </w:rPr>
        <w:t>J.</w:t>
      </w:r>
      <w:r w:rsidRPr="00862B0F">
        <w:rPr>
          <w:smallCaps/>
          <w:sz w:val="20"/>
        </w:rPr>
        <w:t xml:space="preserve"> Del Corral, </w:t>
      </w:r>
      <w:r w:rsidRPr="00862B0F">
        <w:rPr>
          <w:i/>
          <w:sz w:val="20"/>
        </w:rPr>
        <w:t>De leveringsplicht bij de overdracht van roerende lichamelijke goederen</w:t>
      </w:r>
      <w:r w:rsidRPr="00862B0F">
        <w:rPr>
          <w:sz w:val="20"/>
        </w:rPr>
        <w:t>,</w:t>
      </w:r>
      <w:r>
        <w:rPr>
          <w:sz w:val="20"/>
        </w:rPr>
        <w:t xml:space="preserve"> Antwerpen, Intersentia, 2013, 508; </w:t>
      </w:r>
      <w:r>
        <w:rPr>
          <w:smallCaps/>
          <w:sz w:val="20"/>
        </w:rPr>
        <w:t xml:space="preserve">N. Bernard, </w:t>
      </w:r>
      <w:r>
        <w:rPr>
          <w:i/>
          <w:sz w:val="20"/>
        </w:rPr>
        <w:t xml:space="preserve">Precis de droit des biens, </w:t>
      </w:r>
      <w:r>
        <w:rPr>
          <w:sz w:val="20"/>
        </w:rPr>
        <w:t>Limal, Anthemis 2012, 171;  V</w:t>
      </w:r>
      <w:r w:rsidRPr="00862B0F">
        <w:rPr>
          <w:smallCaps/>
          <w:sz w:val="20"/>
        </w:rPr>
        <w:t xml:space="preserve">. Sagaert, </w:t>
      </w:r>
      <w:r w:rsidRPr="00862B0F">
        <w:rPr>
          <w:i/>
          <w:sz w:val="20"/>
        </w:rPr>
        <w:t>Beginselen van Belgisch Privaatrecht – V – Goederenrecht</w:t>
      </w:r>
      <w:r w:rsidRPr="00862B0F">
        <w:rPr>
          <w:sz w:val="20"/>
        </w:rPr>
        <w:t>, Mechelen, Kluwer 2014, 67</w:t>
      </w:r>
      <w:r>
        <w:rPr>
          <w:sz w:val="20"/>
        </w:rPr>
        <w:t xml:space="preserve">8. </w:t>
      </w:r>
      <w:r>
        <w:rPr>
          <w:sz w:val="20"/>
          <w:u w:val="single"/>
        </w:rPr>
        <w:t>Frankrijk:</w:t>
      </w:r>
      <w:r w:rsidRPr="00565F16">
        <w:rPr>
          <w:sz w:val="20"/>
        </w:rPr>
        <w:t xml:space="preserve">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380;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154; </w:t>
      </w:r>
      <w:r>
        <w:rPr>
          <w:smallCaps/>
          <w:sz w:val="20"/>
        </w:rPr>
        <w:t xml:space="preserve">A. Weill, F. Terré, P. Simler, </w:t>
      </w:r>
      <w:r>
        <w:rPr>
          <w:i/>
          <w:sz w:val="20"/>
        </w:rPr>
        <w:t xml:space="preserve">Les biens, </w:t>
      </w:r>
      <w:r>
        <w:rPr>
          <w:sz w:val="20"/>
        </w:rPr>
        <w:t xml:space="preserve">Parijs, Dalloz 1985, 367; </w:t>
      </w:r>
      <w:r>
        <w:rPr>
          <w:smallCaps/>
          <w:sz w:val="20"/>
        </w:rPr>
        <w:t xml:space="preserve">P. Jourdain, </w:t>
      </w:r>
      <w:r>
        <w:rPr>
          <w:sz w:val="20"/>
        </w:rPr>
        <w:t xml:space="preserve">“Les biens”, in </w:t>
      </w:r>
      <w:r>
        <w:rPr>
          <w:i/>
          <w:sz w:val="20"/>
        </w:rPr>
        <w:t xml:space="preserve">Marty en Raynaud, </w:t>
      </w:r>
      <w:r>
        <w:rPr>
          <w:sz w:val="20"/>
        </w:rPr>
        <w:t xml:space="preserve">Parijs, Dalloz 1995, 475; J.L. </w:t>
      </w:r>
      <w:r>
        <w:rPr>
          <w:smallCaps/>
          <w:sz w:val="20"/>
        </w:rPr>
        <w:t xml:space="preserve">Bergel, M. Bruschi, S. Cimamonti, </w:t>
      </w:r>
      <w:r>
        <w:rPr>
          <w:i/>
          <w:sz w:val="20"/>
        </w:rPr>
        <w:t xml:space="preserve">Traité de droit civil. Les Biens, </w:t>
      </w:r>
      <w:r>
        <w:rPr>
          <w:sz w:val="20"/>
        </w:rPr>
        <w:t xml:space="preserve">Parijs, Librairie Générale de Droit et de Jurisprudence 2000, 241; </w:t>
      </w:r>
      <w:r>
        <w:rPr>
          <w:smallCaps/>
          <w:sz w:val="20"/>
        </w:rPr>
        <w:t xml:space="preserve">F. Terré, P. Simler, </w:t>
      </w:r>
      <w:r>
        <w:rPr>
          <w:i/>
          <w:sz w:val="20"/>
        </w:rPr>
        <w:t xml:space="preserve">Droit Civil. Les Biens, </w:t>
      </w:r>
      <w:r>
        <w:rPr>
          <w:sz w:val="20"/>
        </w:rPr>
        <w:t xml:space="preserve">Parijs, Dalloz 2006, </w:t>
      </w:r>
      <w:r w:rsidRPr="000334CD">
        <w:rPr>
          <w:sz w:val="20"/>
        </w:rPr>
        <w:t>345</w:t>
      </w:r>
      <w:r>
        <w:rPr>
          <w:sz w:val="20"/>
        </w:rPr>
        <w:t xml:space="preserve">; </w:t>
      </w:r>
      <w:r>
        <w:rPr>
          <w:smallCaps/>
          <w:sz w:val="20"/>
        </w:rPr>
        <w:t xml:space="preserve">W. Dross, </w:t>
      </w:r>
      <w:r>
        <w:rPr>
          <w:i/>
          <w:sz w:val="20"/>
        </w:rPr>
        <w:t xml:space="preserve">Droit des Biens, </w:t>
      </w:r>
      <w:r>
        <w:rPr>
          <w:sz w:val="20"/>
        </w:rPr>
        <w:t xml:space="preserve">Parijs, Montchrestien 2012, 246; </w:t>
      </w:r>
      <w:r>
        <w:rPr>
          <w:smallCaps/>
          <w:sz w:val="20"/>
        </w:rPr>
        <w:t xml:space="preserve">W. Dross, </w:t>
      </w:r>
      <w:r>
        <w:rPr>
          <w:i/>
          <w:sz w:val="20"/>
        </w:rPr>
        <w:t xml:space="preserve">Les choses, </w:t>
      </w:r>
      <w:r>
        <w:rPr>
          <w:sz w:val="20"/>
        </w:rPr>
        <w:t xml:space="preserve">Parijs, LGDJ Lextenso éditions 2012, 555; M.-L. </w:t>
      </w:r>
      <w:r>
        <w:rPr>
          <w:smallCaps/>
          <w:sz w:val="20"/>
        </w:rPr>
        <w:t xml:space="preserve">Mathieu, </w:t>
      </w:r>
      <w:r>
        <w:rPr>
          <w:i/>
          <w:sz w:val="20"/>
        </w:rPr>
        <w:t xml:space="preserve">Droit Civil. Les Biens, </w:t>
      </w:r>
      <w:r>
        <w:rPr>
          <w:sz w:val="20"/>
        </w:rPr>
        <w:t xml:space="preserve">Parijs, Dalloz 2013, 339; </w:t>
      </w:r>
      <w:r>
        <w:rPr>
          <w:smallCaps/>
          <w:sz w:val="20"/>
        </w:rPr>
        <w:t xml:space="preserve">C. Atias, </w:t>
      </w:r>
      <w:r>
        <w:rPr>
          <w:i/>
          <w:sz w:val="20"/>
        </w:rPr>
        <w:t>Manuel Droit Civil. Les Biens,</w:t>
      </w:r>
      <w:r>
        <w:rPr>
          <w:sz w:val="20"/>
        </w:rPr>
        <w:t xml:space="preserve"> Parijs, Litec 2014, 252.</w:t>
      </w:r>
    </w:p>
  </w:footnote>
  <w:footnote w:id="53">
    <w:p w14:paraId="3CC13976" w14:textId="309F9858" w:rsidR="00C97F8C" w:rsidRPr="00D74EB3" w:rsidRDefault="00C97F8C" w:rsidP="00B768BB">
      <w:pPr>
        <w:pStyle w:val="Voetnoottekst"/>
        <w:rPr>
          <w:lang w:val="nl-BE"/>
        </w:rPr>
      </w:pPr>
      <w:r>
        <w:rPr>
          <w:rStyle w:val="Voetnootmarkering"/>
        </w:rPr>
        <w:footnoteRef/>
      </w:r>
      <w:r>
        <w:t xml:space="preserve"> </w:t>
      </w:r>
      <w:r>
        <w:rPr>
          <w:smallCaps/>
          <w:sz w:val="20"/>
        </w:rPr>
        <w:t xml:space="preserve">A. Kluyskens, </w:t>
      </w:r>
      <w:r>
        <w:rPr>
          <w:i/>
          <w:sz w:val="20"/>
        </w:rPr>
        <w:t xml:space="preserve">Beginselen van Burgerlijk Recht – Zakenrecht, </w:t>
      </w:r>
      <w:r>
        <w:rPr>
          <w:sz w:val="20"/>
        </w:rPr>
        <w:t xml:space="preserve">Standaard, Gent 1940, 70; </w:t>
      </w:r>
      <w:r>
        <w:rPr>
          <w:smallCaps/>
          <w:sz w:val="20"/>
        </w:rPr>
        <w:t xml:space="preserve">A. Kluyskens, </w:t>
      </w:r>
      <w:r>
        <w:rPr>
          <w:i/>
          <w:sz w:val="20"/>
        </w:rPr>
        <w:t xml:space="preserve">Beginselen van Burgerlijk Recht – Zakenrecht, </w:t>
      </w:r>
      <w:r>
        <w:rPr>
          <w:sz w:val="20"/>
        </w:rPr>
        <w:t xml:space="preserve">Standaard, Gent 1940, 934; </w:t>
      </w:r>
      <w:r>
        <w:rPr>
          <w:smallCaps/>
          <w:sz w:val="20"/>
        </w:rPr>
        <w:t xml:space="preserve">H. Vandenberghe, </w:t>
      </w:r>
      <w:r>
        <w:rPr>
          <w:i/>
          <w:sz w:val="20"/>
        </w:rPr>
        <w:t xml:space="preserve">Goederenrecht, </w:t>
      </w:r>
      <w:r>
        <w:rPr>
          <w:sz w:val="20"/>
        </w:rPr>
        <w:t xml:space="preserve">Leuven Acco 2006, 126;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w:t>
      </w:r>
      <w:r>
        <w:rPr>
          <w:sz w:val="20"/>
          <w:lang w:val="nl-BE"/>
        </w:rPr>
        <w:t xml:space="preserve">8; </w:t>
      </w:r>
      <w:r>
        <w:rPr>
          <w:smallCaps/>
          <w:sz w:val="20"/>
        </w:rPr>
        <w:t xml:space="preserve">A.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 xml:space="preserve">Gent 1983, 177; </w:t>
      </w:r>
      <w:r>
        <w:rPr>
          <w:smallCaps/>
          <w:sz w:val="20"/>
        </w:rPr>
        <w:t xml:space="preserve">A. Van Oevelen, </w:t>
      </w:r>
      <w:r>
        <w:rPr>
          <w:sz w:val="20"/>
        </w:rPr>
        <w:t>“ De zogenaamde s</w:t>
      </w:r>
      <w:r w:rsidRPr="002107FC">
        <w:rPr>
          <w:sz w:val="20"/>
        </w:rPr>
        <w:t>ubjectieve" goede trouw in het Belgische materiele privaatrecht</w:t>
      </w:r>
      <w:r>
        <w:rPr>
          <w:sz w:val="20"/>
        </w:rPr>
        <w:t xml:space="preserve"> </w:t>
      </w:r>
      <w:r w:rsidRPr="002107FC">
        <w:rPr>
          <w:sz w:val="20"/>
        </w:rPr>
        <w:t>(in het bijzonder in de materies die het notariaat aanbelangen)</w:t>
      </w:r>
      <w:r>
        <w:rPr>
          <w:sz w:val="20"/>
        </w:rPr>
        <w:t xml:space="preserve">”, </w:t>
      </w:r>
      <w:r>
        <w:rPr>
          <w:i/>
          <w:sz w:val="20"/>
        </w:rPr>
        <w:t xml:space="preserve">TPR </w:t>
      </w:r>
      <w:r>
        <w:rPr>
          <w:sz w:val="20"/>
        </w:rPr>
        <w:t xml:space="preserve">1990, 1106; </w:t>
      </w:r>
      <w:r>
        <w:rPr>
          <w:smallCaps/>
          <w:sz w:val="20"/>
        </w:rPr>
        <w:t xml:space="preserve">M.E. Storme, </w:t>
      </w:r>
      <w:r>
        <w:rPr>
          <w:sz w:val="20"/>
        </w:rPr>
        <w:t xml:space="preserve">“Overdracht van roerende goederen, vestiging van pandrecht, eigendomsvoorbehoud: een poging tot systematisatie” in </w:t>
      </w:r>
      <w:r>
        <w:rPr>
          <w:i/>
          <w:sz w:val="20"/>
        </w:rPr>
        <w:t xml:space="preserve">Zakenrecht; absoluut niet een rustig bezit, </w:t>
      </w:r>
      <w:r>
        <w:rPr>
          <w:sz w:val="20"/>
        </w:rPr>
        <w:t xml:space="preserve">1992, 482; </w:t>
      </w:r>
      <w:r>
        <w:rPr>
          <w:smallCaps/>
          <w:sz w:val="20"/>
        </w:rPr>
        <w:t xml:space="preserve">J. Baeck, </w:t>
      </w:r>
      <w:r>
        <w:rPr>
          <w:sz w:val="20"/>
        </w:rPr>
        <w:t xml:space="preserve">“Ontbinding en derden: niet storen a.u.b.”, </w:t>
      </w:r>
      <w:r>
        <w:rPr>
          <w:i/>
          <w:sz w:val="20"/>
        </w:rPr>
        <w:t xml:space="preserve">TPR </w:t>
      </w:r>
      <w:r>
        <w:rPr>
          <w:sz w:val="20"/>
        </w:rPr>
        <w:t xml:space="preserve">2009, 700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 xml:space="preserve">55; </w:t>
      </w:r>
      <w:r>
        <w:rPr>
          <w:smallCaps/>
          <w:sz w:val="20"/>
        </w:rPr>
        <w:t xml:space="preserve">J. Baeck, </w:t>
      </w:r>
      <w:r>
        <w:rPr>
          <w:sz w:val="20"/>
        </w:rPr>
        <w:t xml:space="preserve">“Ontbinding en derden: niet storen a.u.b.”, </w:t>
      </w:r>
      <w:r>
        <w:rPr>
          <w:i/>
          <w:sz w:val="20"/>
        </w:rPr>
        <w:t xml:space="preserve">TPR </w:t>
      </w:r>
      <w:r>
        <w:rPr>
          <w:sz w:val="20"/>
        </w:rPr>
        <w:t>2009, 700</w:t>
      </w:r>
      <w:r w:rsidRPr="00D03752">
        <w:rPr>
          <w:sz w:val="20"/>
        </w:rPr>
        <w:t xml:space="preserve">; </w:t>
      </w:r>
      <w:r w:rsidRPr="00D03752">
        <w:rPr>
          <w:smallCaps/>
          <w:sz w:val="20"/>
          <w:lang w:val="nl-BE"/>
        </w:rPr>
        <w:t xml:space="preserve"> J. Van Kokelenberg, V. Sagaert, T Van Sinay en R. Jansen, “</w:t>
      </w:r>
      <w:r w:rsidRPr="00D03752">
        <w:rPr>
          <w:sz w:val="20"/>
          <w:lang w:val="nl-BE"/>
        </w:rPr>
        <w:t xml:space="preserve">Zakenrecht – overzicht van rechtspraak (2000-2008)”, </w:t>
      </w:r>
      <w:r w:rsidRPr="00D03752">
        <w:rPr>
          <w:i/>
          <w:sz w:val="20"/>
          <w:lang w:val="nl-BE"/>
        </w:rPr>
        <w:t xml:space="preserve">TPR </w:t>
      </w:r>
      <w:r w:rsidRPr="00D03752">
        <w:rPr>
          <w:sz w:val="20"/>
          <w:lang w:val="nl-BE"/>
        </w:rPr>
        <w:t xml:space="preserve"> 2009, 1692;</w:t>
      </w:r>
      <w:r>
        <w:rPr>
          <w:sz w:val="20"/>
        </w:rPr>
        <w:t xml:space="preserve">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w:t>
      </w:r>
      <w:r>
        <w:rPr>
          <w:sz w:val="20"/>
          <w:lang w:val="nl-BE"/>
        </w:rPr>
        <w:t xml:space="preserve">68 ;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 xml:space="preserve">50; </w:t>
      </w:r>
      <w:r>
        <w:rPr>
          <w:smallCaps/>
          <w:sz w:val="20"/>
        </w:rPr>
        <w:t>J.</w:t>
      </w:r>
      <w:r w:rsidRPr="00862B0F">
        <w:rPr>
          <w:smallCaps/>
          <w:sz w:val="20"/>
        </w:rPr>
        <w:t xml:space="preserve"> Del Corral, </w:t>
      </w:r>
      <w:r w:rsidRPr="00862B0F">
        <w:rPr>
          <w:i/>
          <w:sz w:val="20"/>
        </w:rPr>
        <w:t>De leveringsplicht bij de overdracht van roerende lichamelijke goederen</w:t>
      </w:r>
      <w:r w:rsidRPr="00862B0F">
        <w:rPr>
          <w:sz w:val="20"/>
        </w:rPr>
        <w:t>,</w:t>
      </w:r>
      <w:r>
        <w:rPr>
          <w:sz w:val="20"/>
        </w:rPr>
        <w:t xml:space="preserve"> Antwerpen, Intersentia, 2013, 508.</w:t>
      </w:r>
    </w:p>
  </w:footnote>
  <w:footnote w:id="54">
    <w:p w14:paraId="5BC6395C" w14:textId="77777777" w:rsidR="00C97F8C" w:rsidRPr="001508BC" w:rsidRDefault="00C97F8C" w:rsidP="00B768BB">
      <w:pPr>
        <w:pStyle w:val="Voetnoottekst"/>
        <w:rPr>
          <w:lang w:val="nl-BE"/>
        </w:rPr>
      </w:pPr>
      <w:r>
        <w:rPr>
          <w:rStyle w:val="Voetnootmarkering"/>
        </w:rPr>
        <w:footnoteRef/>
      </w:r>
      <w:r>
        <w:t xml:space="preserve"> </w:t>
      </w:r>
      <w:r>
        <w:rPr>
          <w:smallCaps/>
          <w:sz w:val="20"/>
        </w:rPr>
        <w:t xml:space="preserve">R. Derine, F. Van Neste, H. Vandenberghe, </w:t>
      </w:r>
      <w:r>
        <w:rPr>
          <w:i/>
          <w:sz w:val="20"/>
        </w:rPr>
        <w:t xml:space="preserve">Zakenrecht – Deel 1.B, </w:t>
      </w:r>
      <w:r>
        <w:rPr>
          <w:sz w:val="20"/>
        </w:rPr>
        <w:t>Antwerpen, Standaard 1974, 925.</w:t>
      </w:r>
    </w:p>
  </w:footnote>
  <w:footnote w:id="55">
    <w:p w14:paraId="5E9361ED"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sidRPr="00862B0F">
        <w:rPr>
          <w:smallCaps/>
          <w:sz w:val="20"/>
        </w:rPr>
        <w:t xml:space="preserve">V. Sagaert, </w:t>
      </w:r>
      <w:r w:rsidRPr="00862B0F">
        <w:rPr>
          <w:i/>
          <w:sz w:val="20"/>
        </w:rPr>
        <w:t>Beginselen van Belgisch Privaatrecht – V – Goederenrecht</w:t>
      </w:r>
      <w:r w:rsidRPr="00862B0F">
        <w:rPr>
          <w:sz w:val="20"/>
        </w:rPr>
        <w:t>, Mechelen, Kluwer 2014, 678.</w:t>
      </w:r>
    </w:p>
  </w:footnote>
  <w:footnote w:id="56">
    <w:p w14:paraId="5720A354" w14:textId="65C42DD2" w:rsidR="00C97F8C" w:rsidRPr="00B77915" w:rsidRDefault="00C97F8C" w:rsidP="00B768BB">
      <w:pPr>
        <w:pStyle w:val="Voetnoottekst"/>
        <w:rPr>
          <w:sz w:val="20"/>
          <w:lang w:val="nl-BE"/>
        </w:rPr>
      </w:pPr>
      <w:r>
        <w:rPr>
          <w:rStyle w:val="Voetnootmarkering"/>
        </w:rPr>
        <w:footnoteRef/>
      </w:r>
      <w:r>
        <w:t xml:space="preserve"> </w:t>
      </w:r>
      <w:r w:rsidRPr="00B77915">
        <w:rPr>
          <w:sz w:val="20"/>
          <w:u w:val="single"/>
        </w:rPr>
        <w:t>Frankrijk:</w:t>
      </w:r>
      <w:r w:rsidRPr="00B77915">
        <w:rPr>
          <w:sz w:val="20"/>
        </w:rPr>
        <w:t xml:space="preserve">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381;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153; </w:t>
      </w:r>
      <w:r>
        <w:rPr>
          <w:smallCaps/>
          <w:sz w:val="20"/>
        </w:rPr>
        <w:t xml:space="preserve">P. Jourdain, </w:t>
      </w:r>
      <w:r>
        <w:rPr>
          <w:sz w:val="20"/>
        </w:rPr>
        <w:t xml:space="preserve">“Les biens”, in </w:t>
      </w:r>
      <w:r>
        <w:rPr>
          <w:i/>
          <w:sz w:val="20"/>
        </w:rPr>
        <w:t xml:space="preserve">Marty en Raynaud, </w:t>
      </w:r>
      <w:r>
        <w:rPr>
          <w:sz w:val="20"/>
        </w:rPr>
        <w:t xml:space="preserve">Parijs, Dalloz 1995, 476; </w:t>
      </w:r>
      <w:r w:rsidRPr="00B77915">
        <w:rPr>
          <w:smallCaps/>
          <w:sz w:val="20"/>
        </w:rPr>
        <w:t xml:space="preserve">F. Terré, P. Simler, </w:t>
      </w:r>
      <w:r w:rsidRPr="00B77915">
        <w:rPr>
          <w:i/>
          <w:sz w:val="20"/>
        </w:rPr>
        <w:t xml:space="preserve">Droit Civil. Les Biens, </w:t>
      </w:r>
      <w:r>
        <w:rPr>
          <w:sz w:val="20"/>
        </w:rPr>
        <w:t>Parijs, Dalloz 2006</w:t>
      </w:r>
      <w:r w:rsidRPr="00B77915">
        <w:rPr>
          <w:sz w:val="20"/>
        </w:rPr>
        <w:t xml:space="preserve">, </w:t>
      </w:r>
      <w:r w:rsidRPr="000334CD">
        <w:rPr>
          <w:sz w:val="20"/>
        </w:rPr>
        <w:t>346</w:t>
      </w:r>
      <w:r w:rsidRPr="00B77915">
        <w:rPr>
          <w:sz w:val="20"/>
        </w:rPr>
        <w:t xml:space="preserve">, 370; </w:t>
      </w:r>
      <w:r>
        <w:rPr>
          <w:smallCaps/>
          <w:sz w:val="20"/>
        </w:rPr>
        <w:t xml:space="preserve">H. </w:t>
      </w:r>
      <w:proofErr w:type="gramStart"/>
      <w:r>
        <w:rPr>
          <w:smallCaps/>
          <w:sz w:val="20"/>
        </w:rPr>
        <w:t>en</w:t>
      </w:r>
      <w:proofErr w:type="gramEnd"/>
      <w:r>
        <w:rPr>
          <w:smallCaps/>
          <w:sz w:val="20"/>
        </w:rPr>
        <w:t xml:space="preserve"> L. Mazeaud, </w:t>
      </w:r>
      <w:r w:rsidRPr="00B77915">
        <w:rPr>
          <w:smallCaps/>
          <w:sz w:val="20"/>
        </w:rPr>
        <w:t xml:space="preserve">J. mazeaud en F. Chabas, </w:t>
      </w:r>
      <w:r w:rsidRPr="00B77915">
        <w:rPr>
          <w:i/>
          <w:sz w:val="20"/>
        </w:rPr>
        <w:t xml:space="preserve">Biens, </w:t>
      </w:r>
      <w:r>
        <w:rPr>
          <w:sz w:val="20"/>
        </w:rPr>
        <w:t xml:space="preserve">Parijs, Montchrestien </w:t>
      </w:r>
      <w:r w:rsidRPr="00B77915">
        <w:rPr>
          <w:sz w:val="20"/>
        </w:rPr>
        <w:t xml:space="preserve">1994, 211; </w:t>
      </w:r>
      <w:r w:rsidRPr="00B77915">
        <w:rPr>
          <w:smallCaps/>
          <w:sz w:val="20"/>
          <w:lang w:val="nl-BE"/>
        </w:rPr>
        <w:t xml:space="preserve">P. Malaurie, L. Aynes, </w:t>
      </w:r>
      <w:r w:rsidRPr="00B77915">
        <w:rPr>
          <w:i/>
          <w:sz w:val="20"/>
          <w:lang w:val="nl-BE"/>
        </w:rPr>
        <w:t xml:space="preserve">Les Biens, </w:t>
      </w:r>
      <w:r w:rsidRPr="00B77915">
        <w:rPr>
          <w:sz w:val="20"/>
          <w:lang w:val="nl-BE"/>
        </w:rPr>
        <w:t xml:space="preserve">Parijs, Defrénois 2010, 180; </w:t>
      </w:r>
      <w:r w:rsidRPr="00B77915">
        <w:rPr>
          <w:smallCaps/>
          <w:sz w:val="20"/>
        </w:rPr>
        <w:t xml:space="preserve">W. Dross, </w:t>
      </w:r>
      <w:r w:rsidRPr="00B77915">
        <w:rPr>
          <w:i/>
          <w:sz w:val="20"/>
        </w:rPr>
        <w:t xml:space="preserve">Droit des Biens, </w:t>
      </w:r>
      <w:r w:rsidRPr="00B77915">
        <w:rPr>
          <w:sz w:val="20"/>
        </w:rPr>
        <w:t>Parijs, Montchrestien</w:t>
      </w:r>
      <w:r>
        <w:rPr>
          <w:sz w:val="20"/>
        </w:rPr>
        <w:t xml:space="preserve"> 2012</w:t>
      </w:r>
      <w:r w:rsidRPr="00B77915">
        <w:rPr>
          <w:sz w:val="20"/>
        </w:rPr>
        <w:t>, 248.</w:t>
      </w:r>
      <w:r w:rsidRPr="00B77915">
        <w:rPr>
          <w:sz w:val="20"/>
          <w:lang w:val="nl-BE"/>
        </w:rPr>
        <w:t xml:space="preserve"> </w:t>
      </w:r>
      <w:r w:rsidRPr="00B77915">
        <w:rPr>
          <w:sz w:val="20"/>
          <w:u w:val="single"/>
          <w:lang w:val="nl-BE"/>
        </w:rPr>
        <w:t>Nederland:</w:t>
      </w:r>
      <w:r>
        <w:rPr>
          <w:sz w:val="20"/>
          <w:lang w:val="nl-BE"/>
        </w:rPr>
        <w:t xml:space="preserve"> </w:t>
      </w:r>
      <w:r w:rsidRPr="00B77915">
        <w:rPr>
          <w:sz w:val="20"/>
        </w:rPr>
        <w:t xml:space="preserve">Artikel 3:11 Nieuw Nederlands Burgerlijk Wetboek; </w:t>
      </w:r>
      <w:r w:rsidRPr="00B77915">
        <w:rPr>
          <w:smallCaps/>
          <w:sz w:val="20"/>
        </w:rPr>
        <w:t xml:space="preserve">W.H.M. Reehuis en A.H.T. Heisterkamp, </w:t>
      </w:r>
      <w:r w:rsidRPr="00B77915">
        <w:rPr>
          <w:i/>
          <w:sz w:val="20"/>
        </w:rPr>
        <w:t xml:space="preserve">Goederenrecht, </w:t>
      </w:r>
      <w:r w:rsidRPr="00B77915">
        <w:rPr>
          <w:sz w:val="20"/>
        </w:rPr>
        <w:t>Deventer</w:t>
      </w:r>
      <w:r w:rsidRPr="00B77915">
        <w:rPr>
          <w:i/>
          <w:sz w:val="20"/>
        </w:rPr>
        <w:t xml:space="preserve">, </w:t>
      </w:r>
      <w:r w:rsidRPr="00B77915">
        <w:rPr>
          <w:sz w:val="20"/>
        </w:rPr>
        <w:t>Kluwer 2006</w:t>
      </w:r>
      <w:r w:rsidRPr="00B77915">
        <w:rPr>
          <w:i/>
          <w:sz w:val="20"/>
        </w:rPr>
        <w:t xml:space="preserve">, </w:t>
      </w:r>
      <w:r w:rsidRPr="00B77915">
        <w:rPr>
          <w:sz w:val="20"/>
        </w:rPr>
        <w:t xml:space="preserve">135; </w:t>
      </w:r>
      <w:r w:rsidRPr="00B77915">
        <w:rPr>
          <w:smallCaps/>
          <w:sz w:val="20"/>
        </w:rPr>
        <w:t xml:space="preserve">W.H.M. Reehuis, </w:t>
      </w:r>
      <w:r w:rsidRPr="00B77915">
        <w:rPr>
          <w:i/>
          <w:sz w:val="20"/>
        </w:rPr>
        <w:t xml:space="preserve">Zwaartepunten van het vermogensrecht, </w:t>
      </w:r>
      <w:r w:rsidRPr="00B77915">
        <w:rPr>
          <w:sz w:val="20"/>
        </w:rPr>
        <w:t xml:space="preserve">Kluwer, Deventer 2010, 82; </w:t>
      </w:r>
      <w:r w:rsidRPr="00B77915">
        <w:rPr>
          <w:smallCaps/>
          <w:sz w:val="20"/>
        </w:rPr>
        <w:t xml:space="preserve">C. Asser, </w:t>
      </w:r>
      <w:r w:rsidRPr="00B77915">
        <w:rPr>
          <w:i/>
          <w:sz w:val="20"/>
        </w:rPr>
        <w:t xml:space="preserve">Algemeen goederenrecht, </w:t>
      </w:r>
      <w:r w:rsidRPr="00B77915">
        <w:rPr>
          <w:sz w:val="20"/>
        </w:rPr>
        <w:t xml:space="preserve">3-IV, Deventer, Kluwer 2013, 401; </w:t>
      </w:r>
      <w:r w:rsidRPr="00B77915">
        <w:rPr>
          <w:smallCaps/>
          <w:sz w:val="20"/>
        </w:rPr>
        <w:t xml:space="preserve">F. Mijnssen en G. Schut, </w:t>
      </w:r>
      <w:r w:rsidRPr="00B77915">
        <w:rPr>
          <w:i/>
          <w:sz w:val="20"/>
        </w:rPr>
        <w:t xml:space="preserve">Bezit, levering en overdracht, </w:t>
      </w:r>
      <w:r w:rsidRPr="00B77915">
        <w:rPr>
          <w:sz w:val="20"/>
        </w:rPr>
        <w:t>Zwolle, W.E.J. Tjeenk Willink Zwolle, 1991, 144.</w:t>
      </w:r>
    </w:p>
  </w:footnote>
  <w:footnote w:id="57">
    <w:p w14:paraId="1A26AC61" w14:textId="33283DC7" w:rsidR="00C97F8C" w:rsidRPr="006460FD" w:rsidRDefault="00C97F8C" w:rsidP="00B768BB">
      <w:pPr>
        <w:pStyle w:val="Voetnoottekst"/>
        <w:rPr>
          <w:lang w:val="en-GB"/>
        </w:rPr>
      </w:pPr>
      <w:r>
        <w:rPr>
          <w:rStyle w:val="Voetnootmarkering"/>
        </w:rPr>
        <w:footnoteRef/>
      </w:r>
      <w:r w:rsidRPr="006460FD">
        <w:rPr>
          <w:lang w:val="en-GB"/>
        </w:rPr>
        <w:t xml:space="preserve"> </w:t>
      </w:r>
      <w:proofErr w:type="spellStart"/>
      <w:r w:rsidRPr="006460FD">
        <w:rPr>
          <w:sz w:val="20"/>
          <w:lang w:val="en-GB"/>
        </w:rPr>
        <w:t>Artikel</w:t>
      </w:r>
      <w:proofErr w:type="spellEnd"/>
      <w:r w:rsidRPr="006460FD">
        <w:rPr>
          <w:sz w:val="20"/>
          <w:lang w:val="en-GB"/>
        </w:rPr>
        <w:t xml:space="preserve"> VIII.-3:101 (1) (d) Draft Common Frame of Reference; </w:t>
      </w:r>
      <w:r w:rsidRPr="006460FD">
        <w:rPr>
          <w:smallCaps/>
          <w:sz w:val="20"/>
          <w:lang w:val="en-GB"/>
        </w:rPr>
        <w:t xml:space="preserve">L.P.W. Van </w:t>
      </w:r>
      <w:proofErr w:type="spellStart"/>
      <w:r w:rsidRPr="006460FD">
        <w:rPr>
          <w:smallCaps/>
          <w:sz w:val="20"/>
          <w:lang w:val="en-GB"/>
        </w:rPr>
        <w:t>Vliet</w:t>
      </w:r>
      <w:proofErr w:type="spellEnd"/>
      <w:r w:rsidRPr="006460FD">
        <w:rPr>
          <w:smallCaps/>
          <w:sz w:val="20"/>
          <w:lang w:val="en-GB"/>
        </w:rPr>
        <w:t>, “</w:t>
      </w:r>
      <w:r w:rsidRPr="006460FD">
        <w:rPr>
          <w:sz w:val="20"/>
          <w:lang w:val="en-GB"/>
        </w:rPr>
        <w:t>Book VII DCFR: Acquisition and loss of ownership”</w:t>
      </w:r>
      <w:r w:rsidRPr="006460FD">
        <w:rPr>
          <w:i/>
          <w:sz w:val="20"/>
          <w:lang w:val="en-GB"/>
        </w:rPr>
        <w:t xml:space="preserve">, NTBR </w:t>
      </w:r>
      <w:r w:rsidRPr="006460FD">
        <w:rPr>
          <w:sz w:val="20"/>
          <w:lang w:val="en-GB"/>
        </w:rPr>
        <w:t xml:space="preserve">2011, 6; </w:t>
      </w:r>
      <w:r w:rsidRPr="006460FD">
        <w:rPr>
          <w:smallCaps/>
          <w:sz w:val="20"/>
          <w:lang w:val="en-GB"/>
        </w:rPr>
        <w:t xml:space="preserve">A. </w:t>
      </w:r>
      <w:proofErr w:type="spellStart"/>
      <w:r w:rsidRPr="006460FD">
        <w:rPr>
          <w:smallCaps/>
          <w:sz w:val="20"/>
          <w:lang w:val="en-GB"/>
        </w:rPr>
        <w:t>Salomons</w:t>
      </w:r>
      <w:proofErr w:type="spellEnd"/>
      <w:r w:rsidRPr="006460FD">
        <w:rPr>
          <w:smallCaps/>
          <w:sz w:val="20"/>
          <w:lang w:val="en-GB"/>
        </w:rPr>
        <w:t xml:space="preserve">, </w:t>
      </w:r>
      <w:r w:rsidRPr="006460FD">
        <w:rPr>
          <w:sz w:val="20"/>
          <w:lang w:val="en-GB"/>
        </w:rPr>
        <w:t xml:space="preserve">“The purpose and Coherence of the Rules on Good Faith Acquisition and Acquisitive Prescription in the Draft Common Frame of Reference: A Tale of Two Gatekeepers”, </w:t>
      </w:r>
      <w:r w:rsidRPr="006460FD">
        <w:rPr>
          <w:i/>
          <w:sz w:val="20"/>
          <w:lang w:val="en-GB"/>
        </w:rPr>
        <w:t xml:space="preserve">ERPL </w:t>
      </w:r>
      <w:r w:rsidRPr="006460FD">
        <w:rPr>
          <w:sz w:val="20"/>
          <w:lang w:val="en-GB"/>
        </w:rPr>
        <w:t>2013, 846.</w:t>
      </w:r>
    </w:p>
  </w:footnote>
  <w:footnote w:id="58">
    <w:p w14:paraId="58AFB710" w14:textId="77777777" w:rsidR="00C97F8C" w:rsidRPr="00BC765E" w:rsidRDefault="00C97F8C" w:rsidP="00B768BB">
      <w:pPr>
        <w:pStyle w:val="Voetnoottekst"/>
        <w:rPr>
          <w:lang w:val="nl-BE"/>
        </w:rPr>
      </w:pPr>
      <w:r w:rsidRPr="00862B0F">
        <w:rPr>
          <w:rStyle w:val="Voetnootmarkering"/>
          <w:sz w:val="20"/>
        </w:rPr>
        <w:footnoteRef/>
      </w:r>
      <w:r w:rsidRPr="00862B0F">
        <w:rPr>
          <w:sz w:val="20"/>
        </w:rPr>
        <w:t xml:space="preserve"> </w:t>
      </w:r>
      <w:r>
        <w:rPr>
          <w:sz w:val="20"/>
        </w:rPr>
        <w:t xml:space="preserve">Hoge Raad 4 april 1986, </w:t>
      </w:r>
      <w:r>
        <w:rPr>
          <w:i/>
          <w:sz w:val="20"/>
        </w:rPr>
        <w:t xml:space="preserve">NJ </w:t>
      </w:r>
      <w:r>
        <w:rPr>
          <w:sz w:val="20"/>
        </w:rPr>
        <w:t xml:space="preserve">1986, 810; </w:t>
      </w:r>
      <w:r w:rsidRPr="00862B0F">
        <w:rPr>
          <w:smallCaps/>
          <w:sz w:val="20"/>
        </w:rPr>
        <w:t xml:space="preserve">W.H.M. Reehuis en A.H.T. Heisterkamp, </w:t>
      </w:r>
      <w:r>
        <w:rPr>
          <w:i/>
          <w:sz w:val="20"/>
        </w:rPr>
        <w:t xml:space="preserve">Goederenrecht, </w:t>
      </w:r>
      <w:r w:rsidRPr="002D5D53">
        <w:rPr>
          <w:sz w:val="20"/>
        </w:rPr>
        <w:t>Deventer</w:t>
      </w:r>
      <w:r>
        <w:rPr>
          <w:i/>
          <w:sz w:val="20"/>
        </w:rPr>
        <w:t xml:space="preserve">, </w:t>
      </w:r>
      <w:r>
        <w:rPr>
          <w:sz w:val="20"/>
        </w:rPr>
        <w:t>Kluwer 2006</w:t>
      </w:r>
      <w:r>
        <w:rPr>
          <w:i/>
          <w:sz w:val="20"/>
        </w:rPr>
        <w:t xml:space="preserve">, </w:t>
      </w:r>
      <w:r>
        <w:rPr>
          <w:sz w:val="20"/>
        </w:rPr>
        <w:t xml:space="preserve">135; </w:t>
      </w:r>
      <w:r>
        <w:rPr>
          <w:smallCaps/>
          <w:sz w:val="20"/>
        </w:rPr>
        <w:t xml:space="preserve">W.H.M. Reehuis, </w:t>
      </w:r>
      <w:r>
        <w:rPr>
          <w:i/>
          <w:sz w:val="20"/>
        </w:rPr>
        <w:t xml:space="preserve">Zwaartepunten van het vermogensrecht, </w:t>
      </w:r>
      <w:r>
        <w:rPr>
          <w:sz w:val="20"/>
        </w:rPr>
        <w:t xml:space="preserve">Kluwer, Deventer 2010, 83; </w:t>
      </w:r>
      <w:r w:rsidRPr="00862B0F">
        <w:rPr>
          <w:smallCaps/>
          <w:sz w:val="20"/>
        </w:rPr>
        <w:t xml:space="preserve">C. Asser, </w:t>
      </w:r>
      <w:r w:rsidRPr="00862B0F">
        <w:rPr>
          <w:i/>
          <w:sz w:val="20"/>
        </w:rPr>
        <w:t xml:space="preserve">Algemeen goederenrecht, </w:t>
      </w:r>
      <w:r w:rsidRPr="00862B0F">
        <w:rPr>
          <w:sz w:val="20"/>
        </w:rPr>
        <w:t>3-IV, Deventer, Kluwer 2013, 401.</w:t>
      </w:r>
    </w:p>
  </w:footnote>
  <w:footnote w:id="59">
    <w:p w14:paraId="680ED8FF" w14:textId="340C245B" w:rsidR="00C97F8C" w:rsidRPr="00862B0F" w:rsidRDefault="00C97F8C" w:rsidP="00B768BB">
      <w:pPr>
        <w:pStyle w:val="Voetnoottekst"/>
        <w:rPr>
          <w:sz w:val="20"/>
        </w:rPr>
      </w:pPr>
      <w:r w:rsidRPr="00862B0F">
        <w:rPr>
          <w:rStyle w:val="Voetnootmarkering"/>
          <w:sz w:val="20"/>
        </w:rPr>
        <w:footnoteRef/>
      </w:r>
      <w:r w:rsidRPr="00862B0F">
        <w:rPr>
          <w:sz w:val="20"/>
        </w:rPr>
        <w:t xml:space="preserve"> Antwerpen 15 januari 2001, </w:t>
      </w:r>
      <w:r w:rsidRPr="00862B0F">
        <w:rPr>
          <w:i/>
          <w:sz w:val="20"/>
        </w:rPr>
        <w:t xml:space="preserve">AJT </w:t>
      </w:r>
      <w:r w:rsidRPr="00862B0F">
        <w:rPr>
          <w:sz w:val="20"/>
        </w:rPr>
        <w:t>2001-02, 501;</w:t>
      </w:r>
      <w:r w:rsidRPr="00862B0F">
        <w:rPr>
          <w:i/>
          <w:sz w:val="20"/>
        </w:rPr>
        <w:t xml:space="preserve"> </w:t>
      </w:r>
      <w:r w:rsidRPr="00862B0F">
        <w:rPr>
          <w:sz w:val="20"/>
        </w:rPr>
        <w:t xml:space="preserve">Luik 18 januari 2002, </w:t>
      </w:r>
      <w:r w:rsidRPr="00862B0F">
        <w:rPr>
          <w:i/>
          <w:sz w:val="20"/>
        </w:rPr>
        <w:t>JLMB</w:t>
      </w:r>
      <w:r w:rsidRPr="00862B0F">
        <w:rPr>
          <w:sz w:val="20"/>
        </w:rPr>
        <w:t xml:space="preserve"> 2002, 343;</w:t>
      </w:r>
      <w:r>
        <w:rPr>
          <w:sz w:val="20"/>
        </w:rPr>
        <w:t xml:space="preserve"> Brussel 22 april 2002, </w:t>
      </w:r>
      <w:r>
        <w:rPr>
          <w:i/>
          <w:sz w:val="20"/>
        </w:rPr>
        <w:t xml:space="preserve">NJW </w:t>
      </w:r>
      <w:r>
        <w:rPr>
          <w:sz w:val="20"/>
        </w:rPr>
        <w:t xml:space="preserve">2003, 154 noot </w:t>
      </w:r>
      <w:r>
        <w:rPr>
          <w:smallCaps/>
          <w:sz w:val="20"/>
        </w:rPr>
        <w:t>K. Vanhove;</w:t>
      </w:r>
      <w:r w:rsidRPr="00B77915">
        <w:rPr>
          <w:sz w:val="20"/>
        </w:rPr>
        <w:t xml:space="preserve"> </w:t>
      </w:r>
      <w:r w:rsidRPr="00862B0F">
        <w:rPr>
          <w:sz w:val="20"/>
        </w:rPr>
        <w:t xml:space="preserve">Kh. Antwerpen 14 december 2001, </w:t>
      </w:r>
      <w:r w:rsidRPr="00862B0F">
        <w:rPr>
          <w:i/>
          <w:sz w:val="20"/>
        </w:rPr>
        <w:t xml:space="preserve">TBH </w:t>
      </w:r>
      <w:r w:rsidRPr="00B77915">
        <w:rPr>
          <w:sz w:val="20"/>
        </w:rPr>
        <w:t>2004</w:t>
      </w:r>
      <w:r w:rsidRPr="00862B0F">
        <w:rPr>
          <w:i/>
          <w:sz w:val="20"/>
        </w:rPr>
        <w:t xml:space="preserve">, </w:t>
      </w:r>
      <w:r w:rsidRPr="00B77915">
        <w:rPr>
          <w:sz w:val="20"/>
        </w:rPr>
        <w:t>293</w:t>
      </w:r>
      <w:r>
        <w:rPr>
          <w:smallCaps/>
          <w:sz w:val="20"/>
        </w:rPr>
        <w:t xml:space="preserve">; </w:t>
      </w:r>
      <w:r w:rsidRPr="00D03752">
        <w:rPr>
          <w:smallCaps/>
          <w:sz w:val="20"/>
          <w:lang w:val="nl-BE"/>
        </w:rPr>
        <w:t>J. Van Kokelenberg, V. Sagaert, T Van Sinay en R. Jansen, “</w:t>
      </w:r>
      <w:r w:rsidRPr="00D03752">
        <w:rPr>
          <w:sz w:val="20"/>
          <w:lang w:val="nl-BE"/>
        </w:rPr>
        <w:t xml:space="preserve">Zakenrecht – overzicht van rechtspraak (2000-2008)”, </w:t>
      </w:r>
      <w:r w:rsidRPr="00D03752">
        <w:rPr>
          <w:i/>
          <w:sz w:val="20"/>
          <w:lang w:val="nl-BE"/>
        </w:rPr>
        <w:t xml:space="preserve">TPR </w:t>
      </w:r>
      <w:r w:rsidRPr="00D03752">
        <w:rPr>
          <w:sz w:val="20"/>
          <w:lang w:val="nl-BE"/>
        </w:rPr>
        <w:t xml:space="preserve"> 2009, </w:t>
      </w:r>
      <w:r>
        <w:rPr>
          <w:sz w:val="20"/>
          <w:lang w:val="nl-BE"/>
        </w:rPr>
        <w:t>1695-1696;</w:t>
      </w:r>
      <w:r>
        <w:rPr>
          <w:smallCaps/>
          <w:sz w:val="20"/>
        </w:rPr>
        <w:t xml:space="preserve">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w:t>
      </w:r>
      <w:r>
        <w:rPr>
          <w:sz w:val="20"/>
          <w:lang w:val="nl-BE"/>
        </w:rPr>
        <w:t xml:space="preserve">9;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56;</w:t>
      </w:r>
      <w:r w:rsidRPr="00862B0F">
        <w:rPr>
          <w:sz w:val="20"/>
        </w:rPr>
        <w:t xml:space="preserve"> </w:t>
      </w:r>
      <w:r w:rsidRPr="00862B0F">
        <w:rPr>
          <w:smallCaps/>
          <w:sz w:val="20"/>
        </w:rPr>
        <w:t xml:space="preserve">J. Del Corral, </w:t>
      </w:r>
      <w:r w:rsidRPr="00862B0F">
        <w:rPr>
          <w:i/>
          <w:sz w:val="20"/>
        </w:rPr>
        <w:t>De leveringsplicht bij de overdracht van roerende lichamelijke goederen</w:t>
      </w:r>
      <w:r w:rsidRPr="00862B0F">
        <w:rPr>
          <w:sz w:val="20"/>
        </w:rPr>
        <w:t>, Antwerpen, Intersentia, 2013, 424.</w:t>
      </w:r>
    </w:p>
  </w:footnote>
  <w:footnote w:id="60">
    <w:p w14:paraId="6430EAB6" w14:textId="6902F584" w:rsidR="00C97F8C" w:rsidRPr="000E66BF" w:rsidRDefault="00C97F8C" w:rsidP="00B768BB">
      <w:pPr>
        <w:pStyle w:val="Voetnoottekst"/>
        <w:rPr>
          <w:lang w:val="nl-BE"/>
        </w:rPr>
      </w:pPr>
      <w:r w:rsidRPr="00862B0F">
        <w:rPr>
          <w:rStyle w:val="Voetnootmarkering"/>
          <w:sz w:val="20"/>
        </w:rPr>
        <w:footnoteRef/>
      </w:r>
      <w:r w:rsidRPr="00862B0F">
        <w:rPr>
          <w:sz w:val="20"/>
        </w:rPr>
        <w:t xml:space="preserve"> </w:t>
      </w:r>
      <w:r>
        <w:rPr>
          <w:sz w:val="20"/>
        </w:rPr>
        <w:t xml:space="preserve">Artikel 2268 Burgerlijk Wetboek; </w:t>
      </w:r>
      <w:r>
        <w:rPr>
          <w:smallCaps/>
          <w:sz w:val="20"/>
        </w:rPr>
        <w:t xml:space="preserve">A. Kluyskens, </w:t>
      </w:r>
      <w:r>
        <w:rPr>
          <w:i/>
          <w:sz w:val="20"/>
        </w:rPr>
        <w:t xml:space="preserve">Beginselen van Burgerlijk Recht – Zakenrecht, </w:t>
      </w:r>
      <w:r>
        <w:rPr>
          <w:sz w:val="20"/>
        </w:rPr>
        <w:t xml:space="preserve">Standaard, Gent 1940, 71; </w:t>
      </w:r>
      <w:r>
        <w:rPr>
          <w:smallCaps/>
          <w:sz w:val="20"/>
        </w:rPr>
        <w:t xml:space="preserve">A. Kluyskens, </w:t>
      </w:r>
      <w:r>
        <w:rPr>
          <w:i/>
          <w:sz w:val="20"/>
        </w:rPr>
        <w:t xml:space="preserve">Beginselen van Burgerlijk Recht – Zakenrecht, </w:t>
      </w:r>
      <w:r>
        <w:rPr>
          <w:sz w:val="20"/>
        </w:rPr>
        <w:t>Standaard, Gent 1940, 937;</w:t>
      </w:r>
      <w:r w:rsidRPr="00395EE3">
        <w:rPr>
          <w:smallCaps/>
          <w:sz w:val="20"/>
        </w:rPr>
        <w:t xml:space="preserve"> </w:t>
      </w:r>
      <w:r>
        <w:rPr>
          <w:smallCaps/>
          <w:sz w:val="20"/>
        </w:rPr>
        <w:t xml:space="preserve">H. Vandenberghe, </w:t>
      </w:r>
      <w:r>
        <w:rPr>
          <w:i/>
          <w:sz w:val="20"/>
        </w:rPr>
        <w:t xml:space="preserve">Goederenrecht, </w:t>
      </w:r>
      <w:r>
        <w:rPr>
          <w:sz w:val="20"/>
        </w:rPr>
        <w:t>Leuven Acco 2006, 127;</w:t>
      </w:r>
      <w:r>
        <w:rPr>
          <w:smallCaps/>
          <w:sz w:val="20"/>
        </w:rPr>
        <w:t xml:space="preserve">R. Derine, F. Van Neste, H. Vandenberghe, </w:t>
      </w:r>
      <w:r>
        <w:rPr>
          <w:i/>
          <w:sz w:val="20"/>
        </w:rPr>
        <w:t xml:space="preserve">Zakenrecht – Deel 1.B, </w:t>
      </w:r>
      <w:r>
        <w:rPr>
          <w:sz w:val="20"/>
        </w:rPr>
        <w:t>Antwerpen, Standaard 1974, 927;</w:t>
      </w:r>
      <w:r w:rsidRPr="00395EE3">
        <w:rPr>
          <w:smallCaps/>
          <w:sz w:val="20"/>
        </w:rPr>
        <w:t xml:space="preserve"> </w:t>
      </w:r>
      <w:r w:rsidRPr="00862B0F">
        <w:rPr>
          <w:smallCaps/>
          <w:sz w:val="20"/>
        </w:rPr>
        <w:t xml:space="preserve">R. Dekkers en E. Dirix, </w:t>
      </w:r>
      <w:r w:rsidRPr="00862B0F">
        <w:rPr>
          <w:i/>
          <w:sz w:val="20"/>
        </w:rPr>
        <w:t xml:space="preserve">Handboek Burgerlijk Recht – Deel II, </w:t>
      </w:r>
      <w:r w:rsidRPr="00862B0F">
        <w:rPr>
          <w:sz w:val="20"/>
        </w:rPr>
        <w:t>Antwerpe</w:t>
      </w:r>
      <w:r>
        <w:rPr>
          <w:sz w:val="20"/>
        </w:rPr>
        <w:t>n, Intersentia, 2005, 98; J</w:t>
      </w:r>
      <w:r>
        <w:rPr>
          <w:smallCaps/>
          <w:sz w:val="20"/>
        </w:rPr>
        <w:t xml:space="preserve">. Del Corral, </w:t>
      </w:r>
      <w:r>
        <w:rPr>
          <w:sz w:val="20"/>
        </w:rPr>
        <w:t xml:space="preserve">“Bezit geldt als titel van eigendom”, </w:t>
      </w:r>
      <w:r>
        <w:rPr>
          <w:i/>
          <w:sz w:val="20"/>
        </w:rPr>
        <w:t xml:space="preserve">Not. Fisc. M. </w:t>
      </w:r>
      <w:r>
        <w:rPr>
          <w:sz w:val="20"/>
        </w:rPr>
        <w:t xml:space="preserve">2008, 318; </w:t>
      </w:r>
      <w:r>
        <w:rPr>
          <w:smallCaps/>
          <w:sz w:val="20"/>
        </w:rPr>
        <w:t xml:space="preserve">J. Baeck, </w:t>
      </w:r>
      <w:r>
        <w:rPr>
          <w:sz w:val="20"/>
        </w:rPr>
        <w:t xml:space="preserve">“Ontbinding en derden: niet storen a.u.b.”, </w:t>
      </w:r>
      <w:r>
        <w:rPr>
          <w:i/>
          <w:sz w:val="20"/>
        </w:rPr>
        <w:t xml:space="preserve">TPR </w:t>
      </w:r>
      <w:r>
        <w:rPr>
          <w:sz w:val="20"/>
        </w:rPr>
        <w:t xml:space="preserve">2009, 701;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w:t>
      </w:r>
      <w:r>
        <w:rPr>
          <w:sz w:val="20"/>
          <w:lang w:val="nl-BE"/>
        </w:rPr>
        <w:t xml:space="preserve">9;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 xml:space="preserve">56; </w:t>
      </w:r>
      <w:r w:rsidRPr="00862B0F">
        <w:rPr>
          <w:smallCaps/>
          <w:sz w:val="20"/>
        </w:rPr>
        <w:t xml:space="preserve">J. Del Corral, </w:t>
      </w:r>
      <w:r w:rsidRPr="00862B0F">
        <w:rPr>
          <w:i/>
          <w:sz w:val="20"/>
        </w:rPr>
        <w:t>De leveringsplicht bij de overdracht van roerende lichamelijke goederen</w:t>
      </w:r>
      <w:r w:rsidRPr="00862B0F">
        <w:rPr>
          <w:sz w:val="20"/>
        </w:rPr>
        <w:t>, Antwerpen, Intersentia, 2013, 425.</w:t>
      </w:r>
    </w:p>
  </w:footnote>
  <w:footnote w:id="61">
    <w:p w14:paraId="43A93AFB" w14:textId="77777777" w:rsidR="00C97F8C" w:rsidRPr="004E1F6F" w:rsidRDefault="00C97F8C" w:rsidP="00B768BB">
      <w:pPr>
        <w:pStyle w:val="Voetnoottekst"/>
        <w:rPr>
          <w:sz w:val="20"/>
          <w:lang w:val="nl-BE"/>
        </w:rPr>
      </w:pPr>
      <w:r>
        <w:rPr>
          <w:rStyle w:val="Voetnootmarkering"/>
        </w:rPr>
        <w:footnoteRef/>
      </w:r>
      <w:r>
        <w:t xml:space="preserve"> </w:t>
      </w:r>
      <w:r>
        <w:rPr>
          <w:sz w:val="20"/>
          <w:lang w:val="nl-BE"/>
        </w:rPr>
        <w:t xml:space="preserve">Brussel 23 september 1970, </w:t>
      </w:r>
      <w:r>
        <w:rPr>
          <w:i/>
          <w:sz w:val="20"/>
          <w:lang w:val="nl-BE"/>
        </w:rPr>
        <w:t xml:space="preserve">Rev. Prat. Soc. </w:t>
      </w:r>
      <w:r>
        <w:rPr>
          <w:sz w:val="20"/>
          <w:lang w:val="nl-BE"/>
        </w:rPr>
        <w:t>1971, 106.</w:t>
      </w:r>
    </w:p>
  </w:footnote>
  <w:footnote w:id="62">
    <w:p w14:paraId="4E489A7B" w14:textId="62212E69" w:rsidR="00C97F8C" w:rsidRPr="007C4D1D" w:rsidRDefault="00C97F8C" w:rsidP="00B768BB">
      <w:pPr>
        <w:pStyle w:val="Voetnoottekst"/>
        <w:rPr>
          <w:lang w:val="nl-BE"/>
        </w:rPr>
      </w:pPr>
      <w:r w:rsidRPr="00862B0F">
        <w:rPr>
          <w:rStyle w:val="Voetnootmarkering"/>
          <w:sz w:val="20"/>
        </w:rPr>
        <w:footnoteRef/>
      </w:r>
      <w:r>
        <w:rPr>
          <w:sz w:val="20"/>
        </w:rPr>
        <w:t xml:space="preserve"> </w:t>
      </w:r>
      <w:r w:rsidRPr="00862B0F">
        <w:rPr>
          <w:sz w:val="20"/>
        </w:rPr>
        <w:t>Artikel 2268 Code Civil Français;</w:t>
      </w:r>
      <w:r>
        <w:rPr>
          <w:sz w:val="20"/>
        </w:rPr>
        <w:t xml:space="preserve">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381;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154; </w:t>
      </w:r>
      <w:r>
        <w:rPr>
          <w:smallCaps/>
          <w:sz w:val="20"/>
        </w:rPr>
        <w:t xml:space="preserve">A. Weill, F. Terré, P. Simler, </w:t>
      </w:r>
      <w:r>
        <w:rPr>
          <w:i/>
          <w:sz w:val="20"/>
        </w:rPr>
        <w:t xml:space="preserve">Les biens, </w:t>
      </w:r>
      <w:r>
        <w:rPr>
          <w:sz w:val="20"/>
        </w:rPr>
        <w:t xml:space="preserve">Parijs, Dalloz 1985, 368; </w:t>
      </w:r>
      <w:r>
        <w:rPr>
          <w:smallCaps/>
          <w:sz w:val="20"/>
        </w:rPr>
        <w:t xml:space="preserve">P. Jourdain, </w:t>
      </w:r>
      <w:r>
        <w:rPr>
          <w:sz w:val="20"/>
        </w:rPr>
        <w:t xml:space="preserve">“Les biens”, in </w:t>
      </w:r>
      <w:r>
        <w:rPr>
          <w:i/>
          <w:sz w:val="20"/>
        </w:rPr>
        <w:t xml:space="preserve">Marty en Raynaud, </w:t>
      </w:r>
      <w:r>
        <w:rPr>
          <w:sz w:val="20"/>
        </w:rPr>
        <w:t xml:space="preserve">Parijs, Dalloz 1995, 476; J.L. </w:t>
      </w:r>
      <w:r>
        <w:rPr>
          <w:smallCaps/>
          <w:sz w:val="20"/>
        </w:rPr>
        <w:t xml:space="preserve">Bergel, M. Bruschi, S. Cimamonti, </w:t>
      </w:r>
      <w:r>
        <w:rPr>
          <w:i/>
          <w:sz w:val="20"/>
        </w:rPr>
        <w:t xml:space="preserve">Traité de droit civil. Les Biens, </w:t>
      </w:r>
      <w:r>
        <w:rPr>
          <w:sz w:val="20"/>
        </w:rPr>
        <w:t xml:space="preserve">Parijs, Librairie Générale de Droit et de Jurisprudence 2000, 242; </w:t>
      </w:r>
      <w:r>
        <w:rPr>
          <w:smallCaps/>
          <w:sz w:val="20"/>
        </w:rPr>
        <w:t xml:space="preserve">F. Terré, P. Simler, </w:t>
      </w:r>
      <w:r>
        <w:rPr>
          <w:i/>
          <w:sz w:val="20"/>
        </w:rPr>
        <w:t xml:space="preserve">Droit Civil. Les Biens, </w:t>
      </w:r>
      <w:r>
        <w:rPr>
          <w:sz w:val="20"/>
        </w:rPr>
        <w:t xml:space="preserve">Parijs, Dalloz 2006, </w:t>
      </w:r>
      <w:r w:rsidRPr="000334CD">
        <w:rPr>
          <w:sz w:val="20"/>
        </w:rPr>
        <w:t>370</w:t>
      </w:r>
      <w:r>
        <w:rPr>
          <w:sz w:val="20"/>
        </w:rPr>
        <w:t>;</w:t>
      </w:r>
      <w:r w:rsidRPr="00862B0F">
        <w:rPr>
          <w:sz w:val="20"/>
        </w:rPr>
        <w:t xml:space="preserve"> </w:t>
      </w:r>
      <w:r>
        <w:rPr>
          <w:smallCaps/>
          <w:sz w:val="20"/>
        </w:rPr>
        <w:t xml:space="preserve">H. </w:t>
      </w:r>
      <w:r w:rsidRPr="001B37E2">
        <w:rPr>
          <w:sz w:val="20"/>
        </w:rPr>
        <w:t>en</w:t>
      </w:r>
      <w:r>
        <w:rPr>
          <w:smallCaps/>
          <w:sz w:val="20"/>
        </w:rPr>
        <w:t xml:space="preserve"> L. Mazeaud, </w:t>
      </w:r>
      <w:r w:rsidRPr="00862B0F">
        <w:rPr>
          <w:smallCaps/>
          <w:sz w:val="20"/>
        </w:rPr>
        <w:t xml:space="preserve">J. mazeaud en F. Chabas, </w:t>
      </w:r>
      <w:r w:rsidRPr="00862B0F">
        <w:rPr>
          <w:i/>
          <w:sz w:val="20"/>
        </w:rPr>
        <w:t xml:space="preserve">Biens, </w:t>
      </w:r>
      <w:r w:rsidRPr="00862B0F">
        <w:rPr>
          <w:sz w:val="20"/>
        </w:rPr>
        <w:t>P</w:t>
      </w:r>
      <w:r>
        <w:rPr>
          <w:sz w:val="20"/>
        </w:rPr>
        <w:t xml:space="preserve">arijs, Montchrestien 1994, 211; </w:t>
      </w:r>
      <w:r>
        <w:rPr>
          <w:smallCaps/>
          <w:sz w:val="20"/>
          <w:lang w:val="nl-BE"/>
        </w:rPr>
        <w:t xml:space="preserve">P. Malaurie, L. Aynes, </w:t>
      </w:r>
      <w:r>
        <w:rPr>
          <w:i/>
          <w:sz w:val="20"/>
          <w:lang w:val="nl-BE"/>
        </w:rPr>
        <w:t xml:space="preserve">Les Biens, </w:t>
      </w:r>
      <w:r>
        <w:rPr>
          <w:sz w:val="20"/>
          <w:lang w:val="nl-BE"/>
        </w:rPr>
        <w:t xml:space="preserve">Parijs, Defrénois 2010, 180; </w:t>
      </w:r>
      <w:r>
        <w:rPr>
          <w:smallCaps/>
          <w:sz w:val="20"/>
        </w:rPr>
        <w:t xml:space="preserve">W. Dross, </w:t>
      </w:r>
      <w:r>
        <w:rPr>
          <w:i/>
          <w:sz w:val="20"/>
        </w:rPr>
        <w:t xml:space="preserve">Droit des Biens, </w:t>
      </w:r>
      <w:r>
        <w:rPr>
          <w:sz w:val="20"/>
        </w:rPr>
        <w:t xml:space="preserve">Parijs, Montchrestien 2012, 248; </w:t>
      </w:r>
      <w:r>
        <w:rPr>
          <w:smallCaps/>
          <w:sz w:val="20"/>
        </w:rPr>
        <w:t xml:space="preserve">W. Dross, </w:t>
      </w:r>
      <w:r>
        <w:rPr>
          <w:i/>
          <w:sz w:val="20"/>
        </w:rPr>
        <w:t xml:space="preserve">Les choses, </w:t>
      </w:r>
      <w:r>
        <w:rPr>
          <w:sz w:val="20"/>
        </w:rPr>
        <w:t xml:space="preserve">Parijs, LGDJ Lextenso éditions 2012, 557; M.-L. </w:t>
      </w:r>
      <w:r>
        <w:rPr>
          <w:smallCaps/>
          <w:sz w:val="20"/>
        </w:rPr>
        <w:t xml:space="preserve">Mathieu, </w:t>
      </w:r>
      <w:r>
        <w:rPr>
          <w:i/>
          <w:sz w:val="20"/>
        </w:rPr>
        <w:t xml:space="preserve">Droit Civil. Les Biens, </w:t>
      </w:r>
      <w:r>
        <w:rPr>
          <w:sz w:val="20"/>
        </w:rPr>
        <w:t xml:space="preserve">Parijs, Dalloz 2013, 339; </w:t>
      </w:r>
      <w:r>
        <w:rPr>
          <w:smallCaps/>
          <w:sz w:val="20"/>
        </w:rPr>
        <w:t xml:space="preserve">C. Atias, </w:t>
      </w:r>
      <w:r>
        <w:rPr>
          <w:i/>
          <w:sz w:val="20"/>
        </w:rPr>
        <w:t>Manuel Droit Civil. Les Biens,</w:t>
      </w:r>
      <w:r>
        <w:rPr>
          <w:sz w:val="20"/>
        </w:rPr>
        <w:t xml:space="preserve"> Parijs, Litec 2014, 252.</w:t>
      </w:r>
    </w:p>
  </w:footnote>
  <w:footnote w:id="63">
    <w:p w14:paraId="525B3EB8"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Artikel 3:118,</w:t>
      </w:r>
      <w:r>
        <w:rPr>
          <w:sz w:val="20"/>
        </w:rPr>
        <w:t xml:space="preserve"> lid 3 Nieuw Burgerlijk Wetboek; </w:t>
      </w:r>
      <w:r w:rsidRPr="00862B0F">
        <w:rPr>
          <w:smallCaps/>
          <w:sz w:val="20"/>
        </w:rPr>
        <w:t xml:space="preserve">C. Asser, </w:t>
      </w:r>
      <w:r w:rsidRPr="00862B0F">
        <w:rPr>
          <w:i/>
          <w:sz w:val="20"/>
        </w:rPr>
        <w:t xml:space="preserve">Algemeen goederenrecht, </w:t>
      </w:r>
      <w:r w:rsidRPr="00862B0F">
        <w:rPr>
          <w:sz w:val="20"/>
        </w:rPr>
        <w:t>3</w:t>
      </w:r>
      <w:r>
        <w:rPr>
          <w:sz w:val="20"/>
        </w:rPr>
        <w:t>-IV, Deventer, Kluwer 2013, 402.</w:t>
      </w:r>
    </w:p>
  </w:footnote>
  <w:footnote w:id="64">
    <w:p w14:paraId="1181F11D" w14:textId="6174FE0D" w:rsidR="00C97F8C" w:rsidRPr="006460FD" w:rsidRDefault="00C97F8C" w:rsidP="00B768BB">
      <w:pPr>
        <w:pStyle w:val="Voetnoottekst"/>
        <w:rPr>
          <w:lang w:val="en-GB"/>
        </w:rPr>
      </w:pPr>
      <w:r w:rsidRPr="00862B0F">
        <w:rPr>
          <w:rStyle w:val="Voetnootmarkering"/>
          <w:sz w:val="20"/>
        </w:rPr>
        <w:footnoteRef/>
      </w:r>
      <w:r w:rsidRPr="006460FD">
        <w:rPr>
          <w:sz w:val="20"/>
          <w:lang w:val="en-GB"/>
        </w:rPr>
        <w:t xml:space="preserve"> </w:t>
      </w:r>
      <w:proofErr w:type="spellStart"/>
      <w:r w:rsidRPr="006460FD">
        <w:rPr>
          <w:sz w:val="20"/>
          <w:lang w:val="en-GB"/>
        </w:rPr>
        <w:t>Artikel</w:t>
      </w:r>
      <w:proofErr w:type="spellEnd"/>
      <w:r w:rsidRPr="006460FD">
        <w:rPr>
          <w:sz w:val="20"/>
          <w:lang w:val="en-GB"/>
        </w:rPr>
        <w:t xml:space="preserve"> VIII- 3:101 Draft </w:t>
      </w:r>
      <w:r w:rsidR="00192459">
        <w:rPr>
          <w:sz w:val="20"/>
          <w:lang w:val="en-GB"/>
        </w:rPr>
        <w:t>Common Frame of Reference</w:t>
      </w:r>
      <w:r w:rsidRPr="006460FD">
        <w:rPr>
          <w:sz w:val="20"/>
          <w:lang w:val="en-GB"/>
        </w:rPr>
        <w:t xml:space="preserve">; </w:t>
      </w:r>
      <w:r w:rsidRPr="006460FD">
        <w:rPr>
          <w:smallCaps/>
          <w:sz w:val="20"/>
          <w:lang w:val="en-GB"/>
        </w:rPr>
        <w:t xml:space="preserve">C. Von Bar en E. Clive, </w:t>
      </w:r>
      <w:r w:rsidRPr="006460FD">
        <w:rPr>
          <w:i/>
          <w:sz w:val="20"/>
          <w:lang w:val="en-GB"/>
        </w:rPr>
        <w:t xml:space="preserve">Principles, Definitions and Model Rules of European Private law: Draft </w:t>
      </w:r>
      <w:r w:rsidR="00192459">
        <w:rPr>
          <w:i/>
          <w:sz w:val="20"/>
          <w:lang w:val="en-GB"/>
        </w:rPr>
        <w:t>Common Frame of</w:t>
      </w:r>
      <w:r w:rsidRPr="006460FD">
        <w:rPr>
          <w:i/>
          <w:sz w:val="20"/>
          <w:lang w:val="en-GB"/>
        </w:rPr>
        <w:t xml:space="preserve"> Reference (DCFR), </w:t>
      </w:r>
      <w:r w:rsidRPr="006460FD">
        <w:rPr>
          <w:sz w:val="20"/>
          <w:lang w:val="en-GB"/>
        </w:rPr>
        <w:t xml:space="preserve">2009, 4833; </w:t>
      </w:r>
      <w:r w:rsidRPr="006460FD">
        <w:rPr>
          <w:smallCaps/>
          <w:sz w:val="20"/>
          <w:lang w:val="en-GB"/>
        </w:rPr>
        <w:t xml:space="preserve">L.P.W. Van </w:t>
      </w:r>
      <w:proofErr w:type="spellStart"/>
      <w:r w:rsidRPr="006460FD">
        <w:rPr>
          <w:smallCaps/>
          <w:sz w:val="20"/>
          <w:lang w:val="en-GB"/>
        </w:rPr>
        <w:t>Vliet</w:t>
      </w:r>
      <w:proofErr w:type="spellEnd"/>
      <w:r w:rsidRPr="006460FD">
        <w:rPr>
          <w:smallCaps/>
          <w:sz w:val="20"/>
          <w:lang w:val="en-GB"/>
        </w:rPr>
        <w:t>, “</w:t>
      </w:r>
      <w:r w:rsidRPr="006460FD">
        <w:rPr>
          <w:sz w:val="20"/>
          <w:lang w:val="en-GB"/>
        </w:rPr>
        <w:t>Book VII DCFR: Acquisition and loss of ownership”</w:t>
      </w:r>
      <w:r w:rsidRPr="006460FD">
        <w:rPr>
          <w:i/>
          <w:sz w:val="20"/>
          <w:lang w:val="en-GB"/>
        </w:rPr>
        <w:t xml:space="preserve">, NTBR </w:t>
      </w:r>
      <w:r w:rsidRPr="006460FD">
        <w:rPr>
          <w:sz w:val="20"/>
          <w:lang w:val="en-GB"/>
        </w:rPr>
        <w:t xml:space="preserve">2011, 6; </w:t>
      </w:r>
      <w:r w:rsidRPr="006460FD">
        <w:rPr>
          <w:smallCaps/>
          <w:sz w:val="20"/>
          <w:lang w:val="en-GB"/>
        </w:rPr>
        <w:t xml:space="preserve">A. </w:t>
      </w:r>
      <w:proofErr w:type="spellStart"/>
      <w:r w:rsidRPr="006460FD">
        <w:rPr>
          <w:smallCaps/>
          <w:sz w:val="20"/>
          <w:lang w:val="en-GB"/>
        </w:rPr>
        <w:t>Salomons</w:t>
      </w:r>
      <w:proofErr w:type="spellEnd"/>
      <w:r w:rsidRPr="006460FD">
        <w:rPr>
          <w:smallCaps/>
          <w:sz w:val="20"/>
          <w:lang w:val="en-GB"/>
        </w:rPr>
        <w:t xml:space="preserve">, </w:t>
      </w:r>
      <w:r w:rsidRPr="006460FD">
        <w:rPr>
          <w:sz w:val="20"/>
          <w:lang w:val="en-GB"/>
        </w:rPr>
        <w:t xml:space="preserve">“The purpose and Coherence of the Rules on Good Faith Acquisition and Acquisitive Prescription in the Draft Common Frame of Reference: A Tale of Two Gatekeepers”, </w:t>
      </w:r>
      <w:r w:rsidRPr="006460FD">
        <w:rPr>
          <w:i/>
          <w:sz w:val="20"/>
          <w:lang w:val="en-GB"/>
        </w:rPr>
        <w:t xml:space="preserve">ERPL </w:t>
      </w:r>
      <w:r w:rsidRPr="006460FD">
        <w:rPr>
          <w:sz w:val="20"/>
          <w:lang w:val="en-GB"/>
        </w:rPr>
        <w:t>2013, 854.</w:t>
      </w:r>
    </w:p>
  </w:footnote>
  <w:footnote w:id="65">
    <w:p w14:paraId="410B97F6" w14:textId="17B5297A"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Pr>
          <w:sz w:val="20"/>
        </w:rPr>
        <w:t xml:space="preserve">Artikel 2269 Burgerlijk Wetboek; </w:t>
      </w:r>
      <w:r>
        <w:rPr>
          <w:smallCaps/>
          <w:sz w:val="20"/>
        </w:rPr>
        <w:t xml:space="preserve">R. Derine, F. Van Neste, H. Vandenberghe, </w:t>
      </w:r>
      <w:r>
        <w:rPr>
          <w:i/>
          <w:sz w:val="20"/>
        </w:rPr>
        <w:t xml:space="preserve">Zakenrecht – Deel 1.B, </w:t>
      </w:r>
      <w:r>
        <w:rPr>
          <w:sz w:val="20"/>
        </w:rPr>
        <w:t xml:space="preserve">Antwerpen, Standaard 1974, 924-926; </w:t>
      </w:r>
      <w:r>
        <w:rPr>
          <w:smallCaps/>
          <w:sz w:val="20"/>
        </w:rPr>
        <w:t xml:space="preserve">A. Kluyskens, </w:t>
      </w:r>
      <w:r>
        <w:rPr>
          <w:i/>
          <w:sz w:val="20"/>
        </w:rPr>
        <w:t xml:space="preserve">Beginselen van Burgerlijk Recht – Zakenrecht, </w:t>
      </w:r>
      <w:r>
        <w:rPr>
          <w:sz w:val="20"/>
        </w:rPr>
        <w:t xml:space="preserve">Standaard, Gent 1940, 935; </w:t>
      </w:r>
      <w:proofErr w:type="spellStart"/>
      <w:r>
        <w:rPr>
          <w:smallCaps/>
          <w:sz w:val="20"/>
        </w:rPr>
        <w:t>M.e.</w:t>
      </w:r>
      <w:proofErr w:type="spellEnd"/>
      <w:r>
        <w:rPr>
          <w:smallCaps/>
          <w:sz w:val="20"/>
        </w:rPr>
        <w:t xml:space="preserve"> Storme, </w:t>
      </w:r>
      <w:r>
        <w:rPr>
          <w:sz w:val="20"/>
        </w:rPr>
        <w:t xml:space="preserve">“Overdracht van roerende goederen, vestiging van pandrecht, eigendomsvoorbehoud: een poging tot systematisatie” in </w:t>
      </w:r>
      <w:r>
        <w:rPr>
          <w:i/>
          <w:sz w:val="20"/>
        </w:rPr>
        <w:t xml:space="preserve">Zakenrecht; absoluut niet een rustig bezit, </w:t>
      </w:r>
      <w:r>
        <w:rPr>
          <w:sz w:val="20"/>
        </w:rPr>
        <w:t xml:space="preserve">1992, 484; </w:t>
      </w:r>
      <w:r w:rsidRPr="00630D9C">
        <w:rPr>
          <w:smallCaps/>
          <w:sz w:val="20"/>
          <w:lang w:val="nl-BE"/>
        </w:rPr>
        <w:t>J. Van Kokelenberg, V. Sagaert, T</w:t>
      </w:r>
      <w:r>
        <w:rPr>
          <w:smallCaps/>
          <w:sz w:val="20"/>
          <w:lang w:val="nl-BE"/>
        </w:rPr>
        <w:t>.</w:t>
      </w:r>
      <w:r w:rsidRPr="00630D9C">
        <w:rPr>
          <w:smallCaps/>
          <w:sz w:val="20"/>
          <w:lang w:val="nl-BE"/>
        </w:rPr>
        <w:t xml:space="preserve"> Van Sinay en R. Jansen, “</w:t>
      </w:r>
      <w:r w:rsidRPr="00630D9C">
        <w:rPr>
          <w:sz w:val="20"/>
          <w:lang w:val="nl-BE"/>
        </w:rPr>
        <w:t xml:space="preserve">Zakenrecht – overzicht van rechtspraak (2000-2008)”, </w:t>
      </w:r>
      <w:r w:rsidRPr="00630D9C">
        <w:rPr>
          <w:i/>
          <w:sz w:val="20"/>
          <w:lang w:val="nl-BE"/>
        </w:rPr>
        <w:t xml:space="preserve">TPR </w:t>
      </w:r>
      <w:r w:rsidRPr="00630D9C">
        <w:rPr>
          <w:sz w:val="20"/>
          <w:lang w:val="nl-BE"/>
        </w:rPr>
        <w:t xml:space="preserve"> 2009, 1697;</w:t>
      </w:r>
      <w:r>
        <w:rPr>
          <w:sz w:val="20"/>
          <w:lang w:val="nl-BE"/>
        </w:rPr>
        <w:t xml:space="preserve"> </w:t>
      </w:r>
      <w:r>
        <w:rPr>
          <w:smallCaps/>
          <w:sz w:val="20"/>
        </w:rPr>
        <w:t xml:space="preserve">H. Vandenberghe, </w:t>
      </w:r>
      <w:r>
        <w:rPr>
          <w:i/>
          <w:sz w:val="20"/>
        </w:rPr>
        <w:t xml:space="preserve">Goederenrecht, </w:t>
      </w:r>
      <w:r>
        <w:rPr>
          <w:sz w:val="20"/>
        </w:rPr>
        <w:t>Leuven Acco 2006,  126;</w:t>
      </w:r>
      <w:r w:rsidRPr="00630D9C">
        <w:rPr>
          <w:sz w:val="20"/>
          <w:lang w:val="nl-BE"/>
        </w:rPr>
        <w:t xml:space="preserve"> </w:t>
      </w:r>
      <w:r>
        <w:rPr>
          <w:smallCaps/>
          <w:sz w:val="20"/>
        </w:rPr>
        <w:t xml:space="preserve">J. Baeck, </w:t>
      </w:r>
      <w:r>
        <w:rPr>
          <w:sz w:val="20"/>
        </w:rPr>
        <w:t xml:space="preserve">“Ontbinding en derden: niet storen a.u.b.”, </w:t>
      </w:r>
      <w:r>
        <w:rPr>
          <w:i/>
          <w:sz w:val="20"/>
        </w:rPr>
        <w:t xml:space="preserve">TPR </w:t>
      </w:r>
      <w:r>
        <w:rPr>
          <w:sz w:val="20"/>
        </w:rPr>
        <w:t xml:space="preserve">2009, 700; </w:t>
      </w:r>
      <w:r w:rsidRPr="00862B0F">
        <w:rPr>
          <w:smallCaps/>
          <w:sz w:val="20"/>
        </w:rPr>
        <w:t xml:space="preserve">J. Del Corral, </w:t>
      </w:r>
      <w:r w:rsidRPr="00862B0F">
        <w:rPr>
          <w:i/>
          <w:sz w:val="20"/>
        </w:rPr>
        <w:t>De leveringsplicht bij de overdracht van roerende lichamelijke goederen</w:t>
      </w:r>
      <w:r w:rsidRPr="00862B0F">
        <w:rPr>
          <w:sz w:val="20"/>
        </w:rPr>
        <w:t xml:space="preserve">, Antwerpen, Intersentia, 2013, 425; </w:t>
      </w:r>
      <w:r w:rsidRPr="00862B0F">
        <w:rPr>
          <w:smallCaps/>
          <w:sz w:val="20"/>
        </w:rPr>
        <w:t xml:space="preserve">V. Sagaert, </w:t>
      </w:r>
      <w:r w:rsidRPr="00862B0F">
        <w:rPr>
          <w:i/>
          <w:sz w:val="20"/>
        </w:rPr>
        <w:t>Beginselen van Belgisch Privaatrecht – V – Goederenrecht</w:t>
      </w:r>
      <w:r w:rsidRPr="00862B0F">
        <w:rPr>
          <w:sz w:val="20"/>
        </w:rPr>
        <w:t>, Mechelen, Kluwer 2014, 679.</w:t>
      </w:r>
    </w:p>
  </w:footnote>
  <w:footnote w:id="66">
    <w:p w14:paraId="74D19B92" w14:textId="77777777" w:rsidR="00C97F8C" w:rsidRPr="007E6307" w:rsidRDefault="00C97F8C" w:rsidP="00B768BB">
      <w:pPr>
        <w:pStyle w:val="Voetnoottekst"/>
        <w:rPr>
          <w:lang w:val="nl-BE"/>
        </w:rPr>
      </w:pPr>
      <w:r>
        <w:rPr>
          <w:rStyle w:val="Voetnootmarkering"/>
        </w:rPr>
        <w:footnoteRef/>
      </w:r>
      <w:r>
        <w:t xml:space="preserve"> </w:t>
      </w:r>
      <w:r w:rsidRPr="005738BB">
        <w:rPr>
          <w:sz w:val="20"/>
          <w:lang w:val="nl-BE"/>
        </w:rPr>
        <w:t xml:space="preserve">Brussel 22 april 2002,  </w:t>
      </w:r>
      <w:r w:rsidRPr="005738BB">
        <w:rPr>
          <w:i/>
          <w:sz w:val="20"/>
          <w:lang w:val="nl-BE"/>
        </w:rPr>
        <w:t xml:space="preserve">NJW </w:t>
      </w:r>
      <w:r w:rsidRPr="005738BB">
        <w:rPr>
          <w:sz w:val="20"/>
          <w:lang w:val="nl-BE"/>
        </w:rPr>
        <w:t xml:space="preserve">2003, 164, noot </w:t>
      </w:r>
      <w:r w:rsidRPr="005738BB">
        <w:rPr>
          <w:smallCaps/>
          <w:sz w:val="20"/>
          <w:lang w:val="nl-BE"/>
        </w:rPr>
        <w:t xml:space="preserve">K. Vanhove; </w:t>
      </w:r>
      <w:r w:rsidRPr="005738BB">
        <w:rPr>
          <w:sz w:val="20"/>
          <w:lang w:val="nl-BE"/>
        </w:rPr>
        <w:t xml:space="preserve">Rb. koophandel Brussel 24 juni 1994, </w:t>
      </w:r>
      <w:r w:rsidRPr="005738BB">
        <w:rPr>
          <w:i/>
          <w:sz w:val="20"/>
          <w:lang w:val="nl-BE"/>
        </w:rPr>
        <w:t xml:space="preserve">JT </w:t>
      </w:r>
      <w:r w:rsidRPr="005738BB">
        <w:rPr>
          <w:sz w:val="20"/>
          <w:lang w:val="nl-BE"/>
        </w:rPr>
        <w:t>1995, 72.</w:t>
      </w:r>
      <w:r>
        <w:rPr>
          <w:sz w:val="20"/>
          <w:lang w:val="nl-BE"/>
        </w:rPr>
        <w:t xml:space="preserve"> </w:t>
      </w:r>
      <w:r>
        <w:rPr>
          <w:sz w:val="20"/>
          <w:u w:val="single"/>
          <w:lang w:val="nl-BE"/>
        </w:rPr>
        <w:t>Nederland:</w:t>
      </w:r>
      <w:r>
        <w:rPr>
          <w:sz w:val="20"/>
          <w:lang w:val="nl-BE"/>
        </w:rPr>
        <w:t xml:space="preserve"> </w:t>
      </w:r>
      <w:r w:rsidRPr="00862B0F">
        <w:rPr>
          <w:smallCaps/>
          <w:sz w:val="20"/>
        </w:rPr>
        <w:t xml:space="preserve">C. Asser, </w:t>
      </w:r>
      <w:r w:rsidRPr="00862B0F">
        <w:rPr>
          <w:i/>
          <w:sz w:val="20"/>
        </w:rPr>
        <w:t xml:space="preserve">Algemeen goederenrecht, </w:t>
      </w:r>
      <w:r>
        <w:rPr>
          <w:sz w:val="20"/>
        </w:rPr>
        <w:t>3-IV, Deventer, Kluwer 2013, 404.</w:t>
      </w:r>
    </w:p>
  </w:footnote>
  <w:footnote w:id="67">
    <w:p w14:paraId="284A1CC3" w14:textId="1319ED2A"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Pr>
          <w:sz w:val="20"/>
          <w:u w:val="single"/>
        </w:rPr>
        <w:t>Frankrijk:</w:t>
      </w:r>
      <w:r>
        <w:rPr>
          <w:sz w:val="20"/>
        </w:rPr>
        <w:t xml:space="preserve">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380-381;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154; </w:t>
      </w:r>
      <w:r>
        <w:rPr>
          <w:smallCaps/>
          <w:sz w:val="20"/>
        </w:rPr>
        <w:t xml:space="preserve">A. Weill, F. Terré, P. Simler, </w:t>
      </w:r>
      <w:r>
        <w:rPr>
          <w:i/>
          <w:sz w:val="20"/>
        </w:rPr>
        <w:t xml:space="preserve">Les biens, </w:t>
      </w:r>
      <w:r>
        <w:rPr>
          <w:sz w:val="20"/>
        </w:rPr>
        <w:t xml:space="preserve">Parijs, Dalloz 1985, 367; </w:t>
      </w:r>
      <w:r>
        <w:rPr>
          <w:smallCaps/>
          <w:sz w:val="20"/>
        </w:rPr>
        <w:t xml:space="preserve">P. Jourdain, </w:t>
      </w:r>
      <w:r>
        <w:rPr>
          <w:sz w:val="20"/>
        </w:rPr>
        <w:t xml:space="preserve">“Les biens”, in </w:t>
      </w:r>
      <w:r>
        <w:rPr>
          <w:i/>
          <w:sz w:val="20"/>
        </w:rPr>
        <w:t xml:space="preserve">Marty en Raynaud, </w:t>
      </w:r>
      <w:r>
        <w:rPr>
          <w:sz w:val="20"/>
        </w:rPr>
        <w:t xml:space="preserve">Parijs, Dalloz 1995, 476; </w:t>
      </w:r>
      <w:r>
        <w:rPr>
          <w:smallCaps/>
          <w:sz w:val="20"/>
        </w:rPr>
        <w:t xml:space="preserve">F. Terré, P. Simler, </w:t>
      </w:r>
      <w:r>
        <w:rPr>
          <w:i/>
          <w:sz w:val="20"/>
        </w:rPr>
        <w:t xml:space="preserve">Droit Civil. </w:t>
      </w:r>
      <w:r w:rsidRPr="006460FD">
        <w:rPr>
          <w:i/>
          <w:sz w:val="20"/>
          <w:lang w:val="en-GB"/>
        </w:rPr>
        <w:t xml:space="preserve">Les Biens, </w:t>
      </w:r>
      <w:r w:rsidRPr="006460FD">
        <w:rPr>
          <w:sz w:val="20"/>
          <w:lang w:val="en-GB"/>
        </w:rPr>
        <w:t xml:space="preserve">Parijs, Dalloz </w:t>
      </w:r>
      <w:r>
        <w:rPr>
          <w:sz w:val="20"/>
          <w:lang w:val="en-GB"/>
        </w:rPr>
        <w:t>2006</w:t>
      </w:r>
      <w:r w:rsidRPr="006460FD">
        <w:rPr>
          <w:sz w:val="20"/>
          <w:lang w:val="en-GB"/>
        </w:rPr>
        <w:t xml:space="preserve">, </w:t>
      </w:r>
      <w:r w:rsidRPr="000334CD">
        <w:rPr>
          <w:sz w:val="20"/>
          <w:lang w:val="en-GB"/>
        </w:rPr>
        <w:t>370</w:t>
      </w:r>
      <w:r w:rsidRPr="006460FD">
        <w:rPr>
          <w:sz w:val="20"/>
          <w:lang w:val="en-GB"/>
        </w:rPr>
        <w:t xml:space="preserve">; </w:t>
      </w:r>
      <w:r w:rsidRPr="006460FD">
        <w:rPr>
          <w:smallCaps/>
          <w:sz w:val="20"/>
          <w:lang w:val="en-GB"/>
        </w:rPr>
        <w:t xml:space="preserve">P. Malaurie, L. Aynes, </w:t>
      </w:r>
      <w:r w:rsidRPr="006460FD">
        <w:rPr>
          <w:i/>
          <w:sz w:val="20"/>
          <w:lang w:val="en-GB"/>
        </w:rPr>
        <w:t xml:space="preserve">Les Biens, </w:t>
      </w:r>
      <w:r w:rsidRPr="006460FD">
        <w:rPr>
          <w:sz w:val="20"/>
          <w:lang w:val="en-GB"/>
        </w:rPr>
        <w:t xml:space="preserve">Parijs, Defrénois 2010, 181; </w:t>
      </w:r>
      <w:r w:rsidRPr="006460FD">
        <w:rPr>
          <w:smallCaps/>
          <w:sz w:val="20"/>
          <w:lang w:val="en-GB"/>
        </w:rPr>
        <w:t xml:space="preserve">W. Dross, </w:t>
      </w:r>
      <w:r w:rsidRPr="006460FD">
        <w:rPr>
          <w:i/>
          <w:sz w:val="20"/>
          <w:lang w:val="en-GB"/>
        </w:rPr>
        <w:t xml:space="preserve">Les choses, </w:t>
      </w:r>
      <w:r w:rsidRPr="006460FD">
        <w:rPr>
          <w:sz w:val="20"/>
          <w:lang w:val="en-GB"/>
        </w:rPr>
        <w:t xml:space="preserve">Parijs, LGDJ Lextenso éditions 2012, 557; M.-L. </w:t>
      </w:r>
      <w:r w:rsidRPr="006460FD">
        <w:rPr>
          <w:smallCaps/>
          <w:sz w:val="20"/>
          <w:lang w:val="en-GB"/>
        </w:rPr>
        <w:t xml:space="preserve">Mathieu, </w:t>
      </w:r>
      <w:r w:rsidRPr="006460FD">
        <w:rPr>
          <w:i/>
          <w:sz w:val="20"/>
          <w:lang w:val="en-GB"/>
        </w:rPr>
        <w:t xml:space="preserve">Droit Civil. </w:t>
      </w:r>
      <w:r>
        <w:rPr>
          <w:i/>
          <w:sz w:val="20"/>
        </w:rPr>
        <w:t xml:space="preserve">Les Biens, </w:t>
      </w:r>
      <w:r>
        <w:rPr>
          <w:sz w:val="20"/>
        </w:rPr>
        <w:t>Parijs, Dalloz 2013, 339.</w:t>
      </w:r>
      <w:r>
        <w:rPr>
          <w:sz w:val="20"/>
          <w:lang w:val="nl-BE"/>
        </w:rPr>
        <w:t xml:space="preserve"> </w:t>
      </w:r>
      <w:r>
        <w:rPr>
          <w:sz w:val="20"/>
          <w:u w:val="single"/>
          <w:lang w:val="nl-BE"/>
        </w:rPr>
        <w:t>Nederland:</w:t>
      </w:r>
      <w:r>
        <w:rPr>
          <w:sz w:val="20"/>
          <w:lang w:val="nl-BE"/>
        </w:rPr>
        <w:t xml:space="preserve"> Wordt het bezit verschaft door een tweezijdige verklaring, dan moet de derde-verkrijger te goeder trouw zijn op het ogenblik dat deze tweezijdige verklaring tot stand komt (</w:t>
      </w:r>
      <w:r w:rsidRPr="00862B0F">
        <w:rPr>
          <w:smallCaps/>
          <w:sz w:val="20"/>
        </w:rPr>
        <w:t xml:space="preserve">C. Asser, </w:t>
      </w:r>
      <w:r w:rsidRPr="00862B0F">
        <w:rPr>
          <w:i/>
          <w:sz w:val="20"/>
        </w:rPr>
        <w:t xml:space="preserve">Algemeen goederenrecht, </w:t>
      </w:r>
      <w:r w:rsidRPr="00862B0F">
        <w:rPr>
          <w:sz w:val="20"/>
        </w:rPr>
        <w:t>3-I</w:t>
      </w:r>
      <w:r>
        <w:rPr>
          <w:sz w:val="20"/>
        </w:rPr>
        <w:t xml:space="preserve">V, Deventer, Kluwer 2013, 402-403; </w:t>
      </w:r>
      <w:r w:rsidRPr="00862B0F">
        <w:rPr>
          <w:smallCaps/>
          <w:sz w:val="20"/>
        </w:rPr>
        <w:t xml:space="preserve">W.H.M. Reehuis en A.H.T. Heisterkamp, </w:t>
      </w:r>
      <w:r>
        <w:rPr>
          <w:i/>
          <w:sz w:val="20"/>
        </w:rPr>
        <w:t xml:space="preserve">Goederenrecht, </w:t>
      </w:r>
      <w:r w:rsidRPr="002D5D53">
        <w:rPr>
          <w:sz w:val="20"/>
        </w:rPr>
        <w:t>Deventer</w:t>
      </w:r>
      <w:r>
        <w:rPr>
          <w:i/>
          <w:sz w:val="20"/>
        </w:rPr>
        <w:t xml:space="preserve">, </w:t>
      </w:r>
      <w:r>
        <w:rPr>
          <w:sz w:val="20"/>
        </w:rPr>
        <w:t>Kluwer 2006</w:t>
      </w:r>
      <w:r>
        <w:rPr>
          <w:i/>
          <w:sz w:val="20"/>
        </w:rPr>
        <w:t xml:space="preserve">, </w:t>
      </w:r>
      <w:r>
        <w:rPr>
          <w:sz w:val="20"/>
        </w:rPr>
        <w:t>138)</w:t>
      </w:r>
      <w:r w:rsidRPr="00862B0F">
        <w:rPr>
          <w:sz w:val="20"/>
        </w:rPr>
        <w:t>.</w:t>
      </w:r>
    </w:p>
  </w:footnote>
  <w:footnote w:id="68">
    <w:p w14:paraId="3E3E2DE5" w14:textId="6CC0E4AA" w:rsidR="00C97F8C" w:rsidRPr="006460FD" w:rsidRDefault="00C97F8C" w:rsidP="00B768BB">
      <w:pPr>
        <w:rPr>
          <w:sz w:val="20"/>
          <w:szCs w:val="20"/>
          <w:lang w:val="en-GB"/>
        </w:rPr>
      </w:pPr>
      <w:r w:rsidRPr="00862B0F">
        <w:rPr>
          <w:rStyle w:val="Voetnootmarkering"/>
          <w:sz w:val="20"/>
          <w:szCs w:val="20"/>
        </w:rPr>
        <w:footnoteRef/>
      </w:r>
      <w:r w:rsidRPr="006460FD">
        <w:rPr>
          <w:sz w:val="20"/>
          <w:szCs w:val="20"/>
          <w:lang w:val="en-GB"/>
        </w:rPr>
        <w:t xml:space="preserve"> </w:t>
      </w:r>
      <w:proofErr w:type="spellStart"/>
      <w:r w:rsidRPr="006460FD">
        <w:rPr>
          <w:sz w:val="20"/>
          <w:szCs w:val="20"/>
          <w:lang w:val="en-GB"/>
        </w:rPr>
        <w:t>Artikel</w:t>
      </w:r>
      <w:proofErr w:type="spellEnd"/>
      <w:r w:rsidRPr="006460FD">
        <w:rPr>
          <w:sz w:val="20"/>
          <w:szCs w:val="20"/>
          <w:lang w:val="en-GB"/>
        </w:rPr>
        <w:t xml:space="preserve"> VIII- 3:101 Draft </w:t>
      </w:r>
      <w:r w:rsidR="00192459">
        <w:rPr>
          <w:sz w:val="20"/>
          <w:szCs w:val="20"/>
          <w:lang w:val="en-GB"/>
        </w:rPr>
        <w:t>Common Frame of</w:t>
      </w:r>
      <w:r w:rsidRPr="006460FD">
        <w:rPr>
          <w:sz w:val="20"/>
          <w:szCs w:val="20"/>
          <w:lang w:val="en-GB"/>
        </w:rPr>
        <w:t xml:space="preserve"> Reference; </w:t>
      </w:r>
      <w:r w:rsidRPr="006460FD">
        <w:rPr>
          <w:smallCaps/>
          <w:sz w:val="20"/>
          <w:szCs w:val="20"/>
          <w:lang w:val="en-GB"/>
        </w:rPr>
        <w:t xml:space="preserve">C. Von Bar en E. Clive, </w:t>
      </w:r>
      <w:r w:rsidRPr="006460FD">
        <w:rPr>
          <w:i/>
          <w:sz w:val="20"/>
          <w:szCs w:val="20"/>
          <w:lang w:val="en-GB"/>
        </w:rPr>
        <w:t xml:space="preserve">Principles, Definitions and Model Rules of European Private law: Draft </w:t>
      </w:r>
      <w:r w:rsidR="00192459">
        <w:rPr>
          <w:i/>
          <w:sz w:val="20"/>
          <w:szCs w:val="20"/>
          <w:lang w:val="en-GB"/>
        </w:rPr>
        <w:t>Common Frame of</w:t>
      </w:r>
      <w:r w:rsidRPr="006460FD">
        <w:rPr>
          <w:i/>
          <w:sz w:val="20"/>
          <w:szCs w:val="20"/>
          <w:lang w:val="en-GB"/>
        </w:rPr>
        <w:t xml:space="preserve"> Reference (DCFR), </w:t>
      </w:r>
      <w:r w:rsidRPr="006460FD">
        <w:rPr>
          <w:sz w:val="20"/>
          <w:szCs w:val="20"/>
          <w:lang w:val="en-GB"/>
        </w:rPr>
        <w:t>2009, 4831.</w:t>
      </w:r>
    </w:p>
  </w:footnote>
  <w:footnote w:id="69">
    <w:p w14:paraId="727387D9" w14:textId="38506864" w:rsidR="00C97F8C" w:rsidRPr="006460FD" w:rsidRDefault="00C97F8C" w:rsidP="00B768BB">
      <w:pPr>
        <w:rPr>
          <w:sz w:val="20"/>
          <w:szCs w:val="20"/>
          <w:lang w:val="en-GB"/>
        </w:rPr>
      </w:pPr>
      <w:r w:rsidRPr="00862B0F">
        <w:rPr>
          <w:rStyle w:val="Voetnootmarkering"/>
          <w:sz w:val="20"/>
          <w:szCs w:val="20"/>
        </w:rPr>
        <w:footnoteRef/>
      </w:r>
      <w:r w:rsidRPr="006460FD">
        <w:rPr>
          <w:sz w:val="20"/>
          <w:szCs w:val="20"/>
          <w:lang w:val="en-GB"/>
        </w:rPr>
        <w:t xml:space="preserve"> </w:t>
      </w:r>
      <w:r w:rsidRPr="006460FD">
        <w:rPr>
          <w:smallCaps/>
          <w:sz w:val="20"/>
          <w:szCs w:val="20"/>
          <w:lang w:val="en-GB"/>
        </w:rPr>
        <w:t xml:space="preserve">C. Von Bar en E. Clive, </w:t>
      </w:r>
      <w:r w:rsidRPr="006460FD">
        <w:rPr>
          <w:i/>
          <w:sz w:val="20"/>
          <w:szCs w:val="20"/>
          <w:lang w:val="en-GB"/>
        </w:rPr>
        <w:t xml:space="preserve">Principles, Definitions and Model Rules of European Private law: Draft </w:t>
      </w:r>
      <w:r w:rsidR="00192459">
        <w:rPr>
          <w:i/>
          <w:sz w:val="20"/>
          <w:szCs w:val="20"/>
          <w:lang w:val="en-GB"/>
        </w:rPr>
        <w:t xml:space="preserve">Common Frame of </w:t>
      </w:r>
      <w:r w:rsidRPr="006460FD">
        <w:rPr>
          <w:i/>
          <w:sz w:val="20"/>
          <w:szCs w:val="20"/>
          <w:lang w:val="en-GB"/>
        </w:rPr>
        <w:t xml:space="preserve">Reference (DCFR), </w:t>
      </w:r>
      <w:r w:rsidRPr="006460FD">
        <w:rPr>
          <w:sz w:val="20"/>
          <w:szCs w:val="20"/>
          <w:lang w:val="en-GB"/>
        </w:rPr>
        <w:t>2009, 4831.</w:t>
      </w:r>
    </w:p>
  </w:footnote>
  <w:footnote w:id="70">
    <w:p w14:paraId="552F91FB" w14:textId="55ECB31D" w:rsidR="00C97F8C" w:rsidRPr="006460FD" w:rsidRDefault="00C97F8C" w:rsidP="00B768BB">
      <w:pPr>
        <w:pStyle w:val="Voetnoottekst"/>
        <w:rPr>
          <w:sz w:val="20"/>
          <w:lang w:val="en-GB"/>
        </w:rPr>
      </w:pPr>
      <w:r>
        <w:rPr>
          <w:rStyle w:val="Voetnootmarkering"/>
        </w:rPr>
        <w:footnoteRef/>
      </w:r>
      <w:r>
        <w:t xml:space="preserve"> </w:t>
      </w:r>
      <w:r>
        <w:rPr>
          <w:sz w:val="20"/>
          <w:lang w:val="nl-BE"/>
        </w:rPr>
        <w:t xml:space="preserve">Cass. 19 juni 2009, </w:t>
      </w:r>
      <w:r>
        <w:rPr>
          <w:i/>
          <w:sz w:val="20"/>
          <w:lang w:val="nl-BE"/>
        </w:rPr>
        <w:t xml:space="preserve">TBBR </w:t>
      </w:r>
      <w:r>
        <w:rPr>
          <w:sz w:val="20"/>
          <w:lang w:val="nl-BE"/>
        </w:rPr>
        <w:t>2011, 177; A</w:t>
      </w:r>
      <w:r>
        <w:rPr>
          <w:smallCaps/>
          <w:sz w:val="20"/>
        </w:rPr>
        <w:t xml:space="preserve">.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Gent 1983, 246; R</w:t>
      </w:r>
      <w:r>
        <w:rPr>
          <w:smallCaps/>
          <w:sz w:val="20"/>
        </w:rPr>
        <w:t xml:space="preserve">. Derine, F. Van Neste, H. Vandenberghe, </w:t>
      </w:r>
      <w:r>
        <w:rPr>
          <w:i/>
          <w:sz w:val="20"/>
        </w:rPr>
        <w:t xml:space="preserve">Zakenrecht – Deel 1.B, </w:t>
      </w:r>
      <w:r>
        <w:rPr>
          <w:sz w:val="20"/>
        </w:rPr>
        <w:t xml:space="preserve">Antwerpen, Standaard 1974, 924; </w:t>
      </w:r>
      <w:r>
        <w:rPr>
          <w:smallCaps/>
          <w:sz w:val="20"/>
          <w:lang w:val="nl-BE"/>
        </w:rPr>
        <w:t xml:space="preserve">H. De Page, </w:t>
      </w:r>
      <w:r>
        <w:rPr>
          <w:i/>
          <w:sz w:val="20"/>
          <w:lang w:val="nl-BE"/>
        </w:rPr>
        <w:t xml:space="preserve">Traité élémentaire de droit civil belge -  Tome V, </w:t>
      </w:r>
      <w:r>
        <w:rPr>
          <w:sz w:val="20"/>
          <w:lang w:val="nl-BE"/>
        </w:rPr>
        <w:t>Brussel, Bruylant 1975, 927;</w:t>
      </w:r>
      <w:r>
        <w:rPr>
          <w:sz w:val="20"/>
        </w:rPr>
        <w:t xml:space="preserve"> </w:t>
      </w:r>
      <w:r>
        <w:rPr>
          <w:smallCaps/>
          <w:sz w:val="20"/>
        </w:rPr>
        <w:t xml:space="preserve">P. Heurterre, </w:t>
      </w:r>
      <w:r>
        <w:rPr>
          <w:sz w:val="20"/>
        </w:rPr>
        <w:t xml:space="preserve">“De bewijslast van de (on)deugdelijkheid van het bezit, </w:t>
      </w:r>
      <w:r>
        <w:rPr>
          <w:i/>
          <w:sz w:val="20"/>
        </w:rPr>
        <w:t xml:space="preserve">Not. Fisc. M., </w:t>
      </w:r>
      <w:r>
        <w:rPr>
          <w:sz w:val="20"/>
        </w:rPr>
        <w:t xml:space="preserve">1999, (noot onder Cass. 16 februari 1998), 73; </w:t>
      </w:r>
      <w:r>
        <w:rPr>
          <w:smallCaps/>
          <w:sz w:val="20"/>
        </w:rPr>
        <w:t>R.</w:t>
      </w:r>
      <w:r w:rsidRPr="004E082E">
        <w:rPr>
          <w:smallCaps/>
          <w:sz w:val="20"/>
        </w:rPr>
        <w:t xml:space="preserve"> Jansen, </w:t>
      </w:r>
      <w:r w:rsidRPr="004E082E">
        <w:rPr>
          <w:sz w:val="20"/>
        </w:rPr>
        <w:t>“Soms geldt be</w:t>
      </w:r>
      <w:r>
        <w:rPr>
          <w:sz w:val="20"/>
        </w:rPr>
        <w:t>zit als vermoeden van titel, so</w:t>
      </w:r>
      <w:r w:rsidRPr="004E082E">
        <w:rPr>
          <w:sz w:val="20"/>
        </w:rPr>
        <w:t>m</w:t>
      </w:r>
      <w:r>
        <w:rPr>
          <w:sz w:val="20"/>
        </w:rPr>
        <w:t>s</w:t>
      </w:r>
      <w:r w:rsidRPr="004E082E">
        <w:rPr>
          <w:sz w:val="20"/>
        </w:rPr>
        <w:t xml:space="preserve"> als termijn”, </w:t>
      </w:r>
      <w:r w:rsidRPr="004E082E">
        <w:rPr>
          <w:i/>
          <w:sz w:val="20"/>
        </w:rPr>
        <w:t xml:space="preserve">RW </w:t>
      </w:r>
      <w:r w:rsidRPr="004E082E">
        <w:rPr>
          <w:sz w:val="20"/>
        </w:rPr>
        <w:t>2008-09, 827 (noot onder Cass. 24 september 2009</w:t>
      </w:r>
      <w:r>
        <w:rPr>
          <w:sz w:val="20"/>
        </w:rPr>
        <w:t xml:space="preserve">, 826; </w:t>
      </w:r>
      <w:r w:rsidRPr="00BE041A">
        <w:rPr>
          <w:smallCaps/>
          <w:sz w:val="20"/>
        </w:rPr>
        <w:t xml:space="preserve">P. Lecocq, </w:t>
      </w:r>
      <w:r w:rsidRPr="00BE041A">
        <w:rPr>
          <w:i/>
          <w:sz w:val="20"/>
        </w:rPr>
        <w:t xml:space="preserve">Manuel de droit des biens, </w:t>
      </w:r>
      <w:r>
        <w:rPr>
          <w:sz w:val="20"/>
        </w:rPr>
        <w:t xml:space="preserve">Brussel, Larcier, 2012, 150; </w:t>
      </w:r>
      <w:r w:rsidRPr="00862B0F">
        <w:rPr>
          <w:smallCaps/>
          <w:sz w:val="20"/>
        </w:rPr>
        <w:t xml:space="preserve">J. Del Corral, </w:t>
      </w:r>
      <w:r w:rsidRPr="00862B0F">
        <w:rPr>
          <w:i/>
          <w:sz w:val="20"/>
        </w:rPr>
        <w:t>De leveringsplicht bij de overdracht van roerende lichamelijke goederen</w:t>
      </w:r>
      <w:r w:rsidRPr="00862B0F">
        <w:rPr>
          <w:sz w:val="20"/>
        </w:rPr>
        <w:t>, A</w:t>
      </w:r>
      <w:r>
        <w:rPr>
          <w:sz w:val="20"/>
        </w:rPr>
        <w:t xml:space="preserve">ntwerpen, Intersentia, 2013, 511. </w:t>
      </w:r>
      <w:r>
        <w:rPr>
          <w:sz w:val="20"/>
          <w:u w:val="single"/>
        </w:rPr>
        <w:t>Frankrijk:</w:t>
      </w:r>
      <w:r>
        <w:rPr>
          <w:sz w:val="20"/>
        </w:rPr>
        <w:t xml:space="preserve"> Artikel 2261 Code Civil français; Artikel 2276 Code Civil français;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379-380;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130; </w:t>
      </w:r>
      <w:r>
        <w:rPr>
          <w:smallCaps/>
          <w:sz w:val="20"/>
        </w:rPr>
        <w:t xml:space="preserve">A. Weill, F. Terré, P. Simler, </w:t>
      </w:r>
      <w:r>
        <w:rPr>
          <w:i/>
          <w:sz w:val="20"/>
        </w:rPr>
        <w:t xml:space="preserve">Les biens, </w:t>
      </w:r>
      <w:r>
        <w:rPr>
          <w:sz w:val="20"/>
        </w:rPr>
        <w:t xml:space="preserve">Parijs, Dalloz 1985, 366; </w:t>
      </w:r>
      <w:r>
        <w:rPr>
          <w:smallCaps/>
          <w:sz w:val="20"/>
        </w:rPr>
        <w:t xml:space="preserve">C. Atias, </w:t>
      </w:r>
      <w:r>
        <w:rPr>
          <w:i/>
          <w:sz w:val="20"/>
        </w:rPr>
        <w:t xml:space="preserve">Manuel Droit Civil. </w:t>
      </w:r>
      <w:r w:rsidRPr="006460FD">
        <w:rPr>
          <w:i/>
          <w:sz w:val="20"/>
          <w:lang w:val="en-GB"/>
        </w:rPr>
        <w:t>Les Biens,</w:t>
      </w:r>
      <w:r w:rsidRPr="006460FD">
        <w:rPr>
          <w:sz w:val="20"/>
          <w:lang w:val="en-GB"/>
        </w:rPr>
        <w:t xml:space="preserve"> Parijs, Litec 2014, 252; </w:t>
      </w:r>
      <w:r w:rsidRPr="006460FD">
        <w:rPr>
          <w:smallCaps/>
          <w:sz w:val="20"/>
          <w:lang w:val="en-GB"/>
        </w:rPr>
        <w:t xml:space="preserve">W. Dross, </w:t>
      </w:r>
      <w:r w:rsidRPr="006460FD">
        <w:rPr>
          <w:i/>
          <w:sz w:val="20"/>
          <w:lang w:val="en-GB"/>
        </w:rPr>
        <w:t xml:space="preserve">Les choses, </w:t>
      </w:r>
      <w:r w:rsidRPr="006460FD">
        <w:rPr>
          <w:sz w:val="20"/>
          <w:lang w:val="en-GB"/>
        </w:rPr>
        <w:t>Parijs, LGDJ Lextenso éditions 2012, 550.</w:t>
      </w:r>
    </w:p>
  </w:footnote>
  <w:footnote w:id="71">
    <w:p w14:paraId="1D0037A8" w14:textId="3C3C34C2" w:rsidR="00C97F8C" w:rsidRPr="00AF4CDD" w:rsidRDefault="00C97F8C" w:rsidP="00B768BB">
      <w:pPr>
        <w:pStyle w:val="Voetnoottekst"/>
        <w:rPr>
          <w:lang w:val="nl-BE"/>
        </w:rPr>
      </w:pPr>
      <w:r w:rsidRPr="00862B0F">
        <w:rPr>
          <w:rStyle w:val="Voetnootmarkering"/>
          <w:sz w:val="20"/>
        </w:rPr>
        <w:footnoteRef/>
      </w:r>
      <w:r w:rsidRPr="00862B0F">
        <w:rPr>
          <w:sz w:val="20"/>
        </w:rPr>
        <w:t xml:space="preserve"> </w:t>
      </w:r>
      <w:r>
        <w:rPr>
          <w:smallCaps/>
          <w:sz w:val="20"/>
        </w:rPr>
        <w:t xml:space="preserve"> R. Derine, F. Van Neste, H. Vandenberghe, </w:t>
      </w:r>
      <w:r>
        <w:rPr>
          <w:i/>
          <w:sz w:val="20"/>
        </w:rPr>
        <w:t xml:space="preserve">Zakenrecht – Deel 1.A, </w:t>
      </w:r>
      <w:r>
        <w:rPr>
          <w:sz w:val="20"/>
        </w:rPr>
        <w:t xml:space="preserve">Antwerpen, Standaard 1974, 242; </w:t>
      </w:r>
      <w:r>
        <w:rPr>
          <w:smallCaps/>
          <w:sz w:val="20"/>
        </w:rPr>
        <w:t xml:space="preserve">R. Derine, F. Van Neste, H. Vandenberghe, </w:t>
      </w:r>
      <w:r>
        <w:rPr>
          <w:i/>
          <w:sz w:val="20"/>
        </w:rPr>
        <w:t xml:space="preserve">Zakenrecht – Deel 1.B, </w:t>
      </w:r>
      <w:r>
        <w:rPr>
          <w:sz w:val="20"/>
        </w:rPr>
        <w:t xml:space="preserve">Antwerpen, Standaard 1974, 924; </w:t>
      </w:r>
      <w:r>
        <w:rPr>
          <w:smallCaps/>
          <w:sz w:val="20"/>
          <w:lang w:val="nl-BE"/>
        </w:rPr>
        <w:t xml:space="preserve">H. De Page, </w:t>
      </w:r>
      <w:r>
        <w:rPr>
          <w:i/>
          <w:sz w:val="20"/>
          <w:lang w:val="nl-BE"/>
        </w:rPr>
        <w:t xml:space="preserve">Traité élémentaire de droit civil belge -  Tome V, </w:t>
      </w:r>
      <w:r>
        <w:rPr>
          <w:sz w:val="20"/>
          <w:lang w:val="nl-BE"/>
        </w:rPr>
        <w:t>Brussel, Bruylant 1975, 927;</w:t>
      </w:r>
      <w:r>
        <w:rPr>
          <w:sz w:val="20"/>
        </w:rPr>
        <w:t xml:space="preserve"> </w:t>
      </w:r>
      <w:r>
        <w:rPr>
          <w:smallCaps/>
          <w:sz w:val="20"/>
        </w:rPr>
        <w:t xml:space="preserve">P. Heurterre, </w:t>
      </w:r>
      <w:r>
        <w:rPr>
          <w:sz w:val="20"/>
        </w:rPr>
        <w:t xml:space="preserve">“De bewijslast van de (on)deugdelijkheid van het bezit, </w:t>
      </w:r>
      <w:r>
        <w:rPr>
          <w:i/>
          <w:sz w:val="20"/>
        </w:rPr>
        <w:t xml:space="preserve">Not. Fisc. M., </w:t>
      </w:r>
      <w:r>
        <w:rPr>
          <w:sz w:val="20"/>
        </w:rPr>
        <w:t xml:space="preserve">1999, (noot onder Cass. 16 februari 1998), 73; </w:t>
      </w:r>
      <w:r>
        <w:rPr>
          <w:smallCaps/>
          <w:sz w:val="20"/>
        </w:rPr>
        <w:t xml:space="preserve">A.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Gent 1983, 175;</w:t>
      </w:r>
      <w:r w:rsidRPr="008E0901">
        <w:rPr>
          <w:smallCaps/>
          <w:sz w:val="20"/>
          <w:lang w:val="nl-BE"/>
        </w:rPr>
        <w:t xml:space="preserve">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w:t>
      </w:r>
      <w:r>
        <w:rPr>
          <w:sz w:val="20"/>
          <w:lang w:val="nl-BE"/>
        </w:rPr>
        <w:t xml:space="preserve">9; </w:t>
      </w:r>
      <w:r w:rsidRPr="00BE041A">
        <w:rPr>
          <w:smallCaps/>
          <w:sz w:val="20"/>
        </w:rPr>
        <w:t xml:space="preserve">P. Lecocq, </w:t>
      </w:r>
      <w:r w:rsidRPr="00BE041A">
        <w:rPr>
          <w:i/>
          <w:sz w:val="20"/>
        </w:rPr>
        <w:t xml:space="preserve">Manuel de droit des biens, </w:t>
      </w:r>
      <w:r>
        <w:rPr>
          <w:sz w:val="20"/>
        </w:rPr>
        <w:t xml:space="preserve">Brussel, Larcier, 2012, 114;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 xml:space="preserve">51;  </w:t>
      </w:r>
      <w:r w:rsidRPr="00862B0F">
        <w:rPr>
          <w:smallCaps/>
          <w:sz w:val="20"/>
        </w:rPr>
        <w:t xml:space="preserve">J. Del Corral, </w:t>
      </w:r>
      <w:r w:rsidRPr="00862B0F">
        <w:rPr>
          <w:i/>
          <w:sz w:val="20"/>
        </w:rPr>
        <w:t>De leveringsplicht bij de overdracht van roerende lichamelijke goederen</w:t>
      </w:r>
      <w:r w:rsidRPr="00862B0F">
        <w:rPr>
          <w:sz w:val="20"/>
        </w:rPr>
        <w:t xml:space="preserve">, Antwerpen, Intersentia, 2013, 426; V. </w:t>
      </w:r>
      <w:r w:rsidRPr="00862B0F">
        <w:rPr>
          <w:smallCaps/>
          <w:sz w:val="20"/>
        </w:rPr>
        <w:t>Sagaert, B. Tilleman, A.L.</w:t>
      </w:r>
      <w:r>
        <w:rPr>
          <w:smallCaps/>
          <w:sz w:val="20"/>
        </w:rPr>
        <w:t xml:space="preserve"> </w:t>
      </w:r>
      <w:r w:rsidRPr="00862B0F">
        <w:rPr>
          <w:smallCaps/>
          <w:sz w:val="20"/>
        </w:rPr>
        <w:t xml:space="preserve">Verbeke, </w:t>
      </w:r>
      <w:r w:rsidRPr="00862B0F">
        <w:rPr>
          <w:i/>
          <w:sz w:val="20"/>
        </w:rPr>
        <w:t xml:space="preserve">Vermogensrecht in kortbestek, </w:t>
      </w:r>
      <w:r w:rsidRPr="00862B0F">
        <w:rPr>
          <w:sz w:val="20"/>
        </w:rPr>
        <w:t>A</w:t>
      </w:r>
      <w:r>
        <w:rPr>
          <w:sz w:val="20"/>
        </w:rPr>
        <w:t xml:space="preserve">ntwerpen, Intersentia 2013, 233; </w:t>
      </w:r>
      <w:r w:rsidRPr="00862B0F">
        <w:rPr>
          <w:smallCaps/>
          <w:sz w:val="20"/>
        </w:rPr>
        <w:t xml:space="preserve">. Sagaert, </w:t>
      </w:r>
      <w:r w:rsidRPr="00862B0F">
        <w:rPr>
          <w:i/>
          <w:sz w:val="20"/>
        </w:rPr>
        <w:t>Beginselen van Belgisch Privaatrecht – V – Goederenrecht</w:t>
      </w:r>
      <w:r>
        <w:rPr>
          <w:sz w:val="20"/>
        </w:rPr>
        <w:t xml:space="preserve">, Mechelen, Kluwer 2014, 641. </w:t>
      </w:r>
      <w:r>
        <w:rPr>
          <w:sz w:val="20"/>
          <w:u w:val="single"/>
        </w:rPr>
        <w:t>Frankrijk</w:t>
      </w:r>
      <w:r>
        <w:rPr>
          <w:sz w:val="20"/>
        </w:rPr>
        <w:t xml:space="preserve">: Artikel 2261 Code Civil Français; Artikel 2276 Code Civil Français;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171, 373-374;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130; </w:t>
      </w:r>
      <w:r>
        <w:rPr>
          <w:smallCaps/>
          <w:sz w:val="20"/>
        </w:rPr>
        <w:t xml:space="preserve">P. Jourdain, </w:t>
      </w:r>
      <w:r>
        <w:rPr>
          <w:sz w:val="20"/>
        </w:rPr>
        <w:t xml:space="preserve">“Les biens”, in </w:t>
      </w:r>
      <w:r>
        <w:rPr>
          <w:i/>
          <w:sz w:val="20"/>
        </w:rPr>
        <w:t xml:space="preserve">Marty en Raynaud, </w:t>
      </w:r>
      <w:r>
        <w:rPr>
          <w:sz w:val="20"/>
        </w:rPr>
        <w:t xml:space="preserve">Parijs, Dalloz 1995, 475; J.L. </w:t>
      </w:r>
      <w:r>
        <w:rPr>
          <w:smallCaps/>
          <w:sz w:val="20"/>
        </w:rPr>
        <w:t xml:space="preserve">Bergel, M. Bruschi, S. Cimamonti, </w:t>
      </w:r>
      <w:r>
        <w:rPr>
          <w:i/>
          <w:sz w:val="20"/>
        </w:rPr>
        <w:t xml:space="preserve">Traité de droit civil. Les Biens, </w:t>
      </w:r>
      <w:r>
        <w:rPr>
          <w:sz w:val="20"/>
        </w:rPr>
        <w:t xml:space="preserve">Parijs, Librairie Générale de Droit et de Jurisprudence 2000, 239; </w:t>
      </w:r>
      <w:r>
        <w:rPr>
          <w:smallCaps/>
          <w:sz w:val="20"/>
        </w:rPr>
        <w:t xml:space="preserve">F. Terré, P. Simler, </w:t>
      </w:r>
      <w:r>
        <w:rPr>
          <w:i/>
          <w:sz w:val="20"/>
        </w:rPr>
        <w:t xml:space="preserve">Droit Civil. Les Biens, </w:t>
      </w:r>
      <w:r>
        <w:rPr>
          <w:sz w:val="20"/>
        </w:rPr>
        <w:t xml:space="preserve">Parijs, Dalloz 2006, </w:t>
      </w:r>
      <w:r w:rsidRPr="000334CD">
        <w:rPr>
          <w:sz w:val="20"/>
        </w:rPr>
        <w:t>345</w:t>
      </w:r>
      <w:r>
        <w:rPr>
          <w:sz w:val="20"/>
        </w:rPr>
        <w:t xml:space="preserve">; </w:t>
      </w:r>
      <w:r>
        <w:rPr>
          <w:smallCaps/>
          <w:sz w:val="20"/>
          <w:lang w:val="nl-BE"/>
        </w:rPr>
        <w:t xml:space="preserve">P. Malaurie, L. Aynes, </w:t>
      </w:r>
      <w:r>
        <w:rPr>
          <w:i/>
          <w:sz w:val="20"/>
          <w:lang w:val="nl-BE"/>
        </w:rPr>
        <w:t xml:space="preserve">Les Biens, </w:t>
      </w:r>
      <w:r>
        <w:rPr>
          <w:sz w:val="20"/>
          <w:lang w:val="nl-BE"/>
        </w:rPr>
        <w:t xml:space="preserve">Parijs, Defrénois 2010, 149; </w:t>
      </w:r>
      <w:r>
        <w:rPr>
          <w:smallCaps/>
          <w:sz w:val="20"/>
        </w:rPr>
        <w:t xml:space="preserve">W. Dross, </w:t>
      </w:r>
      <w:r>
        <w:rPr>
          <w:i/>
          <w:sz w:val="20"/>
        </w:rPr>
        <w:t xml:space="preserve">Droit des Biens, </w:t>
      </w:r>
      <w:r>
        <w:rPr>
          <w:sz w:val="20"/>
        </w:rPr>
        <w:t xml:space="preserve">Parijs, Montchrestien 2012, 246; </w:t>
      </w:r>
      <w:r>
        <w:rPr>
          <w:smallCaps/>
          <w:sz w:val="20"/>
        </w:rPr>
        <w:t xml:space="preserve">W. Dross, </w:t>
      </w:r>
      <w:r>
        <w:rPr>
          <w:i/>
          <w:sz w:val="20"/>
        </w:rPr>
        <w:t xml:space="preserve">Les choses, </w:t>
      </w:r>
      <w:r>
        <w:rPr>
          <w:sz w:val="20"/>
        </w:rPr>
        <w:t xml:space="preserve">Parijs, LGDJ Lextenso éditions 2012, 550; M.-L. </w:t>
      </w:r>
      <w:r>
        <w:rPr>
          <w:smallCaps/>
          <w:sz w:val="20"/>
        </w:rPr>
        <w:t xml:space="preserve">Mathieu, </w:t>
      </w:r>
      <w:r>
        <w:rPr>
          <w:i/>
          <w:sz w:val="20"/>
        </w:rPr>
        <w:t xml:space="preserve">Droit Civil. Les Biens, </w:t>
      </w:r>
      <w:r>
        <w:rPr>
          <w:sz w:val="20"/>
        </w:rPr>
        <w:t>Parijs, Dalloz 2013, 339.</w:t>
      </w:r>
    </w:p>
  </w:footnote>
  <w:footnote w:id="72">
    <w:p w14:paraId="2C63E9F8" w14:textId="77777777" w:rsidR="00C97F8C" w:rsidRPr="00D10080" w:rsidRDefault="00C97F8C" w:rsidP="00B768BB">
      <w:pPr>
        <w:pStyle w:val="Voetnoottekst"/>
        <w:rPr>
          <w:sz w:val="20"/>
          <w:lang w:val="nl-BE"/>
        </w:rPr>
      </w:pPr>
      <w:r>
        <w:rPr>
          <w:rStyle w:val="Voetnootmarkering"/>
        </w:rPr>
        <w:footnoteRef/>
      </w:r>
      <w:r>
        <w:t xml:space="preserve"> </w:t>
      </w:r>
      <w:r>
        <w:rPr>
          <w:smallCaps/>
          <w:sz w:val="20"/>
        </w:rPr>
        <w:t xml:space="preserve">A. Kluyskens, </w:t>
      </w:r>
      <w:r>
        <w:rPr>
          <w:i/>
          <w:sz w:val="20"/>
        </w:rPr>
        <w:t xml:space="preserve">Beginselen van Burgerlijk Recht – Zakenrecht, </w:t>
      </w:r>
      <w:r>
        <w:rPr>
          <w:sz w:val="20"/>
        </w:rPr>
        <w:t xml:space="preserve">Standaard, Gent 1940, 59; </w:t>
      </w:r>
      <w:r>
        <w:rPr>
          <w:smallCaps/>
          <w:sz w:val="20"/>
        </w:rPr>
        <w:t xml:space="preserve">R. Derine, F. Van Neste, H. Vandenberghe, </w:t>
      </w:r>
      <w:r>
        <w:rPr>
          <w:i/>
          <w:sz w:val="20"/>
        </w:rPr>
        <w:t xml:space="preserve">Zakenrecht – Deel 1.A, </w:t>
      </w:r>
      <w:r>
        <w:rPr>
          <w:sz w:val="20"/>
        </w:rPr>
        <w:t xml:space="preserve">Antwerpen, Standaard 1974, 242; </w:t>
      </w:r>
      <w:r>
        <w:rPr>
          <w:smallCaps/>
          <w:sz w:val="20"/>
        </w:rPr>
        <w:t xml:space="preserve">P. Heurterre, </w:t>
      </w:r>
      <w:r>
        <w:rPr>
          <w:sz w:val="20"/>
        </w:rPr>
        <w:t xml:space="preserve">“De bewijslast van de (on)deugdelijkheid van het bezit, </w:t>
      </w:r>
      <w:r>
        <w:rPr>
          <w:i/>
          <w:sz w:val="20"/>
        </w:rPr>
        <w:t xml:space="preserve">Not. Fisc. M., </w:t>
      </w:r>
      <w:r>
        <w:rPr>
          <w:sz w:val="20"/>
        </w:rPr>
        <w:t>1999, (noot onder Cass. 16 februari 1998), 71.</w:t>
      </w:r>
    </w:p>
  </w:footnote>
  <w:footnote w:id="73">
    <w:p w14:paraId="5C5EB4D7" w14:textId="77777777" w:rsidR="00C97F8C" w:rsidRPr="00060324" w:rsidRDefault="00C97F8C" w:rsidP="00B768BB">
      <w:pPr>
        <w:pStyle w:val="Voetnoottekst"/>
        <w:rPr>
          <w:lang w:val="nl-BE"/>
        </w:rPr>
      </w:pPr>
      <w:r>
        <w:rPr>
          <w:rStyle w:val="Voetnootmarkering"/>
        </w:rPr>
        <w:footnoteRef/>
      </w:r>
      <w:r>
        <w:t xml:space="preserve"> </w:t>
      </w:r>
      <w:r w:rsidRPr="00862B0F">
        <w:rPr>
          <w:smallCaps/>
          <w:sz w:val="20"/>
        </w:rPr>
        <w:t xml:space="preserve">H.J. Snijders en E.B. Rank-Berenschoot, </w:t>
      </w:r>
      <w:r w:rsidRPr="00862B0F">
        <w:rPr>
          <w:i/>
          <w:sz w:val="20"/>
        </w:rPr>
        <w:t xml:space="preserve">Goederenrecht, </w:t>
      </w:r>
      <w:r>
        <w:rPr>
          <w:sz w:val="20"/>
        </w:rPr>
        <w:t>Deventer, Kluwer, 2012, 217.</w:t>
      </w:r>
    </w:p>
  </w:footnote>
  <w:footnote w:id="74">
    <w:p w14:paraId="384C8C46" w14:textId="77777777" w:rsidR="00C97F8C" w:rsidRPr="00EE6400" w:rsidRDefault="00C97F8C" w:rsidP="00B768BB">
      <w:pPr>
        <w:pStyle w:val="Voetnoottekst"/>
        <w:rPr>
          <w:lang w:val="nl-BE"/>
        </w:rPr>
      </w:pPr>
      <w:r>
        <w:rPr>
          <w:rStyle w:val="Voetnootmarkering"/>
        </w:rPr>
        <w:footnoteRef/>
      </w:r>
      <w:r>
        <w:t xml:space="preserve"> </w:t>
      </w:r>
      <w:r w:rsidRPr="00BE041A">
        <w:rPr>
          <w:smallCaps/>
          <w:sz w:val="20"/>
        </w:rPr>
        <w:t xml:space="preserve">R. Dekkers en E. Dirix, </w:t>
      </w:r>
      <w:r w:rsidRPr="00BE041A">
        <w:rPr>
          <w:i/>
          <w:sz w:val="20"/>
        </w:rPr>
        <w:t xml:space="preserve">Handboek Burgerlijk Recht – Deel II, </w:t>
      </w:r>
      <w:r w:rsidRPr="00BE041A">
        <w:rPr>
          <w:sz w:val="20"/>
        </w:rPr>
        <w:t xml:space="preserve">Antwerpen, Intersentia, 2005, 98; </w:t>
      </w:r>
      <w:r w:rsidRPr="00BE041A">
        <w:rPr>
          <w:smallCaps/>
          <w:sz w:val="20"/>
          <w:lang w:val="nl-BE"/>
        </w:rPr>
        <w:t xml:space="preserve">S. Boufflette, </w:t>
      </w:r>
      <w:r w:rsidRPr="00BE041A">
        <w:rPr>
          <w:i/>
          <w:sz w:val="20"/>
          <w:lang w:val="nl-BE"/>
        </w:rPr>
        <w:t>La Possession,</w:t>
      </w:r>
      <w:r w:rsidRPr="00BE041A">
        <w:rPr>
          <w:sz w:val="20"/>
          <w:lang w:val="nl-BE"/>
        </w:rPr>
        <w:t xml:space="preserve"> Brussel</w:t>
      </w:r>
      <w:r w:rsidRPr="00BE041A">
        <w:rPr>
          <w:i/>
          <w:sz w:val="20"/>
          <w:lang w:val="nl-BE"/>
        </w:rPr>
        <w:t xml:space="preserve"> </w:t>
      </w:r>
      <w:r w:rsidRPr="00BE041A">
        <w:rPr>
          <w:sz w:val="20"/>
          <w:lang w:val="nl-BE"/>
        </w:rPr>
        <w:t xml:space="preserve">Larcier 2010, 129; </w:t>
      </w:r>
      <w:r w:rsidRPr="00BE041A">
        <w:rPr>
          <w:smallCaps/>
          <w:sz w:val="20"/>
        </w:rPr>
        <w:t xml:space="preserve">J. Del Corral, </w:t>
      </w:r>
      <w:r w:rsidRPr="00BE041A">
        <w:rPr>
          <w:i/>
          <w:sz w:val="20"/>
        </w:rPr>
        <w:t>De leveringsplicht bij de overdracht van roerende lichamelijke goederen</w:t>
      </w:r>
      <w:r w:rsidRPr="00BE041A">
        <w:rPr>
          <w:sz w:val="20"/>
        </w:rPr>
        <w:t>, Antwerpen, Intersentia, 2013, 512.</w:t>
      </w:r>
    </w:p>
  </w:footnote>
  <w:footnote w:id="75">
    <w:p w14:paraId="6BAE300B" w14:textId="77777777" w:rsidR="00C97F8C" w:rsidRPr="00BE041A" w:rsidRDefault="00C97F8C" w:rsidP="00B768BB">
      <w:pPr>
        <w:pStyle w:val="Voetnoottekst"/>
        <w:rPr>
          <w:sz w:val="20"/>
          <w:lang w:val="nl-BE"/>
        </w:rPr>
      </w:pPr>
      <w:r>
        <w:rPr>
          <w:rStyle w:val="Voetnootmarkering"/>
        </w:rPr>
        <w:footnoteRef/>
      </w:r>
      <w:r>
        <w:t xml:space="preserve">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151;</w:t>
      </w:r>
      <w:r>
        <w:t xml:space="preserve"> </w:t>
      </w:r>
      <w:r w:rsidRPr="00BE041A">
        <w:rPr>
          <w:smallCaps/>
          <w:sz w:val="20"/>
        </w:rPr>
        <w:t xml:space="preserve">J. Del Corral, </w:t>
      </w:r>
      <w:r w:rsidRPr="00BE041A">
        <w:rPr>
          <w:i/>
          <w:sz w:val="20"/>
        </w:rPr>
        <w:t>De leveringsplicht bij de overdracht van roerende lichamelijke goederen</w:t>
      </w:r>
      <w:r w:rsidRPr="00BE041A">
        <w:rPr>
          <w:sz w:val="20"/>
        </w:rPr>
        <w:t>, Antwerpen, Intersentia, 2013, 512</w:t>
      </w:r>
      <w:r>
        <w:rPr>
          <w:sz w:val="20"/>
        </w:rPr>
        <w:t>.</w:t>
      </w:r>
    </w:p>
  </w:footnote>
  <w:footnote w:id="76">
    <w:p w14:paraId="1476154D" w14:textId="3B804B0C" w:rsidR="00C97F8C" w:rsidRPr="00BD28C3" w:rsidRDefault="00C97F8C" w:rsidP="00B768BB">
      <w:pPr>
        <w:pStyle w:val="Voetnoottekst"/>
        <w:rPr>
          <w:sz w:val="20"/>
        </w:rPr>
      </w:pPr>
      <w:r w:rsidRPr="00862B0F">
        <w:rPr>
          <w:rStyle w:val="Voetnootmarkering"/>
          <w:sz w:val="20"/>
        </w:rPr>
        <w:footnoteRef/>
      </w:r>
      <w:r w:rsidRPr="00862B0F">
        <w:rPr>
          <w:sz w:val="20"/>
        </w:rPr>
        <w:t xml:space="preserve"> Artikel 2234 Burgerlijk Wetboek</w:t>
      </w:r>
      <w:r>
        <w:rPr>
          <w:sz w:val="20"/>
        </w:rPr>
        <w:t xml:space="preserve">; </w:t>
      </w:r>
      <w:r w:rsidRPr="00862B0F">
        <w:rPr>
          <w:smallCaps/>
          <w:sz w:val="20"/>
        </w:rPr>
        <w:t xml:space="preserve">V. Sagaert, </w:t>
      </w:r>
      <w:r w:rsidRPr="00862B0F">
        <w:rPr>
          <w:i/>
          <w:sz w:val="20"/>
        </w:rPr>
        <w:t>Beginselen van Belgisch Privaatrecht – V – Goederenrecht</w:t>
      </w:r>
      <w:r>
        <w:rPr>
          <w:sz w:val="20"/>
        </w:rPr>
        <w:t xml:space="preserve">, Mechelen, Kluwer 2014, 645. </w:t>
      </w:r>
      <w:r>
        <w:rPr>
          <w:sz w:val="20"/>
          <w:u w:val="single"/>
        </w:rPr>
        <w:t>Frankrijk</w:t>
      </w:r>
      <w:r>
        <w:rPr>
          <w:sz w:val="20"/>
        </w:rPr>
        <w:t xml:space="preserve">: </w:t>
      </w:r>
      <w:r>
        <w:rPr>
          <w:smallCaps/>
          <w:sz w:val="20"/>
        </w:rPr>
        <w:t xml:space="preserve">F. Terré, P. Simler, </w:t>
      </w:r>
      <w:r>
        <w:rPr>
          <w:i/>
          <w:sz w:val="20"/>
        </w:rPr>
        <w:t xml:space="preserve">Droit Civil. Les Biens, </w:t>
      </w:r>
      <w:r>
        <w:rPr>
          <w:sz w:val="20"/>
        </w:rPr>
        <w:t xml:space="preserve">Parijs, Dalloz 2006, </w:t>
      </w:r>
      <w:r w:rsidRPr="000334CD">
        <w:rPr>
          <w:sz w:val="20"/>
        </w:rPr>
        <w:t>346</w:t>
      </w:r>
      <w:r>
        <w:rPr>
          <w:sz w:val="20"/>
        </w:rPr>
        <w:t>.</w:t>
      </w:r>
    </w:p>
  </w:footnote>
  <w:footnote w:id="77">
    <w:p w14:paraId="111BF5D4" w14:textId="6CF26018"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sidRPr="0045530B">
        <w:rPr>
          <w:sz w:val="20"/>
        </w:rPr>
        <w:t>“</w:t>
      </w:r>
      <w:r w:rsidRPr="0045530B">
        <w:rPr>
          <w:i/>
          <w:sz w:val="20"/>
        </w:rPr>
        <w:t xml:space="preserve">Actori incumbit probatio” houdt in dat </w:t>
      </w:r>
      <w:r w:rsidRPr="0045530B">
        <w:rPr>
          <w:sz w:val="20"/>
        </w:rPr>
        <w:t xml:space="preserve">wanneer de revindicerende partij voorhoudt dat het bezit is aangetast door een bezitsgebrek, zal hij dit als aanvoerende partij moeten bewijzen. (Cass. 20 december 1974, </w:t>
      </w:r>
      <w:r w:rsidRPr="0045530B">
        <w:rPr>
          <w:i/>
          <w:sz w:val="20"/>
        </w:rPr>
        <w:t xml:space="preserve">RW </w:t>
      </w:r>
      <w:r w:rsidRPr="0045530B">
        <w:rPr>
          <w:sz w:val="20"/>
        </w:rPr>
        <w:t>1974-75, 1835;</w:t>
      </w:r>
      <w:r w:rsidRPr="0045530B">
        <w:rPr>
          <w:smallCaps/>
          <w:sz w:val="20"/>
        </w:rPr>
        <w:t xml:space="preserve"> H. De Page, </w:t>
      </w:r>
      <w:r w:rsidRPr="0045530B">
        <w:rPr>
          <w:i/>
          <w:sz w:val="20"/>
        </w:rPr>
        <w:t xml:space="preserve">Traité élémentaire de droit civil Belge – V- Les Principaux </w:t>
      </w:r>
      <w:proofErr w:type="spellStart"/>
      <w:r w:rsidRPr="0045530B">
        <w:rPr>
          <w:i/>
          <w:sz w:val="20"/>
        </w:rPr>
        <w:t>Contrats</w:t>
      </w:r>
      <w:proofErr w:type="spellEnd"/>
      <w:r w:rsidRPr="0045530B">
        <w:rPr>
          <w:i/>
          <w:sz w:val="20"/>
        </w:rPr>
        <w:t xml:space="preserve">, Les Biens, </w:t>
      </w:r>
      <w:r w:rsidRPr="0045530B">
        <w:rPr>
          <w:sz w:val="20"/>
        </w:rPr>
        <w:t xml:space="preserve">Bruylant, Brussel, 1975, 765; </w:t>
      </w:r>
      <w:r w:rsidRPr="0045530B">
        <w:rPr>
          <w:smallCaps/>
          <w:sz w:val="20"/>
        </w:rPr>
        <w:t xml:space="preserve">R. Derine, F. Van Neste, H. Vandenberghe, </w:t>
      </w:r>
      <w:r w:rsidRPr="0045530B">
        <w:rPr>
          <w:i/>
          <w:sz w:val="20"/>
        </w:rPr>
        <w:t xml:space="preserve">Zakenrecht – Deel 1.A, </w:t>
      </w:r>
      <w:r w:rsidRPr="0045530B">
        <w:rPr>
          <w:sz w:val="20"/>
        </w:rPr>
        <w:t xml:space="preserve">Antwerpen, Standaard 1974, 243; </w:t>
      </w:r>
      <w:r w:rsidRPr="0045530B">
        <w:rPr>
          <w:sz w:val="20"/>
          <w:lang w:val="nl-BE"/>
        </w:rPr>
        <w:t>A</w:t>
      </w:r>
      <w:r w:rsidRPr="0045530B">
        <w:rPr>
          <w:smallCaps/>
          <w:sz w:val="20"/>
        </w:rPr>
        <w:t xml:space="preserve">. Heyvaert, </w:t>
      </w:r>
      <w:r w:rsidRPr="0045530B">
        <w:rPr>
          <w:sz w:val="20"/>
        </w:rPr>
        <w:t xml:space="preserve">“Bezit heeft verscheidene titels in </w:t>
      </w:r>
      <w:r w:rsidRPr="0045530B">
        <w:rPr>
          <w:smallCaps/>
          <w:sz w:val="20"/>
        </w:rPr>
        <w:t>M. Storme (</w:t>
      </w:r>
      <w:r w:rsidRPr="0045530B">
        <w:rPr>
          <w:sz w:val="20"/>
        </w:rPr>
        <w:t xml:space="preserve">ed.), </w:t>
      </w:r>
      <w:r w:rsidRPr="0045530B">
        <w:rPr>
          <w:i/>
          <w:sz w:val="20"/>
        </w:rPr>
        <w:t xml:space="preserve">Zakenrecht en zakelijke zekerheden, </w:t>
      </w:r>
      <w:r w:rsidRPr="0045530B">
        <w:rPr>
          <w:sz w:val="20"/>
        </w:rPr>
        <w:t xml:space="preserve">Gent 1983, 179; </w:t>
      </w:r>
      <w:r w:rsidRPr="0045530B">
        <w:rPr>
          <w:smallCaps/>
          <w:sz w:val="20"/>
        </w:rPr>
        <w:t xml:space="preserve">P. Heurterre, </w:t>
      </w:r>
      <w:r w:rsidRPr="0045530B">
        <w:rPr>
          <w:sz w:val="20"/>
        </w:rPr>
        <w:t xml:space="preserve">“De bewijslast van de (on)deugdelijkheid van het bezit, </w:t>
      </w:r>
      <w:r w:rsidRPr="0045530B">
        <w:rPr>
          <w:i/>
          <w:sz w:val="20"/>
        </w:rPr>
        <w:t xml:space="preserve">Not. Fisc. M., </w:t>
      </w:r>
      <w:r w:rsidRPr="0045530B">
        <w:rPr>
          <w:sz w:val="20"/>
        </w:rPr>
        <w:t xml:space="preserve">1999, (noot onder Cass. 16 februari 1998), 73 </w:t>
      </w:r>
      <w:r w:rsidRPr="0045530B">
        <w:rPr>
          <w:smallCaps/>
          <w:sz w:val="20"/>
        </w:rPr>
        <w:t xml:space="preserve">V. Sagaert, </w:t>
      </w:r>
      <w:r w:rsidRPr="0045530B">
        <w:rPr>
          <w:i/>
          <w:sz w:val="20"/>
        </w:rPr>
        <w:t>Beginselen van Belgisch Privaatrecht – V – Goederenrecht</w:t>
      </w:r>
      <w:r w:rsidRPr="0045530B">
        <w:rPr>
          <w:sz w:val="20"/>
        </w:rPr>
        <w:t xml:space="preserve">, Mechelen, Kluwer 2014, 645; </w:t>
      </w:r>
      <w:r w:rsidRPr="0045530B">
        <w:rPr>
          <w:smallCaps/>
          <w:sz w:val="20"/>
        </w:rPr>
        <w:t xml:space="preserve">J. Del Corral, </w:t>
      </w:r>
      <w:r w:rsidRPr="0045530B">
        <w:rPr>
          <w:i/>
          <w:sz w:val="20"/>
        </w:rPr>
        <w:t>De leveringsplicht bij de overdracht van roerende lichamelijke goederen</w:t>
      </w:r>
      <w:r w:rsidRPr="0045530B">
        <w:rPr>
          <w:sz w:val="20"/>
        </w:rPr>
        <w:t>, Antwerpen, Intersentia, 2013, 426.)</w:t>
      </w:r>
    </w:p>
  </w:footnote>
  <w:footnote w:id="78">
    <w:p w14:paraId="78B28B19" w14:textId="77777777" w:rsidR="00C97F8C" w:rsidRPr="00D10080" w:rsidRDefault="00C97F8C" w:rsidP="00B768BB">
      <w:pPr>
        <w:pStyle w:val="Voetnoottekst"/>
        <w:rPr>
          <w:lang w:val="nl-BE"/>
        </w:rPr>
      </w:pPr>
      <w:r>
        <w:rPr>
          <w:rStyle w:val="Voetnootmarkering"/>
        </w:rPr>
        <w:footnoteRef/>
      </w:r>
      <w:r>
        <w:t xml:space="preserve"> </w:t>
      </w:r>
      <w:r>
        <w:rPr>
          <w:smallCaps/>
          <w:sz w:val="20"/>
        </w:rPr>
        <w:t xml:space="preserve">R. Derine, F. Van Neste, H. Vandenberghe, </w:t>
      </w:r>
      <w:r>
        <w:rPr>
          <w:i/>
          <w:sz w:val="20"/>
        </w:rPr>
        <w:t xml:space="preserve">Zakenrecht – Deel 1.A, </w:t>
      </w:r>
      <w:r>
        <w:rPr>
          <w:sz w:val="20"/>
        </w:rPr>
        <w:t>Antwerpen, Standaard 1974, 243.</w:t>
      </w:r>
    </w:p>
  </w:footnote>
  <w:footnote w:id="79">
    <w:p w14:paraId="748F2A0D" w14:textId="178EA694" w:rsidR="00C97F8C" w:rsidRPr="00AF4CDD" w:rsidRDefault="00C97F8C" w:rsidP="00B768BB">
      <w:pPr>
        <w:pStyle w:val="Voetnoottekst"/>
        <w:rPr>
          <w:lang w:val="nl-BE"/>
        </w:rPr>
      </w:pPr>
      <w:r w:rsidRPr="00862B0F">
        <w:rPr>
          <w:rStyle w:val="Voetnootmarkering"/>
          <w:sz w:val="20"/>
        </w:rPr>
        <w:footnoteRef/>
      </w:r>
      <w:r w:rsidRPr="00862B0F">
        <w:rPr>
          <w:sz w:val="20"/>
        </w:rPr>
        <w:t xml:space="preserve"> </w:t>
      </w:r>
      <w:r>
        <w:rPr>
          <w:smallCaps/>
          <w:sz w:val="20"/>
        </w:rPr>
        <w:t xml:space="preserve">A. Kluyskens, </w:t>
      </w:r>
      <w:r>
        <w:rPr>
          <w:i/>
          <w:sz w:val="20"/>
        </w:rPr>
        <w:t xml:space="preserve">Beginselen van Burgerlijk Recht – Zakenrecht, </w:t>
      </w:r>
      <w:r>
        <w:rPr>
          <w:sz w:val="20"/>
        </w:rPr>
        <w:t xml:space="preserve">Standaard, Gent 1940, 60; </w:t>
      </w:r>
      <w:r>
        <w:rPr>
          <w:smallCaps/>
          <w:sz w:val="20"/>
        </w:rPr>
        <w:t xml:space="preserve">R. Derine, F. Van Neste, H. Vandenberghe, </w:t>
      </w:r>
      <w:r>
        <w:rPr>
          <w:i/>
          <w:sz w:val="20"/>
        </w:rPr>
        <w:t xml:space="preserve">Zakenrecht – Deel 1.A, </w:t>
      </w:r>
      <w:r>
        <w:rPr>
          <w:sz w:val="20"/>
        </w:rPr>
        <w:t xml:space="preserve">Antwerpen, Standaard 1974, 244; </w:t>
      </w:r>
      <w:r>
        <w:rPr>
          <w:smallCaps/>
          <w:sz w:val="20"/>
          <w:lang w:val="nl-BE"/>
        </w:rPr>
        <w:t xml:space="preserve">H. De Page, </w:t>
      </w:r>
      <w:r>
        <w:rPr>
          <w:i/>
          <w:sz w:val="20"/>
          <w:lang w:val="nl-BE"/>
        </w:rPr>
        <w:t xml:space="preserve">Traité élémentaire de droit civil belge -  Tome V, </w:t>
      </w:r>
      <w:r>
        <w:rPr>
          <w:sz w:val="20"/>
          <w:lang w:val="nl-BE"/>
        </w:rPr>
        <w:t>Brussel, Bruylant 1975, 928;</w:t>
      </w:r>
      <w:r>
        <w:rPr>
          <w:sz w:val="20"/>
        </w:rPr>
        <w:t xml:space="preserve"> </w:t>
      </w:r>
      <w:r w:rsidRPr="00862B0F">
        <w:rPr>
          <w:smallCaps/>
          <w:sz w:val="20"/>
        </w:rPr>
        <w:t xml:space="preserve">R. Dekkers en E. Dirix, </w:t>
      </w:r>
      <w:r w:rsidRPr="00862B0F">
        <w:rPr>
          <w:i/>
          <w:sz w:val="20"/>
        </w:rPr>
        <w:t xml:space="preserve">Handboek Burgerlijk Recht – Deel II, </w:t>
      </w:r>
      <w:r w:rsidRPr="00862B0F">
        <w:rPr>
          <w:sz w:val="20"/>
        </w:rPr>
        <w:t>Antwerpen, Intersentia, 2005, 544;</w:t>
      </w:r>
      <w:r>
        <w:rPr>
          <w:sz w:val="20"/>
        </w:rPr>
        <w:t xml:space="preserve">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 xml:space="preserve">16; </w:t>
      </w:r>
      <w:r w:rsidRPr="00862B0F">
        <w:rPr>
          <w:smallCaps/>
          <w:sz w:val="20"/>
        </w:rPr>
        <w:t xml:space="preserve">J. Del Corral, </w:t>
      </w:r>
      <w:r w:rsidRPr="00862B0F">
        <w:rPr>
          <w:i/>
          <w:sz w:val="20"/>
        </w:rPr>
        <w:t>De leveringsplicht bij de overdracht van roerende lichamelijke goederen</w:t>
      </w:r>
      <w:r w:rsidRPr="00862B0F">
        <w:rPr>
          <w:sz w:val="20"/>
        </w:rPr>
        <w:t xml:space="preserve">, Antwerpen, Intersentia, 2013, 426; </w:t>
      </w:r>
      <w:r w:rsidRPr="00862B0F">
        <w:rPr>
          <w:smallCaps/>
          <w:sz w:val="20"/>
        </w:rPr>
        <w:t xml:space="preserve">H. De Page, </w:t>
      </w:r>
      <w:r w:rsidRPr="00862B0F">
        <w:rPr>
          <w:i/>
          <w:sz w:val="20"/>
        </w:rPr>
        <w:t xml:space="preserve">Traité élémentaire de droit civil Belge – V- Les Principaux </w:t>
      </w:r>
      <w:proofErr w:type="spellStart"/>
      <w:r w:rsidRPr="00862B0F">
        <w:rPr>
          <w:i/>
          <w:sz w:val="20"/>
        </w:rPr>
        <w:t>Contrats</w:t>
      </w:r>
      <w:proofErr w:type="spellEnd"/>
      <w:r w:rsidRPr="00862B0F">
        <w:rPr>
          <w:i/>
          <w:sz w:val="20"/>
        </w:rPr>
        <w:t xml:space="preserve">, Les Biens, </w:t>
      </w:r>
      <w:r w:rsidRPr="00862B0F">
        <w:rPr>
          <w:sz w:val="20"/>
        </w:rPr>
        <w:t xml:space="preserve">Bruylant, Brussel, 1975, 766-767; </w:t>
      </w:r>
      <w:r w:rsidRPr="00862B0F">
        <w:rPr>
          <w:smallCaps/>
          <w:sz w:val="20"/>
        </w:rPr>
        <w:t xml:space="preserve">V. Sagaert, </w:t>
      </w:r>
      <w:r w:rsidRPr="00862B0F">
        <w:rPr>
          <w:i/>
          <w:sz w:val="20"/>
        </w:rPr>
        <w:t>Beginselen van Belgisch Privaatrecht – V – Goederenrecht</w:t>
      </w:r>
      <w:r w:rsidRPr="00862B0F">
        <w:rPr>
          <w:sz w:val="20"/>
        </w:rPr>
        <w:t xml:space="preserve">, Mechelen, Kluwer 2014, 644; V. </w:t>
      </w:r>
      <w:r w:rsidRPr="00862B0F">
        <w:rPr>
          <w:smallCaps/>
          <w:sz w:val="20"/>
        </w:rPr>
        <w:t>Sagaert, B. Tilleman, A.L.</w:t>
      </w:r>
      <w:r>
        <w:rPr>
          <w:smallCaps/>
          <w:sz w:val="20"/>
        </w:rPr>
        <w:t xml:space="preserve"> </w:t>
      </w:r>
      <w:r w:rsidRPr="00862B0F">
        <w:rPr>
          <w:smallCaps/>
          <w:sz w:val="20"/>
        </w:rPr>
        <w:t xml:space="preserve">Verbeke, </w:t>
      </w:r>
      <w:r w:rsidRPr="00862B0F">
        <w:rPr>
          <w:i/>
          <w:sz w:val="20"/>
        </w:rPr>
        <w:t xml:space="preserve">Vermogensrecht in kortbestek, </w:t>
      </w:r>
      <w:r w:rsidRPr="00862B0F">
        <w:rPr>
          <w:sz w:val="20"/>
        </w:rPr>
        <w:t xml:space="preserve">Antwerpen, Intersentia 2013, 233. </w:t>
      </w:r>
      <w:r w:rsidRPr="0025797D">
        <w:rPr>
          <w:sz w:val="20"/>
          <w:u w:val="single"/>
        </w:rPr>
        <w:t>Frankrijk</w:t>
      </w:r>
      <w:r>
        <w:rPr>
          <w:sz w:val="20"/>
        </w:rPr>
        <w:t xml:space="preserve">: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171; </w:t>
      </w:r>
      <w:r>
        <w:rPr>
          <w:smallCaps/>
          <w:sz w:val="20"/>
        </w:rPr>
        <w:t xml:space="preserve">W. Dross, </w:t>
      </w:r>
      <w:r>
        <w:rPr>
          <w:i/>
          <w:sz w:val="20"/>
        </w:rPr>
        <w:t xml:space="preserve">Droit des Biens, </w:t>
      </w:r>
      <w:r>
        <w:rPr>
          <w:sz w:val="20"/>
        </w:rPr>
        <w:t>Parijs, Montchrestien 2012, 246.</w:t>
      </w:r>
    </w:p>
  </w:footnote>
  <w:footnote w:id="80">
    <w:p w14:paraId="327E8AA8" w14:textId="77777777" w:rsidR="00C97F8C" w:rsidRPr="001D5006" w:rsidRDefault="00C97F8C" w:rsidP="00B768BB">
      <w:pPr>
        <w:pStyle w:val="Voetnoottekst"/>
        <w:rPr>
          <w:lang w:val="nl-BE"/>
        </w:rPr>
      </w:pPr>
      <w:r>
        <w:rPr>
          <w:rStyle w:val="Voetnootmarkering"/>
        </w:rPr>
        <w:footnoteRef/>
      </w:r>
      <w:r>
        <w:t xml:space="preserve"> </w:t>
      </w:r>
      <w:r w:rsidRPr="00D10080">
        <w:rPr>
          <w:sz w:val="20"/>
          <w:lang w:val="nl-BE"/>
        </w:rPr>
        <w:t>Artikel 2234 Burgerlijk Wetboek;</w:t>
      </w:r>
      <w:r w:rsidRPr="00D10080">
        <w:rPr>
          <w:smallCaps/>
          <w:sz w:val="20"/>
        </w:rPr>
        <w:t xml:space="preserve"> P</w:t>
      </w:r>
      <w:r>
        <w:rPr>
          <w:smallCaps/>
          <w:sz w:val="20"/>
        </w:rPr>
        <w:t xml:space="preserve">. Heurterre, </w:t>
      </w:r>
      <w:r>
        <w:rPr>
          <w:sz w:val="20"/>
        </w:rPr>
        <w:t xml:space="preserve">“De bewijslast van de (on)deugdelijkheid van het bezit, </w:t>
      </w:r>
      <w:r>
        <w:rPr>
          <w:i/>
          <w:sz w:val="20"/>
        </w:rPr>
        <w:t xml:space="preserve">Not. Fisc. M., </w:t>
      </w:r>
      <w:r>
        <w:rPr>
          <w:sz w:val="20"/>
        </w:rPr>
        <w:t>1999, (noot onder Cass. 16 februari 1998), 72;</w:t>
      </w:r>
      <w:r>
        <w:rPr>
          <w:smallCaps/>
          <w:sz w:val="20"/>
        </w:rPr>
        <w:t xml:space="preserve"> S. Boufflette, </w:t>
      </w:r>
      <w:r>
        <w:rPr>
          <w:sz w:val="20"/>
        </w:rPr>
        <w:t xml:space="preserve">“La </w:t>
      </w:r>
      <w:proofErr w:type="spellStart"/>
      <w:r>
        <w:rPr>
          <w:sz w:val="20"/>
        </w:rPr>
        <w:t>possession</w:t>
      </w:r>
      <w:proofErr w:type="spellEnd"/>
      <w:r>
        <w:rPr>
          <w:sz w:val="20"/>
        </w:rPr>
        <w:t xml:space="preserve"> en matière </w:t>
      </w:r>
      <w:proofErr w:type="spellStart"/>
      <w:r>
        <w:rPr>
          <w:sz w:val="20"/>
        </w:rPr>
        <w:t>mobilière</w:t>
      </w:r>
      <w:proofErr w:type="spellEnd"/>
      <w:r>
        <w:rPr>
          <w:sz w:val="20"/>
        </w:rPr>
        <w:t xml:space="preserve"> et l’article 2279 du Code Civil, </w:t>
      </w:r>
      <w:r>
        <w:rPr>
          <w:i/>
          <w:sz w:val="20"/>
        </w:rPr>
        <w:t xml:space="preserve">TBBR </w:t>
      </w:r>
      <w:r>
        <w:rPr>
          <w:sz w:val="20"/>
        </w:rPr>
        <w:t xml:space="preserve">2007, 78; </w:t>
      </w:r>
      <w:r w:rsidRPr="00BE041A">
        <w:rPr>
          <w:smallCaps/>
          <w:sz w:val="20"/>
          <w:lang w:val="nl-BE"/>
        </w:rPr>
        <w:t xml:space="preserve">S. Boufflette, </w:t>
      </w:r>
      <w:r w:rsidRPr="00BE041A">
        <w:rPr>
          <w:i/>
          <w:sz w:val="20"/>
          <w:lang w:val="nl-BE"/>
        </w:rPr>
        <w:t>La Possession,</w:t>
      </w:r>
      <w:r w:rsidRPr="00BE041A">
        <w:rPr>
          <w:sz w:val="20"/>
          <w:lang w:val="nl-BE"/>
        </w:rPr>
        <w:t xml:space="preserve"> Brussel</w:t>
      </w:r>
      <w:r w:rsidRPr="00BE041A">
        <w:rPr>
          <w:i/>
          <w:sz w:val="20"/>
          <w:lang w:val="nl-BE"/>
        </w:rPr>
        <w:t xml:space="preserve"> </w:t>
      </w:r>
      <w:r w:rsidRPr="00BE041A">
        <w:rPr>
          <w:sz w:val="20"/>
          <w:lang w:val="nl-BE"/>
        </w:rPr>
        <w:t xml:space="preserve">Larcier 2010, </w:t>
      </w:r>
      <w:r>
        <w:rPr>
          <w:sz w:val="20"/>
          <w:lang w:val="nl-BE"/>
        </w:rPr>
        <w:t>62;</w:t>
      </w:r>
      <w:r>
        <w:rPr>
          <w:lang w:val="nl-BE"/>
        </w:rPr>
        <w:t xml:space="preserve"> </w:t>
      </w:r>
      <w:r w:rsidRPr="00862B0F">
        <w:rPr>
          <w:smallCaps/>
          <w:sz w:val="20"/>
        </w:rPr>
        <w:t xml:space="preserve">J. Del Corral, </w:t>
      </w:r>
      <w:r w:rsidRPr="00862B0F">
        <w:rPr>
          <w:i/>
          <w:sz w:val="20"/>
        </w:rPr>
        <w:t>De leveringsplicht bij de overdracht van roerende lichamelijke goederen</w:t>
      </w:r>
      <w:r w:rsidRPr="00862B0F">
        <w:rPr>
          <w:sz w:val="20"/>
        </w:rPr>
        <w:t>,</w:t>
      </w:r>
      <w:r>
        <w:rPr>
          <w:sz w:val="20"/>
        </w:rPr>
        <w:t xml:space="preserve"> Antwerpen, Intersentia, 2013, 516.</w:t>
      </w:r>
    </w:p>
  </w:footnote>
  <w:footnote w:id="81">
    <w:p w14:paraId="3B9A2E0A" w14:textId="7FBD2BDA" w:rsidR="00C97F8C" w:rsidRPr="00DB2875" w:rsidRDefault="00C97F8C" w:rsidP="00B768BB">
      <w:pPr>
        <w:pStyle w:val="Voetnoottekst"/>
        <w:rPr>
          <w:sz w:val="20"/>
        </w:rPr>
      </w:pPr>
      <w:r>
        <w:rPr>
          <w:rStyle w:val="Voetnootmarkering"/>
        </w:rPr>
        <w:footnoteRef/>
      </w:r>
      <w:r>
        <w:t xml:space="preserve"> </w:t>
      </w:r>
      <w:r>
        <w:rPr>
          <w:sz w:val="20"/>
          <w:lang w:val="nl-BE"/>
        </w:rPr>
        <w:t>A</w:t>
      </w:r>
      <w:r>
        <w:rPr>
          <w:smallCaps/>
          <w:sz w:val="20"/>
        </w:rPr>
        <w:t xml:space="preserve">.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 xml:space="preserve">Gent 1983, 247; </w:t>
      </w:r>
      <w:r w:rsidRPr="00BE041A">
        <w:rPr>
          <w:smallCaps/>
          <w:sz w:val="20"/>
          <w:lang w:val="nl-BE"/>
        </w:rPr>
        <w:t xml:space="preserve">S. Boufflette, </w:t>
      </w:r>
      <w:r w:rsidRPr="00BE041A">
        <w:rPr>
          <w:i/>
          <w:sz w:val="20"/>
          <w:lang w:val="nl-BE"/>
        </w:rPr>
        <w:t>La Possession,</w:t>
      </w:r>
      <w:r w:rsidRPr="00BE041A">
        <w:rPr>
          <w:sz w:val="20"/>
          <w:lang w:val="nl-BE"/>
        </w:rPr>
        <w:t xml:space="preserve"> Brussel</w:t>
      </w:r>
      <w:r w:rsidRPr="00BE041A">
        <w:rPr>
          <w:i/>
          <w:sz w:val="20"/>
          <w:lang w:val="nl-BE"/>
        </w:rPr>
        <w:t xml:space="preserve"> </w:t>
      </w:r>
      <w:r w:rsidRPr="00BE041A">
        <w:rPr>
          <w:sz w:val="20"/>
          <w:lang w:val="nl-BE"/>
        </w:rPr>
        <w:t xml:space="preserve">Larcier 2010, </w:t>
      </w:r>
      <w:r>
        <w:rPr>
          <w:sz w:val="20"/>
          <w:lang w:val="nl-BE"/>
        </w:rPr>
        <w:t xml:space="preserve">130; </w:t>
      </w:r>
      <w:r>
        <w:rPr>
          <w:smallCaps/>
          <w:sz w:val="20"/>
          <w:lang w:val="nl-BE"/>
        </w:rPr>
        <w:t xml:space="preserve">P. Lecocq, </w:t>
      </w:r>
      <w:r>
        <w:rPr>
          <w:i/>
          <w:sz w:val="20"/>
          <w:lang w:val="nl-BE"/>
        </w:rPr>
        <w:t xml:space="preserve">Manuel de droit des biens, </w:t>
      </w:r>
      <w:r>
        <w:rPr>
          <w:sz w:val="20"/>
          <w:lang w:val="nl-BE"/>
        </w:rPr>
        <w:t xml:space="preserve">Brussel, Larcier 2012, 152; </w:t>
      </w:r>
      <w:r w:rsidRPr="00862B0F">
        <w:rPr>
          <w:smallCaps/>
          <w:sz w:val="20"/>
        </w:rPr>
        <w:t xml:space="preserve">J. Del Corral, </w:t>
      </w:r>
      <w:r w:rsidRPr="00862B0F">
        <w:rPr>
          <w:i/>
          <w:sz w:val="20"/>
        </w:rPr>
        <w:t>De leveringsplicht bij de overdracht van roerende lichamelijke goederen</w:t>
      </w:r>
      <w:r w:rsidRPr="00862B0F">
        <w:rPr>
          <w:sz w:val="20"/>
        </w:rPr>
        <w:t>,</w:t>
      </w:r>
      <w:r>
        <w:rPr>
          <w:sz w:val="20"/>
        </w:rPr>
        <w:t xml:space="preserve"> Antwerpen, Intersentia, 2013, 513. </w:t>
      </w:r>
      <w:r>
        <w:rPr>
          <w:sz w:val="20"/>
          <w:u w:val="single"/>
        </w:rPr>
        <w:t>Frankrijk:</w:t>
      </w:r>
      <w:r>
        <w:rPr>
          <w:sz w:val="20"/>
        </w:rPr>
        <w:t xml:space="preserve"> </w:t>
      </w:r>
      <w:r>
        <w:rPr>
          <w:smallCaps/>
          <w:sz w:val="20"/>
        </w:rPr>
        <w:t xml:space="preserve">H. </w:t>
      </w:r>
      <w:r w:rsidRPr="00554021">
        <w:rPr>
          <w:sz w:val="20"/>
        </w:rPr>
        <w:t>en</w:t>
      </w:r>
      <w:r>
        <w:rPr>
          <w:smallCaps/>
          <w:sz w:val="20"/>
        </w:rPr>
        <w:t xml:space="preserve"> L. Mazeaud, </w:t>
      </w:r>
      <w:r w:rsidRPr="00862B0F">
        <w:rPr>
          <w:smallCaps/>
          <w:sz w:val="20"/>
        </w:rPr>
        <w:t xml:space="preserve">J. mazeaud en F. Chabas, </w:t>
      </w:r>
      <w:r w:rsidRPr="00862B0F">
        <w:rPr>
          <w:i/>
          <w:sz w:val="20"/>
        </w:rPr>
        <w:t xml:space="preserve">Biens, </w:t>
      </w:r>
      <w:r w:rsidRPr="00862B0F">
        <w:rPr>
          <w:sz w:val="20"/>
        </w:rPr>
        <w:t>Parijs, M</w:t>
      </w:r>
      <w:r>
        <w:rPr>
          <w:sz w:val="20"/>
        </w:rPr>
        <w:t xml:space="preserve">ontchrestien </w:t>
      </w:r>
      <w:r w:rsidRPr="00862B0F">
        <w:rPr>
          <w:sz w:val="20"/>
        </w:rPr>
        <w:t>1994, 2</w:t>
      </w:r>
      <w:r>
        <w:rPr>
          <w:sz w:val="20"/>
        </w:rPr>
        <w:t xml:space="preserve">77; </w:t>
      </w:r>
      <w:r>
        <w:rPr>
          <w:smallCaps/>
          <w:sz w:val="20"/>
        </w:rPr>
        <w:t xml:space="preserve">F. Terré, P. Simler, </w:t>
      </w:r>
      <w:r>
        <w:rPr>
          <w:i/>
          <w:sz w:val="20"/>
        </w:rPr>
        <w:t xml:space="preserve">Droit Civil. Les Biens, </w:t>
      </w:r>
      <w:r>
        <w:rPr>
          <w:sz w:val="20"/>
        </w:rPr>
        <w:t xml:space="preserve">Parijs, Dalloz 2006, </w:t>
      </w:r>
      <w:r w:rsidRPr="000334CD">
        <w:rPr>
          <w:sz w:val="20"/>
        </w:rPr>
        <w:t>346</w:t>
      </w:r>
      <w:r>
        <w:rPr>
          <w:sz w:val="20"/>
        </w:rPr>
        <w:t xml:space="preserve">; </w:t>
      </w:r>
      <w:r>
        <w:rPr>
          <w:smallCaps/>
          <w:sz w:val="20"/>
          <w:lang w:val="nl-BE"/>
        </w:rPr>
        <w:t xml:space="preserve">P. Malaurie, L. Aynes, </w:t>
      </w:r>
      <w:r>
        <w:rPr>
          <w:i/>
          <w:sz w:val="20"/>
          <w:lang w:val="nl-BE"/>
        </w:rPr>
        <w:t xml:space="preserve">Les Biens, </w:t>
      </w:r>
      <w:r>
        <w:rPr>
          <w:sz w:val="20"/>
          <w:lang w:val="nl-BE"/>
        </w:rPr>
        <w:t>Parijs, Defrénois 2010, 180.</w:t>
      </w:r>
    </w:p>
  </w:footnote>
  <w:footnote w:id="82">
    <w:p w14:paraId="24E51BC3" w14:textId="1256C5EA" w:rsidR="00C97F8C" w:rsidRPr="00AF4CDD" w:rsidRDefault="00C97F8C" w:rsidP="00B768BB">
      <w:pPr>
        <w:pStyle w:val="Voetnoottekst"/>
        <w:rPr>
          <w:lang w:val="nl-BE"/>
        </w:rPr>
      </w:pPr>
      <w:r w:rsidRPr="00862B0F">
        <w:rPr>
          <w:rStyle w:val="Voetnootmarkering"/>
          <w:sz w:val="20"/>
        </w:rPr>
        <w:footnoteRef/>
      </w:r>
      <w:r w:rsidRPr="00862B0F">
        <w:rPr>
          <w:sz w:val="20"/>
        </w:rPr>
        <w:t xml:space="preserve"> Artikel 1112 en 1114 Burgerli</w:t>
      </w:r>
      <w:r>
        <w:rPr>
          <w:sz w:val="20"/>
        </w:rPr>
        <w:t>jk Wetboek</w:t>
      </w:r>
      <w:r w:rsidRPr="00862B0F">
        <w:rPr>
          <w:sz w:val="20"/>
        </w:rPr>
        <w:t>;</w:t>
      </w:r>
      <w:r>
        <w:rPr>
          <w:sz w:val="20"/>
        </w:rPr>
        <w:t xml:space="preserve"> </w:t>
      </w:r>
      <w:r>
        <w:rPr>
          <w:smallCaps/>
          <w:sz w:val="20"/>
          <w:lang w:val="nl-BE"/>
        </w:rPr>
        <w:t xml:space="preserve">H. De Page, </w:t>
      </w:r>
      <w:r>
        <w:rPr>
          <w:i/>
          <w:sz w:val="20"/>
          <w:lang w:val="nl-BE"/>
        </w:rPr>
        <w:t xml:space="preserve">Traité élémentaire de droit civil belge -  Tome V, </w:t>
      </w:r>
      <w:r>
        <w:rPr>
          <w:sz w:val="20"/>
          <w:lang w:val="nl-BE"/>
        </w:rPr>
        <w:t>Brussel, Bruylant 1975, 928;</w:t>
      </w:r>
      <w:r w:rsidRPr="00862B0F">
        <w:rPr>
          <w:sz w:val="20"/>
        </w:rPr>
        <w:t xml:space="preserve"> </w:t>
      </w:r>
      <w:r w:rsidRPr="00862B0F">
        <w:rPr>
          <w:smallCaps/>
          <w:sz w:val="20"/>
        </w:rPr>
        <w:t xml:space="preserve">R. Dekkers en E. Dirix, </w:t>
      </w:r>
      <w:r w:rsidRPr="00862B0F">
        <w:rPr>
          <w:i/>
          <w:sz w:val="20"/>
        </w:rPr>
        <w:t xml:space="preserve">Handboek Burgerlijk Recht – Deel II, </w:t>
      </w:r>
      <w:r w:rsidRPr="00862B0F">
        <w:rPr>
          <w:sz w:val="20"/>
        </w:rPr>
        <w:t>Antwerpen, Intersentia, 2005, 545;</w:t>
      </w:r>
      <w:r>
        <w:rPr>
          <w:sz w:val="20"/>
        </w:rPr>
        <w:t xml:space="preserve"> </w:t>
      </w:r>
      <w:r w:rsidRPr="00F174CF">
        <w:rPr>
          <w:smallCaps/>
          <w:sz w:val="20"/>
          <w:lang w:val="nl-BE"/>
        </w:rPr>
        <w:t>J. Van Kokelenberg, V. Sagaert, T Van Sinay en R. Jansen, “</w:t>
      </w:r>
      <w:r w:rsidRPr="00F174CF">
        <w:rPr>
          <w:sz w:val="20"/>
          <w:lang w:val="nl-BE"/>
        </w:rPr>
        <w:t xml:space="preserve">Zakenrecht – overzicht van rechtspraak (2000-2008)”, </w:t>
      </w:r>
      <w:r w:rsidRPr="00F174CF">
        <w:rPr>
          <w:i/>
          <w:sz w:val="20"/>
          <w:lang w:val="nl-BE"/>
        </w:rPr>
        <w:t xml:space="preserve">TPR </w:t>
      </w:r>
      <w:r w:rsidRPr="00F174CF">
        <w:rPr>
          <w:sz w:val="20"/>
          <w:lang w:val="nl-BE"/>
        </w:rPr>
        <w:t xml:space="preserve"> 2009, 1676;</w:t>
      </w:r>
      <w:r w:rsidRPr="00862B0F">
        <w:rPr>
          <w:sz w:val="20"/>
        </w:rPr>
        <w:t xml:space="preserve">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 xml:space="preserve">17; </w:t>
      </w:r>
      <w:r w:rsidRPr="00862B0F">
        <w:rPr>
          <w:smallCaps/>
          <w:sz w:val="20"/>
        </w:rPr>
        <w:t xml:space="preserve">J. Del Corral, </w:t>
      </w:r>
      <w:r w:rsidRPr="00862B0F">
        <w:rPr>
          <w:i/>
          <w:sz w:val="20"/>
        </w:rPr>
        <w:t>De leveringsplicht bij de overdracht van roerende lichamelijke goederen</w:t>
      </w:r>
      <w:r w:rsidRPr="00862B0F">
        <w:rPr>
          <w:sz w:val="20"/>
        </w:rPr>
        <w:t xml:space="preserve">, Antwerpen, Intersentia, 2013, 426; </w:t>
      </w:r>
      <w:r w:rsidRPr="00862B0F">
        <w:rPr>
          <w:smallCaps/>
          <w:sz w:val="20"/>
        </w:rPr>
        <w:t xml:space="preserve">V. Sagaert, </w:t>
      </w:r>
      <w:r w:rsidRPr="00862B0F">
        <w:rPr>
          <w:i/>
          <w:sz w:val="20"/>
        </w:rPr>
        <w:t>Beginselen van Belgisch Privaatrecht – V – Goederenrecht</w:t>
      </w:r>
      <w:r w:rsidRPr="00862B0F">
        <w:rPr>
          <w:sz w:val="20"/>
        </w:rPr>
        <w:t xml:space="preserve">, Mechelen, Kluwer 2014, 642-643; V. </w:t>
      </w:r>
      <w:r w:rsidRPr="00862B0F">
        <w:rPr>
          <w:smallCaps/>
          <w:sz w:val="20"/>
        </w:rPr>
        <w:t>Sagaert, B. Tilleman, A.L.</w:t>
      </w:r>
      <w:r>
        <w:rPr>
          <w:smallCaps/>
          <w:sz w:val="20"/>
        </w:rPr>
        <w:t xml:space="preserve"> </w:t>
      </w:r>
      <w:r w:rsidRPr="00862B0F">
        <w:rPr>
          <w:smallCaps/>
          <w:sz w:val="20"/>
        </w:rPr>
        <w:t xml:space="preserve">Verbeke, </w:t>
      </w:r>
      <w:r w:rsidRPr="00862B0F">
        <w:rPr>
          <w:i/>
          <w:sz w:val="20"/>
        </w:rPr>
        <w:t xml:space="preserve">Vermogensrecht in kortbestek, </w:t>
      </w:r>
      <w:r w:rsidRPr="00862B0F">
        <w:rPr>
          <w:sz w:val="20"/>
        </w:rPr>
        <w:t xml:space="preserve">Antwerpen, Intersentia 2013, 233. </w:t>
      </w:r>
      <w:r>
        <w:rPr>
          <w:sz w:val="20"/>
          <w:u w:val="single"/>
        </w:rPr>
        <w:t>Frankrijk:</w:t>
      </w:r>
      <w:r>
        <w:rPr>
          <w:sz w:val="20"/>
        </w:rPr>
        <w:t xml:space="preserve">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171;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137; </w:t>
      </w:r>
      <w:r>
        <w:rPr>
          <w:smallCaps/>
          <w:sz w:val="20"/>
        </w:rPr>
        <w:t xml:space="preserve">Y. Strickler, </w:t>
      </w:r>
      <w:r>
        <w:rPr>
          <w:i/>
          <w:sz w:val="20"/>
        </w:rPr>
        <w:t xml:space="preserve">Les Biens, </w:t>
      </w:r>
      <w:r>
        <w:rPr>
          <w:sz w:val="20"/>
        </w:rPr>
        <w:t xml:space="preserve">Parijs, Presses Universitaires de France 2006, 276; </w:t>
      </w:r>
      <w:r>
        <w:rPr>
          <w:smallCaps/>
          <w:sz w:val="20"/>
        </w:rPr>
        <w:t xml:space="preserve">W. Dross, </w:t>
      </w:r>
      <w:r>
        <w:rPr>
          <w:i/>
          <w:sz w:val="20"/>
        </w:rPr>
        <w:t xml:space="preserve">Droit des Biens, </w:t>
      </w:r>
      <w:r>
        <w:rPr>
          <w:sz w:val="20"/>
        </w:rPr>
        <w:t>Parijs, Montchrestien 2012, 246.</w:t>
      </w:r>
    </w:p>
  </w:footnote>
  <w:footnote w:id="83">
    <w:p w14:paraId="0466D16C"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sidRPr="00862B0F">
        <w:rPr>
          <w:smallCaps/>
          <w:sz w:val="20"/>
        </w:rPr>
        <w:t xml:space="preserve">V. Sagaert, </w:t>
      </w:r>
      <w:r w:rsidRPr="00862B0F">
        <w:rPr>
          <w:i/>
          <w:sz w:val="20"/>
        </w:rPr>
        <w:t>Beginselen van Belgisch Privaatrecht – V – Goederenrecht</w:t>
      </w:r>
      <w:r w:rsidRPr="00862B0F">
        <w:rPr>
          <w:sz w:val="20"/>
        </w:rPr>
        <w:t>, Mechelen, Kluwer 2014, 644.</w:t>
      </w:r>
    </w:p>
  </w:footnote>
  <w:footnote w:id="84">
    <w:p w14:paraId="777CDDF2" w14:textId="4A86465F" w:rsidR="00C97F8C" w:rsidRPr="001A1385" w:rsidRDefault="00C97F8C" w:rsidP="00B768BB">
      <w:pPr>
        <w:pStyle w:val="Voetnoottekst"/>
        <w:rPr>
          <w:sz w:val="20"/>
        </w:rPr>
      </w:pPr>
      <w:r w:rsidRPr="00862B0F">
        <w:rPr>
          <w:rStyle w:val="Voetnootmarkering"/>
          <w:sz w:val="20"/>
        </w:rPr>
        <w:footnoteRef/>
      </w:r>
      <w:r>
        <w:rPr>
          <w:smallCaps/>
          <w:sz w:val="20"/>
        </w:rPr>
        <w:t xml:space="preserve"> A. Kluyskens, </w:t>
      </w:r>
      <w:r>
        <w:rPr>
          <w:i/>
          <w:sz w:val="20"/>
        </w:rPr>
        <w:t xml:space="preserve">Beginselen van Burgerlijk Recht – Zakenrecht, </w:t>
      </w:r>
      <w:r>
        <w:rPr>
          <w:sz w:val="20"/>
        </w:rPr>
        <w:t xml:space="preserve">Standaard, Gent 1940, 61; </w:t>
      </w:r>
      <w:r>
        <w:rPr>
          <w:smallCaps/>
          <w:sz w:val="20"/>
        </w:rPr>
        <w:t xml:space="preserve">R. Derine, F. Van Neste, H. Vandenberghe, </w:t>
      </w:r>
      <w:r>
        <w:rPr>
          <w:i/>
          <w:sz w:val="20"/>
        </w:rPr>
        <w:t xml:space="preserve">Zakenrecht – Deel 1.A, </w:t>
      </w:r>
      <w:r>
        <w:rPr>
          <w:sz w:val="20"/>
        </w:rPr>
        <w:t xml:space="preserve">Antwerpen, Standaard 1974, 247; </w:t>
      </w:r>
      <w:r w:rsidRPr="00862B0F">
        <w:rPr>
          <w:smallCaps/>
          <w:sz w:val="20"/>
        </w:rPr>
        <w:t xml:space="preserve">R. Dekkers en E. Dirix, </w:t>
      </w:r>
      <w:r w:rsidRPr="00862B0F">
        <w:rPr>
          <w:i/>
          <w:sz w:val="20"/>
        </w:rPr>
        <w:t xml:space="preserve">Handboek Burgerlijk Recht – Deel II, </w:t>
      </w:r>
      <w:r w:rsidRPr="00862B0F">
        <w:rPr>
          <w:sz w:val="20"/>
        </w:rPr>
        <w:t xml:space="preserve">Antwerpen, Intersentia, 2005, 545; </w:t>
      </w:r>
      <w:r w:rsidRPr="00862B0F">
        <w:rPr>
          <w:smallCaps/>
          <w:sz w:val="20"/>
        </w:rPr>
        <w:t xml:space="preserve">J. Del Corral, </w:t>
      </w:r>
      <w:r w:rsidRPr="00862B0F">
        <w:rPr>
          <w:i/>
          <w:sz w:val="20"/>
        </w:rPr>
        <w:t>De leveringsplicht bij de overdracht van roerende lichamelijke goederen</w:t>
      </w:r>
      <w:r w:rsidRPr="00862B0F">
        <w:rPr>
          <w:sz w:val="20"/>
        </w:rPr>
        <w:t xml:space="preserve">, Antwerpen, Intersentia, 2013, 426; </w:t>
      </w:r>
      <w:r w:rsidRPr="00862B0F">
        <w:rPr>
          <w:smallCaps/>
          <w:sz w:val="20"/>
        </w:rPr>
        <w:t xml:space="preserve">H. De Page, </w:t>
      </w:r>
      <w:r w:rsidRPr="00862B0F">
        <w:rPr>
          <w:i/>
          <w:sz w:val="20"/>
        </w:rPr>
        <w:t xml:space="preserve">Traité élémentaire de droit civil Belge – V- Les Principaux </w:t>
      </w:r>
      <w:proofErr w:type="spellStart"/>
      <w:r w:rsidRPr="00862B0F">
        <w:rPr>
          <w:i/>
          <w:sz w:val="20"/>
        </w:rPr>
        <w:t>Contrats</w:t>
      </w:r>
      <w:proofErr w:type="spellEnd"/>
      <w:r w:rsidRPr="00862B0F">
        <w:rPr>
          <w:i/>
          <w:sz w:val="20"/>
        </w:rPr>
        <w:t xml:space="preserve">, Les Biens, </w:t>
      </w:r>
      <w:r w:rsidRPr="00862B0F">
        <w:rPr>
          <w:sz w:val="20"/>
        </w:rPr>
        <w:t xml:space="preserve">Bruylant, Brussel, 1975, 769-770; </w:t>
      </w:r>
      <w:r w:rsidRPr="00862B0F">
        <w:rPr>
          <w:smallCaps/>
          <w:sz w:val="20"/>
        </w:rPr>
        <w:t xml:space="preserve">V. Sagaert, </w:t>
      </w:r>
      <w:r w:rsidRPr="00862B0F">
        <w:rPr>
          <w:i/>
          <w:sz w:val="20"/>
        </w:rPr>
        <w:t>Beginselen van Belgisch Privaatrecht – V – Goederenrecht</w:t>
      </w:r>
      <w:r w:rsidRPr="00862B0F">
        <w:rPr>
          <w:sz w:val="20"/>
        </w:rPr>
        <w:t xml:space="preserve">, Mechelen, Kluwer 2014, 642-643; V. </w:t>
      </w:r>
      <w:r w:rsidRPr="00862B0F">
        <w:rPr>
          <w:smallCaps/>
          <w:sz w:val="20"/>
        </w:rPr>
        <w:t>Sagaert, B. Tilleman, A.L.</w:t>
      </w:r>
      <w:r>
        <w:rPr>
          <w:smallCaps/>
          <w:sz w:val="20"/>
        </w:rPr>
        <w:t xml:space="preserve"> </w:t>
      </w:r>
      <w:r w:rsidRPr="00862B0F">
        <w:rPr>
          <w:smallCaps/>
          <w:sz w:val="20"/>
        </w:rPr>
        <w:t xml:space="preserve">Verbeke, </w:t>
      </w:r>
      <w:r w:rsidRPr="00862B0F">
        <w:rPr>
          <w:i/>
          <w:sz w:val="20"/>
        </w:rPr>
        <w:t xml:space="preserve">Vermogensrecht in kortbestek, </w:t>
      </w:r>
      <w:r w:rsidRPr="00862B0F">
        <w:rPr>
          <w:sz w:val="20"/>
        </w:rPr>
        <w:t xml:space="preserve">Antwerpen, Intersentia 2013, 233. </w:t>
      </w:r>
      <w:r>
        <w:rPr>
          <w:sz w:val="20"/>
          <w:u w:val="single"/>
        </w:rPr>
        <w:t>Frankrijk:</w:t>
      </w:r>
      <w:r>
        <w:rPr>
          <w:sz w:val="20"/>
        </w:rPr>
        <w:t xml:space="preserve"> </w:t>
      </w:r>
      <w:r>
        <w:rPr>
          <w:smallCaps/>
          <w:sz w:val="20"/>
        </w:rPr>
        <w:t xml:space="preserve">H. </w:t>
      </w:r>
      <w:r w:rsidRPr="00565F16">
        <w:rPr>
          <w:sz w:val="20"/>
        </w:rPr>
        <w:t>en</w:t>
      </w:r>
      <w:r>
        <w:rPr>
          <w:smallCaps/>
          <w:sz w:val="20"/>
        </w:rPr>
        <w:t xml:space="preserve"> L. Mazeaud, </w:t>
      </w:r>
      <w:r w:rsidRPr="00862B0F">
        <w:rPr>
          <w:smallCaps/>
          <w:sz w:val="20"/>
        </w:rPr>
        <w:t xml:space="preserve">J. mazeaud en F. Chabas, </w:t>
      </w:r>
      <w:r w:rsidRPr="00862B0F">
        <w:rPr>
          <w:i/>
          <w:sz w:val="20"/>
        </w:rPr>
        <w:t xml:space="preserve">Biens, </w:t>
      </w:r>
      <w:r>
        <w:rPr>
          <w:sz w:val="20"/>
        </w:rPr>
        <w:t xml:space="preserve">Parijs, Montchrestien 1994, 206; </w:t>
      </w:r>
      <w:r>
        <w:rPr>
          <w:smallCaps/>
          <w:sz w:val="20"/>
        </w:rPr>
        <w:t xml:space="preserve">Y. Strickler, </w:t>
      </w:r>
      <w:r>
        <w:rPr>
          <w:i/>
          <w:sz w:val="20"/>
        </w:rPr>
        <w:t xml:space="preserve">Les Biens, </w:t>
      </w:r>
      <w:r>
        <w:rPr>
          <w:sz w:val="20"/>
        </w:rPr>
        <w:t xml:space="preserve">Parijs, Presses Universitaires de France 2006, 276; </w:t>
      </w:r>
      <w:r>
        <w:rPr>
          <w:smallCaps/>
          <w:sz w:val="20"/>
        </w:rPr>
        <w:t xml:space="preserve">F. Terré, P. Simler, </w:t>
      </w:r>
      <w:r>
        <w:rPr>
          <w:i/>
          <w:sz w:val="20"/>
        </w:rPr>
        <w:t xml:space="preserve">Droit Civil. Les Biens, </w:t>
      </w:r>
      <w:r>
        <w:rPr>
          <w:sz w:val="20"/>
        </w:rPr>
        <w:t xml:space="preserve">Parijs, Dalloz 2006, </w:t>
      </w:r>
      <w:r w:rsidRPr="000334CD">
        <w:rPr>
          <w:sz w:val="20"/>
        </w:rPr>
        <w:t>346</w:t>
      </w:r>
      <w:r>
        <w:rPr>
          <w:sz w:val="20"/>
        </w:rPr>
        <w:t xml:space="preserve">; </w:t>
      </w:r>
      <w:r>
        <w:rPr>
          <w:smallCaps/>
          <w:sz w:val="20"/>
          <w:lang w:val="nl-BE"/>
        </w:rPr>
        <w:t xml:space="preserve">P. Malaurie, L. Aynes, </w:t>
      </w:r>
      <w:r>
        <w:rPr>
          <w:i/>
          <w:sz w:val="20"/>
          <w:lang w:val="nl-BE"/>
        </w:rPr>
        <w:t xml:space="preserve">Les Biens, </w:t>
      </w:r>
      <w:r>
        <w:rPr>
          <w:sz w:val="20"/>
          <w:lang w:val="nl-BE"/>
        </w:rPr>
        <w:t>Parijs, Defrénois 2010, 150, 180.</w:t>
      </w:r>
    </w:p>
  </w:footnote>
  <w:footnote w:id="85">
    <w:p w14:paraId="0C5B7238" w14:textId="028FB361" w:rsidR="00C97F8C" w:rsidRPr="00A4683E" w:rsidRDefault="00C97F8C" w:rsidP="00B768BB">
      <w:pPr>
        <w:pStyle w:val="Voetnoottekst"/>
        <w:rPr>
          <w:lang w:val="nl-BE"/>
        </w:rPr>
      </w:pPr>
      <w:r>
        <w:rPr>
          <w:rStyle w:val="Voetnootmarkering"/>
        </w:rPr>
        <w:footnoteRef/>
      </w:r>
      <w:r>
        <w:t xml:space="preserve"> </w:t>
      </w:r>
      <w:r w:rsidRPr="00862B0F">
        <w:rPr>
          <w:smallCaps/>
          <w:sz w:val="20"/>
        </w:rPr>
        <w:t xml:space="preserve">J. Del Corral, </w:t>
      </w:r>
      <w:r w:rsidRPr="00862B0F">
        <w:rPr>
          <w:i/>
          <w:sz w:val="20"/>
        </w:rPr>
        <w:t>De leveringsplicht bij de overdracht van roerende lichamelijke goederen</w:t>
      </w:r>
      <w:r w:rsidRPr="00862B0F">
        <w:rPr>
          <w:sz w:val="20"/>
        </w:rPr>
        <w:t>,</w:t>
      </w:r>
      <w:r>
        <w:rPr>
          <w:sz w:val="20"/>
        </w:rPr>
        <w:t xml:space="preserve"> Antwerpen, Intersentia, 2013, 515; </w:t>
      </w:r>
      <w:r w:rsidRPr="00F174CF">
        <w:rPr>
          <w:smallCaps/>
          <w:sz w:val="20"/>
          <w:lang w:val="nl-BE"/>
        </w:rPr>
        <w:t>J. Van Kokelenberg, V. Sagaert, T Van Sinay en R. Jansen, “</w:t>
      </w:r>
      <w:r w:rsidRPr="00F174CF">
        <w:rPr>
          <w:sz w:val="20"/>
          <w:lang w:val="nl-BE"/>
        </w:rPr>
        <w:t xml:space="preserve">Zakenrecht – overzicht van rechtspraak (2000-2008)”, </w:t>
      </w:r>
      <w:r w:rsidRPr="00F174CF">
        <w:rPr>
          <w:i/>
          <w:sz w:val="20"/>
          <w:lang w:val="nl-BE"/>
        </w:rPr>
        <w:t xml:space="preserve">TPR </w:t>
      </w:r>
      <w:r w:rsidRPr="00F174CF">
        <w:rPr>
          <w:sz w:val="20"/>
          <w:lang w:val="nl-BE"/>
        </w:rPr>
        <w:t xml:space="preserve"> 2009, 1676</w:t>
      </w:r>
      <w:r>
        <w:rPr>
          <w:sz w:val="20"/>
          <w:lang w:val="nl-BE"/>
        </w:rPr>
        <w:t xml:space="preserve">. </w:t>
      </w:r>
      <w:r w:rsidRPr="004275D0">
        <w:rPr>
          <w:sz w:val="20"/>
          <w:u w:val="single"/>
          <w:lang w:val="nl-BE"/>
        </w:rPr>
        <w:t>Frankrijk:</w:t>
      </w:r>
      <w:r w:rsidRPr="004275D0">
        <w:rPr>
          <w:sz w:val="20"/>
          <w:lang w:val="nl-BE"/>
        </w:rPr>
        <w:t xml:space="preserve"> </w:t>
      </w:r>
      <w:r>
        <w:rPr>
          <w:sz w:val="20"/>
        </w:rPr>
        <w:t>W</w:t>
      </w:r>
      <w:r>
        <w:rPr>
          <w:smallCaps/>
          <w:sz w:val="20"/>
        </w:rPr>
        <w:t xml:space="preserve">. Dross, </w:t>
      </w:r>
      <w:r>
        <w:rPr>
          <w:sz w:val="20"/>
        </w:rPr>
        <w:t xml:space="preserve">“Le singulier destin de l’article 2279 du Code Civil”, </w:t>
      </w:r>
      <w:r>
        <w:rPr>
          <w:i/>
          <w:sz w:val="20"/>
        </w:rPr>
        <w:t xml:space="preserve">RTD civ. </w:t>
      </w:r>
      <w:r>
        <w:rPr>
          <w:sz w:val="20"/>
        </w:rPr>
        <w:t xml:space="preserve">2006, 27; </w:t>
      </w:r>
      <w:r>
        <w:rPr>
          <w:smallCaps/>
          <w:sz w:val="20"/>
          <w:lang w:val="nl-BE"/>
        </w:rPr>
        <w:t xml:space="preserve">P. Malaurie, L. Aynes, </w:t>
      </w:r>
      <w:r>
        <w:rPr>
          <w:i/>
          <w:sz w:val="20"/>
          <w:lang w:val="nl-BE"/>
        </w:rPr>
        <w:t xml:space="preserve">Les Biens, </w:t>
      </w:r>
      <w:r>
        <w:rPr>
          <w:sz w:val="20"/>
          <w:lang w:val="nl-BE"/>
        </w:rPr>
        <w:t xml:space="preserve">Parijs, Defrénois 2010, 180; </w:t>
      </w:r>
      <w:r>
        <w:rPr>
          <w:smallCaps/>
          <w:sz w:val="20"/>
        </w:rPr>
        <w:t xml:space="preserve">F. Terré, P. Simler, </w:t>
      </w:r>
      <w:r>
        <w:rPr>
          <w:i/>
          <w:sz w:val="20"/>
        </w:rPr>
        <w:t xml:space="preserve">Droit Civil. Les Biens, </w:t>
      </w:r>
      <w:r>
        <w:rPr>
          <w:sz w:val="20"/>
        </w:rPr>
        <w:t>Parijs, Dalloz 2010, 346.</w:t>
      </w:r>
    </w:p>
  </w:footnote>
  <w:footnote w:id="86">
    <w:p w14:paraId="2B399800" w14:textId="77777777" w:rsidR="00C97F8C" w:rsidRPr="009D3AEE" w:rsidRDefault="00C97F8C" w:rsidP="00B768BB">
      <w:pPr>
        <w:pStyle w:val="Voetnoottekst"/>
        <w:rPr>
          <w:lang w:val="nl-BE"/>
        </w:rPr>
      </w:pPr>
      <w:r>
        <w:rPr>
          <w:rStyle w:val="Voetnootmarkering"/>
        </w:rPr>
        <w:footnoteRef/>
      </w:r>
      <w:r>
        <w:t xml:space="preserve"> </w:t>
      </w:r>
      <w:r w:rsidRPr="00BE041A">
        <w:rPr>
          <w:smallCaps/>
          <w:sz w:val="20"/>
          <w:lang w:val="nl-BE"/>
        </w:rPr>
        <w:t xml:space="preserve">S. Boufflette, </w:t>
      </w:r>
      <w:r w:rsidRPr="00BE041A">
        <w:rPr>
          <w:i/>
          <w:sz w:val="20"/>
          <w:lang w:val="nl-BE"/>
        </w:rPr>
        <w:t>La Possession,</w:t>
      </w:r>
      <w:r w:rsidRPr="00BE041A">
        <w:rPr>
          <w:sz w:val="20"/>
          <w:lang w:val="nl-BE"/>
        </w:rPr>
        <w:t xml:space="preserve"> Brussel</w:t>
      </w:r>
      <w:r w:rsidRPr="00BE041A">
        <w:rPr>
          <w:i/>
          <w:sz w:val="20"/>
          <w:lang w:val="nl-BE"/>
        </w:rPr>
        <w:t xml:space="preserve"> </w:t>
      </w:r>
      <w:r w:rsidRPr="00BE041A">
        <w:rPr>
          <w:sz w:val="20"/>
          <w:lang w:val="nl-BE"/>
        </w:rPr>
        <w:t>Larcier 2010, 1</w:t>
      </w:r>
      <w:r>
        <w:rPr>
          <w:sz w:val="20"/>
          <w:lang w:val="nl-BE"/>
        </w:rPr>
        <w:t xml:space="preserve">30; </w:t>
      </w:r>
      <w:r w:rsidRPr="00862B0F">
        <w:rPr>
          <w:smallCaps/>
          <w:sz w:val="20"/>
        </w:rPr>
        <w:t xml:space="preserve">J. Del Corral, </w:t>
      </w:r>
      <w:r w:rsidRPr="00862B0F">
        <w:rPr>
          <w:i/>
          <w:sz w:val="20"/>
        </w:rPr>
        <w:t>De leveringsplicht bij de overdracht van roerende lichamelijke goederen</w:t>
      </w:r>
      <w:r w:rsidRPr="00862B0F">
        <w:rPr>
          <w:sz w:val="20"/>
        </w:rPr>
        <w:t>,</w:t>
      </w:r>
      <w:r>
        <w:rPr>
          <w:sz w:val="20"/>
        </w:rPr>
        <w:t xml:space="preserve"> Antwerpen, Intersentia, 2013, 515.</w:t>
      </w:r>
    </w:p>
  </w:footnote>
  <w:footnote w:id="87">
    <w:p w14:paraId="5B8900AE" w14:textId="7E2DEF82" w:rsidR="00C97F8C" w:rsidRPr="00AF4CDD" w:rsidRDefault="00C97F8C" w:rsidP="00B768BB">
      <w:pPr>
        <w:pStyle w:val="Voetnoottekst"/>
        <w:rPr>
          <w:lang w:val="nl-BE"/>
        </w:rPr>
      </w:pPr>
      <w:r w:rsidRPr="00862B0F">
        <w:rPr>
          <w:rStyle w:val="Voetnootmarkering"/>
          <w:sz w:val="20"/>
        </w:rPr>
        <w:footnoteRef/>
      </w:r>
      <w:r w:rsidRPr="00862B0F">
        <w:rPr>
          <w:sz w:val="20"/>
        </w:rPr>
        <w:t xml:space="preserve"> Cass. 19 juni 2009, </w:t>
      </w:r>
      <w:r w:rsidRPr="00862B0F">
        <w:rPr>
          <w:i/>
          <w:sz w:val="20"/>
        </w:rPr>
        <w:t>Pas</w:t>
      </w:r>
      <w:r>
        <w:rPr>
          <w:sz w:val="20"/>
        </w:rPr>
        <w:t xml:space="preserve">. 2009, afl. 6-8, 1598; Brussel 4 januari 2011, </w:t>
      </w:r>
      <w:r>
        <w:rPr>
          <w:i/>
          <w:sz w:val="20"/>
        </w:rPr>
        <w:t xml:space="preserve">T. Not. </w:t>
      </w:r>
      <w:r>
        <w:rPr>
          <w:sz w:val="20"/>
        </w:rPr>
        <w:t xml:space="preserve">2011, 91; Brussel 25 januari 2011, </w:t>
      </w:r>
      <w:r>
        <w:rPr>
          <w:i/>
          <w:sz w:val="20"/>
        </w:rPr>
        <w:t xml:space="preserve">T. Not. </w:t>
      </w:r>
      <w:r>
        <w:rPr>
          <w:sz w:val="20"/>
        </w:rPr>
        <w:t xml:space="preserve">2011, 95; </w:t>
      </w:r>
      <w:r>
        <w:rPr>
          <w:smallCaps/>
          <w:sz w:val="20"/>
        </w:rPr>
        <w:t xml:space="preserve">R. Derine, F. Van Neste, H. Vandenberghe, </w:t>
      </w:r>
      <w:r>
        <w:rPr>
          <w:i/>
          <w:sz w:val="20"/>
        </w:rPr>
        <w:t xml:space="preserve">Zakenrecht – Deel 1.A, </w:t>
      </w:r>
      <w:r>
        <w:rPr>
          <w:sz w:val="20"/>
        </w:rPr>
        <w:t xml:space="preserve">Antwerpen, Standaard 1974, 248; </w:t>
      </w:r>
      <w:r w:rsidRPr="00D10080">
        <w:rPr>
          <w:smallCaps/>
          <w:sz w:val="20"/>
        </w:rPr>
        <w:t>P</w:t>
      </w:r>
      <w:r>
        <w:rPr>
          <w:smallCaps/>
          <w:sz w:val="20"/>
        </w:rPr>
        <w:t xml:space="preserve">. Heurterre, </w:t>
      </w:r>
      <w:r>
        <w:rPr>
          <w:sz w:val="20"/>
        </w:rPr>
        <w:t xml:space="preserve">“De bewijslast van de (on)deugdelijkheid van het bezit, </w:t>
      </w:r>
      <w:r>
        <w:rPr>
          <w:i/>
          <w:sz w:val="20"/>
        </w:rPr>
        <w:t xml:space="preserve">Not. Fisc. M., </w:t>
      </w:r>
      <w:r>
        <w:rPr>
          <w:sz w:val="20"/>
        </w:rPr>
        <w:t xml:space="preserve">1999, (noot onder Cass. 16 februari 1998), 73; </w:t>
      </w:r>
      <w:r w:rsidRPr="00F174CF">
        <w:rPr>
          <w:smallCaps/>
          <w:sz w:val="20"/>
          <w:lang w:val="nl-BE"/>
        </w:rPr>
        <w:t>J. Van Kokelenberg, V. Sagaert, T Van Sinay en R. Jansen, “</w:t>
      </w:r>
      <w:r w:rsidRPr="00F174CF">
        <w:rPr>
          <w:sz w:val="20"/>
          <w:lang w:val="nl-BE"/>
        </w:rPr>
        <w:t xml:space="preserve">Zakenrecht – overzicht van rechtspraak (2000-2008)”, </w:t>
      </w:r>
      <w:r w:rsidRPr="00F174CF">
        <w:rPr>
          <w:i/>
          <w:sz w:val="20"/>
          <w:lang w:val="nl-BE"/>
        </w:rPr>
        <w:t xml:space="preserve">TPR </w:t>
      </w:r>
      <w:r>
        <w:rPr>
          <w:sz w:val="20"/>
          <w:lang w:val="nl-BE"/>
        </w:rPr>
        <w:t xml:space="preserve"> 2009, 1672; V</w:t>
      </w:r>
      <w:r w:rsidRPr="00862B0F">
        <w:rPr>
          <w:smallCaps/>
          <w:sz w:val="20"/>
        </w:rPr>
        <w:t xml:space="preserve">. Sagaert, </w:t>
      </w:r>
      <w:r w:rsidRPr="00862B0F">
        <w:rPr>
          <w:i/>
          <w:sz w:val="20"/>
        </w:rPr>
        <w:t>Beginselen van Belgisch Privaatrecht – V – Goederenrecht</w:t>
      </w:r>
      <w:r>
        <w:rPr>
          <w:sz w:val="20"/>
        </w:rPr>
        <w:t>, Mechelen, Kluwer 2014, 642.</w:t>
      </w:r>
      <w:r>
        <w:rPr>
          <w:sz w:val="20"/>
          <w:lang w:val="nl-BE"/>
        </w:rPr>
        <w:t xml:space="preserve"> </w:t>
      </w:r>
      <w:r>
        <w:rPr>
          <w:sz w:val="20"/>
          <w:u w:val="single"/>
          <w:lang w:val="nl-BE"/>
        </w:rPr>
        <w:t xml:space="preserve">Frankrijk: </w:t>
      </w:r>
      <w:r>
        <w:rPr>
          <w:sz w:val="20"/>
          <w:lang w:val="nl-BE"/>
        </w:rPr>
        <w:t xml:space="preserve">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173;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130; </w:t>
      </w:r>
      <w:r>
        <w:rPr>
          <w:smallCaps/>
          <w:sz w:val="20"/>
        </w:rPr>
        <w:t xml:space="preserve">A. Weill, F. Terré, P. Simler, </w:t>
      </w:r>
      <w:r>
        <w:rPr>
          <w:i/>
          <w:sz w:val="20"/>
        </w:rPr>
        <w:t xml:space="preserve">Les biens, </w:t>
      </w:r>
      <w:r>
        <w:rPr>
          <w:sz w:val="20"/>
        </w:rPr>
        <w:t xml:space="preserve">Parijs, Dalloz 1985, 367; </w:t>
      </w:r>
      <w:r>
        <w:rPr>
          <w:smallCaps/>
          <w:sz w:val="20"/>
        </w:rPr>
        <w:t xml:space="preserve">H. en L. Mazeaud, </w:t>
      </w:r>
      <w:r w:rsidRPr="00862B0F">
        <w:rPr>
          <w:smallCaps/>
          <w:sz w:val="20"/>
        </w:rPr>
        <w:t xml:space="preserve">J. mazeaud en F. Chabas, </w:t>
      </w:r>
      <w:r w:rsidRPr="00862B0F">
        <w:rPr>
          <w:i/>
          <w:sz w:val="20"/>
        </w:rPr>
        <w:t xml:space="preserve">Biens, </w:t>
      </w:r>
      <w:r w:rsidRPr="00862B0F">
        <w:rPr>
          <w:sz w:val="20"/>
        </w:rPr>
        <w:t>P</w:t>
      </w:r>
      <w:r>
        <w:rPr>
          <w:sz w:val="20"/>
        </w:rPr>
        <w:t xml:space="preserve">arijs, Montchrestien 1994, 206; </w:t>
      </w:r>
      <w:r>
        <w:rPr>
          <w:smallCaps/>
          <w:sz w:val="20"/>
          <w:lang w:val="nl-BE"/>
        </w:rPr>
        <w:t xml:space="preserve">P. Malaurie, L. Aynes, </w:t>
      </w:r>
      <w:r>
        <w:rPr>
          <w:i/>
          <w:sz w:val="20"/>
          <w:lang w:val="nl-BE"/>
        </w:rPr>
        <w:t xml:space="preserve">Les Biens, </w:t>
      </w:r>
      <w:r>
        <w:rPr>
          <w:sz w:val="20"/>
          <w:lang w:val="nl-BE"/>
        </w:rPr>
        <w:t xml:space="preserve">Parijs, Defrénois 2010, 150; </w:t>
      </w:r>
      <w:r>
        <w:rPr>
          <w:smallCaps/>
          <w:sz w:val="20"/>
        </w:rPr>
        <w:t xml:space="preserve">Y. Strickler, </w:t>
      </w:r>
      <w:r>
        <w:rPr>
          <w:i/>
          <w:sz w:val="20"/>
        </w:rPr>
        <w:t xml:space="preserve">Les Biens, </w:t>
      </w:r>
      <w:r>
        <w:rPr>
          <w:sz w:val="20"/>
        </w:rPr>
        <w:t xml:space="preserve">Parijs, Presses Universitaires de France 2006, 277; </w:t>
      </w:r>
      <w:r>
        <w:rPr>
          <w:smallCaps/>
          <w:sz w:val="20"/>
        </w:rPr>
        <w:t xml:space="preserve">W. Dross, </w:t>
      </w:r>
      <w:r>
        <w:rPr>
          <w:i/>
          <w:sz w:val="20"/>
        </w:rPr>
        <w:t xml:space="preserve">Droit des Biens, </w:t>
      </w:r>
      <w:r>
        <w:rPr>
          <w:sz w:val="20"/>
        </w:rPr>
        <w:t>Parijs, Montchrestien 2012, 246.</w:t>
      </w:r>
    </w:p>
  </w:footnote>
  <w:footnote w:id="88">
    <w:p w14:paraId="31EBF465" w14:textId="61A06CF1" w:rsidR="00C97F8C" w:rsidRPr="00C42767" w:rsidRDefault="00C97F8C" w:rsidP="00B768BB">
      <w:pPr>
        <w:pStyle w:val="Voetnoottekst"/>
        <w:rPr>
          <w:sz w:val="20"/>
          <w:u w:val="single"/>
        </w:rPr>
      </w:pPr>
      <w:r w:rsidRPr="00862B0F">
        <w:rPr>
          <w:rStyle w:val="Voetnootmarkering"/>
          <w:sz w:val="20"/>
        </w:rPr>
        <w:footnoteRef/>
      </w:r>
      <w:r w:rsidRPr="00862B0F">
        <w:rPr>
          <w:sz w:val="20"/>
        </w:rPr>
        <w:t xml:space="preserve"> </w:t>
      </w:r>
      <w:r>
        <w:rPr>
          <w:smallCaps/>
          <w:sz w:val="20"/>
        </w:rPr>
        <w:t xml:space="preserve">A. Kluyskens, </w:t>
      </w:r>
      <w:r>
        <w:rPr>
          <w:i/>
          <w:sz w:val="20"/>
        </w:rPr>
        <w:t xml:space="preserve">Beginselen van Burgerlijk Recht – Zakenrecht, </w:t>
      </w:r>
      <w:r>
        <w:rPr>
          <w:sz w:val="20"/>
        </w:rPr>
        <w:t xml:space="preserve">Standaard, Gent 1940, 61; </w:t>
      </w:r>
      <w:r>
        <w:rPr>
          <w:smallCaps/>
          <w:sz w:val="20"/>
        </w:rPr>
        <w:t xml:space="preserve">R. Derine, F. Van Neste, H. Vandenberghe, </w:t>
      </w:r>
      <w:r>
        <w:rPr>
          <w:i/>
          <w:sz w:val="20"/>
        </w:rPr>
        <w:t xml:space="preserve">Zakenrecht – Deel 1.A, </w:t>
      </w:r>
      <w:r>
        <w:rPr>
          <w:sz w:val="20"/>
        </w:rPr>
        <w:t xml:space="preserve">Antwerpen, Standaard 1974, 248; </w:t>
      </w:r>
      <w:r>
        <w:rPr>
          <w:smallCaps/>
          <w:sz w:val="20"/>
          <w:lang w:val="nl-BE"/>
        </w:rPr>
        <w:t xml:space="preserve">H. De Page, </w:t>
      </w:r>
      <w:r>
        <w:rPr>
          <w:i/>
          <w:sz w:val="20"/>
          <w:lang w:val="nl-BE"/>
        </w:rPr>
        <w:t xml:space="preserve">Traité élémentaire de droit civil belge -  Tome V, </w:t>
      </w:r>
      <w:r>
        <w:rPr>
          <w:sz w:val="20"/>
          <w:lang w:val="nl-BE"/>
        </w:rPr>
        <w:t>Brussel, Bruylant 1975, 929</w:t>
      </w:r>
      <w:r>
        <w:rPr>
          <w:sz w:val="20"/>
        </w:rPr>
        <w:t xml:space="preserve">; </w:t>
      </w:r>
      <w:r w:rsidRPr="00862B0F">
        <w:rPr>
          <w:smallCaps/>
          <w:sz w:val="20"/>
        </w:rPr>
        <w:t xml:space="preserve">R. Dekkers en E. Dirix, </w:t>
      </w:r>
      <w:r w:rsidRPr="00862B0F">
        <w:rPr>
          <w:i/>
          <w:sz w:val="20"/>
        </w:rPr>
        <w:t xml:space="preserve">Handboek Burgerlijk Recht – Deel II, </w:t>
      </w:r>
      <w:r w:rsidRPr="00862B0F">
        <w:rPr>
          <w:sz w:val="20"/>
        </w:rPr>
        <w:t>Antwerpen, Intersentia, 2005, 545;</w:t>
      </w:r>
      <w:r w:rsidRPr="00C003E1">
        <w:rPr>
          <w:smallCaps/>
          <w:sz w:val="20"/>
        </w:rPr>
        <w:t xml:space="preserve"> </w:t>
      </w:r>
      <w:r w:rsidRPr="00BE041A">
        <w:rPr>
          <w:smallCaps/>
          <w:sz w:val="20"/>
        </w:rPr>
        <w:t xml:space="preserve">P. Lecocq, </w:t>
      </w:r>
      <w:r w:rsidRPr="00BE041A">
        <w:rPr>
          <w:i/>
          <w:sz w:val="20"/>
        </w:rPr>
        <w:t xml:space="preserve">Manuel de droit des biens, </w:t>
      </w:r>
      <w:r>
        <w:rPr>
          <w:sz w:val="20"/>
        </w:rPr>
        <w:t xml:space="preserve">Brussel, Larcier, 2012, 118; </w:t>
      </w:r>
      <w:r w:rsidRPr="00862B0F">
        <w:rPr>
          <w:smallCaps/>
          <w:sz w:val="20"/>
        </w:rPr>
        <w:t xml:space="preserve">J. Del Corral, </w:t>
      </w:r>
      <w:r w:rsidRPr="00862B0F">
        <w:rPr>
          <w:i/>
          <w:sz w:val="20"/>
        </w:rPr>
        <w:t>De leveringsplicht bij de overdracht van roerende lichamelijke goederen</w:t>
      </w:r>
      <w:r w:rsidRPr="00862B0F">
        <w:rPr>
          <w:sz w:val="20"/>
        </w:rPr>
        <w:t>,</w:t>
      </w:r>
      <w:r>
        <w:rPr>
          <w:sz w:val="20"/>
        </w:rPr>
        <w:t xml:space="preserve"> Antwerpen, Intersentia, 2013, 515; </w:t>
      </w:r>
      <w:r w:rsidRPr="00862B0F">
        <w:rPr>
          <w:smallCaps/>
          <w:sz w:val="20"/>
        </w:rPr>
        <w:t xml:space="preserve">V. Sagaert, </w:t>
      </w:r>
      <w:r w:rsidRPr="00862B0F">
        <w:rPr>
          <w:i/>
          <w:sz w:val="20"/>
        </w:rPr>
        <w:t>Beginselen van Belgisch Privaatrecht – V – Goederenrecht</w:t>
      </w:r>
      <w:r w:rsidRPr="00862B0F">
        <w:rPr>
          <w:sz w:val="20"/>
        </w:rPr>
        <w:t>, Mechelen, Kluwer 2014, 642.</w:t>
      </w:r>
      <w:r>
        <w:rPr>
          <w:sz w:val="20"/>
        </w:rPr>
        <w:t xml:space="preserve"> </w:t>
      </w:r>
      <w:r>
        <w:rPr>
          <w:sz w:val="20"/>
          <w:u w:val="single"/>
        </w:rPr>
        <w:t xml:space="preserve">Frankrijk: </w:t>
      </w:r>
      <w:r>
        <w:rPr>
          <w:smallCaps/>
          <w:sz w:val="20"/>
        </w:rPr>
        <w:t xml:space="preserve">M. Picard, </w:t>
      </w:r>
      <w:r>
        <w:rPr>
          <w:sz w:val="20"/>
        </w:rPr>
        <w:t xml:space="preserve">“Les Biens -  Tome III”, in </w:t>
      </w:r>
      <w:r>
        <w:rPr>
          <w:i/>
          <w:sz w:val="20"/>
        </w:rPr>
        <w:t xml:space="preserve">Planiol en Ripert, </w:t>
      </w:r>
      <w:r>
        <w:rPr>
          <w:sz w:val="20"/>
        </w:rPr>
        <w:t>Parijs, Librérie générale de droit et de jurisprudence 1952, 173.</w:t>
      </w:r>
    </w:p>
  </w:footnote>
  <w:footnote w:id="89">
    <w:p w14:paraId="440B90B8" w14:textId="434A53DC" w:rsidR="00C97F8C" w:rsidRPr="005055A6" w:rsidRDefault="00C97F8C" w:rsidP="00B768BB">
      <w:pPr>
        <w:pStyle w:val="Voetnoottekst"/>
        <w:rPr>
          <w:lang w:val="nl-BE"/>
        </w:rPr>
      </w:pPr>
      <w:r w:rsidRPr="00862B0F">
        <w:rPr>
          <w:rStyle w:val="Voetnootmarkering"/>
          <w:sz w:val="20"/>
        </w:rPr>
        <w:footnoteRef/>
      </w:r>
      <w:r w:rsidRPr="006460FD">
        <w:rPr>
          <w:sz w:val="20"/>
          <w:lang w:val="en-GB"/>
        </w:rPr>
        <w:t xml:space="preserve"> Cass. 3 </w:t>
      </w:r>
      <w:proofErr w:type="spellStart"/>
      <w:r w:rsidRPr="006460FD">
        <w:rPr>
          <w:sz w:val="20"/>
          <w:lang w:val="en-GB"/>
        </w:rPr>
        <w:t>mei</w:t>
      </w:r>
      <w:proofErr w:type="spellEnd"/>
      <w:r w:rsidRPr="006460FD">
        <w:rPr>
          <w:sz w:val="20"/>
          <w:lang w:val="en-GB"/>
        </w:rPr>
        <w:t xml:space="preserve"> 1984, </w:t>
      </w:r>
      <w:r w:rsidRPr="006460FD">
        <w:rPr>
          <w:i/>
          <w:sz w:val="20"/>
          <w:lang w:val="en-GB"/>
        </w:rPr>
        <w:t xml:space="preserve">Arr. Cass. </w:t>
      </w:r>
      <w:r w:rsidRPr="006460FD">
        <w:rPr>
          <w:sz w:val="20"/>
          <w:lang w:val="en-GB"/>
        </w:rPr>
        <w:t xml:space="preserve">1983-84, 1146; Cass. 4 december 1986, </w:t>
      </w:r>
      <w:r w:rsidRPr="006460FD">
        <w:rPr>
          <w:i/>
          <w:sz w:val="20"/>
          <w:lang w:val="en-GB"/>
        </w:rPr>
        <w:t xml:space="preserve">Arr. </w:t>
      </w:r>
      <w:r>
        <w:rPr>
          <w:i/>
          <w:sz w:val="20"/>
          <w:lang w:val="nl-BE"/>
        </w:rPr>
        <w:t xml:space="preserve">Cass. </w:t>
      </w:r>
      <w:r>
        <w:rPr>
          <w:sz w:val="20"/>
          <w:lang w:val="nl-BE"/>
        </w:rPr>
        <w:t xml:space="preserve">1986-87, 449; Cass. 9 maart 1992, </w:t>
      </w:r>
      <w:r>
        <w:rPr>
          <w:i/>
          <w:sz w:val="20"/>
          <w:lang w:val="nl-BE"/>
        </w:rPr>
        <w:t xml:space="preserve">Arr. Cass. </w:t>
      </w:r>
      <w:r>
        <w:rPr>
          <w:sz w:val="20"/>
          <w:lang w:val="nl-BE"/>
        </w:rPr>
        <w:t xml:space="preserve">1991-92, 646; Gent 12 februari 2009, </w:t>
      </w:r>
      <w:r>
        <w:fldChar w:fldCharType="begin"/>
      </w:r>
      <w:r>
        <w:instrText xml:space="preserve"> HYPERLINK "http://www.juridat.be" </w:instrText>
      </w:r>
      <w:r>
        <w:fldChar w:fldCharType="separate"/>
      </w:r>
      <w:r w:rsidRPr="00DB1063">
        <w:rPr>
          <w:rStyle w:val="Hyperlink"/>
          <w:sz w:val="20"/>
          <w:lang w:val="nl-BE"/>
        </w:rPr>
        <w:t>www.juridat.be</w:t>
      </w:r>
      <w:r>
        <w:rPr>
          <w:rStyle w:val="Hyperlink"/>
          <w:sz w:val="20"/>
          <w:lang w:val="nl-BE"/>
        </w:rPr>
        <w:fldChar w:fldCharType="end"/>
      </w:r>
      <w:r>
        <w:rPr>
          <w:sz w:val="20"/>
          <w:lang w:val="nl-BE"/>
        </w:rPr>
        <w:t xml:space="preserve">; </w:t>
      </w:r>
      <w:r>
        <w:rPr>
          <w:smallCaps/>
          <w:sz w:val="20"/>
        </w:rPr>
        <w:t xml:space="preserve">A. Kluyskens, </w:t>
      </w:r>
      <w:r>
        <w:rPr>
          <w:i/>
          <w:sz w:val="20"/>
        </w:rPr>
        <w:t xml:space="preserve">Beginselen van Burgerlijk Recht – Zakenrecht, </w:t>
      </w:r>
      <w:r>
        <w:rPr>
          <w:sz w:val="20"/>
        </w:rPr>
        <w:t xml:space="preserve">Standaard, Gent 1940, 62; </w:t>
      </w:r>
      <w:r>
        <w:rPr>
          <w:smallCaps/>
          <w:sz w:val="20"/>
        </w:rPr>
        <w:t xml:space="preserve">R. Derine, F. Van Neste, H. Vandenberghe, </w:t>
      </w:r>
      <w:r>
        <w:rPr>
          <w:i/>
          <w:sz w:val="20"/>
        </w:rPr>
        <w:t xml:space="preserve">Zakenrecht – Deel 1.B, </w:t>
      </w:r>
      <w:r>
        <w:rPr>
          <w:sz w:val="20"/>
        </w:rPr>
        <w:t xml:space="preserve">Antwerpen, Standaard 1974, 964; </w:t>
      </w:r>
      <w:r>
        <w:rPr>
          <w:smallCaps/>
          <w:sz w:val="20"/>
          <w:lang w:val="nl-BE"/>
        </w:rPr>
        <w:t xml:space="preserve">H. De Page, </w:t>
      </w:r>
      <w:r>
        <w:rPr>
          <w:i/>
          <w:sz w:val="20"/>
          <w:lang w:val="nl-BE"/>
        </w:rPr>
        <w:t xml:space="preserve">Traité élémentaire de droit civil belge -  Tome V, </w:t>
      </w:r>
      <w:r>
        <w:rPr>
          <w:sz w:val="20"/>
          <w:lang w:val="nl-BE"/>
        </w:rPr>
        <w:t>Brussel, Bruylant 1975, 929-930;</w:t>
      </w:r>
      <w:r>
        <w:rPr>
          <w:sz w:val="20"/>
        </w:rPr>
        <w:t xml:space="preserve"> </w:t>
      </w:r>
      <w:r>
        <w:rPr>
          <w:sz w:val="20"/>
          <w:lang w:val="nl-BE"/>
        </w:rPr>
        <w:t>A</w:t>
      </w:r>
      <w:r>
        <w:rPr>
          <w:smallCaps/>
          <w:sz w:val="20"/>
        </w:rPr>
        <w:t xml:space="preserve">.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 xml:space="preserve">Gent 1983, 279; </w:t>
      </w:r>
      <w:r>
        <w:rPr>
          <w:smallCaps/>
          <w:sz w:val="20"/>
        </w:rPr>
        <w:t xml:space="preserve">R. Derine, F. Van Neste, H. Vandenberghe, </w:t>
      </w:r>
      <w:r>
        <w:rPr>
          <w:i/>
          <w:sz w:val="20"/>
        </w:rPr>
        <w:t xml:space="preserve">Zakenrecht – Deel 1.A, </w:t>
      </w:r>
      <w:r>
        <w:rPr>
          <w:sz w:val="20"/>
        </w:rPr>
        <w:t xml:space="preserve">Antwerpen, Standaard 1974, 251; </w:t>
      </w:r>
      <w:r w:rsidRPr="00862B0F">
        <w:rPr>
          <w:smallCaps/>
          <w:sz w:val="20"/>
        </w:rPr>
        <w:t xml:space="preserve">R. Dekkers en E. Dirix, </w:t>
      </w:r>
      <w:r w:rsidRPr="00862B0F">
        <w:rPr>
          <w:i/>
          <w:sz w:val="20"/>
        </w:rPr>
        <w:t xml:space="preserve">Handboek Burgerlijk Recht – Deel II, </w:t>
      </w:r>
      <w:r w:rsidRPr="00862B0F">
        <w:rPr>
          <w:sz w:val="20"/>
        </w:rPr>
        <w:t>Antwerpen, Intersentia, 2005, 546;</w:t>
      </w:r>
      <w:r w:rsidRPr="00C003E1">
        <w:rPr>
          <w:smallCaps/>
          <w:sz w:val="20"/>
        </w:rPr>
        <w:t xml:space="preserve">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20;</w:t>
      </w:r>
      <w:r w:rsidRPr="00862B0F">
        <w:rPr>
          <w:sz w:val="20"/>
        </w:rPr>
        <w:t xml:space="preserve"> </w:t>
      </w:r>
      <w:r w:rsidRPr="00862B0F">
        <w:rPr>
          <w:smallCaps/>
          <w:sz w:val="20"/>
        </w:rPr>
        <w:t xml:space="preserve">J. Del Corral, </w:t>
      </w:r>
      <w:r w:rsidRPr="00862B0F">
        <w:rPr>
          <w:i/>
          <w:sz w:val="20"/>
        </w:rPr>
        <w:t>De leveringsplicht bij de overdracht van roerende lichamelijke goederen</w:t>
      </w:r>
      <w:r w:rsidRPr="00862B0F">
        <w:rPr>
          <w:sz w:val="20"/>
        </w:rPr>
        <w:t xml:space="preserve">, Antwerpen, Intersentia, 2013, 426; </w:t>
      </w:r>
      <w:r w:rsidRPr="00862B0F">
        <w:rPr>
          <w:smallCaps/>
          <w:sz w:val="20"/>
        </w:rPr>
        <w:t xml:space="preserve">V. Sagaert, </w:t>
      </w:r>
      <w:r w:rsidRPr="00862B0F">
        <w:rPr>
          <w:i/>
          <w:sz w:val="20"/>
        </w:rPr>
        <w:t>Beginselen van Belgisch Privaatrecht – V – Goederenrecht</w:t>
      </w:r>
      <w:r w:rsidRPr="00862B0F">
        <w:rPr>
          <w:sz w:val="20"/>
        </w:rPr>
        <w:t xml:space="preserve">, Mechelen, Kluwer 2014, 643; V. </w:t>
      </w:r>
      <w:r w:rsidRPr="00862B0F">
        <w:rPr>
          <w:smallCaps/>
          <w:sz w:val="20"/>
        </w:rPr>
        <w:t xml:space="preserve">Sagaert, B. Tilleman, A.L.Verbeke, </w:t>
      </w:r>
      <w:r w:rsidRPr="00862B0F">
        <w:rPr>
          <w:i/>
          <w:sz w:val="20"/>
        </w:rPr>
        <w:t xml:space="preserve">Vermogensrecht in kortbestek, </w:t>
      </w:r>
      <w:r w:rsidRPr="00862B0F">
        <w:rPr>
          <w:sz w:val="20"/>
        </w:rPr>
        <w:t>Antwerpen, Intersentia 2013, 233.</w:t>
      </w:r>
      <w:r>
        <w:rPr>
          <w:sz w:val="20"/>
        </w:rPr>
        <w:t xml:space="preserve"> </w:t>
      </w:r>
      <w:r>
        <w:rPr>
          <w:sz w:val="20"/>
          <w:u w:val="single"/>
          <w:lang w:val="nl-BE"/>
        </w:rPr>
        <w:t>Frankrijk:</w:t>
      </w:r>
      <w:r w:rsidRPr="005055A6">
        <w:rPr>
          <w:sz w:val="20"/>
          <w:lang w:val="nl-BE"/>
        </w:rPr>
        <w:t xml:space="preserve"> </w:t>
      </w:r>
      <w:r>
        <w:rPr>
          <w:smallCaps/>
          <w:sz w:val="20"/>
        </w:rPr>
        <w:t xml:space="preserve">M. Picard, </w:t>
      </w:r>
      <w:r>
        <w:rPr>
          <w:sz w:val="20"/>
        </w:rPr>
        <w:t xml:space="preserve">“Les Biens -  Tome III”, in </w:t>
      </w:r>
      <w:r>
        <w:rPr>
          <w:i/>
          <w:sz w:val="20"/>
        </w:rPr>
        <w:t xml:space="preserve">Planiol en Ripert, </w:t>
      </w:r>
      <w:r>
        <w:rPr>
          <w:sz w:val="20"/>
        </w:rPr>
        <w:t xml:space="preserve">Parijs, Librérie générale de droit et de jurisprudence 1952, 173;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139; </w:t>
      </w:r>
      <w:r>
        <w:rPr>
          <w:smallCaps/>
          <w:sz w:val="20"/>
        </w:rPr>
        <w:t xml:space="preserve">A. Weill, F. Terré, P. Simler, </w:t>
      </w:r>
      <w:r>
        <w:rPr>
          <w:i/>
          <w:sz w:val="20"/>
        </w:rPr>
        <w:t xml:space="preserve">Les biens, </w:t>
      </w:r>
      <w:r>
        <w:rPr>
          <w:sz w:val="20"/>
        </w:rPr>
        <w:t xml:space="preserve">Parijs, Dalloz 1985, 367; </w:t>
      </w:r>
      <w:r>
        <w:rPr>
          <w:smallCaps/>
          <w:sz w:val="20"/>
        </w:rPr>
        <w:t xml:space="preserve">Y. Strickler, </w:t>
      </w:r>
      <w:r>
        <w:rPr>
          <w:i/>
          <w:sz w:val="20"/>
        </w:rPr>
        <w:t xml:space="preserve">Les Biens, </w:t>
      </w:r>
      <w:r>
        <w:rPr>
          <w:sz w:val="20"/>
        </w:rPr>
        <w:t xml:space="preserve">Parijs, Presses Universitaires de France 2006, 278; </w:t>
      </w:r>
      <w:r>
        <w:rPr>
          <w:smallCaps/>
          <w:sz w:val="20"/>
        </w:rPr>
        <w:t xml:space="preserve">W. Dross, </w:t>
      </w:r>
      <w:r>
        <w:rPr>
          <w:i/>
          <w:sz w:val="20"/>
        </w:rPr>
        <w:t xml:space="preserve">Droit des Biens, </w:t>
      </w:r>
      <w:r>
        <w:rPr>
          <w:sz w:val="20"/>
        </w:rPr>
        <w:t>Parijs, Montchrestien 2012, 246.</w:t>
      </w:r>
    </w:p>
  </w:footnote>
  <w:footnote w:id="90">
    <w:p w14:paraId="0ABBCE5F" w14:textId="77777777" w:rsidR="00C97F8C" w:rsidRPr="006460FD" w:rsidRDefault="00C97F8C" w:rsidP="00B768BB">
      <w:pPr>
        <w:pStyle w:val="Voetnoottekst"/>
        <w:rPr>
          <w:sz w:val="20"/>
          <w:lang w:val="en-GB"/>
        </w:rPr>
      </w:pPr>
      <w:r w:rsidRPr="00862B0F">
        <w:rPr>
          <w:rStyle w:val="Voetnootmarkering"/>
          <w:sz w:val="20"/>
        </w:rPr>
        <w:footnoteRef/>
      </w:r>
      <w:r w:rsidRPr="006460FD">
        <w:rPr>
          <w:sz w:val="20"/>
          <w:lang w:val="en-GB"/>
        </w:rPr>
        <w:t xml:space="preserve"> Cass. 12 februari 2004, </w:t>
      </w:r>
      <w:r w:rsidRPr="006460FD">
        <w:rPr>
          <w:i/>
          <w:sz w:val="20"/>
          <w:lang w:val="en-GB"/>
        </w:rPr>
        <w:t xml:space="preserve">RW </w:t>
      </w:r>
      <w:r w:rsidRPr="006460FD">
        <w:rPr>
          <w:sz w:val="20"/>
          <w:lang w:val="en-GB"/>
        </w:rPr>
        <w:t xml:space="preserve">2004-05, 1179, noot M. </w:t>
      </w:r>
      <w:r w:rsidRPr="006460FD">
        <w:rPr>
          <w:smallCaps/>
          <w:sz w:val="20"/>
          <w:lang w:val="en-GB"/>
        </w:rPr>
        <w:t>Storme.</w:t>
      </w:r>
    </w:p>
  </w:footnote>
  <w:footnote w:id="91">
    <w:p w14:paraId="698182D4" w14:textId="3A1C63CF" w:rsidR="00C97F8C" w:rsidRPr="00FB1258" w:rsidRDefault="00C97F8C">
      <w:pPr>
        <w:pStyle w:val="Voetnoottekst"/>
        <w:rPr>
          <w:sz w:val="20"/>
          <w:lang w:val="nl-BE"/>
        </w:rPr>
      </w:pPr>
      <w:r>
        <w:rPr>
          <w:rStyle w:val="Voetnootmarkering"/>
        </w:rPr>
        <w:footnoteRef/>
      </w:r>
      <w:r>
        <w:t xml:space="preserve"> </w:t>
      </w:r>
      <w:r>
        <w:rPr>
          <w:sz w:val="20"/>
          <w:lang w:val="nl-BE"/>
        </w:rPr>
        <w:t>Ook in het Franse recht is het inpandgeven van andersmans zaak nietig en geeft dit aanleiding tot schadevergoeding. Deze bepaling gaf in het Franse recht aanleiding tot controverse. Het is ondenkbaar dat de wetgever heeft gewild heeft om de bestaande oplossing, namelijk de bescherming van de pandhouder te goeder trouw (</w:t>
      </w:r>
      <w:r>
        <w:rPr>
          <w:i/>
          <w:sz w:val="20"/>
          <w:lang w:val="nl-BE"/>
        </w:rPr>
        <w:t xml:space="preserve">infra, </w:t>
      </w:r>
      <w:r>
        <w:rPr>
          <w:sz w:val="20"/>
          <w:lang w:val="nl-BE"/>
        </w:rPr>
        <w:t xml:space="preserve">nr. 44) buiten spel te zetten. Deze nietigheid moet dus, net zoals in het Belgische recht, gezien worden als een beschermende nietigheid. (Artikel 2335 Code Civil; </w:t>
      </w:r>
      <w:r>
        <w:rPr>
          <w:smallCaps/>
          <w:sz w:val="20"/>
          <w:lang w:val="nl-BE"/>
        </w:rPr>
        <w:t xml:space="preserve">P. Simler, P. Delebecque, </w:t>
      </w:r>
      <w:r>
        <w:rPr>
          <w:i/>
          <w:sz w:val="20"/>
          <w:lang w:val="nl-BE"/>
        </w:rPr>
        <w:t xml:space="preserve">Les sûretés, la publicité foncière, </w:t>
      </w:r>
      <w:r>
        <w:rPr>
          <w:sz w:val="20"/>
          <w:lang w:val="nl-BE"/>
        </w:rPr>
        <w:t xml:space="preserve">Parijs, Dalloz 2009, 535; </w:t>
      </w:r>
      <w:r>
        <w:rPr>
          <w:smallCaps/>
          <w:sz w:val="20"/>
        </w:rPr>
        <w:t xml:space="preserve">D. Legeais, </w:t>
      </w:r>
      <w:r>
        <w:rPr>
          <w:i/>
          <w:sz w:val="20"/>
        </w:rPr>
        <w:t xml:space="preserve">Sûretés et garanties du crédit, </w:t>
      </w:r>
      <w:r>
        <w:rPr>
          <w:sz w:val="20"/>
        </w:rPr>
        <w:t>Parijs, LGDJ Lextenso éditions 2011, 402).</w:t>
      </w:r>
    </w:p>
  </w:footnote>
  <w:footnote w:id="92">
    <w:p w14:paraId="61E8B8B9" w14:textId="39104CAA" w:rsidR="00C97F8C" w:rsidRPr="007F29B2" w:rsidRDefault="00C97F8C" w:rsidP="00B768BB">
      <w:pPr>
        <w:pStyle w:val="Voetnoottekst"/>
        <w:rPr>
          <w:smallCaps/>
          <w:lang w:val="nl-BE"/>
        </w:rPr>
      </w:pPr>
      <w:r>
        <w:rPr>
          <w:rStyle w:val="Voetnootmarkering"/>
        </w:rPr>
        <w:footnoteRef/>
      </w:r>
      <w:r>
        <w:t xml:space="preserve"> </w:t>
      </w:r>
      <w:r w:rsidRPr="007108FF">
        <w:rPr>
          <w:sz w:val="20"/>
        </w:rPr>
        <w:t>H</w:t>
      </w:r>
      <w:r w:rsidRPr="007108FF">
        <w:rPr>
          <w:smallCaps/>
          <w:sz w:val="20"/>
          <w:lang w:val="nl-BE"/>
        </w:rPr>
        <w:t xml:space="preserve">. </w:t>
      </w:r>
      <w:r w:rsidRPr="007108FF">
        <w:rPr>
          <w:smallCaps/>
          <w:sz w:val="20"/>
          <w:lang w:val="nl-BE"/>
        </w:rPr>
        <w:t xml:space="preserve">De Page, </w:t>
      </w:r>
      <w:r w:rsidRPr="007108FF">
        <w:rPr>
          <w:i/>
          <w:sz w:val="20"/>
          <w:lang w:val="nl-BE"/>
        </w:rPr>
        <w:t xml:space="preserve">Traité élémentaire de droit civil belge -  Tome VI, </w:t>
      </w:r>
      <w:r w:rsidRPr="007108FF">
        <w:rPr>
          <w:sz w:val="20"/>
          <w:lang w:val="nl-BE"/>
        </w:rPr>
        <w:t>Brussel, Bruylant 1942, 1014</w:t>
      </w:r>
      <w:r>
        <w:rPr>
          <w:sz w:val="20"/>
          <w:lang w:val="nl-BE"/>
        </w:rPr>
        <w:t xml:space="preserve">; </w:t>
      </w:r>
      <w:r>
        <w:rPr>
          <w:smallCaps/>
          <w:sz w:val="20"/>
          <w:lang w:val="nl-BE"/>
        </w:rPr>
        <w:t xml:space="preserve">A.-M. Strannart, </w:t>
      </w:r>
      <w:r>
        <w:rPr>
          <w:sz w:val="20"/>
          <w:lang w:val="nl-BE"/>
        </w:rPr>
        <w:t xml:space="preserve">“Les sûretés réelles traditionelles – Développements récents”, in </w:t>
      </w:r>
      <w:r>
        <w:rPr>
          <w:smallCaps/>
          <w:sz w:val="20"/>
          <w:lang w:val="nl-BE"/>
        </w:rPr>
        <w:t xml:space="preserve">A.-M. strannarts </w:t>
      </w:r>
      <w:r>
        <w:rPr>
          <w:sz w:val="20"/>
          <w:lang w:val="nl-BE"/>
        </w:rPr>
        <w:t xml:space="preserve">(ed.), </w:t>
      </w:r>
      <w:r>
        <w:rPr>
          <w:i/>
          <w:sz w:val="20"/>
          <w:lang w:val="nl-BE"/>
        </w:rPr>
        <w:t xml:space="preserve">Le droit des sûretés, </w:t>
      </w:r>
      <w:r>
        <w:rPr>
          <w:sz w:val="20"/>
          <w:lang w:val="nl-BE"/>
        </w:rPr>
        <w:t xml:space="preserve">Brussel, Editions Jeune Barreau, 78; </w:t>
      </w:r>
      <w:r>
        <w:rPr>
          <w:smallCaps/>
          <w:sz w:val="20"/>
        </w:rPr>
        <w:t xml:space="preserve">E. Dirix, </w:t>
      </w:r>
      <w:r>
        <w:rPr>
          <w:sz w:val="20"/>
        </w:rPr>
        <w:t xml:space="preserve">“Het vuistpand”, </w:t>
      </w:r>
      <w:r>
        <w:rPr>
          <w:i/>
          <w:sz w:val="20"/>
        </w:rPr>
        <w:t xml:space="preserve">Voorrechten en hypotheken </w:t>
      </w:r>
      <w:r>
        <w:rPr>
          <w:sz w:val="20"/>
        </w:rPr>
        <w:t xml:space="preserve">2001, 5; </w:t>
      </w:r>
      <w:r>
        <w:rPr>
          <w:smallCaps/>
          <w:sz w:val="20"/>
          <w:lang w:val="nl-BE"/>
        </w:rPr>
        <w:t xml:space="preserve">E. Dirix, </w:t>
      </w:r>
      <w:r>
        <w:rPr>
          <w:sz w:val="20"/>
          <w:lang w:val="nl-BE"/>
        </w:rPr>
        <w:t xml:space="preserve">“Het passief van het faillissement”, in </w:t>
      </w:r>
      <w:r>
        <w:rPr>
          <w:i/>
          <w:sz w:val="20"/>
          <w:lang w:val="nl-BE"/>
        </w:rPr>
        <w:t xml:space="preserve">Faillissement en reorganisatie, </w:t>
      </w:r>
      <w:r w:rsidRPr="00AF04BB">
        <w:rPr>
          <w:sz w:val="20"/>
          <w:lang w:val="nl-BE"/>
        </w:rPr>
        <w:t>Mechelen</w:t>
      </w:r>
      <w:r>
        <w:rPr>
          <w:i/>
          <w:sz w:val="20"/>
          <w:lang w:val="nl-BE"/>
        </w:rPr>
        <w:t xml:space="preserve">, </w:t>
      </w:r>
      <w:r>
        <w:rPr>
          <w:sz w:val="20"/>
          <w:lang w:val="nl-BE"/>
        </w:rPr>
        <w:t xml:space="preserve">Kluwer 2001, 7; </w:t>
      </w:r>
      <w:r>
        <w:rPr>
          <w:smallCaps/>
          <w:sz w:val="20"/>
          <w:lang w:val="nl-BE"/>
        </w:rPr>
        <w:t xml:space="preserve">L. Lamine, </w:t>
      </w:r>
      <w:r>
        <w:rPr>
          <w:sz w:val="20"/>
          <w:lang w:val="nl-BE"/>
        </w:rPr>
        <w:t xml:space="preserve">“Artikel 2073 Burgerlijk Wetboek”, in X (ed.) </w:t>
      </w:r>
      <w:r>
        <w:rPr>
          <w:i/>
          <w:sz w:val="20"/>
          <w:lang w:val="nl-BE"/>
        </w:rPr>
        <w:t>Bijzondere overeenkomsten  Artikelsgewijze commentaar met overzicht van rechtspraak en rechtsleer</w:t>
      </w:r>
      <w:r>
        <w:rPr>
          <w:sz w:val="20"/>
          <w:lang w:val="nl-BE"/>
        </w:rPr>
        <w:t xml:space="preserve">, Mechelen, Kluwer 2001, 8; </w:t>
      </w:r>
      <w:r w:rsidRPr="00862B0F">
        <w:rPr>
          <w:smallCaps/>
          <w:sz w:val="20"/>
        </w:rPr>
        <w:t xml:space="preserve">R. Dekkers en E. Dirix, </w:t>
      </w:r>
      <w:r w:rsidRPr="00862B0F">
        <w:rPr>
          <w:i/>
          <w:sz w:val="20"/>
        </w:rPr>
        <w:t xml:space="preserve">Handboek Burgerlijk Recht – Deel II, </w:t>
      </w:r>
      <w:r w:rsidRPr="00862B0F">
        <w:rPr>
          <w:sz w:val="20"/>
        </w:rPr>
        <w:t xml:space="preserve">Antwerpen, Intersentia, 2005, </w:t>
      </w:r>
      <w:r w:rsidRPr="002E2164">
        <w:rPr>
          <w:sz w:val="20"/>
        </w:rPr>
        <w:t>369</w:t>
      </w:r>
      <w:r>
        <w:rPr>
          <w:sz w:val="20"/>
        </w:rPr>
        <w:t xml:space="preserve">; </w:t>
      </w:r>
      <w:r>
        <w:rPr>
          <w:smallCaps/>
          <w:sz w:val="20"/>
        </w:rPr>
        <w:t xml:space="preserve">R. Jansen, </w:t>
      </w:r>
      <w:r>
        <w:rPr>
          <w:i/>
          <w:sz w:val="20"/>
        </w:rPr>
        <w:t xml:space="preserve">Beschikkingsonbevoegdheid, </w:t>
      </w:r>
      <w:r>
        <w:rPr>
          <w:sz w:val="20"/>
        </w:rPr>
        <w:t xml:space="preserve">Antwerpen, Intersentia 2009, 13; </w:t>
      </w:r>
      <w:r>
        <w:rPr>
          <w:smallCaps/>
          <w:sz w:val="20"/>
        </w:rPr>
        <w:t xml:space="preserve">M. Storme, </w:t>
      </w:r>
      <w:r w:rsidRPr="009A6A5F">
        <w:rPr>
          <w:i/>
          <w:sz w:val="20"/>
        </w:rPr>
        <w:t xml:space="preserve">Handboek </w:t>
      </w:r>
      <w:r>
        <w:rPr>
          <w:i/>
          <w:sz w:val="20"/>
        </w:rPr>
        <w:t>Vermogensrecht: Goederen- en Insolventierecht</w:t>
      </w:r>
      <w:r>
        <w:rPr>
          <w:sz w:val="20"/>
        </w:rPr>
        <w:t xml:space="preserve"> </w:t>
      </w:r>
      <w:r>
        <w:rPr>
          <w:i/>
          <w:sz w:val="20"/>
        </w:rPr>
        <w:t xml:space="preserve">– Deel II, </w:t>
      </w:r>
      <w:r>
        <w:rPr>
          <w:sz w:val="20"/>
        </w:rPr>
        <w:t xml:space="preserve">Gent-Mariakerke 2010, 460. </w:t>
      </w:r>
      <w:r>
        <w:rPr>
          <w:sz w:val="20"/>
          <w:u w:val="single"/>
        </w:rPr>
        <w:t>Frankrijk:</w:t>
      </w:r>
      <w:r>
        <w:rPr>
          <w:sz w:val="20"/>
        </w:rPr>
        <w:t xml:space="preserve"> </w:t>
      </w:r>
      <w:r w:rsidRPr="007F29B2">
        <w:rPr>
          <w:smallCaps/>
          <w:sz w:val="20"/>
        </w:rPr>
        <w:t>P. Crocq</w:t>
      </w:r>
      <w:r>
        <w:rPr>
          <w:sz w:val="20"/>
        </w:rPr>
        <w:t xml:space="preserve">, “Gage”, </w:t>
      </w:r>
      <w:r>
        <w:rPr>
          <w:i/>
          <w:sz w:val="20"/>
        </w:rPr>
        <w:t xml:space="preserve">Répertoire de droit civil </w:t>
      </w:r>
      <w:r>
        <w:rPr>
          <w:sz w:val="20"/>
        </w:rPr>
        <w:t xml:space="preserve">2007, 3; </w:t>
      </w:r>
      <w:r w:rsidRPr="007620D5">
        <w:rPr>
          <w:smallCaps/>
          <w:sz w:val="20"/>
          <w:lang w:val="nl-BE"/>
        </w:rPr>
        <w:t xml:space="preserve">P. Crocq, </w:t>
      </w:r>
      <w:r w:rsidRPr="007620D5">
        <w:rPr>
          <w:sz w:val="20"/>
          <w:lang w:val="nl-BE"/>
        </w:rPr>
        <w:t xml:space="preserve">“La nullité relative du gage de la chose d'autrui”, </w:t>
      </w:r>
      <w:r w:rsidRPr="007620D5">
        <w:rPr>
          <w:i/>
          <w:sz w:val="20"/>
          <w:lang w:val="nl-BE"/>
        </w:rPr>
        <w:t xml:space="preserve">RTD Civil </w:t>
      </w:r>
      <w:r>
        <w:rPr>
          <w:sz w:val="20"/>
          <w:lang w:val="nl-BE"/>
        </w:rPr>
        <w:t xml:space="preserve">2008, 519; </w:t>
      </w:r>
      <w:r>
        <w:rPr>
          <w:smallCaps/>
          <w:sz w:val="20"/>
          <w:lang w:val="nl-BE"/>
        </w:rPr>
        <w:t xml:space="preserve">P. Simler, P. Delebecque, </w:t>
      </w:r>
      <w:r>
        <w:rPr>
          <w:i/>
          <w:sz w:val="20"/>
          <w:lang w:val="nl-BE"/>
        </w:rPr>
        <w:t xml:space="preserve">Les sûretés, la publicité foncière, </w:t>
      </w:r>
      <w:r>
        <w:rPr>
          <w:sz w:val="20"/>
          <w:lang w:val="nl-BE"/>
        </w:rPr>
        <w:t xml:space="preserve">Parijs, Dalloz 2009, 534; </w:t>
      </w:r>
      <w:r>
        <w:rPr>
          <w:smallCaps/>
          <w:sz w:val="20"/>
          <w:lang w:val="nl-BE"/>
        </w:rPr>
        <w:t xml:space="preserve">M. Cabrillac, C. Mouly, S. Cabrillac, P. Pétel, </w:t>
      </w:r>
      <w:r>
        <w:rPr>
          <w:i/>
          <w:sz w:val="20"/>
          <w:lang w:val="nl-BE"/>
        </w:rPr>
        <w:t xml:space="preserve">Droit des sûretés, </w:t>
      </w:r>
      <w:r>
        <w:rPr>
          <w:sz w:val="20"/>
          <w:lang w:val="nl-BE"/>
        </w:rPr>
        <w:t xml:space="preserve">Parijs, Litec 2010, 556; </w:t>
      </w:r>
      <w:r>
        <w:rPr>
          <w:smallCaps/>
          <w:sz w:val="20"/>
        </w:rPr>
        <w:t xml:space="preserve">D. Legeais, </w:t>
      </w:r>
      <w:r>
        <w:rPr>
          <w:i/>
          <w:sz w:val="20"/>
        </w:rPr>
        <w:t xml:space="preserve">Sûretés et garanties du crédit, </w:t>
      </w:r>
      <w:r>
        <w:rPr>
          <w:sz w:val="20"/>
        </w:rPr>
        <w:t>Parijs, LGDJ Lextenso éditions 2011, 402;</w:t>
      </w:r>
      <w:r>
        <w:rPr>
          <w:sz w:val="20"/>
          <w:lang w:val="nl-BE"/>
        </w:rPr>
        <w:t xml:space="preserve"> </w:t>
      </w:r>
      <w:r w:rsidRPr="00EA33F9">
        <w:rPr>
          <w:smallCaps/>
          <w:sz w:val="20"/>
          <w:lang w:val="nl-BE"/>
        </w:rPr>
        <w:t>Y. Picod</w:t>
      </w:r>
      <w:r w:rsidRPr="00EA33F9">
        <w:rPr>
          <w:sz w:val="20"/>
          <w:lang w:val="nl-BE"/>
        </w:rPr>
        <w:t xml:space="preserve">, </w:t>
      </w:r>
      <w:r w:rsidRPr="00EA33F9">
        <w:rPr>
          <w:i/>
          <w:sz w:val="20"/>
          <w:lang w:val="nl-BE"/>
        </w:rPr>
        <w:t xml:space="preserve">Droit des sûretés, </w:t>
      </w:r>
      <w:r w:rsidRPr="00EA33F9">
        <w:rPr>
          <w:sz w:val="20"/>
          <w:lang w:val="nl-BE"/>
        </w:rPr>
        <w:t>Parijs, Presses Universitaires franç</w:t>
      </w:r>
      <w:r>
        <w:rPr>
          <w:sz w:val="20"/>
          <w:lang w:val="nl-BE"/>
        </w:rPr>
        <w:t xml:space="preserve">aises 2011, </w:t>
      </w:r>
      <w:r w:rsidRPr="008055BA">
        <w:rPr>
          <w:sz w:val="20"/>
          <w:lang w:val="nl-BE"/>
        </w:rPr>
        <w:t>286</w:t>
      </w:r>
      <w:r>
        <w:rPr>
          <w:sz w:val="20"/>
          <w:lang w:val="nl-BE"/>
        </w:rPr>
        <w:t>;</w:t>
      </w:r>
      <w:r>
        <w:rPr>
          <w:sz w:val="20"/>
        </w:rPr>
        <w:t xml:space="preserve"> </w:t>
      </w:r>
      <w:r>
        <w:rPr>
          <w:smallCaps/>
          <w:sz w:val="20"/>
          <w:lang w:val="nl-BE"/>
        </w:rPr>
        <w:t xml:space="preserve">A. Reyfrobellet, C. Denizot, </w:t>
      </w:r>
      <w:r>
        <w:rPr>
          <w:sz w:val="20"/>
          <w:lang w:val="nl-BE"/>
        </w:rPr>
        <w:t xml:space="preserve">“Fonds de commerce”, </w:t>
      </w:r>
      <w:r>
        <w:rPr>
          <w:i/>
          <w:sz w:val="20"/>
          <w:lang w:val="nl-BE"/>
        </w:rPr>
        <w:t xml:space="preserve">Dalloz </w:t>
      </w:r>
      <w:r w:rsidRPr="002729FE">
        <w:rPr>
          <w:sz w:val="20"/>
          <w:lang w:val="nl-BE"/>
        </w:rPr>
        <w:t>2012-2013</w:t>
      </w:r>
      <w:r>
        <w:rPr>
          <w:sz w:val="20"/>
          <w:lang w:val="nl-BE"/>
        </w:rPr>
        <w:t>, 932-933.</w:t>
      </w:r>
    </w:p>
  </w:footnote>
  <w:footnote w:id="93">
    <w:p w14:paraId="38038379" w14:textId="77777777" w:rsidR="00C97F8C" w:rsidRPr="004D6D9A" w:rsidRDefault="00C97F8C" w:rsidP="00B768BB">
      <w:pPr>
        <w:pStyle w:val="Voetnoottekst"/>
        <w:rPr>
          <w:lang w:val="nl-BE"/>
        </w:rPr>
      </w:pPr>
      <w:r>
        <w:rPr>
          <w:rStyle w:val="Voetnootmarkering"/>
        </w:rPr>
        <w:footnoteRef/>
      </w:r>
      <w:r>
        <w:t xml:space="preserve"> </w:t>
      </w:r>
      <w:r w:rsidRPr="00862B0F">
        <w:rPr>
          <w:smallCaps/>
          <w:sz w:val="20"/>
        </w:rPr>
        <w:t xml:space="preserve">H. De Page, </w:t>
      </w:r>
      <w:r w:rsidRPr="00862B0F">
        <w:rPr>
          <w:i/>
          <w:sz w:val="20"/>
        </w:rPr>
        <w:t xml:space="preserve">Traité elementaire de droit civil Belge – VI- Les biens, Les sûretés, </w:t>
      </w:r>
      <w:r>
        <w:rPr>
          <w:sz w:val="20"/>
        </w:rPr>
        <w:t>Bruylant, Brussel, 1953, 1013.</w:t>
      </w:r>
    </w:p>
  </w:footnote>
  <w:footnote w:id="94">
    <w:p w14:paraId="5E2A4DA6" w14:textId="77777777" w:rsidR="00C97F8C" w:rsidRPr="00481EC6" w:rsidRDefault="00C97F8C" w:rsidP="00B768BB">
      <w:pPr>
        <w:pStyle w:val="Voetnoottekst"/>
        <w:rPr>
          <w:lang w:val="nl-BE"/>
        </w:rPr>
      </w:pPr>
      <w:r>
        <w:rPr>
          <w:rStyle w:val="Voetnootmarkering"/>
        </w:rPr>
        <w:footnoteRef/>
      </w:r>
      <w:r>
        <w:t xml:space="preserve"> </w:t>
      </w:r>
      <w:r w:rsidRPr="00481EC6">
        <w:rPr>
          <w:smallCaps/>
          <w:sz w:val="20"/>
          <w:lang w:val="nl-BE"/>
        </w:rPr>
        <w:t xml:space="preserve">Asser, Mijnssen, De Haan, </w:t>
      </w:r>
      <w:r w:rsidRPr="00481EC6">
        <w:rPr>
          <w:i/>
          <w:sz w:val="20"/>
          <w:lang w:val="nl-BE"/>
        </w:rPr>
        <w:t xml:space="preserve">Goederenrecht, </w:t>
      </w:r>
      <w:r w:rsidRPr="00481EC6">
        <w:rPr>
          <w:sz w:val="20"/>
          <w:lang w:val="nl-BE"/>
        </w:rPr>
        <w:t xml:space="preserve">Deventer, W.E.J. Tjeenk Willink 2001, 216; </w:t>
      </w:r>
      <w:r w:rsidRPr="00481EC6">
        <w:rPr>
          <w:smallCaps/>
          <w:sz w:val="20"/>
          <w:lang w:val="nl-BE"/>
        </w:rPr>
        <w:t xml:space="preserve">Pitlo, Reehuis, Heisterkamp, </w:t>
      </w:r>
      <w:r w:rsidRPr="00481EC6">
        <w:rPr>
          <w:i/>
          <w:sz w:val="20"/>
          <w:lang w:val="nl-BE"/>
        </w:rPr>
        <w:t xml:space="preserve">Goederenrecht, </w:t>
      </w:r>
      <w:r w:rsidRPr="00481EC6">
        <w:rPr>
          <w:sz w:val="20"/>
          <w:lang w:val="nl-BE"/>
        </w:rPr>
        <w:t>Deventer, Kluwer 2006, 117.</w:t>
      </w:r>
    </w:p>
  </w:footnote>
  <w:footnote w:id="95">
    <w:p w14:paraId="17F1D504" w14:textId="2BCCEABF" w:rsidR="00C97F8C" w:rsidRPr="00AD15B0" w:rsidRDefault="00C97F8C" w:rsidP="00B768BB">
      <w:pPr>
        <w:pStyle w:val="Voetnoottekst"/>
        <w:rPr>
          <w:sz w:val="20"/>
          <w:lang w:val="nl-BE"/>
        </w:rPr>
      </w:pPr>
      <w:r>
        <w:rPr>
          <w:rStyle w:val="Voetnootmarkering"/>
        </w:rPr>
        <w:footnoteRef/>
      </w:r>
      <w:r>
        <w:t xml:space="preserve"> </w:t>
      </w:r>
      <w:r w:rsidRPr="00AD15B0">
        <w:rPr>
          <w:smallCaps/>
          <w:sz w:val="20"/>
        </w:rPr>
        <w:t xml:space="preserve">J. De Coninck, </w:t>
      </w:r>
      <w:r w:rsidRPr="00AD15B0">
        <w:rPr>
          <w:i/>
          <w:sz w:val="20"/>
        </w:rPr>
        <w:t xml:space="preserve">De voorwaarde in het contractenrecht, </w:t>
      </w:r>
      <w:r w:rsidRPr="00AD15B0">
        <w:rPr>
          <w:sz w:val="20"/>
        </w:rPr>
        <w:t xml:space="preserve">Brugge, Die Keure 2007, 419; </w:t>
      </w:r>
      <w:r w:rsidRPr="00AD15B0">
        <w:rPr>
          <w:smallCaps/>
          <w:sz w:val="20"/>
        </w:rPr>
        <w:t xml:space="preserve">R. Jansen, </w:t>
      </w:r>
      <w:r w:rsidRPr="00AD15B0">
        <w:rPr>
          <w:i/>
          <w:sz w:val="20"/>
        </w:rPr>
        <w:t xml:space="preserve">Beschikkingsonbevoegdheid, </w:t>
      </w:r>
      <w:r>
        <w:rPr>
          <w:sz w:val="20"/>
        </w:rPr>
        <w:t>Ant</w:t>
      </w:r>
      <w:r w:rsidRPr="00AD15B0">
        <w:rPr>
          <w:sz w:val="20"/>
        </w:rPr>
        <w:t xml:space="preserve">werpen, Intersentia 2009, 19-20. </w:t>
      </w:r>
      <w:r w:rsidRPr="00AD15B0">
        <w:rPr>
          <w:sz w:val="20"/>
          <w:u w:val="single"/>
        </w:rPr>
        <w:t>Nederland:</w:t>
      </w:r>
      <w:r w:rsidRPr="00AD15B0">
        <w:rPr>
          <w:sz w:val="20"/>
        </w:rPr>
        <w:t xml:space="preserve"> </w:t>
      </w:r>
      <w:r w:rsidRPr="00AD15B0">
        <w:rPr>
          <w:smallCaps/>
          <w:sz w:val="20"/>
          <w:lang w:val="nl-BE"/>
        </w:rPr>
        <w:t xml:space="preserve">W.H.M. Reehuis </w:t>
      </w:r>
      <w:r w:rsidRPr="00AD15B0">
        <w:rPr>
          <w:sz w:val="20"/>
          <w:lang w:val="nl-BE"/>
        </w:rPr>
        <w:t xml:space="preserve">en A.H.T. </w:t>
      </w:r>
      <w:r w:rsidRPr="00AD15B0">
        <w:rPr>
          <w:smallCaps/>
          <w:sz w:val="20"/>
          <w:lang w:val="nl-BE"/>
        </w:rPr>
        <w:t xml:space="preserve">Heisterkamp, </w:t>
      </w:r>
      <w:r w:rsidRPr="00AD15B0">
        <w:rPr>
          <w:i/>
          <w:sz w:val="20"/>
          <w:lang w:val="nl-BE"/>
        </w:rPr>
        <w:t xml:space="preserve">Goederenrecht, </w:t>
      </w:r>
      <w:r w:rsidRPr="00AD15B0">
        <w:rPr>
          <w:sz w:val="20"/>
          <w:lang w:val="nl-BE"/>
        </w:rPr>
        <w:t>Deventer, Kluwer 2006, 87.</w:t>
      </w:r>
    </w:p>
  </w:footnote>
  <w:footnote w:id="96">
    <w:p w14:paraId="3385A9A9" w14:textId="0DBBFCE8" w:rsidR="00C97F8C" w:rsidRPr="00862B0F" w:rsidRDefault="00C97F8C" w:rsidP="00B768BB">
      <w:pPr>
        <w:pStyle w:val="Voetnoottekst"/>
        <w:rPr>
          <w:sz w:val="20"/>
        </w:rPr>
      </w:pPr>
      <w:r w:rsidRPr="00862B0F">
        <w:rPr>
          <w:rStyle w:val="Voetnootmarkering"/>
          <w:sz w:val="20"/>
        </w:rPr>
        <w:footnoteRef/>
      </w:r>
      <w:r>
        <w:rPr>
          <w:sz w:val="20"/>
        </w:rPr>
        <w:t xml:space="preserve"> </w:t>
      </w:r>
      <w:r w:rsidRPr="00862B0F">
        <w:rPr>
          <w:sz w:val="20"/>
        </w:rPr>
        <w:t xml:space="preserve">Cass. 12 februari 2004, </w:t>
      </w:r>
      <w:r w:rsidRPr="00862B0F">
        <w:rPr>
          <w:i/>
          <w:sz w:val="20"/>
        </w:rPr>
        <w:t xml:space="preserve">RW </w:t>
      </w:r>
      <w:r w:rsidRPr="00862B0F">
        <w:rPr>
          <w:sz w:val="20"/>
        </w:rPr>
        <w:t xml:space="preserve">2004-05, 1179, noot M. </w:t>
      </w:r>
      <w:r>
        <w:rPr>
          <w:smallCaps/>
          <w:sz w:val="20"/>
        </w:rPr>
        <w:t xml:space="preserve">Storme; E. Dirix, </w:t>
      </w:r>
      <w:r>
        <w:rPr>
          <w:sz w:val="20"/>
        </w:rPr>
        <w:t xml:space="preserve">“Het vuistpand”, </w:t>
      </w:r>
      <w:r>
        <w:rPr>
          <w:i/>
          <w:sz w:val="20"/>
        </w:rPr>
        <w:t xml:space="preserve">Voorrechten en hypotheken </w:t>
      </w:r>
      <w:r>
        <w:rPr>
          <w:sz w:val="20"/>
        </w:rPr>
        <w:t>2001, 50;</w:t>
      </w:r>
      <w:r>
        <w:rPr>
          <w:smallCaps/>
          <w:sz w:val="20"/>
        </w:rPr>
        <w:t xml:space="preserve"> </w:t>
      </w:r>
      <w:r w:rsidRPr="00862B0F">
        <w:rPr>
          <w:smallCaps/>
          <w:sz w:val="20"/>
        </w:rPr>
        <w:t xml:space="preserve">E. Hellebuyck, </w:t>
      </w:r>
      <w:r w:rsidRPr="00862B0F">
        <w:rPr>
          <w:sz w:val="20"/>
        </w:rPr>
        <w:t xml:space="preserve">“Commentaar bij artikel 6 Pandwet”, </w:t>
      </w:r>
      <w:r w:rsidRPr="00862B0F">
        <w:rPr>
          <w:i/>
          <w:sz w:val="20"/>
        </w:rPr>
        <w:t xml:space="preserve">Voorrechten en hypotheken OVH </w:t>
      </w:r>
      <w:r w:rsidRPr="00862B0F">
        <w:rPr>
          <w:sz w:val="20"/>
        </w:rPr>
        <w:t>2015, 8</w:t>
      </w:r>
      <w:r>
        <w:rPr>
          <w:sz w:val="20"/>
        </w:rPr>
        <w:t>.</w:t>
      </w:r>
    </w:p>
  </w:footnote>
  <w:footnote w:id="97">
    <w:p w14:paraId="0F08666E" w14:textId="58A491BF" w:rsidR="00C97F8C" w:rsidRPr="00F84576" w:rsidRDefault="00C97F8C">
      <w:pPr>
        <w:pStyle w:val="Voetnoottekst"/>
        <w:rPr>
          <w:lang w:val="nl-BE"/>
        </w:rPr>
      </w:pPr>
      <w:r>
        <w:rPr>
          <w:rStyle w:val="Voetnootmarkering"/>
        </w:rPr>
        <w:footnoteRef/>
      </w:r>
      <w:r>
        <w:t xml:space="preserve"> </w:t>
      </w:r>
      <w:r w:rsidRPr="00862B0F">
        <w:rPr>
          <w:sz w:val="20"/>
        </w:rPr>
        <w:t xml:space="preserve">Artikel 2340, eerste lid Code Civil; </w:t>
      </w:r>
      <w:r w:rsidRPr="00862B0F">
        <w:rPr>
          <w:smallCaps/>
          <w:sz w:val="20"/>
        </w:rPr>
        <w:t xml:space="preserve">L. </w:t>
      </w:r>
      <w:proofErr w:type="spellStart"/>
      <w:r w:rsidRPr="00862B0F">
        <w:rPr>
          <w:smallCaps/>
          <w:sz w:val="20"/>
        </w:rPr>
        <w:t>Aynès</w:t>
      </w:r>
      <w:proofErr w:type="spellEnd"/>
      <w:r w:rsidRPr="00862B0F">
        <w:rPr>
          <w:smallCaps/>
          <w:sz w:val="20"/>
        </w:rPr>
        <w:t xml:space="preserve"> </w:t>
      </w:r>
      <w:r w:rsidRPr="00194F6E">
        <w:rPr>
          <w:sz w:val="20"/>
        </w:rPr>
        <w:t>en</w:t>
      </w:r>
      <w:r>
        <w:rPr>
          <w:smallCaps/>
          <w:sz w:val="20"/>
        </w:rPr>
        <w:t xml:space="preserve"> P. Cro</w:t>
      </w:r>
      <w:r w:rsidRPr="00862B0F">
        <w:rPr>
          <w:smallCaps/>
          <w:sz w:val="20"/>
        </w:rPr>
        <w:t>c</w:t>
      </w:r>
      <w:r>
        <w:rPr>
          <w:smallCaps/>
          <w:sz w:val="20"/>
        </w:rPr>
        <w:t>q</w:t>
      </w:r>
      <w:r w:rsidRPr="00862B0F">
        <w:rPr>
          <w:smallCaps/>
          <w:sz w:val="20"/>
        </w:rPr>
        <w:t xml:space="preserve">, </w:t>
      </w:r>
      <w:r w:rsidRPr="00862B0F">
        <w:rPr>
          <w:sz w:val="20"/>
        </w:rPr>
        <w:t>Les sûretés. La publicité foncière, Parijs, Defrénois 2008, 225-226</w:t>
      </w:r>
    </w:p>
  </w:footnote>
  <w:footnote w:id="98">
    <w:p w14:paraId="29CA7C82" w14:textId="77777777" w:rsidR="00C97F8C" w:rsidRPr="00202E59" w:rsidRDefault="00C97F8C" w:rsidP="00B768BB">
      <w:pPr>
        <w:pStyle w:val="Voetnoottekst"/>
        <w:rPr>
          <w:lang w:val="nl-BE"/>
        </w:rPr>
      </w:pPr>
      <w:r>
        <w:rPr>
          <w:rStyle w:val="Voetnootmarkering"/>
        </w:rPr>
        <w:footnoteRef/>
      </w:r>
      <w:r>
        <w:t xml:space="preserve"> </w:t>
      </w:r>
      <w:r w:rsidRPr="006D0A31">
        <w:rPr>
          <w:smallCaps/>
          <w:sz w:val="20"/>
          <w:lang w:val="nl-BE"/>
        </w:rPr>
        <w:t>M.e. Storme, “</w:t>
      </w:r>
      <w:r w:rsidRPr="006D0A31">
        <w:rPr>
          <w:sz w:val="20"/>
          <w:lang w:val="nl-BE"/>
        </w:rPr>
        <w:t xml:space="preserve">Actualia roerende zekerheden”, </w:t>
      </w:r>
      <w:r w:rsidRPr="006D0A31">
        <w:rPr>
          <w:i/>
          <w:sz w:val="20"/>
          <w:lang w:val="nl-BE"/>
        </w:rPr>
        <w:t>Themis 2012</w:t>
      </w:r>
      <w:r w:rsidRPr="006D0A31">
        <w:rPr>
          <w:sz w:val="20"/>
          <w:lang w:val="nl-BE"/>
        </w:rPr>
        <w:t>, Die Keure, Brussel 2015, 1</w:t>
      </w:r>
      <w:r>
        <w:rPr>
          <w:sz w:val="20"/>
          <w:lang w:val="nl-BE"/>
        </w:rPr>
        <w:t>18.</w:t>
      </w:r>
    </w:p>
  </w:footnote>
  <w:footnote w:id="99">
    <w:p w14:paraId="58173EF9" w14:textId="30EAE208" w:rsidR="00C97F8C" w:rsidRPr="004B7F06" w:rsidRDefault="00C97F8C" w:rsidP="00B768BB">
      <w:pPr>
        <w:pStyle w:val="Voetnoottekst"/>
        <w:rPr>
          <w:lang w:val="nl-BE"/>
        </w:rPr>
      </w:pPr>
      <w:r>
        <w:rPr>
          <w:rStyle w:val="Voetnootmarkering"/>
        </w:rPr>
        <w:footnoteRef/>
      </w:r>
      <w:r w:rsidRPr="006460FD">
        <w:rPr>
          <w:sz w:val="20"/>
          <w:lang w:val="en-GB"/>
        </w:rPr>
        <w:t xml:space="preserve"> Cass. 17 oktober 1984, </w:t>
      </w:r>
      <w:r w:rsidRPr="006460FD">
        <w:rPr>
          <w:i/>
          <w:sz w:val="20"/>
          <w:lang w:val="en-GB"/>
        </w:rPr>
        <w:t xml:space="preserve">Arr. Cass. </w:t>
      </w:r>
      <w:r w:rsidRPr="006460FD">
        <w:rPr>
          <w:sz w:val="20"/>
          <w:lang w:val="en-GB"/>
        </w:rPr>
        <w:t xml:space="preserve">1984-85, 280; Cass. 21 maart 2003, </w:t>
      </w:r>
      <w:r w:rsidRPr="006460FD">
        <w:rPr>
          <w:i/>
          <w:sz w:val="20"/>
          <w:lang w:val="en-GB"/>
        </w:rPr>
        <w:t xml:space="preserve">Arr. Cass. </w:t>
      </w:r>
      <w:r w:rsidRPr="006460FD">
        <w:rPr>
          <w:sz w:val="20"/>
          <w:lang w:val="en-GB"/>
        </w:rPr>
        <w:t xml:space="preserve">2003, 721; Cass. 12 februari 2004, </w:t>
      </w:r>
      <w:r w:rsidRPr="006460FD">
        <w:rPr>
          <w:i/>
          <w:sz w:val="20"/>
          <w:lang w:val="en-GB"/>
        </w:rPr>
        <w:t xml:space="preserve">Arr. Cass. </w:t>
      </w:r>
      <w:r w:rsidRPr="006460FD">
        <w:rPr>
          <w:sz w:val="20"/>
          <w:lang w:val="en-GB"/>
        </w:rPr>
        <w:t xml:space="preserve">2004, 256; Cass. 10 oktober 2007, </w:t>
      </w:r>
      <w:r w:rsidRPr="006460FD">
        <w:rPr>
          <w:i/>
          <w:sz w:val="20"/>
          <w:lang w:val="en-GB"/>
        </w:rPr>
        <w:t xml:space="preserve">Arr. Cass. 2007, </w:t>
      </w:r>
      <w:r w:rsidRPr="006460FD">
        <w:rPr>
          <w:sz w:val="20"/>
          <w:lang w:val="en-GB"/>
        </w:rPr>
        <w:t xml:space="preserve">1890; Cass. 26 november 2010, </w:t>
      </w:r>
      <w:r w:rsidRPr="006460FD">
        <w:rPr>
          <w:i/>
          <w:sz w:val="20"/>
          <w:lang w:val="en-GB"/>
        </w:rPr>
        <w:t xml:space="preserve">RW </w:t>
      </w:r>
      <w:r w:rsidRPr="006460FD">
        <w:rPr>
          <w:sz w:val="20"/>
          <w:lang w:val="en-GB"/>
        </w:rPr>
        <w:t xml:space="preserve">2010-11, 1227; Cass. 29 september 2015, </w:t>
      </w:r>
      <w:hyperlink r:id="rId1" w:history="1">
        <w:r w:rsidRPr="006460FD">
          <w:rPr>
            <w:rStyle w:val="Hyperlink"/>
            <w:sz w:val="20"/>
            <w:lang w:val="en-GB"/>
          </w:rPr>
          <w:t>www.cass.be</w:t>
        </w:r>
      </w:hyperlink>
      <w:r w:rsidRPr="006460FD">
        <w:rPr>
          <w:sz w:val="20"/>
          <w:lang w:val="en-GB"/>
        </w:rPr>
        <w:t xml:space="preserve">; Gent 25 april 1936, </w:t>
      </w:r>
      <w:r w:rsidRPr="006460FD">
        <w:rPr>
          <w:i/>
          <w:sz w:val="20"/>
          <w:lang w:val="en-GB"/>
        </w:rPr>
        <w:t xml:space="preserve">Res. Jur. Imm. </w:t>
      </w:r>
      <w:r w:rsidRPr="006460FD">
        <w:rPr>
          <w:sz w:val="20"/>
          <w:lang w:val="en-GB"/>
        </w:rPr>
        <w:t xml:space="preserve">936, 14, noot </w:t>
      </w:r>
      <w:r w:rsidRPr="006460FD">
        <w:rPr>
          <w:smallCaps/>
          <w:sz w:val="20"/>
          <w:lang w:val="en-GB"/>
        </w:rPr>
        <w:t xml:space="preserve">E.V.; </w:t>
      </w:r>
      <w:r w:rsidRPr="006460FD">
        <w:rPr>
          <w:sz w:val="20"/>
          <w:lang w:val="en-GB"/>
        </w:rPr>
        <w:t xml:space="preserve">Brussel 24 januari 1953, </w:t>
      </w:r>
      <w:r w:rsidRPr="006460FD">
        <w:rPr>
          <w:i/>
          <w:sz w:val="20"/>
          <w:lang w:val="en-GB"/>
        </w:rPr>
        <w:t xml:space="preserve">JT </w:t>
      </w:r>
      <w:r w:rsidRPr="006460FD">
        <w:rPr>
          <w:sz w:val="20"/>
          <w:lang w:val="en-GB"/>
        </w:rPr>
        <w:t xml:space="preserve">1953, 452; Brussel 30 april 2001 </w:t>
      </w:r>
      <w:r w:rsidRPr="006460FD">
        <w:rPr>
          <w:i/>
          <w:sz w:val="20"/>
          <w:lang w:val="en-GB"/>
        </w:rPr>
        <w:t xml:space="preserve">RW </w:t>
      </w:r>
      <w:r w:rsidRPr="006460FD">
        <w:rPr>
          <w:sz w:val="20"/>
          <w:lang w:val="en-GB"/>
        </w:rPr>
        <w:t>2002-03, 626</w:t>
      </w:r>
      <w:r w:rsidRPr="006460FD">
        <w:rPr>
          <w:smallCaps/>
          <w:sz w:val="20"/>
          <w:lang w:val="en-GB"/>
        </w:rPr>
        <w:t xml:space="preserve">; </w:t>
      </w:r>
      <w:r w:rsidRPr="006460FD">
        <w:rPr>
          <w:sz w:val="20"/>
          <w:lang w:val="en-GB"/>
        </w:rPr>
        <w:t xml:space="preserve">Kh. </w:t>
      </w:r>
      <w:r>
        <w:rPr>
          <w:sz w:val="20"/>
        </w:rPr>
        <w:t xml:space="preserve">Ieper 1 maart 2001, </w:t>
      </w:r>
      <w:r w:rsidRPr="009E6A5B">
        <w:rPr>
          <w:i/>
          <w:sz w:val="20"/>
        </w:rPr>
        <w:t>TGR-TWVR</w:t>
      </w:r>
      <w:r w:rsidRPr="009E6A5B">
        <w:rPr>
          <w:i/>
          <w:smallCaps/>
          <w:sz w:val="20"/>
        </w:rPr>
        <w:t>F</w:t>
      </w:r>
      <w:r>
        <w:rPr>
          <w:smallCaps/>
          <w:sz w:val="20"/>
        </w:rPr>
        <w:t xml:space="preserve"> 2012, 121; F. Laurent, </w:t>
      </w:r>
      <w:r>
        <w:rPr>
          <w:i/>
          <w:sz w:val="20"/>
        </w:rPr>
        <w:t xml:space="preserve">Principes </w:t>
      </w:r>
      <w:r w:rsidRPr="008346B3">
        <w:rPr>
          <w:i/>
          <w:sz w:val="20"/>
        </w:rPr>
        <w:t>XXXII</w:t>
      </w:r>
      <w:r>
        <w:rPr>
          <w:sz w:val="20"/>
        </w:rPr>
        <w:t xml:space="preserve">, 1887, 593; </w:t>
      </w:r>
      <w:r>
        <w:rPr>
          <w:smallCaps/>
          <w:sz w:val="20"/>
        </w:rPr>
        <w:t xml:space="preserve">H. De Page, </w:t>
      </w:r>
      <w:r>
        <w:rPr>
          <w:i/>
          <w:sz w:val="20"/>
        </w:rPr>
        <w:t xml:space="preserve">Traité, </w:t>
      </w:r>
      <w:r>
        <w:rPr>
          <w:sz w:val="20"/>
        </w:rPr>
        <w:t xml:space="preserve">1975, 938; </w:t>
      </w:r>
      <w:r>
        <w:rPr>
          <w:smallCaps/>
          <w:sz w:val="20"/>
          <w:lang w:val="nl-BE"/>
        </w:rPr>
        <w:t xml:space="preserve">A.-M. Strannart, </w:t>
      </w:r>
      <w:r>
        <w:rPr>
          <w:sz w:val="20"/>
          <w:lang w:val="nl-BE"/>
        </w:rPr>
        <w:t xml:space="preserve">“Les sûretés réelles traditionelles – Développements récents”, in </w:t>
      </w:r>
      <w:r>
        <w:rPr>
          <w:smallCaps/>
          <w:sz w:val="20"/>
          <w:lang w:val="nl-BE"/>
        </w:rPr>
        <w:t xml:space="preserve">A.-M. strannarts </w:t>
      </w:r>
      <w:r>
        <w:rPr>
          <w:sz w:val="20"/>
          <w:lang w:val="nl-BE"/>
        </w:rPr>
        <w:t xml:space="preserve">(ed.), </w:t>
      </w:r>
      <w:r>
        <w:rPr>
          <w:i/>
          <w:sz w:val="20"/>
          <w:lang w:val="nl-BE"/>
        </w:rPr>
        <w:t xml:space="preserve">Le droit des sûretés, </w:t>
      </w:r>
      <w:r>
        <w:rPr>
          <w:sz w:val="20"/>
          <w:lang w:val="nl-BE"/>
        </w:rPr>
        <w:t>Brussel, Editions Jeune Barreau, 78;</w:t>
      </w:r>
      <w:r>
        <w:rPr>
          <w:sz w:val="20"/>
        </w:rPr>
        <w:t xml:space="preserve"> </w:t>
      </w:r>
      <w:r>
        <w:rPr>
          <w:smallCaps/>
          <w:sz w:val="20"/>
        </w:rPr>
        <w:t xml:space="preserve">E. Dirix, </w:t>
      </w:r>
      <w:r>
        <w:rPr>
          <w:sz w:val="20"/>
        </w:rPr>
        <w:t xml:space="preserve">“Het vuistpand”, </w:t>
      </w:r>
      <w:r>
        <w:rPr>
          <w:i/>
          <w:sz w:val="20"/>
        </w:rPr>
        <w:t xml:space="preserve">Voorrechten en hypotheken </w:t>
      </w:r>
      <w:r>
        <w:rPr>
          <w:sz w:val="20"/>
        </w:rPr>
        <w:t>2001, 5;</w:t>
      </w:r>
      <w:r>
        <w:rPr>
          <w:sz w:val="20"/>
          <w:lang w:val="nl-BE"/>
        </w:rPr>
        <w:t xml:space="preserve"> </w:t>
      </w:r>
      <w:r>
        <w:rPr>
          <w:smallCaps/>
          <w:sz w:val="20"/>
          <w:lang w:val="nl-BE"/>
        </w:rPr>
        <w:t xml:space="preserve">E. Dirix, </w:t>
      </w:r>
      <w:r>
        <w:rPr>
          <w:sz w:val="20"/>
          <w:lang w:val="nl-BE"/>
        </w:rPr>
        <w:t xml:space="preserve">“Het passief van het faillissement”, in </w:t>
      </w:r>
      <w:r>
        <w:rPr>
          <w:i/>
          <w:sz w:val="20"/>
          <w:lang w:val="nl-BE"/>
        </w:rPr>
        <w:t xml:space="preserve">Faillissement en reorganisatie, </w:t>
      </w:r>
      <w:r w:rsidRPr="00AF04BB">
        <w:rPr>
          <w:sz w:val="20"/>
          <w:lang w:val="nl-BE"/>
        </w:rPr>
        <w:t>Mechelen</w:t>
      </w:r>
      <w:r>
        <w:rPr>
          <w:i/>
          <w:sz w:val="20"/>
          <w:lang w:val="nl-BE"/>
        </w:rPr>
        <w:t xml:space="preserve">, </w:t>
      </w:r>
      <w:r>
        <w:rPr>
          <w:sz w:val="20"/>
          <w:lang w:val="nl-BE"/>
        </w:rPr>
        <w:t xml:space="preserve">Kluwer, 7; </w:t>
      </w:r>
      <w:r w:rsidRPr="00862B0F">
        <w:rPr>
          <w:smallCaps/>
          <w:sz w:val="20"/>
        </w:rPr>
        <w:t xml:space="preserve">R. Dekkers en E. Dirix, </w:t>
      </w:r>
      <w:r w:rsidRPr="00862B0F">
        <w:rPr>
          <w:i/>
          <w:sz w:val="20"/>
        </w:rPr>
        <w:t xml:space="preserve">Handboek Burgerlijk Recht – Deel II, </w:t>
      </w:r>
      <w:r w:rsidRPr="00862B0F">
        <w:rPr>
          <w:sz w:val="20"/>
        </w:rPr>
        <w:t>Antwerpe</w:t>
      </w:r>
      <w:r>
        <w:rPr>
          <w:sz w:val="20"/>
        </w:rPr>
        <w:t>n, Intersentia, 2005, 103;</w:t>
      </w:r>
      <w:r>
        <w:rPr>
          <w:sz w:val="20"/>
          <w:lang w:val="nl-BE"/>
        </w:rPr>
        <w:t xml:space="preserve"> </w:t>
      </w:r>
      <w:r w:rsidRPr="00D03752">
        <w:rPr>
          <w:smallCaps/>
          <w:sz w:val="20"/>
          <w:lang w:val="nl-BE"/>
        </w:rPr>
        <w:t>J. Van Kokelenberg, V. Sagaert, T Van Sinay en R. Jansen, “</w:t>
      </w:r>
      <w:r w:rsidRPr="00D03752">
        <w:rPr>
          <w:sz w:val="20"/>
          <w:lang w:val="nl-BE"/>
        </w:rPr>
        <w:t xml:space="preserve">Zakenrecht – overzicht van rechtspraak (2000-2008)”, </w:t>
      </w:r>
      <w:r w:rsidRPr="00D03752">
        <w:rPr>
          <w:i/>
          <w:sz w:val="20"/>
          <w:lang w:val="nl-BE"/>
        </w:rPr>
        <w:t xml:space="preserve">TPR </w:t>
      </w:r>
      <w:r w:rsidRPr="00D03752">
        <w:rPr>
          <w:sz w:val="20"/>
          <w:lang w:val="nl-BE"/>
        </w:rPr>
        <w:t xml:space="preserve"> 2009, 1690</w:t>
      </w:r>
      <w:r>
        <w:rPr>
          <w:sz w:val="20"/>
          <w:lang w:val="nl-BE"/>
        </w:rPr>
        <w:t xml:space="preserve">; </w:t>
      </w:r>
      <w:r w:rsidRPr="00862B0F">
        <w:rPr>
          <w:smallCaps/>
          <w:sz w:val="20"/>
        </w:rPr>
        <w:t xml:space="preserve">R. Dekkers en E. Dirix, </w:t>
      </w:r>
      <w:r w:rsidRPr="00862B0F">
        <w:rPr>
          <w:i/>
          <w:sz w:val="20"/>
        </w:rPr>
        <w:t xml:space="preserve">Handboek Burgerlijk Recht – Deel II, </w:t>
      </w:r>
      <w:r w:rsidRPr="00862B0F">
        <w:rPr>
          <w:sz w:val="20"/>
        </w:rPr>
        <w:t xml:space="preserve">Antwerpen, Intersentia, 2005, </w:t>
      </w:r>
      <w:r>
        <w:rPr>
          <w:sz w:val="20"/>
        </w:rPr>
        <w:t xml:space="preserve">369; </w:t>
      </w:r>
      <w:r w:rsidRPr="00BE041A">
        <w:rPr>
          <w:smallCaps/>
          <w:sz w:val="20"/>
          <w:lang w:val="nl-BE"/>
        </w:rPr>
        <w:t xml:space="preserve">S. Boufflette, </w:t>
      </w:r>
      <w:r w:rsidRPr="00BE041A">
        <w:rPr>
          <w:i/>
          <w:sz w:val="20"/>
          <w:lang w:val="nl-BE"/>
        </w:rPr>
        <w:t>La Possession,</w:t>
      </w:r>
      <w:r w:rsidRPr="00BE041A">
        <w:rPr>
          <w:sz w:val="20"/>
          <w:lang w:val="nl-BE"/>
        </w:rPr>
        <w:t xml:space="preserve"> Brussel</w:t>
      </w:r>
      <w:r w:rsidRPr="00BE041A">
        <w:rPr>
          <w:i/>
          <w:sz w:val="20"/>
          <w:lang w:val="nl-BE"/>
        </w:rPr>
        <w:t xml:space="preserve"> </w:t>
      </w:r>
      <w:r w:rsidRPr="00BE041A">
        <w:rPr>
          <w:sz w:val="20"/>
          <w:lang w:val="nl-BE"/>
        </w:rPr>
        <w:t>Larcier 2010, 12</w:t>
      </w:r>
      <w:r>
        <w:rPr>
          <w:sz w:val="20"/>
          <w:lang w:val="nl-BE"/>
        </w:rPr>
        <w:t>6</w:t>
      </w:r>
      <w:r>
        <w:rPr>
          <w:smallCaps/>
          <w:sz w:val="20"/>
        </w:rPr>
        <w:t xml:space="preserve">; </w:t>
      </w:r>
      <w:r>
        <w:rPr>
          <w:sz w:val="20"/>
        </w:rPr>
        <w:t>J.</w:t>
      </w:r>
      <w:r w:rsidRPr="00862B0F">
        <w:rPr>
          <w:smallCaps/>
          <w:sz w:val="20"/>
        </w:rPr>
        <w:t xml:space="preserve"> Del Corral, </w:t>
      </w:r>
      <w:r w:rsidRPr="00862B0F">
        <w:rPr>
          <w:i/>
          <w:sz w:val="20"/>
        </w:rPr>
        <w:t>De leveringsplicht bij de overdracht van roerende lichamelijke goederen</w:t>
      </w:r>
      <w:r w:rsidRPr="00862B0F">
        <w:rPr>
          <w:sz w:val="20"/>
        </w:rPr>
        <w:t xml:space="preserve">, </w:t>
      </w:r>
      <w:r>
        <w:rPr>
          <w:sz w:val="20"/>
        </w:rPr>
        <w:t>Antwerpen, Intersentia, 2013, 438.</w:t>
      </w:r>
    </w:p>
  </w:footnote>
  <w:footnote w:id="100">
    <w:p w14:paraId="0ED7B5B2" w14:textId="77777777" w:rsidR="00C97F8C" w:rsidRPr="00565FDA" w:rsidRDefault="00C97F8C" w:rsidP="00B768BB">
      <w:pPr>
        <w:rPr>
          <w:smallCaps/>
          <w:sz w:val="20"/>
          <w:szCs w:val="20"/>
        </w:rPr>
      </w:pPr>
      <w:r w:rsidRPr="00862B0F">
        <w:rPr>
          <w:rStyle w:val="Voetnootmarkering"/>
          <w:sz w:val="20"/>
        </w:rPr>
        <w:footnoteRef/>
      </w:r>
      <w:r>
        <w:rPr>
          <w:sz w:val="20"/>
        </w:rPr>
        <w:t xml:space="preserve"> Artikel 2076 BW; </w:t>
      </w:r>
      <w:r w:rsidRPr="00862B0F">
        <w:rPr>
          <w:sz w:val="20"/>
          <w:szCs w:val="20"/>
        </w:rPr>
        <w:t xml:space="preserve">Cass. 10 oktober 2007, </w:t>
      </w:r>
      <w:r w:rsidRPr="00862B0F">
        <w:rPr>
          <w:i/>
          <w:sz w:val="20"/>
          <w:szCs w:val="20"/>
        </w:rPr>
        <w:t xml:space="preserve">Arr. Cass. </w:t>
      </w:r>
      <w:r w:rsidRPr="00862B0F">
        <w:rPr>
          <w:sz w:val="20"/>
          <w:szCs w:val="20"/>
        </w:rPr>
        <w:t xml:space="preserve">2007, 1890; Cass. 12 februari 2004, </w:t>
      </w:r>
      <w:r w:rsidRPr="00862B0F">
        <w:rPr>
          <w:i/>
          <w:sz w:val="20"/>
          <w:szCs w:val="20"/>
        </w:rPr>
        <w:t xml:space="preserve">RW </w:t>
      </w:r>
      <w:r w:rsidRPr="00862B0F">
        <w:rPr>
          <w:sz w:val="20"/>
          <w:szCs w:val="20"/>
        </w:rPr>
        <w:t xml:space="preserve">2004-05, 1179, noot M. </w:t>
      </w:r>
      <w:r w:rsidRPr="00862B0F">
        <w:rPr>
          <w:smallCaps/>
          <w:sz w:val="20"/>
          <w:szCs w:val="20"/>
        </w:rPr>
        <w:t xml:space="preserve">Storme; </w:t>
      </w:r>
      <w:r w:rsidRPr="00862B0F">
        <w:rPr>
          <w:sz w:val="20"/>
          <w:szCs w:val="20"/>
        </w:rPr>
        <w:t xml:space="preserve">Cass. 21 maart 2003, </w:t>
      </w:r>
      <w:r w:rsidRPr="00862B0F">
        <w:rPr>
          <w:i/>
          <w:sz w:val="20"/>
          <w:szCs w:val="20"/>
        </w:rPr>
        <w:t xml:space="preserve">RW </w:t>
      </w:r>
      <w:r w:rsidRPr="00862B0F">
        <w:rPr>
          <w:sz w:val="20"/>
          <w:szCs w:val="20"/>
        </w:rPr>
        <w:t xml:space="preserve">2004-05, 1174; Cass. 17 oktober 1984, </w:t>
      </w:r>
      <w:r w:rsidRPr="00862B0F">
        <w:rPr>
          <w:i/>
          <w:sz w:val="20"/>
          <w:szCs w:val="20"/>
        </w:rPr>
        <w:t xml:space="preserve">Pas. </w:t>
      </w:r>
      <w:r w:rsidRPr="00862B0F">
        <w:rPr>
          <w:sz w:val="20"/>
          <w:szCs w:val="20"/>
        </w:rPr>
        <w:t>1985;</w:t>
      </w:r>
      <w:r>
        <w:rPr>
          <w:sz w:val="20"/>
        </w:rPr>
        <w:t xml:space="preserve"> </w:t>
      </w:r>
      <w:r w:rsidRPr="00024A8E">
        <w:rPr>
          <w:sz w:val="20"/>
          <w:szCs w:val="20"/>
        </w:rPr>
        <w:t>Brussel 30 april 2001, RW 2002-2003, 626</w:t>
      </w:r>
      <w:r w:rsidRPr="00862B0F">
        <w:rPr>
          <w:sz w:val="20"/>
          <w:szCs w:val="20"/>
        </w:rPr>
        <w:t>;</w:t>
      </w:r>
      <w:r>
        <w:rPr>
          <w:sz w:val="20"/>
          <w:szCs w:val="20"/>
        </w:rPr>
        <w:t xml:space="preserve"> </w:t>
      </w:r>
      <w:r w:rsidRPr="00862B0F">
        <w:rPr>
          <w:smallCaps/>
          <w:sz w:val="20"/>
          <w:szCs w:val="20"/>
        </w:rPr>
        <w:t xml:space="preserve">H. De Page,  </w:t>
      </w:r>
      <w:r w:rsidRPr="00862B0F">
        <w:rPr>
          <w:i/>
          <w:sz w:val="20"/>
          <w:szCs w:val="20"/>
        </w:rPr>
        <w:t>Traité élém</w:t>
      </w:r>
      <w:r>
        <w:rPr>
          <w:i/>
          <w:sz w:val="20"/>
          <w:szCs w:val="20"/>
        </w:rPr>
        <w:t xml:space="preserve">entaire de droit civil Belge – </w:t>
      </w:r>
      <w:r w:rsidRPr="00862B0F">
        <w:rPr>
          <w:i/>
          <w:sz w:val="20"/>
          <w:szCs w:val="20"/>
        </w:rPr>
        <w:t>V</w:t>
      </w:r>
      <w:r>
        <w:rPr>
          <w:i/>
          <w:sz w:val="20"/>
          <w:szCs w:val="20"/>
        </w:rPr>
        <w:t>I</w:t>
      </w:r>
      <w:r w:rsidRPr="00862B0F">
        <w:rPr>
          <w:i/>
          <w:sz w:val="20"/>
          <w:szCs w:val="20"/>
        </w:rPr>
        <w:t xml:space="preserve"> – Les Biens, Les Sûretés, </w:t>
      </w:r>
      <w:r w:rsidRPr="00862B0F">
        <w:rPr>
          <w:sz w:val="20"/>
          <w:szCs w:val="20"/>
        </w:rPr>
        <w:t>Bruylant, Brussel 1953, 1070</w:t>
      </w:r>
      <w:r>
        <w:rPr>
          <w:sz w:val="20"/>
          <w:szCs w:val="20"/>
        </w:rPr>
        <w:t xml:space="preserve">; </w:t>
      </w:r>
      <w:r>
        <w:rPr>
          <w:smallCaps/>
          <w:sz w:val="20"/>
        </w:rPr>
        <w:t xml:space="preserve">R. Derine, F. Van Neste, H. Vandenberghe, </w:t>
      </w:r>
      <w:r>
        <w:rPr>
          <w:i/>
          <w:sz w:val="20"/>
        </w:rPr>
        <w:t xml:space="preserve">Zakenrecht – Deel 1.B, </w:t>
      </w:r>
      <w:r>
        <w:rPr>
          <w:sz w:val="20"/>
        </w:rPr>
        <w:t>Antwerpen, Standaard 1974, 927</w:t>
      </w:r>
      <w:r>
        <w:rPr>
          <w:sz w:val="20"/>
          <w:szCs w:val="20"/>
        </w:rPr>
        <w:t xml:space="preserve">; </w:t>
      </w:r>
      <w:r>
        <w:rPr>
          <w:smallCaps/>
          <w:sz w:val="20"/>
          <w:szCs w:val="20"/>
        </w:rPr>
        <w:t xml:space="preserve">E. Dirix, </w:t>
      </w:r>
      <w:r>
        <w:rPr>
          <w:sz w:val="20"/>
          <w:szCs w:val="20"/>
        </w:rPr>
        <w:t xml:space="preserve">“Het vuistpand”, </w:t>
      </w:r>
      <w:r>
        <w:rPr>
          <w:i/>
          <w:sz w:val="20"/>
          <w:szCs w:val="20"/>
        </w:rPr>
        <w:t xml:space="preserve">Voorrechten en hypotheken </w:t>
      </w:r>
      <w:r>
        <w:rPr>
          <w:sz w:val="20"/>
          <w:szCs w:val="20"/>
        </w:rPr>
        <w:t xml:space="preserve">2001, 2; </w:t>
      </w:r>
      <w:r w:rsidRPr="00862B0F">
        <w:rPr>
          <w:smallCaps/>
          <w:sz w:val="20"/>
          <w:szCs w:val="20"/>
        </w:rPr>
        <w:t xml:space="preserve">M.E. Storme, </w:t>
      </w:r>
      <w:r w:rsidRPr="00862B0F">
        <w:rPr>
          <w:sz w:val="20"/>
          <w:szCs w:val="20"/>
        </w:rPr>
        <w:t xml:space="preserve">“Paritas Creditorum, voorrang en </w:t>
      </w:r>
      <w:r w:rsidRPr="00DF3FC8">
        <w:rPr>
          <w:sz w:val="20"/>
          <w:szCs w:val="20"/>
        </w:rPr>
        <w:t xml:space="preserve">roerende zekerheden”, </w:t>
      </w:r>
      <w:r w:rsidRPr="00DF3FC8">
        <w:rPr>
          <w:i/>
          <w:sz w:val="20"/>
          <w:szCs w:val="20"/>
        </w:rPr>
        <w:t xml:space="preserve">TPR </w:t>
      </w:r>
      <w:r w:rsidRPr="00DF3FC8">
        <w:rPr>
          <w:sz w:val="20"/>
          <w:szCs w:val="20"/>
        </w:rPr>
        <w:t>2006, 996</w:t>
      </w:r>
      <w:r>
        <w:rPr>
          <w:sz w:val="20"/>
          <w:szCs w:val="20"/>
        </w:rPr>
        <w:t xml:space="preserve">; </w:t>
      </w:r>
      <w:r w:rsidRPr="00862B0F">
        <w:rPr>
          <w:smallCaps/>
          <w:sz w:val="20"/>
          <w:szCs w:val="20"/>
        </w:rPr>
        <w:t>R. Jansen, “</w:t>
      </w:r>
      <w:r w:rsidRPr="00862B0F">
        <w:rPr>
          <w:sz w:val="20"/>
          <w:szCs w:val="20"/>
        </w:rPr>
        <w:t xml:space="preserve">Algemene systematiek van voorrechten”, </w:t>
      </w:r>
      <w:r w:rsidRPr="00862B0F">
        <w:rPr>
          <w:i/>
          <w:sz w:val="20"/>
          <w:szCs w:val="20"/>
        </w:rPr>
        <w:t xml:space="preserve">TPR </w:t>
      </w:r>
      <w:r w:rsidRPr="00862B0F">
        <w:rPr>
          <w:sz w:val="20"/>
          <w:szCs w:val="20"/>
        </w:rPr>
        <w:t>2008, 19;</w:t>
      </w:r>
      <w:r w:rsidRPr="00DF3FC8">
        <w:rPr>
          <w:smallCaps/>
          <w:sz w:val="20"/>
          <w:szCs w:val="20"/>
        </w:rPr>
        <w:t xml:space="preserve"> M. Storme, </w:t>
      </w:r>
      <w:r w:rsidRPr="00DF3FC8">
        <w:rPr>
          <w:i/>
          <w:sz w:val="20"/>
          <w:szCs w:val="20"/>
        </w:rPr>
        <w:t xml:space="preserve">Insolventierecht in kortbestek,  Gent-Mariakerke, </w:t>
      </w:r>
      <w:r w:rsidRPr="00DF3FC8">
        <w:rPr>
          <w:sz w:val="20"/>
          <w:szCs w:val="20"/>
        </w:rPr>
        <w:t>2011, 196</w:t>
      </w:r>
      <w:r>
        <w:rPr>
          <w:sz w:val="20"/>
          <w:szCs w:val="20"/>
        </w:rPr>
        <w:t xml:space="preserve">; </w:t>
      </w:r>
      <w:r w:rsidRPr="006D0A31">
        <w:rPr>
          <w:smallCaps/>
          <w:sz w:val="20"/>
          <w:lang w:val="nl-BE"/>
        </w:rPr>
        <w:t>M.e. Storme, “</w:t>
      </w:r>
      <w:r w:rsidRPr="006D0A31">
        <w:rPr>
          <w:sz w:val="20"/>
          <w:lang w:val="nl-BE"/>
        </w:rPr>
        <w:t xml:space="preserve">Actualia roerende zekerheden”, </w:t>
      </w:r>
      <w:r w:rsidRPr="006D0A31">
        <w:rPr>
          <w:i/>
          <w:sz w:val="20"/>
          <w:lang w:val="nl-BE"/>
        </w:rPr>
        <w:t>Themis 2012</w:t>
      </w:r>
      <w:r w:rsidRPr="006D0A31">
        <w:rPr>
          <w:sz w:val="20"/>
          <w:lang w:val="nl-BE"/>
        </w:rPr>
        <w:t>, Die Keure, Brussel 2015, 1</w:t>
      </w:r>
      <w:r>
        <w:rPr>
          <w:sz w:val="20"/>
          <w:lang w:val="nl-BE"/>
        </w:rPr>
        <w:t>19;</w:t>
      </w:r>
      <w:r>
        <w:rPr>
          <w:sz w:val="20"/>
          <w:szCs w:val="20"/>
        </w:rPr>
        <w:t xml:space="preserve"> </w:t>
      </w:r>
      <w:r w:rsidRPr="00862B0F">
        <w:rPr>
          <w:smallCaps/>
          <w:sz w:val="20"/>
          <w:szCs w:val="20"/>
        </w:rPr>
        <w:t xml:space="preserve">J. Del Corral, </w:t>
      </w:r>
      <w:r w:rsidRPr="00862B0F">
        <w:rPr>
          <w:i/>
          <w:sz w:val="20"/>
          <w:szCs w:val="20"/>
        </w:rPr>
        <w:t>De leveringsplicht bij de overdracht van roerende lichamelijke goederen</w:t>
      </w:r>
      <w:r w:rsidRPr="00862B0F">
        <w:rPr>
          <w:sz w:val="20"/>
          <w:szCs w:val="20"/>
        </w:rPr>
        <w:t>, Antwerpen, Intersentia, 2013, 439</w:t>
      </w:r>
      <w:r>
        <w:rPr>
          <w:sz w:val="20"/>
          <w:szCs w:val="20"/>
        </w:rPr>
        <w:t xml:space="preserve">. </w:t>
      </w:r>
      <w:r w:rsidRPr="00862B0F">
        <w:rPr>
          <w:smallCaps/>
          <w:sz w:val="20"/>
        </w:rPr>
        <w:t xml:space="preserve">V. Sagaert, </w:t>
      </w:r>
      <w:r w:rsidRPr="00862B0F">
        <w:rPr>
          <w:i/>
          <w:sz w:val="20"/>
        </w:rPr>
        <w:t>Beginselen van Belgisch Privaatrecht – V – Goederenrecht</w:t>
      </w:r>
      <w:r>
        <w:rPr>
          <w:sz w:val="20"/>
        </w:rPr>
        <w:t>, Mechelen, Kluwer 2014, 676.</w:t>
      </w:r>
    </w:p>
  </w:footnote>
  <w:footnote w:id="101">
    <w:p w14:paraId="6385206A" w14:textId="74DB38D9" w:rsidR="00C97F8C" w:rsidRPr="000D5AFA" w:rsidRDefault="00C97F8C" w:rsidP="00057C6A">
      <w:pPr>
        <w:pStyle w:val="Voetnoottekst"/>
        <w:rPr>
          <w:lang w:val="nl-BE"/>
        </w:rPr>
      </w:pPr>
      <w:r>
        <w:rPr>
          <w:rStyle w:val="Voetnootmarkering"/>
        </w:rPr>
        <w:footnoteRef/>
      </w:r>
      <w:r>
        <w:t xml:space="preserve"> </w:t>
      </w:r>
      <w:r w:rsidRPr="00CE16C9">
        <w:rPr>
          <w:sz w:val="20"/>
          <w:u w:val="single"/>
        </w:rPr>
        <w:t>Frankrijk:</w:t>
      </w:r>
      <w:r>
        <w:rPr>
          <w:sz w:val="20"/>
        </w:rPr>
        <w:t xml:space="preserve"> </w:t>
      </w:r>
      <w:r w:rsidRPr="00CE16C9">
        <w:rPr>
          <w:sz w:val="20"/>
        </w:rPr>
        <w:t xml:space="preserve">Cass. 28 november 1989, </w:t>
      </w:r>
      <w:r w:rsidRPr="00CE16C9">
        <w:rPr>
          <w:i/>
          <w:sz w:val="20"/>
        </w:rPr>
        <w:t xml:space="preserve">Recueil Dalloz </w:t>
      </w:r>
      <w:r w:rsidRPr="00CE16C9">
        <w:rPr>
          <w:sz w:val="20"/>
        </w:rPr>
        <w:t>1991, 43;</w:t>
      </w:r>
      <w:r>
        <w:rPr>
          <w:sz w:val="20"/>
        </w:rPr>
        <w:t xml:space="preserve"> Reims 30 juni 2008, </w:t>
      </w:r>
      <w:r w:rsidRPr="007F29B2">
        <w:rPr>
          <w:sz w:val="20"/>
        </w:rPr>
        <w:t>n° 07/00990</w:t>
      </w:r>
      <w:r>
        <w:rPr>
          <w:sz w:val="20"/>
        </w:rPr>
        <w:t xml:space="preserve">, www. </w:t>
      </w:r>
      <w:proofErr w:type="gramStart"/>
      <w:r>
        <w:rPr>
          <w:sz w:val="20"/>
        </w:rPr>
        <w:t>dalloz.fr</w:t>
      </w:r>
      <w:proofErr w:type="gramEnd"/>
      <w:r>
        <w:rPr>
          <w:sz w:val="20"/>
        </w:rPr>
        <w:t>;</w:t>
      </w:r>
      <w:r w:rsidRPr="00444114">
        <w:rPr>
          <w:smallCaps/>
          <w:sz w:val="20"/>
        </w:rPr>
        <w:t xml:space="preserve"> </w:t>
      </w:r>
      <w:r>
        <w:rPr>
          <w:smallCaps/>
          <w:sz w:val="20"/>
        </w:rPr>
        <w:t xml:space="preserve">C. Larroumet, </w:t>
      </w:r>
      <w:r>
        <w:rPr>
          <w:i/>
          <w:sz w:val="20"/>
        </w:rPr>
        <w:t xml:space="preserve">Droit Civil -  Tome II – Les biens, droit réels principaux, </w:t>
      </w:r>
      <w:r>
        <w:rPr>
          <w:sz w:val="20"/>
        </w:rPr>
        <w:t xml:space="preserve">Parijs, Economica 1985, 524; </w:t>
      </w:r>
      <w:r>
        <w:rPr>
          <w:smallCaps/>
          <w:sz w:val="20"/>
        </w:rPr>
        <w:t xml:space="preserve">F. </w:t>
      </w:r>
      <w:proofErr w:type="spellStart"/>
      <w:r>
        <w:rPr>
          <w:smallCaps/>
          <w:sz w:val="20"/>
        </w:rPr>
        <w:t>Danos</w:t>
      </w:r>
      <w:proofErr w:type="spellEnd"/>
      <w:r>
        <w:rPr>
          <w:smallCaps/>
          <w:sz w:val="20"/>
        </w:rPr>
        <w:t xml:space="preserve">, </w:t>
      </w:r>
      <w:r>
        <w:rPr>
          <w:i/>
          <w:sz w:val="20"/>
        </w:rPr>
        <w:t xml:space="preserve">Propriété, </w:t>
      </w:r>
      <w:proofErr w:type="spellStart"/>
      <w:r>
        <w:rPr>
          <w:i/>
          <w:sz w:val="20"/>
        </w:rPr>
        <w:t>possession</w:t>
      </w:r>
      <w:proofErr w:type="spellEnd"/>
      <w:r>
        <w:rPr>
          <w:i/>
          <w:sz w:val="20"/>
        </w:rPr>
        <w:t xml:space="preserve"> et </w:t>
      </w:r>
      <w:proofErr w:type="spellStart"/>
      <w:r>
        <w:rPr>
          <w:i/>
          <w:sz w:val="20"/>
        </w:rPr>
        <w:t>opposabilité</w:t>
      </w:r>
      <w:proofErr w:type="spellEnd"/>
      <w:r>
        <w:rPr>
          <w:i/>
          <w:sz w:val="20"/>
        </w:rPr>
        <w:t xml:space="preserve">, </w:t>
      </w:r>
      <w:r>
        <w:rPr>
          <w:sz w:val="20"/>
        </w:rPr>
        <w:t xml:space="preserve">Parijs, Economica 2007, 383; </w:t>
      </w:r>
      <w:r>
        <w:rPr>
          <w:smallCaps/>
          <w:sz w:val="20"/>
        </w:rPr>
        <w:t>B. Bouloc, “</w:t>
      </w:r>
      <w:r w:rsidRPr="00363567">
        <w:rPr>
          <w:sz w:val="20"/>
        </w:rPr>
        <w:t>Marchandises données en gage. Marchandises vendues avec clause de réserve de propriété. Préférence du créancier gagiste”</w:t>
      </w:r>
      <w:r>
        <w:rPr>
          <w:sz w:val="20"/>
        </w:rPr>
        <w:t xml:space="preserve">, </w:t>
      </w:r>
      <w:r>
        <w:rPr>
          <w:i/>
          <w:sz w:val="20"/>
        </w:rPr>
        <w:t xml:space="preserve">RTD com. </w:t>
      </w:r>
      <w:r>
        <w:rPr>
          <w:sz w:val="20"/>
        </w:rPr>
        <w:t>1990, 253;</w:t>
      </w:r>
      <w:r>
        <w:rPr>
          <w:smallCaps/>
          <w:sz w:val="20"/>
        </w:rPr>
        <w:t xml:space="preserve"> B. Houtcieff, “</w:t>
      </w:r>
      <w:r w:rsidRPr="00363567">
        <w:rPr>
          <w:sz w:val="20"/>
        </w:rPr>
        <w:t>Gage Commercial”,</w:t>
      </w:r>
      <w:r>
        <w:rPr>
          <w:smallCaps/>
          <w:sz w:val="20"/>
        </w:rPr>
        <w:t xml:space="preserve"> </w:t>
      </w:r>
      <w:r>
        <w:rPr>
          <w:i/>
          <w:sz w:val="20"/>
        </w:rPr>
        <w:t xml:space="preserve">Répertoire de droit commercial </w:t>
      </w:r>
      <w:r>
        <w:rPr>
          <w:sz w:val="20"/>
        </w:rPr>
        <w:t>2006, 5; W</w:t>
      </w:r>
      <w:r>
        <w:rPr>
          <w:smallCaps/>
          <w:sz w:val="20"/>
        </w:rPr>
        <w:t xml:space="preserve">. Dross, </w:t>
      </w:r>
      <w:r>
        <w:rPr>
          <w:sz w:val="20"/>
        </w:rPr>
        <w:t xml:space="preserve">“Le singulier destin de l’article 2279 du Code Civil”, </w:t>
      </w:r>
      <w:r>
        <w:rPr>
          <w:i/>
          <w:sz w:val="20"/>
        </w:rPr>
        <w:t xml:space="preserve">RTD civ. </w:t>
      </w:r>
      <w:r>
        <w:rPr>
          <w:sz w:val="20"/>
        </w:rPr>
        <w:t xml:space="preserve">2006, 33-34; </w:t>
      </w:r>
      <w:r>
        <w:rPr>
          <w:smallCaps/>
          <w:sz w:val="20"/>
          <w:lang w:val="nl-BE"/>
        </w:rPr>
        <w:t xml:space="preserve">P. Simler, P. Delebecque, </w:t>
      </w:r>
      <w:r>
        <w:rPr>
          <w:i/>
          <w:sz w:val="20"/>
          <w:lang w:val="nl-BE"/>
        </w:rPr>
        <w:t xml:space="preserve">Les sûretés, la publicité foncière, </w:t>
      </w:r>
      <w:r>
        <w:rPr>
          <w:sz w:val="20"/>
          <w:lang w:val="nl-BE"/>
        </w:rPr>
        <w:t>Parijs, Dalloz 2009, 535;</w:t>
      </w:r>
      <w:r>
        <w:rPr>
          <w:sz w:val="20"/>
        </w:rPr>
        <w:t xml:space="preserve"> </w:t>
      </w:r>
      <w:r>
        <w:rPr>
          <w:smallCaps/>
          <w:sz w:val="20"/>
        </w:rPr>
        <w:t xml:space="preserve">F. Terré, P. Simler, </w:t>
      </w:r>
      <w:r>
        <w:rPr>
          <w:i/>
          <w:sz w:val="20"/>
        </w:rPr>
        <w:t xml:space="preserve">Droit Civil. Les Biens, </w:t>
      </w:r>
      <w:r>
        <w:rPr>
          <w:sz w:val="20"/>
        </w:rPr>
        <w:t xml:space="preserve">Parijs, Dalloz 2006, </w:t>
      </w:r>
      <w:r w:rsidRPr="002E2164">
        <w:rPr>
          <w:sz w:val="20"/>
        </w:rPr>
        <w:t>345</w:t>
      </w:r>
      <w:r>
        <w:rPr>
          <w:sz w:val="20"/>
        </w:rPr>
        <w:t xml:space="preserve">; </w:t>
      </w:r>
      <w:r>
        <w:rPr>
          <w:smallCaps/>
          <w:sz w:val="20"/>
          <w:lang w:val="nl-BE"/>
        </w:rPr>
        <w:t xml:space="preserve">M. Cabrillac, C. Mouly, S. Cabrillac, P. Pétel, </w:t>
      </w:r>
      <w:r>
        <w:rPr>
          <w:i/>
          <w:sz w:val="20"/>
          <w:lang w:val="nl-BE"/>
        </w:rPr>
        <w:t xml:space="preserve">Droit des sûretés, </w:t>
      </w:r>
      <w:r>
        <w:rPr>
          <w:sz w:val="20"/>
          <w:lang w:val="nl-BE"/>
        </w:rPr>
        <w:t xml:space="preserve">Parijs, Litec 2010, 556; </w:t>
      </w:r>
      <w:r w:rsidRPr="00EA33F9">
        <w:rPr>
          <w:smallCaps/>
          <w:sz w:val="20"/>
          <w:lang w:val="nl-BE"/>
        </w:rPr>
        <w:t>Y. Picod</w:t>
      </w:r>
      <w:r w:rsidRPr="00EA33F9">
        <w:rPr>
          <w:sz w:val="20"/>
          <w:lang w:val="nl-BE"/>
        </w:rPr>
        <w:t xml:space="preserve">, </w:t>
      </w:r>
      <w:r w:rsidRPr="00EA33F9">
        <w:rPr>
          <w:i/>
          <w:sz w:val="20"/>
          <w:lang w:val="nl-BE"/>
        </w:rPr>
        <w:t xml:space="preserve">Droit des sûretés, </w:t>
      </w:r>
      <w:r w:rsidRPr="00EA33F9">
        <w:rPr>
          <w:sz w:val="20"/>
          <w:lang w:val="nl-BE"/>
        </w:rPr>
        <w:t>Parijs, Presses Universitaires franç</w:t>
      </w:r>
      <w:r>
        <w:rPr>
          <w:sz w:val="20"/>
          <w:lang w:val="nl-BE"/>
        </w:rPr>
        <w:t xml:space="preserve">aises 2011, </w:t>
      </w:r>
      <w:r w:rsidRPr="008055BA">
        <w:rPr>
          <w:sz w:val="20"/>
          <w:lang w:val="nl-BE"/>
        </w:rPr>
        <w:t>286</w:t>
      </w:r>
      <w:r>
        <w:rPr>
          <w:sz w:val="20"/>
          <w:lang w:val="nl-BE"/>
        </w:rPr>
        <w:t>;</w:t>
      </w:r>
      <w:r>
        <w:rPr>
          <w:sz w:val="20"/>
        </w:rPr>
        <w:t xml:space="preserve"> </w:t>
      </w:r>
      <w:r w:rsidRPr="007620D5">
        <w:rPr>
          <w:smallCaps/>
          <w:sz w:val="20"/>
          <w:lang w:val="nl-BE"/>
        </w:rPr>
        <w:t xml:space="preserve">P. Crocq, </w:t>
      </w:r>
      <w:r w:rsidRPr="007620D5">
        <w:rPr>
          <w:sz w:val="20"/>
          <w:lang w:val="nl-BE"/>
        </w:rPr>
        <w:t xml:space="preserve">“La nullité relative du gage de la chose d'autrui”, </w:t>
      </w:r>
      <w:r w:rsidRPr="007620D5">
        <w:rPr>
          <w:i/>
          <w:sz w:val="20"/>
          <w:lang w:val="nl-BE"/>
        </w:rPr>
        <w:t xml:space="preserve">RTD Civil </w:t>
      </w:r>
      <w:r w:rsidRPr="007620D5">
        <w:rPr>
          <w:sz w:val="20"/>
          <w:lang w:val="nl-BE"/>
        </w:rPr>
        <w:t>2008, 519</w:t>
      </w:r>
      <w:r>
        <w:rPr>
          <w:sz w:val="20"/>
          <w:lang w:val="nl-BE"/>
        </w:rPr>
        <w:t xml:space="preserve">; </w:t>
      </w:r>
      <w:r>
        <w:rPr>
          <w:smallCaps/>
          <w:sz w:val="20"/>
          <w:lang w:val="nl-BE"/>
        </w:rPr>
        <w:t xml:space="preserve">P. Malaurie, L. Aynes, </w:t>
      </w:r>
      <w:r>
        <w:rPr>
          <w:i/>
          <w:sz w:val="20"/>
          <w:lang w:val="nl-BE"/>
        </w:rPr>
        <w:t xml:space="preserve">Les Biens, </w:t>
      </w:r>
      <w:r>
        <w:rPr>
          <w:sz w:val="20"/>
          <w:lang w:val="nl-BE"/>
        </w:rPr>
        <w:t xml:space="preserve">Parijs, Defrénois 2010, 179; </w:t>
      </w:r>
      <w:r>
        <w:rPr>
          <w:sz w:val="20"/>
        </w:rPr>
        <w:t xml:space="preserve">M.-L. </w:t>
      </w:r>
      <w:r>
        <w:rPr>
          <w:smallCaps/>
          <w:sz w:val="20"/>
        </w:rPr>
        <w:t xml:space="preserve">Mathieu, </w:t>
      </w:r>
      <w:r>
        <w:rPr>
          <w:i/>
          <w:sz w:val="20"/>
        </w:rPr>
        <w:t xml:space="preserve">Droit Civil. </w:t>
      </w:r>
      <w:r w:rsidRPr="006460FD">
        <w:rPr>
          <w:i/>
          <w:sz w:val="20"/>
          <w:lang w:val="en-GB"/>
        </w:rPr>
        <w:t xml:space="preserve">Les Biens, </w:t>
      </w:r>
      <w:r w:rsidRPr="006460FD">
        <w:rPr>
          <w:sz w:val="20"/>
          <w:lang w:val="en-GB"/>
        </w:rPr>
        <w:t xml:space="preserve">Parijs, Dalloz 2013, 338-339; </w:t>
      </w:r>
      <w:r w:rsidRPr="006460FD">
        <w:rPr>
          <w:smallCaps/>
          <w:sz w:val="20"/>
          <w:lang w:val="en-GB"/>
        </w:rPr>
        <w:t xml:space="preserve">M. Bourassin, V. brémond, M.-N. </w:t>
      </w:r>
      <w:proofErr w:type="spellStart"/>
      <w:r w:rsidRPr="006460FD">
        <w:rPr>
          <w:smallCaps/>
          <w:sz w:val="20"/>
          <w:lang w:val="en-GB"/>
        </w:rPr>
        <w:t>Jobard-Bachellier</w:t>
      </w:r>
      <w:proofErr w:type="spellEnd"/>
      <w:r w:rsidRPr="006460FD">
        <w:rPr>
          <w:smallCaps/>
          <w:sz w:val="20"/>
          <w:lang w:val="en-GB"/>
        </w:rPr>
        <w:t xml:space="preserve">, </w:t>
      </w:r>
      <w:r w:rsidRPr="006460FD">
        <w:rPr>
          <w:i/>
          <w:sz w:val="20"/>
          <w:lang w:val="en-GB"/>
        </w:rPr>
        <w:t xml:space="preserve">Droit des sûretés, </w:t>
      </w:r>
      <w:r w:rsidRPr="006460FD">
        <w:rPr>
          <w:sz w:val="20"/>
          <w:lang w:val="en-GB"/>
        </w:rPr>
        <w:t xml:space="preserve">Parijs, Dalloz 2014, 461; </w:t>
      </w:r>
      <w:r w:rsidRPr="006460FD">
        <w:rPr>
          <w:smallCaps/>
          <w:sz w:val="20"/>
          <w:lang w:val="en-GB"/>
        </w:rPr>
        <w:t xml:space="preserve">C. Atias, </w:t>
      </w:r>
      <w:r w:rsidRPr="006460FD">
        <w:rPr>
          <w:i/>
          <w:sz w:val="20"/>
          <w:lang w:val="en-GB"/>
        </w:rPr>
        <w:t>Manuel Droit Civil. Les Biens,</w:t>
      </w:r>
      <w:r w:rsidRPr="006460FD">
        <w:rPr>
          <w:sz w:val="20"/>
          <w:lang w:val="en-GB"/>
        </w:rPr>
        <w:t xml:space="preserve"> Parijs, Litec 2014, 251; </w:t>
      </w:r>
      <w:r w:rsidRPr="006460FD">
        <w:rPr>
          <w:smallCaps/>
          <w:sz w:val="20"/>
          <w:lang w:val="en-GB"/>
        </w:rPr>
        <w:t xml:space="preserve">L. </w:t>
      </w:r>
      <w:proofErr w:type="spellStart"/>
      <w:r w:rsidRPr="006460FD">
        <w:rPr>
          <w:smallCaps/>
          <w:sz w:val="20"/>
          <w:lang w:val="en-GB"/>
        </w:rPr>
        <w:t>Aynès</w:t>
      </w:r>
      <w:proofErr w:type="spellEnd"/>
      <w:r w:rsidRPr="006460FD">
        <w:rPr>
          <w:smallCaps/>
          <w:sz w:val="20"/>
          <w:lang w:val="en-GB"/>
        </w:rPr>
        <w:t xml:space="preserve">, P. Crocq, </w:t>
      </w:r>
      <w:r w:rsidRPr="006460FD">
        <w:rPr>
          <w:i/>
          <w:sz w:val="20"/>
          <w:lang w:val="en-GB"/>
        </w:rPr>
        <w:t xml:space="preserve">Droit des sûretés, </w:t>
      </w:r>
      <w:proofErr w:type="spellStart"/>
      <w:r w:rsidRPr="006460FD">
        <w:rPr>
          <w:sz w:val="20"/>
          <w:lang w:val="en-GB"/>
        </w:rPr>
        <w:t>Issy</w:t>
      </w:r>
      <w:proofErr w:type="spellEnd"/>
      <w:r w:rsidRPr="006460FD">
        <w:rPr>
          <w:sz w:val="20"/>
          <w:lang w:val="en-GB"/>
        </w:rPr>
        <w:t>-Les-</w:t>
      </w:r>
      <w:proofErr w:type="spellStart"/>
      <w:r w:rsidRPr="006460FD">
        <w:rPr>
          <w:sz w:val="20"/>
          <w:lang w:val="en-GB"/>
        </w:rPr>
        <w:t>Moulineaux</w:t>
      </w:r>
      <w:proofErr w:type="spellEnd"/>
      <w:r w:rsidRPr="006460FD">
        <w:rPr>
          <w:sz w:val="20"/>
          <w:lang w:val="en-GB"/>
        </w:rPr>
        <w:t xml:space="preserve">, LGDJ </w:t>
      </w:r>
      <w:proofErr w:type="spellStart"/>
      <w:r w:rsidRPr="006460FD">
        <w:rPr>
          <w:sz w:val="20"/>
          <w:lang w:val="en-GB"/>
        </w:rPr>
        <w:t>lextenso</w:t>
      </w:r>
      <w:proofErr w:type="spellEnd"/>
      <w:r w:rsidRPr="006460FD">
        <w:rPr>
          <w:sz w:val="20"/>
          <w:lang w:val="en-GB"/>
        </w:rPr>
        <w:t xml:space="preserve"> éditions 2015, 272. </w:t>
      </w:r>
      <w:r>
        <w:rPr>
          <w:sz w:val="20"/>
          <w:u w:val="single"/>
        </w:rPr>
        <w:t>Nederland:</w:t>
      </w:r>
      <w:r>
        <w:rPr>
          <w:sz w:val="20"/>
        </w:rPr>
        <w:t xml:space="preserve"> </w:t>
      </w:r>
      <w:r w:rsidRPr="008F510A">
        <w:rPr>
          <w:sz w:val="20"/>
          <w:lang w:val="nl-BE"/>
        </w:rPr>
        <w:t xml:space="preserve">Voor beperkte zakelijke rechten geldt </w:t>
      </w:r>
      <w:r>
        <w:rPr>
          <w:sz w:val="20"/>
          <w:lang w:val="nl-BE"/>
        </w:rPr>
        <w:t>gezien artikel 3:98 Nieuw Burgerlijk Wetboek ook de bescherming van artikel 3:86 Nieuw Burgerlijk Wetboek, maar voor pand geldt een afwijkende regeling. (</w:t>
      </w:r>
      <w:r>
        <w:rPr>
          <w:smallCaps/>
          <w:sz w:val="20"/>
        </w:rPr>
        <w:t xml:space="preserve">B.W.M. Nieskens-Isphording </w:t>
      </w:r>
      <w:r>
        <w:rPr>
          <w:sz w:val="20"/>
        </w:rPr>
        <w:t xml:space="preserve">en </w:t>
      </w:r>
      <w:r>
        <w:rPr>
          <w:smallCaps/>
          <w:sz w:val="20"/>
        </w:rPr>
        <w:t xml:space="preserve">A.E.M. van der Put-Lauwers, </w:t>
      </w:r>
      <w:r>
        <w:rPr>
          <w:i/>
          <w:sz w:val="20"/>
        </w:rPr>
        <w:t>Derdenbescherming,</w:t>
      </w:r>
      <w:r>
        <w:rPr>
          <w:sz w:val="20"/>
        </w:rPr>
        <w:t xml:space="preserve"> Deventer, Kluwer 2002, 41; </w:t>
      </w:r>
      <w:r w:rsidRPr="00862B0F">
        <w:rPr>
          <w:smallCaps/>
          <w:sz w:val="20"/>
        </w:rPr>
        <w:t xml:space="preserve">H.J. Snijders en E.B. Rank-Berenschoot, </w:t>
      </w:r>
      <w:r w:rsidRPr="00862B0F">
        <w:rPr>
          <w:i/>
          <w:sz w:val="20"/>
        </w:rPr>
        <w:t xml:space="preserve">Goederenrecht, </w:t>
      </w:r>
      <w:r>
        <w:rPr>
          <w:sz w:val="20"/>
        </w:rPr>
        <w:t xml:space="preserve">Deventer, Kluwer, 2012, 309, 452; </w:t>
      </w:r>
      <w:r>
        <w:rPr>
          <w:smallCaps/>
          <w:sz w:val="20"/>
        </w:rPr>
        <w:t>A. Steneker,</w:t>
      </w:r>
      <w:r>
        <w:rPr>
          <w:sz w:val="20"/>
        </w:rPr>
        <w:t xml:space="preserve"> </w:t>
      </w:r>
      <w:r>
        <w:rPr>
          <w:i/>
          <w:sz w:val="20"/>
        </w:rPr>
        <w:t xml:space="preserve">Pandrecht, </w:t>
      </w:r>
      <w:r>
        <w:rPr>
          <w:sz w:val="20"/>
        </w:rPr>
        <w:t xml:space="preserve">Deventer, Kluwer 2012, 95; </w:t>
      </w:r>
      <w:r w:rsidRPr="00862B0F">
        <w:rPr>
          <w:smallCaps/>
          <w:sz w:val="20"/>
        </w:rPr>
        <w:t xml:space="preserve">C. Asser, </w:t>
      </w:r>
      <w:r w:rsidRPr="00862B0F">
        <w:rPr>
          <w:i/>
          <w:sz w:val="20"/>
        </w:rPr>
        <w:t xml:space="preserve">Algemeen goederenrecht, </w:t>
      </w:r>
      <w:r w:rsidRPr="00862B0F">
        <w:rPr>
          <w:sz w:val="20"/>
        </w:rPr>
        <w:t>3</w:t>
      </w:r>
      <w:r>
        <w:rPr>
          <w:sz w:val="20"/>
        </w:rPr>
        <w:t>-IV, Deventer, Kluwer 2013, 397.</w:t>
      </w:r>
    </w:p>
  </w:footnote>
  <w:footnote w:id="102">
    <w:p w14:paraId="70BDAAF7" w14:textId="058990F3" w:rsidR="00C97F8C" w:rsidRPr="00AF782A" w:rsidRDefault="00C97F8C" w:rsidP="00B768BB">
      <w:pPr>
        <w:pStyle w:val="Voetnoottekst"/>
        <w:rPr>
          <w:lang w:val="nl-BE"/>
        </w:rPr>
      </w:pPr>
      <w:r>
        <w:rPr>
          <w:rStyle w:val="Voetnootmarkering"/>
        </w:rPr>
        <w:footnoteRef/>
      </w:r>
      <w:r>
        <w:t xml:space="preserve"> </w:t>
      </w:r>
      <w:r>
        <w:rPr>
          <w:smallCaps/>
          <w:sz w:val="20"/>
          <w:lang w:val="nl-BE"/>
        </w:rPr>
        <w:t xml:space="preserve">H. De Page, </w:t>
      </w:r>
      <w:r>
        <w:rPr>
          <w:i/>
          <w:sz w:val="20"/>
          <w:lang w:val="nl-BE"/>
        </w:rPr>
        <w:t xml:space="preserve">Traité élémentaire de droit civil belge -  Tome V, </w:t>
      </w:r>
      <w:r>
        <w:rPr>
          <w:sz w:val="20"/>
          <w:lang w:val="nl-BE"/>
        </w:rPr>
        <w:t xml:space="preserve">Brussel, Bruylant 1975, 919; </w:t>
      </w:r>
      <w:r>
        <w:rPr>
          <w:smallCaps/>
          <w:sz w:val="20"/>
        </w:rPr>
        <w:t xml:space="preserve">A. Kluyskens, </w:t>
      </w:r>
      <w:r>
        <w:rPr>
          <w:i/>
          <w:sz w:val="20"/>
        </w:rPr>
        <w:t xml:space="preserve">Beginselen van Burgerlijk Recht – Zakenrecht, </w:t>
      </w:r>
      <w:r>
        <w:rPr>
          <w:sz w:val="20"/>
        </w:rPr>
        <w:t xml:space="preserve">Standaard, Gent 1940, 71; </w:t>
      </w:r>
      <w:r>
        <w:rPr>
          <w:smallCaps/>
          <w:sz w:val="20"/>
        </w:rPr>
        <w:t xml:space="preserve">A. Heyvaert, </w:t>
      </w:r>
      <w:r>
        <w:rPr>
          <w:sz w:val="20"/>
        </w:rPr>
        <w:t xml:space="preserve">“Bezit heeft verscheidene titels in </w:t>
      </w:r>
      <w:r>
        <w:rPr>
          <w:smallCaps/>
          <w:sz w:val="20"/>
        </w:rPr>
        <w:t>M. Storme (</w:t>
      </w:r>
      <w:r>
        <w:rPr>
          <w:sz w:val="20"/>
        </w:rPr>
        <w:t xml:space="preserve">ed.), </w:t>
      </w:r>
      <w:r>
        <w:rPr>
          <w:i/>
          <w:sz w:val="20"/>
        </w:rPr>
        <w:t xml:space="preserve">Zakenrecht en zakelijke zekerheden, </w:t>
      </w:r>
      <w:r>
        <w:rPr>
          <w:sz w:val="20"/>
        </w:rPr>
        <w:t xml:space="preserve">Gent 1983, 174; </w:t>
      </w:r>
      <w:r>
        <w:rPr>
          <w:smallCaps/>
          <w:sz w:val="20"/>
        </w:rPr>
        <w:t xml:space="preserve">R. Derine, F. Van Neste, H. Vandenberghe, </w:t>
      </w:r>
      <w:r>
        <w:rPr>
          <w:i/>
          <w:sz w:val="20"/>
        </w:rPr>
        <w:t xml:space="preserve">Zakenrecht – Deel 1.B, </w:t>
      </w:r>
      <w:r>
        <w:rPr>
          <w:sz w:val="20"/>
        </w:rPr>
        <w:t xml:space="preserve">Antwerpen, Standaard 1974, 915; </w:t>
      </w:r>
      <w:r w:rsidRPr="00AE038D">
        <w:rPr>
          <w:smallCaps/>
          <w:sz w:val="20"/>
          <w:lang w:val="nl-BE"/>
        </w:rPr>
        <w:t xml:space="preserve">S. Boufflette, </w:t>
      </w:r>
      <w:r w:rsidRPr="00AE038D">
        <w:rPr>
          <w:i/>
          <w:sz w:val="20"/>
          <w:lang w:val="nl-BE"/>
        </w:rPr>
        <w:t>La Possession,</w:t>
      </w:r>
      <w:r w:rsidRPr="00AE038D">
        <w:rPr>
          <w:sz w:val="20"/>
          <w:lang w:val="nl-BE"/>
        </w:rPr>
        <w:t xml:space="preserve"> Brussel</w:t>
      </w:r>
      <w:r w:rsidRPr="00AE038D">
        <w:rPr>
          <w:i/>
          <w:sz w:val="20"/>
          <w:lang w:val="nl-BE"/>
        </w:rPr>
        <w:t xml:space="preserve"> </w:t>
      </w:r>
      <w:r w:rsidRPr="00AE038D">
        <w:rPr>
          <w:sz w:val="20"/>
          <w:lang w:val="nl-BE"/>
        </w:rPr>
        <w:t>Larcier 2010, 125</w:t>
      </w:r>
      <w:r>
        <w:rPr>
          <w:sz w:val="20"/>
          <w:lang w:val="nl-BE"/>
        </w:rPr>
        <w:t xml:space="preserve">; </w:t>
      </w:r>
      <w:r w:rsidRPr="00BE041A">
        <w:rPr>
          <w:smallCaps/>
          <w:sz w:val="20"/>
        </w:rPr>
        <w:t xml:space="preserve">P. Lecocq, </w:t>
      </w:r>
      <w:r w:rsidRPr="00BE041A">
        <w:rPr>
          <w:i/>
          <w:sz w:val="20"/>
        </w:rPr>
        <w:t xml:space="preserve">Manuel de droit des biens, </w:t>
      </w:r>
      <w:r>
        <w:rPr>
          <w:sz w:val="20"/>
        </w:rPr>
        <w:t>Brussel, Larcier</w:t>
      </w:r>
      <w:r w:rsidRPr="00BE041A">
        <w:rPr>
          <w:sz w:val="20"/>
        </w:rPr>
        <w:t>, 2012, 1</w:t>
      </w:r>
      <w:r>
        <w:rPr>
          <w:sz w:val="20"/>
        </w:rPr>
        <w:t xml:space="preserve">46; </w:t>
      </w:r>
      <w:r w:rsidRPr="00862B0F">
        <w:rPr>
          <w:smallCaps/>
          <w:sz w:val="20"/>
        </w:rPr>
        <w:t xml:space="preserve">V. Sagaert, </w:t>
      </w:r>
      <w:r w:rsidRPr="00862B0F">
        <w:rPr>
          <w:i/>
          <w:sz w:val="20"/>
        </w:rPr>
        <w:t>Beginselen van Belgisch Privaatrecht – V – Goederenrecht</w:t>
      </w:r>
      <w:r>
        <w:rPr>
          <w:sz w:val="20"/>
        </w:rPr>
        <w:t>, Mechelen, Kluwer 2014, 672.</w:t>
      </w:r>
    </w:p>
  </w:footnote>
  <w:footnote w:id="103">
    <w:p w14:paraId="42D7DCAC" w14:textId="77777777" w:rsidR="00C97F8C" w:rsidRPr="00907E89" w:rsidRDefault="00C97F8C" w:rsidP="00B768BB">
      <w:pPr>
        <w:pStyle w:val="Voetnoottekst"/>
        <w:rPr>
          <w:lang w:val="nl-BE"/>
        </w:rPr>
      </w:pPr>
      <w:r>
        <w:rPr>
          <w:rStyle w:val="Voetnootmarkering"/>
        </w:rPr>
        <w:footnoteRef/>
      </w:r>
      <w:r>
        <w:t xml:space="preserve"> </w:t>
      </w:r>
      <w:r w:rsidRPr="00061F15">
        <w:rPr>
          <w:sz w:val="20"/>
        </w:rPr>
        <w:t xml:space="preserve">Artikel 328 Nieuw Burgerlijk Wetboek; </w:t>
      </w:r>
      <w:r w:rsidRPr="00061F15">
        <w:rPr>
          <w:smallCaps/>
          <w:sz w:val="20"/>
        </w:rPr>
        <w:t xml:space="preserve">H.J. Snijders en E.B. Rank-Berenschoot, </w:t>
      </w:r>
      <w:r w:rsidRPr="00061F15">
        <w:rPr>
          <w:i/>
          <w:sz w:val="20"/>
        </w:rPr>
        <w:t xml:space="preserve">Goederenrecht, </w:t>
      </w:r>
      <w:r w:rsidRPr="00061F15">
        <w:rPr>
          <w:sz w:val="20"/>
        </w:rPr>
        <w:t>Deventer, Kluwer, 2012, 453.</w:t>
      </w:r>
    </w:p>
  </w:footnote>
  <w:footnote w:id="104">
    <w:p w14:paraId="6E399BAE" w14:textId="77777777" w:rsidR="00C97F8C" w:rsidRPr="00BD1CA9" w:rsidRDefault="00C97F8C" w:rsidP="00B768BB">
      <w:pPr>
        <w:pStyle w:val="Voetnoottekst"/>
        <w:rPr>
          <w:lang w:val="nl-BE"/>
        </w:rPr>
      </w:pPr>
      <w:r>
        <w:rPr>
          <w:rStyle w:val="Voetnootmarkering"/>
        </w:rPr>
        <w:footnoteRef/>
      </w:r>
      <w:r>
        <w:t xml:space="preserve"> </w:t>
      </w:r>
      <w:r w:rsidRPr="00061F15">
        <w:rPr>
          <w:sz w:val="20"/>
          <w:lang w:val="nl-BE"/>
        </w:rPr>
        <w:t xml:space="preserve">Artikel 3:238 Nieuw Burgerlijk Wetboek; </w:t>
      </w:r>
      <w:r w:rsidRPr="00061F15">
        <w:rPr>
          <w:smallCaps/>
          <w:sz w:val="20"/>
        </w:rPr>
        <w:t xml:space="preserve">H.J. Snijders en E.B. Rank-Berenschoot, </w:t>
      </w:r>
      <w:r w:rsidRPr="00061F15">
        <w:rPr>
          <w:i/>
          <w:sz w:val="20"/>
        </w:rPr>
        <w:t xml:space="preserve">Goederenrecht, </w:t>
      </w:r>
      <w:r w:rsidRPr="00061F15">
        <w:rPr>
          <w:sz w:val="20"/>
        </w:rPr>
        <w:t>Deventer, Kluwer, 2012, 453.</w:t>
      </w:r>
    </w:p>
  </w:footnote>
  <w:footnote w:id="105">
    <w:p w14:paraId="33166350" w14:textId="77777777" w:rsidR="00C97F8C" w:rsidRPr="000D5AFA" w:rsidRDefault="00C97F8C" w:rsidP="00B768BB">
      <w:pPr>
        <w:pStyle w:val="Voetnoottekst"/>
        <w:rPr>
          <w:lang w:val="nl-BE"/>
        </w:rPr>
      </w:pPr>
      <w:r>
        <w:rPr>
          <w:rStyle w:val="Voetnootmarkering"/>
        </w:rPr>
        <w:footnoteRef/>
      </w:r>
      <w:r>
        <w:t xml:space="preserve"> </w:t>
      </w:r>
      <w:r>
        <w:rPr>
          <w:smallCaps/>
          <w:sz w:val="20"/>
        </w:rPr>
        <w:t xml:space="preserve">E. Dirix, </w:t>
      </w:r>
      <w:r>
        <w:rPr>
          <w:sz w:val="20"/>
        </w:rPr>
        <w:t xml:space="preserve">“Het vuistpand”, </w:t>
      </w:r>
      <w:r>
        <w:rPr>
          <w:i/>
          <w:sz w:val="20"/>
        </w:rPr>
        <w:t xml:space="preserve">Voorrechten en hypotheken </w:t>
      </w:r>
      <w:r>
        <w:rPr>
          <w:sz w:val="20"/>
        </w:rPr>
        <w:t xml:space="preserve">2001, 5. </w:t>
      </w:r>
      <w:r>
        <w:rPr>
          <w:sz w:val="20"/>
          <w:u w:val="single"/>
        </w:rPr>
        <w:t>Frankrijk:</w:t>
      </w:r>
      <w:r>
        <w:rPr>
          <w:sz w:val="20"/>
        </w:rPr>
        <w:t xml:space="preserve"> </w:t>
      </w:r>
      <w:r>
        <w:rPr>
          <w:smallCaps/>
          <w:sz w:val="20"/>
        </w:rPr>
        <w:t xml:space="preserve">W. Dross, </w:t>
      </w:r>
      <w:r>
        <w:rPr>
          <w:sz w:val="20"/>
        </w:rPr>
        <w:t xml:space="preserve">“Le singulier destin de l’article 2279 du Code Civil”, </w:t>
      </w:r>
      <w:r>
        <w:rPr>
          <w:i/>
          <w:sz w:val="20"/>
        </w:rPr>
        <w:t xml:space="preserve">RTD civ. </w:t>
      </w:r>
      <w:r>
        <w:rPr>
          <w:sz w:val="20"/>
        </w:rPr>
        <w:t>2006, 34.</w:t>
      </w:r>
    </w:p>
  </w:footnote>
  <w:footnote w:id="106">
    <w:p w14:paraId="7CECCCB3" w14:textId="55E40992" w:rsidR="00C97F8C" w:rsidRPr="00871084" w:rsidRDefault="00C97F8C" w:rsidP="00B768BB">
      <w:pPr>
        <w:pStyle w:val="Voetnoottekst"/>
        <w:rPr>
          <w:lang w:val="nl-BE"/>
        </w:rPr>
      </w:pPr>
      <w:r>
        <w:rPr>
          <w:rStyle w:val="Voetnootmarkering"/>
        </w:rPr>
        <w:footnoteRef/>
      </w:r>
      <w:r>
        <w:t xml:space="preserve"> </w:t>
      </w:r>
      <w:r w:rsidRPr="008F510A">
        <w:rPr>
          <w:sz w:val="20"/>
        </w:rPr>
        <w:t xml:space="preserve">Gent 29 november 2000, </w:t>
      </w:r>
      <w:r w:rsidRPr="00343421">
        <w:rPr>
          <w:i/>
          <w:sz w:val="20"/>
        </w:rPr>
        <w:t>RW</w:t>
      </w:r>
      <w:r w:rsidRPr="008F510A">
        <w:rPr>
          <w:sz w:val="20"/>
        </w:rPr>
        <w:t xml:space="preserve"> 2000-2001, 1391;</w:t>
      </w:r>
      <w:r>
        <w:rPr>
          <w:sz w:val="20"/>
        </w:rPr>
        <w:t xml:space="preserve"> Kh. Ieper 1 maart 2001, </w:t>
      </w:r>
      <w:r w:rsidRPr="009E6A5B">
        <w:rPr>
          <w:i/>
          <w:sz w:val="20"/>
        </w:rPr>
        <w:t>TGR-TWVR</w:t>
      </w:r>
      <w:r w:rsidRPr="009E6A5B">
        <w:rPr>
          <w:i/>
          <w:smallCaps/>
          <w:sz w:val="20"/>
        </w:rPr>
        <w:t>F</w:t>
      </w:r>
      <w:r>
        <w:rPr>
          <w:smallCaps/>
          <w:sz w:val="20"/>
        </w:rPr>
        <w:t xml:space="preserve"> 2012, 121;</w:t>
      </w:r>
      <w:r>
        <w:rPr>
          <w:sz w:val="20"/>
        </w:rPr>
        <w:t xml:space="preserve"> </w:t>
      </w:r>
      <w:r>
        <w:rPr>
          <w:smallCaps/>
          <w:sz w:val="20"/>
        </w:rPr>
        <w:t xml:space="preserve">A. Kluyskens, </w:t>
      </w:r>
      <w:r>
        <w:rPr>
          <w:i/>
          <w:sz w:val="20"/>
        </w:rPr>
        <w:t xml:space="preserve">Beginselen van Burgerlijk Recht – Zakenrecht, </w:t>
      </w:r>
      <w:r>
        <w:rPr>
          <w:sz w:val="20"/>
        </w:rPr>
        <w:t xml:space="preserve">Standaard, Gent 1940, 702; </w:t>
      </w:r>
      <w:r>
        <w:rPr>
          <w:smallCaps/>
          <w:sz w:val="20"/>
          <w:lang w:val="nl-BE"/>
        </w:rPr>
        <w:t xml:space="preserve">E. Dirix, </w:t>
      </w:r>
      <w:r>
        <w:rPr>
          <w:sz w:val="20"/>
          <w:lang w:val="nl-BE"/>
        </w:rPr>
        <w:t xml:space="preserve">“Het passief van het faillissement”, in </w:t>
      </w:r>
      <w:r>
        <w:rPr>
          <w:i/>
          <w:sz w:val="20"/>
          <w:lang w:val="nl-BE"/>
        </w:rPr>
        <w:t xml:space="preserve">Faillissement en reorganisatie, </w:t>
      </w:r>
      <w:r w:rsidRPr="00AF04BB">
        <w:rPr>
          <w:sz w:val="20"/>
          <w:lang w:val="nl-BE"/>
        </w:rPr>
        <w:t>Mechelen</w:t>
      </w:r>
      <w:r>
        <w:rPr>
          <w:i/>
          <w:sz w:val="20"/>
          <w:lang w:val="nl-BE"/>
        </w:rPr>
        <w:t xml:space="preserve">, </w:t>
      </w:r>
      <w:r>
        <w:rPr>
          <w:sz w:val="20"/>
          <w:lang w:val="nl-BE"/>
        </w:rPr>
        <w:t>Kluwer, 7;</w:t>
      </w:r>
      <w:r>
        <w:rPr>
          <w:sz w:val="20"/>
        </w:rPr>
        <w:t xml:space="preserve"> </w:t>
      </w:r>
      <w:r w:rsidRPr="00862B0F">
        <w:rPr>
          <w:smallCaps/>
          <w:sz w:val="20"/>
        </w:rPr>
        <w:t xml:space="preserve">R. Dekkers en E. Dirix, </w:t>
      </w:r>
      <w:r w:rsidRPr="00862B0F">
        <w:rPr>
          <w:i/>
          <w:sz w:val="20"/>
        </w:rPr>
        <w:t xml:space="preserve">Handboek Burgerlijk Recht – Deel II, </w:t>
      </w:r>
      <w:r w:rsidRPr="00862B0F">
        <w:rPr>
          <w:sz w:val="20"/>
        </w:rPr>
        <w:t xml:space="preserve">Antwerpen, Intersentia, 2005, </w:t>
      </w:r>
      <w:r>
        <w:rPr>
          <w:sz w:val="20"/>
        </w:rPr>
        <w:t>369;</w:t>
      </w:r>
      <w:r w:rsidRPr="008F510A">
        <w:rPr>
          <w:sz w:val="20"/>
        </w:rPr>
        <w:t xml:space="preserve"> </w:t>
      </w:r>
      <w:r w:rsidRPr="008F510A">
        <w:rPr>
          <w:smallCaps/>
          <w:sz w:val="20"/>
          <w:lang w:val="nl-BE"/>
        </w:rPr>
        <w:t>M.e. Storme, “</w:t>
      </w:r>
      <w:r w:rsidRPr="008F510A">
        <w:rPr>
          <w:sz w:val="20"/>
          <w:lang w:val="nl-BE"/>
        </w:rPr>
        <w:t xml:space="preserve">Actualia roerende zekerheden”, </w:t>
      </w:r>
      <w:r w:rsidRPr="008F510A">
        <w:rPr>
          <w:i/>
          <w:sz w:val="20"/>
          <w:lang w:val="nl-BE"/>
        </w:rPr>
        <w:t>Themis 2012</w:t>
      </w:r>
      <w:r w:rsidRPr="008F510A">
        <w:rPr>
          <w:sz w:val="20"/>
          <w:lang w:val="nl-BE"/>
        </w:rPr>
        <w:t>, Die Keure, Brussel 2015, 120.</w:t>
      </w:r>
      <w:r>
        <w:rPr>
          <w:sz w:val="20"/>
          <w:lang w:val="nl-BE"/>
        </w:rPr>
        <w:t xml:space="preserve"> </w:t>
      </w:r>
      <w:r w:rsidRPr="0059251D">
        <w:rPr>
          <w:sz w:val="20"/>
          <w:u w:val="single"/>
          <w:lang w:val="nl-BE"/>
        </w:rPr>
        <w:t>Frankrijk</w:t>
      </w:r>
      <w:r>
        <w:rPr>
          <w:sz w:val="20"/>
          <w:lang w:val="nl-BE"/>
        </w:rPr>
        <w:t xml:space="preserve">: </w:t>
      </w:r>
      <w:r>
        <w:rPr>
          <w:smallCaps/>
          <w:sz w:val="20"/>
          <w:lang w:val="nl-BE"/>
        </w:rPr>
        <w:t xml:space="preserve">P. Malaurie, L. Aynes, </w:t>
      </w:r>
      <w:r>
        <w:rPr>
          <w:i/>
          <w:sz w:val="20"/>
          <w:lang w:val="nl-BE"/>
        </w:rPr>
        <w:t xml:space="preserve">Les Biens, </w:t>
      </w:r>
      <w:r>
        <w:rPr>
          <w:sz w:val="20"/>
          <w:lang w:val="nl-BE"/>
        </w:rPr>
        <w:t>Parijs, Defrénois 2010, 180.</w:t>
      </w:r>
    </w:p>
  </w:footnote>
  <w:footnote w:id="107">
    <w:p w14:paraId="2375EAA9" w14:textId="26AA3ED8" w:rsidR="00C97F8C" w:rsidRPr="00862B0F" w:rsidRDefault="00C97F8C" w:rsidP="00B768BB">
      <w:pPr>
        <w:pStyle w:val="Voetnoottekst"/>
        <w:rPr>
          <w:sz w:val="20"/>
        </w:rPr>
      </w:pPr>
      <w:r w:rsidRPr="00DF3FC8">
        <w:rPr>
          <w:rStyle w:val="Voetnootmarkering"/>
          <w:sz w:val="20"/>
        </w:rPr>
        <w:footnoteRef/>
      </w:r>
      <w:r>
        <w:rPr>
          <w:sz w:val="20"/>
        </w:rPr>
        <w:t xml:space="preserve"> Artikel 23 Hypotheekwet; </w:t>
      </w:r>
      <w:r w:rsidRPr="00DF3FC8">
        <w:rPr>
          <w:sz w:val="20"/>
        </w:rPr>
        <w:t xml:space="preserve">Cass. 17 oktober 1984, </w:t>
      </w:r>
      <w:r w:rsidRPr="00DF3FC8">
        <w:rPr>
          <w:i/>
          <w:sz w:val="20"/>
        </w:rPr>
        <w:t xml:space="preserve">Pas. </w:t>
      </w:r>
      <w:r w:rsidRPr="00DF3FC8">
        <w:rPr>
          <w:sz w:val="20"/>
        </w:rPr>
        <w:t>1985;</w:t>
      </w:r>
      <w:r>
        <w:rPr>
          <w:sz w:val="20"/>
        </w:rPr>
        <w:t xml:space="preserve"> </w:t>
      </w:r>
      <w:r w:rsidRPr="004300AD">
        <w:rPr>
          <w:sz w:val="20"/>
        </w:rPr>
        <w:t xml:space="preserve">Antwerpen 21 december 1993, </w:t>
      </w:r>
      <w:r w:rsidRPr="00343421">
        <w:rPr>
          <w:i/>
          <w:sz w:val="20"/>
        </w:rPr>
        <w:t>RW</w:t>
      </w:r>
      <w:r w:rsidRPr="004300AD">
        <w:rPr>
          <w:sz w:val="20"/>
        </w:rPr>
        <w:t xml:space="preserve"> 1994-95, 331;</w:t>
      </w:r>
      <w:r>
        <w:rPr>
          <w:sz w:val="20"/>
        </w:rPr>
        <w:t xml:space="preserve"> Cass. 21 maart 2003, </w:t>
      </w:r>
      <w:r>
        <w:rPr>
          <w:i/>
          <w:sz w:val="20"/>
        </w:rPr>
        <w:t xml:space="preserve">Arr. Cass. </w:t>
      </w:r>
      <w:r>
        <w:rPr>
          <w:sz w:val="20"/>
        </w:rPr>
        <w:t>2003, 721;</w:t>
      </w:r>
      <w:r w:rsidRPr="004300AD">
        <w:rPr>
          <w:sz w:val="20"/>
        </w:rPr>
        <w:t xml:space="preserve"> Rb. Kortrijk 30 januar</w:t>
      </w:r>
      <w:r>
        <w:rPr>
          <w:sz w:val="20"/>
        </w:rPr>
        <w:t xml:space="preserve">i 2001, </w:t>
      </w:r>
      <w:r w:rsidRPr="00343421">
        <w:rPr>
          <w:i/>
          <w:sz w:val="20"/>
        </w:rPr>
        <w:t>RW</w:t>
      </w:r>
      <w:r>
        <w:rPr>
          <w:sz w:val="20"/>
        </w:rPr>
        <w:t xml:space="preserve"> 2000-2001, 1349; </w:t>
      </w:r>
      <w:r w:rsidRPr="004300AD">
        <w:rPr>
          <w:sz w:val="20"/>
        </w:rPr>
        <w:t>Antwerpen 16 november 2004, RW 2004-2005, 1147</w:t>
      </w:r>
      <w:r>
        <w:rPr>
          <w:sz w:val="20"/>
        </w:rPr>
        <w:t xml:space="preserve">; Kh. Ieper 1 maart 2001, </w:t>
      </w:r>
      <w:r w:rsidRPr="009E6A5B">
        <w:rPr>
          <w:i/>
          <w:sz w:val="20"/>
        </w:rPr>
        <w:t>TGR-TWVR</w:t>
      </w:r>
      <w:r w:rsidRPr="009E6A5B">
        <w:rPr>
          <w:i/>
          <w:smallCaps/>
          <w:sz w:val="20"/>
        </w:rPr>
        <w:t>F</w:t>
      </w:r>
      <w:r>
        <w:rPr>
          <w:smallCaps/>
          <w:sz w:val="20"/>
        </w:rPr>
        <w:t xml:space="preserve"> 2012, 121; E. Dirix, </w:t>
      </w:r>
      <w:r>
        <w:rPr>
          <w:sz w:val="20"/>
        </w:rPr>
        <w:t xml:space="preserve">“Het vuistpand”, </w:t>
      </w:r>
      <w:r>
        <w:rPr>
          <w:i/>
          <w:sz w:val="20"/>
        </w:rPr>
        <w:t xml:space="preserve">Voorrechten en hypotheken </w:t>
      </w:r>
      <w:r>
        <w:rPr>
          <w:sz w:val="20"/>
        </w:rPr>
        <w:t xml:space="preserve">2001, 5; </w:t>
      </w:r>
      <w:r w:rsidRPr="00862B0F">
        <w:rPr>
          <w:smallCaps/>
          <w:sz w:val="20"/>
        </w:rPr>
        <w:t xml:space="preserve">R. Dekkers en E. Dirix, </w:t>
      </w:r>
      <w:r w:rsidRPr="00862B0F">
        <w:rPr>
          <w:i/>
          <w:sz w:val="20"/>
        </w:rPr>
        <w:t xml:space="preserve">Handboek Burgerlijk Recht – Deel II, </w:t>
      </w:r>
      <w:r w:rsidRPr="00862B0F">
        <w:rPr>
          <w:sz w:val="20"/>
        </w:rPr>
        <w:t xml:space="preserve">Antwerpen, Intersentia, 2005, </w:t>
      </w:r>
      <w:r>
        <w:rPr>
          <w:sz w:val="20"/>
        </w:rPr>
        <w:t xml:space="preserve">369; </w:t>
      </w:r>
      <w:r w:rsidRPr="00DF3FC8">
        <w:rPr>
          <w:smallCaps/>
          <w:sz w:val="20"/>
        </w:rPr>
        <w:t xml:space="preserve">M. Storme, </w:t>
      </w:r>
      <w:r w:rsidRPr="00DF3FC8">
        <w:rPr>
          <w:i/>
          <w:sz w:val="20"/>
        </w:rPr>
        <w:t>I</w:t>
      </w:r>
      <w:r>
        <w:rPr>
          <w:i/>
          <w:sz w:val="20"/>
        </w:rPr>
        <w:t xml:space="preserve">nsolventierecht in kortbestek, </w:t>
      </w:r>
      <w:r w:rsidRPr="00DF3FC8">
        <w:rPr>
          <w:i/>
          <w:sz w:val="20"/>
        </w:rPr>
        <w:t xml:space="preserve">Gent-Mariakerke, </w:t>
      </w:r>
      <w:r>
        <w:rPr>
          <w:sz w:val="20"/>
        </w:rPr>
        <w:t xml:space="preserve">2011, 196; </w:t>
      </w:r>
      <w:proofErr w:type="spellStart"/>
      <w:r>
        <w:rPr>
          <w:smallCaps/>
          <w:sz w:val="20"/>
        </w:rPr>
        <w:t>M.e.</w:t>
      </w:r>
      <w:proofErr w:type="spellEnd"/>
      <w:r>
        <w:rPr>
          <w:smallCaps/>
          <w:sz w:val="20"/>
        </w:rPr>
        <w:t xml:space="preserve"> Storme, </w:t>
      </w:r>
      <w:r>
        <w:rPr>
          <w:sz w:val="20"/>
        </w:rPr>
        <w:t xml:space="preserve">“Overdracht van roerende goederen, vestiging van pandrecht, eigendomsvoorbehoud: een poging tot systematisatie” in </w:t>
      </w:r>
      <w:r>
        <w:rPr>
          <w:i/>
          <w:sz w:val="20"/>
        </w:rPr>
        <w:t xml:space="preserve">Zakenrecht; absoluut niet een rustig bezit, </w:t>
      </w:r>
      <w:r>
        <w:rPr>
          <w:sz w:val="20"/>
        </w:rPr>
        <w:t xml:space="preserve">1992, 485; </w:t>
      </w:r>
      <w:r w:rsidRPr="006D0A31">
        <w:rPr>
          <w:smallCaps/>
          <w:sz w:val="20"/>
          <w:lang w:val="nl-BE"/>
        </w:rPr>
        <w:t>M.e. Storme, “</w:t>
      </w:r>
      <w:r w:rsidRPr="006D0A31">
        <w:rPr>
          <w:sz w:val="20"/>
          <w:lang w:val="nl-BE"/>
        </w:rPr>
        <w:t xml:space="preserve">Actualia roerende zekerheden”, </w:t>
      </w:r>
      <w:r w:rsidRPr="006D0A31">
        <w:rPr>
          <w:i/>
          <w:sz w:val="20"/>
          <w:lang w:val="nl-BE"/>
        </w:rPr>
        <w:t>Themis 2012</w:t>
      </w:r>
      <w:r w:rsidRPr="006D0A31">
        <w:rPr>
          <w:sz w:val="20"/>
          <w:lang w:val="nl-BE"/>
        </w:rPr>
        <w:t>, Die Keure, Brussel 2015, 1</w:t>
      </w:r>
      <w:r>
        <w:rPr>
          <w:sz w:val="20"/>
          <w:lang w:val="nl-BE"/>
        </w:rPr>
        <w:t>20.</w:t>
      </w:r>
    </w:p>
  </w:footnote>
  <w:footnote w:id="108">
    <w:p w14:paraId="7DB82424" w14:textId="77777777" w:rsidR="00C97F8C" w:rsidRPr="006460FD" w:rsidRDefault="00C97F8C" w:rsidP="00B768BB">
      <w:pPr>
        <w:pStyle w:val="Voetnoottekst"/>
        <w:rPr>
          <w:sz w:val="20"/>
          <w:lang w:val="en-GB"/>
        </w:rPr>
      </w:pPr>
      <w:r w:rsidRPr="00862B0F">
        <w:rPr>
          <w:rStyle w:val="Voetnootmarkering"/>
          <w:sz w:val="20"/>
        </w:rPr>
        <w:footnoteRef/>
      </w:r>
      <w:r w:rsidRPr="006460FD">
        <w:rPr>
          <w:sz w:val="20"/>
          <w:lang w:val="en-GB"/>
        </w:rPr>
        <w:t xml:space="preserve"> Cass. 12 februari 2004, </w:t>
      </w:r>
      <w:r w:rsidRPr="006460FD">
        <w:rPr>
          <w:i/>
          <w:sz w:val="20"/>
          <w:lang w:val="en-GB"/>
        </w:rPr>
        <w:t xml:space="preserve">RW </w:t>
      </w:r>
      <w:r w:rsidRPr="006460FD">
        <w:rPr>
          <w:sz w:val="20"/>
          <w:lang w:val="en-GB"/>
        </w:rPr>
        <w:t xml:space="preserve">2004-05, 1179, noot M. </w:t>
      </w:r>
      <w:r w:rsidRPr="006460FD">
        <w:rPr>
          <w:smallCaps/>
          <w:sz w:val="20"/>
          <w:lang w:val="en-GB"/>
        </w:rPr>
        <w:t>Storme.</w:t>
      </w:r>
    </w:p>
  </w:footnote>
  <w:footnote w:id="109">
    <w:p w14:paraId="1C4F759D" w14:textId="77777777" w:rsidR="00C97F8C" w:rsidRPr="008035D9" w:rsidRDefault="00C97F8C" w:rsidP="00B768BB">
      <w:pPr>
        <w:pStyle w:val="Voetnoottekst"/>
        <w:rPr>
          <w:lang w:val="nl-BE"/>
        </w:rPr>
      </w:pPr>
      <w:r>
        <w:rPr>
          <w:rStyle w:val="Voetnootmarkering"/>
        </w:rPr>
        <w:footnoteRef/>
      </w:r>
      <w:r>
        <w:t xml:space="preserve"> </w:t>
      </w:r>
      <w:r w:rsidRPr="00862B0F">
        <w:rPr>
          <w:smallCaps/>
          <w:sz w:val="20"/>
        </w:rPr>
        <w:t xml:space="preserve">H.J. Snijders en E.B. Rank-Berenschoot, </w:t>
      </w:r>
      <w:r w:rsidRPr="00862B0F">
        <w:rPr>
          <w:i/>
          <w:sz w:val="20"/>
        </w:rPr>
        <w:t xml:space="preserve">Goederenrecht, </w:t>
      </w:r>
      <w:r>
        <w:rPr>
          <w:sz w:val="20"/>
        </w:rPr>
        <w:t>Deventer, Kluwer, 2012, 452.</w:t>
      </w:r>
    </w:p>
  </w:footnote>
  <w:footnote w:id="110">
    <w:p w14:paraId="2F5FB751" w14:textId="7C1347B7" w:rsidR="00C97F8C" w:rsidRPr="00862B0F" w:rsidRDefault="00C97F8C" w:rsidP="00B768BB">
      <w:pPr>
        <w:pStyle w:val="Voetnoottekst"/>
        <w:rPr>
          <w:sz w:val="20"/>
        </w:rPr>
      </w:pPr>
      <w:r w:rsidRPr="00862B0F">
        <w:rPr>
          <w:rStyle w:val="Voetnootmarkering"/>
          <w:sz w:val="20"/>
        </w:rPr>
        <w:footnoteRef/>
      </w:r>
      <w:r w:rsidRPr="00862B0F">
        <w:rPr>
          <w:sz w:val="20"/>
        </w:rPr>
        <w:t xml:space="preserve"> Cass. 12 februari 2004, </w:t>
      </w:r>
      <w:r w:rsidRPr="00862B0F">
        <w:rPr>
          <w:i/>
          <w:sz w:val="20"/>
        </w:rPr>
        <w:t xml:space="preserve">RW </w:t>
      </w:r>
      <w:r w:rsidRPr="00862B0F">
        <w:rPr>
          <w:sz w:val="20"/>
        </w:rPr>
        <w:t xml:space="preserve">2004-05, 1179, noot M. </w:t>
      </w:r>
      <w:r w:rsidRPr="00862B0F">
        <w:rPr>
          <w:smallCaps/>
          <w:sz w:val="20"/>
        </w:rPr>
        <w:t>Storme;</w:t>
      </w:r>
      <w:r>
        <w:rPr>
          <w:smallCaps/>
          <w:sz w:val="20"/>
        </w:rPr>
        <w:t xml:space="preserve"> </w:t>
      </w:r>
      <w:r>
        <w:rPr>
          <w:sz w:val="20"/>
        </w:rPr>
        <w:t xml:space="preserve">Cass. 26 november 2010, </w:t>
      </w:r>
      <w:r>
        <w:rPr>
          <w:i/>
          <w:sz w:val="20"/>
        </w:rPr>
        <w:t xml:space="preserve">RW </w:t>
      </w:r>
      <w:r>
        <w:rPr>
          <w:sz w:val="20"/>
        </w:rPr>
        <w:t>2010-11, 1227;</w:t>
      </w:r>
      <w:r>
        <w:rPr>
          <w:smallCaps/>
          <w:sz w:val="20"/>
        </w:rPr>
        <w:t xml:space="preserve"> </w:t>
      </w:r>
      <w:r>
        <w:rPr>
          <w:sz w:val="20"/>
        </w:rPr>
        <w:t xml:space="preserve">Antwerpen 21 december 1993, </w:t>
      </w:r>
      <w:r>
        <w:rPr>
          <w:i/>
          <w:sz w:val="20"/>
        </w:rPr>
        <w:t xml:space="preserve">RW </w:t>
      </w:r>
      <w:r>
        <w:rPr>
          <w:sz w:val="20"/>
        </w:rPr>
        <w:t xml:space="preserve">1994-95, 331; Kh. Ieper 1 maart 2001, </w:t>
      </w:r>
      <w:r w:rsidRPr="009E6A5B">
        <w:rPr>
          <w:i/>
          <w:sz w:val="20"/>
        </w:rPr>
        <w:t>TGR-TWVR</w:t>
      </w:r>
      <w:r w:rsidRPr="009E6A5B">
        <w:rPr>
          <w:i/>
          <w:smallCaps/>
          <w:sz w:val="20"/>
        </w:rPr>
        <w:t>F</w:t>
      </w:r>
      <w:r>
        <w:rPr>
          <w:smallCaps/>
          <w:sz w:val="20"/>
        </w:rPr>
        <w:t xml:space="preserve"> 2012, 121; </w:t>
      </w:r>
      <w:r>
        <w:rPr>
          <w:smallCaps/>
          <w:sz w:val="20"/>
          <w:lang w:val="nl-BE"/>
        </w:rPr>
        <w:t xml:space="preserve">A.-M. Strannart, </w:t>
      </w:r>
      <w:r>
        <w:rPr>
          <w:sz w:val="20"/>
          <w:lang w:val="nl-BE"/>
        </w:rPr>
        <w:t xml:space="preserve">“Les sûretés réelles traditionelles – Développements récents”, in </w:t>
      </w:r>
      <w:r>
        <w:rPr>
          <w:smallCaps/>
          <w:sz w:val="20"/>
          <w:lang w:val="nl-BE"/>
        </w:rPr>
        <w:t xml:space="preserve">A.-M. strannarts </w:t>
      </w:r>
      <w:r>
        <w:rPr>
          <w:sz w:val="20"/>
          <w:lang w:val="nl-BE"/>
        </w:rPr>
        <w:t xml:space="preserve">(ed.), </w:t>
      </w:r>
      <w:r>
        <w:rPr>
          <w:i/>
          <w:sz w:val="20"/>
          <w:lang w:val="nl-BE"/>
        </w:rPr>
        <w:t xml:space="preserve">Le droit des sûretés, </w:t>
      </w:r>
      <w:r>
        <w:rPr>
          <w:sz w:val="20"/>
          <w:lang w:val="nl-BE"/>
        </w:rPr>
        <w:t>Brussel, Editions Jeune Barreau, 78;</w:t>
      </w:r>
      <w:r>
        <w:rPr>
          <w:smallCaps/>
          <w:sz w:val="20"/>
        </w:rPr>
        <w:t xml:space="preserve"> E. Dirix, </w:t>
      </w:r>
      <w:r>
        <w:rPr>
          <w:sz w:val="20"/>
        </w:rPr>
        <w:t xml:space="preserve">“Het vuistpand”, </w:t>
      </w:r>
      <w:r>
        <w:rPr>
          <w:i/>
          <w:sz w:val="20"/>
        </w:rPr>
        <w:t xml:space="preserve">Voorrechten en hypotheken </w:t>
      </w:r>
      <w:r>
        <w:rPr>
          <w:sz w:val="20"/>
        </w:rPr>
        <w:t xml:space="preserve">2001, 5; </w:t>
      </w:r>
      <w:r>
        <w:rPr>
          <w:smallCaps/>
          <w:sz w:val="20"/>
          <w:lang w:val="nl-BE"/>
        </w:rPr>
        <w:t xml:space="preserve">E. Dirix, </w:t>
      </w:r>
      <w:r>
        <w:rPr>
          <w:sz w:val="20"/>
          <w:lang w:val="nl-BE"/>
        </w:rPr>
        <w:t xml:space="preserve">“Het passief van het faillissement”, in </w:t>
      </w:r>
      <w:r>
        <w:rPr>
          <w:i/>
          <w:sz w:val="20"/>
          <w:lang w:val="nl-BE"/>
        </w:rPr>
        <w:t xml:space="preserve">Faillissement en reorganisatie, </w:t>
      </w:r>
      <w:r w:rsidRPr="00AF04BB">
        <w:rPr>
          <w:sz w:val="20"/>
          <w:lang w:val="nl-BE"/>
        </w:rPr>
        <w:t>Mechelen</w:t>
      </w:r>
      <w:r>
        <w:rPr>
          <w:i/>
          <w:sz w:val="20"/>
          <w:lang w:val="nl-BE"/>
        </w:rPr>
        <w:t xml:space="preserve">, </w:t>
      </w:r>
      <w:r>
        <w:rPr>
          <w:sz w:val="20"/>
          <w:lang w:val="nl-BE"/>
        </w:rPr>
        <w:t>Kluwer, 7;</w:t>
      </w:r>
      <w:r w:rsidRPr="00862B0F">
        <w:rPr>
          <w:smallCaps/>
          <w:sz w:val="20"/>
        </w:rPr>
        <w:t xml:space="preserve"> R. Jansen, “</w:t>
      </w:r>
      <w:r w:rsidRPr="00862B0F">
        <w:rPr>
          <w:sz w:val="20"/>
        </w:rPr>
        <w:t xml:space="preserve">Algemene systematiek van voorrechten”, </w:t>
      </w:r>
      <w:r w:rsidRPr="00862B0F">
        <w:rPr>
          <w:i/>
          <w:sz w:val="20"/>
        </w:rPr>
        <w:t xml:space="preserve">TPR </w:t>
      </w:r>
      <w:r>
        <w:rPr>
          <w:sz w:val="20"/>
        </w:rPr>
        <w:t xml:space="preserve">2008, 19-20; </w:t>
      </w:r>
      <w:r w:rsidRPr="00862B0F">
        <w:rPr>
          <w:smallCaps/>
          <w:sz w:val="20"/>
        </w:rPr>
        <w:t xml:space="preserve">R. Dekkers en E. Dirix, </w:t>
      </w:r>
      <w:r w:rsidRPr="00862B0F">
        <w:rPr>
          <w:i/>
          <w:sz w:val="20"/>
        </w:rPr>
        <w:t xml:space="preserve">Handboek Burgerlijk Recht – Deel II, </w:t>
      </w:r>
      <w:r w:rsidRPr="00862B0F">
        <w:rPr>
          <w:sz w:val="20"/>
        </w:rPr>
        <w:t xml:space="preserve">Antwerpen, Intersentia, 2005, </w:t>
      </w:r>
      <w:r>
        <w:rPr>
          <w:sz w:val="20"/>
        </w:rPr>
        <w:t xml:space="preserve">369; </w:t>
      </w:r>
      <w:r w:rsidRPr="006D0A31">
        <w:rPr>
          <w:smallCaps/>
          <w:sz w:val="20"/>
          <w:lang w:val="nl-BE"/>
        </w:rPr>
        <w:t>M.e. Storme, “</w:t>
      </w:r>
      <w:r w:rsidRPr="006D0A31">
        <w:rPr>
          <w:sz w:val="20"/>
          <w:lang w:val="nl-BE"/>
        </w:rPr>
        <w:t xml:space="preserve">Actualia roerende zekerheden”, </w:t>
      </w:r>
      <w:r w:rsidRPr="006D0A31">
        <w:rPr>
          <w:i/>
          <w:sz w:val="20"/>
          <w:lang w:val="nl-BE"/>
        </w:rPr>
        <w:t>Themis 2012</w:t>
      </w:r>
      <w:r w:rsidRPr="006D0A31">
        <w:rPr>
          <w:sz w:val="20"/>
          <w:lang w:val="nl-BE"/>
        </w:rPr>
        <w:t>, Die Keure, Brussel 2015, 1</w:t>
      </w:r>
      <w:r>
        <w:rPr>
          <w:sz w:val="20"/>
          <w:lang w:val="nl-BE"/>
        </w:rPr>
        <w:t>20.</w:t>
      </w:r>
    </w:p>
  </w:footnote>
  <w:footnote w:id="111">
    <w:p w14:paraId="06086982" w14:textId="0AB3397C" w:rsidR="00C97F8C" w:rsidRPr="00862B0F" w:rsidRDefault="00C97F8C" w:rsidP="00B768BB">
      <w:pPr>
        <w:pStyle w:val="Voetnoottekst"/>
        <w:rPr>
          <w:i/>
          <w:sz w:val="20"/>
        </w:rPr>
      </w:pPr>
      <w:r w:rsidRPr="00862B0F">
        <w:rPr>
          <w:rStyle w:val="Voetnootmarkering"/>
          <w:sz w:val="20"/>
        </w:rPr>
        <w:footnoteRef/>
      </w:r>
      <w:r w:rsidRPr="006460FD">
        <w:rPr>
          <w:sz w:val="20"/>
          <w:lang w:val="en-GB"/>
        </w:rPr>
        <w:t xml:space="preserve"> Cass. 12 februari 2004, </w:t>
      </w:r>
      <w:r w:rsidRPr="006460FD">
        <w:rPr>
          <w:i/>
          <w:sz w:val="20"/>
          <w:lang w:val="en-GB"/>
        </w:rPr>
        <w:t xml:space="preserve">RW </w:t>
      </w:r>
      <w:r w:rsidRPr="006460FD">
        <w:rPr>
          <w:sz w:val="20"/>
          <w:lang w:val="en-GB"/>
        </w:rPr>
        <w:t xml:space="preserve">2004-05, 1179, noot M. </w:t>
      </w:r>
      <w:r w:rsidRPr="006460FD">
        <w:rPr>
          <w:smallCaps/>
          <w:sz w:val="20"/>
          <w:lang w:val="en-GB"/>
        </w:rPr>
        <w:t xml:space="preserve">Storme; </w:t>
      </w:r>
      <w:r w:rsidRPr="006460FD">
        <w:rPr>
          <w:sz w:val="20"/>
          <w:lang w:val="en-GB"/>
        </w:rPr>
        <w:t xml:space="preserve">Cass. 26 november 2010, </w:t>
      </w:r>
      <w:r w:rsidRPr="006460FD">
        <w:rPr>
          <w:i/>
          <w:sz w:val="20"/>
          <w:lang w:val="en-GB"/>
        </w:rPr>
        <w:t xml:space="preserve">RW </w:t>
      </w:r>
      <w:r w:rsidRPr="006460FD">
        <w:rPr>
          <w:sz w:val="20"/>
          <w:lang w:val="en-GB"/>
        </w:rPr>
        <w:t xml:space="preserve">2010-11, 1227; Cass. 10 oktober 2007, </w:t>
      </w:r>
      <w:r w:rsidRPr="006460FD">
        <w:rPr>
          <w:i/>
          <w:sz w:val="20"/>
          <w:lang w:val="en-GB"/>
        </w:rPr>
        <w:t xml:space="preserve">Arr. </w:t>
      </w:r>
      <w:r w:rsidRPr="00862B0F">
        <w:rPr>
          <w:i/>
          <w:sz w:val="20"/>
        </w:rPr>
        <w:t xml:space="preserve">Cass. 2007, </w:t>
      </w:r>
      <w:r w:rsidRPr="00CC55C7">
        <w:rPr>
          <w:sz w:val="20"/>
        </w:rPr>
        <w:t>1890</w:t>
      </w:r>
      <w:r>
        <w:rPr>
          <w:sz w:val="20"/>
        </w:rPr>
        <w:t xml:space="preserve">; Kh. Brussel 28 mei 1997, </w:t>
      </w:r>
      <w:r>
        <w:rPr>
          <w:i/>
          <w:sz w:val="20"/>
        </w:rPr>
        <w:t xml:space="preserve">TBH </w:t>
      </w:r>
      <w:r>
        <w:rPr>
          <w:sz w:val="20"/>
        </w:rPr>
        <w:t xml:space="preserve">1998, 836, noot </w:t>
      </w:r>
      <w:r>
        <w:rPr>
          <w:smallCaps/>
          <w:sz w:val="20"/>
        </w:rPr>
        <w:t xml:space="preserve">Buyle; E. Dirix, </w:t>
      </w:r>
      <w:r>
        <w:rPr>
          <w:sz w:val="20"/>
        </w:rPr>
        <w:t xml:space="preserve">“Het vuistpand”, </w:t>
      </w:r>
      <w:r>
        <w:rPr>
          <w:i/>
          <w:sz w:val="20"/>
        </w:rPr>
        <w:t xml:space="preserve">Voorrechten en hypotheken </w:t>
      </w:r>
      <w:r>
        <w:rPr>
          <w:sz w:val="20"/>
        </w:rPr>
        <w:t>2001, 5;</w:t>
      </w:r>
      <w:r w:rsidRPr="00862B0F">
        <w:rPr>
          <w:i/>
          <w:sz w:val="20"/>
        </w:rPr>
        <w:t xml:space="preserve"> </w:t>
      </w:r>
      <w:r w:rsidRPr="00862B0F">
        <w:rPr>
          <w:smallCaps/>
          <w:sz w:val="20"/>
        </w:rPr>
        <w:t xml:space="preserve">J. Del Corral, </w:t>
      </w:r>
      <w:r w:rsidRPr="00862B0F">
        <w:rPr>
          <w:i/>
          <w:sz w:val="20"/>
        </w:rPr>
        <w:t>De leveringsplicht bij de overdracht van roerende lichamelijke goederen</w:t>
      </w:r>
      <w:r w:rsidRPr="00862B0F">
        <w:rPr>
          <w:sz w:val="20"/>
        </w:rPr>
        <w:t>, Antwerpen, Intersentia, 2013, 439.</w:t>
      </w:r>
    </w:p>
  </w:footnote>
  <w:footnote w:id="112">
    <w:p w14:paraId="0BC453DB" w14:textId="77777777" w:rsidR="00C97F8C" w:rsidRPr="00637017" w:rsidRDefault="00C97F8C" w:rsidP="00B768BB">
      <w:pPr>
        <w:pStyle w:val="Voetnoottekst"/>
        <w:rPr>
          <w:smallCaps/>
          <w:lang w:val="nl-BE"/>
        </w:rPr>
      </w:pPr>
      <w:r>
        <w:rPr>
          <w:rStyle w:val="Voetnootmarkering"/>
        </w:rPr>
        <w:footnoteRef/>
      </w:r>
      <w:r>
        <w:t xml:space="preserve"> </w:t>
      </w:r>
      <w:r w:rsidRPr="00637017">
        <w:rPr>
          <w:sz w:val="20"/>
          <w:lang w:val="nl-BE"/>
        </w:rPr>
        <w:t xml:space="preserve">Cass. 4 december 2003, </w:t>
      </w:r>
      <w:r w:rsidRPr="00637017">
        <w:rPr>
          <w:i/>
          <w:sz w:val="20"/>
          <w:lang w:val="nl-BE"/>
        </w:rPr>
        <w:t xml:space="preserve">RW </w:t>
      </w:r>
      <w:r w:rsidRPr="00637017">
        <w:rPr>
          <w:sz w:val="20"/>
          <w:lang w:val="nl-BE"/>
        </w:rPr>
        <w:t>2004-05, 623</w:t>
      </w:r>
      <w:r>
        <w:rPr>
          <w:sz w:val="20"/>
          <w:lang w:val="nl-BE"/>
        </w:rPr>
        <w:t xml:space="preserve">, noot </w:t>
      </w:r>
      <w:r>
        <w:rPr>
          <w:smallCaps/>
          <w:sz w:val="20"/>
          <w:lang w:val="nl-BE"/>
        </w:rPr>
        <w:t xml:space="preserve">M.E. Storme. </w:t>
      </w:r>
    </w:p>
  </w:footnote>
  <w:footnote w:id="113">
    <w:p w14:paraId="05D1B1CF" w14:textId="77777777" w:rsidR="00C97F8C" w:rsidRPr="001215F2" w:rsidRDefault="00C97F8C" w:rsidP="00B768BB">
      <w:pPr>
        <w:pStyle w:val="Voetnoottekst"/>
        <w:rPr>
          <w:lang w:val="nl-BE"/>
        </w:rPr>
      </w:pPr>
      <w:r>
        <w:rPr>
          <w:rStyle w:val="Voetnootmarkering"/>
        </w:rPr>
        <w:footnoteRef/>
      </w:r>
      <w:r>
        <w:t xml:space="preserve"> </w:t>
      </w:r>
      <w:r>
        <w:rPr>
          <w:smallCaps/>
          <w:sz w:val="20"/>
        </w:rPr>
        <w:t xml:space="preserve">E. Dirix, </w:t>
      </w:r>
      <w:r>
        <w:rPr>
          <w:sz w:val="20"/>
        </w:rPr>
        <w:t xml:space="preserve">“Het vuistpand”, </w:t>
      </w:r>
      <w:r>
        <w:rPr>
          <w:i/>
          <w:sz w:val="20"/>
        </w:rPr>
        <w:t xml:space="preserve">Voorrechten en hypotheken </w:t>
      </w:r>
      <w:r>
        <w:rPr>
          <w:sz w:val="20"/>
        </w:rPr>
        <w:t>2001, 13.</w:t>
      </w:r>
    </w:p>
  </w:footnote>
  <w:footnote w:id="114">
    <w:p w14:paraId="589EFCFB" w14:textId="06D9736F" w:rsidR="00C97F8C" w:rsidRPr="000D5AFA" w:rsidRDefault="00C97F8C" w:rsidP="00B768BB">
      <w:pPr>
        <w:pStyle w:val="Voetnoottekst"/>
        <w:rPr>
          <w:lang w:val="nl-BE"/>
        </w:rPr>
      </w:pPr>
      <w:r>
        <w:rPr>
          <w:rStyle w:val="Voetnootmarkering"/>
        </w:rPr>
        <w:footnoteRef/>
      </w:r>
      <w:r>
        <w:t xml:space="preserve"> </w:t>
      </w:r>
      <w:r>
        <w:rPr>
          <w:smallCaps/>
          <w:sz w:val="20"/>
        </w:rPr>
        <w:t xml:space="preserve">R. Derine, F. Van Neste, H. Vandenberghe, </w:t>
      </w:r>
      <w:r>
        <w:rPr>
          <w:i/>
          <w:sz w:val="20"/>
        </w:rPr>
        <w:t xml:space="preserve">Zakenrecht – Deel 1.B, </w:t>
      </w:r>
      <w:r>
        <w:rPr>
          <w:sz w:val="20"/>
        </w:rPr>
        <w:t xml:space="preserve">Antwerpen, Standaard 1974, 927. </w:t>
      </w:r>
      <w:r>
        <w:rPr>
          <w:sz w:val="20"/>
          <w:u w:val="single"/>
        </w:rPr>
        <w:t xml:space="preserve">Frankrijk: </w:t>
      </w:r>
      <w:r>
        <w:rPr>
          <w:sz w:val="20"/>
        </w:rPr>
        <w:t>W</w:t>
      </w:r>
      <w:r>
        <w:rPr>
          <w:smallCaps/>
          <w:sz w:val="20"/>
        </w:rPr>
        <w:t xml:space="preserve">. Dross, </w:t>
      </w:r>
      <w:r>
        <w:rPr>
          <w:sz w:val="20"/>
        </w:rPr>
        <w:t xml:space="preserve">“Le singulier destin de l’article 2279 du Code Civil”, </w:t>
      </w:r>
      <w:r>
        <w:rPr>
          <w:i/>
          <w:sz w:val="20"/>
        </w:rPr>
        <w:t xml:space="preserve">RTD civ. </w:t>
      </w:r>
      <w:r>
        <w:rPr>
          <w:sz w:val="20"/>
        </w:rPr>
        <w:t xml:space="preserve">2006, 34. </w:t>
      </w:r>
    </w:p>
  </w:footnote>
  <w:footnote w:id="115">
    <w:p w14:paraId="665C1E85" w14:textId="77777777" w:rsidR="00C97F8C" w:rsidRPr="002349CD" w:rsidRDefault="00C97F8C" w:rsidP="00B768BB">
      <w:pPr>
        <w:pStyle w:val="Voetnoottekst"/>
        <w:rPr>
          <w:lang w:val="nl-BE"/>
        </w:rPr>
      </w:pPr>
      <w:r>
        <w:rPr>
          <w:rStyle w:val="Voetnootmarkering"/>
        </w:rPr>
        <w:footnoteRef/>
      </w:r>
      <w:r>
        <w:t xml:space="preserve"> </w:t>
      </w:r>
      <w:r w:rsidRPr="002349CD">
        <w:rPr>
          <w:sz w:val="20"/>
        </w:rPr>
        <w:t>W</w:t>
      </w:r>
      <w:r w:rsidRPr="002349CD">
        <w:rPr>
          <w:smallCaps/>
          <w:sz w:val="20"/>
        </w:rPr>
        <w:t>. Dross</w:t>
      </w:r>
      <w:r>
        <w:rPr>
          <w:smallCaps/>
          <w:sz w:val="20"/>
        </w:rPr>
        <w:t xml:space="preserve">, </w:t>
      </w:r>
      <w:r>
        <w:rPr>
          <w:sz w:val="20"/>
        </w:rPr>
        <w:t xml:space="preserve">“Le singulier destin de l’article 2279 du Code Civil”, </w:t>
      </w:r>
      <w:r>
        <w:rPr>
          <w:i/>
          <w:sz w:val="20"/>
        </w:rPr>
        <w:t xml:space="preserve">RTD civ. </w:t>
      </w:r>
      <w:r>
        <w:rPr>
          <w:sz w:val="20"/>
        </w:rPr>
        <w:t>2006, 34.</w:t>
      </w:r>
    </w:p>
  </w:footnote>
  <w:footnote w:id="116">
    <w:p w14:paraId="770BBF63"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sidRPr="00862B0F">
        <w:rPr>
          <w:smallCaps/>
          <w:sz w:val="20"/>
        </w:rPr>
        <w:t xml:space="preserve">H. De Page, </w:t>
      </w:r>
      <w:r w:rsidRPr="00862B0F">
        <w:rPr>
          <w:i/>
          <w:sz w:val="20"/>
        </w:rPr>
        <w:t xml:space="preserve">Traité élémentaire de droit civil Belge – IV – Les Biens, Les Sûretés, </w:t>
      </w:r>
      <w:r>
        <w:rPr>
          <w:sz w:val="20"/>
        </w:rPr>
        <w:t xml:space="preserve">Bruylant, Brussel 1953, 1070; </w:t>
      </w:r>
      <w:r>
        <w:rPr>
          <w:smallCaps/>
          <w:sz w:val="20"/>
          <w:lang w:val="nl-BE"/>
        </w:rPr>
        <w:t xml:space="preserve">E. Dirix, </w:t>
      </w:r>
      <w:r>
        <w:rPr>
          <w:sz w:val="20"/>
          <w:lang w:val="nl-BE"/>
        </w:rPr>
        <w:t xml:space="preserve">“Het passief van het faillissement”, in </w:t>
      </w:r>
      <w:r>
        <w:rPr>
          <w:i/>
          <w:sz w:val="20"/>
          <w:lang w:val="nl-BE"/>
        </w:rPr>
        <w:t xml:space="preserve">Faillissement en reorganisatie, </w:t>
      </w:r>
      <w:r w:rsidRPr="00AF04BB">
        <w:rPr>
          <w:sz w:val="20"/>
          <w:lang w:val="nl-BE"/>
        </w:rPr>
        <w:t>Mechelen</w:t>
      </w:r>
      <w:r>
        <w:rPr>
          <w:i/>
          <w:sz w:val="20"/>
          <w:lang w:val="nl-BE"/>
        </w:rPr>
        <w:t xml:space="preserve">, </w:t>
      </w:r>
      <w:r>
        <w:rPr>
          <w:sz w:val="20"/>
          <w:lang w:val="nl-BE"/>
        </w:rPr>
        <w:t xml:space="preserve">Kluwer 2001, 7; </w:t>
      </w:r>
      <w:r>
        <w:rPr>
          <w:smallCaps/>
          <w:sz w:val="20"/>
          <w:lang w:val="nl-BE"/>
        </w:rPr>
        <w:t xml:space="preserve">L. Lamine, </w:t>
      </w:r>
      <w:r>
        <w:rPr>
          <w:sz w:val="20"/>
          <w:lang w:val="nl-BE"/>
        </w:rPr>
        <w:t xml:space="preserve">“Artikel 2073 Burgerlijk Wetboek”, in X (ed.) </w:t>
      </w:r>
      <w:r>
        <w:rPr>
          <w:i/>
          <w:sz w:val="20"/>
          <w:lang w:val="nl-BE"/>
        </w:rPr>
        <w:t>Bijzondere overeenkomsten Artikelsgewijze commentaar met overzicht van rechtspraak en rechtsleer</w:t>
      </w:r>
      <w:r>
        <w:rPr>
          <w:sz w:val="20"/>
          <w:lang w:val="nl-BE"/>
        </w:rPr>
        <w:t>, 8.</w:t>
      </w:r>
    </w:p>
  </w:footnote>
  <w:footnote w:id="117">
    <w:p w14:paraId="18BA2876" w14:textId="77777777" w:rsidR="00C97F8C" w:rsidRPr="009626EF" w:rsidRDefault="00C97F8C" w:rsidP="00B768BB">
      <w:pPr>
        <w:pStyle w:val="Voetnoottekst"/>
        <w:rPr>
          <w:lang w:val="nl-BE"/>
        </w:rPr>
      </w:pPr>
      <w:r>
        <w:rPr>
          <w:rStyle w:val="Voetnootmarkering"/>
        </w:rPr>
        <w:footnoteRef/>
      </w:r>
      <w:r>
        <w:t xml:space="preserve"> </w:t>
      </w:r>
      <w:r>
        <w:rPr>
          <w:smallCaps/>
          <w:sz w:val="20"/>
        </w:rPr>
        <w:t xml:space="preserve">E. Dirix, </w:t>
      </w:r>
      <w:r>
        <w:rPr>
          <w:sz w:val="20"/>
        </w:rPr>
        <w:t xml:space="preserve">“Het vuistpand”, </w:t>
      </w:r>
      <w:r>
        <w:rPr>
          <w:i/>
          <w:sz w:val="20"/>
        </w:rPr>
        <w:t xml:space="preserve">Voorrechten en hypotheken </w:t>
      </w:r>
      <w:r>
        <w:rPr>
          <w:sz w:val="20"/>
        </w:rPr>
        <w:t>2001, 13.</w:t>
      </w:r>
    </w:p>
  </w:footnote>
  <w:footnote w:id="118">
    <w:p w14:paraId="38AEF522" w14:textId="619E1970" w:rsidR="00C97F8C" w:rsidRPr="007E29B0" w:rsidRDefault="00C97F8C" w:rsidP="00B768BB">
      <w:pPr>
        <w:pStyle w:val="Voetnoottekst"/>
        <w:rPr>
          <w:lang w:val="nl-BE"/>
        </w:rPr>
      </w:pPr>
      <w:r>
        <w:rPr>
          <w:rStyle w:val="Voetnootmarkering"/>
        </w:rPr>
        <w:footnoteRef/>
      </w:r>
      <w:r>
        <w:t xml:space="preserve"> </w:t>
      </w:r>
      <w:r>
        <w:rPr>
          <w:u w:val="single"/>
        </w:rPr>
        <w:t>Voor het pand op de handelszaak:</w:t>
      </w:r>
      <w:r>
        <w:t xml:space="preserve"> </w:t>
      </w:r>
      <w:r w:rsidRPr="00862B0F">
        <w:rPr>
          <w:sz w:val="20"/>
        </w:rPr>
        <w:t xml:space="preserve">Artikel 3 Wet van 25 oktober 1919 betreffende het in pand geven van de handelszaak, het disconto en het in pand geven van de factuur, alsmede de aanvaarding en de keuring van de rechtstreeks voor het verbruik gedane leveringen, </w:t>
      </w:r>
      <w:r w:rsidRPr="00862B0F">
        <w:rPr>
          <w:i/>
          <w:sz w:val="20"/>
        </w:rPr>
        <w:t xml:space="preserve">BS </w:t>
      </w:r>
      <w:r w:rsidRPr="00862B0F">
        <w:rPr>
          <w:sz w:val="20"/>
        </w:rPr>
        <w:t>5 november 1919</w:t>
      </w:r>
      <w:r>
        <w:rPr>
          <w:sz w:val="20"/>
        </w:rPr>
        <w:t xml:space="preserve">; </w:t>
      </w:r>
      <w:r w:rsidRPr="00862B0F">
        <w:rPr>
          <w:smallCaps/>
          <w:sz w:val="20"/>
        </w:rPr>
        <w:t xml:space="preserve">H. De Page, </w:t>
      </w:r>
      <w:r w:rsidRPr="00862B0F">
        <w:rPr>
          <w:i/>
          <w:sz w:val="20"/>
        </w:rPr>
        <w:t>Traité élém</w:t>
      </w:r>
      <w:r>
        <w:rPr>
          <w:i/>
          <w:sz w:val="20"/>
        </w:rPr>
        <w:t xml:space="preserve">entaire de droit civil Belge – </w:t>
      </w:r>
      <w:r w:rsidRPr="00862B0F">
        <w:rPr>
          <w:i/>
          <w:sz w:val="20"/>
        </w:rPr>
        <w:t>V</w:t>
      </w:r>
      <w:r>
        <w:rPr>
          <w:i/>
          <w:sz w:val="20"/>
        </w:rPr>
        <w:t>I</w:t>
      </w:r>
      <w:r w:rsidRPr="00862B0F">
        <w:rPr>
          <w:i/>
          <w:sz w:val="20"/>
        </w:rPr>
        <w:t xml:space="preserve"> – Les Biens, Les Sûretés, </w:t>
      </w:r>
      <w:r>
        <w:rPr>
          <w:sz w:val="20"/>
        </w:rPr>
        <w:t xml:space="preserve">Bruylant, Brussel 1953, 1127; </w:t>
      </w:r>
      <w:r>
        <w:rPr>
          <w:smallCaps/>
          <w:sz w:val="20"/>
          <w:lang w:val="nl-BE"/>
        </w:rPr>
        <w:t xml:space="preserve">W. Delva, </w:t>
      </w:r>
      <w:r>
        <w:rPr>
          <w:i/>
          <w:sz w:val="20"/>
          <w:lang w:val="nl-BE"/>
        </w:rPr>
        <w:t xml:space="preserve">Voorrechten en hypotheken, </w:t>
      </w:r>
      <w:r>
        <w:rPr>
          <w:sz w:val="20"/>
          <w:lang w:val="nl-BE"/>
        </w:rPr>
        <w:t>Gent, Story Scientia 1973, 90;</w:t>
      </w:r>
      <w:r>
        <w:rPr>
          <w:sz w:val="20"/>
        </w:rPr>
        <w:t xml:space="preserve"> </w:t>
      </w:r>
      <w:r w:rsidRPr="006921E5">
        <w:rPr>
          <w:smallCaps/>
          <w:sz w:val="20"/>
        </w:rPr>
        <w:t>I. Moreau-</w:t>
      </w:r>
      <w:proofErr w:type="spellStart"/>
      <w:r w:rsidRPr="006921E5">
        <w:rPr>
          <w:smallCaps/>
          <w:sz w:val="20"/>
        </w:rPr>
        <w:t>Margrève</w:t>
      </w:r>
      <w:r w:rsidRPr="006921E5">
        <w:rPr>
          <w:sz w:val="20"/>
        </w:rPr>
        <w:t>,“Heurs</w:t>
      </w:r>
      <w:proofErr w:type="spellEnd"/>
      <w:r w:rsidRPr="006921E5">
        <w:rPr>
          <w:sz w:val="20"/>
        </w:rPr>
        <w:t xml:space="preserve"> et maleurs du gage sur fonds de commerce”, </w:t>
      </w:r>
      <w:r w:rsidRPr="006921E5">
        <w:rPr>
          <w:i/>
          <w:sz w:val="20"/>
        </w:rPr>
        <w:t>RCJB</w:t>
      </w:r>
      <w:r w:rsidRPr="006921E5">
        <w:rPr>
          <w:sz w:val="20"/>
        </w:rPr>
        <w:t xml:space="preserve"> 1980, </w:t>
      </w:r>
      <w:r>
        <w:rPr>
          <w:sz w:val="20"/>
        </w:rPr>
        <w:t xml:space="preserve">141; </w:t>
      </w:r>
      <w:r w:rsidRPr="00862B0F">
        <w:rPr>
          <w:smallCaps/>
          <w:sz w:val="20"/>
        </w:rPr>
        <w:t xml:space="preserve">J. kokelenberg, </w:t>
      </w:r>
      <w:r w:rsidRPr="00862B0F">
        <w:rPr>
          <w:sz w:val="20"/>
        </w:rPr>
        <w:t xml:space="preserve">“Inpandgeving van handelszaak en andere voorrechten”, in </w:t>
      </w:r>
      <w:r w:rsidRPr="00862B0F">
        <w:rPr>
          <w:smallCaps/>
          <w:sz w:val="20"/>
        </w:rPr>
        <w:t xml:space="preserve">H. Casman, E. Dirix, R. De Corte, G. de Leval, J. kokelenberg, J.L. Ledoux, M. Storme,  H. Swennen, S. Van </w:t>
      </w:r>
      <w:r w:rsidRPr="00D95044">
        <w:rPr>
          <w:smallCaps/>
          <w:sz w:val="20"/>
        </w:rPr>
        <w:t>Crombrugge</w:t>
      </w:r>
      <w:r w:rsidRPr="00862B0F">
        <w:rPr>
          <w:smallCaps/>
          <w:sz w:val="20"/>
        </w:rPr>
        <w:t xml:space="preserve">, F. Van </w:t>
      </w:r>
      <w:proofErr w:type="spellStart"/>
      <w:r w:rsidRPr="00862B0F">
        <w:rPr>
          <w:smallCaps/>
          <w:sz w:val="20"/>
        </w:rPr>
        <w:t>Nese</w:t>
      </w:r>
      <w:proofErr w:type="spellEnd"/>
      <w:r w:rsidRPr="00862B0F">
        <w:rPr>
          <w:smallCaps/>
          <w:sz w:val="20"/>
        </w:rPr>
        <w:t xml:space="preserve">, A. Van Oevelen, H. Vuye  </w:t>
      </w:r>
      <w:r w:rsidRPr="00862B0F">
        <w:rPr>
          <w:sz w:val="20"/>
        </w:rPr>
        <w:t xml:space="preserve">(eds.), </w:t>
      </w:r>
      <w:r w:rsidRPr="00862B0F">
        <w:rPr>
          <w:i/>
          <w:sz w:val="20"/>
        </w:rPr>
        <w:t xml:space="preserve">Het Zakenrecht, absoluut niet een rustig bezit, </w:t>
      </w:r>
      <w:r w:rsidRPr="00862B0F">
        <w:rPr>
          <w:sz w:val="20"/>
        </w:rPr>
        <w:t>Kluwer Rechtswetenschappen, Antwerpen</w:t>
      </w:r>
      <w:r>
        <w:rPr>
          <w:sz w:val="20"/>
        </w:rPr>
        <w:t xml:space="preserve"> 1992</w:t>
      </w:r>
      <w:r w:rsidRPr="00862B0F">
        <w:rPr>
          <w:sz w:val="20"/>
        </w:rPr>
        <w:t>, 177;</w:t>
      </w:r>
      <w:r>
        <w:rPr>
          <w:sz w:val="20"/>
        </w:rPr>
        <w:t xml:space="preserve"> </w:t>
      </w:r>
      <w:r>
        <w:rPr>
          <w:smallCaps/>
          <w:sz w:val="20"/>
        </w:rPr>
        <w:t xml:space="preserve">J. Cattaruza, </w:t>
      </w:r>
      <w:r>
        <w:rPr>
          <w:i/>
          <w:sz w:val="20"/>
        </w:rPr>
        <w:t xml:space="preserve">Le gage sur le fonds de commerce, </w:t>
      </w:r>
      <w:r>
        <w:rPr>
          <w:sz w:val="20"/>
        </w:rPr>
        <w:t xml:space="preserve">Diegem, Kluwer 1997, 51; </w:t>
      </w:r>
      <w:r>
        <w:rPr>
          <w:smallCaps/>
          <w:sz w:val="20"/>
        </w:rPr>
        <w:t xml:space="preserve">E. Dirix, </w:t>
      </w:r>
      <w:r>
        <w:rPr>
          <w:sz w:val="20"/>
        </w:rPr>
        <w:t xml:space="preserve">“Het vuistpand”, </w:t>
      </w:r>
      <w:r>
        <w:rPr>
          <w:i/>
          <w:sz w:val="20"/>
        </w:rPr>
        <w:t xml:space="preserve">Voorrechten en hypotheken </w:t>
      </w:r>
      <w:r>
        <w:rPr>
          <w:sz w:val="20"/>
        </w:rPr>
        <w:t xml:space="preserve">2001, 2; </w:t>
      </w:r>
      <w:r>
        <w:rPr>
          <w:smallCaps/>
          <w:sz w:val="20"/>
          <w:lang w:val="nl-BE"/>
        </w:rPr>
        <w:t xml:space="preserve">E. Dirix, </w:t>
      </w:r>
      <w:r>
        <w:rPr>
          <w:sz w:val="20"/>
          <w:lang w:val="nl-BE"/>
        </w:rPr>
        <w:t xml:space="preserve">“Het passief van het faillissement”, in </w:t>
      </w:r>
      <w:r>
        <w:rPr>
          <w:i/>
          <w:sz w:val="20"/>
          <w:lang w:val="nl-BE"/>
        </w:rPr>
        <w:t xml:space="preserve">Faillissement en reorganisatie, </w:t>
      </w:r>
      <w:r w:rsidRPr="00AF04BB">
        <w:rPr>
          <w:sz w:val="20"/>
          <w:lang w:val="nl-BE"/>
        </w:rPr>
        <w:t>Mechelen</w:t>
      </w:r>
      <w:r>
        <w:rPr>
          <w:i/>
          <w:sz w:val="20"/>
          <w:lang w:val="nl-BE"/>
        </w:rPr>
        <w:t xml:space="preserve">, </w:t>
      </w:r>
      <w:r>
        <w:rPr>
          <w:sz w:val="20"/>
          <w:lang w:val="nl-BE"/>
        </w:rPr>
        <w:t xml:space="preserve">Kluwer, 38,41; </w:t>
      </w:r>
      <w:r>
        <w:rPr>
          <w:smallCaps/>
          <w:sz w:val="20"/>
        </w:rPr>
        <w:t xml:space="preserve">B. Du Laing, </w:t>
      </w:r>
      <w:r>
        <w:rPr>
          <w:sz w:val="20"/>
        </w:rPr>
        <w:t xml:space="preserve">“Het pand op de handelszaak: een algemeen overzicht en enkele recente ontwikkelingen”, in </w:t>
      </w:r>
      <w:r>
        <w:rPr>
          <w:smallCaps/>
          <w:sz w:val="20"/>
        </w:rPr>
        <w:t xml:space="preserve">F. Bouckaert, J. Byttebier, B. Du Laing, H. Pelgroms, N. Torfs, W. Van De Putte, P. Verbanck, L. Weyts </w:t>
      </w:r>
      <w:r>
        <w:rPr>
          <w:sz w:val="20"/>
        </w:rPr>
        <w:t xml:space="preserve">(eds.), </w:t>
      </w:r>
      <w:r>
        <w:rPr>
          <w:i/>
          <w:sz w:val="20"/>
        </w:rPr>
        <w:t xml:space="preserve">Notariële aspecten van de handelszaak en de handelshuur, </w:t>
      </w:r>
      <w:r>
        <w:rPr>
          <w:sz w:val="20"/>
        </w:rPr>
        <w:t>Antwerpen, Maklu 2005, 125;</w:t>
      </w:r>
      <w:r w:rsidRPr="002F653A">
        <w:t xml:space="preserve"> </w:t>
      </w:r>
      <w:r w:rsidRPr="0052151B">
        <w:rPr>
          <w:smallCaps/>
          <w:sz w:val="20"/>
        </w:rPr>
        <w:t>K. Byttebier</w:t>
      </w:r>
      <w:r w:rsidRPr="0052151B">
        <w:rPr>
          <w:sz w:val="20"/>
        </w:rPr>
        <w:t xml:space="preserve">, Voorrechten en hypotheken ̧ Antwerpen, Maklu, 2005, </w:t>
      </w:r>
      <w:r w:rsidRPr="002F653A">
        <w:rPr>
          <w:sz w:val="20"/>
        </w:rPr>
        <w:t>400</w:t>
      </w:r>
      <w:r>
        <w:rPr>
          <w:sz w:val="20"/>
        </w:rPr>
        <w:t xml:space="preserve">; </w:t>
      </w:r>
      <w:r w:rsidRPr="00862B0F">
        <w:rPr>
          <w:sz w:val="20"/>
        </w:rPr>
        <w:t xml:space="preserve">R. </w:t>
      </w:r>
      <w:r w:rsidRPr="00862B0F">
        <w:rPr>
          <w:smallCaps/>
          <w:sz w:val="20"/>
        </w:rPr>
        <w:t xml:space="preserve">De Corte en E. Dirix, </w:t>
      </w:r>
      <w:r w:rsidRPr="00862B0F">
        <w:rPr>
          <w:i/>
          <w:sz w:val="20"/>
        </w:rPr>
        <w:t xml:space="preserve">Beginselen van Belgisch Privaatrecht – XII – Zekerheidsrechten, </w:t>
      </w:r>
      <w:r w:rsidRPr="00862B0F">
        <w:rPr>
          <w:sz w:val="20"/>
        </w:rPr>
        <w:t>Kluwer, Antwerpen 2006, 353</w:t>
      </w:r>
      <w:r>
        <w:rPr>
          <w:sz w:val="20"/>
        </w:rPr>
        <w:t xml:space="preserve">; </w:t>
      </w:r>
      <w:r>
        <w:rPr>
          <w:smallCaps/>
          <w:sz w:val="20"/>
        </w:rPr>
        <w:t>M.E. Storme</w:t>
      </w:r>
      <w:r w:rsidRPr="00862B0F">
        <w:rPr>
          <w:sz w:val="20"/>
        </w:rPr>
        <w:t xml:space="preserve">, “Paritas </w:t>
      </w:r>
      <w:proofErr w:type="spellStart"/>
      <w:r w:rsidRPr="00862B0F">
        <w:rPr>
          <w:sz w:val="20"/>
        </w:rPr>
        <w:t>creditorum</w:t>
      </w:r>
      <w:proofErr w:type="spellEnd"/>
      <w:r w:rsidRPr="00862B0F">
        <w:rPr>
          <w:sz w:val="20"/>
        </w:rPr>
        <w:t>, voorrang en roerende zeker</w:t>
      </w:r>
      <w:r>
        <w:rPr>
          <w:sz w:val="20"/>
        </w:rPr>
        <w:t xml:space="preserve">heden”, </w:t>
      </w:r>
      <w:r w:rsidRPr="00E23531">
        <w:rPr>
          <w:i/>
          <w:sz w:val="20"/>
        </w:rPr>
        <w:t>T.P.R</w:t>
      </w:r>
      <w:r>
        <w:rPr>
          <w:sz w:val="20"/>
        </w:rPr>
        <w:t xml:space="preserve">. 2006, 1012; </w:t>
      </w:r>
      <w:r>
        <w:rPr>
          <w:sz w:val="20"/>
          <w:u w:val="single"/>
        </w:rPr>
        <w:t>Voor het landbouwvoorrecht:</w:t>
      </w:r>
      <w:r>
        <w:rPr>
          <w:sz w:val="20"/>
        </w:rPr>
        <w:t xml:space="preserve"> </w:t>
      </w:r>
      <w:r>
        <w:rPr>
          <w:smallCaps/>
          <w:sz w:val="20"/>
        </w:rPr>
        <w:t xml:space="preserve">A. Cuypers, </w:t>
      </w:r>
      <w:r>
        <w:rPr>
          <w:sz w:val="20"/>
        </w:rPr>
        <w:t xml:space="preserve">“Wet 25 oktober 1919”, in </w:t>
      </w:r>
      <w:r>
        <w:rPr>
          <w:i/>
          <w:sz w:val="20"/>
        </w:rPr>
        <w:t xml:space="preserve">Voorrechten en hypotheken </w:t>
      </w:r>
      <w:r>
        <w:rPr>
          <w:sz w:val="20"/>
        </w:rPr>
        <w:t xml:space="preserve">2007, 64; </w:t>
      </w:r>
      <w:r>
        <w:rPr>
          <w:smallCaps/>
          <w:sz w:val="20"/>
        </w:rPr>
        <w:t>A. De Wilde, “</w:t>
      </w:r>
      <w:r>
        <w:rPr>
          <w:sz w:val="20"/>
        </w:rPr>
        <w:t>Het klassieke pand en het pand op de handelszaak” in X (</w:t>
      </w:r>
      <w:proofErr w:type="spellStart"/>
      <w:r>
        <w:rPr>
          <w:sz w:val="20"/>
        </w:rPr>
        <w:t>ed</w:t>
      </w:r>
      <w:proofErr w:type="spellEnd"/>
      <w:r>
        <w:rPr>
          <w:sz w:val="20"/>
        </w:rPr>
        <w:t xml:space="preserve">) </w:t>
      </w:r>
      <w:r>
        <w:rPr>
          <w:i/>
          <w:sz w:val="20"/>
        </w:rPr>
        <w:t>Het pand -  Van een oude naar een moderne zekerheid</w:t>
      </w:r>
      <w:r>
        <w:rPr>
          <w:sz w:val="20"/>
        </w:rPr>
        <w:t xml:space="preserve"> (eds), Brussel, Die Keure, 2012, 24. </w:t>
      </w:r>
      <w:r w:rsidRPr="00420C44">
        <w:rPr>
          <w:smallCaps/>
          <w:sz w:val="20"/>
          <w:lang w:val="nl-BE"/>
        </w:rPr>
        <w:t xml:space="preserve">A. Kluyskens, </w:t>
      </w:r>
      <w:r w:rsidRPr="00420C44">
        <w:rPr>
          <w:i/>
          <w:sz w:val="20"/>
          <w:lang w:val="nl-BE"/>
        </w:rPr>
        <w:t xml:space="preserve">Voorrechten en hypotheken, </w:t>
      </w:r>
      <w:r w:rsidRPr="00420C44">
        <w:rPr>
          <w:sz w:val="20"/>
          <w:lang w:val="nl-BE"/>
        </w:rPr>
        <w:t>Gent, Standaard Boekhandel 1951, 122</w:t>
      </w:r>
      <w:r>
        <w:rPr>
          <w:sz w:val="20"/>
          <w:lang w:val="nl-BE"/>
        </w:rPr>
        <w:t xml:space="preserve">; </w:t>
      </w:r>
      <w:r>
        <w:rPr>
          <w:smallCaps/>
          <w:sz w:val="20"/>
          <w:lang w:val="nl-BE"/>
        </w:rPr>
        <w:t>R. Derycke, “</w:t>
      </w:r>
      <w:r w:rsidRPr="003C636A">
        <w:rPr>
          <w:sz w:val="20"/>
          <w:lang w:val="nl-BE"/>
        </w:rPr>
        <w:t>Voorrechten</w:t>
      </w:r>
      <w:r>
        <w:rPr>
          <w:i/>
          <w:sz w:val="20"/>
          <w:lang w:val="nl-BE"/>
        </w:rPr>
        <w:t xml:space="preserve">”, APR </w:t>
      </w:r>
      <w:r>
        <w:rPr>
          <w:sz w:val="20"/>
          <w:lang w:val="nl-BE"/>
        </w:rPr>
        <w:t>1958, 96;</w:t>
      </w:r>
      <w:r>
        <w:rPr>
          <w:i/>
          <w:sz w:val="20"/>
          <w:lang w:val="nl-BE"/>
        </w:rPr>
        <w:t xml:space="preserve"> </w:t>
      </w:r>
      <w:r>
        <w:rPr>
          <w:sz w:val="20"/>
          <w:lang w:val="nl-BE"/>
        </w:rPr>
        <w:t xml:space="preserve"> </w:t>
      </w:r>
      <w:r>
        <w:rPr>
          <w:smallCaps/>
          <w:sz w:val="20"/>
          <w:lang w:val="nl-BE"/>
        </w:rPr>
        <w:t xml:space="preserve">W. Delva, </w:t>
      </w:r>
      <w:r>
        <w:rPr>
          <w:i/>
          <w:sz w:val="20"/>
          <w:lang w:val="nl-BE"/>
        </w:rPr>
        <w:t xml:space="preserve">Voorrechten en hypotheken, </w:t>
      </w:r>
      <w:r>
        <w:rPr>
          <w:sz w:val="20"/>
          <w:lang w:val="nl-BE"/>
        </w:rPr>
        <w:t xml:space="preserve">Gent, Story Scientia 1973, 86; </w:t>
      </w:r>
      <w:r>
        <w:rPr>
          <w:smallCaps/>
          <w:sz w:val="20"/>
        </w:rPr>
        <w:t xml:space="preserve">G. Van </w:t>
      </w:r>
      <w:proofErr w:type="spellStart"/>
      <w:r>
        <w:rPr>
          <w:smallCaps/>
          <w:sz w:val="20"/>
        </w:rPr>
        <w:t>Haeghenborghg</w:t>
      </w:r>
      <w:proofErr w:type="spellEnd"/>
      <w:r>
        <w:rPr>
          <w:smallCaps/>
          <w:sz w:val="20"/>
        </w:rPr>
        <w:t xml:space="preserve">, </w:t>
      </w:r>
      <w:r>
        <w:rPr>
          <w:sz w:val="20"/>
        </w:rPr>
        <w:t xml:space="preserve">“Over de samenloop van de niet-betaalde verkoper en de houder van het landbouwvoorrecht”, </w:t>
      </w:r>
      <w:r>
        <w:rPr>
          <w:i/>
          <w:sz w:val="20"/>
        </w:rPr>
        <w:t xml:space="preserve">RW </w:t>
      </w:r>
      <w:r>
        <w:rPr>
          <w:sz w:val="20"/>
        </w:rPr>
        <w:t>1993-94, 988 (noot onder Cass. 17 februari 1993);</w:t>
      </w:r>
      <w:r>
        <w:rPr>
          <w:sz w:val="20"/>
          <w:lang w:val="nl-BE"/>
        </w:rPr>
        <w:t xml:space="preserve"> </w:t>
      </w:r>
      <w:r>
        <w:rPr>
          <w:smallCaps/>
          <w:sz w:val="20"/>
          <w:lang w:val="nl-BE"/>
        </w:rPr>
        <w:t xml:space="preserve">J.-L. Ledoux, </w:t>
      </w:r>
      <w:r>
        <w:rPr>
          <w:i/>
          <w:sz w:val="20"/>
          <w:lang w:val="nl-BE"/>
        </w:rPr>
        <w:t xml:space="preserve">Les sûretés réelles -  chronique de jurisprudence, </w:t>
      </w:r>
      <w:r>
        <w:rPr>
          <w:sz w:val="20"/>
          <w:lang w:val="nl-BE"/>
        </w:rPr>
        <w:t xml:space="preserve">Brussel, Larcier 2003, 87; </w:t>
      </w:r>
      <w:r>
        <w:rPr>
          <w:smallCaps/>
          <w:sz w:val="20"/>
        </w:rPr>
        <w:t>F. ‘T Kind</w:t>
      </w:r>
      <w:r w:rsidRPr="00EA4E18">
        <w:rPr>
          <w:sz w:val="20"/>
        </w:rPr>
        <w:t>, Sûretés et principes généraux du droit de poursuite des créanci</w:t>
      </w:r>
      <w:r>
        <w:rPr>
          <w:sz w:val="20"/>
        </w:rPr>
        <w:t>ers, Brussel, Larcier, 2004, 134.</w:t>
      </w:r>
    </w:p>
  </w:footnote>
  <w:footnote w:id="119">
    <w:p w14:paraId="2AFEF105" w14:textId="79EA2161" w:rsidR="00C97F8C" w:rsidRPr="00BB6845" w:rsidRDefault="00C97F8C" w:rsidP="00B768BB">
      <w:pPr>
        <w:pStyle w:val="Voetnoottekst"/>
        <w:rPr>
          <w:i/>
          <w:sz w:val="20"/>
        </w:rPr>
      </w:pPr>
      <w:r>
        <w:rPr>
          <w:rStyle w:val="Voetnootmarkering"/>
        </w:rPr>
        <w:footnoteRef/>
      </w:r>
      <w:r>
        <w:t xml:space="preserve"> </w:t>
      </w:r>
      <w:r>
        <w:rPr>
          <w:sz w:val="20"/>
        </w:rPr>
        <w:t xml:space="preserve">Artikel L. 142-1 e.v. Code de Commerce; </w:t>
      </w:r>
      <w:r>
        <w:rPr>
          <w:smallCaps/>
          <w:sz w:val="20"/>
        </w:rPr>
        <w:t>J. Déruppré, “</w:t>
      </w:r>
      <w:r w:rsidRPr="003A3F8C">
        <w:rPr>
          <w:sz w:val="20"/>
        </w:rPr>
        <w:t>Nantissement de fonds de commerce</w:t>
      </w:r>
      <w:r>
        <w:rPr>
          <w:sz w:val="20"/>
        </w:rPr>
        <w:t>”</w:t>
      </w:r>
      <w:r>
        <w:rPr>
          <w:i/>
          <w:sz w:val="20"/>
        </w:rPr>
        <w:t xml:space="preserve">, Repertoire de droit commercial </w:t>
      </w:r>
      <w:r>
        <w:rPr>
          <w:sz w:val="20"/>
        </w:rPr>
        <w:t>2000, 1</w:t>
      </w:r>
      <w:r>
        <w:rPr>
          <w:sz w:val="20"/>
          <w:lang w:val="nl-BE"/>
        </w:rPr>
        <w:t xml:space="preserve">; </w:t>
      </w:r>
      <w:r>
        <w:rPr>
          <w:smallCaps/>
          <w:sz w:val="20"/>
        </w:rPr>
        <w:t>P. Bouteiller, “</w:t>
      </w:r>
      <w:r w:rsidRPr="00447F6A">
        <w:rPr>
          <w:sz w:val="20"/>
        </w:rPr>
        <w:t>Le gage de stocks de biens ou de marchandises</w:t>
      </w:r>
      <w:r>
        <w:rPr>
          <w:i/>
          <w:sz w:val="20"/>
        </w:rPr>
        <w:t xml:space="preserve">”, </w:t>
      </w:r>
      <w:r w:rsidRPr="00447F6A">
        <w:rPr>
          <w:i/>
          <w:sz w:val="20"/>
        </w:rPr>
        <w:t>Semaine Juridique Entreprise et Affaires</w:t>
      </w:r>
      <w:r>
        <w:rPr>
          <w:i/>
          <w:sz w:val="20"/>
        </w:rPr>
        <w:t xml:space="preserve"> </w:t>
      </w:r>
      <w:r>
        <w:rPr>
          <w:sz w:val="20"/>
        </w:rPr>
        <w:t xml:space="preserve">2006, 808-810; </w:t>
      </w:r>
      <w:r>
        <w:rPr>
          <w:smallCaps/>
          <w:sz w:val="20"/>
        </w:rPr>
        <w:t>C. Albiges, Y. Picod, “</w:t>
      </w:r>
      <w:r w:rsidRPr="00AB005D">
        <w:rPr>
          <w:sz w:val="20"/>
        </w:rPr>
        <w:t>Nantissemen</w:t>
      </w:r>
      <w:r>
        <w:rPr>
          <w:sz w:val="20"/>
        </w:rPr>
        <w:t>t”</w:t>
      </w:r>
      <w:r>
        <w:rPr>
          <w:i/>
          <w:sz w:val="20"/>
        </w:rPr>
        <w:t xml:space="preserve">, Repertoire de droit Commercial </w:t>
      </w:r>
      <w:r>
        <w:rPr>
          <w:sz w:val="20"/>
        </w:rPr>
        <w:t xml:space="preserve">2008, 12; </w:t>
      </w:r>
      <w:r>
        <w:rPr>
          <w:smallCaps/>
          <w:sz w:val="20"/>
          <w:lang w:val="nl-BE"/>
        </w:rPr>
        <w:t xml:space="preserve">M. Cabrillac, C. Mouly, S. Cabrillac, P. Pétel, </w:t>
      </w:r>
      <w:r>
        <w:rPr>
          <w:i/>
          <w:sz w:val="20"/>
          <w:lang w:val="nl-BE"/>
        </w:rPr>
        <w:t xml:space="preserve">Droit des sûretés, </w:t>
      </w:r>
      <w:r>
        <w:rPr>
          <w:sz w:val="20"/>
          <w:lang w:val="nl-BE"/>
        </w:rPr>
        <w:t xml:space="preserve">Parijs, Litec 2010, 573; </w:t>
      </w:r>
      <w:r w:rsidRPr="00EA33F9">
        <w:rPr>
          <w:smallCaps/>
          <w:sz w:val="20"/>
          <w:lang w:val="nl-BE"/>
        </w:rPr>
        <w:t>Y. Picod</w:t>
      </w:r>
      <w:r w:rsidRPr="00EA33F9">
        <w:rPr>
          <w:sz w:val="20"/>
          <w:lang w:val="nl-BE"/>
        </w:rPr>
        <w:t xml:space="preserve">, </w:t>
      </w:r>
      <w:r w:rsidRPr="00EA33F9">
        <w:rPr>
          <w:i/>
          <w:sz w:val="20"/>
          <w:lang w:val="nl-BE"/>
        </w:rPr>
        <w:t xml:space="preserve">Droit des sûretés, </w:t>
      </w:r>
      <w:r w:rsidRPr="00EA33F9">
        <w:rPr>
          <w:sz w:val="20"/>
          <w:lang w:val="nl-BE"/>
        </w:rPr>
        <w:t>Parijs, Presses Universitaires franç</w:t>
      </w:r>
      <w:r>
        <w:rPr>
          <w:sz w:val="20"/>
          <w:lang w:val="nl-BE"/>
        </w:rPr>
        <w:t>aises 2010, 237, 327;</w:t>
      </w:r>
      <w:r>
        <w:rPr>
          <w:sz w:val="20"/>
        </w:rPr>
        <w:t xml:space="preserve"> </w:t>
      </w:r>
      <w:r>
        <w:rPr>
          <w:smallCaps/>
          <w:sz w:val="20"/>
        </w:rPr>
        <w:t xml:space="preserve">D. Legeais, </w:t>
      </w:r>
      <w:r>
        <w:rPr>
          <w:i/>
          <w:sz w:val="20"/>
        </w:rPr>
        <w:t xml:space="preserve">Sûretés et garanties du crédit, </w:t>
      </w:r>
      <w:r>
        <w:rPr>
          <w:sz w:val="20"/>
        </w:rPr>
        <w:t xml:space="preserve">Parijs, LGDJ Lextenso éditions 2011, </w:t>
      </w:r>
      <w:r w:rsidRPr="00745ACC">
        <w:rPr>
          <w:sz w:val="20"/>
        </w:rPr>
        <w:t>417</w:t>
      </w:r>
      <w:r>
        <w:rPr>
          <w:sz w:val="20"/>
        </w:rPr>
        <w:t xml:space="preserve">; </w:t>
      </w:r>
      <w:r>
        <w:rPr>
          <w:smallCaps/>
          <w:sz w:val="20"/>
        </w:rPr>
        <w:t xml:space="preserve">M. Bourassin, </w:t>
      </w:r>
      <w:r>
        <w:rPr>
          <w:sz w:val="20"/>
        </w:rPr>
        <w:t xml:space="preserve">“La force d’attraction du gage des stocks”, </w:t>
      </w:r>
      <w:r w:rsidRPr="00214F63">
        <w:rPr>
          <w:i/>
          <w:sz w:val="20"/>
        </w:rPr>
        <w:t>Recueil Dalloz</w:t>
      </w:r>
      <w:r>
        <w:rPr>
          <w:sz w:val="20"/>
        </w:rPr>
        <w:t xml:space="preserve">  </w:t>
      </w:r>
      <w:r>
        <w:rPr>
          <w:smallCaps/>
          <w:sz w:val="20"/>
        </w:rPr>
        <w:t xml:space="preserve">2013, 1363; M. Bourassin, V. brémond, M.-N. </w:t>
      </w:r>
      <w:proofErr w:type="spellStart"/>
      <w:r>
        <w:rPr>
          <w:smallCaps/>
          <w:sz w:val="20"/>
        </w:rPr>
        <w:t>Jobard-Bachellier</w:t>
      </w:r>
      <w:proofErr w:type="spellEnd"/>
      <w:r>
        <w:rPr>
          <w:smallCaps/>
          <w:sz w:val="20"/>
        </w:rPr>
        <w:t xml:space="preserve">, </w:t>
      </w:r>
      <w:r>
        <w:rPr>
          <w:i/>
          <w:sz w:val="20"/>
        </w:rPr>
        <w:t xml:space="preserve">Droit des sûretés, </w:t>
      </w:r>
      <w:r>
        <w:rPr>
          <w:sz w:val="20"/>
        </w:rPr>
        <w:t xml:space="preserve">Parijs, Dalloz 2014, 485; </w:t>
      </w:r>
      <w:r>
        <w:rPr>
          <w:smallCaps/>
          <w:sz w:val="20"/>
          <w:lang w:val="nl-BE"/>
        </w:rPr>
        <w:t xml:space="preserve">L. Aynès, P. Crocq, </w:t>
      </w:r>
      <w:r>
        <w:rPr>
          <w:i/>
          <w:sz w:val="20"/>
          <w:lang w:val="nl-BE"/>
        </w:rPr>
        <w:t xml:space="preserve">Droit des sûretés, </w:t>
      </w:r>
      <w:r>
        <w:rPr>
          <w:sz w:val="20"/>
          <w:lang w:val="nl-BE"/>
        </w:rPr>
        <w:t>Issy-Les-Moulineaux, LGDJ lextenso éditions 2015, 258.</w:t>
      </w:r>
    </w:p>
  </w:footnote>
  <w:footnote w:id="120">
    <w:p w14:paraId="1171143A" w14:textId="77777777" w:rsidR="00C97F8C" w:rsidRPr="00F02B82" w:rsidRDefault="00C97F8C" w:rsidP="00B768BB">
      <w:pPr>
        <w:pStyle w:val="Voetnoottekst"/>
        <w:rPr>
          <w:lang w:val="nl-BE"/>
        </w:rPr>
      </w:pPr>
      <w:r>
        <w:rPr>
          <w:rStyle w:val="Voetnootmarkering"/>
        </w:rPr>
        <w:footnoteRef/>
      </w:r>
      <w:r>
        <w:t xml:space="preserve"> </w:t>
      </w:r>
      <w:r w:rsidRPr="00061F15">
        <w:rPr>
          <w:sz w:val="20"/>
        </w:rPr>
        <w:t xml:space="preserve">Wet 25 oktober 1919 betreffende het in pand geven van een handelszaak, het endossement van de factuur, alsmede de aanvaarding en de keuring van het rechtstreeks voor het verbruik gedane leveringen, </w:t>
      </w:r>
      <w:r w:rsidRPr="00061F15">
        <w:rPr>
          <w:i/>
          <w:sz w:val="20"/>
        </w:rPr>
        <w:t xml:space="preserve">BS </w:t>
      </w:r>
      <w:r w:rsidRPr="00061F15">
        <w:rPr>
          <w:sz w:val="20"/>
        </w:rPr>
        <w:t xml:space="preserve">21 november 1919. </w:t>
      </w:r>
    </w:p>
  </w:footnote>
  <w:footnote w:id="121">
    <w:p w14:paraId="3A21AC85" w14:textId="785CD2B0" w:rsidR="00C97F8C" w:rsidRPr="007D4A6B" w:rsidRDefault="00C97F8C" w:rsidP="00B768BB">
      <w:pPr>
        <w:pStyle w:val="Voetnoottekst"/>
        <w:rPr>
          <w:lang w:val="nl-BE"/>
        </w:rPr>
      </w:pPr>
      <w:r>
        <w:rPr>
          <w:rStyle w:val="Voetnootmarkering"/>
        </w:rPr>
        <w:footnoteRef/>
      </w:r>
      <w:r>
        <w:t xml:space="preserve"> </w:t>
      </w:r>
      <w:r w:rsidRPr="00862B0F">
        <w:rPr>
          <w:sz w:val="20"/>
        </w:rPr>
        <w:t xml:space="preserve">Artikel 3 Wet van 25 oktober 1919 betreffende het in pand geven van de handelszaak, het disconto en het in pand geven van de factuur, alsmede de aanvaarding en de keuring van de rechtstreeks voor het verbruik gedane leveringen, </w:t>
      </w:r>
      <w:r w:rsidRPr="00862B0F">
        <w:rPr>
          <w:i/>
          <w:sz w:val="20"/>
        </w:rPr>
        <w:t xml:space="preserve">BS </w:t>
      </w:r>
      <w:r w:rsidRPr="00862B0F">
        <w:rPr>
          <w:sz w:val="20"/>
        </w:rPr>
        <w:t>5 november 1919</w:t>
      </w:r>
      <w:r>
        <w:rPr>
          <w:sz w:val="20"/>
        </w:rPr>
        <w:t xml:space="preserve">; </w:t>
      </w:r>
      <w:r w:rsidRPr="00862B0F">
        <w:rPr>
          <w:smallCaps/>
          <w:sz w:val="20"/>
        </w:rPr>
        <w:t xml:space="preserve">H. De Page, </w:t>
      </w:r>
      <w:r w:rsidRPr="00862B0F">
        <w:rPr>
          <w:i/>
          <w:sz w:val="20"/>
        </w:rPr>
        <w:t xml:space="preserve">Traité élémentaire de droit civil Belge – IV – Les Biens, Les Sûretés, </w:t>
      </w:r>
      <w:r>
        <w:rPr>
          <w:sz w:val="20"/>
        </w:rPr>
        <w:t xml:space="preserve">Bruylant, Brussel 1953, 1127; </w:t>
      </w:r>
      <w:r>
        <w:rPr>
          <w:smallCaps/>
          <w:sz w:val="20"/>
          <w:lang w:val="nl-BE"/>
        </w:rPr>
        <w:t xml:space="preserve">W. Delva, </w:t>
      </w:r>
      <w:r>
        <w:rPr>
          <w:i/>
          <w:sz w:val="20"/>
          <w:lang w:val="nl-BE"/>
        </w:rPr>
        <w:t xml:space="preserve">Voorrechten en hypotheken, </w:t>
      </w:r>
      <w:r>
        <w:rPr>
          <w:sz w:val="20"/>
          <w:lang w:val="nl-BE"/>
        </w:rPr>
        <w:t xml:space="preserve">Gent, Story Scientia 1973, 90; </w:t>
      </w:r>
      <w:r w:rsidRPr="006921E5">
        <w:rPr>
          <w:smallCaps/>
          <w:sz w:val="20"/>
        </w:rPr>
        <w:t>I. Moreau-</w:t>
      </w:r>
      <w:proofErr w:type="spellStart"/>
      <w:r w:rsidRPr="006921E5">
        <w:rPr>
          <w:smallCaps/>
          <w:sz w:val="20"/>
        </w:rPr>
        <w:t>Margrève</w:t>
      </w:r>
      <w:r w:rsidRPr="006921E5">
        <w:rPr>
          <w:sz w:val="20"/>
        </w:rPr>
        <w:t>,“Heurs</w:t>
      </w:r>
      <w:proofErr w:type="spellEnd"/>
      <w:r w:rsidRPr="006921E5">
        <w:rPr>
          <w:sz w:val="20"/>
        </w:rPr>
        <w:t xml:space="preserve"> et maleurs du gage sur fonds de commerce”, </w:t>
      </w:r>
      <w:r w:rsidRPr="006921E5">
        <w:rPr>
          <w:i/>
          <w:sz w:val="20"/>
        </w:rPr>
        <w:t>RCJB</w:t>
      </w:r>
      <w:r w:rsidRPr="006921E5">
        <w:rPr>
          <w:sz w:val="20"/>
        </w:rPr>
        <w:t xml:space="preserve"> 1980, 1</w:t>
      </w:r>
      <w:r>
        <w:rPr>
          <w:sz w:val="20"/>
        </w:rPr>
        <w:t xml:space="preserve">41; </w:t>
      </w:r>
      <w:r>
        <w:rPr>
          <w:smallCaps/>
          <w:sz w:val="20"/>
          <w:lang w:val="nl-BE"/>
        </w:rPr>
        <w:t xml:space="preserve">M.T. Caupain, </w:t>
      </w:r>
      <w:r w:rsidRPr="00625691">
        <w:rPr>
          <w:smallCaps/>
          <w:sz w:val="20"/>
          <w:lang w:val="nl-BE"/>
        </w:rPr>
        <w:t>“</w:t>
      </w:r>
      <w:r w:rsidRPr="00625691">
        <w:rPr>
          <w:sz w:val="20"/>
          <w:lang w:val="nl-BE"/>
        </w:rPr>
        <w:t>La réalisation du gage sur fonds de commerce et la cession du fonds de commerce: le droit de suite et l’aspect fiscal</w:t>
      </w:r>
      <w:r w:rsidRPr="00625691">
        <w:rPr>
          <w:i/>
          <w:sz w:val="20"/>
          <w:lang w:val="nl-BE"/>
        </w:rPr>
        <w:t>”</w:t>
      </w:r>
      <w:r>
        <w:rPr>
          <w:sz w:val="20"/>
          <w:lang w:val="nl-BE"/>
        </w:rPr>
        <w:t xml:space="preserve"> in </w:t>
      </w:r>
      <w:r>
        <w:rPr>
          <w:i/>
          <w:sz w:val="20"/>
          <w:lang w:val="nl-BE"/>
        </w:rPr>
        <w:t xml:space="preserve">Liber Amicorum Marcel Briers, </w:t>
      </w:r>
      <w:r>
        <w:rPr>
          <w:sz w:val="20"/>
          <w:lang w:val="nl-BE"/>
        </w:rPr>
        <w:t>Gent, Mys &amp; Breesch 1983, 41;</w:t>
      </w:r>
      <w:r>
        <w:rPr>
          <w:i/>
          <w:sz w:val="20"/>
          <w:lang w:val="nl-BE"/>
        </w:rPr>
        <w:t xml:space="preserve"> </w:t>
      </w:r>
      <w:r>
        <w:rPr>
          <w:sz w:val="20"/>
        </w:rPr>
        <w:t xml:space="preserve"> </w:t>
      </w:r>
      <w:r w:rsidRPr="00862B0F">
        <w:rPr>
          <w:smallCaps/>
          <w:sz w:val="20"/>
        </w:rPr>
        <w:t xml:space="preserve">J. kokelenberg, </w:t>
      </w:r>
      <w:r w:rsidRPr="00862B0F">
        <w:rPr>
          <w:sz w:val="20"/>
        </w:rPr>
        <w:t xml:space="preserve">“Inpandgeving van handelszaak en andere voorrechten”, in </w:t>
      </w:r>
      <w:r w:rsidRPr="00862B0F">
        <w:rPr>
          <w:smallCaps/>
          <w:sz w:val="20"/>
        </w:rPr>
        <w:t xml:space="preserve">H. Casman, E. Dirix, R. De Corte, G. de Leval, J. kokelenberg, J.L. Ledoux, M. Storme,  H. Swennen, S. Van </w:t>
      </w:r>
      <w:r w:rsidRPr="00D95044">
        <w:rPr>
          <w:smallCaps/>
          <w:sz w:val="20"/>
        </w:rPr>
        <w:t>Crombrugge</w:t>
      </w:r>
      <w:r w:rsidRPr="00862B0F">
        <w:rPr>
          <w:smallCaps/>
          <w:sz w:val="20"/>
        </w:rPr>
        <w:t>, F. Van Nes</w:t>
      </w:r>
      <w:r>
        <w:rPr>
          <w:smallCaps/>
          <w:sz w:val="20"/>
        </w:rPr>
        <w:t>t</w:t>
      </w:r>
      <w:r w:rsidRPr="00862B0F">
        <w:rPr>
          <w:smallCaps/>
          <w:sz w:val="20"/>
        </w:rPr>
        <w:t xml:space="preserve">e, A. Van Oevelen, H. Vuye  </w:t>
      </w:r>
      <w:r w:rsidRPr="00862B0F">
        <w:rPr>
          <w:sz w:val="20"/>
        </w:rPr>
        <w:t xml:space="preserve">(eds.), </w:t>
      </w:r>
      <w:r w:rsidRPr="00862B0F">
        <w:rPr>
          <w:i/>
          <w:sz w:val="20"/>
        </w:rPr>
        <w:t xml:space="preserve">Het Zakenrecht, absoluut niet een rustig bezit, </w:t>
      </w:r>
      <w:r w:rsidRPr="00862B0F">
        <w:rPr>
          <w:sz w:val="20"/>
        </w:rPr>
        <w:t>Kluwer Rechtswetenschappen, Antwerpen</w:t>
      </w:r>
      <w:r>
        <w:rPr>
          <w:sz w:val="20"/>
        </w:rPr>
        <w:t xml:space="preserve"> 1992</w:t>
      </w:r>
      <w:r w:rsidRPr="00862B0F">
        <w:rPr>
          <w:sz w:val="20"/>
        </w:rPr>
        <w:t>, 177;</w:t>
      </w:r>
      <w:r>
        <w:rPr>
          <w:sz w:val="20"/>
        </w:rPr>
        <w:t xml:space="preserve"> </w:t>
      </w:r>
      <w:r>
        <w:rPr>
          <w:smallCaps/>
          <w:sz w:val="20"/>
        </w:rPr>
        <w:t xml:space="preserve">J. Cattaruza, </w:t>
      </w:r>
      <w:r>
        <w:rPr>
          <w:i/>
          <w:sz w:val="20"/>
        </w:rPr>
        <w:t xml:space="preserve">Le gage sur le fonds de commerce, </w:t>
      </w:r>
      <w:r>
        <w:rPr>
          <w:sz w:val="20"/>
        </w:rPr>
        <w:t xml:space="preserve">Diegem, Kluwer 1997, 51; </w:t>
      </w:r>
      <w:r>
        <w:rPr>
          <w:smallCaps/>
          <w:sz w:val="20"/>
        </w:rPr>
        <w:t xml:space="preserve">C. Biquet-Mathieu, </w:t>
      </w:r>
      <w:r>
        <w:rPr>
          <w:sz w:val="20"/>
        </w:rPr>
        <w:t xml:space="preserve">“Actualités en matière de gage” in </w:t>
      </w:r>
      <w:r>
        <w:rPr>
          <w:smallCaps/>
          <w:sz w:val="20"/>
        </w:rPr>
        <w:t>C. Biquet-Mathieu</w:t>
      </w:r>
      <w:r>
        <w:rPr>
          <w:sz w:val="20"/>
        </w:rPr>
        <w:t xml:space="preserve"> (ed.), </w:t>
      </w:r>
      <w:r>
        <w:rPr>
          <w:i/>
          <w:sz w:val="20"/>
        </w:rPr>
        <w:t xml:space="preserve">Le point sur le droit des sûretés, </w:t>
      </w:r>
      <w:r>
        <w:rPr>
          <w:sz w:val="20"/>
        </w:rPr>
        <w:t>Luik, Commission Université-Palais 2000, 325;</w:t>
      </w:r>
      <w:r>
        <w:rPr>
          <w:i/>
          <w:sz w:val="20"/>
        </w:rPr>
        <w:t xml:space="preserve"> </w:t>
      </w:r>
      <w:r>
        <w:rPr>
          <w:sz w:val="20"/>
        </w:rPr>
        <w:t xml:space="preserve"> </w:t>
      </w:r>
      <w:r>
        <w:rPr>
          <w:smallCaps/>
          <w:sz w:val="20"/>
          <w:lang w:val="nl-BE"/>
        </w:rPr>
        <w:t xml:space="preserve">E. Dirix, </w:t>
      </w:r>
      <w:r>
        <w:rPr>
          <w:sz w:val="20"/>
          <w:lang w:val="nl-BE"/>
        </w:rPr>
        <w:t xml:space="preserve">“Het passief van het faillissement”, in </w:t>
      </w:r>
      <w:r>
        <w:rPr>
          <w:i/>
          <w:sz w:val="20"/>
          <w:lang w:val="nl-BE"/>
        </w:rPr>
        <w:t xml:space="preserve">Faillissement en reorganisatie, </w:t>
      </w:r>
      <w:r w:rsidRPr="00AF04BB">
        <w:rPr>
          <w:sz w:val="20"/>
          <w:lang w:val="nl-BE"/>
        </w:rPr>
        <w:t>Mechelen</w:t>
      </w:r>
      <w:r>
        <w:rPr>
          <w:i/>
          <w:sz w:val="20"/>
          <w:lang w:val="nl-BE"/>
        </w:rPr>
        <w:t xml:space="preserve">, </w:t>
      </w:r>
      <w:r>
        <w:rPr>
          <w:sz w:val="20"/>
          <w:lang w:val="nl-BE"/>
        </w:rPr>
        <w:t xml:space="preserve">Kluwer 2001, 38, 41; </w:t>
      </w:r>
      <w:r>
        <w:rPr>
          <w:smallCaps/>
          <w:sz w:val="20"/>
        </w:rPr>
        <w:t xml:space="preserve">G. De Pestel, </w:t>
      </w:r>
      <w:r>
        <w:rPr>
          <w:sz w:val="20"/>
        </w:rPr>
        <w:t>“</w:t>
      </w:r>
      <w:r w:rsidRPr="00B47C73">
        <w:rPr>
          <w:sz w:val="20"/>
        </w:rPr>
        <w:t>Pand op de handelszaak (Wet van 25 o</w:t>
      </w:r>
      <w:r>
        <w:rPr>
          <w:sz w:val="20"/>
        </w:rPr>
        <w:t>ktober 1919) – Overzicht recht</w:t>
      </w:r>
      <w:r w:rsidRPr="00B47C73">
        <w:rPr>
          <w:sz w:val="20"/>
        </w:rPr>
        <w:t>spraak (1993-1998)</w:t>
      </w:r>
      <w:r>
        <w:rPr>
          <w:sz w:val="20"/>
        </w:rPr>
        <w:t xml:space="preserve">”, </w:t>
      </w:r>
      <w:r>
        <w:rPr>
          <w:i/>
          <w:sz w:val="20"/>
        </w:rPr>
        <w:t xml:space="preserve">TBH </w:t>
      </w:r>
      <w:r>
        <w:rPr>
          <w:sz w:val="20"/>
        </w:rPr>
        <w:t xml:space="preserve">2001, 389; </w:t>
      </w:r>
      <w:r>
        <w:rPr>
          <w:smallCaps/>
          <w:sz w:val="20"/>
        </w:rPr>
        <w:t xml:space="preserve">B. Du Laing, </w:t>
      </w:r>
      <w:r>
        <w:rPr>
          <w:sz w:val="20"/>
        </w:rPr>
        <w:t xml:space="preserve">“Het pand op de handelszaak: een algemeen overzicht en enkele recente ontwikkelingen”, in </w:t>
      </w:r>
      <w:r>
        <w:rPr>
          <w:smallCaps/>
          <w:sz w:val="20"/>
        </w:rPr>
        <w:t xml:space="preserve">F. Bouckaert, J. Byttebier, B. Du Laing, H. Pelgroms, N. Torfs, W. Van De Putte, P. Verbanck, L. Weyts </w:t>
      </w:r>
      <w:r>
        <w:rPr>
          <w:sz w:val="20"/>
        </w:rPr>
        <w:t xml:space="preserve">(eds.), </w:t>
      </w:r>
      <w:r>
        <w:rPr>
          <w:i/>
          <w:sz w:val="20"/>
        </w:rPr>
        <w:t xml:space="preserve">Notariële aspecten van de handelszaak en de handelshuur, </w:t>
      </w:r>
      <w:r>
        <w:rPr>
          <w:sz w:val="20"/>
        </w:rPr>
        <w:t>Antwerpen, Maklu 2005, 125;</w:t>
      </w:r>
      <w:r w:rsidRPr="002F653A">
        <w:t xml:space="preserve"> </w:t>
      </w:r>
      <w:r>
        <w:rPr>
          <w:smallCaps/>
        </w:rPr>
        <w:t>K. Byttebier</w:t>
      </w:r>
      <w:r w:rsidRPr="002F653A">
        <w:rPr>
          <w:sz w:val="20"/>
        </w:rPr>
        <w:t>, Voorrechten en hypotheken ̧ Antwerpen, Maklu, 2005, 400</w:t>
      </w:r>
      <w:r>
        <w:rPr>
          <w:sz w:val="20"/>
        </w:rPr>
        <w:t xml:space="preserve">; </w:t>
      </w:r>
      <w:r w:rsidRPr="00862B0F">
        <w:rPr>
          <w:sz w:val="20"/>
        </w:rPr>
        <w:t xml:space="preserve">R. </w:t>
      </w:r>
      <w:r w:rsidRPr="00862B0F">
        <w:rPr>
          <w:smallCaps/>
          <w:sz w:val="20"/>
        </w:rPr>
        <w:t xml:space="preserve">De Corte en E. Dirix, </w:t>
      </w:r>
      <w:r w:rsidRPr="00862B0F">
        <w:rPr>
          <w:i/>
          <w:sz w:val="20"/>
        </w:rPr>
        <w:t xml:space="preserve">Beginselen van Belgisch Privaatrecht – XII – Zekerheidsrechten, </w:t>
      </w:r>
      <w:r w:rsidRPr="00862B0F">
        <w:rPr>
          <w:sz w:val="20"/>
        </w:rPr>
        <w:t>Kluwer, Antwerpen 2006, 353</w:t>
      </w:r>
      <w:r>
        <w:rPr>
          <w:sz w:val="20"/>
        </w:rPr>
        <w:t>;</w:t>
      </w:r>
      <w:r w:rsidRPr="00862B0F">
        <w:rPr>
          <w:sz w:val="20"/>
        </w:rPr>
        <w:t xml:space="preserve"> M.E. STORME, “Paritas </w:t>
      </w:r>
      <w:proofErr w:type="spellStart"/>
      <w:r w:rsidRPr="00862B0F">
        <w:rPr>
          <w:sz w:val="20"/>
        </w:rPr>
        <w:t>creditorum</w:t>
      </w:r>
      <w:proofErr w:type="spellEnd"/>
      <w:r w:rsidRPr="00862B0F">
        <w:rPr>
          <w:sz w:val="20"/>
        </w:rPr>
        <w:t>, voorrang en roerende zeker</w:t>
      </w:r>
      <w:r>
        <w:rPr>
          <w:sz w:val="20"/>
        </w:rPr>
        <w:t xml:space="preserve">heden”, </w:t>
      </w:r>
      <w:r w:rsidRPr="00E23531">
        <w:rPr>
          <w:i/>
          <w:sz w:val="20"/>
        </w:rPr>
        <w:t>T.P.R</w:t>
      </w:r>
      <w:r>
        <w:rPr>
          <w:sz w:val="20"/>
        </w:rPr>
        <w:t xml:space="preserve">. 2006, 1012; </w:t>
      </w:r>
      <w:r>
        <w:rPr>
          <w:smallCaps/>
          <w:sz w:val="20"/>
        </w:rPr>
        <w:t xml:space="preserve">A. Cuypers, </w:t>
      </w:r>
      <w:r>
        <w:rPr>
          <w:sz w:val="20"/>
        </w:rPr>
        <w:t xml:space="preserve">“Wet 25 oktober 1919”, in </w:t>
      </w:r>
      <w:r>
        <w:rPr>
          <w:i/>
          <w:sz w:val="20"/>
        </w:rPr>
        <w:t xml:space="preserve">Voorrechten en hypotheken </w:t>
      </w:r>
      <w:r>
        <w:rPr>
          <w:sz w:val="20"/>
        </w:rPr>
        <w:t xml:space="preserve">2007, 64; </w:t>
      </w:r>
      <w:r>
        <w:rPr>
          <w:smallCaps/>
          <w:sz w:val="20"/>
        </w:rPr>
        <w:t>A. De Wilde, “</w:t>
      </w:r>
      <w:r>
        <w:rPr>
          <w:sz w:val="20"/>
        </w:rPr>
        <w:t>Het klassieke pand en het pand op de handelszaak” in X (</w:t>
      </w:r>
      <w:proofErr w:type="spellStart"/>
      <w:r>
        <w:rPr>
          <w:sz w:val="20"/>
        </w:rPr>
        <w:t>ed</w:t>
      </w:r>
      <w:proofErr w:type="spellEnd"/>
      <w:r>
        <w:rPr>
          <w:sz w:val="20"/>
        </w:rPr>
        <w:t xml:space="preserve">) </w:t>
      </w:r>
      <w:r>
        <w:rPr>
          <w:i/>
          <w:sz w:val="20"/>
        </w:rPr>
        <w:t>Het pand -  Van een oude naar een moderne zekerheid</w:t>
      </w:r>
      <w:r>
        <w:rPr>
          <w:sz w:val="20"/>
        </w:rPr>
        <w:t xml:space="preserve"> (eds), Brussel, Die Keure, 2012, 24; </w:t>
      </w:r>
      <w:r>
        <w:rPr>
          <w:smallCaps/>
          <w:sz w:val="20"/>
        </w:rPr>
        <w:t xml:space="preserve">M. Forges, P.-F. Van den Driesche, </w:t>
      </w:r>
      <w:r>
        <w:rPr>
          <w:sz w:val="20"/>
        </w:rPr>
        <w:t xml:space="preserve">“Le gage sur le fonds de commerce et les entreprises en difficulté”, in </w:t>
      </w:r>
      <w:r>
        <w:rPr>
          <w:smallCaps/>
          <w:sz w:val="20"/>
        </w:rPr>
        <w:t xml:space="preserve">C . Alter, M. Forges, D.-E. Philippe, P.F. Van Den Driesche, L. Van Muylem, </w:t>
      </w:r>
      <w:r>
        <w:rPr>
          <w:i/>
          <w:sz w:val="20"/>
        </w:rPr>
        <w:t xml:space="preserve">Le Fonds de commerce, </w:t>
      </w:r>
      <w:r>
        <w:rPr>
          <w:sz w:val="20"/>
        </w:rPr>
        <w:t>Limal, Anthemis 2012, 56.</w:t>
      </w:r>
    </w:p>
  </w:footnote>
  <w:footnote w:id="122">
    <w:p w14:paraId="38E42DAD" w14:textId="3FECF003" w:rsidR="00C97F8C" w:rsidRPr="003A3F8C" w:rsidRDefault="00C97F8C" w:rsidP="00B768BB">
      <w:pPr>
        <w:pStyle w:val="Voetnoottekst"/>
        <w:rPr>
          <w:i/>
          <w:sz w:val="20"/>
        </w:rPr>
      </w:pPr>
      <w:r>
        <w:rPr>
          <w:rStyle w:val="Voetnootmarkering"/>
        </w:rPr>
        <w:footnoteRef/>
      </w:r>
      <w:r>
        <w:t xml:space="preserve"> </w:t>
      </w:r>
      <w:r>
        <w:rPr>
          <w:sz w:val="20"/>
        </w:rPr>
        <w:t xml:space="preserve">Artikel L. 142-1 e.v. Code de Commerce; </w:t>
      </w:r>
      <w:r>
        <w:rPr>
          <w:smallCaps/>
          <w:sz w:val="20"/>
        </w:rPr>
        <w:t>J. Déruppré, “</w:t>
      </w:r>
      <w:r w:rsidRPr="003A3F8C">
        <w:rPr>
          <w:sz w:val="20"/>
        </w:rPr>
        <w:t>Nantissement de fonds de commerce</w:t>
      </w:r>
      <w:r>
        <w:rPr>
          <w:sz w:val="20"/>
        </w:rPr>
        <w:t>”</w:t>
      </w:r>
      <w:r>
        <w:rPr>
          <w:i/>
          <w:sz w:val="20"/>
        </w:rPr>
        <w:t xml:space="preserve">, Repertoire de droit commercial </w:t>
      </w:r>
      <w:r>
        <w:rPr>
          <w:sz w:val="20"/>
        </w:rPr>
        <w:t xml:space="preserve">2000, 1; </w:t>
      </w:r>
      <w:r>
        <w:rPr>
          <w:smallCaps/>
          <w:sz w:val="20"/>
        </w:rPr>
        <w:t>C. Albiges, Y. Picod, “</w:t>
      </w:r>
      <w:r w:rsidRPr="00AB005D">
        <w:rPr>
          <w:sz w:val="20"/>
        </w:rPr>
        <w:t>Nantissemen</w:t>
      </w:r>
      <w:r>
        <w:rPr>
          <w:sz w:val="20"/>
        </w:rPr>
        <w:t>t”</w:t>
      </w:r>
      <w:r>
        <w:rPr>
          <w:i/>
          <w:sz w:val="20"/>
        </w:rPr>
        <w:t xml:space="preserve">, Repertoire de droit Commercial </w:t>
      </w:r>
      <w:r>
        <w:rPr>
          <w:sz w:val="20"/>
        </w:rPr>
        <w:t xml:space="preserve">2008, 12; </w:t>
      </w:r>
      <w:r>
        <w:rPr>
          <w:smallCaps/>
          <w:sz w:val="20"/>
        </w:rPr>
        <w:t xml:space="preserve">D. Legeais, </w:t>
      </w:r>
      <w:r>
        <w:rPr>
          <w:i/>
          <w:sz w:val="20"/>
        </w:rPr>
        <w:t xml:space="preserve">Sûretés et garanties du crédit, </w:t>
      </w:r>
      <w:r>
        <w:rPr>
          <w:sz w:val="20"/>
        </w:rPr>
        <w:t>Parijs, LGDJ Lextenso éditions 2011, 437-438;</w:t>
      </w:r>
      <w:r>
        <w:rPr>
          <w:i/>
          <w:sz w:val="20"/>
        </w:rPr>
        <w:t xml:space="preserve"> </w:t>
      </w:r>
      <w:r w:rsidRPr="00EA33F9">
        <w:rPr>
          <w:smallCaps/>
          <w:sz w:val="20"/>
          <w:lang w:val="nl-BE"/>
        </w:rPr>
        <w:t>Y. Picod</w:t>
      </w:r>
      <w:r w:rsidRPr="00EA33F9">
        <w:rPr>
          <w:sz w:val="20"/>
          <w:lang w:val="nl-BE"/>
        </w:rPr>
        <w:t xml:space="preserve">, </w:t>
      </w:r>
      <w:r w:rsidRPr="00EA33F9">
        <w:rPr>
          <w:i/>
          <w:sz w:val="20"/>
          <w:lang w:val="nl-BE"/>
        </w:rPr>
        <w:t xml:space="preserve">Droit des sûretés, </w:t>
      </w:r>
      <w:r w:rsidRPr="00EA33F9">
        <w:rPr>
          <w:sz w:val="20"/>
          <w:lang w:val="nl-BE"/>
        </w:rPr>
        <w:t>Parijs, Presses Universitaires franç</w:t>
      </w:r>
      <w:r>
        <w:rPr>
          <w:sz w:val="20"/>
          <w:lang w:val="nl-BE"/>
        </w:rPr>
        <w:t xml:space="preserve">aises 2010, 327; </w:t>
      </w:r>
      <w:r>
        <w:rPr>
          <w:smallCaps/>
          <w:sz w:val="20"/>
          <w:lang w:val="nl-BE"/>
        </w:rPr>
        <w:tab/>
        <w:t xml:space="preserve">A. Reyfrobellet, C. Denizot, </w:t>
      </w:r>
      <w:r>
        <w:rPr>
          <w:sz w:val="20"/>
          <w:lang w:val="nl-BE"/>
        </w:rPr>
        <w:t xml:space="preserve">“Fonds de commerce”, </w:t>
      </w:r>
      <w:r>
        <w:rPr>
          <w:i/>
          <w:sz w:val="20"/>
          <w:lang w:val="nl-BE"/>
        </w:rPr>
        <w:t xml:space="preserve">Dalloz </w:t>
      </w:r>
      <w:r w:rsidRPr="002729FE">
        <w:rPr>
          <w:sz w:val="20"/>
          <w:lang w:val="nl-BE"/>
        </w:rPr>
        <w:t>2012-2013</w:t>
      </w:r>
      <w:r>
        <w:rPr>
          <w:sz w:val="20"/>
          <w:lang w:val="nl-BE"/>
        </w:rPr>
        <w:t xml:space="preserve">, 926; </w:t>
      </w:r>
      <w:r>
        <w:rPr>
          <w:smallCaps/>
          <w:sz w:val="20"/>
          <w:lang w:val="nl-BE"/>
        </w:rPr>
        <w:t xml:space="preserve">L. Aynès, P. Crocq, </w:t>
      </w:r>
      <w:r>
        <w:rPr>
          <w:i/>
          <w:sz w:val="20"/>
          <w:lang w:val="nl-BE"/>
        </w:rPr>
        <w:t xml:space="preserve">Droit des sûretés, </w:t>
      </w:r>
      <w:r>
        <w:rPr>
          <w:sz w:val="20"/>
          <w:lang w:val="nl-BE"/>
        </w:rPr>
        <w:t>Issy-Les-Moulineaux, LGDJ lextenso éditions 2015, 258.</w:t>
      </w:r>
    </w:p>
  </w:footnote>
  <w:footnote w:id="123">
    <w:p w14:paraId="24B92B01" w14:textId="08AECA46" w:rsidR="00C97F8C" w:rsidRPr="00447F6A" w:rsidRDefault="00C97F8C" w:rsidP="00B768BB">
      <w:pPr>
        <w:pStyle w:val="Voetnoottekst"/>
        <w:rPr>
          <w:sz w:val="20"/>
          <w:lang w:val="nl-BE"/>
        </w:rPr>
      </w:pPr>
      <w:r>
        <w:rPr>
          <w:rStyle w:val="Voetnootmarkering"/>
        </w:rPr>
        <w:footnoteRef/>
      </w:r>
      <w:r>
        <w:t xml:space="preserve"> </w:t>
      </w:r>
      <w:r>
        <w:rPr>
          <w:smallCaps/>
          <w:sz w:val="20"/>
        </w:rPr>
        <w:t>P. Bouteiller, “</w:t>
      </w:r>
      <w:r w:rsidRPr="00447F6A">
        <w:rPr>
          <w:sz w:val="20"/>
        </w:rPr>
        <w:t>Le gage de stocks de biens ou de marchandises</w:t>
      </w:r>
      <w:r>
        <w:rPr>
          <w:i/>
          <w:sz w:val="20"/>
        </w:rPr>
        <w:t xml:space="preserve">”, </w:t>
      </w:r>
      <w:r w:rsidRPr="00447F6A">
        <w:rPr>
          <w:i/>
          <w:sz w:val="20"/>
        </w:rPr>
        <w:t>Semaine Juridique Entreprise et Affaires</w:t>
      </w:r>
      <w:r>
        <w:rPr>
          <w:i/>
          <w:sz w:val="20"/>
        </w:rPr>
        <w:t xml:space="preserve"> </w:t>
      </w:r>
      <w:r>
        <w:rPr>
          <w:sz w:val="20"/>
        </w:rPr>
        <w:t xml:space="preserve">2006, 808-810; </w:t>
      </w:r>
      <w:r>
        <w:rPr>
          <w:smallCaps/>
          <w:sz w:val="20"/>
          <w:lang w:val="nl-BE"/>
        </w:rPr>
        <w:t xml:space="preserve">M. Cabrillac, C. Mouly, S. Cabrillac, P. Pétel, </w:t>
      </w:r>
      <w:r>
        <w:rPr>
          <w:i/>
          <w:sz w:val="20"/>
          <w:lang w:val="nl-BE"/>
        </w:rPr>
        <w:t xml:space="preserve">Droit des sûretés, </w:t>
      </w:r>
      <w:r>
        <w:rPr>
          <w:sz w:val="20"/>
          <w:lang w:val="nl-BE"/>
        </w:rPr>
        <w:t>Parijs, Litec 2010, 575;</w:t>
      </w:r>
      <w:r>
        <w:rPr>
          <w:sz w:val="20"/>
        </w:rPr>
        <w:t xml:space="preserve"> </w:t>
      </w:r>
      <w:r w:rsidRPr="00EA33F9">
        <w:rPr>
          <w:smallCaps/>
          <w:sz w:val="20"/>
          <w:lang w:val="nl-BE"/>
        </w:rPr>
        <w:t>Y. Picod</w:t>
      </w:r>
      <w:r w:rsidRPr="00EA33F9">
        <w:rPr>
          <w:sz w:val="20"/>
          <w:lang w:val="nl-BE"/>
        </w:rPr>
        <w:t xml:space="preserve">, </w:t>
      </w:r>
      <w:r w:rsidRPr="00EA33F9">
        <w:rPr>
          <w:i/>
          <w:sz w:val="20"/>
          <w:lang w:val="nl-BE"/>
        </w:rPr>
        <w:t xml:space="preserve">Droit des sûretés, </w:t>
      </w:r>
      <w:r w:rsidRPr="00EA33F9">
        <w:rPr>
          <w:sz w:val="20"/>
          <w:lang w:val="nl-BE"/>
        </w:rPr>
        <w:t>Parijs, Presses Universitaires franç</w:t>
      </w:r>
      <w:r>
        <w:rPr>
          <w:sz w:val="20"/>
          <w:lang w:val="nl-BE"/>
        </w:rPr>
        <w:t xml:space="preserve">aises 2010, 287, 327; </w:t>
      </w:r>
      <w:r>
        <w:rPr>
          <w:smallCaps/>
          <w:sz w:val="20"/>
        </w:rPr>
        <w:t xml:space="preserve">D. Legeais, </w:t>
      </w:r>
      <w:r>
        <w:rPr>
          <w:i/>
          <w:sz w:val="20"/>
        </w:rPr>
        <w:t xml:space="preserve">Sûretés et garanties du crédit, </w:t>
      </w:r>
      <w:r>
        <w:rPr>
          <w:sz w:val="20"/>
        </w:rPr>
        <w:t xml:space="preserve">Parijs, LGDJ Lextenso éditions 2011, 417; </w:t>
      </w:r>
      <w:r>
        <w:rPr>
          <w:smallCaps/>
          <w:sz w:val="20"/>
        </w:rPr>
        <w:t xml:space="preserve">M. Bourassin, V. brémond, M.-N. </w:t>
      </w:r>
      <w:proofErr w:type="spellStart"/>
      <w:r>
        <w:rPr>
          <w:smallCaps/>
          <w:sz w:val="20"/>
        </w:rPr>
        <w:t>Jobard-Bachellier</w:t>
      </w:r>
      <w:proofErr w:type="spellEnd"/>
      <w:r>
        <w:rPr>
          <w:smallCaps/>
          <w:sz w:val="20"/>
        </w:rPr>
        <w:t xml:space="preserve">, </w:t>
      </w:r>
      <w:r>
        <w:rPr>
          <w:i/>
          <w:sz w:val="20"/>
        </w:rPr>
        <w:t xml:space="preserve">Droit des sûretés, </w:t>
      </w:r>
      <w:r>
        <w:rPr>
          <w:sz w:val="20"/>
        </w:rPr>
        <w:t>Parijs, Dalloz 2014, 485.</w:t>
      </w:r>
    </w:p>
  </w:footnote>
  <w:footnote w:id="124">
    <w:p w14:paraId="6EB38114" w14:textId="3C3C2A59" w:rsidR="00C97F8C" w:rsidRPr="00485F68" w:rsidRDefault="00C97F8C" w:rsidP="00B768BB">
      <w:pPr>
        <w:pStyle w:val="Voetnoottekst"/>
        <w:rPr>
          <w:lang w:val="nl-BE"/>
        </w:rPr>
      </w:pPr>
      <w:r>
        <w:rPr>
          <w:rStyle w:val="Voetnootmarkering"/>
        </w:rPr>
        <w:footnoteRef/>
      </w:r>
      <w:r>
        <w:t xml:space="preserve"> </w:t>
      </w:r>
      <w:r>
        <w:rPr>
          <w:smallCaps/>
          <w:sz w:val="20"/>
        </w:rPr>
        <w:t>P. Bouteiller, “</w:t>
      </w:r>
      <w:r w:rsidRPr="00447F6A">
        <w:rPr>
          <w:sz w:val="20"/>
        </w:rPr>
        <w:t>Le gage de stocks de biens ou de marchandises</w:t>
      </w:r>
      <w:r>
        <w:rPr>
          <w:i/>
          <w:sz w:val="20"/>
        </w:rPr>
        <w:t xml:space="preserve">”, </w:t>
      </w:r>
      <w:r w:rsidRPr="00447F6A">
        <w:rPr>
          <w:i/>
          <w:sz w:val="20"/>
        </w:rPr>
        <w:t>Semaine Juridique Entreprise et Affaires</w:t>
      </w:r>
      <w:r>
        <w:rPr>
          <w:i/>
          <w:sz w:val="20"/>
        </w:rPr>
        <w:t xml:space="preserve"> </w:t>
      </w:r>
      <w:r>
        <w:rPr>
          <w:sz w:val="20"/>
        </w:rPr>
        <w:t xml:space="preserve">2006, 808-810; </w:t>
      </w:r>
      <w:r>
        <w:rPr>
          <w:smallCaps/>
          <w:sz w:val="20"/>
        </w:rPr>
        <w:t xml:space="preserve">D. Legeais, </w:t>
      </w:r>
      <w:r>
        <w:rPr>
          <w:i/>
          <w:sz w:val="20"/>
        </w:rPr>
        <w:t xml:space="preserve">Sûretés et garanties du crédit, </w:t>
      </w:r>
      <w:r>
        <w:rPr>
          <w:sz w:val="20"/>
        </w:rPr>
        <w:t xml:space="preserve">Parijs, LGDJ Lextenso éditions 2011, 438; </w:t>
      </w:r>
      <w:r>
        <w:rPr>
          <w:smallCaps/>
          <w:sz w:val="20"/>
        </w:rPr>
        <w:t xml:space="preserve">M. Bourassin, V. brémond, M.-N. </w:t>
      </w:r>
      <w:proofErr w:type="spellStart"/>
      <w:r>
        <w:rPr>
          <w:smallCaps/>
          <w:sz w:val="20"/>
        </w:rPr>
        <w:t>Jobard-Bachellier</w:t>
      </w:r>
      <w:proofErr w:type="spellEnd"/>
      <w:r>
        <w:rPr>
          <w:smallCaps/>
          <w:sz w:val="20"/>
        </w:rPr>
        <w:t xml:space="preserve">, </w:t>
      </w:r>
      <w:r>
        <w:rPr>
          <w:i/>
          <w:sz w:val="20"/>
        </w:rPr>
        <w:t xml:space="preserve">Droit des sûretés, </w:t>
      </w:r>
      <w:r>
        <w:rPr>
          <w:sz w:val="20"/>
        </w:rPr>
        <w:t>Parijs, Dalloz 2014, 428.</w:t>
      </w:r>
    </w:p>
  </w:footnote>
  <w:footnote w:id="125">
    <w:p w14:paraId="776BD38C" w14:textId="50D1745E" w:rsidR="00C97F8C" w:rsidRPr="00B030B9" w:rsidRDefault="00C97F8C" w:rsidP="00B768BB">
      <w:pPr>
        <w:pStyle w:val="Voetnoottekst"/>
        <w:rPr>
          <w:sz w:val="20"/>
          <w:lang w:val="nl-BE"/>
        </w:rPr>
      </w:pPr>
      <w:r>
        <w:rPr>
          <w:rStyle w:val="Voetnootmarkering"/>
        </w:rPr>
        <w:footnoteRef/>
      </w:r>
      <w:r>
        <w:t xml:space="preserve"> </w:t>
      </w:r>
      <w:r w:rsidRPr="00A92C2F">
        <w:rPr>
          <w:sz w:val="20"/>
        </w:rPr>
        <w:t xml:space="preserve">Het pand op de handelszaak moet worden ingeschreven in een speciaal register op de </w:t>
      </w:r>
      <w:proofErr w:type="spellStart"/>
      <w:r w:rsidRPr="00A92C2F">
        <w:rPr>
          <w:sz w:val="20"/>
        </w:rPr>
        <w:t>grifie</w:t>
      </w:r>
      <w:proofErr w:type="spellEnd"/>
      <w:r w:rsidRPr="00A92C2F">
        <w:rPr>
          <w:sz w:val="20"/>
        </w:rPr>
        <w:t xml:space="preserve"> van de rechtbank van koophandel. Ook het </w:t>
      </w:r>
      <w:r w:rsidRPr="00A92C2F">
        <w:rPr>
          <w:i/>
          <w:sz w:val="20"/>
        </w:rPr>
        <w:t xml:space="preserve">gage des stocks </w:t>
      </w:r>
      <w:r w:rsidRPr="00A92C2F">
        <w:rPr>
          <w:sz w:val="20"/>
        </w:rPr>
        <w:t>moet daar worden ingeschreven.</w:t>
      </w:r>
      <w:r>
        <w:t xml:space="preserve"> (</w:t>
      </w:r>
      <w:r>
        <w:rPr>
          <w:sz w:val="20"/>
        </w:rPr>
        <w:t>Artikel L.527-3</w:t>
      </w:r>
      <w:r w:rsidRPr="00987D90">
        <w:rPr>
          <w:sz w:val="20"/>
        </w:rPr>
        <w:t xml:space="preserve"> Code de Commerce;</w:t>
      </w:r>
      <w:r>
        <w:rPr>
          <w:sz w:val="20"/>
        </w:rPr>
        <w:t xml:space="preserve"> </w:t>
      </w:r>
      <w:r>
        <w:rPr>
          <w:smallCaps/>
          <w:sz w:val="20"/>
        </w:rPr>
        <w:t>J. Déruppré, “</w:t>
      </w:r>
      <w:r w:rsidRPr="003A3F8C">
        <w:rPr>
          <w:sz w:val="20"/>
        </w:rPr>
        <w:t>Nantissement de fonds de commerce</w:t>
      </w:r>
      <w:r>
        <w:rPr>
          <w:sz w:val="20"/>
        </w:rPr>
        <w:t>”</w:t>
      </w:r>
      <w:r>
        <w:rPr>
          <w:i/>
          <w:sz w:val="20"/>
        </w:rPr>
        <w:t xml:space="preserve">, Repertoire de droit commercial </w:t>
      </w:r>
      <w:r>
        <w:rPr>
          <w:sz w:val="20"/>
        </w:rPr>
        <w:t xml:space="preserve">2000, 12; </w:t>
      </w:r>
      <w:r>
        <w:rPr>
          <w:smallCaps/>
          <w:sz w:val="20"/>
          <w:lang w:val="nl-BE"/>
        </w:rPr>
        <w:t xml:space="preserve">M. Cabrillac, C. Mouly, S. Cabrillac, P. Pétel, </w:t>
      </w:r>
      <w:r>
        <w:rPr>
          <w:i/>
          <w:sz w:val="20"/>
          <w:lang w:val="nl-BE"/>
        </w:rPr>
        <w:t xml:space="preserve">Droit des sûretés, </w:t>
      </w:r>
      <w:r>
        <w:rPr>
          <w:sz w:val="20"/>
          <w:lang w:val="nl-BE"/>
        </w:rPr>
        <w:t>Parijs, Litec 2010, 575;</w:t>
      </w:r>
      <w:r>
        <w:t xml:space="preserve"> </w:t>
      </w:r>
      <w:r>
        <w:rPr>
          <w:smallCaps/>
          <w:sz w:val="20"/>
        </w:rPr>
        <w:t xml:space="preserve">D. Legeais, </w:t>
      </w:r>
      <w:r>
        <w:rPr>
          <w:i/>
          <w:sz w:val="20"/>
        </w:rPr>
        <w:t xml:space="preserve">Sûretés et garanties du crédit, </w:t>
      </w:r>
      <w:r>
        <w:rPr>
          <w:sz w:val="20"/>
        </w:rPr>
        <w:t xml:space="preserve">Parijs, LGDJ Lextenso éditions 2011, 418,439; </w:t>
      </w:r>
      <w:r w:rsidRPr="00EA33F9">
        <w:rPr>
          <w:smallCaps/>
          <w:sz w:val="20"/>
          <w:lang w:val="nl-BE"/>
        </w:rPr>
        <w:t>Y. Picod</w:t>
      </w:r>
      <w:r w:rsidRPr="00EA33F9">
        <w:rPr>
          <w:sz w:val="20"/>
          <w:lang w:val="nl-BE"/>
        </w:rPr>
        <w:t xml:space="preserve">, </w:t>
      </w:r>
      <w:r w:rsidRPr="00EA33F9">
        <w:rPr>
          <w:i/>
          <w:sz w:val="20"/>
          <w:lang w:val="nl-BE"/>
        </w:rPr>
        <w:t xml:space="preserve">Droit des sûretés, </w:t>
      </w:r>
      <w:r w:rsidRPr="00EA33F9">
        <w:rPr>
          <w:sz w:val="20"/>
          <w:lang w:val="nl-BE"/>
        </w:rPr>
        <w:t>Parijs, Presses Universitaires franç</w:t>
      </w:r>
      <w:r>
        <w:rPr>
          <w:sz w:val="20"/>
          <w:lang w:val="nl-BE"/>
        </w:rPr>
        <w:t xml:space="preserve">aises 2010, 308; </w:t>
      </w:r>
      <w:r>
        <w:rPr>
          <w:smallCaps/>
          <w:sz w:val="20"/>
        </w:rPr>
        <w:t xml:space="preserve">M. Bourassin, </w:t>
      </w:r>
      <w:r>
        <w:rPr>
          <w:sz w:val="20"/>
        </w:rPr>
        <w:t xml:space="preserve">“La force d’attraction du gage des stocks”, </w:t>
      </w:r>
      <w:r w:rsidRPr="00214F63">
        <w:rPr>
          <w:i/>
          <w:sz w:val="20"/>
        </w:rPr>
        <w:t>Recueil Dalloz</w:t>
      </w:r>
      <w:r>
        <w:rPr>
          <w:sz w:val="20"/>
        </w:rPr>
        <w:t xml:space="preserve"> </w:t>
      </w:r>
      <w:r>
        <w:rPr>
          <w:smallCaps/>
          <w:sz w:val="20"/>
        </w:rPr>
        <w:t>2013, 1364;</w:t>
      </w:r>
      <w:r>
        <w:rPr>
          <w:sz w:val="20"/>
          <w:lang w:val="nl-BE"/>
        </w:rPr>
        <w:t xml:space="preserve"> </w:t>
      </w:r>
      <w:r>
        <w:rPr>
          <w:smallCaps/>
          <w:sz w:val="20"/>
          <w:lang w:val="nl-BE"/>
        </w:rPr>
        <w:t xml:space="preserve">L. Aynès, P. Crocq, </w:t>
      </w:r>
      <w:r>
        <w:rPr>
          <w:i/>
          <w:sz w:val="20"/>
          <w:lang w:val="nl-BE"/>
        </w:rPr>
        <w:t xml:space="preserve">Droit des sûretés, </w:t>
      </w:r>
      <w:r>
        <w:rPr>
          <w:sz w:val="20"/>
          <w:lang w:val="nl-BE"/>
        </w:rPr>
        <w:t>Issy-Les-Moulineaux, LGDJ lextenso éditions 2015, 258.)</w:t>
      </w:r>
    </w:p>
  </w:footnote>
  <w:footnote w:id="126">
    <w:p w14:paraId="7E9FA8A7" w14:textId="77777777" w:rsidR="00C97F8C" w:rsidRPr="003C636A" w:rsidRDefault="00C97F8C" w:rsidP="00B768BB">
      <w:pPr>
        <w:pStyle w:val="Voetnoottekst"/>
        <w:rPr>
          <w:lang w:val="nl-BE"/>
        </w:rPr>
      </w:pPr>
      <w:r w:rsidRPr="00862B0F">
        <w:rPr>
          <w:rStyle w:val="Voetnootmarkering"/>
          <w:sz w:val="20"/>
        </w:rPr>
        <w:footnoteRef/>
      </w:r>
      <w:r>
        <w:rPr>
          <w:sz w:val="20"/>
        </w:rPr>
        <w:t xml:space="preserve"> </w:t>
      </w:r>
      <w:r w:rsidRPr="00862B0F">
        <w:rPr>
          <w:sz w:val="20"/>
        </w:rPr>
        <w:t xml:space="preserve">MvT </w:t>
      </w:r>
      <w:r w:rsidRPr="00862B0F">
        <w:rPr>
          <w:i/>
          <w:sz w:val="20"/>
        </w:rPr>
        <w:t xml:space="preserve">Parl.St., </w:t>
      </w:r>
      <w:r w:rsidRPr="00862B0F">
        <w:rPr>
          <w:sz w:val="20"/>
        </w:rPr>
        <w:t>Kamer 2012-13, nr. 2463/001, 7</w:t>
      </w:r>
      <w:r>
        <w:rPr>
          <w:sz w:val="20"/>
        </w:rPr>
        <w:t xml:space="preserve">; </w:t>
      </w:r>
      <w:r w:rsidRPr="00862B0F">
        <w:rPr>
          <w:smallCaps/>
          <w:sz w:val="20"/>
        </w:rPr>
        <w:t xml:space="preserve">H. De Page, </w:t>
      </w:r>
      <w:r w:rsidRPr="00862B0F">
        <w:rPr>
          <w:i/>
          <w:sz w:val="20"/>
        </w:rPr>
        <w:t xml:space="preserve">Traité élémentaire de droit civil Belge – IV – Les Biens, Les Sûretés, </w:t>
      </w:r>
      <w:r>
        <w:rPr>
          <w:sz w:val="20"/>
        </w:rPr>
        <w:t xml:space="preserve">Bruylant, Brussel 1953, 1138; </w:t>
      </w:r>
      <w:r>
        <w:rPr>
          <w:smallCaps/>
          <w:sz w:val="20"/>
          <w:lang w:val="nl-BE"/>
        </w:rPr>
        <w:t xml:space="preserve">W. Delva, </w:t>
      </w:r>
      <w:r>
        <w:rPr>
          <w:i/>
          <w:sz w:val="20"/>
          <w:lang w:val="nl-BE"/>
        </w:rPr>
        <w:t xml:space="preserve">Voorrechten en hypotheken, </w:t>
      </w:r>
      <w:r>
        <w:rPr>
          <w:sz w:val="20"/>
          <w:lang w:val="nl-BE"/>
        </w:rPr>
        <w:t>Gent, Story Scientia 1973, 88;</w:t>
      </w:r>
      <w:r>
        <w:rPr>
          <w:sz w:val="20"/>
        </w:rPr>
        <w:t xml:space="preserve"> </w:t>
      </w:r>
      <w:r w:rsidRPr="00862B0F">
        <w:rPr>
          <w:smallCaps/>
          <w:sz w:val="20"/>
        </w:rPr>
        <w:t xml:space="preserve">J. kokelenberg, </w:t>
      </w:r>
      <w:r w:rsidRPr="00862B0F">
        <w:rPr>
          <w:sz w:val="20"/>
        </w:rPr>
        <w:t xml:space="preserve">“Inpandgeving van handelszaak en andere voorrechten”, in </w:t>
      </w:r>
      <w:r w:rsidRPr="00862B0F">
        <w:rPr>
          <w:smallCaps/>
          <w:sz w:val="20"/>
        </w:rPr>
        <w:t xml:space="preserve">H. Casman, E. Dirix, R. De Corte, G. de Leval, J. kokelenberg, J.L. Ledoux, M. Storme,  H. Swennen, S. Van </w:t>
      </w:r>
      <w:r w:rsidRPr="00D95044">
        <w:rPr>
          <w:smallCaps/>
          <w:sz w:val="20"/>
        </w:rPr>
        <w:t>Crombrugge</w:t>
      </w:r>
      <w:r w:rsidRPr="00862B0F">
        <w:rPr>
          <w:smallCaps/>
          <w:sz w:val="20"/>
        </w:rPr>
        <w:t xml:space="preserve">, F. Van </w:t>
      </w:r>
      <w:proofErr w:type="spellStart"/>
      <w:r w:rsidRPr="00862B0F">
        <w:rPr>
          <w:smallCaps/>
          <w:sz w:val="20"/>
        </w:rPr>
        <w:t>Nese</w:t>
      </w:r>
      <w:proofErr w:type="spellEnd"/>
      <w:r w:rsidRPr="00862B0F">
        <w:rPr>
          <w:smallCaps/>
          <w:sz w:val="20"/>
        </w:rPr>
        <w:t xml:space="preserve">, A. Van Oevelen, H. Vuye  </w:t>
      </w:r>
      <w:r w:rsidRPr="00862B0F">
        <w:rPr>
          <w:sz w:val="20"/>
        </w:rPr>
        <w:t xml:space="preserve">(eds.), </w:t>
      </w:r>
      <w:r w:rsidRPr="00862B0F">
        <w:rPr>
          <w:i/>
          <w:sz w:val="20"/>
        </w:rPr>
        <w:t xml:space="preserve">Het Zakenrecht, absoluut niet een rustig bezit, </w:t>
      </w:r>
      <w:r w:rsidRPr="00862B0F">
        <w:rPr>
          <w:sz w:val="20"/>
        </w:rPr>
        <w:t>Kluwer Rechtswetenschappen, Antwerpen</w:t>
      </w:r>
      <w:r>
        <w:rPr>
          <w:sz w:val="20"/>
        </w:rPr>
        <w:t xml:space="preserve"> 1992</w:t>
      </w:r>
      <w:r w:rsidRPr="00862B0F">
        <w:rPr>
          <w:sz w:val="20"/>
        </w:rPr>
        <w:t>, 177;</w:t>
      </w:r>
      <w:r>
        <w:rPr>
          <w:sz w:val="20"/>
        </w:rPr>
        <w:t xml:space="preserve"> </w:t>
      </w:r>
      <w:r>
        <w:rPr>
          <w:smallCaps/>
          <w:sz w:val="20"/>
        </w:rPr>
        <w:t xml:space="preserve">B. Du Laing, </w:t>
      </w:r>
      <w:r>
        <w:rPr>
          <w:sz w:val="20"/>
        </w:rPr>
        <w:t xml:space="preserve">“Het pand op de handelszaak: een algemeen overzicht en enkele recente ontwikkelingen”, in </w:t>
      </w:r>
      <w:r>
        <w:rPr>
          <w:smallCaps/>
          <w:sz w:val="20"/>
        </w:rPr>
        <w:t xml:space="preserve">F. Bouckaert, J. Byttebier, B. Du Laing, H. Pelgroms, N. Torfs, W. Van De Putte, P. Verbanck, L. Weyts </w:t>
      </w:r>
      <w:r>
        <w:rPr>
          <w:sz w:val="20"/>
        </w:rPr>
        <w:t xml:space="preserve">(eds.), </w:t>
      </w:r>
      <w:r>
        <w:rPr>
          <w:i/>
          <w:sz w:val="20"/>
        </w:rPr>
        <w:t xml:space="preserve">Notariële aspecten van de handelszaak en de handelshuur, </w:t>
      </w:r>
      <w:r>
        <w:rPr>
          <w:sz w:val="20"/>
        </w:rPr>
        <w:t>Antwerpen, Maklu 2005, 125;</w:t>
      </w:r>
      <w:r w:rsidRPr="002F653A">
        <w:t xml:space="preserve"> </w:t>
      </w:r>
      <w:r>
        <w:rPr>
          <w:smallCaps/>
        </w:rPr>
        <w:t>K. Byttebier</w:t>
      </w:r>
      <w:r w:rsidRPr="002F653A">
        <w:rPr>
          <w:sz w:val="20"/>
        </w:rPr>
        <w:t>, Voorrechten en hypotheken ̧ Antwerpen, Maklu, 2005, 400</w:t>
      </w:r>
      <w:r>
        <w:rPr>
          <w:sz w:val="20"/>
        </w:rPr>
        <w:t xml:space="preserve">; </w:t>
      </w:r>
      <w:r w:rsidRPr="00862B0F">
        <w:rPr>
          <w:sz w:val="20"/>
        </w:rPr>
        <w:t xml:space="preserve">R. </w:t>
      </w:r>
      <w:r w:rsidRPr="00862B0F">
        <w:rPr>
          <w:smallCaps/>
          <w:sz w:val="20"/>
        </w:rPr>
        <w:t xml:space="preserve">De Corte en E. Dirix, </w:t>
      </w:r>
      <w:r w:rsidRPr="00862B0F">
        <w:rPr>
          <w:i/>
          <w:sz w:val="20"/>
        </w:rPr>
        <w:t xml:space="preserve">Beginselen van Belgisch Privaatrecht – XII – Zekerheidsrechten, </w:t>
      </w:r>
      <w:r w:rsidRPr="00862B0F">
        <w:rPr>
          <w:sz w:val="20"/>
        </w:rPr>
        <w:t>Kluwer, Antwerpen 2006, 353</w:t>
      </w:r>
      <w:r>
        <w:rPr>
          <w:sz w:val="20"/>
        </w:rPr>
        <w:t xml:space="preserve">; </w:t>
      </w:r>
      <w:r>
        <w:rPr>
          <w:smallCaps/>
          <w:sz w:val="20"/>
        </w:rPr>
        <w:t>M.E. Storme</w:t>
      </w:r>
      <w:r w:rsidRPr="00862B0F">
        <w:rPr>
          <w:sz w:val="20"/>
        </w:rPr>
        <w:t xml:space="preserve">, “Paritas </w:t>
      </w:r>
      <w:proofErr w:type="spellStart"/>
      <w:r w:rsidRPr="00862B0F">
        <w:rPr>
          <w:sz w:val="20"/>
        </w:rPr>
        <w:t>creditorum</w:t>
      </w:r>
      <w:proofErr w:type="spellEnd"/>
      <w:r w:rsidRPr="00862B0F">
        <w:rPr>
          <w:sz w:val="20"/>
        </w:rPr>
        <w:t>, voorrang en roerende zeker</w:t>
      </w:r>
      <w:r>
        <w:rPr>
          <w:sz w:val="20"/>
        </w:rPr>
        <w:t xml:space="preserve">heden”, </w:t>
      </w:r>
      <w:r w:rsidRPr="00E23531">
        <w:rPr>
          <w:i/>
          <w:sz w:val="20"/>
        </w:rPr>
        <w:t>T.P.R</w:t>
      </w:r>
      <w:r>
        <w:rPr>
          <w:sz w:val="20"/>
        </w:rPr>
        <w:t xml:space="preserve">. 2006, 1012; </w:t>
      </w:r>
      <w:r>
        <w:rPr>
          <w:smallCaps/>
          <w:sz w:val="20"/>
        </w:rPr>
        <w:t xml:space="preserve">A. Cuypers, </w:t>
      </w:r>
      <w:r>
        <w:rPr>
          <w:sz w:val="20"/>
        </w:rPr>
        <w:t xml:space="preserve">“Wet 25 oktober 1919”, in </w:t>
      </w:r>
      <w:r>
        <w:rPr>
          <w:i/>
          <w:sz w:val="20"/>
        </w:rPr>
        <w:t xml:space="preserve">Voorrechten en hypotheken </w:t>
      </w:r>
      <w:r>
        <w:rPr>
          <w:sz w:val="20"/>
        </w:rPr>
        <w:t xml:space="preserve">2007, 64; </w:t>
      </w:r>
      <w:r>
        <w:rPr>
          <w:smallCaps/>
          <w:sz w:val="20"/>
        </w:rPr>
        <w:t>A. De Wilde, “</w:t>
      </w:r>
      <w:r>
        <w:rPr>
          <w:sz w:val="20"/>
        </w:rPr>
        <w:t>Het klassieke pand en het pand op de handelszaak” in X (</w:t>
      </w:r>
      <w:proofErr w:type="spellStart"/>
      <w:r>
        <w:rPr>
          <w:sz w:val="20"/>
        </w:rPr>
        <w:t>ed</w:t>
      </w:r>
      <w:proofErr w:type="spellEnd"/>
      <w:r>
        <w:rPr>
          <w:sz w:val="20"/>
        </w:rPr>
        <w:t xml:space="preserve">) </w:t>
      </w:r>
      <w:r>
        <w:rPr>
          <w:i/>
          <w:sz w:val="20"/>
        </w:rPr>
        <w:t>Het pand -  Van een oude naar een moderne zekerheid</w:t>
      </w:r>
      <w:r>
        <w:rPr>
          <w:sz w:val="20"/>
        </w:rPr>
        <w:t xml:space="preserve"> (eds), Brussel, Die Keure, 2012, 24; </w:t>
      </w:r>
      <w:r w:rsidRPr="0017720E">
        <w:rPr>
          <w:smallCaps/>
          <w:sz w:val="20"/>
        </w:rPr>
        <w:t>J. Cattaruzza,</w:t>
      </w:r>
      <w:r w:rsidRPr="0017720E">
        <w:rPr>
          <w:sz w:val="20"/>
        </w:rPr>
        <w:t xml:space="preserve"> “Les grand </w:t>
      </w:r>
      <w:proofErr w:type="spellStart"/>
      <w:r w:rsidRPr="0017720E">
        <w:rPr>
          <w:sz w:val="20"/>
        </w:rPr>
        <w:t>axes</w:t>
      </w:r>
      <w:proofErr w:type="spellEnd"/>
      <w:r w:rsidRPr="0017720E">
        <w:rPr>
          <w:sz w:val="20"/>
        </w:rPr>
        <w:t xml:space="preserve"> de la réforme des sûretés mobilières”, </w:t>
      </w:r>
      <w:r w:rsidRPr="0017720E">
        <w:rPr>
          <w:i/>
          <w:sz w:val="20"/>
        </w:rPr>
        <w:t xml:space="preserve">DBF </w:t>
      </w:r>
      <w:r w:rsidRPr="0017720E">
        <w:rPr>
          <w:sz w:val="20"/>
        </w:rPr>
        <w:t>2013, 188.</w:t>
      </w:r>
    </w:p>
  </w:footnote>
  <w:footnote w:id="127">
    <w:p w14:paraId="4E16062E" w14:textId="13ABC906" w:rsidR="00C97F8C" w:rsidRPr="00862B0F" w:rsidRDefault="00C97F8C" w:rsidP="00B768BB">
      <w:pPr>
        <w:pStyle w:val="Voetnoottekst"/>
        <w:rPr>
          <w:sz w:val="20"/>
        </w:rPr>
      </w:pPr>
      <w:r w:rsidRPr="00862B0F">
        <w:rPr>
          <w:rStyle w:val="Voetnootmarkering"/>
          <w:sz w:val="20"/>
        </w:rPr>
        <w:footnoteRef/>
      </w:r>
      <w:r>
        <w:rPr>
          <w:sz w:val="20"/>
        </w:rPr>
        <w:t xml:space="preserve"> </w:t>
      </w:r>
      <w:r w:rsidRPr="006921E5">
        <w:rPr>
          <w:smallCaps/>
          <w:sz w:val="20"/>
        </w:rPr>
        <w:t>I. Moreau-</w:t>
      </w:r>
      <w:proofErr w:type="spellStart"/>
      <w:r w:rsidRPr="006921E5">
        <w:rPr>
          <w:smallCaps/>
          <w:sz w:val="20"/>
        </w:rPr>
        <w:t>Margrève</w:t>
      </w:r>
      <w:r w:rsidRPr="006921E5">
        <w:rPr>
          <w:sz w:val="20"/>
        </w:rPr>
        <w:t>,“Heurs</w:t>
      </w:r>
      <w:proofErr w:type="spellEnd"/>
      <w:r w:rsidRPr="006921E5">
        <w:rPr>
          <w:sz w:val="20"/>
        </w:rPr>
        <w:t xml:space="preserve"> et maleurs du gage sur fonds de commerce”, </w:t>
      </w:r>
      <w:r w:rsidRPr="006921E5">
        <w:rPr>
          <w:i/>
          <w:sz w:val="20"/>
        </w:rPr>
        <w:t>RCJB</w:t>
      </w:r>
      <w:r w:rsidRPr="006921E5">
        <w:rPr>
          <w:sz w:val="20"/>
        </w:rPr>
        <w:t xml:space="preserve"> 1980, 139</w:t>
      </w:r>
      <w:r>
        <w:rPr>
          <w:sz w:val="20"/>
        </w:rPr>
        <w:t xml:space="preserve">; </w:t>
      </w:r>
      <w:r>
        <w:rPr>
          <w:smallCaps/>
          <w:sz w:val="20"/>
          <w:lang w:val="nl-BE"/>
        </w:rPr>
        <w:t xml:space="preserve">A.-M. Strannart, </w:t>
      </w:r>
      <w:r>
        <w:rPr>
          <w:sz w:val="20"/>
          <w:lang w:val="nl-BE"/>
        </w:rPr>
        <w:t xml:space="preserve">“Les sûretés réelles traditionelles – Développements récents”, in </w:t>
      </w:r>
      <w:r>
        <w:rPr>
          <w:smallCaps/>
          <w:sz w:val="20"/>
          <w:lang w:val="nl-BE"/>
        </w:rPr>
        <w:t xml:space="preserve">A.-M. strannarts </w:t>
      </w:r>
      <w:r>
        <w:rPr>
          <w:sz w:val="20"/>
          <w:lang w:val="nl-BE"/>
        </w:rPr>
        <w:t xml:space="preserve">(ed.), </w:t>
      </w:r>
      <w:r>
        <w:rPr>
          <w:i/>
          <w:sz w:val="20"/>
          <w:lang w:val="nl-BE"/>
        </w:rPr>
        <w:t xml:space="preserve">Le droit des sûretés, </w:t>
      </w:r>
      <w:r>
        <w:rPr>
          <w:sz w:val="20"/>
          <w:lang w:val="nl-BE"/>
        </w:rPr>
        <w:t>Brussel, Editions Jeune Barreau, 78;</w:t>
      </w:r>
      <w:r>
        <w:rPr>
          <w:sz w:val="20"/>
        </w:rPr>
        <w:t xml:space="preserve"> </w:t>
      </w:r>
      <w:r w:rsidRPr="00862B0F">
        <w:rPr>
          <w:sz w:val="20"/>
        </w:rPr>
        <w:t xml:space="preserve">R. </w:t>
      </w:r>
      <w:r w:rsidRPr="00862B0F">
        <w:rPr>
          <w:smallCaps/>
          <w:sz w:val="20"/>
        </w:rPr>
        <w:t xml:space="preserve">De Corte en E. Dirix, </w:t>
      </w:r>
      <w:r w:rsidRPr="00862B0F">
        <w:rPr>
          <w:i/>
          <w:sz w:val="20"/>
        </w:rPr>
        <w:t xml:space="preserve">Beginselen van Belgisch Privaatrecht – XII – Zekerheidsrechten, </w:t>
      </w:r>
      <w:r w:rsidRPr="00862B0F">
        <w:rPr>
          <w:sz w:val="20"/>
        </w:rPr>
        <w:t xml:space="preserve">Kluwer, Antwerpen 2006, 366; </w:t>
      </w:r>
      <w:r w:rsidRPr="00862B0F">
        <w:rPr>
          <w:smallCaps/>
          <w:sz w:val="20"/>
        </w:rPr>
        <w:t xml:space="preserve">R. Dekkers en E. Dirix, </w:t>
      </w:r>
      <w:r w:rsidRPr="00862B0F">
        <w:rPr>
          <w:i/>
          <w:sz w:val="20"/>
        </w:rPr>
        <w:t xml:space="preserve">Handboek Burgerlijk Recht – Deel II, </w:t>
      </w:r>
      <w:r w:rsidRPr="00862B0F">
        <w:rPr>
          <w:sz w:val="20"/>
        </w:rPr>
        <w:t xml:space="preserve">Antwerpen, Intersentia, 2005, 392; </w:t>
      </w:r>
      <w:r w:rsidRPr="00862B0F">
        <w:rPr>
          <w:smallCaps/>
          <w:sz w:val="20"/>
        </w:rPr>
        <w:t>R. Jansen, “</w:t>
      </w:r>
      <w:r w:rsidRPr="00862B0F">
        <w:rPr>
          <w:sz w:val="20"/>
        </w:rPr>
        <w:t xml:space="preserve">Algemene systematiek van voorrechten”, </w:t>
      </w:r>
      <w:r w:rsidRPr="00862B0F">
        <w:rPr>
          <w:i/>
          <w:sz w:val="20"/>
        </w:rPr>
        <w:t xml:space="preserve">TPR </w:t>
      </w:r>
      <w:r w:rsidRPr="00862B0F">
        <w:rPr>
          <w:sz w:val="20"/>
        </w:rPr>
        <w:t xml:space="preserve">2008, 23; </w:t>
      </w:r>
      <w:r w:rsidRPr="00862B0F">
        <w:rPr>
          <w:smallCaps/>
          <w:sz w:val="20"/>
        </w:rPr>
        <w:t xml:space="preserve">M.E. Storme, </w:t>
      </w:r>
      <w:r w:rsidRPr="00862B0F">
        <w:rPr>
          <w:sz w:val="20"/>
        </w:rPr>
        <w:t xml:space="preserve">“Paritas Creditorum, voorrang en roerende zekerheden”, </w:t>
      </w:r>
      <w:r w:rsidRPr="00862B0F">
        <w:rPr>
          <w:i/>
          <w:sz w:val="20"/>
        </w:rPr>
        <w:t xml:space="preserve">TPR </w:t>
      </w:r>
      <w:r>
        <w:rPr>
          <w:sz w:val="20"/>
        </w:rPr>
        <w:t xml:space="preserve">2006, 1012; </w:t>
      </w:r>
      <w:r>
        <w:rPr>
          <w:smallCaps/>
          <w:sz w:val="20"/>
        </w:rPr>
        <w:t>A. De Wilde, “</w:t>
      </w:r>
      <w:r>
        <w:rPr>
          <w:sz w:val="20"/>
        </w:rPr>
        <w:t>Het klassieke pand en het pand op de handelszaak” in X (</w:t>
      </w:r>
      <w:proofErr w:type="spellStart"/>
      <w:r>
        <w:rPr>
          <w:sz w:val="20"/>
        </w:rPr>
        <w:t>ed</w:t>
      </w:r>
      <w:proofErr w:type="spellEnd"/>
      <w:r>
        <w:rPr>
          <w:sz w:val="20"/>
        </w:rPr>
        <w:t xml:space="preserve">) </w:t>
      </w:r>
      <w:r>
        <w:rPr>
          <w:i/>
          <w:sz w:val="20"/>
        </w:rPr>
        <w:t>Het pand -  Van een oude naar een moderne zekerheid</w:t>
      </w:r>
      <w:r>
        <w:rPr>
          <w:sz w:val="20"/>
        </w:rPr>
        <w:t xml:space="preserve"> (eds), Brussel, Die Keure, 2012, 27.</w:t>
      </w:r>
    </w:p>
  </w:footnote>
  <w:footnote w:id="128">
    <w:p w14:paraId="3DF7E1C3" w14:textId="77777777" w:rsidR="00C97F8C" w:rsidRPr="00276FCE" w:rsidRDefault="00C97F8C" w:rsidP="00B768BB">
      <w:pPr>
        <w:pStyle w:val="Voetnoottekst"/>
        <w:rPr>
          <w:lang w:val="nl-BE"/>
        </w:rPr>
      </w:pPr>
      <w:r>
        <w:rPr>
          <w:rStyle w:val="Voetnootmarkering"/>
        </w:rPr>
        <w:footnoteRef/>
      </w:r>
      <w:r>
        <w:t xml:space="preserve"> </w:t>
      </w:r>
      <w:r>
        <w:rPr>
          <w:smallCaps/>
          <w:sz w:val="20"/>
        </w:rPr>
        <w:t>J. Déruppré, “</w:t>
      </w:r>
      <w:r w:rsidRPr="003A3F8C">
        <w:rPr>
          <w:sz w:val="20"/>
        </w:rPr>
        <w:t>Nantissement de fonds de commerce</w:t>
      </w:r>
      <w:r>
        <w:rPr>
          <w:sz w:val="20"/>
        </w:rPr>
        <w:t>”</w:t>
      </w:r>
      <w:r>
        <w:rPr>
          <w:i/>
          <w:sz w:val="20"/>
        </w:rPr>
        <w:t xml:space="preserve">, Repertoire de droit commercial </w:t>
      </w:r>
      <w:r>
        <w:rPr>
          <w:sz w:val="20"/>
        </w:rPr>
        <w:t>2000, 9.</w:t>
      </w:r>
    </w:p>
  </w:footnote>
  <w:footnote w:id="129">
    <w:p w14:paraId="699CC184" w14:textId="77777777" w:rsidR="00C97F8C" w:rsidRPr="008F510A" w:rsidRDefault="00C97F8C" w:rsidP="00B768BB">
      <w:pPr>
        <w:pStyle w:val="Voetnoottekst"/>
        <w:rPr>
          <w:sz w:val="20"/>
        </w:rPr>
      </w:pPr>
      <w:r>
        <w:rPr>
          <w:rStyle w:val="Voetnootmarkering"/>
        </w:rPr>
        <w:footnoteRef/>
      </w:r>
      <w:r>
        <w:t xml:space="preserve"> </w:t>
      </w:r>
      <w:r>
        <w:rPr>
          <w:smallCaps/>
          <w:sz w:val="20"/>
        </w:rPr>
        <w:t>A. De Wilde, “</w:t>
      </w:r>
      <w:r>
        <w:rPr>
          <w:sz w:val="20"/>
        </w:rPr>
        <w:t>Het klassieke pand en het pand op de handelszaak” in X (</w:t>
      </w:r>
      <w:proofErr w:type="spellStart"/>
      <w:r>
        <w:rPr>
          <w:sz w:val="20"/>
        </w:rPr>
        <w:t>ed</w:t>
      </w:r>
      <w:proofErr w:type="spellEnd"/>
      <w:r>
        <w:rPr>
          <w:sz w:val="20"/>
        </w:rPr>
        <w:t xml:space="preserve">) </w:t>
      </w:r>
      <w:r>
        <w:rPr>
          <w:i/>
          <w:sz w:val="20"/>
        </w:rPr>
        <w:t>Het pand -  Van een oude naar een moderne zekerheid</w:t>
      </w:r>
      <w:r>
        <w:rPr>
          <w:sz w:val="20"/>
        </w:rPr>
        <w:t xml:space="preserve"> (eds), Brussel, Die Keure, 2012, 27.</w:t>
      </w:r>
    </w:p>
  </w:footnote>
  <w:footnote w:id="130">
    <w:p w14:paraId="3DB8D053" w14:textId="77777777" w:rsidR="00C97F8C" w:rsidRPr="00DF3FC8" w:rsidRDefault="00C97F8C" w:rsidP="00B768BB">
      <w:pPr>
        <w:pStyle w:val="Voetnoottekst"/>
        <w:rPr>
          <w:sz w:val="20"/>
        </w:rPr>
      </w:pPr>
      <w:r w:rsidRPr="00DF3FC8">
        <w:rPr>
          <w:rStyle w:val="Voetnootmarkering"/>
          <w:sz w:val="20"/>
        </w:rPr>
        <w:footnoteRef/>
      </w:r>
      <w:r w:rsidRPr="00DF3FC8">
        <w:rPr>
          <w:sz w:val="20"/>
        </w:rPr>
        <w:t xml:space="preserve"> </w:t>
      </w:r>
      <w:r w:rsidRPr="00DF3FC8">
        <w:rPr>
          <w:smallCaps/>
          <w:sz w:val="20"/>
        </w:rPr>
        <w:t xml:space="preserve">E. Hellebuyck, </w:t>
      </w:r>
      <w:r w:rsidRPr="00DF3FC8">
        <w:rPr>
          <w:sz w:val="20"/>
        </w:rPr>
        <w:t xml:space="preserve">“Commentaar bij artikel 6 Pandwet”, </w:t>
      </w:r>
      <w:r w:rsidRPr="00DF3FC8">
        <w:rPr>
          <w:i/>
          <w:sz w:val="20"/>
        </w:rPr>
        <w:t xml:space="preserve">Voorrechten en hypotheken OVH </w:t>
      </w:r>
      <w:r>
        <w:rPr>
          <w:sz w:val="20"/>
        </w:rPr>
        <w:t xml:space="preserve">2015, 9; </w:t>
      </w:r>
      <w:r>
        <w:rPr>
          <w:smallCaps/>
          <w:sz w:val="20"/>
        </w:rPr>
        <w:t>A. De Wilde, “</w:t>
      </w:r>
      <w:r>
        <w:rPr>
          <w:sz w:val="20"/>
        </w:rPr>
        <w:t>Het klassieke pand en het pand op de handelszaak” in X (</w:t>
      </w:r>
      <w:proofErr w:type="spellStart"/>
      <w:r>
        <w:rPr>
          <w:sz w:val="20"/>
        </w:rPr>
        <w:t>ed</w:t>
      </w:r>
      <w:proofErr w:type="spellEnd"/>
      <w:r>
        <w:rPr>
          <w:sz w:val="20"/>
        </w:rPr>
        <w:t xml:space="preserve">) </w:t>
      </w:r>
      <w:r>
        <w:rPr>
          <w:i/>
          <w:sz w:val="20"/>
        </w:rPr>
        <w:t>Het pand -  Van een oude naar een moderne zekerheid</w:t>
      </w:r>
      <w:r>
        <w:rPr>
          <w:sz w:val="20"/>
        </w:rPr>
        <w:t xml:space="preserve"> (eds), Brussel, Die Keure, 2012, 27.</w:t>
      </w:r>
    </w:p>
  </w:footnote>
  <w:footnote w:id="131">
    <w:p w14:paraId="761CE527" w14:textId="1923708A" w:rsidR="00C97F8C" w:rsidRPr="006B2DA0" w:rsidRDefault="00C97F8C" w:rsidP="00B768BB">
      <w:pPr>
        <w:pStyle w:val="Voetnoottekst"/>
        <w:rPr>
          <w:u w:val="single"/>
          <w:lang w:val="nl-BE"/>
        </w:rPr>
      </w:pPr>
      <w:r>
        <w:rPr>
          <w:rStyle w:val="Voetnootmarkering"/>
        </w:rPr>
        <w:footnoteRef/>
      </w:r>
      <w:r>
        <w:t xml:space="preserve"> </w:t>
      </w:r>
      <w:r w:rsidRPr="00420C44">
        <w:rPr>
          <w:smallCaps/>
          <w:sz w:val="20"/>
          <w:lang w:val="nl-BE"/>
        </w:rPr>
        <w:t xml:space="preserve">A. Kluyskens, </w:t>
      </w:r>
      <w:r w:rsidRPr="00420C44">
        <w:rPr>
          <w:i/>
          <w:sz w:val="20"/>
          <w:lang w:val="nl-BE"/>
        </w:rPr>
        <w:t xml:space="preserve">Voorrechten en hypotheken, </w:t>
      </w:r>
      <w:r w:rsidRPr="00420C44">
        <w:rPr>
          <w:sz w:val="20"/>
          <w:lang w:val="nl-BE"/>
        </w:rPr>
        <w:t>Gent, Standaard Boekhandel 1951, 122</w:t>
      </w:r>
      <w:r>
        <w:rPr>
          <w:sz w:val="20"/>
          <w:lang w:val="nl-BE"/>
        </w:rPr>
        <w:t xml:space="preserve">; </w:t>
      </w:r>
      <w:r>
        <w:rPr>
          <w:smallCaps/>
          <w:sz w:val="20"/>
          <w:lang w:val="nl-BE"/>
        </w:rPr>
        <w:t>R. Derycke, “</w:t>
      </w:r>
      <w:r w:rsidRPr="003C636A">
        <w:rPr>
          <w:sz w:val="20"/>
          <w:lang w:val="nl-BE"/>
        </w:rPr>
        <w:t>Voorrechten</w:t>
      </w:r>
      <w:r>
        <w:rPr>
          <w:i/>
          <w:sz w:val="20"/>
          <w:lang w:val="nl-BE"/>
        </w:rPr>
        <w:t xml:space="preserve">”, APR </w:t>
      </w:r>
      <w:r>
        <w:rPr>
          <w:sz w:val="20"/>
          <w:lang w:val="nl-BE"/>
        </w:rPr>
        <w:t>1958, 96;</w:t>
      </w:r>
      <w:r>
        <w:rPr>
          <w:i/>
          <w:sz w:val="20"/>
          <w:lang w:val="nl-BE"/>
        </w:rPr>
        <w:t xml:space="preserve"> </w:t>
      </w:r>
      <w:r>
        <w:rPr>
          <w:sz w:val="20"/>
          <w:lang w:val="nl-BE"/>
        </w:rPr>
        <w:t xml:space="preserve"> </w:t>
      </w:r>
      <w:r>
        <w:rPr>
          <w:smallCaps/>
          <w:sz w:val="20"/>
          <w:lang w:val="nl-BE"/>
        </w:rPr>
        <w:t xml:space="preserve">W. Delva, </w:t>
      </w:r>
      <w:r>
        <w:rPr>
          <w:i/>
          <w:sz w:val="20"/>
          <w:lang w:val="nl-BE"/>
        </w:rPr>
        <w:t xml:space="preserve">Voorrechten en hypotheken, </w:t>
      </w:r>
      <w:r>
        <w:rPr>
          <w:sz w:val="20"/>
          <w:lang w:val="nl-BE"/>
        </w:rPr>
        <w:t xml:space="preserve">Gent, Story Scientia 1973, 86; </w:t>
      </w:r>
      <w:r>
        <w:rPr>
          <w:smallCaps/>
          <w:sz w:val="20"/>
          <w:lang w:val="nl-BE"/>
        </w:rPr>
        <w:t xml:space="preserve">F. Van Malleghem L. Van Malleghem; H. Van Malleghem, </w:t>
      </w:r>
      <w:r>
        <w:rPr>
          <w:sz w:val="20"/>
          <w:lang w:val="nl-BE"/>
        </w:rPr>
        <w:t xml:space="preserve">“Commentaar bij de wet van 15 oktober 1884”, </w:t>
      </w:r>
      <w:r>
        <w:rPr>
          <w:i/>
          <w:sz w:val="20"/>
          <w:lang w:val="nl-BE"/>
        </w:rPr>
        <w:t xml:space="preserve">Voorrechten en hypotheken </w:t>
      </w:r>
      <w:r>
        <w:rPr>
          <w:sz w:val="20"/>
          <w:lang w:val="nl-BE"/>
        </w:rPr>
        <w:t xml:space="preserve">1997, 1; </w:t>
      </w:r>
      <w:r w:rsidRPr="006921E5">
        <w:rPr>
          <w:smallCaps/>
          <w:sz w:val="20"/>
        </w:rPr>
        <w:t>I. Moreau-</w:t>
      </w:r>
      <w:proofErr w:type="spellStart"/>
      <w:proofErr w:type="gramStart"/>
      <w:r w:rsidRPr="006921E5">
        <w:rPr>
          <w:smallCaps/>
          <w:sz w:val="20"/>
        </w:rPr>
        <w:t>Margrève</w:t>
      </w:r>
      <w:r w:rsidRPr="006921E5">
        <w:rPr>
          <w:sz w:val="20"/>
        </w:rPr>
        <w:t>,“</w:t>
      </w:r>
      <w:proofErr w:type="gramEnd"/>
      <w:r w:rsidRPr="006921E5">
        <w:rPr>
          <w:sz w:val="20"/>
        </w:rPr>
        <w:t>Heurs</w:t>
      </w:r>
      <w:proofErr w:type="spellEnd"/>
      <w:r w:rsidRPr="006921E5">
        <w:rPr>
          <w:sz w:val="20"/>
        </w:rPr>
        <w:t xml:space="preserve"> et maleurs du gage sur fonds de commerce”, </w:t>
      </w:r>
      <w:r w:rsidRPr="006921E5">
        <w:rPr>
          <w:i/>
          <w:sz w:val="20"/>
        </w:rPr>
        <w:t>RCJB</w:t>
      </w:r>
      <w:r w:rsidRPr="006921E5">
        <w:rPr>
          <w:sz w:val="20"/>
        </w:rPr>
        <w:t xml:space="preserve"> 1980, </w:t>
      </w:r>
      <w:r>
        <w:rPr>
          <w:sz w:val="20"/>
        </w:rPr>
        <w:t>143;</w:t>
      </w:r>
      <w:r>
        <w:rPr>
          <w:smallCaps/>
          <w:sz w:val="20"/>
        </w:rPr>
        <w:t xml:space="preserve"> G. Van </w:t>
      </w:r>
      <w:proofErr w:type="spellStart"/>
      <w:r>
        <w:rPr>
          <w:smallCaps/>
          <w:sz w:val="20"/>
        </w:rPr>
        <w:t>Haeghenborghg</w:t>
      </w:r>
      <w:proofErr w:type="spellEnd"/>
      <w:r>
        <w:rPr>
          <w:smallCaps/>
          <w:sz w:val="20"/>
        </w:rPr>
        <w:t xml:space="preserve">, </w:t>
      </w:r>
      <w:r>
        <w:rPr>
          <w:sz w:val="20"/>
        </w:rPr>
        <w:t xml:space="preserve">“Over de samenloop van de niet-betaalde verkoper en de houder van het landbouwvoorrecht”, </w:t>
      </w:r>
      <w:r>
        <w:rPr>
          <w:i/>
          <w:sz w:val="20"/>
        </w:rPr>
        <w:t xml:space="preserve">RW </w:t>
      </w:r>
      <w:r>
        <w:rPr>
          <w:sz w:val="20"/>
        </w:rPr>
        <w:t>1993-94, 988 (noot onder Cass. 17 februari 1993);</w:t>
      </w:r>
      <w:r>
        <w:rPr>
          <w:sz w:val="20"/>
          <w:lang w:val="nl-BE"/>
        </w:rPr>
        <w:t xml:space="preserve"> </w:t>
      </w:r>
      <w:r>
        <w:rPr>
          <w:smallCaps/>
          <w:sz w:val="20"/>
          <w:lang w:val="nl-BE"/>
        </w:rPr>
        <w:t xml:space="preserve">J.-L. Ledoux, </w:t>
      </w:r>
      <w:r>
        <w:rPr>
          <w:i/>
          <w:sz w:val="20"/>
          <w:lang w:val="nl-BE"/>
        </w:rPr>
        <w:t xml:space="preserve">Les sûretés réelles -  chronique de jurisprudence, </w:t>
      </w:r>
      <w:r>
        <w:rPr>
          <w:sz w:val="20"/>
          <w:lang w:val="nl-BE"/>
        </w:rPr>
        <w:t xml:space="preserve">Brussel, Larcier 2003, 87; </w:t>
      </w:r>
      <w:r>
        <w:rPr>
          <w:smallCaps/>
          <w:sz w:val="20"/>
        </w:rPr>
        <w:t>F. ‘T Kind</w:t>
      </w:r>
      <w:r w:rsidRPr="00EA4E18">
        <w:rPr>
          <w:sz w:val="20"/>
        </w:rPr>
        <w:t>, Sûretés et principes généraux du droit de poursuite des créanci</w:t>
      </w:r>
      <w:r>
        <w:rPr>
          <w:sz w:val="20"/>
        </w:rPr>
        <w:t xml:space="preserve">ers, Brussel, Larcier, 2004, 134; </w:t>
      </w:r>
      <w:r>
        <w:rPr>
          <w:smallCaps/>
          <w:sz w:val="20"/>
        </w:rPr>
        <w:t xml:space="preserve">P. François, </w:t>
      </w:r>
      <w:r>
        <w:rPr>
          <w:sz w:val="20"/>
        </w:rPr>
        <w:t xml:space="preserve">“Actuele problemen inzake landbouwfinanciering: het landbouwvoorrecht, moet dat?”, in </w:t>
      </w:r>
      <w:r>
        <w:rPr>
          <w:smallCaps/>
          <w:sz w:val="20"/>
        </w:rPr>
        <w:t xml:space="preserve">J. Cattaruzza, W. Kupers, I. Peeters </w:t>
      </w:r>
      <w:r>
        <w:rPr>
          <w:sz w:val="20"/>
        </w:rPr>
        <w:t xml:space="preserve">(eds.), </w:t>
      </w:r>
      <w:r>
        <w:rPr>
          <w:i/>
          <w:sz w:val="20"/>
        </w:rPr>
        <w:t xml:space="preserve">Liber Amicorum Achilles Cuypers, </w:t>
      </w:r>
      <w:r>
        <w:rPr>
          <w:sz w:val="20"/>
        </w:rPr>
        <w:t>Brussel, Larcier, 120.</w:t>
      </w:r>
    </w:p>
  </w:footnote>
  <w:footnote w:id="132">
    <w:p w14:paraId="4D9003AD" w14:textId="40FA5244" w:rsidR="00C97F8C" w:rsidRPr="00E56AEB" w:rsidRDefault="00C97F8C" w:rsidP="00B768BB">
      <w:pPr>
        <w:pStyle w:val="Voetnoottekst"/>
        <w:rPr>
          <w:lang w:val="nl-BE"/>
        </w:rPr>
      </w:pPr>
      <w:r>
        <w:rPr>
          <w:rStyle w:val="Voetnootmarkering"/>
        </w:rPr>
        <w:footnoteRef/>
      </w:r>
      <w:r>
        <w:t xml:space="preserve"> </w:t>
      </w:r>
      <w:r>
        <w:rPr>
          <w:smallCaps/>
          <w:sz w:val="20"/>
        </w:rPr>
        <w:t>F. ‘T Kind</w:t>
      </w:r>
      <w:r w:rsidRPr="00EA4E18">
        <w:rPr>
          <w:sz w:val="20"/>
        </w:rPr>
        <w:t>, Sûretés et principes généraux du droit de poursuite des créanci</w:t>
      </w:r>
      <w:r>
        <w:rPr>
          <w:sz w:val="20"/>
        </w:rPr>
        <w:t xml:space="preserve">ers, Brussel, Larcier, 2004, 134; </w:t>
      </w:r>
      <w:r>
        <w:rPr>
          <w:sz w:val="20"/>
          <w:u w:val="single"/>
        </w:rPr>
        <w:t>Anders:</w:t>
      </w:r>
      <w:r>
        <w:rPr>
          <w:sz w:val="20"/>
        </w:rPr>
        <w:t xml:space="preserve"> </w:t>
      </w:r>
      <w:r>
        <w:rPr>
          <w:smallCaps/>
          <w:sz w:val="20"/>
        </w:rPr>
        <w:t xml:space="preserve">Moretus-Plantin </w:t>
      </w:r>
      <w:r>
        <w:rPr>
          <w:sz w:val="20"/>
        </w:rPr>
        <w:t xml:space="preserve">is van oordeel dat het landbouwvoorrecht beter gekwalificeerd wordt als een bijzonder voorrecht omdat het nog steeds gaat om een recht dat slechts toegekend wordt vanwege de hoedanigheid van de schuldvordering. Deze redenering kan echter niet overtuigen. Het is namelijk niet zo dat elke schuldvordering volgend uit een kredietopening of een lening gewaarborgd is door dat voorrecht. </w:t>
      </w:r>
      <w:r>
        <w:rPr>
          <w:smallCaps/>
          <w:sz w:val="20"/>
        </w:rPr>
        <w:t xml:space="preserve">Kluyskens </w:t>
      </w:r>
      <w:r>
        <w:rPr>
          <w:sz w:val="20"/>
        </w:rPr>
        <w:t>is dan weer van mening dat het landbouwvoorrecht moet gekwalificeerd worden als een roerende hypotheek omwille van de grote gelijkenissen met een hypotheek. (</w:t>
      </w:r>
      <w:r w:rsidRPr="00420C44">
        <w:rPr>
          <w:smallCaps/>
          <w:sz w:val="20"/>
          <w:lang w:val="nl-BE"/>
        </w:rPr>
        <w:t xml:space="preserve">A. Kluyskens, </w:t>
      </w:r>
      <w:r w:rsidRPr="00420C44">
        <w:rPr>
          <w:i/>
          <w:sz w:val="20"/>
          <w:lang w:val="nl-BE"/>
        </w:rPr>
        <w:t xml:space="preserve">Voorrechten en hypotheken, </w:t>
      </w:r>
      <w:r w:rsidRPr="00420C44">
        <w:rPr>
          <w:sz w:val="20"/>
          <w:lang w:val="nl-BE"/>
        </w:rPr>
        <w:t>Gent</w:t>
      </w:r>
      <w:r>
        <w:rPr>
          <w:sz w:val="20"/>
          <w:lang w:val="nl-BE"/>
        </w:rPr>
        <w:t>, Standaard Boekhandel 1951, 51</w:t>
      </w:r>
      <w:r w:rsidRPr="007E73BC">
        <w:rPr>
          <w:sz w:val="20"/>
          <w:lang w:val="nl-BE"/>
        </w:rPr>
        <w:t xml:space="preserve">; </w:t>
      </w:r>
      <w:r w:rsidRPr="007E73BC">
        <w:rPr>
          <w:smallCaps/>
          <w:sz w:val="20"/>
        </w:rPr>
        <w:t xml:space="preserve">M. Moretus-Plantin, </w:t>
      </w:r>
      <w:r w:rsidRPr="007E73BC">
        <w:rPr>
          <w:i/>
          <w:sz w:val="20"/>
        </w:rPr>
        <w:t xml:space="preserve">Bezitloos pandrecht, </w:t>
      </w:r>
      <w:r w:rsidRPr="007E73BC">
        <w:rPr>
          <w:sz w:val="20"/>
        </w:rPr>
        <w:t>Brussel, ICVR 1970, 4)</w:t>
      </w:r>
    </w:p>
  </w:footnote>
  <w:footnote w:id="133">
    <w:p w14:paraId="28E9DD17" w14:textId="6102A89A" w:rsidR="00C97F8C" w:rsidRPr="006460FD" w:rsidRDefault="00C97F8C" w:rsidP="00B768BB">
      <w:pPr>
        <w:widowControl w:val="0"/>
        <w:autoSpaceDE w:val="0"/>
        <w:autoSpaceDN w:val="0"/>
        <w:adjustRightInd w:val="0"/>
        <w:rPr>
          <w:sz w:val="20"/>
          <w:szCs w:val="20"/>
          <w:lang w:val="nl-BE"/>
        </w:rPr>
      </w:pPr>
      <w:r w:rsidRPr="00DF3FC8">
        <w:rPr>
          <w:rStyle w:val="Voetnootmarkering"/>
          <w:sz w:val="20"/>
          <w:szCs w:val="20"/>
        </w:rPr>
        <w:footnoteRef/>
      </w:r>
      <w:r w:rsidRPr="00DF3FC8">
        <w:rPr>
          <w:sz w:val="20"/>
          <w:szCs w:val="20"/>
        </w:rPr>
        <w:t xml:space="preserve"> </w:t>
      </w:r>
      <w:r w:rsidRPr="00DF3FC8">
        <w:rPr>
          <w:sz w:val="20"/>
        </w:rPr>
        <w:t xml:space="preserve">Brussel, 12 januari 1952, </w:t>
      </w:r>
      <w:r w:rsidRPr="00DF3FC8">
        <w:rPr>
          <w:i/>
          <w:sz w:val="20"/>
        </w:rPr>
        <w:t xml:space="preserve">Pas. 1953, </w:t>
      </w:r>
      <w:r w:rsidRPr="00DF3FC8">
        <w:rPr>
          <w:sz w:val="20"/>
        </w:rPr>
        <w:t xml:space="preserve">II, 37; Rb. Brussel 15 april 1949, </w:t>
      </w:r>
      <w:r w:rsidRPr="00DF3FC8">
        <w:rPr>
          <w:i/>
          <w:sz w:val="20"/>
        </w:rPr>
        <w:t xml:space="preserve">JT </w:t>
      </w:r>
      <w:r w:rsidRPr="00DF3FC8">
        <w:rPr>
          <w:sz w:val="20"/>
        </w:rPr>
        <w:t>1949, 324</w:t>
      </w:r>
      <w:r>
        <w:rPr>
          <w:sz w:val="20"/>
        </w:rPr>
        <w:t xml:space="preserve">; </w:t>
      </w:r>
      <w:r w:rsidRPr="00DF3FC8">
        <w:rPr>
          <w:sz w:val="20"/>
          <w:szCs w:val="20"/>
          <w:lang w:val="nl-BE"/>
        </w:rPr>
        <w:t xml:space="preserve">Kh. </w:t>
      </w:r>
      <w:r w:rsidRPr="00DF3FC8">
        <w:rPr>
          <w:sz w:val="20"/>
          <w:szCs w:val="20"/>
          <w:lang w:val="nl-BE"/>
        </w:rPr>
        <w:t xml:space="preserve">Hasselt 12 december 2002, </w:t>
      </w:r>
      <w:r w:rsidRPr="00DF3FC8">
        <w:rPr>
          <w:i/>
          <w:iCs/>
          <w:sz w:val="20"/>
          <w:szCs w:val="20"/>
          <w:lang w:val="nl-BE"/>
        </w:rPr>
        <w:t>R.W</w:t>
      </w:r>
      <w:r w:rsidRPr="00DF3FC8">
        <w:rPr>
          <w:sz w:val="20"/>
          <w:szCs w:val="20"/>
          <w:lang w:val="nl-BE"/>
        </w:rPr>
        <w:t>. 2003-04, 1067; Kh</w:t>
      </w:r>
      <w:r>
        <w:rPr>
          <w:sz w:val="20"/>
          <w:szCs w:val="20"/>
          <w:lang w:val="nl-BE"/>
        </w:rPr>
        <w:t>. Brus</w:t>
      </w:r>
      <w:r w:rsidRPr="00DF3FC8">
        <w:rPr>
          <w:sz w:val="20"/>
          <w:szCs w:val="20"/>
          <w:lang w:val="nl-BE"/>
        </w:rPr>
        <w:t xml:space="preserve">sel 14 november 1995, </w:t>
      </w:r>
      <w:r>
        <w:rPr>
          <w:i/>
          <w:iCs/>
          <w:sz w:val="20"/>
          <w:szCs w:val="20"/>
          <w:lang w:val="nl-BE"/>
        </w:rPr>
        <w:t>J</w:t>
      </w:r>
      <w:r w:rsidRPr="00DF3FC8">
        <w:rPr>
          <w:i/>
          <w:iCs/>
          <w:sz w:val="20"/>
          <w:szCs w:val="20"/>
          <w:lang w:val="nl-BE"/>
        </w:rPr>
        <w:t>T</w:t>
      </w:r>
      <w:r w:rsidRPr="00DF3FC8">
        <w:rPr>
          <w:sz w:val="20"/>
          <w:szCs w:val="20"/>
          <w:lang w:val="nl-BE"/>
        </w:rPr>
        <w:t xml:space="preserve"> 1996, 310; Rb. Gent 24 januari 1940, </w:t>
      </w:r>
      <w:r w:rsidRPr="00DF3FC8">
        <w:rPr>
          <w:i/>
          <w:iCs/>
          <w:sz w:val="20"/>
          <w:szCs w:val="20"/>
          <w:lang w:val="nl-BE"/>
        </w:rPr>
        <w:t>Rev. prat. not</w:t>
      </w:r>
      <w:r w:rsidRPr="00DF3FC8">
        <w:rPr>
          <w:sz w:val="20"/>
          <w:szCs w:val="20"/>
          <w:lang w:val="nl-BE"/>
        </w:rPr>
        <w:t>. 1943, 118</w:t>
      </w:r>
      <w:r>
        <w:rPr>
          <w:sz w:val="20"/>
          <w:szCs w:val="20"/>
          <w:lang w:val="nl-BE"/>
        </w:rPr>
        <w:t xml:space="preserve">; </w:t>
      </w:r>
      <w:r>
        <w:rPr>
          <w:smallCaps/>
          <w:sz w:val="20"/>
        </w:rPr>
        <w:t xml:space="preserve">G. Van </w:t>
      </w:r>
      <w:proofErr w:type="spellStart"/>
      <w:r>
        <w:rPr>
          <w:smallCaps/>
          <w:sz w:val="20"/>
        </w:rPr>
        <w:t>Haeghenborghg</w:t>
      </w:r>
      <w:proofErr w:type="spellEnd"/>
      <w:r>
        <w:rPr>
          <w:smallCaps/>
          <w:sz w:val="20"/>
        </w:rPr>
        <w:t xml:space="preserve">, </w:t>
      </w:r>
      <w:r>
        <w:rPr>
          <w:sz w:val="20"/>
        </w:rPr>
        <w:t xml:space="preserve">“Over de samenloop van de niet-betaalde verkoper en de houder van het landbouwvoorrecht”, </w:t>
      </w:r>
      <w:r>
        <w:rPr>
          <w:i/>
          <w:sz w:val="20"/>
        </w:rPr>
        <w:t xml:space="preserve">RW </w:t>
      </w:r>
      <w:r>
        <w:rPr>
          <w:sz w:val="20"/>
        </w:rPr>
        <w:t>1993-94, 989 (noot onder Cass. 17 februari 1993);</w:t>
      </w:r>
      <w:r>
        <w:rPr>
          <w:sz w:val="20"/>
          <w:szCs w:val="20"/>
          <w:lang w:val="nl-BE"/>
        </w:rPr>
        <w:t xml:space="preserve"> </w:t>
      </w:r>
      <w:r w:rsidRPr="00DF3FC8">
        <w:rPr>
          <w:smallCaps/>
          <w:sz w:val="20"/>
          <w:szCs w:val="20"/>
        </w:rPr>
        <w:t>J. Kokelenberg</w:t>
      </w:r>
      <w:r>
        <w:rPr>
          <w:sz w:val="20"/>
          <w:szCs w:val="20"/>
        </w:rPr>
        <w:t>, “De verantwoor</w:t>
      </w:r>
      <w:r w:rsidRPr="00DF3FC8">
        <w:rPr>
          <w:sz w:val="20"/>
          <w:szCs w:val="20"/>
        </w:rPr>
        <w:t>ding voor de uitbreiding van</w:t>
      </w:r>
      <w:r>
        <w:rPr>
          <w:sz w:val="20"/>
          <w:szCs w:val="20"/>
        </w:rPr>
        <w:t xml:space="preserve"> het voorrecht”, R.W. 1975-76, </w:t>
      </w:r>
      <w:r w:rsidRPr="00DF3FC8">
        <w:rPr>
          <w:sz w:val="20"/>
          <w:szCs w:val="20"/>
        </w:rPr>
        <w:t>667;</w:t>
      </w:r>
      <w:r>
        <w:rPr>
          <w:sz w:val="20"/>
          <w:szCs w:val="20"/>
        </w:rPr>
        <w:t xml:space="preserve"> </w:t>
      </w:r>
      <w:r>
        <w:rPr>
          <w:smallCaps/>
          <w:sz w:val="20"/>
        </w:rPr>
        <w:t>F. ‘T Kind</w:t>
      </w:r>
      <w:r w:rsidRPr="00EA4E18">
        <w:rPr>
          <w:sz w:val="20"/>
        </w:rPr>
        <w:t xml:space="preserve">, Sûretés et principes généraux du droit de poursuite des créanciers, Brussel, Larcier, 2004, </w:t>
      </w:r>
      <w:r>
        <w:rPr>
          <w:sz w:val="20"/>
        </w:rPr>
        <w:t xml:space="preserve">228; </w:t>
      </w:r>
      <w:r>
        <w:rPr>
          <w:smallCaps/>
          <w:sz w:val="20"/>
        </w:rPr>
        <w:t>X, “</w:t>
      </w:r>
      <w:r>
        <w:rPr>
          <w:sz w:val="20"/>
        </w:rPr>
        <w:t xml:space="preserve">Voorrechten”, </w:t>
      </w:r>
      <w:r>
        <w:rPr>
          <w:i/>
          <w:sz w:val="20"/>
        </w:rPr>
        <w:t xml:space="preserve">TPR </w:t>
      </w:r>
      <w:r>
        <w:rPr>
          <w:sz w:val="20"/>
        </w:rPr>
        <w:t>2004, 1262;</w:t>
      </w:r>
      <w:r>
        <w:rPr>
          <w:sz w:val="20"/>
          <w:szCs w:val="20"/>
        </w:rPr>
        <w:t xml:space="preserve"> </w:t>
      </w:r>
      <w:r>
        <w:rPr>
          <w:smallCaps/>
          <w:sz w:val="20"/>
          <w:szCs w:val="20"/>
        </w:rPr>
        <w:t>S. Lemiegre, “</w:t>
      </w:r>
      <w:r w:rsidRPr="00275647">
        <w:rPr>
          <w:sz w:val="20"/>
          <w:szCs w:val="20"/>
        </w:rPr>
        <w:t>Het voorrecht van de verhuuurder</w:t>
      </w:r>
      <w:r>
        <w:rPr>
          <w:sz w:val="20"/>
          <w:szCs w:val="20"/>
        </w:rPr>
        <w:t>”</w:t>
      </w:r>
      <w:r>
        <w:rPr>
          <w:i/>
          <w:sz w:val="20"/>
          <w:szCs w:val="20"/>
        </w:rPr>
        <w:t xml:space="preserve">, </w:t>
      </w:r>
      <w:r>
        <w:rPr>
          <w:sz w:val="20"/>
          <w:szCs w:val="20"/>
        </w:rPr>
        <w:t>Mechelen, Kluwer 2005, 128;</w:t>
      </w:r>
      <w:r w:rsidRPr="00DF3FC8">
        <w:rPr>
          <w:sz w:val="20"/>
          <w:szCs w:val="20"/>
        </w:rPr>
        <w:t xml:space="preserve"> </w:t>
      </w:r>
      <w:r w:rsidRPr="00DF3FC8">
        <w:rPr>
          <w:smallCaps/>
          <w:sz w:val="20"/>
          <w:szCs w:val="20"/>
        </w:rPr>
        <w:t xml:space="preserve">M.E. Storme, </w:t>
      </w:r>
      <w:r w:rsidRPr="00DF3FC8">
        <w:rPr>
          <w:sz w:val="20"/>
          <w:szCs w:val="20"/>
        </w:rPr>
        <w:t xml:space="preserve">“Paritas Creditorum, voorrang en roerende zekerheden”, </w:t>
      </w:r>
      <w:r w:rsidRPr="00DF3FC8">
        <w:rPr>
          <w:i/>
          <w:sz w:val="20"/>
          <w:szCs w:val="20"/>
        </w:rPr>
        <w:t xml:space="preserve">TPR </w:t>
      </w:r>
      <w:r w:rsidRPr="00DF3FC8">
        <w:rPr>
          <w:sz w:val="20"/>
          <w:szCs w:val="20"/>
        </w:rPr>
        <w:t>2006, 1012;</w:t>
      </w:r>
      <w:r>
        <w:rPr>
          <w:sz w:val="20"/>
          <w:szCs w:val="20"/>
        </w:rPr>
        <w:t xml:space="preserve"> </w:t>
      </w:r>
      <w:r>
        <w:rPr>
          <w:smallCaps/>
          <w:sz w:val="20"/>
        </w:rPr>
        <w:t xml:space="preserve">P. François, </w:t>
      </w:r>
      <w:r>
        <w:rPr>
          <w:sz w:val="20"/>
        </w:rPr>
        <w:t xml:space="preserve">“Actuele problemen inzake landbouwfinanciering: het landbouwvoorrecht, moet dat?”, in </w:t>
      </w:r>
      <w:r>
        <w:rPr>
          <w:smallCaps/>
          <w:sz w:val="20"/>
        </w:rPr>
        <w:t xml:space="preserve">J. Cattaruzza, W. Kupers, I. Peeters </w:t>
      </w:r>
      <w:r>
        <w:rPr>
          <w:sz w:val="20"/>
        </w:rPr>
        <w:t xml:space="preserve">(eds.), </w:t>
      </w:r>
      <w:r>
        <w:rPr>
          <w:i/>
          <w:sz w:val="20"/>
        </w:rPr>
        <w:t xml:space="preserve">Liber Amicorum Achilles Cuypers, </w:t>
      </w:r>
      <w:r>
        <w:rPr>
          <w:sz w:val="20"/>
        </w:rPr>
        <w:t>Brussel, Larcier, 123;</w:t>
      </w:r>
      <w:r w:rsidRPr="00DF3FC8">
        <w:rPr>
          <w:sz w:val="20"/>
          <w:szCs w:val="20"/>
        </w:rPr>
        <w:t xml:space="preserve"> </w:t>
      </w:r>
      <w:r w:rsidRPr="006460FD">
        <w:rPr>
          <w:smallCaps/>
          <w:sz w:val="20"/>
          <w:szCs w:val="20"/>
          <w:lang w:val="nl-BE"/>
        </w:rPr>
        <w:t>G. Van Gaeghenborgh</w:t>
      </w:r>
      <w:r w:rsidRPr="006460FD">
        <w:rPr>
          <w:sz w:val="20"/>
          <w:szCs w:val="20"/>
          <w:lang w:val="nl-BE"/>
        </w:rPr>
        <w:t xml:space="preserve">, “Het landbouwvoorrecht”, in </w:t>
      </w:r>
      <w:r w:rsidRPr="006460FD">
        <w:rPr>
          <w:i/>
          <w:iCs/>
          <w:sz w:val="20"/>
          <w:szCs w:val="20"/>
          <w:lang w:val="nl-BE"/>
        </w:rPr>
        <w:t>Com</w:t>
      </w:r>
      <w:r>
        <w:rPr>
          <w:i/>
          <w:iCs/>
          <w:sz w:val="20"/>
          <w:szCs w:val="20"/>
          <w:lang w:val="nl-BE"/>
        </w:rPr>
        <w:t>m. Voorrechten en Hypotheken</w:t>
      </w:r>
      <w:r w:rsidRPr="006460FD">
        <w:rPr>
          <w:sz w:val="20"/>
          <w:szCs w:val="20"/>
          <w:lang w:val="nl-BE"/>
        </w:rPr>
        <w:t xml:space="preserve">, 15; </w:t>
      </w:r>
      <w:r w:rsidRPr="006460FD">
        <w:rPr>
          <w:smallCaps/>
          <w:sz w:val="20"/>
          <w:szCs w:val="20"/>
          <w:lang w:val="nl-BE"/>
        </w:rPr>
        <w:t xml:space="preserve">R. Jansen, V. Sagaert, </w:t>
      </w:r>
      <w:r w:rsidRPr="006460FD">
        <w:rPr>
          <w:sz w:val="20"/>
          <w:szCs w:val="20"/>
          <w:lang w:val="nl-BE"/>
        </w:rPr>
        <w:t xml:space="preserve">“Bijzondere voorrechten”, </w:t>
      </w:r>
      <w:r w:rsidRPr="006460FD">
        <w:rPr>
          <w:i/>
          <w:sz w:val="20"/>
          <w:szCs w:val="20"/>
          <w:lang w:val="nl-BE"/>
        </w:rPr>
        <w:t xml:space="preserve">TPR </w:t>
      </w:r>
      <w:r w:rsidRPr="006460FD">
        <w:rPr>
          <w:sz w:val="20"/>
          <w:szCs w:val="20"/>
          <w:lang w:val="nl-BE"/>
        </w:rPr>
        <w:t>2012, 1310.</w:t>
      </w:r>
    </w:p>
  </w:footnote>
  <w:footnote w:id="134">
    <w:p w14:paraId="2ED37BA5" w14:textId="55C70BA6" w:rsidR="00C97F8C" w:rsidRPr="0007621B" w:rsidRDefault="00C97F8C" w:rsidP="00B768BB">
      <w:pPr>
        <w:pStyle w:val="Voetnoottekst"/>
        <w:rPr>
          <w:sz w:val="20"/>
          <w:lang w:val="nl-BE"/>
        </w:rPr>
      </w:pPr>
      <w:r>
        <w:rPr>
          <w:rStyle w:val="Voetnootmarkering"/>
        </w:rPr>
        <w:footnoteRef/>
      </w:r>
      <w:r>
        <w:t xml:space="preserve"> </w:t>
      </w:r>
      <w:r>
        <w:rPr>
          <w:sz w:val="20"/>
          <w:lang w:val="nl-BE"/>
        </w:rPr>
        <w:t xml:space="preserve">Artikel L. 311-3 Code Rural; </w:t>
      </w:r>
      <w:r>
        <w:rPr>
          <w:smallCaps/>
          <w:sz w:val="20"/>
        </w:rPr>
        <w:t>I. Petel-teyssie</w:t>
      </w:r>
      <w:r>
        <w:rPr>
          <w:sz w:val="20"/>
        </w:rPr>
        <w:t>, “Une Nouvelle sûreté</w:t>
      </w:r>
      <w:r w:rsidRPr="00A53218">
        <w:rPr>
          <w:sz w:val="20"/>
        </w:rPr>
        <w:t>: le nan</w:t>
      </w:r>
      <w:r>
        <w:rPr>
          <w:sz w:val="20"/>
        </w:rPr>
        <w:t xml:space="preserve">tissement du fonds agricole" </w:t>
      </w:r>
      <w:r w:rsidRPr="00B054D4">
        <w:rPr>
          <w:i/>
          <w:sz w:val="20"/>
        </w:rPr>
        <w:t xml:space="preserve">Rev. </w:t>
      </w:r>
      <w:proofErr w:type="gramStart"/>
      <w:r w:rsidRPr="00B054D4">
        <w:rPr>
          <w:i/>
          <w:sz w:val="20"/>
        </w:rPr>
        <w:t>dr.rural</w:t>
      </w:r>
      <w:proofErr w:type="gramEnd"/>
      <w:r w:rsidRPr="00A53218">
        <w:rPr>
          <w:sz w:val="20"/>
        </w:rPr>
        <w:t xml:space="preserve"> 2006, 25</w:t>
      </w:r>
      <w:r>
        <w:rPr>
          <w:sz w:val="20"/>
        </w:rPr>
        <w:t>;</w:t>
      </w:r>
      <w:r>
        <w:rPr>
          <w:sz w:val="20"/>
          <w:lang w:val="nl-BE"/>
        </w:rPr>
        <w:t xml:space="preserve"> </w:t>
      </w:r>
      <w:r>
        <w:rPr>
          <w:smallCaps/>
          <w:sz w:val="20"/>
        </w:rPr>
        <w:t xml:space="preserve">D. Legeais, </w:t>
      </w:r>
      <w:r>
        <w:rPr>
          <w:i/>
          <w:sz w:val="20"/>
        </w:rPr>
        <w:t xml:space="preserve">Sûretés et garanties du crédit, </w:t>
      </w:r>
      <w:r>
        <w:rPr>
          <w:sz w:val="20"/>
        </w:rPr>
        <w:t xml:space="preserve">Parijs, LGDJ Lextenso éditions 2011, 439; </w:t>
      </w:r>
      <w:r w:rsidRPr="0032583A">
        <w:rPr>
          <w:smallCaps/>
          <w:sz w:val="20"/>
        </w:rPr>
        <w:t>Y. Picod</w:t>
      </w:r>
      <w:r w:rsidRPr="0032583A">
        <w:rPr>
          <w:sz w:val="20"/>
        </w:rPr>
        <w:t xml:space="preserve">, Droit des sûretés., Parijs, Presses Universitaires de France, </w:t>
      </w:r>
      <w:r>
        <w:rPr>
          <w:sz w:val="20"/>
        </w:rPr>
        <w:t xml:space="preserve">2010, 327; </w:t>
      </w:r>
      <w:r>
        <w:rPr>
          <w:smallCaps/>
          <w:sz w:val="20"/>
          <w:lang w:val="nl-BE"/>
        </w:rPr>
        <w:t xml:space="preserve">A. Reyfrobellet, C. Denizot, </w:t>
      </w:r>
      <w:r>
        <w:rPr>
          <w:sz w:val="20"/>
          <w:lang w:val="nl-BE"/>
        </w:rPr>
        <w:t xml:space="preserve">“Fonds de commerce”, </w:t>
      </w:r>
      <w:r>
        <w:rPr>
          <w:i/>
          <w:sz w:val="20"/>
          <w:lang w:val="nl-BE"/>
        </w:rPr>
        <w:t xml:space="preserve">Dalloz </w:t>
      </w:r>
      <w:r w:rsidRPr="002729FE">
        <w:rPr>
          <w:sz w:val="20"/>
          <w:lang w:val="nl-BE"/>
        </w:rPr>
        <w:t>2012-2013</w:t>
      </w:r>
      <w:r>
        <w:rPr>
          <w:sz w:val="20"/>
          <w:lang w:val="nl-BE"/>
        </w:rPr>
        <w:t>, 930.</w:t>
      </w:r>
    </w:p>
  </w:footnote>
  <w:footnote w:id="135">
    <w:p w14:paraId="023B3CF1" w14:textId="77777777" w:rsidR="00C97F8C" w:rsidRPr="009830D0" w:rsidRDefault="00C97F8C" w:rsidP="00B768BB">
      <w:pPr>
        <w:pStyle w:val="Voetnoottekst"/>
        <w:rPr>
          <w:lang w:val="nl-BE"/>
        </w:rPr>
      </w:pPr>
      <w:r>
        <w:rPr>
          <w:rStyle w:val="Voetnootmarkering"/>
        </w:rPr>
        <w:footnoteRef/>
      </w:r>
      <w:r>
        <w:t xml:space="preserve"> </w:t>
      </w:r>
      <w:r w:rsidRPr="00862B0F">
        <w:rPr>
          <w:smallCaps/>
          <w:sz w:val="20"/>
        </w:rPr>
        <w:t>R. Jansen, “</w:t>
      </w:r>
      <w:r w:rsidRPr="00862B0F">
        <w:rPr>
          <w:sz w:val="20"/>
        </w:rPr>
        <w:t xml:space="preserve">Algemene systematiek van voorrechten”, </w:t>
      </w:r>
      <w:r w:rsidRPr="00862B0F">
        <w:rPr>
          <w:i/>
          <w:sz w:val="20"/>
        </w:rPr>
        <w:t xml:space="preserve">TPR </w:t>
      </w:r>
      <w:r w:rsidRPr="00862B0F">
        <w:rPr>
          <w:sz w:val="20"/>
        </w:rPr>
        <w:t>2008, 24.</w:t>
      </w:r>
    </w:p>
  </w:footnote>
  <w:footnote w:id="136">
    <w:p w14:paraId="1B2563BD" w14:textId="1C0B9144" w:rsidR="00C97F8C" w:rsidRPr="00243B36" w:rsidRDefault="00C97F8C" w:rsidP="00E6743F">
      <w:pPr>
        <w:pStyle w:val="Voetnoottekst"/>
        <w:rPr>
          <w:sz w:val="20"/>
        </w:rPr>
      </w:pPr>
      <w:r w:rsidRPr="00862B0F">
        <w:rPr>
          <w:rStyle w:val="Voetnootmarkering"/>
          <w:sz w:val="20"/>
        </w:rPr>
        <w:footnoteRef/>
      </w:r>
      <w:r>
        <w:rPr>
          <w:sz w:val="20"/>
        </w:rPr>
        <w:t xml:space="preserve"> Artikel 2071</w:t>
      </w:r>
      <w:r w:rsidRPr="00862B0F">
        <w:rPr>
          <w:sz w:val="20"/>
        </w:rPr>
        <w:t xml:space="preserve"> Burgerlijk Wetboek;</w:t>
      </w:r>
      <w:r>
        <w:rPr>
          <w:sz w:val="20"/>
        </w:rPr>
        <w:t xml:space="preserve"> </w:t>
      </w:r>
      <w:r>
        <w:rPr>
          <w:smallCaps/>
          <w:sz w:val="20"/>
          <w:lang w:val="nl-BE"/>
        </w:rPr>
        <w:t xml:space="preserve">H. De Page, </w:t>
      </w:r>
      <w:r>
        <w:rPr>
          <w:i/>
          <w:sz w:val="20"/>
          <w:lang w:val="nl-BE"/>
        </w:rPr>
        <w:t xml:space="preserve">Traité élémentaire de droit civil belge -  Tome VI, </w:t>
      </w:r>
      <w:r>
        <w:rPr>
          <w:sz w:val="20"/>
          <w:lang w:val="nl-BE"/>
        </w:rPr>
        <w:t xml:space="preserve">Brussel, Bruylant 1953, 999; </w:t>
      </w:r>
      <w:r>
        <w:rPr>
          <w:smallCaps/>
          <w:sz w:val="20"/>
          <w:lang w:val="nl-BE"/>
        </w:rPr>
        <w:t xml:space="preserve">E. Dirix, </w:t>
      </w:r>
      <w:r>
        <w:rPr>
          <w:sz w:val="20"/>
          <w:lang w:val="nl-BE"/>
        </w:rPr>
        <w:t xml:space="preserve">“Het passief van het faillissement”, in </w:t>
      </w:r>
      <w:r>
        <w:rPr>
          <w:i/>
          <w:sz w:val="20"/>
          <w:lang w:val="nl-BE"/>
        </w:rPr>
        <w:t xml:space="preserve">Faillissement en reorganisatie, </w:t>
      </w:r>
      <w:r w:rsidRPr="00AF04BB">
        <w:rPr>
          <w:sz w:val="20"/>
          <w:lang w:val="nl-BE"/>
        </w:rPr>
        <w:t>Mechelen</w:t>
      </w:r>
      <w:r>
        <w:rPr>
          <w:i/>
          <w:sz w:val="20"/>
          <w:lang w:val="nl-BE"/>
        </w:rPr>
        <w:t xml:space="preserve">, </w:t>
      </w:r>
      <w:r>
        <w:rPr>
          <w:sz w:val="20"/>
          <w:lang w:val="nl-BE"/>
        </w:rPr>
        <w:t xml:space="preserve">Kluwer, 6;  </w:t>
      </w:r>
      <w:r>
        <w:rPr>
          <w:smallCaps/>
          <w:sz w:val="20"/>
        </w:rPr>
        <w:t>F. ‘T Kind</w:t>
      </w:r>
      <w:r w:rsidRPr="00EA4E18">
        <w:rPr>
          <w:sz w:val="20"/>
        </w:rPr>
        <w:t>, Sûretés et principes généraux du droit de poursuite des créanci</w:t>
      </w:r>
      <w:r>
        <w:rPr>
          <w:sz w:val="20"/>
        </w:rPr>
        <w:t>ers, Brussel, Larcier, 2004, 134;</w:t>
      </w:r>
      <w:r w:rsidRPr="00862B0F">
        <w:rPr>
          <w:sz w:val="20"/>
        </w:rPr>
        <w:t xml:space="preserve"> </w:t>
      </w:r>
      <w:r w:rsidRPr="00862B0F">
        <w:rPr>
          <w:smallCaps/>
          <w:sz w:val="20"/>
        </w:rPr>
        <w:t xml:space="preserve">R. Dekkers en E. Dirix, </w:t>
      </w:r>
      <w:r w:rsidRPr="00862B0F">
        <w:rPr>
          <w:i/>
          <w:sz w:val="20"/>
        </w:rPr>
        <w:t xml:space="preserve">Handboek Burgerlijk Recht – Deel II, </w:t>
      </w:r>
      <w:r w:rsidRPr="00862B0F">
        <w:rPr>
          <w:sz w:val="20"/>
        </w:rPr>
        <w:t>An</w:t>
      </w:r>
      <w:r>
        <w:rPr>
          <w:sz w:val="20"/>
        </w:rPr>
        <w:t xml:space="preserve">twerpen, Intersentia, 2005, 367; </w:t>
      </w:r>
      <w:r w:rsidRPr="00862B0F">
        <w:rPr>
          <w:smallCaps/>
          <w:sz w:val="20"/>
        </w:rPr>
        <w:t xml:space="preserve">K. Byttebier, </w:t>
      </w:r>
      <w:r w:rsidRPr="00862B0F">
        <w:rPr>
          <w:i/>
          <w:sz w:val="20"/>
        </w:rPr>
        <w:t xml:space="preserve">Voorrechten en hypotheken, </w:t>
      </w:r>
      <w:r w:rsidRPr="00862B0F">
        <w:rPr>
          <w:sz w:val="20"/>
        </w:rPr>
        <w:t xml:space="preserve">Maklu, Antwerpen 2005, 359-360; R. </w:t>
      </w:r>
      <w:r w:rsidRPr="00862B0F">
        <w:rPr>
          <w:smallCaps/>
          <w:sz w:val="20"/>
        </w:rPr>
        <w:t xml:space="preserve">De Corte en E. Dirix, </w:t>
      </w:r>
      <w:r w:rsidRPr="00862B0F">
        <w:rPr>
          <w:i/>
          <w:sz w:val="20"/>
        </w:rPr>
        <w:t xml:space="preserve">Beginselen van Belgisch Privaatrecht – XII – Zekerheidsrechten, </w:t>
      </w:r>
      <w:r w:rsidRPr="00862B0F">
        <w:rPr>
          <w:sz w:val="20"/>
        </w:rPr>
        <w:t>Kluwer, Antwerpen 2006, 318</w:t>
      </w:r>
      <w:r>
        <w:rPr>
          <w:sz w:val="20"/>
        </w:rPr>
        <w:t xml:space="preserve">; </w:t>
      </w:r>
      <w:r w:rsidRPr="006460FD">
        <w:rPr>
          <w:smallCaps/>
          <w:sz w:val="20"/>
          <w:lang w:val="nl-BE"/>
        </w:rPr>
        <w:t>M.E. Storme</w:t>
      </w:r>
      <w:r w:rsidRPr="006460FD">
        <w:rPr>
          <w:sz w:val="20"/>
          <w:lang w:val="nl-BE"/>
        </w:rPr>
        <w:t xml:space="preserve">, “Paritas creditorum, voorrang en roerende zekerheden”, </w:t>
      </w:r>
      <w:r w:rsidRPr="006460FD">
        <w:rPr>
          <w:i/>
          <w:iCs/>
          <w:sz w:val="20"/>
          <w:lang w:val="nl-BE"/>
        </w:rPr>
        <w:t xml:space="preserve">T.P.R. </w:t>
      </w:r>
      <w:r w:rsidRPr="006460FD">
        <w:rPr>
          <w:sz w:val="20"/>
          <w:lang w:val="nl-BE"/>
        </w:rPr>
        <w:t>2006, 1009;</w:t>
      </w:r>
      <w:r>
        <w:rPr>
          <w:sz w:val="20"/>
        </w:rPr>
        <w:t xml:space="preserve"> </w:t>
      </w:r>
      <w:r w:rsidRPr="00862B0F">
        <w:rPr>
          <w:smallCaps/>
          <w:sz w:val="20"/>
        </w:rPr>
        <w:t>R. Jansen, “</w:t>
      </w:r>
      <w:r w:rsidRPr="00862B0F">
        <w:rPr>
          <w:sz w:val="20"/>
        </w:rPr>
        <w:t xml:space="preserve">Algemene systematiek van voorrechten”, </w:t>
      </w:r>
      <w:r w:rsidRPr="00862B0F">
        <w:rPr>
          <w:i/>
          <w:sz w:val="20"/>
        </w:rPr>
        <w:t xml:space="preserve">TPR </w:t>
      </w:r>
      <w:r>
        <w:rPr>
          <w:sz w:val="20"/>
        </w:rPr>
        <w:t xml:space="preserve">2008, 19; </w:t>
      </w:r>
      <w:r>
        <w:rPr>
          <w:smallCaps/>
          <w:sz w:val="20"/>
        </w:rPr>
        <w:t xml:space="preserve">E. Dirix, </w:t>
      </w:r>
      <w:r>
        <w:rPr>
          <w:sz w:val="20"/>
        </w:rPr>
        <w:t xml:space="preserve">“Het vuistpand”, </w:t>
      </w:r>
      <w:r>
        <w:rPr>
          <w:i/>
          <w:sz w:val="20"/>
        </w:rPr>
        <w:t xml:space="preserve">Voorrechten en hypotheken </w:t>
      </w:r>
      <w:r>
        <w:rPr>
          <w:sz w:val="20"/>
        </w:rPr>
        <w:t xml:space="preserve">2001, 8; </w:t>
      </w:r>
      <w:r>
        <w:rPr>
          <w:smallCaps/>
          <w:sz w:val="20"/>
        </w:rPr>
        <w:t xml:space="preserve">A. Verbeke, I. Peeters, K. Christiaens, J. Byttebier, </w:t>
      </w:r>
      <w:r>
        <w:rPr>
          <w:i/>
          <w:sz w:val="20"/>
        </w:rPr>
        <w:t xml:space="preserve">Voorrechten hypotheken en andere zekerheden, </w:t>
      </w:r>
      <w:r>
        <w:rPr>
          <w:sz w:val="20"/>
        </w:rPr>
        <w:t xml:space="preserve">Gent 1994, Mys &amp; Breesch, 172; </w:t>
      </w:r>
      <w:r>
        <w:rPr>
          <w:smallCaps/>
          <w:sz w:val="20"/>
        </w:rPr>
        <w:t xml:space="preserve">W. Derijcke, </w:t>
      </w:r>
      <w:r>
        <w:rPr>
          <w:sz w:val="20"/>
        </w:rPr>
        <w:t xml:space="preserve">“Le contrat de gage”, in </w:t>
      </w:r>
      <w:r>
        <w:rPr>
          <w:i/>
          <w:sz w:val="20"/>
        </w:rPr>
        <w:t xml:space="preserve">Actualités de droit des sûretés, </w:t>
      </w:r>
      <w:r>
        <w:rPr>
          <w:sz w:val="20"/>
        </w:rPr>
        <w:t xml:space="preserve">Limal, Anthemis 2012, 37; </w:t>
      </w:r>
      <w:r>
        <w:rPr>
          <w:smallCaps/>
          <w:sz w:val="20"/>
        </w:rPr>
        <w:t xml:space="preserve">N. Massager, </w:t>
      </w:r>
      <w:r>
        <w:rPr>
          <w:i/>
          <w:sz w:val="20"/>
        </w:rPr>
        <w:t xml:space="preserve">Les bases du droit civil – Tome II – Droit des biens, droits réels, théories des sûretées, </w:t>
      </w:r>
      <w:r>
        <w:rPr>
          <w:sz w:val="20"/>
        </w:rPr>
        <w:t>Limal, Anthemis 2013, 146.</w:t>
      </w:r>
    </w:p>
  </w:footnote>
  <w:footnote w:id="137">
    <w:p w14:paraId="171970B2" w14:textId="77777777" w:rsidR="00C97F8C" w:rsidRPr="00921DD9" w:rsidRDefault="00C97F8C" w:rsidP="00B768BB">
      <w:pPr>
        <w:pStyle w:val="Voetnoottekst"/>
        <w:rPr>
          <w:lang w:val="nl-BE"/>
        </w:rPr>
      </w:pPr>
      <w:r>
        <w:rPr>
          <w:rStyle w:val="Voetnootmarkering"/>
        </w:rPr>
        <w:footnoteRef/>
      </w:r>
      <w:r>
        <w:t xml:space="preserve"> </w:t>
      </w:r>
      <w:r w:rsidRPr="00862B0F">
        <w:rPr>
          <w:smallCaps/>
          <w:sz w:val="20"/>
        </w:rPr>
        <w:t>R. Jansen, “</w:t>
      </w:r>
      <w:r w:rsidRPr="00862B0F">
        <w:rPr>
          <w:sz w:val="20"/>
        </w:rPr>
        <w:t xml:space="preserve">Algemene systematiek van voorrechten”, </w:t>
      </w:r>
      <w:r w:rsidRPr="00862B0F">
        <w:rPr>
          <w:i/>
          <w:sz w:val="20"/>
        </w:rPr>
        <w:t xml:space="preserve">TPR </w:t>
      </w:r>
      <w:r>
        <w:rPr>
          <w:sz w:val="20"/>
        </w:rPr>
        <w:t>2008, 30.</w:t>
      </w:r>
    </w:p>
  </w:footnote>
  <w:footnote w:id="138">
    <w:p w14:paraId="7169D1FC" w14:textId="67B1335A" w:rsidR="00C97F8C" w:rsidRPr="006460FD" w:rsidRDefault="00C97F8C" w:rsidP="00B768BB">
      <w:pPr>
        <w:pStyle w:val="Voetnoottekst"/>
        <w:rPr>
          <w:sz w:val="20"/>
          <w:lang w:val="en-GB"/>
        </w:rPr>
      </w:pPr>
      <w:r>
        <w:rPr>
          <w:rStyle w:val="Voetnootmarkering"/>
        </w:rPr>
        <w:footnoteRef/>
      </w:r>
      <w:r w:rsidRPr="006460FD">
        <w:rPr>
          <w:lang w:val="en-GB"/>
        </w:rPr>
        <w:t xml:space="preserve"> </w:t>
      </w:r>
      <w:proofErr w:type="spellStart"/>
      <w:r w:rsidRPr="006460FD">
        <w:rPr>
          <w:sz w:val="20"/>
          <w:lang w:val="en-GB"/>
        </w:rPr>
        <w:t>Artikel</w:t>
      </w:r>
      <w:proofErr w:type="spellEnd"/>
      <w:r w:rsidRPr="006460FD">
        <w:rPr>
          <w:sz w:val="20"/>
          <w:lang w:val="en-GB"/>
        </w:rPr>
        <w:t xml:space="preserve"> 2336 Code Civil français; </w:t>
      </w:r>
      <w:r w:rsidRPr="006460FD">
        <w:rPr>
          <w:smallCaps/>
          <w:sz w:val="20"/>
          <w:lang w:val="en-GB"/>
        </w:rPr>
        <w:t xml:space="preserve">R. Boffa, </w:t>
      </w:r>
      <w:r w:rsidRPr="006460FD">
        <w:rPr>
          <w:sz w:val="20"/>
          <w:lang w:val="en-GB"/>
        </w:rPr>
        <w:t xml:space="preserve">L’opposabilité du gage sans dépossession, </w:t>
      </w:r>
      <w:r w:rsidRPr="006460FD">
        <w:rPr>
          <w:i/>
          <w:sz w:val="20"/>
          <w:lang w:val="en-GB"/>
        </w:rPr>
        <w:t>Chron</w:t>
      </w:r>
      <w:r w:rsidRPr="006460FD">
        <w:rPr>
          <w:sz w:val="20"/>
          <w:lang w:val="en-GB"/>
        </w:rPr>
        <w:t xml:space="preserve">. 2007, 1; </w:t>
      </w:r>
      <w:r w:rsidRPr="006460FD">
        <w:rPr>
          <w:smallCaps/>
          <w:sz w:val="20"/>
          <w:lang w:val="en-GB"/>
        </w:rPr>
        <w:t xml:space="preserve">R. Damann, G. Podeur, </w:t>
      </w:r>
      <w:r w:rsidRPr="006460FD">
        <w:rPr>
          <w:sz w:val="20"/>
          <w:lang w:val="en-GB"/>
        </w:rPr>
        <w:t xml:space="preserve">“Le nouveau paysage du droit des sûretés: première étape de la réforme de la </w:t>
      </w:r>
      <w:proofErr w:type="spellStart"/>
      <w:r w:rsidRPr="006460FD">
        <w:rPr>
          <w:sz w:val="20"/>
          <w:lang w:val="en-GB"/>
        </w:rPr>
        <w:t>fiducie</w:t>
      </w:r>
      <w:proofErr w:type="spellEnd"/>
      <w:r w:rsidRPr="006460FD">
        <w:rPr>
          <w:sz w:val="20"/>
          <w:lang w:val="en-GB"/>
        </w:rPr>
        <w:t xml:space="preserve"> et du gage sans dépossession”, </w:t>
      </w:r>
      <w:proofErr w:type="spellStart"/>
      <w:r w:rsidRPr="006460FD">
        <w:rPr>
          <w:i/>
          <w:sz w:val="20"/>
          <w:lang w:val="en-GB"/>
        </w:rPr>
        <w:t>Recueil</w:t>
      </w:r>
      <w:proofErr w:type="spellEnd"/>
      <w:r w:rsidRPr="006460FD">
        <w:rPr>
          <w:i/>
          <w:sz w:val="20"/>
          <w:lang w:val="en-GB"/>
        </w:rPr>
        <w:t xml:space="preserve"> Dalloz </w:t>
      </w:r>
      <w:r w:rsidRPr="006460FD">
        <w:rPr>
          <w:sz w:val="20"/>
          <w:lang w:val="en-GB"/>
        </w:rPr>
        <w:t>2008, 2300; P</w:t>
      </w:r>
      <w:r w:rsidRPr="006460FD">
        <w:rPr>
          <w:smallCaps/>
          <w:sz w:val="20"/>
          <w:lang w:val="en-GB"/>
        </w:rPr>
        <w:t xml:space="preserve">. Ancel, </w:t>
      </w:r>
      <w:r w:rsidRPr="006460FD">
        <w:rPr>
          <w:sz w:val="20"/>
          <w:lang w:val="en-GB"/>
        </w:rPr>
        <w:t xml:space="preserve">“La réforme du droit des </w:t>
      </w:r>
      <w:proofErr w:type="spellStart"/>
      <w:r w:rsidRPr="006460FD">
        <w:rPr>
          <w:sz w:val="20"/>
          <w:lang w:val="en-GB"/>
        </w:rPr>
        <w:t>suretés</w:t>
      </w:r>
      <w:proofErr w:type="spellEnd"/>
      <w:r w:rsidRPr="006460FD">
        <w:rPr>
          <w:sz w:val="20"/>
          <w:lang w:val="en-GB"/>
        </w:rPr>
        <w:t xml:space="preserve"> en France” in </w:t>
      </w:r>
      <w:r w:rsidRPr="006460FD">
        <w:rPr>
          <w:i/>
          <w:sz w:val="20"/>
          <w:lang w:val="en-GB"/>
        </w:rPr>
        <w:t>La réforme du droit privé en France</w:t>
      </w:r>
      <w:r w:rsidRPr="006460FD">
        <w:rPr>
          <w:sz w:val="20"/>
          <w:lang w:val="en-GB"/>
        </w:rPr>
        <w:t>, Brussel, Larcier 2009, 39-40; P</w:t>
      </w:r>
      <w:r w:rsidRPr="006460FD">
        <w:rPr>
          <w:smallCaps/>
          <w:sz w:val="20"/>
          <w:lang w:val="en-GB"/>
        </w:rPr>
        <w:t xml:space="preserve">. Simler, P. Delebecque, </w:t>
      </w:r>
      <w:r w:rsidRPr="006460FD">
        <w:rPr>
          <w:i/>
          <w:sz w:val="20"/>
          <w:lang w:val="en-GB"/>
        </w:rPr>
        <w:t xml:space="preserve">Les sûretés, la publicité foncière, </w:t>
      </w:r>
      <w:r w:rsidRPr="006460FD">
        <w:rPr>
          <w:sz w:val="20"/>
          <w:lang w:val="en-GB"/>
        </w:rPr>
        <w:t xml:space="preserve">Parijs, Dalloz 2009, 605; </w:t>
      </w:r>
      <w:r w:rsidRPr="006460FD">
        <w:rPr>
          <w:smallCaps/>
          <w:sz w:val="20"/>
          <w:lang w:val="en-GB"/>
        </w:rPr>
        <w:t>G. Ansaloni, “</w:t>
      </w:r>
      <w:r w:rsidRPr="006460FD">
        <w:rPr>
          <w:sz w:val="20"/>
          <w:lang w:val="en-GB"/>
        </w:rPr>
        <w:t xml:space="preserve">Sur l'opposabilité du gage sans dépossession de droit commun”, </w:t>
      </w:r>
      <w:r w:rsidRPr="006460FD">
        <w:rPr>
          <w:i/>
          <w:sz w:val="20"/>
          <w:lang w:val="en-GB"/>
        </w:rPr>
        <w:t xml:space="preserve">La Semaine Juridique entreprises et affaires </w:t>
      </w:r>
      <w:r w:rsidRPr="006460FD">
        <w:rPr>
          <w:sz w:val="20"/>
          <w:lang w:val="en-GB"/>
        </w:rPr>
        <w:t xml:space="preserve">2009, 1672; </w:t>
      </w:r>
      <w:r w:rsidRPr="006460FD">
        <w:rPr>
          <w:smallCaps/>
          <w:sz w:val="20"/>
          <w:lang w:val="en-GB"/>
        </w:rPr>
        <w:t xml:space="preserve">M. </w:t>
      </w:r>
      <w:proofErr w:type="spellStart"/>
      <w:r w:rsidRPr="006460FD">
        <w:rPr>
          <w:smallCaps/>
          <w:sz w:val="20"/>
          <w:lang w:val="en-GB"/>
        </w:rPr>
        <w:t>Cabrillac</w:t>
      </w:r>
      <w:proofErr w:type="spellEnd"/>
      <w:r w:rsidRPr="006460FD">
        <w:rPr>
          <w:smallCaps/>
          <w:sz w:val="20"/>
          <w:lang w:val="en-GB"/>
        </w:rPr>
        <w:t xml:space="preserve">, C. </w:t>
      </w:r>
      <w:proofErr w:type="spellStart"/>
      <w:r w:rsidRPr="006460FD">
        <w:rPr>
          <w:smallCaps/>
          <w:sz w:val="20"/>
          <w:lang w:val="en-GB"/>
        </w:rPr>
        <w:t>Mouly</w:t>
      </w:r>
      <w:proofErr w:type="spellEnd"/>
      <w:r w:rsidRPr="006460FD">
        <w:rPr>
          <w:smallCaps/>
          <w:sz w:val="20"/>
          <w:lang w:val="en-GB"/>
        </w:rPr>
        <w:t xml:space="preserve">, S. </w:t>
      </w:r>
      <w:proofErr w:type="spellStart"/>
      <w:r w:rsidRPr="006460FD">
        <w:rPr>
          <w:smallCaps/>
          <w:sz w:val="20"/>
          <w:lang w:val="en-GB"/>
        </w:rPr>
        <w:t>Cabrillac</w:t>
      </w:r>
      <w:proofErr w:type="spellEnd"/>
      <w:r w:rsidRPr="006460FD">
        <w:rPr>
          <w:smallCaps/>
          <w:sz w:val="20"/>
          <w:lang w:val="en-GB"/>
        </w:rPr>
        <w:t xml:space="preserve">, P. </w:t>
      </w:r>
      <w:proofErr w:type="spellStart"/>
      <w:r w:rsidRPr="006460FD">
        <w:rPr>
          <w:smallCaps/>
          <w:sz w:val="20"/>
          <w:lang w:val="en-GB"/>
        </w:rPr>
        <w:t>Pétel</w:t>
      </w:r>
      <w:proofErr w:type="spellEnd"/>
      <w:r w:rsidRPr="006460FD">
        <w:rPr>
          <w:smallCaps/>
          <w:sz w:val="20"/>
          <w:lang w:val="en-GB"/>
        </w:rPr>
        <w:t xml:space="preserve">, </w:t>
      </w:r>
      <w:r w:rsidRPr="006460FD">
        <w:rPr>
          <w:i/>
          <w:sz w:val="20"/>
          <w:lang w:val="en-GB"/>
        </w:rPr>
        <w:t xml:space="preserve">Droit des sûretés, </w:t>
      </w:r>
      <w:r w:rsidRPr="006460FD">
        <w:rPr>
          <w:sz w:val="20"/>
          <w:lang w:val="en-GB"/>
        </w:rPr>
        <w:t xml:space="preserve">Parijs, Litec 2010, 554; </w:t>
      </w:r>
      <w:r w:rsidRPr="006460FD">
        <w:rPr>
          <w:smallCaps/>
          <w:sz w:val="20"/>
          <w:lang w:val="en-GB"/>
        </w:rPr>
        <w:t xml:space="preserve">D. Legeais, </w:t>
      </w:r>
      <w:r w:rsidRPr="006460FD">
        <w:rPr>
          <w:i/>
          <w:sz w:val="20"/>
          <w:lang w:val="en-GB"/>
        </w:rPr>
        <w:t xml:space="preserve">Sûretés et </w:t>
      </w:r>
      <w:proofErr w:type="spellStart"/>
      <w:r w:rsidRPr="006460FD">
        <w:rPr>
          <w:i/>
          <w:sz w:val="20"/>
          <w:lang w:val="en-GB"/>
        </w:rPr>
        <w:t>garanties</w:t>
      </w:r>
      <w:proofErr w:type="spellEnd"/>
      <w:r w:rsidRPr="006460FD">
        <w:rPr>
          <w:i/>
          <w:sz w:val="20"/>
          <w:lang w:val="en-GB"/>
        </w:rPr>
        <w:t xml:space="preserve"> du crédit, </w:t>
      </w:r>
      <w:r w:rsidRPr="006460FD">
        <w:rPr>
          <w:sz w:val="20"/>
          <w:lang w:val="en-GB"/>
        </w:rPr>
        <w:t xml:space="preserve">Parijs, LGDJ Lextenso éditions 2011, 417; </w:t>
      </w:r>
      <w:r w:rsidRPr="006460FD">
        <w:rPr>
          <w:smallCaps/>
          <w:sz w:val="20"/>
          <w:lang w:val="en-GB"/>
        </w:rPr>
        <w:t xml:space="preserve">Y. Picod, </w:t>
      </w:r>
      <w:r w:rsidRPr="006460FD">
        <w:rPr>
          <w:i/>
          <w:sz w:val="20"/>
          <w:lang w:val="en-GB"/>
        </w:rPr>
        <w:t>Droit des sûretés,</w:t>
      </w:r>
      <w:r w:rsidRPr="006460FD">
        <w:rPr>
          <w:sz w:val="20"/>
          <w:lang w:val="en-GB"/>
        </w:rPr>
        <w:t xml:space="preserve"> Parijs, Presses Universitaires de France 2011, 290; </w:t>
      </w:r>
      <w:r w:rsidRPr="006460FD">
        <w:rPr>
          <w:smallCaps/>
          <w:sz w:val="20"/>
          <w:lang w:val="en-GB"/>
        </w:rPr>
        <w:t xml:space="preserve">L. Andreu, </w:t>
      </w:r>
      <w:r w:rsidRPr="006460FD">
        <w:rPr>
          <w:sz w:val="20"/>
          <w:lang w:val="en-GB"/>
        </w:rPr>
        <w:t xml:space="preserve">“Gage avec dépossession contre gage sans dépossession”, </w:t>
      </w:r>
      <w:proofErr w:type="spellStart"/>
      <w:r w:rsidRPr="006460FD">
        <w:rPr>
          <w:i/>
          <w:sz w:val="20"/>
          <w:lang w:val="en-GB"/>
        </w:rPr>
        <w:t>Recueil</w:t>
      </w:r>
      <w:proofErr w:type="spellEnd"/>
      <w:r w:rsidRPr="006460FD">
        <w:rPr>
          <w:i/>
          <w:sz w:val="20"/>
          <w:lang w:val="en-GB"/>
        </w:rPr>
        <w:t xml:space="preserve"> Dalloz </w:t>
      </w:r>
      <w:r w:rsidRPr="006460FD">
        <w:rPr>
          <w:sz w:val="20"/>
          <w:lang w:val="en-GB"/>
        </w:rPr>
        <w:t xml:space="preserve">2012, 1761; </w:t>
      </w:r>
      <w:r w:rsidRPr="006460FD">
        <w:rPr>
          <w:smallCaps/>
          <w:sz w:val="20"/>
          <w:lang w:val="en-GB"/>
        </w:rPr>
        <w:t xml:space="preserve">L. </w:t>
      </w:r>
      <w:proofErr w:type="spellStart"/>
      <w:r w:rsidRPr="006460FD">
        <w:rPr>
          <w:smallCaps/>
          <w:sz w:val="20"/>
          <w:lang w:val="en-GB"/>
        </w:rPr>
        <w:t>Aynès</w:t>
      </w:r>
      <w:proofErr w:type="spellEnd"/>
      <w:r w:rsidRPr="006460FD">
        <w:rPr>
          <w:smallCaps/>
          <w:sz w:val="20"/>
          <w:lang w:val="en-GB"/>
        </w:rPr>
        <w:t xml:space="preserve">, P. Crocq, </w:t>
      </w:r>
      <w:r w:rsidRPr="006460FD">
        <w:rPr>
          <w:i/>
          <w:sz w:val="20"/>
          <w:lang w:val="en-GB"/>
        </w:rPr>
        <w:t xml:space="preserve">Droit des sûretés, </w:t>
      </w:r>
      <w:proofErr w:type="spellStart"/>
      <w:r w:rsidRPr="006460FD">
        <w:rPr>
          <w:sz w:val="20"/>
          <w:lang w:val="en-GB"/>
        </w:rPr>
        <w:t>Issy</w:t>
      </w:r>
      <w:proofErr w:type="spellEnd"/>
      <w:r w:rsidRPr="006460FD">
        <w:rPr>
          <w:sz w:val="20"/>
          <w:lang w:val="en-GB"/>
        </w:rPr>
        <w:t>-Les-</w:t>
      </w:r>
      <w:proofErr w:type="spellStart"/>
      <w:r w:rsidRPr="006460FD">
        <w:rPr>
          <w:sz w:val="20"/>
          <w:lang w:val="en-GB"/>
        </w:rPr>
        <w:t>Moulineaux</w:t>
      </w:r>
      <w:proofErr w:type="spellEnd"/>
      <w:r w:rsidRPr="006460FD">
        <w:rPr>
          <w:sz w:val="20"/>
          <w:lang w:val="en-GB"/>
        </w:rPr>
        <w:t xml:space="preserve">, LGDJ </w:t>
      </w:r>
      <w:proofErr w:type="spellStart"/>
      <w:r w:rsidRPr="006460FD">
        <w:rPr>
          <w:sz w:val="20"/>
          <w:lang w:val="en-GB"/>
        </w:rPr>
        <w:t>lextenso</w:t>
      </w:r>
      <w:proofErr w:type="spellEnd"/>
      <w:r w:rsidRPr="006460FD">
        <w:rPr>
          <w:sz w:val="20"/>
          <w:lang w:val="en-GB"/>
        </w:rPr>
        <w:t xml:space="preserve"> éditions 2015, 278; </w:t>
      </w:r>
      <w:r w:rsidRPr="006460FD">
        <w:rPr>
          <w:smallCaps/>
          <w:sz w:val="20"/>
          <w:lang w:val="en-GB"/>
        </w:rPr>
        <w:t xml:space="preserve">L. </w:t>
      </w:r>
      <w:proofErr w:type="spellStart"/>
      <w:r w:rsidRPr="006460FD">
        <w:rPr>
          <w:smallCaps/>
          <w:sz w:val="20"/>
          <w:lang w:val="en-GB"/>
        </w:rPr>
        <w:t>Aynès</w:t>
      </w:r>
      <w:proofErr w:type="spellEnd"/>
      <w:r w:rsidRPr="006460FD">
        <w:rPr>
          <w:smallCaps/>
          <w:sz w:val="20"/>
          <w:lang w:val="en-GB"/>
        </w:rPr>
        <w:t xml:space="preserve">, P. Crocq, </w:t>
      </w:r>
      <w:r w:rsidRPr="006460FD">
        <w:rPr>
          <w:i/>
          <w:sz w:val="20"/>
          <w:lang w:val="en-GB"/>
        </w:rPr>
        <w:t xml:space="preserve">Droit des sûretés, </w:t>
      </w:r>
      <w:proofErr w:type="spellStart"/>
      <w:r w:rsidRPr="006460FD">
        <w:rPr>
          <w:sz w:val="20"/>
          <w:lang w:val="en-GB"/>
        </w:rPr>
        <w:t>Issy</w:t>
      </w:r>
      <w:proofErr w:type="spellEnd"/>
      <w:r w:rsidRPr="006460FD">
        <w:rPr>
          <w:sz w:val="20"/>
          <w:lang w:val="en-GB"/>
        </w:rPr>
        <w:t>-Les-</w:t>
      </w:r>
      <w:proofErr w:type="spellStart"/>
      <w:r w:rsidRPr="006460FD">
        <w:rPr>
          <w:sz w:val="20"/>
          <w:lang w:val="en-GB"/>
        </w:rPr>
        <w:t>Moulineaux</w:t>
      </w:r>
      <w:proofErr w:type="spellEnd"/>
      <w:r w:rsidRPr="006460FD">
        <w:rPr>
          <w:sz w:val="20"/>
          <w:lang w:val="en-GB"/>
        </w:rPr>
        <w:t xml:space="preserve">, LGDJ </w:t>
      </w:r>
      <w:proofErr w:type="spellStart"/>
      <w:r w:rsidRPr="006460FD">
        <w:rPr>
          <w:sz w:val="20"/>
          <w:lang w:val="en-GB"/>
        </w:rPr>
        <w:t>lextenso</w:t>
      </w:r>
      <w:proofErr w:type="spellEnd"/>
      <w:r w:rsidRPr="006460FD">
        <w:rPr>
          <w:sz w:val="20"/>
          <w:lang w:val="en-GB"/>
        </w:rPr>
        <w:t xml:space="preserve"> éditions 2015, 276.</w:t>
      </w:r>
    </w:p>
  </w:footnote>
  <w:footnote w:id="139">
    <w:p w14:paraId="34C8F86D" w14:textId="77777777" w:rsidR="00C97F8C" w:rsidRPr="00387BB4" w:rsidRDefault="00C97F8C" w:rsidP="007C3569">
      <w:pPr>
        <w:pStyle w:val="Voetnoottekst"/>
        <w:rPr>
          <w:lang w:val="nl-BE"/>
        </w:rPr>
      </w:pPr>
      <w:r>
        <w:rPr>
          <w:rStyle w:val="Voetnootmarkering"/>
        </w:rPr>
        <w:footnoteRef/>
      </w:r>
      <w:r>
        <w:t xml:space="preserve"> </w:t>
      </w:r>
      <w:r>
        <w:rPr>
          <w:smallCaps/>
          <w:sz w:val="20"/>
        </w:rPr>
        <w:t xml:space="preserve">W.H.M. Reehuis, </w:t>
      </w:r>
      <w:r>
        <w:rPr>
          <w:i/>
          <w:sz w:val="20"/>
        </w:rPr>
        <w:t xml:space="preserve">Stille verpanding, </w:t>
      </w:r>
      <w:r>
        <w:rPr>
          <w:sz w:val="20"/>
        </w:rPr>
        <w:t xml:space="preserve">Arhem, Gouda Quint 1987, 59; </w:t>
      </w:r>
      <w:r w:rsidRPr="00061F15">
        <w:rPr>
          <w:smallCaps/>
          <w:sz w:val="20"/>
        </w:rPr>
        <w:t xml:space="preserve">H.J. Snijders en E.B. Rank-Berenschoot, </w:t>
      </w:r>
      <w:r w:rsidRPr="00061F15">
        <w:rPr>
          <w:i/>
          <w:sz w:val="20"/>
        </w:rPr>
        <w:t xml:space="preserve">Goederenrecht, </w:t>
      </w:r>
      <w:r>
        <w:rPr>
          <w:sz w:val="20"/>
        </w:rPr>
        <w:t xml:space="preserve">Deventer, Kluwer, 2012, 464; </w:t>
      </w:r>
      <w:r>
        <w:rPr>
          <w:smallCaps/>
          <w:sz w:val="20"/>
        </w:rPr>
        <w:t xml:space="preserve">P.A. Stein, </w:t>
      </w:r>
      <w:r w:rsidRPr="00387BB4">
        <w:rPr>
          <w:smallCaps/>
          <w:sz w:val="20"/>
        </w:rPr>
        <w:t>“</w:t>
      </w:r>
      <w:r w:rsidRPr="00387BB4">
        <w:rPr>
          <w:sz w:val="20"/>
        </w:rPr>
        <w:t>Vuistpandrecht en de goede trouw van de pandhouder</w:t>
      </w:r>
      <w:r>
        <w:rPr>
          <w:sz w:val="20"/>
        </w:rPr>
        <w:t xml:space="preserve">”, </w:t>
      </w:r>
      <w:r>
        <w:rPr>
          <w:i/>
          <w:sz w:val="20"/>
        </w:rPr>
        <w:t xml:space="preserve">Groene Serie </w:t>
      </w:r>
      <w:r>
        <w:rPr>
          <w:sz w:val="20"/>
        </w:rPr>
        <w:t>2015, 1.</w:t>
      </w:r>
    </w:p>
  </w:footnote>
  <w:footnote w:id="140">
    <w:p w14:paraId="4E7F21C3" w14:textId="77777777" w:rsidR="00C97F8C" w:rsidRPr="00C71E47" w:rsidRDefault="00C97F8C" w:rsidP="00B768BB">
      <w:pPr>
        <w:pStyle w:val="Voetnoottekst"/>
        <w:rPr>
          <w:lang w:val="nl-BE"/>
        </w:rPr>
      </w:pPr>
      <w:r>
        <w:rPr>
          <w:rStyle w:val="Voetnootmarkering"/>
        </w:rPr>
        <w:footnoteRef/>
      </w:r>
      <w:r>
        <w:t xml:space="preserve"> </w:t>
      </w:r>
      <w:r w:rsidRPr="00862B0F">
        <w:rPr>
          <w:smallCaps/>
          <w:sz w:val="20"/>
        </w:rPr>
        <w:t>R. Jansen, “</w:t>
      </w:r>
      <w:r w:rsidRPr="00862B0F">
        <w:rPr>
          <w:sz w:val="20"/>
        </w:rPr>
        <w:t xml:space="preserve">Algemene systematiek van voorrechten”, </w:t>
      </w:r>
      <w:r w:rsidRPr="00862B0F">
        <w:rPr>
          <w:i/>
          <w:sz w:val="20"/>
        </w:rPr>
        <w:t xml:space="preserve">TPR </w:t>
      </w:r>
      <w:r>
        <w:rPr>
          <w:sz w:val="20"/>
        </w:rPr>
        <w:t>2008, 30.</w:t>
      </w:r>
    </w:p>
  </w:footnote>
  <w:footnote w:id="141">
    <w:p w14:paraId="55D0464B" w14:textId="77777777" w:rsidR="00C97F8C" w:rsidRPr="006460FD" w:rsidRDefault="00C97F8C" w:rsidP="00B768BB">
      <w:pPr>
        <w:widowControl w:val="0"/>
        <w:autoSpaceDE w:val="0"/>
        <w:autoSpaceDN w:val="0"/>
        <w:adjustRightInd w:val="0"/>
        <w:jc w:val="left"/>
        <w:rPr>
          <w:sz w:val="20"/>
          <w:szCs w:val="20"/>
          <w:lang w:val="nl-BE"/>
        </w:rPr>
      </w:pPr>
      <w:r>
        <w:rPr>
          <w:rStyle w:val="Voetnootmarkering"/>
        </w:rPr>
        <w:footnoteRef/>
      </w:r>
      <w:r>
        <w:t xml:space="preserve"> </w:t>
      </w:r>
      <w:r w:rsidRPr="006460FD">
        <w:rPr>
          <w:smallCaps/>
          <w:sz w:val="20"/>
          <w:szCs w:val="20"/>
          <w:lang w:val="nl-BE"/>
        </w:rPr>
        <w:t>M.E. Storme</w:t>
      </w:r>
      <w:r w:rsidRPr="006460FD">
        <w:rPr>
          <w:sz w:val="20"/>
          <w:szCs w:val="20"/>
          <w:lang w:val="nl-BE"/>
        </w:rPr>
        <w:t xml:space="preserve">, “Paritas creditorum, voorrang en roerende zekerheden”, </w:t>
      </w:r>
      <w:r w:rsidRPr="006460FD">
        <w:rPr>
          <w:i/>
          <w:iCs/>
          <w:sz w:val="20"/>
          <w:szCs w:val="20"/>
          <w:lang w:val="nl-BE"/>
        </w:rPr>
        <w:t xml:space="preserve">T.P.R. </w:t>
      </w:r>
      <w:r w:rsidRPr="006460FD">
        <w:rPr>
          <w:sz w:val="20"/>
          <w:szCs w:val="20"/>
          <w:lang w:val="nl-BE"/>
        </w:rPr>
        <w:t>2006, 1009.</w:t>
      </w:r>
    </w:p>
  </w:footnote>
  <w:footnote w:id="142">
    <w:p w14:paraId="322593C6" w14:textId="02D0A3C4" w:rsidR="00C97F8C" w:rsidRPr="00B47C73" w:rsidRDefault="00C97F8C" w:rsidP="00B768BB">
      <w:pPr>
        <w:pStyle w:val="Voetnoottekst"/>
        <w:rPr>
          <w:sz w:val="20"/>
        </w:rPr>
      </w:pPr>
      <w:r>
        <w:rPr>
          <w:rStyle w:val="Voetnootmarkering"/>
        </w:rPr>
        <w:footnoteRef/>
      </w:r>
      <w:r>
        <w:t xml:space="preserve"> </w:t>
      </w:r>
      <w:r w:rsidRPr="00EA4E18">
        <w:rPr>
          <w:sz w:val="20"/>
        </w:rPr>
        <w:t>Cass. 21 oktober 1999, Pas. 1999, I, 1368</w:t>
      </w:r>
      <w:r>
        <w:t xml:space="preserve">; </w:t>
      </w:r>
      <w:r>
        <w:rPr>
          <w:smallCaps/>
          <w:sz w:val="20"/>
        </w:rPr>
        <w:t>F. ‘T Kind</w:t>
      </w:r>
      <w:r w:rsidRPr="00EA4E18">
        <w:rPr>
          <w:sz w:val="20"/>
        </w:rPr>
        <w:t>, Sûretés et principes généraux du droit de poursuite des créancie</w:t>
      </w:r>
      <w:r>
        <w:rPr>
          <w:sz w:val="20"/>
        </w:rPr>
        <w:t xml:space="preserve">rs, Brussel, Larcier, 2004, 177; </w:t>
      </w:r>
      <w:r>
        <w:rPr>
          <w:smallCaps/>
          <w:sz w:val="20"/>
        </w:rPr>
        <w:t xml:space="preserve">M. Forges, P.-F. Van den Driesche, </w:t>
      </w:r>
      <w:r>
        <w:rPr>
          <w:sz w:val="20"/>
        </w:rPr>
        <w:t xml:space="preserve">“Le gage sur le fonds de commerce et les entreprises en difficulté”, in </w:t>
      </w:r>
      <w:r>
        <w:rPr>
          <w:smallCaps/>
          <w:sz w:val="20"/>
        </w:rPr>
        <w:t xml:space="preserve">C. Alter, M. Forges, D.-E. Philippe, P.F. Van Den Driesche, L. Van Muylem, </w:t>
      </w:r>
      <w:r>
        <w:rPr>
          <w:i/>
          <w:sz w:val="20"/>
        </w:rPr>
        <w:t xml:space="preserve">Le Fonds de commerce, </w:t>
      </w:r>
      <w:r>
        <w:rPr>
          <w:sz w:val="20"/>
        </w:rPr>
        <w:t xml:space="preserve">Limal, Anthemis 2012, 62. </w:t>
      </w:r>
      <w:r>
        <w:rPr>
          <w:sz w:val="20"/>
          <w:u w:val="single"/>
        </w:rPr>
        <w:t>Contra:</w:t>
      </w:r>
      <w:r w:rsidRPr="009F61B0">
        <w:rPr>
          <w:sz w:val="20"/>
        </w:rPr>
        <w:t xml:space="preserve"> </w:t>
      </w:r>
      <w:r>
        <w:rPr>
          <w:smallCaps/>
          <w:sz w:val="20"/>
        </w:rPr>
        <w:t xml:space="preserve">G. De Pestel, </w:t>
      </w:r>
      <w:r>
        <w:rPr>
          <w:sz w:val="20"/>
        </w:rPr>
        <w:t>“</w:t>
      </w:r>
      <w:r w:rsidRPr="00B47C73">
        <w:rPr>
          <w:sz w:val="20"/>
        </w:rPr>
        <w:t>Pand op de handelszaak (Wet van 25 o</w:t>
      </w:r>
      <w:r>
        <w:rPr>
          <w:sz w:val="20"/>
        </w:rPr>
        <w:t>ktober 1919) – Overzicht recht</w:t>
      </w:r>
      <w:r w:rsidRPr="00B47C73">
        <w:rPr>
          <w:sz w:val="20"/>
        </w:rPr>
        <w:t>spraak (1993-1998)</w:t>
      </w:r>
      <w:r>
        <w:rPr>
          <w:sz w:val="20"/>
        </w:rPr>
        <w:t xml:space="preserve">”, </w:t>
      </w:r>
      <w:r>
        <w:rPr>
          <w:i/>
          <w:sz w:val="20"/>
        </w:rPr>
        <w:t xml:space="preserve">TBH </w:t>
      </w:r>
      <w:r>
        <w:rPr>
          <w:sz w:val="20"/>
        </w:rPr>
        <w:t xml:space="preserve">2001, 389; </w:t>
      </w:r>
      <w:r>
        <w:rPr>
          <w:smallCaps/>
          <w:sz w:val="20"/>
        </w:rPr>
        <w:t>F. Hellemans</w:t>
      </w:r>
      <w:r>
        <w:rPr>
          <w:sz w:val="20"/>
        </w:rPr>
        <w:t xml:space="preserve"> en </w:t>
      </w:r>
      <w:r>
        <w:rPr>
          <w:smallCaps/>
          <w:sz w:val="20"/>
        </w:rPr>
        <w:t>S. Bogaerts</w:t>
      </w:r>
      <w:r w:rsidRPr="008C2728">
        <w:rPr>
          <w:sz w:val="20"/>
        </w:rPr>
        <w:t>, “P</w:t>
      </w:r>
      <w:r>
        <w:rPr>
          <w:sz w:val="20"/>
        </w:rPr>
        <w:t xml:space="preserve">and op aandelen” in </w:t>
      </w:r>
      <w:r>
        <w:rPr>
          <w:smallCaps/>
          <w:sz w:val="20"/>
        </w:rPr>
        <w:t>F. Hellemans</w:t>
      </w:r>
      <w:r>
        <w:rPr>
          <w:sz w:val="20"/>
        </w:rPr>
        <w:t xml:space="preserve">, </w:t>
      </w:r>
      <w:r>
        <w:rPr>
          <w:smallCaps/>
          <w:sz w:val="20"/>
        </w:rPr>
        <w:t>V. Sagaert</w:t>
      </w:r>
      <w:r>
        <w:rPr>
          <w:sz w:val="20"/>
        </w:rPr>
        <w:t xml:space="preserve"> en </w:t>
      </w:r>
      <w:r>
        <w:rPr>
          <w:smallCaps/>
          <w:sz w:val="20"/>
        </w:rPr>
        <w:t>R. Van Ransbeeck</w:t>
      </w:r>
      <w:r>
        <w:rPr>
          <w:sz w:val="20"/>
        </w:rPr>
        <w:t xml:space="preserve"> (eds.), </w:t>
      </w:r>
      <w:r w:rsidRPr="008C2728">
        <w:rPr>
          <w:i/>
          <w:sz w:val="20"/>
        </w:rPr>
        <w:t>Het pand – Van een oude naar een moderne zekerheid</w:t>
      </w:r>
      <w:r w:rsidRPr="008C2728">
        <w:rPr>
          <w:sz w:val="20"/>
        </w:rPr>
        <w:t xml:space="preserve">, Brugge, Die Keure, 2012, </w:t>
      </w:r>
      <w:r>
        <w:rPr>
          <w:sz w:val="20"/>
        </w:rPr>
        <w:t>39.</w:t>
      </w:r>
    </w:p>
  </w:footnote>
  <w:footnote w:id="143">
    <w:p w14:paraId="66A2D550" w14:textId="77777777" w:rsidR="00C97F8C" w:rsidRPr="0017720E" w:rsidRDefault="00C97F8C" w:rsidP="00B768BB">
      <w:pPr>
        <w:pStyle w:val="Voetnoottekst"/>
        <w:rPr>
          <w:sz w:val="20"/>
        </w:rPr>
      </w:pPr>
      <w:r w:rsidRPr="0017720E">
        <w:rPr>
          <w:rStyle w:val="Voetnootmarkering"/>
          <w:sz w:val="20"/>
        </w:rPr>
        <w:footnoteRef/>
      </w:r>
      <w:r w:rsidRPr="0017720E">
        <w:rPr>
          <w:sz w:val="20"/>
        </w:rPr>
        <w:t xml:space="preserve"> Cass. 21 oktober 1999, </w:t>
      </w:r>
      <w:r w:rsidRPr="0017720E">
        <w:rPr>
          <w:i/>
          <w:sz w:val="20"/>
        </w:rPr>
        <w:t xml:space="preserve">RW </w:t>
      </w:r>
      <w:r>
        <w:rPr>
          <w:sz w:val="20"/>
        </w:rPr>
        <w:t xml:space="preserve">2000-01, 341; </w:t>
      </w:r>
      <w:r>
        <w:rPr>
          <w:smallCaps/>
          <w:sz w:val="20"/>
        </w:rPr>
        <w:t xml:space="preserve">G. De Pestel, </w:t>
      </w:r>
      <w:r>
        <w:rPr>
          <w:sz w:val="20"/>
        </w:rPr>
        <w:t>“</w:t>
      </w:r>
      <w:r w:rsidRPr="00B47C73">
        <w:rPr>
          <w:sz w:val="20"/>
        </w:rPr>
        <w:t>Pand op de handelszaak (Wet van 25 o</w:t>
      </w:r>
      <w:r>
        <w:rPr>
          <w:sz w:val="20"/>
        </w:rPr>
        <w:t>ktober 1919) – Overzicht recht</w:t>
      </w:r>
      <w:r w:rsidRPr="00B47C73">
        <w:rPr>
          <w:sz w:val="20"/>
        </w:rPr>
        <w:t>spraak (1993-1998)</w:t>
      </w:r>
      <w:r>
        <w:rPr>
          <w:sz w:val="20"/>
        </w:rPr>
        <w:t xml:space="preserve">”, </w:t>
      </w:r>
      <w:r>
        <w:rPr>
          <w:i/>
          <w:sz w:val="20"/>
        </w:rPr>
        <w:t xml:space="preserve">TBH </w:t>
      </w:r>
      <w:r>
        <w:rPr>
          <w:sz w:val="20"/>
        </w:rPr>
        <w:t>2001, 389.</w:t>
      </w:r>
    </w:p>
  </w:footnote>
  <w:footnote w:id="144">
    <w:p w14:paraId="0FDE5BB8" w14:textId="19274350" w:rsidR="00C97F8C" w:rsidRPr="00862B0F" w:rsidRDefault="00C97F8C" w:rsidP="00B768BB">
      <w:pPr>
        <w:pStyle w:val="Normaalweb"/>
        <w:rPr>
          <w:sz w:val="20"/>
          <w:szCs w:val="20"/>
        </w:rPr>
      </w:pPr>
      <w:r w:rsidRPr="0017720E">
        <w:rPr>
          <w:rStyle w:val="Voetnootmarkering"/>
          <w:sz w:val="20"/>
          <w:szCs w:val="20"/>
        </w:rPr>
        <w:footnoteRef/>
      </w:r>
      <w:r w:rsidRPr="0017720E">
        <w:rPr>
          <w:sz w:val="20"/>
          <w:szCs w:val="20"/>
        </w:rPr>
        <w:t xml:space="preserve"> </w:t>
      </w:r>
      <w:r>
        <w:rPr>
          <w:sz w:val="20"/>
          <w:lang w:val="nl-BE"/>
        </w:rPr>
        <w:t xml:space="preserve">Artikel 11, II, eerste lid </w:t>
      </w:r>
      <w:r>
        <w:rPr>
          <w:sz w:val="20"/>
        </w:rPr>
        <w:t>w</w:t>
      </w:r>
      <w:r w:rsidRPr="00862B0F">
        <w:rPr>
          <w:sz w:val="20"/>
        </w:rPr>
        <w:t xml:space="preserve">et van  15 april 1884 betreffende de landbouwlening, </w:t>
      </w:r>
      <w:r w:rsidRPr="00862B0F">
        <w:rPr>
          <w:i/>
          <w:sz w:val="20"/>
        </w:rPr>
        <w:t xml:space="preserve">BS </w:t>
      </w:r>
      <w:r w:rsidRPr="00862B0F">
        <w:rPr>
          <w:sz w:val="20"/>
        </w:rPr>
        <w:t xml:space="preserve"> 11 mei 1884; Artikel 3 Wet van 25 oktober 1919 betreffende het in pand geven van de handelszaak, het disconto en het in pand geven van de factuur, alsmede de aanvaarding en de keuring van de rechtstreeks voor het verbruik gedane leveringen, </w:t>
      </w:r>
      <w:r w:rsidRPr="00862B0F">
        <w:rPr>
          <w:i/>
          <w:sz w:val="20"/>
        </w:rPr>
        <w:t xml:space="preserve">BS </w:t>
      </w:r>
      <w:r w:rsidRPr="00862B0F">
        <w:rPr>
          <w:sz w:val="20"/>
        </w:rPr>
        <w:t>5 november 1919</w:t>
      </w:r>
      <w:r>
        <w:rPr>
          <w:sz w:val="20"/>
        </w:rPr>
        <w:t xml:space="preserve">; </w:t>
      </w:r>
      <w:r w:rsidRPr="00862B0F">
        <w:rPr>
          <w:smallCaps/>
          <w:sz w:val="20"/>
        </w:rPr>
        <w:t xml:space="preserve">H. De Page, </w:t>
      </w:r>
      <w:r w:rsidRPr="00862B0F">
        <w:rPr>
          <w:i/>
          <w:sz w:val="20"/>
        </w:rPr>
        <w:t xml:space="preserve">Traité elementaire de droit civil Belge – VI- Les biens, Les sûretés, </w:t>
      </w:r>
      <w:r>
        <w:rPr>
          <w:sz w:val="20"/>
        </w:rPr>
        <w:t xml:space="preserve">Bruylant, Brussel, 1953, 1145; </w:t>
      </w:r>
      <w:r w:rsidRPr="006921E5">
        <w:rPr>
          <w:smallCaps/>
          <w:sz w:val="20"/>
        </w:rPr>
        <w:t>I. Moreau-</w:t>
      </w:r>
      <w:proofErr w:type="spellStart"/>
      <w:proofErr w:type="gramStart"/>
      <w:r w:rsidRPr="006921E5">
        <w:rPr>
          <w:smallCaps/>
          <w:sz w:val="20"/>
        </w:rPr>
        <w:t>Margrève</w:t>
      </w:r>
      <w:r w:rsidRPr="006921E5">
        <w:rPr>
          <w:sz w:val="20"/>
        </w:rPr>
        <w:t>,“</w:t>
      </w:r>
      <w:proofErr w:type="gramEnd"/>
      <w:r w:rsidRPr="006921E5">
        <w:rPr>
          <w:sz w:val="20"/>
        </w:rPr>
        <w:t>Heurs</w:t>
      </w:r>
      <w:proofErr w:type="spellEnd"/>
      <w:r w:rsidRPr="006921E5">
        <w:rPr>
          <w:sz w:val="20"/>
        </w:rPr>
        <w:t xml:space="preserve"> et maleurs du gage sur fonds de commerce”, </w:t>
      </w:r>
      <w:r w:rsidRPr="006921E5">
        <w:rPr>
          <w:i/>
          <w:sz w:val="20"/>
        </w:rPr>
        <w:t>RCJB</w:t>
      </w:r>
      <w:r w:rsidRPr="006921E5">
        <w:rPr>
          <w:sz w:val="20"/>
        </w:rPr>
        <w:t xml:space="preserve"> 1980, </w:t>
      </w:r>
      <w:r>
        <w:rPr>
          <w:sz w:val="20"/>
        </w:rPr>
        <w:t xml:space="preserve">141; </w:t>
      </w:r>
      <w:r>
        <w:rPr>
          <w:smallCaps/>
          <w:sz w:val="20"/>
          <w:lang w:val="nl-BE"/>
        </w:rPr>
        <w:t xml:space="preserve">M.T. Caupain, </w:t>
      </w:r>
      <w:r w:rsidRPr="00625691">
        <w:rPr>
          <w:smallCaps/>
          <w:sz w:val="20"/>
          <w:lang w:val="nl-BE"/>
        </w:rPr>
        <w:t>“</w:t>
      </w:r>
      <w:r w:rsidRPr="00625691">
        <w:rPr>
          <w:sz w:val="20"/>
          <w:lang w:val="nl-BE"/>
        </w:rPr>
        <w:t>La réalisation du gage sur fonds de commerce et la cession du fonds de commerce: le droit de suite et l’aspect fiscal</w:t>
      </w:r>
      <w:r w:rsidRPr="00625691">
        <w:rPr>
          <w:i/>
          <w:sz w:val="20"/>
          <w:lang w:val="nl-BE"/>
        </w:rPr>
        <w:t>”</w:t>
      </w:r>
      <w:r>
        <w:rPr>
          <w:sz w:val="20"/>
          <w:lang w:val="nl-BE"/>
        </w:rPr>
        <w:t xml:space="preserve"> in </w:t>
      </w:r>
      <w:r>
        <w:rPr>
          <w:i/>
          <w:sz w:val="20"/>
          <w:lang w:val="nl-BE"/>
        </w:rPr>
        <w:t xml:space="preserve">Liber Amicorum Marcel Briers, </w:t>
      </w:r>
      <w:r>
        <w:rPr>
          <w:sz w:val="20"/>
          <w:lang w:val="nl-BE"/>
        </w:rPr>
        <w:t>Gent, Mys &amp; Breesch 1983, 51;</w:t>
      </w:r>
      <w:r>
        <w:rPr>
          <w:sz w:val="20"/>
        </w:rPr>
        <w:t xml:space="preserve"> </w:t>
      </w:r>
      <w:r>
        <w:rPr>
          <w:smallCaps/>
          <w:sz w:val="20"/>
        </w:rPr>
        <w:t xml:space="preserve">A. Cuypers, </w:t>
      </w:r>
      <w:r>
        <w:rPr>
          <w:sz w:val="20"/>
        </w:rPr>
        <w:t xml:space="preserve">“Pand op handelszaak”, </w:t>
      </w:r>
      <w:r>
        <w:rPr>
          <w:i/>
          <w:sz w:val="20"/>
        </w:rPr>
        <w:t xml:space="preserve">T. Not. </w:t>
      </w:r>
      <w:r>
        <w:rPr>
          <w:sz w:val="20"/>
        </w:rPr>
        <w:t xml:space="preserve">1989, 305; </w:t>
      </w:r>
      <w:r>
        <w:rPr>
          <w:smallCaps/>
          <w:sz w:val="20"/>
        </w:rPr>
        <w:t xml:space="preserve">J. Cattaruza, </w:t>
      </w:r>
      <w:r>
        <w:rPr>
          <w:i/>
          <w:sz w:val="20"/>
        </w:rPr>
        <w:t xml:space="preserve">Le gage sur le fonds de commerce, </w:t>
      </w:r>
      <w:r>
        <w:rPr>
          <w:sz w:val="20"/>
        </w:rPr>
        <w:t xml:space="preserve">Diegem, Kluwer 1997, 34; </w:t>
      </w:r>
      <w:r>
        <w:rPr>
          <w:smallCaps/>
          <w:sz w:val="20"/>
        </w:rPr>
        <w:t xml:space="preserve">J. Bytterbier, K. Christiaens, I. Peeters, A.L. Verbeke, </w:t>
      </w:r>
      <w:r>
        <w:rPr>
          <w:i/>
          <w:sz w:val="20"/>
        </w:rPr>
        <w:t xml:space="preserve">Voorrechten, hypotheken en andere zekerheden, </w:t>
      </w:r>
      <w:r>
        <w:rPr>
          <w:sz w:val="20"/>
        </w:rPr>
        <w:t xml:space="preserve">Gent, Mys &amp; Breesch 2000, 179; </w:t>
      </w:r>
      <w:r>
        <w:rPr>
          <w:smallCaps/>
          <w:sz w:val="20"/>
        </w:rPr>
        <w:t xml:space="preserve">C. Biquet-Mathieu, </w:t>
      </w:r>
      <w:r>
        <w:rPr>
          <w:sz w:val="20"/>
        </w:rPr>
        <w:t xml:space="preserve">“Actualités en matière de gage” in </w:t>
      </w:r>
      <w:r>
        <w:rPr>
          <w:smallCaps/>
          <w:sz w:val="20"/>
        </w:rPr>
        <w:t>C. Biquet-Mathieu</w:t>
      </w:r>
      <w:r>
        <w:rPr>
          <w:sz w:val="20"/>
        </w:rPr>
        <w:t xml:space="preserve"> (ed.), </w:t>
      </w:r>
      <w:r>
        <w:rPr>
          <w:i/>
          <w:sz w:val="20"/>
        </w:rPr>
        <w:t xml:space="preserve">Le point sur le droit des sûretés, </w:t>
      </w:r>
      <w:r>
        <w:rPr>
          <w:sz w:val="20"/>
        </w:rPr>
        <w:t xml:space="preserve">Luik, Commission Université-Palais 2000, 348; </w:t>
      </w:r>
      <w:r>
        <w:rPr>
          <w:smallCaps/>
          <w:sz w:val="20"/>
        </w:rPr>
        <w:t xml:space="preserve">G. De Pestel, </w:t>
      </w:r>
      <w:r>
        <w:rPr>
          <w:sz w:val="20"/>
        </w:rPr>
        <w:t>“</w:t>
      </w:r>
      <w:r w:rsidRPr="00B47C73">
        <w:rPr>
          <w:sz w:val="20"/>
        </w:rPr>
        <w:t>Pand op de handelszaak (Wet van 25 o</w:t>
      </w:r>
      <w:r>
        <w:rPr>
          <w:sz w:val="20"/>
        </w:rPr>
        <w:t>ktober 1919) – Overzicht recht</w:t>
      </w:r>
      <w:r w:rsidRPr="00B47C73">
        <w:rPr>
          <w:sz w:val="20"/>
        </w:rPr>
        <w:t>spraak (1993-1998)</w:t>
      </w:r>
      <w:r>
        <w:rPr>
          <w:sz w:val="20"/>
        </w:rPr>
        <w:t xml:space="preserve">”, </w:t>
      </w:r>
      <w:r>
        <w:rPr>
          <w:i/>
          <w:sz w:val="20"/>
        </w:rPr>
        <w:t xml:space="preserve">TBH </w:t>
      </w:r>
      <w:r>
        <w:rPr>
          <w:sz w:val="20"/>
        </w:rPr>
        <w:t xml:space="preserve">2001, 389; </w:t>
      </w:r>
      <w:r>
        <w:rPr>
          <w:smallCaps/>
          <w:sz w:val="20"/>
        </w:rPr>
        <w:t xml:space="preserve">B. Du Laing, H. Cousy, </w:t>
      </w:r>
      <w:r>
        <w:rPr>
          <w:sz w:val="20"/>
        </w:rPr>
        <w:t xml:space="preserve">“Het pand op de handelszaak – een algemeen overzicht”, in </w:t>
      </w:r>
      <w:r>
        <w:rPr>
          <w:smallCaps/>
          <w:sz w:val="20"/>
        </w:rPr>
        <w:t xml:space="preserve">H. Cousy, B. Tilleman, A. Benoit-Moury </w:t>
      </w:r>
      <w:r>
        <w:rPr>
          <w:sz w:val="20"/>
        </w:rPr>
        <w:t xml:space="preserve">(eds.), </w:t>
      </w:r>
      <w:r>
        <w:rPr>
          <w:i/>
          <w:sz w:val="20"/>
        </w:rPr>
        <w:t xml:space="preserve">De handelszaak – Le fonds de commerce, </w:t>
      </w:r>
      <w:r>
        <w:rPr>
          <w:sz w:val="20"/>
        </w:rPr>
        <w:t xml:space="preserve">Brugge, die Keure 2001, 61; </w:t>
      </w:r>
      <w:r>
        <w:rPr>
          <w:smallCaps/>
          <w:sz w:val="20"/>
          <w:lang w:val="nl-BE"/>
        </w:rPr>
        <w:t xml:space="preserve">E. Dirix, </w:t>
      </w:r>
      <w:r>
        <w:rPr>
          <w:sz w:val="20"/>
          <w:lang w:val="nl-BE"/>
        </w:rPr>
        <w:t xml:space="preserve">“Het passief van het faillissement”, in </w:t>
      </w:r>
      <w:r>
        <w:rPr>
          <w:i/>
          <w:sz w:val="20"/>
          <w:lang w:val="nl-BE"/>
        </w:rPr>
        <w:t xml:space="preserve">Faillissement en reorganisatie, </w:t>
      </w:r>
      <w:r w:rsidRPr="00AF04BB">
        <w:rPr>
          <w:sz w:val="20"/>
          <w:lang w:val="nl-BE"/>
        </w:rPr>
        <w:t>Mechelen</w:t>
      </w:r>
      <w:r>
        <w:rPr>
          <w:i/>
          <w:sz w:val="20"/>
          <w:lang w:val="nl-BE"/>
        </w:rPr>
        <w:t xml:space="preserve">, </w:t>
      </w:r>
      <w:r>
        <w:rPr>
          <w:sz w:val="20"/>
          <w:lang w:val="nl-BE"/>
        </w:rPr>
        <w:t>Kluwer, 43;</w:t>
      </w:r>
      <w:r>
        <w:rPr>
          <w:sz w:val="20"/>
        </w:rPr>
        <w:t xml:space="preserve"> </w:t>
      </w:r>
      <w:r w:rsidRPr="0017720E">
        <w:rPr>
          <w:sz w:val="20"/>
          <w:szCs w:val="20"/>
        </w:rPr>
        <w:t xml:space="preserve">R. </w:t>
      </w:r>
      <w:r w:rsidRPr="0017720E">
        <w:rPr>
          <w:smallCaps/>
          <w:sz w:val="20"/>
          <w:szCs w:val="20"/>
        </w:rPr>
        <w:t xml:space="preserve">De Corte en E. Dirix, </w:t>
      </w:r>
      <w:r w:rsidRPr="0017720E">
        <w:rPr>
          <w:i/>
          <w:sz w:val="20"/>
          <w:szCs w:val="20"/>
        </w:rPr>
        <w:t>Beginselen</w:t>
      </w:r>
      <w:r w:rsidRPr="00862B0F">
        <w:rPr>
          <w:i/>
          <w:sz w:val="20"/>
          <w:szCs w:val="20"/>
        </w:rPr>
        <w:t xml:space="preserve"> van Belgisch Privaatrecht – XII – Zekerheidsrechten, </w:t>
      </w:r>
      <w:r w:rsidRPr="00862B0F">
        <w:rPr>
          <w:sz w:val="20"/>
          <w:szCs w:val="20"/>
        </w:rPr>
        <w:t xml:space="preserve">Kluwer, Antwerpen 2006, 356; </w:t>
      </w:r>
      <w:r w:rsidRPr="00862B0F">
        <w:rPr>
          <w:smallCaps/>
          <w:sz w:val="20"/>
          <w:szCs w:val="20"/>
        </w:rPr>
        <w:t>R. Jansen, “</w:t>
      </w:r>
      <w:r w:rsidRPr="00862B0F">
        <w:rPr>
          <w:sz w:val="20"/>
          <w:szCs w:val="20"/>
        </w:rPr>
        <w:t xml:space="preserve">Algemene systematiek van voorrechten”, </w:t>
      </w:r>
      <w:r w:rsidRPr="00862B0F">
        <w:rPr>
          <w:i/>
          <w:sz w:val="20"/>
          <w:szCs w:val="20"/>
        </w:rPr>
        <w:t xml:space="preserve">TPR </w:t>
      </w:r>
      <w:r>
        <w:rPr>
          <w:sz w:val="20"/>
          <w:szCs w:val="20"/>
        </w:rPr>
        <w:t xml:space="preserve">2008, 30; </w:t>
      </w:r>
      <w:r>
        <w:rPr>
          <w:smallCaps/>
          <w:sz w:val="20"/>
        </w:rPr>
        <w:t xml:space="preserve">M. Forges, P.-F. Van den Driesche, </w:t>
      </w:r>
      <w:r>
        <w:rPr>
          <w:sz w:val="20"/>
        </w:rPr>
        <w:t xml:space="preserve">“Le gage sur le fonds de commerce et les entreprises en difficulté”, in </w:t>
      </w:r>
      <w:r>
        <w:rPr>
          <w:smallCaps/>
          <w:sz w:val="20"/>
        </w:rPr>
        <w:t xml:space="preserve">C. Alter, M. Forges, D.-E. Philippe, P.F. Van Den Driesche, L. Van Muylem, </w:t>
      </w:r>
      <w:r>
        <w:rPr>
          <w:i/>
          <w:sz w:val="20"/>
        </w:rPr>
        <w:t xml:space="preserve">Le Fonds de commerce, </w:t>
      </w:r>
      <w:r>
        <w:rPr>
          <w:sz w:val="20"/>
        </w:rPr>
        <w:t>Limal, Anthemis 2012, 62-63.</w:t>
      </w:r>
    </w:p>
  </w:footnote>
  <w:footnote w:id="145">
    <w:p w14:paraId="60716CC5" w14:textId="439E2810" w:rsidR="00C97F8C" w:rsidRPr="003B0414" w:rsidRDefault="00C97F8C" w:rsidP="00B768BB">
      <w:pPr>
        <w:pStyle w:val="Voetnoottekst"/>
        <w:rPr>
          <w:lang w:val="nl-BE"/>
        </w:rPr>
      </w:pPr>
      <w:r>
        <w:rPr>
          <w:rStyle w:val="Voetnootmarkering"/>
        </w:rPr>
        <w:footnoteRef/>
      </w:r>
      <w:r>
        <w:t xml:space="preserve"> </w:t>
      </w:r>
      <w:r w:rsidRPr="007D0111">
        <w:rPr>
          <w:sz w:val="20"/>
        </w:rPr>
        <w:t xml:space="preserve">Het ontbreken aan een volgrecht wordt echter wel verholpen doordat er zeer concrete en preventieve sanctiemaatregelen bestaan bij een onbevoegde vervreemding. </w:t>
      </w:r>
      <w:r>
        <w:t>(</w:t>
      </w:r>
      <w:r>
        <w:rPr>
          <w:sz w:val="20"/>
        </w:rPr>
        <w:t xml:space="preserve">Artikel L. 527-5 lid 2 Code de Commerce; Artikel L. 527-7 Code de Commerce; Artikel L.527-7, tweede en derde lid Code de Commerce; </w:t>
      </w:r>
      <w:r>
        <w:rPr>
          <w:smallCaps/>
          <w:sz w:val="20"/>
          <w:lang w:val="nl-BE"/>
        </w:rPr>
        <w:t xml:space="preserve">M. Cabrillac, C. Mouly, S. Cabrillac, P. Pétel, </w:t>
      </w:r>
      <w:r>
        <w:rPr>
          <w:i/>
          <w:sz w:val="20"/>
          <w:lang w:val="nl-BE"/>
        </w:rPr>
        <w:t xml:space="preserve">Droit des sûretés, </w:t>
      </w:r>
      <w:r>
        <w:rPr>
          <w:sz w:val="20"/>
          <w:lang w:val="nl-BE"/>
        </w:rPr>
        <w:t>Parijs, Litec 2010, 577;</w:t>
      </w:r>
      <w:r>
        <w:rPr>
          <w:sz w:val="20"/>
        </w:rPr>
        <w:t xml:space="preserve"> </w:t>
      </w:r>
      <w:r>
        <w:rPr>
          <w:smallCaps/>
          <w:sz w:val="20"/>
        </w:rPr>
        <w:t xml:space="preserve">M. Bourassin, </w:t>
      </w:r>
      <w:r>
        <w:rPr>
          <w:sz w:val="20"/>
        </w:rPr>
        <w:t xml:space="preserve">“La force d’attraction du gage des stocks”, </w:t>
      </w:r>
      <w:r w:rsidRPr="00214F63">
        <w:rPr>
          <w:i/>
          <w:sz w:val="20"/>
        </w:rPr>
        <w:t>Recueil Dalloz</w:t>
      </w:r>
      <w:r>
        <w:rPr>
          <w:sz w:val="20"/>
        </w:rPr>
        <w:t xml:space="preserve"> </w:t>
      </w:r>
      <w:r>
        <w:rPr>
          <w:smallCaps/>
          <w:sz w:val="20"/>
        </w:rPr>
        <w:t>2013, 1364;</w:t>
      </w:r>
      <w:r>
        <w:rPr>
          <w:sz w:val="20"/>
        </w:rPr>
        <w:t xml:space="preserve"> </w:t>
      </w:r>
      <w:r>
        <w:rPr>
          <w:smallCaps/>
          <w:sz w:val="20"/>
        </w:rPr>
        <w:t xml:space="preserve">M. Bourassin, V. brémond, M.-N. </w:t>
      </w:r>
      <w:proofErr w:type="spellStart"/>
      <w:r>
        <w:rPr>
          <w:smallCaps/>
          <w:sz w:val="20"/>
        </w:rPr>
        <w:t>Jobard-Bachellier</w:t>
      </w:r>
      <w:proofErr w:type="spellEnd"/>
      <w:r>
        <w:rPr>
          <w:smallCaps/>
          <w:sz w:val="20"/>
        </w:rPr>
        <w:t xml:space="preserve">, </w:t>
      </w:r>
      <w:r>
        <w:rPr>
          <w:i/>
          <w:sz w:val="20"/>
        </w:rPr>
        <w:t xml:space="preserve">Droit des sûretés, </w:t>
      </w:r>
      <w:r>
        <w:rPr>
          <w:sz w:val="20"/>
        </w:rPr>
        <w:t>Parijs, Dalloz 2014, 571.)</w:t>
      </w:r>
    </w:p>
  </w:footnote>
  <w:footnote w:id="146">
    <w:p w14:paraId="7A66B3FB" w14:textId="0CA459D7" w:rsidR="00C97F8C" w:rsidRPr="007E4317" w:rsidRDefault="00C97F8C" w:rsidP="00B768BB">
      <w:pPr>
        <w:pStyle w:val="Voetnoottekst"/>
        <w:rPr>
          <w:lang w:val="nl-BE"/>
        </w:rPr>
      </w:pPr>
      <w:r>
        <w:rPr>
          <w:rStyle w:val="Voetnootmarkering"/>
        </w:rPr>
        <w:footnoteRef/>
      </w:r>
      <w:r>
        <w:t xml:space="preserve"> </w:t>
      </w:r>
      <w:r>
        <w:rPr>
          <w:sz w:val="20"/>
        </w:rPr>
        <w:t xml:space="preserve">Artikel L.143-12 Code de Commerce; </w:t>
      </w:r>
      <w:r>
        <w:rPr>
          <w:smallCaps/>
          <w:sz w:val="20"/>
          <w:lang w:val="nl-BE"/>
        </w:rPr>
        <w:t xml:space="preserve">A. Reyfrobellet, C. Denizot, </w:t>
      </w:r>
      <w:r>
        <w:rPr>
          <w:sz w:val="20"/>
          <w:lang w:val="nl-BE"/>
        </w:rPr>
        <w:t xml:space="preserve">“Fonds de commerce”, </w:t>
      </w:r>
      <w:r>
        <w:rPr>
          <w:i/>
          <w:sz w:val="20"/>
          <w:lang w:val="nl-BE"/>
        </w:rPr>
        <w:t xml:space="preserve">Dalloz </w:t>
      </w:r>
      <w:r w:rsidRPr="002729FE">
        <w:rPr>
          <w:sz w:val="20"/>
          <w:lang w:val="nl-BE"/>
        </w:rPr>
        <w:t>2012-2013</w:t>
      </w:r>
      <w:r>
        <w:rPr>
          <w:sz w:val="20"/>
          <w:lang w:val="nl-BE"/>
        </w:rPr>
        <w:t>, 966;</w:t>
      </w:r>
      <w:r>
        <w:rPr>
          <w:sz w:val="20"/>
        </w:rPr>
        <w:t xml:space="preserve"> </w:t>
      </w:r>
      <w:r w:rsidRPr="007E4317">
        <w:rPr>
          <w:smallCaps/>
          <w:sz w:val="20"/>
        </w:rPr>
        <w:t xml:space="preserve">M. Bourassin, </w:t>
      </w:r>
      <w:r w:rsidRPr="007E4317">
        <w:rPr>
          <w:sz w:val="20"/>
        </w:rPr>
        <w:t xml:space="preserve">“La force d’attraction du gage des stocks”, </w:t>
      </w:r>
      <w:r w:rsidRPr="007E4317">
        <w:rPr>
          <w:i/>
          <w:sz w:val="20"/>
        </w:rPr>
        <w:t>Recueil Dalloz</w:t>
      </w:r>
      <w:r w:rsidRPr="007E4317">
        <w:rPr>
          <w:sz w:val="20"/>
        </w:rPr>
        <w:t xml:space="preserve"> </w:t>
      </w:r>
      <w:r w:rsidRPr="007E4317">
        <w:rPr>
          <w:smallCaps/>
          <w:sz w:val="20"/>
        </w:rPr>
        <w:t>2013, 1363.</w:t>
      </w:r>
    </w:p>
  </w:footnote>
  <w:footnote w:id="147">
    <w:p w14:paraId="51138C09" w14:textId="0E984856" w:rsidR="00C97F8C" w:rsidRPr="003B0414" w:rsidRDefault="00C97F8C" w:rsidP="00B768BB">
      <w:pPr>
        <w:pStyle w:val="Voetnoottekst"/>
        <w:rPr>
          <w:lang w:val="nl-BE"/>
        </w:rPr>
      </w:pPr>
      <w:r>
        <w:rPr>
          <w:rStyle w:val="Voetnootmarkering"/>
        </w:rPr>
        <w:footnoteRef/>
      </w:r>
      <w:r>
        <w:t xml:space="preserve"> </w:t>
      </w:r>
      <w:r>
        <w:rPr>
          <w:sz w:val="20"/>
          <w:lang w:val="nl-BE"/>
        </w:rPr>
        <w:t xml:space="preserve">Artikel 11, II, tweede lid </w:t>
      </w:r>
      <w:r w:rsidRPr="00862B0F">
        <w:rPr>
          <w:sz w:val="20"/>
        </w:rPr>
        <w:t xml:space="preserve">Wet van  15 april 1884 betreffende de landbouwlening, </w:t>
      </w:r>
      <w:r w:rsidRPr="00862B0F">
        <w:rPr>
          <w:i/>
          <w:sz w:val="20"/>
        </w:rPr>
        <w:t xml:space="preserve">BS </w:t>
      </w:r>
      <w:r w:rsidRPr="00862B0F">
        <w:rPr>
          <w:sz w:val="20"/>
        </w:rPr>
        <w:t xml:space="preserve"> 11 mei 1884; Artikel 3 Wet van 25 oktober 1919 betreffende het in pand geven van de handelszaak, het disconto en het in pand geven van de factuur, alsmede de aanvaarding en de keuring van de rechtstreeks voor het verbruik gedane leveringen, </w:t>
      </w:r>
      <w:r w:rsidRPr="00862B0F">
        <w:rPr>
          <w:i/>
          <w:sz w:val="20"/>
        </w:rPr>
        <w:t xml:space="preserve">BS </w:t>
      </w:r>
      <w:r w:rsidRPr="00862B0F">
        <w:rPr>
          <w:sz w:val="20"/>
        </w:rPr>
        <w:t>5 november 1919</w:t>
      </w:r>
      <w:r>
        <w:rPr>
          <w:sz w:val="20"/>
        </w:rPr>
        <w:t xml:space="preserve">; </w:t>
      </w:r>
      <w:r w:rsidRPr="00862B0F">
        <w:rPr>
          <w:smallCaps/>
          <w:sz w:val="20"/>
        </w:rPr>
        <w:t xml:space="preserve">H. De Page, </w:t>
      </w:r>
      <w:r w:rsidRPr="00862B0F">
        <w:rPr>
          <w:i/>
          <w:sz w:val="20"/>
        </w:rPr>
        <w:t xml:space="preserve">Traité elementaire de droit civil Belge – VI- Les biens, Les sûretés, </w:t>
      </w:r>
      <w:r>
        <w:rPr>
          <w:sz w:val="20"/>
        </w:rPr>
        <w:t xml:space="preserve">Bruylant, Brussel, 1953, 1145; </w:t>
      </w:r>
      <w:r>
        <w:rPr>
          <w:smallCaps/>
          <w:sz w:val="20"/>
          <w:lang w:val="nl-BE"/>
        </w:rPr>
        <w:t xml:space="preserve">M.T. Caupain, </w:t>
      </w:r>
      <w:r w:rsidRPr="00625691">
        <w:rPr>
          <w:smallCaps/>
          <w:sz w:val="20"/>
          <w:lang w:val="nl-BE"/>
        </w:rPr>
        <w:t>“</w:t>
      </w:r>
      <w:r w:rsidRPr="00625691">
        <w:rPr>
          <w:sz w:val="20"/>
          <w:lang w:val="nl-BE"/>
        </w:rPr>
        <w:t>La réalisation du gage sur fonds de commerce et la cession du fonds de commerce: le droit de suite et l’aspect fiscal</w:t>
      </w:r>
      <w:r w:rsidRPr="00625691">
        <w:rPr>
          <w:i/>
          <w:sz w:val="20"/>
          <w:lang w:val="nl-BE"/>
        </w:rPr>
        <w:t>”</w:t>
      </w:r>
      <w:r>
        <w:rPr>
          <w:sz w:val="20"/>
          <w:lang w:val="nl-BE"/>
        </w:rPr>
        <w:t xml:space="preserve"> in </w:t>
      </w:r>
      <w:r>
        <w:rPr>
          <w:i/>
          <w:sz w:val="20"/>
          <w:lang w:val="nl-BE"/>
        </w:rPr>
        <w:t xml:space="preserve">Liber Amicorum Marcel Briers, </w:t>
      </w:r>
      <w:r>
        <w:rPr>
          <w:sz w:val="20"/>
          <w:lang w:val="nl-BE"/>
        </w:rPr>
        <w:t>Gent, Mys &amp; Breesch 1983, 51</w:t>
      </w:r>
      <w:r>
        <w:rPr>
          <w:sz w:val="20"/>
        </w:rPr>
        <w:t xml:space="preserve"> </w:t>
      </w:r>
      <w:r>
        <w:rPr>
          <w:smallCaps/>
          <w:sz w:val="20"/>
        </w:rPr>
        <w:t xml:space="preserve">J. Cattaruza, </w:t>
      </w:r>
      <w:r>
        <w:rPr>
          <w:i/>
          <w:sz w:val="20"/>
        </w:rPr>
        <w:t xml:space="preserve">Le gage sur le fonds de commerce, </w:t>
      </w:r>
      <w:r>
        <w:rPr>
          <w:sz w:val="20"/>
        </w:rPr>
        <w:t xml:space="preserve">Diegem, Kluwer 1997, 34; </w:t>
      </w:r>
      <w:r>
        <w:rPr>
          <w:smallCaps/>
          <w:sz w:val="20"/>
        </w:rPr>
        <w:t xml:space="preserve">J. Bytterbier, K. Christiaens, I. Peeters, A.L. Verbeke, </w:t>
      </w:r>
      <w:r>
        <w:rPr>
          <w:i/>
          <w:sz w:val="20"/>
        </w:rPr>
        <w:t xml:space="preserve">Voorrechten, hypotheken en andere zekerheden, </w:t>
      </w:r>
      <w:r>
        <w:rPr>
          <w:sz w:val="20"/>
        </w:rPr>
        <w:t xml:space="preserve">Gent, Mys &amp; Breesch 2000, 179; </w:t>
      </w:r>
      <w:r>
        <w:rPr>
          <w:smallCaps/>
          <w:sz w:val="20"/>
        </w:rPr>
        <w:t xml:space="preserve">C. Biquet-Mathieu, </w:t>
      </w:r>
      <w:r>
        <w:rPr>
          <w:sz w:val="20"/>
        </w:rPr>
        <w:t xml:space="preserve">“Actualités en matière de gage” in </w:t>
      </w:r>
      <w:r>
        <w:rPr>
          <w:smallCaps/>
          <w:sz w:val="20"/>
        </w:rPr>
        <w:t>C. Biquet-Mathieu</w:t>
      </w:r>
      <w:r>
        <w:rPr>
          <w:sz w:val="20"/>
        </w:rPr>
        <w:t xml:space="preserve"> (ed.), </w:t>
      </w:r>
      <w:r>
        <w:rPr>
          <w:i/>
          <w:sz w:val="20"/>
        </w:rPr>
        <w:t xml:space="preserve">Le point sur le droit des sûretés, </w:t>
      </w:r>
      <w:r>
        <w:rPr>
          <w:sz w:val="20"/>
        </w:rPr>
        <w:t xml:space="preserve">Luik, Commission Université-Palais 2000, 349; </w:t>
      </w:r>
      <w:r>
        <w:rPr>
          <w:smallCaps/>
          <w:sz w:val="20"/>
        </w:rPr>
        <w:t xml:space="preserve">G. De Pestel, </w:t>
      </w:r>
      <w:r>
        <w:rPr>
          <w:sz w:val="20"/>
        </w:rPr>
        <w:t>“</w:t>
      </w:r>
      <w:r w:rsidRPr="00B47C73">
        <w:rPr>
          <w:sz w:val="20"/>
        </w:rPr>
        <w:t>Pand op de handelszaak (Wet van 25 o</w:t>
      </w:r>
      <w:r>
        <w:rPr>
          <w:sz w:val="20"/>
        </w:rPr>
        <w:t>ktober 1919) – Overzicht recht</w:t>
      </w:r>
      <w:r w:rsidRPr="00B47C73">
        <w:rPr>
          <w:sz w:val="20"/>
        </w:rPr>
        <w:t>spraak (1993-1998)</w:t>
      </w:r>
      <w:r>
        <w:rPr>
          <w:sz w:val="20"/>
        </w:rPr>
        <w:t xml:space="preserve">”, </w:t>
      </w:r>
      <w:r>
        <w:rPr>
          <w:i/>
          <w:sz w:val="20"/>
        </w:rPr>
        <w:t xml:space="preserve">TBH </w:t>
      </w:r>
      <w:r>
        <w:rPr>
          <w:sz w:val="20"/>
        </w:rPr>
        <w:t>2001, 389</w:t>
      </w:r>
      <w:r>
        <w:rPr>
          <w:sz w:val="20"/>
          <w:lang w:val="nl-BE"/>
        </w:rPr>
        <w:t xml:space="preserve">; </w:t>
      </w:r>
      <w:r>
        <w:rPr>
          <w:smallCaps/>
          <w:sz w:val="20"/>
          <w:lang w:val="nl-BE"/>
        </w:rPr>
        <w:t xml:space="preserve">E. Dirix, </w:t>
      </w:r>
      <w:r>
        <w:rPr>
          <w:sz w:val="20"/>
          <w:lang w:val="nl-BE"/>
        </w:rPr>
        <w:t xml:space="preserve">“Het passief van het faillissement”, in </w:t>
      </w:r>
      <w:r>
        <w:rPr>
          <w:i/>
          <w:sz w:val="20"/>
          <w:lang w:val="nl-BE"/>
        </w:rPr>
        <w:t xml:space="preserve">Faillissement en reorganisatie, </w:t>
      </w:r>
      <w:r w:rsidRPr="00AF04BB">
        <w:rPr>
          <w:sz w:val="20"/>
          <w:lang w:val="nl-BE"/>
        </w:rPr>
        <w:t>Mechelen</w:t>
      </w:r>
      <w:r>
        <w:rPr>
          <w:i/>
          <w:sz w:val="20"/>
          <w:lang w:val="nl-BE"/>
        </w:rPr>
        <w:t xml:space="preserve">, </w:t>
      </w:r>
      <w:r>
        <w:rPr>
          <w:sz w:val="20"/>
          <w:lang w:val="nl-BE"/>
        </w:rPr>
        <w:t>Kluwer, 43;</w:t>
      </w:r>
      <w:r>
        <w:rPr>
          <w:sz w:val="20"/>
        </w:rPr>
        <w:t xml:space="preserve"> </w:t>
      </w:r>
      <w:r>
        <w:rPr>
          <w:smallCaps/>
          <w:sz w:val="20"/>
        </w:rPr>
        <w:t>F. ‘T Kind</w:t>
      </w:r>
      <w:r w:rsidRPr="00EA4E18">
        <w:rPr>
          <w:sz w:val="20"/>
        </w:rPr>
        <w:t xml:space="preserve">, Sûretés et principes généraux du droit de poursuite des créanciers, Brussel, Larcier, 2004, </w:t>
      </w:r>
      <w:r>
        <w:rPr>
          <w:sz w:val="20"/>
        </w:rPr>
        <w:t xml:space="preserve">177; </w:t>
      </w:r>
      <w:r>
        <w:rPr>
          <w:smallCaps/>
          <w:sz w:val="20"/>
        </w:rPr>
        <w:t xml:space="preserve">B. Du Laing, </w:t>
      </w:r>
      <w:r>
        <w:rPr>
          <w:sz w:val="20"/>
        </w:rPr>
        <w:t xml:space="preserve">“Het pand op de handelszaak: een algemeen overzicht en enkele recente ontwikkelingen”, in </w:t>
      </w:r>
      <w:r>
        <w:rPr>
          <w:smallCaps/>
          <w:sz w:val="20"/>
        </w:rPr>
        <w:t xml:space="preserve">F. Bouckaert, J. Byttebier, B. Du Laing, H. Pelgroms, N. Torfs, W. Van De Putte, P. Verbanck, L. Weyts </w:t>
      </w:r>
      <w:r>
        <w:rPr>
          <w:sz w:val="20"/>
        </w:rPr>
        <w:t xml:space="preserve">(eds.), </w:t>
      </w:r>
      <w:r>
        <w:rPr>
          <w:i/>
          <w:sz w:val="20"/>
        </w:rPr>
        <w:t xml:space="preserve">Notariële aspecten van de handelszaak en de handelshuur, </w:t>
      </w:r>
      <w:r>
        <w:rPr>
          <w:sz w:val="20"/>
        </w:rPr>
        <w:t xml:space="preserve">Antwerpen, Maklu 2005, 125; </w:t>
      </w:r>
      <w:r w:rsidRPr="00862B0F">
        <w:rPr>
          <w:sz w:val="20"/>
        </w:rPr>
        <w:t xml:space="preserve">R. </w:t>
      </w:r>
      <w:r w:rsidRPr="00862B0F">
        <w:rPr>
          <w:smallCaps/>
          <w:sz w:val="20"/>
        </w:rPr>
        <w:t xml:space="preserve">De Corte en E. Dirix, </w:t>
      </w:r>
      <w:r w:rsidRPr="00862B0F">
        <w:rPr>
          <w:i/>
          <w:sz w:val="20"/>
        </w:rPr>
        <w:t xml:space="preserve">Beginselen van Belgisch Privaatrecht – XII – Zekerheidsrechten, </w:t>
      </w:r>
      <w:r>
        <w:rPr>
          <w:sz w:val="20"/>
        </w:rPr>
        <w:t xml:space="preserve">Kluwer, Antwerpen 2006, 357; </w:t>
      </w:r>
      <w:r w:rsidRPr="00862B0F">
        <w:rPr>
          <w:smallCaps/>
          <w:sz w:val="20"/>
        </w:rPr>
        <w:t>R. Jansen, “</w:t>
      </w:r>
      <w:r w:rsidRPr="00862B0F">
        <w:rPr>
          <w:sz w:val="20"/>
        </w:rPr>
        <w:t xml:space="preserve">Algemene systematiek van voorrechten”, </w:t>
      </w:r>
      <w:r w:rsidRPr="00862B0F">
        <w:rPr>
          <w:i/>
          <w:sz w:val="20"/>
        </w:rPr>
        <w:t xml:space="preserve">TPR </w:t>
      </w:r>
      <w:r>
        <w:rPr>
          <w:sz w:val="20"/>
        </w:rPr>
        <w:t>2008, 30.</w:t>
      </w:r>
    </w:p>
  </w:footnote>
  <w:footnote w:id="148">
    <w:p w14:paraId="75F005D1"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sidRPr="00862B0F">
        <w:rPr>
          <w:smallCaps/>
          <w:sz w:val="20"/>
        </w:rPr>
        <w:t xml:space="preserve">H. De Page, </w:t>
      </w:r>
      <w:r w:rsidRPr="00862B0F">
        <w:rPr>
          <w:i/>
          <w:sz w:val="20"/>
        </w:rPr>
        <w:t xml:space="preserve">Traité elementaire de droit civil Belge – VI- Les biens, Les sûretés, </w:t>
      </w:r>
      <w:r w:rsidRPr="00862B0F">
        <w:rPr>
          <w:sz w:val="20"/>
        </w:rPr>
        <w:t>Bruylant, Brussel, 1953, 1145.</w:t>
      </w:r>
    </w:p>
  </w:footnote>
  <w:footnote w:id="149">
    <w:p w14:paraId="141C06E2" w14:textId="77777777" w:rsidR="00C97F8C" w:rsidRPr="00443EB4" w:rsidRDefault="00C97F8C" w:rsidP="00B768BB">
      <w:pPr>
        <w:pStyle w:val="Voetnoottekst"/>
        <w:rPr>
          <w:lang w:val="nl-BE"/>
        </w:rPr>
      </w:pPr>
      <w:r>
        <w:rPr>
          <w:rStyle w:val="Voetnootmarkering"/>
        </w:rPr>
        <w:footnoteRef/>
      </w:r>
      <w:r>
        <w:t xml:space="preserve"> </w:t>
      </w:r>
      <w:r>
        <w:rPr>
          <w:smallCaps/>
          <w:sz w:val="20"/>
        </w:rPr>
        <w:t>F. ‘T Kind</w:t>
      </w:r>
      <w:r w:rsidRPr="00EA4E18">
        <w:rPr>
          <w:sz w:val="20"/>
        </w:rPr>
        <w:t xml:space="preserve">, </w:t>
      </w:r>
      <w:r w:rsidRPr="001B738E">
        <w:rPr>
          <w:i/>
          <w:sz w:val="20"/>
        </w:rPr>
        <w:t>Sûretés et principes généraux du droit de poursuite des créanciers</w:t>
      </w:r>
      <w:r w:rsidRPr="00EA4E18">
        <w:rPr>
          <w:sz w:val="20"/>
        </w:rPr>
        <w:t xml:space="preserve">, Brussel, Larcier, 2004, </w:t>
      </w:r>
      <w:r>
        <w:rPr>
          <w:sz w:val="20"/>
        </w:rPr>
        <w:t>110.</w:t>
      </w:r>
    </w:p>
  </w:footnote>
  <w:footnote w:id="150">
    <w:p w14:paraId="1240CB92" w14:textId="679F2DBE" w:rsidR="00C97F8C" w:rsidRPr="001922F1" w:rsidRDefault="00C97F8C" w:rsidP="00B768BB">
      <w:pPr>
        <w:pStyle w:val="Voetnoottekst"/>
        <w:rPr>
          <w:sz w:val="20"/>
          <w:lang w:val="nl-BE"/>
        </w:rPr>
      </w:pPr>
      <w:r>
        <w:rPr>
          <w:rStyle w:val="Voetnootmarkering"/>
        </w:rPr>
        <w:footnoteRef/>
      </w:r>
      <w:r>
        <w:t xml:space="preserve"> </w:t>
      </w:r>
      <w:r>
        <w:rPr>
          <w:sz w:val="20"/>
          <w:lang w:val="nl-BE"/>
        </w:rPr>
        <w:t xml:space="preserve">Artikel L. 527-1 derde lid Code de Commerce; </w:t>
      </w:r>
      <w:r>
        <w:rPr>
          <w:smallCaps/>
          <w:sz w:val="20"/>
          <w:lang w:val="nl-BE"/>
        </w:rPr>
        <w:t xml:space="preserve">M. Cabrillac, C. Mouly, S. Cabrillac, P. Pétel, </w:t>
      </w:r>
      <w:r>
        <w:rPr>
          <w:i/>
          <w:sz w:val="20"/>
          <w:lang w:val="nl-BE"/>
        </w:rPr>
        <w:t xml:space="preserve">Droit des sûretés, </w:t>
      </w:r>
      <w:r>
        <w:rPr>
          <w:sz w:val="20"/>
          <w:lang w:val="nl-BE"/>
        </w:rPr>
        <w:t xml:space="preserve">Parijs, Litec 2010, 577; </w:t>
      </w:r>
      <w:r w:rsidRPr="0032583A">
        <w:rPr>
          <w:smallCaps/>
          <w:sz w:val="20"/>
        </w:rPr>
        <w:t>Y. Picod</w:t>
      </w:r>
      <w:r>
        <w:rPr>
          <w:sz w:val="20"/>
        </w:rPr>
        <w:t xml:space="preserve">, </w:t>
      </w:r>
      <w:r w:rsidRPr="001B738E">
        <w:rPr>
          <w:i/>
          <w:sz w:val="20"/>
        </w:rPr>
        <w:t>Droit des sûretés</w:t>
      </w:r>
      <w:r w:rsidRPr="0032583A">
        <w:rPr>
          <w:sz w:val="20"/>
        </w:rPr>
        <w:t xml:space="preserve">, Parijs, Presses Universitaires de France, </w:t>
      </w:r>
      <w:r>
        <w:rPr>
          <w:sz w:val="20"/>
        </w:rPr>
        <w:t>2010</w:t>
      </w:r>
      <w:r w:rsidRPr="0032583A">
        <w:rPr>
          <w:sz w:val="20"/>
        </w:rPr>
        <w:t>, 316.</w:t>
      </w:r>
    </w:p>
  </w:footnote>
  <w:footnote w:id="151">
    <w:p w14:paraId="35F81EB9" w14:textId="77777777" w:rsidR="00C97F8C" w:rsidRPr="006460FD" w:rsidRDefault="00C97F8C" w:rsidP="00B768BB">
      <w:pPr>
        <w:pStyle w:val="Voetnoottekst"/>
        <w:rPr>
          <w:sz w:val="20"/>
          <w:lang w:val="en-GB"/>
        </w:rPr>
      </w:pPr>
      <w:r>
        <w:rPr>
          <w:rStyle w:val="Voetnootmarkering"/>
        </w:rPr>
        <w:footnoteRef/>
      </w:r>
      <w:r w:rsidRPr="006460FD">
        <w:rPr>
          <w:lang w:val="en-GB"/>
        </w:rPr>
        <w:t xml:space="preserve"> </w:t>
      </w:r>
      <w:proofErr w:type="spellStart"/>
      <w:r w:rsidRPr="006460FD">
        <w:rPr>
          <w:sz w:val="20"/>
          <w:lang w:val="en-GB"/>
        </w:rPr>
        <w:t>Artikel</w:t>
      </w:r>
      <w:proofErr w:type="spellEnd"/>
      <w:r w:rsidRPr="006460FD">
        <w:rPr>
          <w:sz w:val="20"/>
          <w:lang w:val="en-GB"/>
        </w:rPr>
        <w:t xml:space="preserve"> l.157-5 lid 2 Code de Commerce; </w:t>
      </w:r>
      <w:r w:rsidRPr="006460FD">
        <w:rPr>
          <w:smallCaps/>
          <w:sz w:val="20"/>
          <w:lang w:val="en-GB"/>
        </w:rPr>
        <w:t>M. Bourassin</w:t>
      </w:r>
      <w:r w:rsidRPr="006460FD">
        <w:rPr>
          <w:sz w:val="20"/>
          <w:lang w:val="en-GB"/>
        </w:rPr>
        <w:t xml:space="preserve">, “La force d’attraction du gage des stocks”, </w:t>
      </w:r>
      <w:proofErr w:type="spellStart"/>
      <w:r w:rsidRPr="006460FD">
        <w:rPr>
          <w:i/>
          <w:sz w:val="20"/>
          <w:lang w:val="en-GB"/>
        </w:rPr>
        <w:t>Recueil</w:t>
      </w:r>
      <w:proofErr w:type="spellEnd"/>
      <w:r w:rsidRPr="006460FD">
        <w:rPr>
          <w:i/>
          <w:sz w:val="20"/>
          <w:lang w:val="en-GB"/>
        </w:rPr>
        <w:t xml:space="preserve"> </w:t>
      </w:r>
      <w:proofErr w:type="gramStart"/>
      <w:r w:rsidRPr="006460FD">
        <w:rPr>
          <w:i/>
          <w:sz w:val="20"/>
          <w:lang w:val="en-GB"/>
        </w:rPr>
        <w:t>Dalloz</w:t>
      </w:r>
      <w:r w:rsidRPr="006460FD">
        <w:rPr>
          <w:sz w:val="20"/>
          <w:lang w:val="en-GB"/>
        </w:rPr>
        <w:t xml:space="preserve">  2013</w:t>
      </w:r>
      <w:proofErr w:type="gramEnd"/>
      <w:r w:rsidRPr="006460FD">
        <w:rPr>
          <w:sz w:val="20"/>
          <w:lang w:val="en-GB"/>
        </w:rPr>
        <w:t xml:space="preserve">, 1363 </w:t>
      </w:r>
      <w:r w:rsidRPr="006460FD">
        <w:rPr>
          <w:smallCaps/>
          <w:sz w:val="20"/>
          <w:lang w:val="en-GB"/>
        </w:rPr>
        <w:t xml:space="preserve">C. Juillet, </w:t>
      </w:r>
      <w:r w:rsidRPr="006460FD">
        <w:rPr>
          <w:sz w:val="20"/>
          <w:lang w:val="en-GB"/>
        </w:rPr>
        <w:t xml:space="preserve">“La réforme du gage des stocks”, </w:t>
      </w:r>
      <w:proofErr w:type="spellStart"/>
      <w:r w:rsidRPr="006460FD">
        <w:rPr>
          <w:i/>
          <w:sz w:val="20"/>
          <w:lang w:val="en-GB"/>
        </w:rPr>
        <w:t>Recueil</w:t>
      </w:r>
      <w:proofErr w:type="spellEnd"/>
      <w:r w:rsidRPr="006460FD">
        <w:rPr>
          <w:i/>
          <w:sz w:val="20"/>
          <w:lang w:val="en-GB"/>
        </w:rPr>
        <w:t xml:space="preserve"> Dalloz </w:t>
      </w:r>
      <w:r w:rsidRPr="006460FD">
        <w:rPr>
          <w:sz w:val="20"/>
          <w:lang w:val="en-GB"/>
        </w:rPr>
        <w:t>2016, 562.</w:t>
      </w:r>
    </w:p>
  </w:footnote>
  <w:footnote w:id="152">
    <w:p w14:paraId="0ABF6412" w14:textId="77777777" w:rsidR="00C97F8C" w:rsidRPr="006460FD" w:rsidRDefault="00C97F8C" w:rsidP="00B768BB">
      <w:pPr>
        <w:pStyle w:val="Voetnoottekst"/>
        <w:rPr>
          <w:lang w:val="en-GB"/>
        </w:rPr>
      </w:pPr>
      <w:r>
        <w:rPr>
          <w:rStyle w:val="Voetnootmarkering"/>
        </w:rPr>
        <w:footnoteRef/>
      </w:r>
      <w:r w:rsidRPr="006460FD">
        <w:rPr>
          <w:lang w:val="en-GB"/>
        </w:rPr>
        <w:t xml:space="preserve"> </w:t>
      </w:r>
      <w:r w:rsidRPr="006460FD">
        <w:rPr>
          <w:smallCaps/>
          <w:sz w:val="20"/>
          <w:lang w:val="en-GB"/>
        </w:rPr>
        <w:t>M. Bourassin</w:t>
      </w:r>
      <w:r w:rsidRPr="006460FD">
        <w:rPr>
          <w:sz w:val="20"/>
          <w:lang w:val="en-GB"/>
        </w:rPr>
        <w:t xml:space="preserve">, “La force d’attraction du gage des stocks”, </w:t>
      </w:r>
      <w:proofErr w:type="spellStart"/>
      <w:r w:rsidRPr="006460FD">
        <w:rPr>
          <w:i/>
          <w:sz w:val="20"/>
          <w:lang w:val="en-GB"/>
        </w:rPr>
        <w:t>Recueil</w:t>
      </w:r>
      <w:proofErr w:type="spellEnd"/>
      <w:r w:rsidRPr="006460FD">
        <w:rPr>
          <w:i/>
          <w:sz w:val="20"/>
          <w:lang w:val="en-GB"/>
        </w:rPr>
        <w:t xml:space="preserve"> </w:t>
      </w:r>
      <w:proofErr w:type="gramStart"/>
      <w:r w:rsidRPr="006460FD">
        <w:rPr>
          <w:i/>
          <w:sz w:val="20"/>
          <w:lang w:val="en-GB"/>
        </w:rPr>
        <w:t>Dalloz</w:t>
      </w:r>
      <w:r w:rsidRPr="006460FD">
        <w:rPr>
          <w:sz w:val="20"/>
          <w:lang w:val="en-GB"/>
        </w:rPr>
        <w:t xml:space="preserve">  2013</w:t>
      </w:r>
      <w:proofErr w:type="gramEnd"/>
      <w:r w:rsidRPr="006460FD">
        <w:rPr>
          <w:sz w:val="20"/>
          <w:lang w:val="en-GB"/>
        </w:rPr>
        <w:t>, 1363.</w:t>
      </w:r>
    </w:p>
  </w:footnote>
  <w:footnote w:id="153">
    <w:p w14:paraId="2DCAB9EF" w14:textId="17A2A143" w:rsidR="00C97F8C" w:rsidRPr="006460FD" w:rsidRDefault="00C97F8C" w:rsidP="00B768BB">
      <w:pPr>
        <w:pStyle w:val="Voetnoottekst"/>
        <w:rPr>
          <w:lang w:val="en-GB"/>
        </w:rPr>
      </w:pPr>
      <w:r>
        <w:rPr>
          <w:rStyle w:val="Voetnootmarkering"/>
        </w:rPr>
        <w:footnoteRef/>
      </w:r>
      <w:r w:rsidRPr="006460FD">
        <w:rPr>
          <w:lang w:val="en-GB"/>
        </w:rPr>
        <w:t xml:space="preserve"> </w:t>
      </w:r>
      <w:r w:rsidRPr="006460FD">
        <w:rPr>
          <w:smallCaps/>
          <w:sz w:val="20"/>
          <w:lang w:val="en-GB"/>
        </w:rPr>
        <w:t>P. Esmein, “</w:t>
      </w:r>
      <w:r w:rsidRPr="006460FD">
        <w:rPr>
          <w:sz w:val="20"/>
          <w:lang w:val="en-GB"/>
        </w:rPr>
        <w:t xml:space="preserve">Les Biens” in </w:t>
      </w:r>
      <w:r w:rsidRPr="006460FD">
        <w:rPr>
          <w:i/>
          <w:sz w:val="20"/>
          <w:lang w:val="en-GB"/>
        </w:rPr>
        <w:t xml:space="preserve">Aubry en Rau, </w:t>
      </w:r>
      <w:r w:rsidRPr="006460FD">
        <w:rPr>
          <w:sz w:val="20"/>
          <w:lang w:val="en-GB"/>
        </w:rPr>
        <w:t xml:space="preserve">Parijs Librairies techniques 1961, 151; </w:t>
      </w:r>
      <w:r w:rsidRPr="006460FD">
        <w:rPr>
          <w:smallCaps/>
          <w:sz w:val="20"/>
          <w:lang w:val="en-GB"/>
        </w:rPr>
        <w:t>J. Déruppré, “</w:t>
      </w:r>
      <w:r w:rsidRPr="006460FD">
        <w:rPr>
          <w:sz w:val="20"/>
          <w:lang w:val="en-GB"/>
        </w:rPr>
        <w:t xml:space="preserve">Nantissement de </w:t>
      </w:r>
      <w:proofErr w:type="spellStart"/>
      <w:r w:rsidRPr="006460FD">
        <w:rPr>
          <w:sz w:val="20"/>
          <w:lang w:val="en-GB"/>
        </w:rPr>
        <w:t>fonds</w:t>
      </w:r>
      <w:proofErr w:type="spellEnd"/>
      <w:r w:rsidRPr="006460FD">
        <w:rPr>
          <w:sz w:val="20"/>
          <w:lang w:val="en-GB"/>
        </w:rPr>
        <w:t xml:space="preserve"> de commerce”</w:t>
      </w:r>
      <w:r w:rsidRPr="006460FD">
        <w:rPr>
          <w:i/>
          <w:sz w:val="20"/>
          <w:lang w:val="en-GB"/>
        </w:rPr>
        <w:t xml:space="preserve">, Repertoire de droit commercial </w:t>
      </w:r>
      <w:r w:rsidRPr="006460FD">
        <w:rPr>
          <w:sz w:val="20"/>
          <w:lang w:val="en-GB"/>
        </w:rPr>
        <w:t>2000, 9.</w:t>
      </w:r>
    </w:p>
  </w:footnote>
  <w:footnote w:id="154">
    <w:p w14:paraId="554BDD90" w14:textId="77777777" w:rsidR="00C97F8C" w:rsidRPr="00BB22F6" w:rsidRDefault="00C97F8C" w:rsidP="00B768BB">
      <w:pPr>
        <w:pStyle w:val="Voetnoottekst"/>
        <w:rPr>
          <w:sz w:val="20"/>
          <w:lang w:val="nl-BE"/>
        </w:rPr>
      </w:pPr>
      <w:r>
        <w:rPr>
          <w:rStyle w:val="Voetnootmarkering"/>
        </w:rPr>
        <w:footnoteRef/>
      </w:r>
      <w:r>
        <w:t xml:space="preserve"> </w:t>
      </w:r>
      <w:r>
        <w:rPr>
          <w:sz w:val="20"/>
          <w:u w:val="single"/>
          <w:lang w:val="nl-BE"/>
        </w:rPr>
        <w:t>Voorbeeld:</w:t>
      </w:r>
      <w:r>
        <w:rPr>
          <w:sz w:val="20"/>
          <w:lang w:val="nl-BE"/>
        </w:rPr>
        <w:t xml:space="preserve"> Het verkopen van de handelsvoorraden aan normale marktvoorwaarden zal in normale omstandigheden de handelszaak niet verarmen. </w:t>
      </w:r>
    </w:p>
  </w:footnote>
  <w:footnote w:id="155">
    <w:p w14:paraId="5A7FD20D" w14:textId="7CD46FE2" w:rsidR="00C97F8C" w:rsidRPr="00862B0F" w:rsidRDefault="00C97F8C" w:rsidP="00B768BB">
      <w:pPr>
        <w:pStyle w:val="Voetnoottekst"/>
        <w:rPr>
          <w:sz w:val="20"/>
        </w:rPr>
      </w:pPr>
      <w:r w:rsidRPr="00862B0F">
        <w:rPr>
          <w:rStyle w:val="Voetnootmarkering"/>
          <w:sz w:val="20"/>
        </w:rPr>
        <w:footnoteRef/>
      </w:r>
      <w:r w:rsidRPr="00862B0F">
        <w:rPr>
          <w:sz w:val="20"/>
        </w:rPr>
        <w:t xml:space="preserve"> Gent 1 april 1998, </w:t>
      </w:r>
      <w:r w:rsidRPr="00862B0F">
        <w:rPr>
          <w:i/>
          <w:sz w:val="20"/>
        </w:rPr>
        <w:t xml:space="preserve">RW </w:t>
      </w:r>
      <w:r w:rsidRPr="00862B0F">
        <w:rPr>
          <w:sz w:val="20"/>
        </w:rPr>
        <w:t xml:space="preserve">2002-03, 867; R. </w:t>
      </w:r>
      <w:r w:rsidRPr="00862B0F">
        <w:rPr>
          <w:smallCaps/>
          <w:sz w:val="20"/>
        </w:rPr>
        <w:t xml:space="preserve">De Corte en E. Dirix, </w:t>
      </w:r>
      <w:r w:rsidRPr="00862B0F">
        <w:rPr>
          <w:i/>
          <w:sz w:val="20"/>
        </w:rPr>
        <w:t xml:space="preserve">Beginselen van Belgisch Privaatrecht – XII – Zekerheidsrechten, </w:t>
      </w:r>
      <w:r>
        <w:rPr>
          <w:sz w:val="20"/>
        </w:rPr>
        <w:t xml:space="preserve">Kluwer, Antwerpen 2006, 357; </w:t>
      </w:r>
      <w:r w:rsidRPr="006460FD">
        <w:rPr>
          <w:smallCaps/>
          <w:sz w:val="20"/>
          <w:lang w:val="nl-BE"/>
        </w:rPr>
        <w:t>M. E. Storme</w:t>
      </w:r>
      <w:r w:rsidRPr="006460FD">
        <w:rPr>
          <w:sz w:val="20"/>
          <w:lang w:val="nl-BE"/>
        </w:rPr>
        <w:t xml:space="preserve">, “Paritas creditorum, voorrang en roerende zekerheden”, </w:t>
      </w:r>
      <w:r w:rsidRPr="006460FD">
        <w:rPr>
          <w:i/>
          <w:iCs/>
          <w:sz w:val="20"/>
          <w:lang w:val="nl-BE"/>
        </w:rPr>
        <w:t xml:space="preserve">T.P.R. </w:t>
      </w:r>
      <w:r w:rsidRPr="006460FD">
        <w:rPr>
          <w:sz w:val="20"/>
          <w:lang w:val="nl-BE"/>
        </w:rPr>
        <w:t>2006, 1011;</w:t>
      </w:r>
      <w:r>
        <w:rPr>
          <w:sz w:val="20"/>
        </w:rPr>
        <w:t xml:space="preserve"> </w:t>
      </w:r>
      <w:r>
        <w:rPr>
          <w:smallCaps/>
          <w:sz w:val="20"/>
        </w:rPr>
        <w:t xml:space="preserve">A. Cuypers, </w:t>
      </w:r>
      <w:r>
        <w:rPr>
          <w:sz w:val="20"/>
        </w:rPr>
        <w:t xml:space="preserve">“Wet 25 oktober 1919”, in </w:t>
      </w:r>
      <w:r>
        <w:rPr>
          <w:i/>
          <w:sz w:val="20"/>
        </w:rPr>
        <w:t xml:space="preserve">Voorrechten en hypotheken </w:t>
      </w:r>
      <w:r>
        <w:rPr>
          <w:sz w:val="20"/>
        </w:rPr>
        <w:t>2007, 82;</w:t>
      </w:r>
      <w:r>
        <w:rPr>
          <w:smallCaps/>
          <w:sz w:val="20"/>
        </w:rPr>
        <w:t xml:space="preserve"> </w:t>
      </w:r>
      <w:r w:rsidRPr="00862B0F">
        <w:rPr>
          <w:smallCaps/>
          <w:sz w:val="20"/>
        </w:rPr>
        <w:t>R. Jansen, “</w:t>
      </w:r>
      <w:r w:rsidRPr="00862B0F">
        <w:rPr>
          <w:sz w:val="20"/>
        </w:rPr>
        <w:t xml:space="preserve">Algemene systematiek van voorrechten”, </w:t>
      </w:r>
      <w:r w:rsidRPr="00862B0F">
        <w:rPr>
          <w:i/>
          <w:sz w:val="20"/>
        </w:rPr>
        <w:t xml:space="preserve">TPR </w:t>
      </w:r>
      <w:r>
        <w:rPr>
          <w:sz w:val="20"/>
        </w:rPr>
        <w:t>2008, 32.</w:t>
      </w:r>
    </w:p>
  </w:footnote>
  <w:footnote w:id="156">
    <w:p w14:paraId="74AA1669" w14:textId="77777777" w:rsidR="00C97F8C" w:rsidRPr="00A724EA" w:rsidRDefault="00C97F8C" w:rsidP="00B768BB">
      <w:pPr>
        <w:pStyle w:val="Voetnoottekst"/>
        <w:rPr>
          <w:lang w:val="nl-BE"/>
        </w:rPr>
      </w:pPr>
      <w:r>
        <w:rPr>
          <w:rStyle w:val="Voetnootmarkering"/>
        </w:rPr>
        <w:footnoteRef/>
      </w:r>
      <w:r>
        <w:t xml:space="preserve"> </w:t>
      </w:r>
      <w:r>
        <w:rPr>
          <w:sz w:val="20"/>
        </w:rPr>
        <w:t xml:space="preserve">Gent 1 april 1998, </w:t>
      </w:r>
      <w:r w:rsidRPr="000931D5">
        <w:rPr>
          <w:i/>
          <w:sz w:val="20"/>
        </w:rPr>
        <w:t>RW</w:t>
      </w:r>
      <w:r w:rsidRPr="0033673D">
        <w:rPr>
          <w:sz w:val="20"/>
        </w:rPr>
        <w:t xml:space="preserve"> 2002-03, 867.</w:t>
      </w:r>
    </w:p>
  </w:footnote>
  <w:footnote w:id="157">
    <w:p w14:paraId="3C2AA43E" w14:textId="77777777" w:rsidR="00C97F8C" w:rsidRPr="00A724EA" w:rsidRDefault="00C97F8C" w:rsidP="00B768BB">
      <w:pPr>
        <w:pStyle w:val="Voetnoottekst"/>
        <w:rPr>
          <w:lang w:val="nl-BE"/>
        </w:rPr>
      </w:pPr>
      <w:r>
        <w:rPr>
          <w:rStyle w:val="Voetnootmarkering"/>
        </w:rPr>
        <w:footnoteRef/>
      </w:r>
      <w:r>
        <w:t xml:space="preserve"> </w:t>
      </w:r>
      <w:r w:rsidRPr="00862B0F">
        <w:rPr>
          <w:smallCaps/>
          <w:sz w:val="20"/>
        </w:rPr>
        <w:t>R. Jansen, “</w:t>
      </w:r>
      <w:r w:rsidRPr="00862B0F">
        <w:rPr>
          <w:sz w:val="20"/>
        </w:rPr>
        <w:t xml:space="preserve">Algemene systematiek van voorrechten”, </w:t>
      </w:r>
      <w:r w:rsidRPr="00862B0F">
        <w:rPr>
          <w:i/>
          <w:sz w:val="20"/>
        </w:rPr>
        <w:t xml:space="preserve">TPR </w:t>
      </w:r>
      <w:r>
        <w:rPr>
          <w:sz w:val="20"/>
        </w:rPr>
        <w:t>2008, 32.</w:t>
      </w:r>
    </w:p>
  </w:footnote>
  <w:footnote w:id="158">
    <w:p w14:paraId="4AEBC028" w14:textId="77777777" w:rsidR="00C97F8C" w:rsidRPr="00BF57C8" w:rsidRDefault="00C97F8C" w:rsidP="00B768BB">
      <w:pPr>
        <w:pStyle w:val="Voetnoottekst"/>
        <w:rPr>
          <w:lang w:val="nl-BE"/>
        </w:rPr>
      </w:pPr>
      <w:r>
        <w:rPr>
          <w:rStyle w:val="Voetnootmarkering"/>
        </w:rPr>
        <w:footnoteRef/>
      </w:r>
      <w:r>
        <w:t xml:space="preserve"> </w:t>
      </w:r>
      <w:r>
        <w:rPr>
          <w:smallCaps/>
          <w:sz w:val="20"/>
        </w:rPr>
        <w:t>A. Cuypers</w:t>
      </w:r>
      <w:r w:rsidRPr="008C2728">
        <w:rPr>
          <w:sz w:val="20"/>
        </w:rPr>
        <w:t>, “Pand op hand</w:t>
      </w:r>
      <w:r>
        <w:rPr>
          <w:sz w:val="20"/>
        </w:rPr>
        <w:t xml:space="preserve">elszaak”, </w:t>
      </w:r>
      <w:r w:rsidRPr="008C2728">
        <w:rPr>
          <w:i/>
          <w:sz w:val="20"/>
        </w:rPr>
        <w:t>T. Not</w:t>
      </w:r>
      <w:r>
        <w:rPr>
          <w:sz w:val="20"/>
        </w:rPr>
        <w:t>. 1989,305.</w:t>
      </w:r>
    </w:p>
  </w:footnote>
  <w:footnote w:id="159">
    <w:p w14:paraId="51378C02" w14:textId="62DFA0CE" w:rsidR="00C97F8C" w:rsidRPr="009E7C50" w:rsidRDefault="00C97F8C" w:rsidP="00B768BB">
      <w:pPr>
        <w:pStyle w:val="Voetnoottekst"/>
        <w:rPr>
          <w:lang w:val="nl-BE"/>
        </w:rPr>
      </w:pPr>
      <w:r>
        <w:rPr>
          <w:rStyle w:val="Voetnootmarkering"/>
        </w:rPr>
        <w:footnoteRef/>
      </w:r>
      <w:r>
        <w:t xml:space="preserve"> </w:t>
      </w:r>
      <w:r>
        <w:rPr>
          <w:sz w:val="20"/>
        </w:rPr>
        <w:t>Antwerpen 24 maart 1986,</w:t>
      </w:r>
      <w:r>
        <w:rPr>
          <w:i/>
          <w:sz w:val="20"/>
        </w:rPr>
        <w:t xml:space="preserve"> RW </w:t>
      </w:r>
      <w:r>
        <w:rPr>
          <w:sz w:val="20"/>
        </w:rPr>
        <w:t xml:space="preserve">1986-87, 798; Luik 17 december 1986, </w:t>
      </w:r>
      <w:r>
        <w:rPr>
          <w:i/>
          <w:sz w:val="20"/>
        </w:rPr>
        <w:t xml:space="preserve">JLMB </w:t>
      </w:r>
      <w:r>
        <w:rPr>
          <w:sz w:val="20"/>
        </w:rPr>
        <w:t xml:space="preserve">1987, 1515; Antwerpen 19 oktober 1988, </w:t>
      </w:r>
      <w:r w:rsidRPr="00D00A62">
        <w:rPr>
          <w:i/>
          <w:sz w:val="20"/>
        </w:rPr>
        <w:t>RGDC</w:t>
      </w:r>
      <w:r>
        <w:rPr>
          <w:sz w:val="20"/>
        </w:rPr>
        <w:t xml:space="preserve"> </w:t>
      </w:r>
      <w:r>
        <w:rPr>
          <w:smallCaps/>
          <w:sz w:val="20"/>
        </w:rPr>
        <w:t xml:space="preserve">1989, 486; </w:t>
      </w:r>
      <w:r>
        <w:rPr>
          <w:sz w:val="20"/>
        </w:rPr>
        <w:t xml:space="preserve">Bergen 8 oktober 1990, </w:t>
      </w:r>
      <w:r>
        <w:rPr>
          <w:i/>
          <w:sz w:val="20"/>
        </w:rPr>
        <w:t xml:space="preserve">JLMB </w:t>
      </w:r>
      <w:r>
        <w:rPr>
          <w:sz w:val="20"/>
        </w:rPr>
        <w:t xml:space="preserve">1991, 506; Brussel 7 mei 1991, </w:t>
      </w:r>
      <w:r>
        <w:rPr>
          <w:i/>
          <w:sz w:val="20"/>
        </w:rPr>
        <w:t xml:space="preserve">JLMB </w:t>
      </w:r>
      <w:r>
        <w:rPr>
          <w:sz w:val="20"/>
        </w:rPr>
        <w:t>1992, 294;</w:t>
      </w:r>
      <w:r>
        <w:rPr>
          <w:smallCaps/>
          <w:sz w:val="20"/>
        </w:rPr>
        <w:t xml:space="preserve"> </w:t>
      </w:r>
      <w:r>
        <w:rPr>
          <w:sz w:val="20"/>
        </w:rPr>
        <w:t xml:space="preserve">Antwerpen 3 mei 1999, </w:t>
      </w:r>
      <w:r>
        <w:rPr>
          <w:i/>
          <w:sz w:val="20"/>
        </w:rPr>
        <w:t xml:space="preserve">RW </w:t>
      </w:r>
      <w:r>
        <w:rPr>
          <w:sz w:val="20"/>
        </w:rPr>
        <w:t xml:space="preserve">1999-00, 506; Kh. Kortrijk 15 november 1988, </w:t>
      </w:r>
      <w:r>
        <w:rPr>
          <w:i/>
          <w:sz w:val="20"/>
        </w:rPr>
        <w:t xml:space="preserve">RDC </w:t>
      </w:r>
      <w:r>
        <w:rPr>
          <w:sz w:val="20"/>
        </w:rPr>
        <w:t xml:space="preserve">1989, 801; </w:t>
      </w:r>
      <w:r>
        <w:rPr>
          <w:smallCaps/>
          <w:sz w:val="20"/>
        </w:rPr>
        <w:t>A. Cuypers</w:t>
      </w:r>
      <w:r>
        <w:rPr>
          <w:sz w:val="20"/>
        </w:rPr>
        <w:t xml:space="preserve">, “W. 25oktober 1919”, </w:t>
      </w:r>
      <w:proofErr w:type="gramStart"/>
      <w:r>
        <w:rPr>
          <w:i/>
          <w:sz w:val="20"/>
        </w:rPr>
        <w:t>Voorrechten  en</w:t>
      </w:r>
      <w:proofErr w:type="gramEnd"/>
      <w:r>
        <w:rPr>
          <w:i/>
          <w:sz w:val="20"/>
        </w:rPr>
        <w:t xml:space="preserve"> hypotheken</w:t>
      </w:r>
      <w:r w:rsidRPr="00487674">
        <w:rPr>
          <w:sz w:val="20"/>
        </w:rPr>
        <w:t>, 83</w:t>
      </w:r>
      <w:r>
        <w:rPr>
          <w:sz w:val="20"/>
        </w:rPr>
        <w:t xml:space="preserve">; </w:t>
      </w:r>
      <w:r>
        <w:rPr>
          <w:sz w:val="20"/>
          <w:lang w:val="nl-BE"/>
        </w:rPr>
        <w:t xml:space="preserve">; </w:t>
      </w:r>
      <w:r>
        <w:rPr>
          <w:smallCaps/>
          <w:sz w:val="20"/>
          <w:lang w:val="nl-BE"/>
        </w:rPr>
        <w:t xml:space="preserve">E. Dirix, </w:t>
      </w:r>
      <w:r>
        <w:rPr>
          <w:sz w:val="20"/>
          <w:lang w:val="nl-BE"/>
        </w:rPr>
        <w:t xml:space="preserve">“Het passief van het faillissement”, in </w:t>
      </w:r>
      <w:r>
        <w:rPr>
          <w:i/>
          <w:sz w:val="20"/>
          <w:lang w:val="nl-BE"/>
        </w:rPr>
        <w:t xml:space="preserve">Faillissement en reorganisatie, </w:t>
      </w:r>
      <w:r w:rsidRPr="00AF04BB">
        <w:rPr>
          <w:sz w:val="20"/>
          <w:lang w:val="nl-BE"/>
        </w:rPr>
        <w:t>Mechelen</w:t>
      </w:r>
      <w:r>
        <w:rPr>
          <w:i/>
          <w:sz w:val="20"/>
          <w:lang w:val="nl-BE"/>
        </w:rPr>
        <w:t xml:space="preserve">, </w:t>
      </w:r>
      <w:r>
        <w:rPr>
          <w:sz w:val="20"/>
          <w:lang w:val="nl-BE"/>
        </w:rPr>
        <w:t>Kluwer, 43;</w:t>
      </w:r>
      <w:r>
        <w:rPr>
          <w:sz w:val="20"/>
        </w:rPr>
        <w:t xml:space="preserve"> </w:t>
      </w:r>
      <w:r>
        <w:rPr>
          <w:smallCaps/>
          <w:sz w:val="20"/>
        </w:rPr>
        <w:t xml:space="preserve">J. Cattaruza, </w:t>
      </w:r>
      <w:r>
        <w:rPr>
          <w:i/>
          <w:sz w:val="20"/>
        </w:rPr>
        <w:t xml:space="preserve">Le gage sur le fonds de commerce, </w:t>
      </w:r>
      <w:r>
        <w:rPr>
          <w:sz w:val="20"/>
        </w:rPr>
        <w:t xml:space="preserve">Diegem, Kluwer 1997, 34; </w:t>
      </w:r>
      <w:r w:rsidRPr="00862B0F">
        <w:rPr>
          <w:sz w:val="20"/>
        </w:rPr>
        <w:t xml:space="preserve">R. </w:t>
      </w:r>
      <w:r w:rsidRPr="00862B0F">
        <w:rPr>
          <w:smallCaps/>
          <w:sz w:val="20"/>
        </w:rPr>
        <w:t xml:space="preserve">De Corte en E. Dirix, </w:t>
      </w:r>
      <w:r w:rsidRPr="00862B0F">
        <w:rPr>
          <w:i/>
          <w:sz w:val="20"/>
        </w:rPr>
        <w:t xml:space="preserve">Beginselen van Belgisch Privaatrecht – XII – Zekerheidsrechten, </w:t>
      </w:r>
      <w:r>
        <w:rPr>
          <w:sz w:val="20"/>
        </w:rPr>
        <w:t xml:space="preserve">Kluwer, Antwerpen 2006, 351; </w:t>
      </w:r>
      <w:r>
        <w:rPr>
          <w:smallCaps/>
          <w:sz w:val="20"/>
        </w:rPr>
        <w:t>A. Cuypers</w:t>
      </w:r>
      <w:r>
        <w:rPr>
          <w:sz w:val="20"/>
        </w:rPr>
        <w:t xml:space="preserve">, “W. 25oktober 1919”, </w:t>
      </w:r>
      <w:r>
        <w:rPr>
          <w:i/>
          <w:sz w:val="20"/>
        </w:rPr>
        <w:t xml:space="preserve">Voorrechten  en hypotheken </w:t>
      </w:r>
      <w:r>
        <w:rPr>
          <w:sz w:val="20"/>
        </w:rPr>
        <w:t>2007</w:t>
      </w:r>
      <w:r w:rsidRPr="00487674">
        <w:rPr>
          <w:sz w:val="20"/>
        </w:rPr>
        <w:t>, 83</w:t>
      </w:r>
      <w:r>
        <w:rPr>
          <w:sz w:val="20"/>
        </w:rPr>
        <w:t>.</w:t>
      </w:r>
    </w:p>
  </w:footnote>
  <w:footnote w:id="160">
    <w:p w14:paraId="5B02FB85" w14:textId="77777777" w:rsidR="00C97F8C" w:rsidRPr="00D00A62" w:rsidRDefault="00C97F8C" w:rsidP="00B768BB">
      <w:pPr>
        <w:pStyle w:val="Voetnoottekst"/>
        <w:rPr>
          <w:lang w:val="nl-BE"/>
        </w:rPr>
      </w:pPr>
      <w:r>
        <w:rPr>
          <w:rStyle w:val="Voetnootmarkering"/>
        </w:rPr>
        <w:footnoteRef/>
      </w:r>
      <w:r>
        <w:t xml:space="preserve"> </w:t>
      </w:r>
      <w:r w:rsidRPr="00D00A62">
        <w:rPr>
          <w:sz w:val="20"/>
          <w:lang w:val="nl-BE"/>
        </w:rPr>
        <w:t xml:space="preserve">Luik 15 februari 1990, </w:t>
      </w:r>
      <w:r w:rsidRPr="00D00A62">
        <w:rPr>
          <w:i/>
          <w:sz w:val="20"/>
          <w:lang w:val="nl-BE"/>
        </w:rPr>
        <w:t xml:space="preserve">JLMB </w:t>
      </w:r>
      <w:r w:rsidRPr="00D00A62">
        <w:rPr>
          <w:sz w:val="20"/>
          <w:lang w:val="nl-BE"/>
        </w:rPr>
        <w:t xml:space="preserve">1990, 1486; Luik 14 december 1990, </w:t>
      </w:r>
      <w:r w:rsidRPr="00D00A62">
        <w:rPr>
          <w:i/>
          <w:sz w:val="20"/>
          <w:lang w:val="nl-BE"/>
        </w:rPr>
        <w:t xml:space="preserve">JLMB </w:t>
      </w:r>
      <w:r w:rsidRPr="00D00A62">
        <w:rPr>
          <w:sz w:val="20"/>
          <w:lang w:val="nl-BE"/>
        </w:rPr>
        <w:t>1992, 292.</w:t>
      </w:r>
    </w:p>
  </w:footnote>
  <w:footnote w:id="161">
    <w:p w14:paraId="1C781282" w14:textId="77777777" w:rsidR="00C97F8C" w:rsidRPr="008112DD" w:rsidRDefault="00C97F8C" w:rsidP="00B768BB">
      <w:pPr>
        <w:pStyle w:val="Voetnoottekst"/>
        <w:rPr>
          <w:sz w:val="20"/>
          <w:lang w:val="nl-BE"/>
        </w:rPr>
      </w:pPr>
      <w:r>
        <w:rPr>
          <w:rStyle w:val="Voetnootmarkering"/>
        </w:rPr>
        <w:footnoteRef/>
      </w:r>
      <w:r>
        <w:t xml:space="preserve"> </w:t>
      </w:r>
      <w:r>
        <w:rPr>
          <w:sz w:val="20"/>
          <w:lang w:val="nl-BE"/>
        </w:rPr>
        <w:t xml:space="preserve">Artikel 527-5 Code de Commerce; </w:t>
      </w:r>
      <w:r>
        <w:rPr>
          <w:smallCaps/>
          <w:sz w:val="20"/>
          <w:lang w:val="nl-BE"/>
        </w:rPr>
        <w:t>M. Cabrillac</w:t>
      </w:r>
      <w:r>
        <w:rPr>
          <w:sz w:val="20"/>
          <w:lang w:val="nl-BE"/>
        </w:rPr>
        <w:t xml:space="preserve">, </w:t>
      </w:r>
      <w:r>
        <w:rPr>
          <w:smallCaps/>
          <w:sz w:val="20"/>
          <w:lang w:val="nl-BE"/>
        </w:rPr>
        <w:t>C. Mouly</w:t>
      </w:r>
      <w:r>
        <w:rPr>
          <w:sz w:val="20"/>
          <w:lang w:val="nl-BE"/>
        </w:rPr>
        <w:t xml:space="preserve">, </w:t>
      </w:r>
      <w:r>
        <w:rPr>
          <w:smallCaps/>
          <w:sz w:val="20"/>
          <w:lang w:val="nl-BE"/>
        </w:rPr>
        <w:t>S. Cabrillac</w:t>
      </w:r>
      <w:r>
        <w:rPr>
          <w:sz w:val="20"/>
          <w:lang w:val="nl-BE"/>
        </w:rPr>
        <w:t xml:space="preserve">, </w:t>
      </w:r>
      <w:r>
        <w:rPr>
          <w:smallCaps/>
          <w:sz w:val="20"/>
          <w:lang w:val="nl-BE"/>
        </w:rPr>
        <w:t>P. Pétel</w:t>
      </w:r>
      <w:r w:rsidRPr="008112DD">
        <w:rPr>
          <w:sz w:val="20"/>
          <w:lang w:val="nl-BE"/>
        </w:rPr>
        <w:t xml:space="preserve">, </w:t>
      </w:r>
      <w:r w:rsidRPr="008112DD">
        <w:rPr>
          <w:i/>
          <w:sz w:val="20"/>
          <w:lang w:val="nl-BE"/>
        </w:rPr>
        <w:t>Droit des sûretés</w:t>
      </w:r>
      <w:r w:rsidRPr="008112DD">
        <w:rPr>
          <w:sz w:val="20"/>
          <w:lang w:val="nl-BE"/>
        </w:rPr>
        <w:t>, Parijs, Litec, 2010, 575</w:t>
      </w:r>
      <w:r>
        <w:rPr>
          <w:sz w:val="20"/>
          <w:lang w:val="nl-BE"/>
        </w:rPr>
        <w:t>.</w:t>
      </w:r>
    </w:p>
  </w:footnote>
  <w:footnote w:id="162">
    <w:p w14:paraId="456ABC00" w14:textId="77777777" w:rsidR="00C97F8C" w:rsidRPr="00752817" w:rsidRDefault="00C97F8C" w:rsidP="00B768BB">
      <w:pPr>
        <w:pStyle w:val="Voetnoottekst"/>
        <w:rPr>
          <w:lang w:val="nl-BE"/>
        </w:rPr>
      </w:pPr>
      <w:r>
        <w:rPr>
          <w:rStyle w:val="Voetnootmarkering"/>
        </w:rPr>
        <w:footnoteRef/>
      </w:r>
      <w:r>
        <w:t xml:space="preserve"> </w:t>
      </w:r>
      <w:r>
        <w:rPr>
          <w:smallCaps/>
          <w:sz w:val="20"/>
        </w:rPr>
        <w:t xml:space="preserve">A. Cuypers, </w:t>
      </w:r>
      <w:r>
        <w:rPr>
          <w:sz w:val="20"/>
        </w:rPr>
        <w:t xml:space="preserve">“Pand op handelszaak”, </w:t>
      </w:r>
      <w:r>
        <w:rPr>
          <w:i/>
          <w:sz w:val="20"/>
        </w:rPr>
        <w:t xml:space="preserve">T. Not. </w:t>
      </w:r>
      <w:r>
        <w:rPr>
          <w:sz w:val="20"/>
        </w:rPr>
        <w:t xml:space="preserve">1989, 304; </w:t>
      </w:r>
      <w:r w:rsidRPr="00862B0F">
        <w:rPr>
          <w:smallCaps/>
          <w:sz w:val="20"/>
        </w:rPr>
        <w:t>R. Jansen, “</w:t>
      </w:r>
      <w:r w:rsidRPr="00862B0F">
        <w:rPr>
          <w:sz w:val="20"/>
        </w:rPr>
        <w:t xml:space="preserve">Algemene systematiek van voorrechten”, </w:t>
      </w:r>
      <w:r w:rsidRPr="00862B0F">
        <w:rPr>
          <w:i/>
          <w:sz w:val="20"/>
        </w:rPr>
        <w:t xml:space="preserve">TPR </w:t>
      </w:r>
      <w:r>
        <w:rPr>
          <w:sz w:val="20"/>
        </w:rPr>
        <w:t>2008, 31-32.</w:t>
      </w:r>
    </w:p>
  </w:footnote>
  <w:footnote w:id="163">
    <w:p w14:paraId="2ABB1D60" w14:textId="77777777" w:rsidR="00C97F8C" w:rsidRPr="00FC43C8" w:rsidRDefault="00C97F8C" w:rsidP="00B768BB">
      <w:pPr>
        <w:pStyle w:val="Voetnoottekst"/>
        <w:rPr>
          <w:lang w:val="nl-BE"/>
        </w:rPr>
      </w:pPr>
      <w:r>
        <w:rPr>
          <w:rStyle w:val="Voetnootmarkering"/>
        </w:rPr>
        <w:footnoteRef/>
      </w:r>
      <w:r>
        <w:t xml:space="preserve"> </w:t>
      </w:r>
      <w:r w:rsidRPr="00487674">
        <w:rPr>
          <w:sz w:val="20"/>
        </w:rPr>
        <w:t xml:space="preserve">Cass. 19 november 1992, </w:t>
      </w:r>
      <w:r w:rsidRPr="008153D5">
        <w:rPr>
          <w:i/>
          <w:sz w:val="20"/>
        </w:rPr>
        <w:t>Ar</w:t>
      </w:r>
      <w:r>
        <w:rPr>
          <w:i/>
          <w:sz w:val="20"/>
        </w:rPr>
        <w:t>r</w:t>
      </w:r>
      <w:r w:rsidRPr="00487674">
        <w:rPr>
          <w:i/>
          <w:sz w:val="20"/>
        </w:rPr>
        <w:t xml:space="preserve">. Cass. </w:t>
      </w:r>
      <w:r w:rsidRPr="00487674">
        <w:rPr>
          <w:sz w:val="20"/>
        </w:rPr>
        <w:t xml:space="preserve">1993, 17-18, noot </w:t>
      </w:r>
      <w:r w:rsidRPr="00487674">
        <w:rPr>
          <w:smallCaps/>
          <w:sz w:val="20"/>
        </w:rPr>
        <w:t>M.E. Storme; R. Jansen, “</w:t>
      </w:r>
      <w:r w:rsidRPr="00487674">
        <w:rPr>
          <w:sz w:val="20"/>
        </w:rPr>
        <w:t xml:space="preserve">Algemene systematiek van voorrechten”, </w:t>
      </w:r>
      <w:r w:rsidRPr="00487674">
        <w:rPr>
          <w:i/>
          <w:sz w:val="20"/>
        </w:rPr>
        <w:t xml:space="preserve">TPR </w:t>
      </w:r>
      <w:r>
        <w:rPr>
          <w:sz w:val="20"/>
        </w:rPr>
        <w:t xml:space="preserve">2008, 33; </w:t>
      </w:r>
      <w:r>
        <w:rPr>
          <w:smallCaps/>
          <w:sz w:val="20"/>
        </w:rPr>
        <w:t>A. Cuypers</w:t>
      </w:r>
      <w:r>
        <w:rPr>
          <w:sz w:val="20"/>
        </w:rPr>
        <w:t xml:space="preserve">, “W. 25oktober 1919”, </w:t>
      </w:r>
      <w:r>
        <w:rPr>
          <w:i/>
          <w:sz w:val="20"/>
        </w:rPr>
        <w:t>Voorrechten en hypotheken</w:t>
      </w:r>
      <w:r w:rsidRPr="00487674">
        <w:rPr>
          <w:sz w:val="20"/>
        </w:rPr>
        <w:t>, 83</w:t>
      </w:r>
      <w:r>
        <w:rPr>
          <w:sz w:val="20"/>
        </w:rPr>
        <w:t>.</w:t>
      </w:r>
    </w:p>
  </w:footnote>
  <w:footnote w:id="164">
    <w:p w14:paraId="6762A964" w14:textId="77777777" w:rsidR="00C97F8C" w:rsidRPr="00487674" w:rsidRDefault="00C97F8C" w:rsidP="00B768BB">
      <w:pPr>
        <w:pStyle w:val="Voetnoottekst"/>
        <w:rPr>
          <w:lang w:val="nl-BE"/>
        </w:rPr>
      </w:pPr>
      <w:r>
        <w:rPr>
          <w:rStyle w:val="Voetnootmarkering"/>
        </w:rPr>
        <w:footnoteRef/>
      </w:r>
      <w:r>
        <w:t xml:space="preserve"> </w:t>
      </w:r>
      <w:r w:rsidRPr="00862B0F">
        <w:rPr>
          <w:sz w:val="20"/>
        </w:rPr>
        <w:t xml:space="preserve">R. </w:t>
      </w:r>
      <w:r w:rsidRPr="00862B0F">
        <w:rPr>
          <w:smallCaps/>
          <w:sz w:val="20"/>
        </w:rPr>
        <w:t xml:space="preserve">De Corte en E. Dirix, </w:t>
      </w:r>
      <w:r w:rsidRPr="00862B0F">
        <w:rPr>
          <w:i/>
          <w:sz w:val="20"/>
        </w:rPr>
        <w:t xml:space="preserve">Beginselen van Belgisch Privaatrecht – XII – Zekerheidsrechten, </w:t>
      </w:r>
      <w:r>
        <w:rPr>
          <w:sz w:val="20"/>
        </w:rPr>
        <w:t xml:space="preserve">Kluwer, Antwerpen 2006, 363-364; </w:t>
      </w:r>
      <w:r>
        <w:rPr>
          <w:smallCaps/>
          <w:sz w:val="20"/>
        </w:rPr>
        <w:t>M.E. Storme</w:t>
      </w:r>
      <w:r w:rsidRPr="00487674">
        <w:rPr>
          <w:sz w:val="20"/>
        </w:rPr>
        <w:t>, “Parit</w:t>
      </w:r>
      <w:r>
        <w:rPr>
          <w:sz w:val="20"/>
        </w:rPr>
        <w:t xml:space="preserve">as </w:t>
      </w:r>
      <w:proofErr w:type="spellStart"/>
      <w:r>
        <w:rPr>
          <w:sz w:val="20"/>
        </w:rPr>
        <w:t>creditorum</w:t>
      </w:r>
      <w:proofErr w:type="spellEnd"/>
      <w:r>
        <w:rPr>
          <w:sz w:val="20"/>
        </w:rPr>
        <w:t>, voorrang en roe</w:t>
      </w:r>
      <w:r w:rsidRPr="00487674">
        <w:rPr>
          <w:sz w:val="20"/>
        </w:rPr>
        <w:t>rende</w:t>
      </w:r>
      <w:r>
        <w:rPr>
          <w:sz w:val="20"/>
        </w:rPr>
        <w:t xml:space="preserve"> zekerheden”, T.P.R. 2006, </w:t>
      </w:r>
      <w:r w:rsidRPr="00487674">
        <w:rPr>
          <w:sz w:val="20"/>
        </w:rPr>
        <w:t>1011</w:t>
      </w:r>
      <w:r>
        <w:rPr>
          <w:sz w:val="20"/>
        </w:rPr>
        <w:t>.</w:t>
      </w:r>
    </w:p>
  </w:footnote>
  <w:footnote w:id="165">
    <w:p w14:paraId="4F094009" w14:textId="77777777" w:rsidR="00C97F8C" w:rsidRPr="00D61822" w:rsidRDefault="00C97F8C" w:rsidP="00B768BB">
      <w:pPr>
        <w:widowControl w:val="0"/>
        <w:autoSpaceDE w:val="0"/>
        <w:autoSpaceDN w:val="0"/>
        <w:adjustRightInd w:val="0"/>
        <w:jc w:val="left"/>
        <w:rPr>
          <w:rFonts w:ascii="Times" w:hAnsi="Times" w:cs="Times"/>
        </w:rPr>
      </w:pPr>
      <w:r w:rsidRPr="00B75D1D">
        <w:rPr>
          <w:rStyle w:val="Voetnootmarkering"/>
          <w:sz w:val="20"/>
          <w:szCs w:val="20"/>
        </w:rPr>
        <w:footnoteRef/>
      </w:r>
      <w:r w:rsidRPr="00B75D1D">
        <w:rPr>
          <w:rStyle w:val="Voetnootmarkering"/>
          <w:sz w:val="20"/>
          <w:szCs w:val="20"/>
        </w:rPr>
        <w:t xml:space="preserve"> </w:t>
      </w:r>
      <w:r w:rsidRPr="00D61822">
        <w:rPr>
          <w:sz w:val="20"/>
          <w:szCs w:val="20"/>
        </w:rPr>
        <w:t>Cass. 19 november 1992, R.W. 1992-93, 1</w:t>
      </w:r>
      <w:r>
        <w:rPr>
          <w:sz w:val="20"/>
          <w:szCs w:val="20"/>
        </w:rPr>
        <w:t xml:space="preserve">021, noot </w:t>
      </w:r>
      <w:r>
        <w:rPr>
          <w:smallCaps/>
          <w:sz w:val="20"/>
          <w:szCs w:val="20"/>
        </w:rPr>
        <w:t>G. Van Gaeghenborghg</w:t>
      </w:r>
      <w:r>
        <w:rPr>
          <w:sz w:val="20"/>
          <w:szCs w:val="20"/>
        </w:rPr>
        <w:t xml:space="preserve">, </w:t>
      </w:r>
      <w:r w:rsidRPr="000931D5">
        <w:rPr>
          <w:i/>
          <w:sz w:val="20"/>
          <w:szCs w:val="20"/>
        </w:rPr>
        <w:t>TB</w:t>
      </w:r>
      <w:r>
        <w:rPr>
          <w:i/>
          <w:sz w:val="20"/>
          <w:szCs w:val="20"/>
        </w:rPr>
        <w:t>H</w:t>
      </w:r>
      <w:r w:rsidRPr="00D61822">
        <w:rPr>
          <w:sz w:val="20"/>
          <w:szCs w:val="20"/>
        </w:rPr>
        <w:t xml:space="preserve"> 1994, 15; Cass. 12 februari 2004, </w:t>
      </w:r>
      <w:r w:rsidRPr="00D61822">
        <w:rPr>
          <w:rFonts w:ascii="Times" w:hAnsi="Times" w:cs="Times"/>
          <w:i/>
          <w:iCs/>
          <w:sz w:val="20"/>
          <w:szCs w:val="20"/>
        </w:rPr>
        <w:t>R.W</w:t>
      </w:r>
      <w:r w:rsidRPr="00D61822">
        <w:rPr>
          <w:sz w:val="20"/>
          <w:szCs w:val="20"/>
        </w:rPr>
        <w:t xml:space="preserve">. 2004-05, 1179, noot M.E. STORME; </w:t>
      </w:r>
      <w:r w:rsidRPr="00D61822">
        <w:rPr>
          <w:smallCaps/>
          <w:sz w:val="20"/>
          <w:szCs w:val="20"/>
        </w:rPr>
        <w:t>R. Jansen, “</w:t>
      </w:r>
      <w:r w:rsidRPr="00D61822">
        <w:rPr>
          <w:sz w:val="20"/>
          <w:szCs w:val="20"/>
        </w:rPr>
        <w:t xml:space="preserve">Algemene systematiek van voorrechten”, </w:t>
      </w:r>
      <w:r w:rsidRPr="00D61822">
        <w:rPr>
          <w:i/>
          <w:sz w:val="20"/>
          <w:szCs w:val="20"/>
        </w:rPr>
        <w:t xml:space="preserve">TPR </w:t>
      </w:r>
      <w:r w:rsidRPr="00D61822">
        <w:rPr>
          <w:sz w:val="20"/>
          <w:szCs w:val="20"/>
        </w:rPr>
        <w:t>2008, 33.</w:t>
      </w:r>
    </w:p>
  </w:footnote>
  <w:footnote w:id="166">
    <w:p w14:paraId="30EA89E3" w14:textId="3828D7B4" w:rsidR="00C97F8C" w:rsidRPr="00AB7126" w:rsidRDefault="00C97F8C" w:rsidP="00B768BB">
      <w:pPr>
        <w:pStyle w:val="Voetnoottekst"/>
        <w:rPr>
          <w:sz w:val="20"/>
        </w:rPr>
      </w:pPr>
      <w:r>
        <w:rPr>
          <w:rStyle w:val="Voetnootmarkering"/>
        </w:rPr>
        <w:footnoteRef/>
      </w:r>
      <w:r>
        <w:t xml:space="preserve"> </w:t>
      </w:r>
      <w:r>
        <w:rPr>
          <w:sz w:val="20"/>
          <w:lang w:val="nl-BE"/>
        </w:rPr>
        <w:t xml:space="preserve">Artikel 527-6 Code de Commerce; Artikel 527-6 Code de Commerce; </w:t>
      </w:r>
      <w:r>
        <w:rPr>
          <w:smallCaps/>
          <w:sz w:val="20"/>
        </w:rPr>
        <w:t xml:space="preserve">M. Bourassin, V. brémond, M.-N. </w:t>
      </w:r>
      <w:proofErr w:type="spellStart"/>
      <w:r>
        <w:rPr>
          <w:smallCaps/>
          <w:sz w:val="20"/>
        </w:rPr>
        <w:t>Jobard-Bachellier</w:t>
      </w:r>
      <w:proofErr w:type="spellEnd"/>
      <w:r>
        <w:rPr>
          <w:smallCaps/>
          <w:sz w:val="20"/>
        </w:rPr>
        <w:t xml:space="preserve">, </w:t>
      </w:r>
      <w:r>
        <w:rPr>
          <w:i/>
          <w:sz w:val="20"/>
        </w:rPr>
        <w:t xml:space="preserve">Droit des sûretés, </w:t>
      </w:r>
      <w:r>
        <w:rPr>
          <w:sz w:val="20"/>
        </w:rPr>
        <w:t xml:space="preserve">Parijs, Dalloz 2014, 469. </w:t>
      </w:r>
    </w:p>
  </w:footnote>
  <w:footnote w:id="167">
    <w:p w14:paraId="30B8A388" w14:textId="124E14E2" w:rsidR="00C97F8C" w:rsidRPr="00830E38" w:rsidRDefault="00C97F8C" w:rsidP="00B768BB">
      <w:pPr>
        <w:pStyle w:val="Voetnoottekst"/>
        <w:rPr>
          <w:lang w:val="nl-BE"/>
        </w:rPr>
      </w:pPr>
      <w:r>
        <w:rPr>
          <w:rStyle w:val="Voetnootmarkering"/>
        </w:rPr>
        <w:footnoteRef/>
      </w:r>
      <w:r w:rsidRPr="008C2728">
        <w:rPr>
          <w:sz w:val="20"/>
        </w:rPr>
        <w:t xml:space="preserve"> </w:t>
      </w:r>
      <w:r>
        <w:rPr>
          <w:sz w:val="20"/>
        </w:rPr>
        <w:t xml:space="preserve">Cass. 21 oktober 1999, </w:t>
      </w:r>
      <w:r>
        <w:rPr>
          <w:i/>
          <w:sz w:val="20"/>
        </w:rPr>
        <w:t xml:space="preserve">AJT </w:t>
      </w:r>
      <w:r>
        <w:rPr>
          <w:sz w:val="20"/>
        </w:rPr>
        <w:t xml:space="preserve">1999-00, 516, noot </w:t>
      </w:r>
      <w:r>
        <w:rPr>
          <w:smallCaps/>
          <w:sz w:val="20"/>
        </w:rPr>
        <w:t xml:space="preserve">P. Vanlersberghe; </w:t>
      </w:r>
      <w:r>
        <w:rPr>
          <w:sz w:val="20"/>
        </w:rPr>
        <w:t xml:space="preserve">Luik 8 januari 1986, </w:t>
      </w:r>
      <w:r>
        <w:rPr>
          <w:i/>
          <w:sz w:val="20"/>
        </w:rPr>
        <w:t xml:space="preserve">Revue Regionale de Droit </w:t>
      </w:r>
      <w:r>
        <w:rPr>
          <w:sz w:val="20"/>
        </w:rPr>
        <w:t xml:space="preserve">1993, 26; </w:t>
      </w:r>
      <w:r>
        <w:rPr>
          <w:smallCaps/>
          <w:sz w:val="20"/>
        </w:rPr>
        <w:t xml:space="preserve">J.H. Herbots, D. Clarysse, J. Werckx, </w:t>
      </w:r>
      <w:r>
        <w:rPr>
          <w:sz w:val="20"/>
        </w:rPr>
        <w:t xml:space="preserve">“Overzicht van rechtspraak – bijzondere overeenkomsten”, </w:t>
      </w:r>
      <w:r>
        <w:rPr>
          <w:i/>
          <w:sz w:val="20"/>
        </w:rPr>
        <w:t xml:space="preserve">TPR </w:t>
      </w:r>
      <w:r>
        <w:rPr>
          <w:sz w:val="20"/>
        </w:rPr>
        <w:t xml:space="preserve">1985, 1110; </w:t>
      </w:r>
      <w:r>
        <w:rPr>
          <w:smallCaps/>
          <w:sz w:val="20"/>
          <w:lang w:val="nl-BE"/>
        </w:rPr>
        <w:t xml:space="preserve">M.T. Caupain, </w:t>
      </w:r>
      <w:r w:rsidRPr="00625691">
        <w:rPr>
          <w:smallCaps/>
          <w:sz w:val="20"/>
          <w:lang w:val="nl-BE"/>
        </w:rPr>
        <w:t>“</w:t>
      </w:r>
      <w:r w:rsidRPr="00625691">
        <w:rPr>
          <w:sz w:val="20"/>
          <w:lang w:val="nl-BE"/>
        </w:rPr>
        <w:t>La réalisation du gage sur fonds de commerce et la cession du fonds de commerce: le droit de suite et l’aspect fiscal</w:t>
      </w:r>
      <w:r w:rsidRPr="00625691">
        <w:rPr>
          <w:i/>
          <w:sz w:val="20"/>
          <w:lang w:val="nl-BE"/>
        </w:rPr>
        <w:t>”</w:t>
      </w:r>
      <w:r>
        <w:rPr>
          <w:sz w:val="20"/>
          <w:lang w:val="nl-BE"/>
        </w:rPr>
        <w:t xml:space="preserve"> in </w:t>
      </w:r>
      <w:r>
        <w:rPr>
          <w:i/>
          <w:sz w:val="20"/>
          <w:lang w:val="nl-BE"/>
        </w:rPr>
        <w:t xml:space="preserve">Liber Amicorum Marcel Briers, </w:t>
      </w:r>
      <w:r>
        <w:rPr>
          <w:sz w:val="20"/>
          <w:lang w:val="nl-BE"/>
        </w:rPr>
        <w:t xml:space="preserve">Gent, Mys &amp; Breesch 1983, 52; </w:t>
      </w:r>
      <w:r>
        <w:rPr>
          <w:smallCaps/>
          <w:sz w:val="20"/>
        </w:rPr>
        <w:t>A. Cuypers</w:t>
      </w:r>
      <w:r w:rsidRPr="008C2728">
        <w:rPr>
          <w:sz w:val="20"/>
        </w:rPr>
        <w:t>, “Pand op hand</w:t>
      </w:r>
      <w:r>
        <w:rPr>
          <w:sz w:val="20"/>
        </w:rPr>
        <w:t xml:space="preserve">elszaak”, </w:t>
      </w:r>
      <w:r w:rsidRPr="008C2728">
        <w:rPr>
          <w:i/>
          <w:sz w:val="20"/>
        </w:rPr>
        <w:t>T. Not</w:t>
      </w:r>
      <w:r>
        <w:rPr>
          <w:sz w:val="20"/>
        </w:rPr>
        <w:t xml:space="preserve">. 1989, </w:t>
      </w:r>
      <w:r w:rsidRPr="008C2728">
        <w:rPr>
          <w:sz w:val="20"/>
        </w:rPr>
        <w:t>305</w:t>
      </w:r>
      <w:r>
        <w:rPr>
          <w:sz w:val="20"/>
        </w:rPr>
        <w:t>;</w:t>
      </w:r>
      <w:r>
        <w:rPr>
          <w:sz w:val="20"/>
          <w:lang w:val="nl-BE"/>
        </w:rPr>
        <w:t xml:space="preserve"> </w:t>
      </w:r>
      <w:r>
        <w:rPr>
          <w:smallCaps/>
          <w:sz w:val="20"/>
          <w:lang w:val="nl-BE"/>
        </w:rPr>
        <w:t xml:space="preserve">E. Dirix, </w:t>
      </w:r>
      <w:r>
        <w:rPr>
          <w:sz w:val="20"/>
          <w:lang w:val="nl-BE"/>
        </w:rPr>
        <w:t xml:space="preserve">“Het passief van het faillissement”, in </w:t>
      </w:r>
      <w:r>
        <w:rPr>
          <w:i/>
          <w:sz w:val="20"/>
          <w:lang w:val="nl-BE"/>
        </w:rPr>
        <w:t xml:space="preserve">Faillissement en reorganisatie, </w:t>
      </w:r>
      <w:r w:rsidRPr="00AF04BB">
        <w:rPr>
          <w:sz w:val="20"/>
          <w:lang w:val="nl-BE"/>
        </w:rPr>
        <w:t>Mechelen</w:t>
      </w:r>
      <w:r>
        <w:rPr>
          <w:i/>
          <w:sz w:val="20"/>
          <w:lang w:val="nl-BE"/>
        </w:rPr>
        <w:t xml:space="preserve">, </w:t>
      </w:r>
      <w:r>
        <w:rPr>
          <w:sz w:val="20"/>
          <w:lang w:val="nl-BE"/>
        </w:rPr>
        <w:t>Kluwer, 43;</w:t>
      </w:r>
      <w:r>
        <w:rPr>
          <w:sz w:val="20"/>
        </w:rPr>
        <w:t xml:space="preserve"> </w:t>
      </w:r>
      <w:r>
        <w:rPr>
          <w:smallCaps/>
          <w:sz w:val="20"/>
        </w:rPr>
        <w:t>E. Dirix</w:t>
      </w:r>
      <w:r>
        <w:rPr>
          <w:sz w:val="20"/>
        </w:rPr>
        <w:t xml:space="preserve">, en </w:t>
      </w:r>
      <w:r>
        <w:rPr>
          <w:smallCaps/>
          <w:sz w:val="20"/>
        </w:rPr>
        <w:t>R. De Corte</w:t>
      </w:r>
      <w:r w:rsidRPr="008C2728">
        <w:rPr>
          <w:sz w:val="20"/>
        </w:rPr>
        <w:t>, Beginselen van Belgisch Privaatrecht, Antwerpen, Kluwer rechtswetens</w:t>
      </w:r>
      <w:r>
        <w:rPr>
          <w:sz w:val="20"/>
        </w:rPr>
        <w:t xml:space="preserve">chappen, 1996, 299; </w:t>
      </w:r>
      <w:r>
        <w:rPr>
          <w:smallCaps/>
          <w:sz w:val="20"/>
        </w:rPr>
        <w:t xml:space="preserve">C. Biquet-Mathieu, </w:t>
      </w:r>
      <w:r>
        <w:rPr>
          <w:sz w:val="20"/>
        </w:rPr>
        <w:t xml:space="preserve">“Actualités en matière de gage” in </w:t>
      </w:r>
      <w:r>
        <w:rPr>
          <w:smallCaps/>
          <w:sz w:val="20"/>
        </w:rPr>
        <w:t>C. Biquet-Mathieu</w:t>
      </w:r>
      <w:r>
        <w:rPr>
          <w:sz w:val="20"/>
        </w:rPr>
        <w:t xml:space="preserve"> (ed.), </w:t>
      </w:r>
      <w:r>
        <w:rPr>
          <w:i/>
          <w:sz w:val="20"/>
        </w:rPr>
        <w:t xml:space="preserve">Le point sur le droit des sûretés, </w:t>
      </w:r>
      <w:r>
        <w:rPr>
          <w:sz w:val="20"/>
        </w:rPr>
        <w:t xml:space="preserve">Luik, Commission Université-Palais 2000, 349; </w:t>
      </w:r>
      <w:r>
        <w:rPr>
          <w:smallCaps/>
          <w:sz w:val="20"/>
        </w:rPr>
        <w:t xml:space="preserve">G. De Pestel, </w:t>
      </w:r>
      <w:r>
        <w:rPr>
          <w:sz w:val="20"/>
        </w:rPr>
        <w:t>“</w:t>
      </w:r>
      <w:r w:rsidRPr="00B47C73">
        <w:rPr>
          <w:sz w:val="20"/>
        </w:rPr>
        <w:t>Pand op de handelszaak (Wet van 25 o</w:t>
      </w:r>
      <w:r>
        <w:rPr>
          <w:sz w:val="20"/>
        </w:rPr>
        <w:t>ktober 1919) – Overzicht recht</w:t>
      </w:r>
      <w:r w:rsidRPr="00B47C73">
        <w:rPr>
          <w:sz w:val="20"/>
        </w:rPr>
        <w:t>spraak (1993-1998)</w:t>
      </w:r>
      <w:r>
        <w:rPr>
          <w:sz w:val="20"/>
        </w:rPr>
        <w:t xml:space="preserve">”, </w:t>
      </w:r>
      <w:r>
        <w:rPr>
          <w:i/>
          <w:sz w:val="20"/>
        </w:rPr>
        <w:t xml:space="preserve">TBH </w:t>
      </w:r>
      <w:r>
        <w:rPr>
          <w:sz w:val="20"/>
        </w:rPr>
        <w:t xml:space="preserve">2001, 389; </w:t>
      </w:r>
      <w:r>
        <w:rPr>
          <w:smallCaps/>
          <w:sz w:val="20"/>
        </w:rPr>
        <w:t xml:space="preserve">B. Du Laing, H. Cousy, </w:t>
      </w:r>
      <w:r>
        <w:rPr>
          <w:sz w:val="20"/>
        </w:rPr>
        <w:t xml:space="preserve">“Het pand op de handelszaak – een algemeen overzicht”, in </w:t>
      </w:r>
      <w:r>
        <w:rPr>
          <w:smallCaps/>
          <w:sz w:val="20"/>
        </w:rPr>
        <w:t xml:space="preserve">H. Cousy, B. Tilleman, A. Benoit-Moury </w:t>
      </w:r>
      <w:r>
        <w:rPr>
          <w:sz w:val="20"/>
        </w:rPr>
        <w:t xml:space="preserve">(eds.), </w:t>
      </w:r>
      <w:r>
        <w:rPr>
          <w:i/>
          <w:sz w:val="20"/>
        </w:rPr>
        <w:t xml:space="preserve">De handelszaak – Le fonds de commerce, </w:t>
      </w:r>
      <w:r>
        <w:rPr>
          <w:sz w:val="20"/>
        </w:rPr>
        <w:t xml:space="preserve">Brugge, die Keure 2001, 60; </w:t>
      </w:r>
      <w:r>
        <w:rPr>
          <w:smallCaps/>
          <w:sz w:val="20"/>
        </w:rPr>
        <w:t>F. Hellemans</w:t>
      </w:r>
      <w:r>
        <w:rPr>
          <w:sz w:val="20"/>
        </w:rPr>
        <w:t xml:space="preserve"> en </w:t>
      </w:r>
      <w:r>
        <w:rPr>
          <w:smallCaps/>
          <w:sz w:val="20"/>
        </w:rPr>
        <w:t>S. Bogaerts</w:t>
      </w:r>
      <w:r w:rsidRPr="008C2728">
        <w:rPr>
          <w:sz w:val="20"/>
        </w:rPr>
        <w:t>, “P</w:t>
      </w:r>
      <w:r>
        <w:rPr>
          <w:sz w:val="20"/>
        </w:rPr>
        <w:t xml:space="preserve">and op aandelen” in </w:t>
      </w:r>
      <w:r>
        <w:rPr>
          <w:smallCaps/>
          <w:sz w:val="20"/>
        </w:rPr>
        <w:t>F. Hellemans</w:t>
      </w:r>
      <w:r>
        <w:rPr>
          <w:sz w:val="20"/>
        </w:rPr>
        <w:t xml:space="preserve">, </w:t>
      </w:r>
      <w:r>
        <w:rPr>
          <w:smallCaps/>
          <w:sz w:val="20"/>
        </w:rPr>
        <w:t>V. Sagaert</w:t>
      </w:r>
      <w:r>
        <w:rPr>
          <w:sz w:val="20"/>
        </w:rPr>
        <w:t xml:space="preserve"> en </w:t>
      </w:r>
      <w:r>
        <w:rPr>
          <w:smallCaps/>
          <w:sz w:val="20"/>
        </w:rPr>
        <w:t>R. Van Ransbeeck</w:t>
      </w:r>
      <w:r>
        <w:rPr>
          <w:sz w:val="20"/>
        </w:rPr>
        <w:t xml:space="preserve"> (eds.), </w:t>
      </w:r>
      <w:r w:rsidRPr="008C2728">
        <w:rPr>
          <w:i/>
          <w:sz w:val="20"/>
        </w:rPr>
        <w:t>Het pand – Van een oude naar een moderne zekerheid</w:t>
      </w:r>
      <w:r w:rsidRPr="008C2728">
        <w:rPr>
          <w:sz w:val="20"/>
        </w:rPr>
        <w:t>, Brugge, Die Keure, 2012, 40</w:t>
      </w:r>
      <w:r>
        <w:rPr>
          <w:sz w:val="20"/>
        </w:rPr>
        <w:t xml:space="preserve">; </w:t>
      </w:r>
      <w:r>
        <w:rPr>
          <w:smallCaps/>
          <w:sz w:val="20"/>
        </w:rPr>
        <w:t xml:space="preserve">M. Forges, P.-F. Van den Driesche, </w:t>
      </w:r>
      <w:r>
        <w:rPr>
          <w:sz w:val="20"/>
        </w:rPr>
        <w:t xml:space="preserve">“Le gage sur le fonds de commerce et les entreprises en difficulté”, in </w:t>
      </w:r>
      <w:r>
        <w:rPr>
          <w:smallCaps/>
          <w:sz w:val="20"/>
        </w:rPr>
        <w:t xml:space="preserve">C. Alter, M. Forges, D.-E. Philippe, P.F. Van Den Driesche, L. Van Muylem, </w:t>
      </w:r>
      <w:r>
        <w:rPr>
          <w:i/>
          <w:sz w:val="20"/>
        </w:rPr>
        <w:t xml:space="preserve">Le Fonds de commerce, </w:t>
      </w:r>
      <w:r>
        <w:rPr>
          <w:sz w:val="20"/>
        </w:rPr>
        <w:t xml:space="preserve">Limal, Anthemis 2012, 64.  </w:t>
      </w:r>
      <w:r>
        <w:rPr>
          <w:sz w:val="20"/>
          <w:u w:val="single"/>
        </w:rPr>
        <w:t>Contra:</w:t>
      </w:r>
      <w:r>
        <w:rPr>
          <w:sz w:val="20"/>
        </w:rPr>
        <w:t xml:space="preserve"> </w:t>
      </w:r>
      <w:r w:rsidRPr="00862B0F">
        <w:rPr>
          <w:smallCaps/>
          <w:sz w:val="20"/>
        </w:rPr>
        <w:t xml:space="preserve">H. De Page, </w:t>
      </w:r>
      <w:r w:rsidRPr="00862B0F">
        <w:rPr>
          <w:i/>
          <w:sz w:val="20"/>
        </w:rPr>
        <w:t xml:space="preserve">Traité elementaire de droit civil Belge – VI- Les biens, Les sûretés, </w:t>
      </w:r>
      <w:r>
        <w:rPr>
          <w:sz w:val="20"/>
        </w:rPr>
        <w:t>Bruylant, Brussel, 1953, 1147-1148.</w:t>
      </w:r>
    </w:p>
  </w:footnote>
  <w:footnote w:id="168">
    <w:p w14:paraId="3666589F" w14:textId="11E7D834" w:rsidR="00C97F8C" w:rsidRPr="0032583A" w:rsidRDefault="00C97F8C" w:rsidP="00B768BB">
      <w:pPr>
        <w:pStyle w:val="Voetnoottekst"/>
        <w:rPr>
          <w:sz w:val="20"/>
          <w:lang w:val="nl-BE"/>
        </w:rPr>
      </w:pPr>
      <w:r>
        <w:rPr>
          <w:rStyle w:val="Voetnootmarkering"/>
        </w:rPr>
        <w:footnoteRef/>
      </w:r>
      <w:r>
        <w:t xml:space="preserve"> </w:t>
      </w:r>
      <w:r w:rsidRPr="0032583A">
        <w:rPr>
          <w:smallCaps/>
          <w:sz w:val="20"/>
        </w:rPr>
        <w:t>Y. Picod</w:t>
      </w:r>
      <w:r w:rsidRPr="0032583A">
        <w:rPr>
          <w:sz w:val="20"/>
        </w:rPr>
        <w:t>, D</w:t>
      </w:r>
      <w:r>
        <w:rPr>
          <w:sz w:val="20"/>
        </w:rPr>
        <w:t>roit des sûretés</w:t>
      </w:r>
      <w:r w:rsidRPr="0032583A">
        <w:rPr>
          <w:sz w:val="20"/>
        </w:rPr>
        <w:t>, Parijs, Presses Uni</w:t>
      </w:r>
      <w:r>
        <w:rPr>
          <w:sz w:val="20"/>
        </w:rPr>
        <w:t>versitaires de France, 2008, 328</w:t>
      </w:r>
      <w:r w:rsidRPr="0032583A">
        <w:rPr>
          <w:sz w:val="20"/>
        </w:rPr>
        <w:t>.</w:t>
      </w:r>
      <w:r>
        <w:rPr>
          <w:sz w:val="20"/>
        </w:rPr>
        <w:t xml:space="preserve"> </w:t>
      </w:r>
    </w:p>
  </w:footnote>
  <w:footnote w:id="169">
    <w:p w14:paraId="0F6298CB" w14:textId="5883CAC9" w:rsidR="00C97F8C" w:rsidRPr="008C2728" w:rsidRDefault="00C97F8C" w:rsidP="00B768BB">
      <w:pPr>
        <w:pStyle w:val="Voetnoottekst"/>
        <w:rPr>
          <w:sz w:val="20"/>
        </w:rPr>
      </w:pPr>
      <w:r>
        <w:rPr>
          <w:rStyle w:val="Voetnootmarkering"/>
        </w:rPr>
        <w:footnoteRef/>
      </w:r>
      <w:r>
        <w:t xml:space="preserve"> </w:t>
      </w:r>
      <w:r w:rsidRPr="00BB41B1">
        <w:rPr>
          <w:sz w:val="20"/>
        </w:rPr>
        <w:t xml:space="preserve">Cass. 11 oktober 1985, </w:t>
      </w:r>
      <w:r w:rsidRPr="00BB41B1">
        <w:rPr>
          <w:i/>
          <w:sz w:val="20"/>
        </w:rPr>
        <w:t xml:space="preserve">Pas. </w:t>
      </w:r>
      <w:r w:rsidRPr="00BB41B1">
        <w:rPr>
          <w:sz w:val="20"/>
        </w:rPr>
        <w:t>1986, 150;</w:t>
      </w:r>
      <w:r>
        <w:t xml:space="preserve"> </w:t>
      </w:r>
      <w:r w:rsidRPr="00862B0F">
        <w:rPr>
          <w:smallCaps/>
          <w:sz w:val="20"/>
        </w:rPr>
        <w:t xml:space="preserve">H. De Page, </w:t>
      </w:r>
      <w:r w:rsidRPr="00862B0F">
        <w:rPr>
          <w:i/>
          <w:sz w:val="20"/>
        </w:rPr>
        <w:t xml:space="preserve">Traité elementaire de droit civil Belge – VI- Les biens, Les sûretés, </w:t>
      </w:r>
      <w:r>
        <w:rPr>
          <w:sz w:val="20"/>
        </w:rPr>
        <w:t>Bruylant, Brussel, 1953, 1146;</w:t>
      </w:r>
      <w:r w:rsidRPr="008C2728">
        <w:t xml:space="preserve"> </w:t>
      </w:r>
      <w:r>
        <w:rPr>
          <w:smallCaps/>
          <w:sz w:val="20"/>
        </w:rPr>
        <w:t xml:space="preserve">E. </w:t>
      </w:r>
      <w:proofErr w:type="spellStart"/>
      <w:r>
        <w:rPr>
          <w:smallCaps/>
          <w:sz w:val="20"/>
        </w:rPr>
        <w:t>Diric</w:t>
      </w:r>
      <w:proofErr w:type="spellEnd"/>
      <w:r w:rsidRPr="008C2728">
        <w:rPr>
          <w:sz w:val="20"/>
        </w:rPr>
        <w:t xml:space="preserve">, en </w:t>
      </w:r>
      <w:r w:rsidRPr="008C2728">
        <w:rPr>
          <w:smallCaps/>
          <w:sz w:val="20"/>
        </w:rPr>
        <w:t>R. De Corte</w:t>
      </w:r>
      <w:r w:rsidRPr="008C2728">
        <w:rPr>
          <w:sz w:val="20"/>
        </w:rPr>
        <w:t>, Beginselen van Belgisch Privaatrecht, Antwerpen, Kluwer rechtswetenschappen, 1996, 300</w:t>
      </w:r>
      <w:r>
        <w:rPr>
          <w:sz w:val="20"/>
        </w:rPr>
        <w:t xml:space="preserve">; ; </w:t>
      </w:r>
      <w:r>
        <w:rPr>
          <w:smallCaps/>
          <w:sz w:val="20"/>
        </w:rPr>
        <w:t xml:space="preserve">C. Biquet-Mathieu, </w:t>
      </w:r>
      <w:r>
        <w:rPr>
          <w:sz w:val="20"/>
        </w:rPr>
        <w:t xml:space="preserve">“Actualités en matière de gage” in </w:t>
      </w:r>
      <w:r>
        <w:rPr>
          <w:smallCaps/>
          <w:sz w:val="20"/>
        </w:rPr>
        <w:t>C. Biquet-Mathieu</w:t>
      </w:r>
      <w:r>
        <w:rPr>
          <w:sz w:val="20"/>
        </w:rPr>
        <w:t xml:space="preserve"> (ed.), </w:t>
      </w:r>
      <w:r>
        <w:rPr>
          <w:i/>
          <w:sz w:val="20"/>
        </w:rPr>
        <w:t xml:space="preserve">Le point sur le droit des sûretés, </w:t>
      </w:r>
      <w:r>
        <w:rPr>
          <w:sz w:val="20"/>
        </w:rPr>
        <w:t xml:space="preserve">Luik, Commission Université-Palais 2000,350; </w:t>
      </w:r>
      <w:r>
        <w:rPr>
          <w:smallCaps/>
          <w:sz w:val="20"/>
        </w:rPr>
        <w:t xml:space="preserve">G. De Pestel, </w:t>
      </w:r>
      <w:r>
        <w:rPr>
          <w:sz w:val="20"/>
        </w:rPr>
        <w:t>“</w:t>
      </w:r>
      <w:r w:rsidRPr="00B47C73">
        <w:rPr>
          <w:sz w:val="20"/>
        </w:rPr>
        <w:t>Pand op de handelszaak (Wet van 25 o</w:t>
      </w:r>
      <w:r>
        <w:rPr>
          <w:sz w:val="20"/>
        </w:rPr>
        <w:t>ktober 1919) – Overzicht recht</w:t>
      </w:r>
      <w:r w:rsidRPr="00B47C73">
        <w:rPr>
          <w:sz w:val="20"/>
        </w:rPr>
        <w:t>spraak (1993-1998)</w:t>
      </w:r>
      <w:r>
        <w:rPr>
          <w:sz w:val="20"/>
        </w:rPr>
        <w:t xml:space="preserve">”, </w:t>
      </w:r>
      <w:r>
        <w:rPr>
          <w:i/>
          <w:sz w:val="20"/>
        </w:rPr>
        <w:t xml:space="preserve">TBH </w:t>
      </w:r>
      <w:r>
        <w:rPr>
          <w:sz w:val="20"/>
        </w:rPr>
        <w:t xml:space="preserve">2001, 389; </w:t>
      </w:r>
      <w:r>
        <w:rPr>
          <w:smallCaps/>
          <w:sz w:val="20"/>
        </w:rPr>
        <w:t xml:space="preserve">M. Forges, P.-F. Van den Driesche, </w:t>
      </w:r>
      <w:r>
        <w:rPr>
          <w:sz w:val="20"/>
        </w:rPr>
        <w:t xml:space="preserve">“Le gage sur le fonds de commerce et les entreprises en difficulté”, in </w:t>
      </w:r>
      <w:r>
        <w:rPr>
          <w:smallCaps/>
          <w:sz w:val="20"/>
        </w:rPr>
        <w:t xml:space="preserve">C. Alter, M. Forges, D.-E. Philippe, P.F. Van Den Driesche, L. Van Muylem, </w:t>
      </w:r>
      <w:r>
        <w:rPr>
          <w:i/>
          <w:sz w:val="20"/>
        </w:rPr>
        <w:t xml:space="preserve">Le Fonds de commerce, </w:t>
      </w:r>
      <w:r>
        <w:rPr>
          <w:sz w:val="20"/>
        </w:rPr>
        <w:t>Limal, Anthemis 2012, 64.</w:t>
      </w:r>
    </w:p>
  </w:footnote>
  <w:footnote w:id="170">
    <w:p w14:paraId="548C4CBB" w14:textId="77777777" w:rsidR="00C97F8C" w:rsidRPr="00941BB6" w:rsidRDefault="00C97F8C" w:rsidP="00B768BB">
      <w:pPr>
        <w:pStyle w:val="Voetnoottekst"/>
        <w:rPr>
          <w:sz w:val="20"/>
          <w:lang w:val="nl-BE"/>
        </w:rPr>
      </w:pPr>
      <w:r>
        <w:rPr>
          <w:rStyle w:val="Voetnootmarkering"/>
        </w:rPr>
        <w:footnoteRef/>
      </w:r>
      <w:r>
        <w:t xml:space="preserve"> </w:t>
      </w:r>
      <w:r>
        <w:rPr>
          <w:sz w:val="20"/>
          <w:lang w:val="nl-BE"/>
        </w:rPr>
        <w:t xml:space="preserve">Artikel 8 </w:t>
      </w:r>
      <w:r>
        <w:rPr>
          <w:sz w:val="20"/>
        </w:rPr>
        <w:t>w</w:t>
      </w:r>
      <w:r w:rsidRPr="00862B0F">
        <w:rPr>
          <w:sz w:val="20"/>
        </w:rPr>
        <w:t xml:space="preserve">et van 25 oktober 1919 betreffende het in pand geven van de handelszaak, het disconto en het in pand geven van de factuur, alsmede de aanvaarding en de keuring van de rechtstreeks voor het verbruik gedane leveringen, </w:t>
      </w:r>
      <w:r w:rsidRPr="00862B0F">
        <w:rPr>
          <w:i/>
          <w:sz w:val="20"/>
        </w:rPr>
        <w:t xml:space="preserve">BS </w:t>
      </w:r>
      <w:r w:rsidRPr="00862B0F">
        <w:rPr>
          <w:sz w:val="20"/>
        </w:rPr>
        <w:t>5 november 1919</w:t>
      </w:r>
      <w:r>
        <w:rPr>
          <w:sz w:val="20"/>
        </w:rPr>
        <w:t>.</w:t>
      </w:r>
    </w:p>
  </w:footnote>
  <w:footnote w:id="171">
    <w:p w14:paraId="2568897D" w14:textId="77777777" w:rsidR="00C97F8C" w:rsidRPr="00EA4E18" w:rsidRDefault="00C97F8C" w:rsidP="00B768BB">
      <w:pPr>
        <w:pStyle w:val="Voetnoottekst"/>
        <w:rPr>
          <w:lang w:val="nl-BE"/>
        </w:rPr>
      </w:pPr>
      <w:r>
        <w:rPr>
          <w:rStyle w:val="Voetnootmarkering"/>
        </w:rPr>
        <w:footnoteRef/>
      </w:r>
      <w:r>
        <w:rPr>
          <w:sz w:val="20"/>
        </w:rPr>
        <w:t xml:space="preserve">Artikel 20 1° Hypotheekwet; </w:t>
      </w:r>
      <w:r w:rsidRPr="00565EC0">
        <w:rPr>
          <w:smallCaps/>
          <w:sz w:val="20"/>
          <w:lang w:val="nl-BE"/>
        </w:rPr>
        <w:t>F. Van Malleghem L. Van Malleghem;</w:t>
      </w:r>
      <w:r>
        <w:rPr>
          <w:smallCaps/>
          <w:sz w:val="20"/>
          <w:lang w:val="nl-BE"/>
        </w:rPr>
        <w:t xml:space="preserve"> H. Van Malleghem, </w:t>
      </w:r>
      <w:r>
        <w:rPr>
          <w:sz w:val="20"/>
          <w:lang w:val="nl-BE"/>
        </w:rPr>
        <w:t xml:space="preserve">“Commentaar bij de wet van 15 oktober 1884”, </w:t>
      </w:r>
      <w:r>
        <w:rPr>
          <w:i/>
          <w:sz w:val="20"/>
          <w:lang w:val="nl-BE"/>
        </w:rPr>
        <w:t xml:space="preserve">Voorrechten en hypotheken </w:t>
      </w:r>
      <w:r>
        <w:rPr>
          <w:sz w:val="20"/>
          <w:lang w:val="nl-BE"/>
        </w:rPr>
        <w:t>1997, 9;</w:t>
      </w:r>
      <w:r>
        <w:rPr>
          <w:sz w:val="20"/>
        </w:rPr>
        <w:t xml:space="preserve"> </w:t>
      </w:r>
      <w:r>
        <w:rPr>
          <w:smallCaps/>
          <w:sz w:val="20"/>
        </w:rPr>
        <w:t>F. ‘T Kind</w:t>
      </w:r>
      <w:r w:rsidRPr="00EA4E18">
        <w:rPr>
          <w:sz w:val="20"/>
        </w:rPr>
        <w:t>, Sûretés et principes généraux du droit de poursuite des créanciers, Brussel, Larcier, 2004, 177</w:t>
      </w:r>
      <w:r>
        <w:rPr>
          <w:sz w:val="20"/>
        </w:rPr>
        <w:t>.</w:t>
      </w:r>
    </w:p>
  </w:footnote>
  <w:footnote w:id="172">
    <w:p w14:paraId="366F34F0" w14:textId="18174F92" w:rsidR="00C97F8C" w:rsidRPr="0091400E" w:rsidRDefault="00C97F8C" w:rsidP="00B768BB">
      <w:pPr>
        <w:pStyle w:val="Voetnoottekst"/>
        <w:rPr>
          <w:sz w:val="20"/>
        </w:rPr>
      </w:pPr>
      <w:r>
        <w:rPr>
          <w:rStyle w:val="Voetnootmarkering"/>
        </w:rPr>
        <w:footnoteRef/>
      </w:r>
      <w:r>
        <w:t xml:space="preserve"> </w:t>
      </w:r>
      <w:r w:rsidRPr="00862B0F">
        <w:rPr>
          <w:smallCaps/>
          <w:sz w:val="20"/>
        </w:rPr>
        <w:t xml:space="preserve">H. De Page, </w:t>
      </w:r>
      <w:r w:rsidRPr="00862B0F">
        <w:rPr>
          <w:i/>
          <w:sz w:val="20"/>
        </w:rPr>
        <w:t>Traité élémentaire de droit civil Belge – VI</w:t>
      </w:r>
      <w:r>
        <w:rPr>
          <w:i/>
          <w:sz w:val="20"/>
        </w:rPr>
        <w:t>I</w:t>
      </w:r>
      <w:r w:rsidRPr="00862B0F">
        <w:rPr>
          <w:i/>
          <w:sz w:val="20"/>
        </w:rPr>
        <w:t xml:space="preserve"> – Les Biens, Les Sûretés, </w:t>
      </w:r>
      <w:r>
        <w:rPr>
          <w:sz w:val="20"/>
        </w:rPr>
        <w:t xml:space="preserve">Bruylant, Brussel 1953, 231; Luik 7 maart 2002, </w:t>
      </w:r>
      <w:r w:rsidRPr="00565EC0">
        <w:rPr>
          <w:i/>
          <w:sz w:val="20"/>
        </w:rPr>
        <w:t>JT</w:t>
      </w:r>
      <w:r w:rsidRPr="002E1B61">
        <w:rPr>
          <w:sz w:val="20"/>
        </w:rPr>
        <w:t xml:space="preserve"> 2002, 714</w:t>
      </w:r>
      <w:r>
        <w:rPr>
          <w:sz w:val="20"/>
        </w:rPr>
        <w:t>;</w:t>
      </w:r>
      <w:r w:rsidRPr="00B023D2">
        <w:rPr>
          <w:smallCaps/>
          <w:sz w:val="20"/>
          <w:lang w:val="nl-BE"/>
        </w:rPr>
        <w:t xml:space="preserve"> </w:t>
      </w:r>
      <w:r w:rsidRPr="00565EC0">
        <w:rPr>
          <w:smallCaps/>
          <w:sz w:val="20"/>
          <w:lang w:val="nl-BE"/>
        </w:rPr>
        <w:t>F. Van Malleghem L. Van Malleghem;</w:t>
      </w:r>
      <w:r>
        <w:rPr>
          <w:sz w:val="20"/>
        </w:rPr>
        <w:t xml:space="preserve"> </w:t>
      </w:r>
      <w:r>
        <w:rPr>
          <w:smallCaps/>
          <w:sz w:val="20"/>
          <w:lang w:val="nl-BE"/>
        </w:rPr>
        <w:t xml:space="preserve">H. Van Malleghem, </w:t>
      </w:r>
      <w:r>
        <w:rPr>
          <w:sz w:val="20"/>
          <w:lang w:val="nl-BE"/>
        </w:rPr>
        <w:t xml:space="preserve">“Commentaar bij de wet van 15 oktober 1884”, </w:t>
      </w:r>
      <w:r>
        <w:rPr>
          <w:i/>
          <w:sz w:val="20"/>
          <w:lang w:val="nl-BE"/>
        </w:rPr>
        <w:t xml:space="preserve">Voorrechten en hypotheken </w:t>
      </w:r>
      <w:r>
        <w:rPr>
          <w:sz w:val="20"/>
          <w:lang w:val="nl-BE"/>
        </w:rPr>
        <w:t>1997, 6.</w:t>
      </w:r>
    </w:p>
  </w:footnote>
  <w:footnote w:id="173">
    <w:p w14:paraId="634E9B53" w14:textId="2E48183E" w:rsidR="00C97F8C" w:rsidRPr="006460FD" w:rsidRDefault="00C97F8C" w:rsidP="00B768BB">
      <w:pPr>
        <w:widowControl w:val="0"/>
        <w:autoSpaceDE w:val="0"/>
        <w:autoSpaceDN w:val="0"/>
        <w:adjustRightInd w:val="0"/>
        <w:rPr>
          <w:sz w:val="20"/>
          <w:highlight w:val="cyan"/>
          <w:lang w:val="nl-BE"/>
        </w:rPr>
      </w:pPr>
      <w:r>
        <w:rPr>
          <w:rStyle w:val="Voetnootmarkering"/>
        </w:rPr>
        <w:footnoteRef/>
      </w:r>
      <w:r w:rsidRPr="000501E3">
        <w:t xml:space="preserve"> </w:t>
      </w:r>
      <w:r>
        <w:rPr>
          <w:sz w:val="20"/>
          <w:szCs w:val="20"/>
        </w:rPr>
        <w:t xml:space="preserve">Gent 25 mei 1979, </w:t>
      </w:r>
      <w:r>
        <w:rPr>
          <w:i/>
          <w:sz w:val="20"/>
          <w:szCs w:val="20"/>
        </w:rPr>
        <w:t xml:space="preserve">RW </w:t>
      </w:r>
      <w:r w:rsidRPr="00B2117D">
        <w:rPr>
          <w:sz w:val="20"/>
          <w:szCs w:val="20"/>
        </w:rPr>
        <w:t>1980-81, 1928</w:t>
      </w:r>
      <w:r w:rsidRPr="000501E3">
        <w:t>;</w:t>
      </w:r>
      <w:r w:rsidRPr="000501E3">
        <w:rPr>
          <w:smallCaps/>
          <w:sz w:val="20"/>
        </w:rPr>
        <w:t xml:space="preserve"> </w:t>
      </w:r>
      <w:r>
        <w:rPr>
          <w:smallCaps/>
          <w:sz w:val="20"/>
        </w:rPr>
        <w:t xml:space="preserve">F. Laurent, </w:t>
      </w:r>
      <w:r w:rsidRPr="00793276">
        <w:rPr>
          <w:sz w:val="20"/>
        </w:rPr>
        <w:t>Principes</w:t>
      </w:r>
      <w:r>
        <w:rPr>
          <w:smallCaps/>
          <w:sz w:val="20"/>
        </w:rPr>
        <w:t xml:space="preserve">, XXIX, </w:t>
      </w:r>
      <w:r w:rsidRPr="000501E3">
        <w:rPr>
          <w:smallCaps/>
          <w:sz w:val="20"/>
        </w:rPr>
        <w:t>477</w:t>
      </w:r>
      <w:r>
        <w:rPr>
          <w:smallCaps/>
          <w:sz w:val="20"/>
        </w:rPr>
        <w:t xml:space="preserve">; </w:t>
      </w:r>
      <w:r>
        <w:rPr>
          <w:smallCaps/>
          <w:sz w:val="20"/>
          <w:lang w:val="nl-BE"/>
        </w:rPr>
        <w:t xml:space="preserve">H. Van Malleghem, </w:t>
      </w:r>
      <w:r>
        <w:rPr>
          <w:sz w:val="20"/>
          <w:lang w:val="nl-BE"/>
        </w:rPr>
        <w:t xml:space="preserve">“Commentaar bij de wet van 15 oktober 1884”, </w:t>
      </w:r>
      <w:r>
        <w:rPr>
          <w:i/>
          <w:sz w:val="20"/>
          <w:lang w:val="nl-BE"/>
        </w:rPr>
        <w:t xml:space="preserve">Voorrechten en hypotheken </w:t>
      </w:r>
      <w:r>
        <w:rPr>
          <w:sz w:val="20"/>
          <w:lang w:val="nl-BE"/>
        </w:rPr>
        <w:t>1997, 9;</w:t>
      </w:r>
      <w:r>
        <w:rPr>
          <w:smallCaps/>
          <w:sz w:val="20"/>
        </w:rPr>
        <w:t xml:space="preserve"> </w:t>
      </w:r>
      <w:r w:rsidRPr="00862B0F">
        <w:rPr>
          <w:smallCaps/>
          <w:sz w:val="20"/>
        </w:rPr>
        <w:t>K. Byttebier</w:t>
      </w:r>
      <w:r w:rsidRPr="00862B0F">
        <w:rPr>
          <w:sz w:val="20"/>
        </w:rPr>
        <w:t>, Voorrechten en hypoth</w:t>
      </w:r>
      <w:r>
        <w:rPr>
          <w:sz w:val="20"/>
        </w:rPr>
        <w:t xml:space="preserve">eken ̧ Antwerpen, Maklu, 2005, 336; </w:t>
      </w:r>
      <w:r w:rsidRPr="00862B0F">
        <w:rPr>
          <w:sz w:val="20"/>
        </w:rPr>
        <w:t xml:space="preserve">R. </w:t>
      </w:r>
      <w:r w:rsidRPr="00862B0F">
        <w:rPr>
          <w:smallCaps/>
          <w:sz w:val="20"/>
        </w:rPr>
        <w:t xml:space="preserve">De Corte en E. Dirix, </w:t>
      </w:r>
      <w:r w:rsidRPr="00862B0F">
        <w:rPr>
          <w:i/>
          <w:sz w:val="20"/>
        </w:rPr>
        <w:t xml:space="preserve">Beginselen van Belgisch Privaatrecht – XII – Zekerheidsrechten, </w:t>
      </w:r>
      <w:r>
        <w:rPr>
          <w:sz w:val="20"/>
        </w:rPr>
        <w:t xml:space="preserve">Kluwer, Antwerpen 2006, 180; </w:t>
      </w:r>
      <w:r w:rsidRPr="00862B0F">
        <w:rPr>
          <w:smallCaps/>
          <w:sz w:val="20"/>
        </w:rPr>
        <w:t xml:space="preserve">H. De Page, </w:t>
      </w:r>
      <w:r w:rsidRPr="00862B0F">
        <w:rPr>
          <w:i/>
          <w:sz w:val="20"/>
        </w:rPr>
        <w:t xml:space="preserve">Traité elementaire de droit civil Belge – VI- Les biens, Les sûretés, </w:t>
      </w:r>
      <w:r>
        <w:rPr>
          <w:sz w:val="20"/>
        </w:rPr>
        <w:t xml:space="preserve">Bruylant, Brussel, 1953,149; </w:t>
      </w:r>
      <w:r>
        <w:rPr>
          <w:smallCaps/>
          <w:sz w:val="20"/>
        </w:rPr>
        <w:t>F. ‘T Kind</w:t>
      </w:r>
      <w:r w:rsidRPr="00EA4E18">
        <w:rPr>
          <w:sz w:val="20"/>
        </w:rPr>
        <w:t xml:space="preserve">, Sûretés et principes généraux du droit de poursuite des créanciers, Brussel, Larcier, 2004, </w:t>
      </w:r>
      <w:r>
        <w:rPr>
          <w:sz w:val="20"/>
        </w:rPr>
        <w:t xml:space="preserve">231; </w:t>
      </w:r>
      <w:r w:rsidRPr="006460FD">
        <w:rPr>
          <w:sz w:val="20"/>
          <w:lang w:val="nl-BE"/>
        </w:rPr>
        <w:t xml:space="preserve">M.E. </w:t>
      </w:r>
      <w:r w:rsidRPr="006460FD">
        <w:rPr>
          <w:smallCaps/>
          <w:sz w:val="20"/>
          <w:lang w:val="nl-BE"/>
        </w:rPr>
        <w:t>Storme</w:t>
      </w:r>
      <w:r w:rsidRPr="006460FD">
        <w:rPr>
          <w:sz w:val="20"/>
          <w:lang w:val="nl-BE"/>
        </w:rPr>
        <w:t xml:space="preserve">, “Paritas creditorum, voorrang en roerende zekerheden”, </w:t>
      </w:r>
      <w:r w:rsidRPr="006460FD">
        <w:rPr>
          <w:i/>
          <w:iCs/>
          <w:sz w:val="20"/>
          <w:lang w:val="nl-BE"/>
        </w:rPr>
        <w:t xml:space="preserve">T.P.R. </w:t>
      </w:r>
      <w:r w:rsidRPr="006460FD">
        <w:rPr>
          <w:sz w:val="20"/>
          <w:lang w:val="nl-BE"/>
        </w:rPr>
        <w:t xml:space="preserve">2006, 1009; </w:t>
      </w:r>
      <w:r w:rsidRPr="006460FD">
        <w:rPr>
          <w:smallCaps/>
          <w:sz w:val="20"/>
          <w:lang w:val="nl-BE"/>
        </w:rPr>
        <w:t>G. Van haegenborghg</w:t>
      </w:r>
      <w:r w:rsidRPr="006460FD">
        <w:rPr>
          <w:sz w:val="20"/>
          <w:lang w:val="nl-BE"/>
        </w:rPr>
        <w:t xml:space="preserve">, “Het landbouwvoorrecht”, </w:t>
      </w:r>
      <w:r>
        <w:rPr>
          <w:sz w:val="20"/>
          <w:lang w:val="nl-BE"/>
        </w:rPr>
        <w:t xml:space="preserve">in </w:t>
      </w:r>
      <w:r w:rsidRPr="00971D9B">
        <w:rPr>
          <w:i/>
          <w:sz w:val="20"/>
          <w:lang w:val="nl-BE"/>
        </w:rPr>
        <w:t>Voorrechten en Hypotheken</w:t>
      </w:r>
      <w:r w:rsidRPr="006460FD">
        <w:rPr>
          <w:sz w:val="20"/>
          <w:lang w:val="nl-BE"/>
        </w:rPr>
        <w:t xml:space="preserve">, 23; </w:t>
      </w:r>
      <w:r w:rsidRPr="006460FD">
        <w:rPr>
          <w:smallCaps/>
          <w:sz w:val="20"/>
          <w:szCs w:val="20"/>
          <w:lang w:val="nl-BE"/>
        </w:rPr>
        <w:t xml:space="preserve">R. Jansen, V. Sagaert, </w:t>
      </w:r>
      <w:r w:rsidRPr="006460FD">
        <w:rPr>
          <w:sz w:val="20"/>
          <w:szCs w:val="20"/>
          <w:lang w:val="nl-BE"/>
        </w:rPr>
        <w:t xml:space="preserve">“Bijzondere voorrechten”, </w:t>
      </w:r>
      <w:r w:rsidRPr="006460FD">
        <w:rPr>
          <w:i/>
          <w:sz w:val="20"/>
          <w:szCs w:val="20"/>
          <w:lang w:val="nl-BE"/>
        </w:rPr>
        <w:t xml:space="preserve">TPR </w:t>
      </w:r>
      <w:r w:rsidRPr="006460FD">
        <w:rPr>
          <w:sz w:val="20"/>
          <w:szCs w:val="20"/>
          <w:lang w:val="nl-BE"/>
        </w:rPr>
        <w:t>2012, 1312.</w:t>
      </w:r>
      <w:r w:rsidRPr="006460FD">
        <w:rPr>
          <w:sz w:val="20"/>
          <w:lang w:val="nl-BE"/>
        </w:rPr>
        <w:t xml:space="preserve"> </w:t>
      </w:r>
    </w:p>
  </w:footnote>
  <w:footnote w:id="174">
    <w:p w14:paraId="59A9AB93" w14:textId="77777777" w:rsidR="00C97F8C" w:rsidRPr="00941BB6" w:rsidRDefault="00C97F8C" w:rsidP="00B768BB">
      <w:pPr>
        <w:pStyle w:val="Voetnoottekst"/>
        <w:rPr>
          <w:sz w:val="20"/>
          <w:lang w:val="nl-BE"/>
        </w:rPr>
      </w:pPr>
      <w:r>
        <w:rPr>
          <w:rStyle w:val="Voetnootmarkering"/>
        </w:rPr>
        <w:footnoteRef/>
      </w:r>
      <w:r>
        <w:t xml:space="preserve"> </w:t>
      </w:r>
      <w:r>
        <w:rPr>
          <w:sz w:val="20"/>
          <w:lang w:val="nl-BE"/>
        </w:rPr>
        <w:t xml:space="preserve">Artikel 4bis </w:t>
      </w:r>
      <w:r>
        <w:rPr>
          <w:sz w:val="20"/>
        </w:rPr>
        <w:t>w</w:t>
      </w:r>
      <w:r w:rsidRPr="00862B0F">
        <w:rPr>
          <w:sz w:val="20"/>
        </w:rPr>
        <w:t xml:space="preserve">et van  15 april 1884 betreffende de landbouwlening, </w:t>
      </w:r>
      <w:r w:rsidRPr="00862B0F">
        <w:rPr>
          <w:i/>
          <w:sz w:val="20"/>
        </w:rPr>
        <w:t xml:space="preserve">BS </w:t>
      </w:r>
      <w:r w:rsidRPr="00862B0F">
        <w:rPr>
          <w:sz w:val="20"/>
        </w:rPr>
        <w:t xml:space="preserve"> 11 mei 1884</w:t>
      </w:r>
      <w:r>
        <w:rPr>
          <w:sz w:val="20"/>
        </w:rPr>
        <w:t>.</w:t>
      </w:r>
    </w:p>
  </w:footnote>
  <w:footnote w:id="175">
    <w:p w14:paraId="5D27F9DF" w14:textId="41E39A98" w:rsidR="00C97F8C" w:rsidRPr="004F6390" w:rsidRDefault="00C97F8C" w:rsidP="00B768BB">
      <w:pPr>
        <w:pStyle w:val="Voetnoottekst"/>
        <w:rPr>
          <w:sz w:val="20"/>
        </w:rPr>
      </w:pPr>
      <w:r w:rsidRPr="00862B0F">
        <w:rPr>
          <w:rStyle w:val="Voetnootmarkering"/>
          <w:sz w:val="20"/>
        </w:rPr>
        <w:footnoteRef/>
      </w:r>
      <w:r w:rsidRPr="00862B0F">
        <w:rPr>
          <w:sz w:val="20"/>
        </w:rPr>
        <w:t xml:space="preserve"> </w:t>
      </w:r>
      <w:r>
        <w:rPr>
          <w:sz w:val="20"/>
        </w:rPr>
        <w:t xml:space="preserve">Een uitgebreide bespreking van deze krachtlijnen valt buiten het bestek van deze thesis. Voor een grondig overzicht van de doelstellingen en kernpunten van de hervorming zie: </w:t>
      </w:r>
      <w:r w:rsidRPr="00862B0F">
        <w:rPr>
          <w:sz w:val="20"/>
        </w:rPr>
        <w:t xml:space="preserve">MvT </w:t>
      </w:r>
      <w:r w:rsidRPr="00862B0F">
        <w:rPr>
          <w:i/>
          <w:sz w:val="20"/>
        </w:rPr>
        <w:t xml:space="preserve">Parl.St., </w:t>
      </w:r>
      <w:r w:rsidRPr="00862B0F">
        <w:rPr>
          <w:sz w:val="20"/>
        </w:rPr>
        <w:t xml:space="preserve">Kamer 2012-13, nr. 2463/001, 9-10; </w:t>
      </w:r>
      <w:r w:rsidRPr="00862B0F">
        <w:rPr>
          <w:smallCaps/>
          <w:sz w:val="20"/>
        </w:rPr>
        <w:t xml:space="preserve">E. Dirix, </w:t>
      </w:r>
      <w:r w:rsidRPr="00862B0F">
        <w:rPr>
          <w:i/>
          <w:sz w:val="20"/>
        </w:rPr>
        <w:t xml:space="preserve">De hervorming van de roerende zakelijke zekerheden, </w:t>
      </w:r>
      <w:r w:rsidRPr="00862B0F">
        <w:rPr>
          <w:sz w:val="20"/>
        </w:rPr>
        <w:t xml:space="preserve">Mechelen, Kluwer, 2013, 1-2; X, “Zakelijke zekerheden”, </w:t>
      </w:r>
      <w:r w:rsidRPr="00862B0F">
        <w:rPr>
          <w:i/>
          <w:sz w:val="20"/>
        </w:rPr>
        <w:t xml:space="preserve">NJW </w:t>
      </w:r>
      <w:r>
        <w:rPr>
          <w:sz w:val="20"/>
        </w:rPr>
        <w:t xml:space="preserve">2013, 648; </w:t>
      </w:r>
      <w:r>
        <w:rPr>
          <w:smallCaps/>
          <w:sz w:val="20"/>
        </w:rPr>
        <w:t xml:space="preserve">E. Dirix, </w:t>
      </w:r>
      <w:r>
        <w:rPr>
          <w:sz w:val="20"/>
        </w:rPr>
        <w:t xml:space="preserve">“België kiest voor een centraal pandregister”, </w:t>
      </w:r>
      <w:r>
        <w:rPr>
          <w:i/>
          <w:sz w:val="20"/>
        </w:rPr>
        <w:t xml:space="preserve">TvL </w:t>
      </w:r>
      <w:r>
        <w:rPr>
          <w:sz w:val="20"/>
        </w:rPr>
        <w:t xml:space="preserve">2014, 1; </w:t>
      </w:r>
      <w:r>
        <w:rPr>
          <w:smallCaps/>
          <w:sz w:val="20"/>
        </w:rPr>
        <w:t xml:space="preserve">P. Becue, </w:t>
      </w:r>
      <w:r>
        <w:rPr>
          <w:sz w:val="20"/>
        </w:rPr>
        <w:t>“</w:t>
      </w:r>
      <w:r w:rsidRPr="00C01AE6">
        <w:rPr>
          <w:sz w:val="20"/>
        </w:rPr>
        <w:t xml:space="preserve">De wet van 11 juli 2013 met betrekking tot de hervorming van zakelijke zekerheden op roerende goederen (nieuwe </w:t>
      </w:r>
      <w:proofErr w:type="spellStart"/>
      <w:r w:rsidRPr="00C01AE6">
        <w:rPr>
          <w:sz w:val="20"/>
        </w:rPr>
        <w:t>pandwet</w:t>
      </w:r>
      <w:proofErr w:type="spellEnd"/>
      <w:r w:rsidRPr="00C01AE6">
        <w:rPr>
          <w:sz w:val="20"/>
        </w:rPr>
        <w:t>)</w:t>
      </w:r>
      <w:r>
        <w:rPr>
          <w:sz w:val="20"/>
        </w:rPr>
        <w:t xml:space="preserve">”, </w:t>
      </w:r>
      <w:r>
        <w:rPr>
          <w:i/>
          <w:sz w:val="20"/>
        </w:rPr>
        <w:t xml:space="preserve">T. Verz. </w:t>
      </w:r>
      <w:r>
        <w:rPr>
          <w:sz w:val="20"/>
        </w:rPr>
        <w:t xml:space="preserve">2014, 357; </w:t>
      </w:r>
      <w:r>
        <w:rPr>
          <w:smallCaps/>
          <w:sz w:val="20"/>
        </w:rPr>
        <w:t xml:space="preserve">L. Deltomme, </w:t>
      </w:r>
      <w:r>
        <w:rPr>
          <w:sz w:val="20"/>
        </w:rPr>
        <w:t xml:space="preserve">“De hervorming van de zakelijke zekerheden”, </w:t>
      </w:r>
      <w:r>
        <w:rPr>
          <w:i/>
          <w:sz w:val="20"/>
        </w:rPr>
        <w:t xml:space="preserve">Nieuw Notarieel Kwartaaltijdschrift </w:t>
      </w:r>
      <w:r>
        <w:rPr>
          <w:sz w:val="20"/>
        </w:rPr>
        <w:t>2015, 9.</w:t>
      </w:r>
    </w:p>
  </w:footnote>
  <w:footnote w:id="176">
    <w:p w14:paraId="61A9C730" w14:textId="59BC1E94" w:rsidR="00C97F8C" w:rsidRPr="001E5502" w:rsidRDefault="00C97F8C" w:rsidP="00B768BB">
      <w:pPr>
        <w:pStyle w:val="Voetnoottekst"/>
        <w:rPr>
          <w:sz w:val="20"/>
        </w:rPr>
      </w:pPr>
      <w:r w:rsidRPr="00862B0F">
        <w:rPr>
          <w:rStyle w:val="Voetnootmarkering"/>
          <w:sz w:val="20"/>
        </w:rPr>
        <w:footnoteRef/>
      </w:r>
      <w:r w:rsidRPr="00862B0F">
        <w:rPr>
          <w:sz w:val="20"/>
        </w:rPr>
        <w:t xml:space="preserve"> </w:t>
      </w:r>
      <w:r>
        <w:rPr>
          <w:sz w:val="20"/>
        </w:rPr>
        <w:t>S</w:t>
      </w:r>
      <w:r w:rsidRPr="00862B0F">
        <w:rPr>
          <w:smallCaps/>
          <w:sz w:val="20"/>
        </w:rPr>
        <w:t>. Bogaerts</w:t>
      </w:r>
      <w:r w:rsidRPr="00862B0F">
        <w:rPr>
          <w:sz w:val="20"/>
        </w:rPr>
        <w:t xml:space="preserve">. en </w:t>
      </w:r>
      <w:r w:rsidRPr="00862B0F">
        <w:rPr>
          <w:smallCaps/>
          <w:sz w:val="20"/>
        </w:rPr>
        <w:t>V. Sagaert</w:t>
      </w:r>
      <w:r w:rsidRPr="00862B0F">
        <w:rPr>
          <w:sz w:val="20"/>
        </w:rPr>
        <w:t>, “Nieuwe Pandwet: grondige hervorming van zekerheden op roerende goederen”, Balans 2013, 2;</w:t>
      </w:r>
      <w:r>
        <w:rPr>
          <w:sz w:val="20"/>
        </w:rPr>
        <w:t xml:space="preserve"> </w:t>
      </w:r>
      <w:r>
        <w:rPr>
          <w:smallCaps/>
          <w:sz w:val="20"/>
        </w:rPr>
        <w:t>J. Cattaruzza, “</w:t>
      </w:r>
      <w:r>
        <w:rPr>
          <w:sz w:val="20"/>
        </w:rPr>
        <w:t xml:space="preserve">Les </w:t>
      </w:r>
      <w:proofErr w:type="spellStart"/>
      <w:r>
        <w:rPr>
          <w:sz w:val="20"/>
        </w:rPr>
        <w:t>grands</w:t>
      </w:r>
      <w:proofErr w:type="spellEnd"/>
      <w:r>
        <w:rPr>
          <w:sz w:val="20"/>
        </w:rPr>
        <w:t xml:space="preserve"> </w:t>
      </w:r>
      <w:proofErr w:type="spellStart"/>
      <w:r>
        <w:rPr>
          <w:sz w:val="20"/>
        </w:rPr>
        <w:t>axes</w:t>
      </w:r>
      <w:proofErr w:type="spellEnd"/>
      <w:r>
        <w:rPr>
          <w:sz w:val="20"/>
        </w:rPr>
        <w:t xml:space="preserve"> de la réforme des sûretés mobilières”, Forum Financier/Droit bancaire et financier 2013, 185;</w:t>
      </w:r>
      <w:r w:rsidRPr="00862B0F">
        <w:rPr>
          <w:sz w:val="20"/>
        </w:rPr>
        <w:t xml:space="preserve"> </w:t>
      </w:r>
      <w:r w:rsidRPr="00862B0F">
        <w:rPr>
          <w:smallCaps/>
          <w:sz w:val="20"/>
        </w:rPr>
        <w:t xml:space="preserve">J. Del Corral, </w:t>
      </w:r>
      <w:r w:rsidRPr="00862B0F">
        <w:rPr>
          <w:sz w:val="20"/>
        </w:rPr>
        <w:t xml:space="preserve">“Zekerheidsrechten – Stand van zaken”,  </w:t>
      </w:r>
      <w:r w:rsidRPr="00862B0F">
        <w:rPr>
          <w:smallCaps/>
          <w:sz w:val="20"/>
        </w:rPr>
        <w:t xml:space="preserve"> </w:t>
      </w:r>
      <w:r w:rsidRPr="00862B0F">
        <w:rPr>
          <w:i/>
          <w:smallCaps/>
          <w:sz w:val="20"/>
        </w:rPr>
        <w:t xml:space="preserve">NJW </w:t>
      </w:r>
      <w:r w:rsidRPr="00862B0F">
        <w:rPr>
          <w:smallCaps/>
          <w:sz w:val="20"/>
        </w:rPr>
        <w:t>2014</w:t>
      </w:r>
      <w:r w:rsidRPr="00862B0F">
        <w:rPr>
          <w:i/>
          <w:smallCaps/>
          <w:sz w:val="20"/>
        </w:rPr>
        <w:t xml:space="preserve">, </w:t>
      </w:r>
      <w:r w:rsidRPr="00862B0F">
        <w:rPr>
          <w:smallCaps/>
          <w:sz w:val="20"/>
        </w:rPr>
        <w:t xml:space="preserve">579; E. Dirix ,  </w:t>
      </w:r>
      <w:r w:rsidRPr="00862B0F">
        <w:rPr>
          <w:i/>
          <w:sz w:val="20"/>
        </w:rPr>
        <w:t xml:space="preserve">De hervorming van de roerende zakelijke zekerheden, </w:t>
      </w:r>
      <w:r w:rsidRPr="00862B0F">
        <w:rPr>
          <w:sz w:val="20"/>
        </w:rPr>
        <w:t xml:space="preserve">Mechelen, Kluwer, 2013, 2; </w:t>
      </w:r>
      <w:r w:rsidRPr="00862B0F">
        <w:rPr>
          <w:smallCaps/>
          <w:sz w:val="20"/>
        </w:rPr>
        <w:t xml:space="preserve">F. Georges, </w:t>
      </w:r>
      <w:r>
        <w:rPr>
          <w:sz w:val="20"/>
        </w:rPr>
        <w:t>“La réforme des sûre</w:t>
      </w:r>
      <w:r w:rsidRPr="00862B0F">
        <w:rPr>
          <w:sz w:val="20"/>
        </w:rPr>
        <w:t xml:space="preserve">tés </w:t>
      </w:r>
      <w:proofErr w:type="spellStart"/>
      <w:r w:rsidRPr="00862B0F">
        <w:rPr>
          <w:sz w:val="20"/>
        </w:rPr>
        <w:t>mobolières</w:t>
      </w:r>
      <w:proofErr w:type="spellEnd"/>
      <w:r w:rsidRPr="00862B0F">
        <w:rPr>
          <w:sz w:val="20"/>
        </w:rPr>
        <w:t xml:space="preserve">”, </w:t>
      </w:r>
      <w:r w:rsidRPr="00862B0F">
        <w:rPr>
          <w:i/>
          <w:sz w:val="20"/>
        </w:rPr>
        <w:t xml:space="preserve">Ius en Actores </w:t>
      </w:r>
      <w:r w:rsidRPr="00862B0F">
        <w:rPr>
          <w:sz w:val="20"/>
        </w:rPr>
        <w:t xml:space="preserve">2013,  72; </w:t>
      </w:r>
      <w:r w:rsidRPr="00862B0F">
        <w:rPr>
          <w:smallCaps/>
          <w:sz w:val="20"/>
        </w:rPr>
        <w:t xml:space="preserve">C.A. Van Oldendeel, </w:t>
      </w:r>
      <w:r w:rsidRPr="00862B0F">
        <w:rPr>
          <w:sz w:val="20"/>
        </w:rPr>
        <w:t xml:space="preserve">“Sûretés mobilières: une reforme en profondeur”,  </w:t>
      </w:r>
      <w:r w:rsidRPr="00862B0F">
        <w:rPr>
          <w:i/>
          <w:sz w:val="20"/>
        </w:rPr>
        <w:t xml:space="preserve">Bull. Ass. </w:t>
      </w:r>
      <w:r w:rsidRPr="00862B0F">
        <w:rPr>
          <w:sz w:val="20"/>
        </w:rPr>
        <w:t>2013, 374;</w:t>
      </w:r>
      <w:r>
        <w:rPr>
          <w:sz w:val="20"/>
        </w:rPr>
        <w:t xml:space="preserve"> </w:t>
      </w:r>
      <w:r w:rsidRPr="00862B0F">
        <w:rPr>
          <w:smallCaps/>
          <w:sz w:val="20"/>
        </w:rPr>
        <w:t xml:space="preserve">R. Steennot, </w:t>
      </w:r>
      <w:r w:rsidRPr="00862B0F">
        <w:rPr>
          <w:sz w:val="20"/>
        </w:rPr>
        <w:t xml:space="preserve">“Algemene regeling van het pand” in in J. </w:t>
      </w:r>
      <w:r w:rsidRPr="00862B0F">
        <w:rPr>
          <w:smallCaps/>
          <w:sz w:val="20"/>
        </w:rPr>
        <w:t xml:space="preserve">Baeck </w:t>
      </w:r>
      <w:r w:rsidRPr="00862B0F">
        <w:rPr>
          <w:sz w:val="20"/>
        </w:rPr>
        <w:t xml:space="preserve">en M. </w:t>
      </w:r>
      <w:r w:rsidRPr="00862B0F">
        <w:rPr>
          <w:smallCaps/>
          <w:sz w:val="20"/>
        </w:rPr>
        <w:t xml:space="preserve">Kruithof </w:t>
      </w:r>
      <w:r w:rsidRPr="00862B0F">
        <w:rPr>
          <w:sz w:val="20"/>
        </w:rPr>
        <w:t xml:space="preserve">(eds.), </w:t>
      </w:r>
      <w:r w:rsidRPr="00862B0F">
        <w:rPr>
          <w:i/>
          <w:sz w:val="20"/>
        </w:rPr>
        <w:t xml:space="preserve">Het nieuwe zekerheidsrecht, </w:t>
      </w:r>
      <w:r w:rsidRPr="00862B0F">
        <w:rPr>
          <w:sz w:val="20"/>
        </w:rPr>
        <w:t>Antwerp</w:t>
      </w:r>
      <w:r>
        <w:rPr>
          <w:sz w:val="20"/>
        </w:rPr>
        <w:t>en, Intersentia, 2014, 28;</w:t>
      </w:r>
      <w:r w:rsidRPr="00862B0F">
        <w:rPr>
          <w:sz w:val="20"/>
        </w:rPr>
        <w:t xml:space="preserve"> X, “Zakelijke zekerheden”, </w:t>
      </w:r>
      <w:r w:rsidRPr="00862B0F">
        <w:rPr>
          <w:i/>
          <w:sz w:val="20"/>
        </w:rPr>
        <w:t xml:space="preserve">NJW </w:t>
      </w:r>
      <w:r>
        <w:rPr>
          <w:sz w:val="20"/>
        </w:rPr>
        <w:t xml:space="preserve">2013, 648; </w:t>
      </w:r>
      <w:r>
        <w:rPr>
          <w:smallCaps/>
          <w:sz w:val="20"/>
        </w:rPr>
        <w:t xml:space="preserve">M. Grégoire, </w:t>
      </w:r>
      <w:r>
        <w:rPr>
          <w:sz w:val="20"/>
        </w:rPr>
        <w:t xml:space="preserve">“Le modification du Code Civil en ce qui concerne les sûretés réelles mobilières”, in </w:t>
      </w:r>
      <w:r>
        <w:rPr>
          <w:i/>
          <w:sz w:val="20"/>
        </w:rPr>
        <w:t>Insolvabilités et garanties</w:t>
      </w:r>
      <w:r>
        <w:rPr>
          <w:sz w:val="20"/>
        </w:rPr>
        <w:t xml:space="preserve">, Brussel, Larcier 2014, 13; </w:t>
      </w:r>
      <w:r>
        <w:rPr>
          <w:smallCaps/>
          <w:sz w:val="20"/>
        </w:rPr>
        <w:t xml:space="preserve">L. Deltomme, </w:t>
      </w:r>
      <w:r>
        <w:rPr>
          <w:sz w:val="20"/>
        </w:rPr>
        <w:t xml:space="preserve">“De hervorming van de zakelijke zekerheden”, </w:t>
      </w:r>
      <w:r>
        <w:rPr>
          <w:i/>
          <w:sz w:val="20"/>
        </w:rPr>
        <w:t xml:space="preserve">Nieuw Notarieel Kwartaaltijdschrift </w:t>
      </w:r>
      <w:r>
        <w:rPr>
          <w:sz w:val="20"/>
        </w:rPr>
        <w:t>2015, 12;</w:t>
      </w:r>
      <w:r>
        <w:rPr>
          <w:smallCaps/>
          <w:sz w:val="20"/>
        </w:rPr>
        <w:t xml:space="preserve"> J. Baeck. </w:t>
      </w:r>
      <w:r>
        <w:rPr>
          <w:sz w:val="20"/>
        </w:rPr>
        <w:t xml:space="preserve">“Artikel 24 en 25 Pandwet”, </w:t>
      </w:r>
      <w:r>
        <w:rPr>
          <w:i/>
          <w:sz w:val="20"/>
        </w:rPr>
        <w:t xml:space="preserve">Voorrechten en hypotheken </w:t>
      </w:r>
      <w:r>
        <w:rPr>
          <w:sz w:val="20"/>
        </w:rPr>
        <w:t xml:space="preserve">2015, 44; </w:t>
      </w:r>
      <w:r>
        <w:rPr>
          <w:smallCaps/>
          <w:sz w:val="20"/>
        </w:rPr>
        <w:t xml:space="preserve">J. Baeck, </w:t>
      </w:r>
      <w:r>
        <w:rPr>
          <w:sz w:val="20"/>
        </w:rPr>
        <w:t xml:space="preserve">“Commentaar bij artikel 21 Pandwet”, </w:t>
      </w:r>
      <w:r>
        <w:rPr>
          <w:i/>
          <w:sz w:val="20"/>
        </w:rPr>
        <w:t xml:space="preserve">Voorrechten en Hypotheken </w:t>
      </w:r>
      <w:r>
        <w:rPr>
          <w:sz w:val="20"/>
        </w:rPr>
        <w:t>2015, 39.</w:t>
      </w:r>
    </w:p>
  </w:footnote>
  <w:footnote w:id="177">
    <w:p w14:paraId="494B5AD9"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Artikel 3:235 NBW; Companies Act 2006; Artikel 2333 Code Civil Français; MvT, </w:t>
      </w:r>
      <w:proofErr w:type="spellStart"/>
      <w:r w:rsidRPr="00862B0F">
        <w:rPr>
          <w:i/>
          <w:sz w:val="20"/>
        </w:rPr>
        <w:t>ParlSt</w:t>
      </w:r>
      <w:proofErr w:type="spellEnd"/>
      <w:r w:rsidRPr="00862B0F">
        <w:rPr>
          <w:i/>
          <w:sz w:val="20"/>
        </w:rPr>
        <w:t xml:space="preserve">., </w:t>
      </w:r>
      <w:r w:rsidRPr="00862B0F">
        <w:rPr>
          <w:sz w:val="20"/>
        </w:rPr>
        <w:t>Kamer 2012-13, nr. 2463/001.</w:t>
      </w:r>
    </w:p>
  </w:footnote>
  <w:footnote w:id="178">
    <w:p w14:paraId="6AE90B93" w14:textId="23FBF6E7" w:rsidR="00C97F8C" w:rsidRPr="00894EBB" w:rsidRDefault="00C97F8C" w:rsidP="00B768BB">
      <w:pPr>
        <w:pStyle w:val="Voetnoottekst"/>
        <w:rPr>
          <w:sz w:val="20"/>
          <w:lang w:val="nl-BE"/>
        </w:rPr>
      </w:pPr>
      <w:r w:rsidRPr="00862B0F">
        <w:rPr>
          <w:rStyle w:val="Voetnootmarkering"/>
          <w:sz w:val="20"/>
        </w:rPr>
        <w:footnoteRef/>
      </w:r>
      <w:r w:rsidRPr="00862B0F">
        <w:rPr>
          <w:sz w:val="20"/>
        </w:rPr>
        <w:t xml:space="preserve"> A</w:t>
      </w:r>
      <w:r>
        <w:rPr>
          <w:sz w:val="20"/>
        </w:rPr>
        <w:t xml:space="preserve">rtikel 2333 Code Civil Français; </w:t>
      </w:r>
      <w:r w:rsidRPr="00862B0F">
        <w:rPr>
          <w:sz w:val="20"/>
        </w:rPr>
        <w:t>Artikel L. 527-1 Code de Commerce;</w:t>
      </w:r>
      <w:r>
        <w:rPr>
          <w:sz w:val="20"/>
        </w:rPr>
        <w:t xml:space="preserve"> </w:t>
      </w:r>
      <w:r>
        <w:rPr>
          <w:smallCaps/>
          <w:sz w:val="20"/>
        </w:rPr>
        <w:t xml:space="preserve">D. Legeais, </w:t>
      </w:r>
      <w:r>
        <w:rPr>
          <w:i/>
          <w:sz w:val="20"/>
        </w:rPr>
        <w:t xml:space="preserve">Sûretés et garanties du crédit, </w:t>
      </w:r>
      <w:r>
        <w:rPr>
          <w:sz w:val="20"/>
        </w:rPr>
        <w:t xml:space="preserve">Parijs, LGDJ Lextenso éditions 2011, 417; </w:t>
      </w:r>
      <w:r>
        <w:rPr>
          <w:smallCaps/>
          <w:sz w:val="20"/>
        </w:rPr>
        <w:t xml:space="preserve">R. Damann, G. Podeur, </w:t>
      </w:r>
      <w:r>
        <w:rPr>
          <w:sz w:val="20"/>
        </w:rPr>
        <w:t>“</w:t>
      </w:r>
      <w:r w:rsidRPr="00511009">
        <w:rPr>
          <w:sz w:val="20"/>
        </w:rPr>
        <w:t>Le nouveau paysage du droit des sûr</w:t>
      </w:r>
      <w:r>
        <w:rPr>
          <w:sz w:val="20"/>
        </w:rPr>
        <w:t>etés</w:t>
      </w:r>
      <w:r w:rsidRPr="00511009">
        <w:rPr>
          <w:sz w:val="20"/>
        </w:rPr>
        <w:t>: première étape de la réforme de la fiducie et du gage sans dépossession</w:t>
      </w:r>
      <w:r>
        <w:rPr>
          <w:sz w:val="20"/>
        </w:rPr>
        <w:t xml:space="preserve">”, </w:t>
      </w:r>
      <w:r>
        <w:rPr>
          <w:i/>
          <w:sz w:val="20"/>
        </w:rPr>
        <w:t xml:space="preserve">Recueil Dalloz </w:t>
      </w:r>
      <w:r>
        <w:rPr>
          <w:sz w:val="20"/>
        </w:rPr>
        <w:t>2008, 2300;</w:t>
      </w:r>
      <w:r w:rsidRPr="00862B0F">
        <w:rPr>
          <w:sz w:val="20"/>
        </w:rPr>
        <w:t xml:space="preserve"> </w:t>
      </w:r>
      <w:r w:rsidRPr="00862B0F">
        <w:rPr>
          <w:smallCaps/>
          <w:sz w:val="20"/>
        </w:rPr>
        <w:t xml:space="preserve">P. Ancel, </w:t>
      </w:r>
      <w:r w:rsidRPr="00862B0F">
        <w:rPr>
          <w:sz w:val="20"/>
        </w:rPr>
        <w:t xml:space="preserve">“La réforme du droit des </w:t>
      </w:r>
      <w:proofErr w:type="spellStart"/>
      <w:r w:rsidRPr="00862B0F">
        <w:rPr>
          <w:sz w:val="20"/>
        </w:rPr>
        <w:t>suretés</w:t>
      </w:r>
      <w:proofErr w:type="spellEnd"/>
      <w:r w:rsidRPr="00862B0F">
        <w:rPr>
          <w:sz w:val="20"/>
        </w:rPr>
        <w:t xml:space="preserve"> en France” in </w:t>
      </w:r>
      <w:r w:rsidRPr="00862B0F">
        <w:rPr>
          <w:i/>
          <w:sz w:val="20"/>
        </w:rPr>
        <w:t>La réforme du droit privé en France</w:t>
      </w:r>
      <w:r>
        <w:rPr>
          <w:sz w:val="20"/>
        </w:rPr>
        <w:t>, Brussel, Larcier 2009, 39-40; P</w:t>
      </w:r>
      <w:r>
        <w:rPr>
          <w:smallCaps/>
          <w:sz w:val="20"/>
          <w:lang w:val="nl-BE"/>
        </w:rPr>
        <w:t xml:space="preserve">. Simler, P. Delebecque, </w:t>
      </w:r>
      <w:r>
        <w:rPr>
          <w:i/>
          <w:sz w:val="20"/>
          <w:lang w:val="nl-BE"/>
        </w:rPr>
        <w:t xml:space="preserve">Les sûretés, la publicité foncière, </w:t>
      </w:r>
      <w:r>
        <w:rPr>
          <w:sz w:val="20"/>
          <w:lang w:val="nl-BE"/>
        </w:rPr>
        <w:t xml:space="preserve">Parijs, Dalloz 2009, 605; </w:t>
      </w:r>
      <w:r>
        <w:rPr>
          <w:smallCaps/>
          <w:sz w:val="20"/>
          <w:lang w:val="nl-BE"/>
        </w:rPr>
        <w:t xml:space="preserve">M. Cabrillac, C. Mouly, S. Cabrillac, P. Pétel, </w:t>
      </w:r>
      <w:r>
        <w:rPr>
          <w:i/>
          <w:sz w:val="20"/>
          <w:lang w:val="nl-BE"/>
        </w:rPr>
        <w:t xml:space="preserve">Droit des sûretés, </w:t>
      </w:r>
      <w:r>
        <w:rPr>
          <w:sz w:val="20"/>
          <w:lang w:val="nl-BE"/>
        </w:rPr>
        <w:t xml:space="preserve">Parijs, Litec 2010, 551; </w:t>
      </w:r>
      <w:r>
        <w:rPr>
          <w:smallCaps/>
          <w:sz w:val="20"/>
        </w:rPr>
        <w:t xml:space="preserve">Y. Picod, </w:t>
      </w:r>
      <w:r>
        <w:rPr>
          <w:i/>
          <w:sz w:val="20"/>
        </w:rPr>
        <w:t>Droit des sûretés,</w:t>
      </w:r>
      <w:r>
        <w:rPr>
          <w:sz w:val="20"/>
        </w:rPr>
        <w:t xml:space="preserve"> Parijs, Presses Universitaires de France 2011, 290; </w:t>
      </w:r>
      <w:r>
        <w:rPr>
          <w:smallCaps/>
          <w:sz w:val="20"/>
        </w:rPr>
        <w:t xml:space="preserve">L. Andreu, </w:t>
      </w:r>
      <w:r>
        <w:rPr>
          <w:sz w:val="20"/>
        </w:rPr>
        <w:t xml:space="preserve">“Gage avec dépossession contre gage sans dépossession”, </w:t>
      </w:r>
      <w:r>
        <w:rPr>
          <w:i/>
          <w:sz w:val="20"/>
        </w:rPr>
        <w:t xml:space="preserve">Recueil Dalloz </w:t>
      </w:r>
      <w:r>
        <w:rPr>
          <w:sz w:val="20"/>
        </w:rPr>
        <w:t xml:space="preserve">2012, 1761; </w:t>
      </w:r>
      <w:r>
        <w:rPr>
          <w:smallCaps/>
          <w:sz w:val="20"/>
          <w:lang w:val="nl-BE"/>
        </w:rPr>
        <w:t xml:space="preserve">L. Aynès, P. Crocq, </w:t>
      </w:r>
      <w:r>
        <w:rPr>
          <w:i/>
          <w:sz w:val="20"/>
          <w:lang w:val="nl-BE"/>
        </w:rPr>
        <w:t xml:space="preserve">Droit des sûretés, </w:t>
      </w:r>
      <w:r>
        <w:rPr>
          <w:sz w:val="20"/>
          <w:lang w:val="nl-BE"/>
        </w:rPr>
        <w:t>Issy-Les-Moulineaux, LGDJ lextenso éditions 2015, 278.</w:t>
      </w:r>
    </w:p>
  </w:footnote>
  <w:footnote w:id="179">
    <w:p w14:paraId="096DF0F4" w14:textId="77777777" w:rsidR="00C97F8C" w:rsidRPr="00862B0F" w:rsidRDefault="00C97F8C" w:rsidP="00B768BB">
      <w:pPr>
        <w:pStyle w:val="Voetnoottekst"/>
        <w:rPr>
          <w:sz w:val="20"/>
        </w:rPr>
      </w:pPr>
      <w:r w:rsidRPr="00862B0F">
        <w:rPr>
          <w:rStyle w:val="Voetnootmarkering"/>
          <w:sz w:val="20"/>
        </w:rPr>
        <w:footnoteRef/>
      </w:r>
      <w:r>
        <w:rPr>
          <w:sz w:val="20"/>
        </w:rPr>
        <w:t xml:space="preserve"> </w:t>
      </w:r>
      <w:r w:rsidRPr="00862B0F">
        <w:rPr>
          <w:smallCaps/>
          <w:sz w:val="20"/>
        </w:rPr>
        <w:t xml:space="preserve">H.J. Snijders en E.B. Rank-Berenschoot, </w:t>
      </w:r>
      <w:r w:rsidRPr="00862B0F">
        <w:rPr>
          <w:i/>
          <w:sz w:val="20"/>
        </w:rPr>
        <w:t xml:space="preserve">Goederenrecht, </w:t>
      </w:r>
      <w:r>
        <w:rPr>
          <w:sz w:val="20"/>
        </w:rPr>
        <w:t xml:space="preserve">Deventer, Kluwer, 2012, 582; </w:t>
      </w:r>
      <w:r>
        <w:rPr>
          <w:smallCaps/>
          <w:sz w:val="20"/>
        </w:rPr>
        <w:t xml:space="preserve">E. Dirix, </w:t>
      </w:r>
      <w:r>
        <w:rPr>
          <w:sz w:val="20"/>
        </w:rPr>
        <w:t xml:space="preserve">“België kiest voor een centraal pandregister”, </w:t>
      </w:r>
      <w:r>
        <w:rPr>
          <w:i/>
          <w:sz w:val="20"/>
        </w:rPr>
        <w:t xml:space="preserve">TvL </w:t>
      </w:r>
      <w:r>
        <w:rPr>
          <w:sz w:val="20"/>
        </w:rPr>
        <w:t xml:space="preserve">2014, 1; </w:t>
      </w:r>
      <w:r>
        <w:rPr>
          <w:smallCaps/>
          <w:sz w:val="20"/>
        </w:rPr>
        <w:t xml:space="preserve">P.A. Stein, </w:t>
      </w:r>
      <w:r>
        <w:rPr>
          <w:sz w:val="20"/>
        </w:rPr>
        <w:t xml:space="preserve">“Bezitloos pandrecht volgens het Draft Common Frame of Reference”, </w:t>
      </w:r>
      <w:r>
        <w:rPr>
          <w:i/>
          <w:sz w:val="20"/>
        </w:rPr>
        <w:t>GS Vermogensrecht</w:t>
      </w:r>
      <w:r>
        <w:rPr>
          <w:sz w:val="20"/>
        </w:rPr>
        <w:t xml:space="preserve"> 2015, 1.</w:t>
      </w:r>
    </w:p>
  </w:footnote>
  <w:footnote w:id="180">
    <w:p w14:paraId="59C17F81" w14:textId="3E1B403B" w:rsidR="00C97F8C" w:rsidRPr="00862B0F" w:rsidRDefault="00C97F8C" w:rsidP="00B768BB">
      <w:pPr>
        <w:pStyle w:val="Voetnoottekst"/>
        <w:rPr>
          <w:sz w:val="20"/>
        </w:rPr>
      </w:pPr>
      <w:r w:rsidRPr="00862B0F">
        <w:rPr>
          <w:rStyle w:val="Voetnootmarkering"/>
          <w:sz w:val="20"/>
        </w:rPr>
        <w:footnoteRef/>
      </w:r>
      <w:r w:rsidRPr="00862B0F">
        <w:rPr>
          <w:sz w:val="20"/>
        </w:rPr>
        <w:t xml:space="preserve"> Artikel</w:t>
      </w:r>
      <w:r>
        <w:rPr>
          <w:sz w:val="20"/>
        </w:rPr>
        <w:t xml:space="preserve"> 4 Pandwet</w:t>
      </w:r>
      <w:r w:rsidRPr="00862B0F">
        <w:rPr>
          <w:sz w:val="20"/>
        </w:rPr>
        <w:t xml:space="preserve">; </w:t>
      </w:r>
      <w:r w:rsidRPr="00862B0F">
        <w:rPr>
          <w:smallCaps/>
          <w:sz w:val="20"/>
        </w:rPr>
        <w:t xml:space="preserve">E. Dirix, </w:t>
      </w:r>
      <w:r w:rsidRPr="00862B0F">
        <w:rPr>
          <w:i/>
          <w:sz w:val="20"/>
        </w:rPr>
        <w:t xml:space="preserve">De hervorming van de roerende zakelijke zekerheden, </w:t>
      </w:r>
      <w:r w:rsidRPr="00862B0F">
        <w:rPr>
          <w:sz w:val="20"/>
        </w:rPr>
        <w:t>Mechelen, Kluwer, 2013, 14</w:t>
      </w:r>
      <w:r>
        <w:rPr>
          <w:sz w:val="20"/>
        </w:rPr>
        <w:t xml:space="preserve">; </w:t>
      </w:r>
      <w:r w:rsidRPr="00862B0F">
        <w:rPr>
          <w:smallCaps/>
          <w:sz w:val="20"/>
        </w:rPr>
        <w:t xml:space="preserve">R. Steennot, </w:t>
      </w:r>
      <w:r w:rsidRPr="00862B0F">
        <w:rPr>
          <w:sz w:val="20"/>
        </w:rPr>
        <w:t xml:space="preserve">“Algemene regeling van het pand” in in J. </w:t>
      </w:r>
      <w:r w:rsidRPr="00862B0F">
        <w:rPr>
          <w:smallCaps/>
          <w:sz w:val="20"/>
        </w:rPr>
        <w:t xml:space="preserve">Baeck </w:t>
      </w:r>
      <w:r w:rsidRPr="00862B0F">
        <w:rPr>
          <w:sz w:val="20"/>
        </w:rPr>
        <w:t xml:space="preserve">en M. </w:t>
      </w:r>
      <w:r w:rsidRPr="00862B0F">
        <w:rPr>
          <w:smallCaps/>
          <w:sz w:val="20"/>
        </w:rPr>
        <w:t xml:space="preserve">Kruithof </w:t>
      </w:r>
      <w:r w:rsidRPr="00862B0F">
        <w:rPr>
          <w:sz w:val="20"/>
        </w:rPr>
        <w:t xml:space="preserve">(eds.), </w:t>
      </w:r>
      <w:r w:rsidRPr="00862B0F">
        <w:rPr>
          <w:i/>
          <w:sz w:val="20"/>
        </w:rPr>
        <w:t xml:space="preserve">Het nieuwe zekerheidsrecht, </w:t>
      </w:r>
      <w:r w:rsidRPr="00862B0F">
        <w:rPr>
          <w:sz w:val="20"/>
        </w:rPr>
        <w:t xml:space="preserve">Antwerpen, Intersentia, 2014, 34, 36,39; </w:t>
      </w:r>
      <w:r w:rsidRPr="00862B0F">
        <w:rPr>
          <w:smallCaps/>
          <w:sz w:val="20"/>
        </w:rPr>
        <w:t xml:space="preserve">S. Landuyt, </w:t>
      </w:r>
      <w:r w:rsidRPr="00862B0F">
        <w:rPr>
          <w:sz w:val="20"/>
        </w:rPr>
        <w:t xml:space="preserve">“Commentaar bij artikel 4 Pandwet”, </w:t>
      </w:r>
      <w:r w:rsidRPr="00862B0F">
        <w:rPr>
          <w:i/>
          <w:sz w:val="20"/>
        </w:rPr>
        <w:t xml:space="preserve">OVH </w:t>
      </w:r>
      <w:r>
        <w:rPr>
          <w:sz w:val="20"/>
        </w:rPr>
        <w:t xml:space="preserve">2014, 53; </w:t>
      </w:r>
      <w:r>
        <w:rPr>
          <w:smallCaps/>
          <w:sz w:val="20"/>
        </w:rPr>
        <w:t xml:space="preserve">P. Becue, </w:t>
      </w:r>
      <w:r>
        <w:rPr>
          <w:sz w:val="20"/>
        </w:rPr>
        <w:t>“</w:t>
      </w:r>
      <w:r w:rsidRPr="00C01AE6">
        <w:rPr>
          <w:sz w:val="20"/>
        </w:rPr>
        <w:t xml:space="preserve">De wet van 11 juli 2013 met betrekking tot de hervorming van zakelijke zekerheden op roerende goederen (nieuwe </w:t>
      </w:r>
      <w:proofErr w:type="spellStart"/>
      <w:r w:rsidRPr="00C01AE6">
        <w:rPr>
          <w:sz w:val="20"/>
        </w:rPr>
        <w:t>pandwet</w:t>
      </w:r>
      <w:proofErr w:type="spellEnd"/>
      <w:r w:rsidRPr="00C01AE6">
        <w:rPr>
          <w:sz w:val="20"/>
        </w:rPr>
        <w:t>)</w:t>
      </w:r>
      <w:r>
        <w:rPr>
          <w:sz w:val="20"/>
        </w:rPr>
        <w:t xml:space="preserve">”, </w:t>
      </w:r>
      <w:r>
        <w:rPr>
          <w:i/>
          <w:sz w:val="20"/>
        </w:rPr>
        <w:t xml:space="preserve">T. Verz. </w:t>
      </w:r>
      <w:r>
        <w:rPr>
          <w:sz w:val="20"/>
        </w:rPr>
        <w:t>2014, 357.</w:t>
      </w:r>
    </w:p>
  </w:footnote>
  <w:footnote w:id="181">
    <w:p w14:paraId="6F4560E9" w14:textId="77777777" w:rsidR="00C97F8C" w:rsidRPr="006460FD" w:rsidRDefault="00C97F8C" w:rsidP="00B768BB">
      <w:pPr>
        <w:pStyle w:val="Voetnoottekst"/>
        <w:rPr>
          <w:sz w:val="20"/>
          <w:lang w:val="en-GB"/>
        </w:rPr>
      </w:pPr>
      <w:r>
        <w:rPr>
          <w:rStyle w:val="Voetnootmarkering"/>
        </w:rPr>
        <w:footnoteRef/>
      </w:r>
      <w:r w:rsidRPr="006460FD">
        <w:rPr>
          <w:lang w:val="en-GB"/>
        </w:rPr>
        <w:t xml:space="preserve"> </w:t>
      </w:r>
      <w:proofErr w:type="spellStart"/>
      <w:r w:rsidRPr="006460FD">
        <w:rPr>
          <w:sz w:val="20"/>
          <w:lang w:val="en-GB"/>
        </w:rPr>
        <w:t>Artikel</w:t>
      </w:r>
      <w:proofErr w:type="spellEnd"/>
      <w:r w:rsidRPr="006460FD">
        <w:rPr>
          <w:sz w:val="20"/>
          <w:lang w:val="en-GB"/>
        </w:rPr>
        <w:t xml:space="preserve"> 2336 Code Civil français; </w:t>
      </w:r>
      <w:r w:rsidRPr="006460FD">
        <w:rPr>
          <w:smallCaps/>
          <w:sz w:val="20"/>
          <w:lang w:val="en-GB"/>
        </w:rPr>
        <w:t xml:space="preserve">R. Boffa, </w:t>
      </w:r>
      <w:r w:rsidRPr="006460FD">
        <w:rPr>
          <w:sz w:val="20"/>
          <w:lang w:val="en-GB"/>
        </w:rPr>
        <w:t xml:space="preserve">L’opposabilité du gage sans dépossession, </w:t>
      </w:r>
      <w:r w:rsidRPr="006460FD">
        <w:rPr>
          <w:i/>
          <w:sz w:val="20"/>
          <w:lang w:val="en-GB"/>
        </w:rPr>
        <w:t>Chron</w:t>
      </w:r>
      <w:r w:rsidRPr="006460FD">
        <w:rPr>
          <w:sz w:val="20"/>
          <w:lang w:val="en-GB"/>
        </w:rPr>
        <w:t xml:space="preserve">. 2007, 1; </w:t>
      </w:r>
      <w:r w:rsidRPr="006460FD">
        <w:rPr>
          <w:smallCaps/>
          <w:sz w:val="20"/>
          <w:lang w:val="en-GB"/>
        </w:rPr>
        <w:t>G. Ansaloni, “</w:t>
      </w:r>
      <w:r w:rsidRPr="006460FD">
        <w:rPr>
          <w:sz w:val="20"/>
          <w:lang w:val="en-GB"/>
        </w:rPr>
        <w:t xml:space="preserve">Sur l'opposabilité du gage sans dépossession de droit commun”, </w:t>
      </w:r>
      <w:r w:rsidRPr="006460FD">
        <w:rPr>
          <w:i/>
          <w:sz w:val="20"/>
          <w:lang w:val="en-GB"/>
        </w:rPr>
        <w:t xml:space="preserve">La Semaine Juridique entreprises et affaires </w:t>
      </w:r>
      <w:r w:rsidRPr="006460FD">
        <w:rPr>
          <w:sz w:val="20"/>
          <w:lang w:val="en-GB"/>
        </w:rPr>
        <w:t xml:space="preserve">2009, 1672; </w:t>
      </w:r>
      <w:r w:rsidRPr="006460FD">
        <w:rPr>
          <w:smallCaps/>
          <w:sz w:val="20"/>
          <w:lang w:val="en-GB"/>
        </w:rPr>
        <w:t xml:space="preserve">Y. Picod, </w:t>
      </w:r>
      <w:r w:rsidRPr="006460FD">
        <w:rPr>
          <w:i/>
          <w:sz w:val="20"/>
          <w:lang w:val="en-GB"/>
        </w:rPr>
        <w:t>Droit des sûretés,</w:t>
      </w:r>
      <w:r w:rsidRPr="006460FD">
        <w:rPr>
          <w:sz w:val="20"/>
          <w:lang w:val="en-GB"/>
        </w:rPr>
        <w:t xml:space="preserve"> Parijs, Presses Universitaires de France 2011, 283; </w:t>
      </w:r>
      <w:r w:rsidRPr="006460FD">
        <w:rPr>
          <w:smallCaps/>
          <w:sz w:val="20"/>
          <w:lang w:val="en-GB"/>
        </w:rPr>
        <w:t xml:space="preserve">L. </w:t>
      </w:r>
      <w:proofErr w:type="spellStart"/>
      <w:r w:rsidRPr="006460FD">
        <w:rPr>
          <w:smallCaps/>
          <w:sz w:val="20"/>
          <w:lang w:val="en-GB"/>
        </w:rPr>
        <w:t>Aynès</w:t>
      </w:r>
      <w:proofErr w:type="spellEnd"/>
      <w:r w:rsidRPr="006460FD">
        <w:rPr>
          <w:smallCaps/>
          <w:sz w:val="20"/>
          <w:lang w:val="en-GB"/>
        </w:rPr>
        <w:t xml:space="preserve">, P. Crocq, </w:t>
      </w:r>
      <w:r w:rsidRPr="006460FD">
        <w:rPr>
          <w:i/>
          <w:sz w:val="20"/>
          <w:lang w:val="en-GB"/>
        </w:rPr>
        <w:t xml:space="preserve">Droit des sûretés, </w:t>
      </w:r>
      <w:proofErr w:type="spellStart"/>
      <w:r w:rsidRPr="006460FD">
        <w:rPr>
          <w:sz w:val="20"/>
          <w:lang w:val="en-GB"/>
        </w:rPr>
        <w:t>Issy</w:t>
      </w:r>
      <w:proofErr w:type="spellEnd"/>
      <w:r w:rsidRPr="006460FD">
        <w:rPr>
          <w:sz w:val="20"/>
          <w:lang w:val="en-GB"/>
        </w:rPr>
        <w:t>-Les-</w:t>
      </w:r>
      <w:proofErr w:type="spellStart"/>
      <w:r w:rsidRPr="006460FD">
        <w:rPr>
          <w:sz w:val="20"/>
          <w:lang w:val="en-GB"/>
        </w:rPr>
        <w:t>Moulineaux</w:t>
      </w:r>
      <w:proofErr w:type="spellEnd"/>
      <w:r w:rsidRPr="006460FD">
        <w:rPr>
          <w:sz w:val="20"/>
          <w:lang w:val="en-GB"/>
        </w:rPr>
        <w:t xml:space="preserve">, LGDJ </w:t>
      </w:r>
      <w:proofErr w:type="spellStart"/>
      <w:r w:rsidRPr="006460FD">
        <w:rPr>
          <w:sz w:val="20"/>
          <w:lang w:val="en-GB"/>
        </w:rPr>
        <w:t>lextenso</w:t>
      </w:r>
      <w:proofErr w:type="spellEnd"/>
      <w:r w:rsidRPr="006460FD">
        <w:rPr>
          <w:sz w:val="20"/>
          <w:lang w:val="en-GB"/>
        </w:rPr>
        <w:t xml:space="preserve"> éditions 2015, 276.</w:t>
      </w:r>
    </w:p>
  </w:footnote>
  <w:footnote w:id="182">
    <w:p w14:paraId="53A3BDCF" w14:textId="0302B04F" w:rsidR="00C97F8C" w:rsidRPr="00862B0F" w:rsidRDefault="00C97F8C" w:rsidP="00B768BB">
      <w:pPr>
        <w:pStyle w:val="Voetnoottekst"/>
        <w:rPr>
          <w:sz w:val="20"/>
        </w:rPr>
      </w:pPr>
      <w:r w:rsidRPr="00862B0F">
        <w:rPr>
          <w:rStyle w:val="Voetnootmarkering"/>
          <w:sz w:val="20"/>
        </w:rPr>
        <w:footnoteRef/>
      </w:r>
      <w:r>
        <w:rPr>
          <w:sz w:val="20"/>
        </w:rPr>
        <w:t xml:space="preserve"> Artikel 15 Pandwet</w:t>
      </w:r>
      <w:r w:rsidRPr="00862B0F">
        <w:rPr>
          <w:sz w:val="20"/>
        </w:rPr>
        <w:t xml:space="preserve">; MvT </w:t>
      </w:r>
      <w:r w:rsidRPr="00862B0F">
        <w:rPr>
          <w:i/>
          <w:sz w:val="20"/>
        </w:rPr>
        <w:t xml:space="preserve">Parl.St., </w:t>
      </w:r>
      <w:r>
        <w:rPr>
          <w:sz w:val="20"/>
        </w:rPr>
        <w:t xml:space="preserve">Kamer 2012-13, nr. 2463/001, 17; </w:t>
      </w:r>
      <w:r w:rsidRPr="00862B0F">
        <w:rPr>
          <w:smallCaps/>
          <w:sz w:val="20"/>
        </w:rPr>
        <w:t xml:space="preserve">C.A. Van Oldendeel, </w:t>
      </w:r>
      <w:r w:rsidRPr="00862B0F">
        <w:rPr>
          <w:sz w:val="20"/>
        </w:rPr>
        <w:t xml:space="preserve">“Sûretés mobilières: une reforme en profondeur”, </w:t>
      </w:r>
      <w:r w:rsidRPr="00862B0F">
        <w:rPr>
          <w:i/>
          <w:sz w:val="20"/>
        </w:rPr>
        <w:t xml:space="preserve">Bull. Ass. </w:t>
      </w:r>
      <w:r w:rsidRPr="00862B0F">
        <w:rPr>
          <w:sz w:val="20"/>
        </w:rPr>
        <w:t>2013, 375</w:t>
      </w:r>
      <w:r>
        <w:rPr>
          <w:smallCaps/>
          <w:sz w:val="20"/>
        </w:rPr>
        <w:t>; E. Dirix</w:t>
      </w:r>
      <w:r w:rsidRPr="00862B0F">
        <w:rPr>
          <w:smallCaps/>
          <w:sz w:val="20"/>
        </w:rPr>
        <w:t xml:space="preserve">, </w:t>
      </w:r>
      <w:r w:rsidRPr="00862B0F">
        <w:rPr>
          <w:i/>
          <w:sz w:val="20"/>
        </w:rPr>
        <w:t xml:space="preserve">De hervorming van de roerende zakelijke zekerheden, </w:t>
      </w:r>
      <w:r>
        <w:rPr>
          <w:sz w:val="20"/>
        </w:rPr>
        <w:t xml:space="preserve">Mechelen, Kluwer, 2013, 2; </w:t>
      </w:r>
      <w:r>
        <w:rPr>
          <w:smallCaps/>
          <w:sz w:val="20"/>
        </w:rPr>
        <w:t xml:space="preserve">E. Dirix, </w:t>
      </w:r>
      <w:r>
        <w:rPr>
          <w:sz w:val="20"/>
        </w:rPr>
        <w:t xml:space="preserve">“België kiest voor een centraal pandregister”, </w:t>
      </w:r>
      <w:r>
        <w:rPr>
          <w:i/>
          <w:sz w:val="20"/>
        </w:rPr>
        <w:t xml:space="preserve">TvL </w:t>
      </w:r>
      <w:r>
        <w:rPr>
          <w:sz w:val="20"/>
        </w:rPr>
        <w:t xml:space="preserve">2014, 1; </w:t>
      </w:r>
      <w:r w:rsidRPr="00862B0F">
        <w:rPr>
          <w:smallCaps/>
          <w:sz w:val="20"/>
        </w:rPr>
        <w:t xml:space="preserve">F. Georges, </w:t>
      </w:r>
      <w:r w:rsidRPr="00862B0F">
        <w:rPr>
          <w:sz w:val="20"/>
        </w:rPr>
        <w:t>“La réforme des</w:t>
      </w:r>
      <w:r>
        <w:rPr>
          <w:sz w:val="20"/>
        </w:rPr>
        <w:t xml:space="preserve"> </w:t>
      </w:r>
      <w:proofErr w:type="spellStart"/>
      <w:r>
        <w:rPr>
          <w:sz w:val="20"/>
        </w:rPr>
        <w:t>sûrê</w:t>
      </w:r>
      <w:r w:rsidRPr="00862B0F">
        <w:rPr>
          <w:sz w:val="20"/>
        </w:rPr>
        <w:t>tés</w:t>
      </w:r>
      <w:proofErr w:type="spellEnd"/>
      <w:r w:rsidRPr="00862B0F">
        <w:rPr>
          <w:sz w:val="20"/>
        </w:rPr>
        <w:t xml:space="preserve"> mobilières”, </w:t>
      </w:r>
      <w:r w:rsidRPr="00862B0F">
        <w:rPr>
          <w:i/>
          <w:sz w:val="20"/>
        </w:rPr>
        <w:t xml:space="preserve">Ius en Actores </w:t>
      </w:r>
      <w:r>
        <w:rPr>
          <w:sz w:val="20"/>
        </w:rPr>
        <w:t xml:space="preserve">2013, </w:t>
      </w:r>
      <w:r w:rsidRPr="00862B0F">
        <w:rPr>
          <w:sz w:val="20"/>
        </w:rPr>
        <w:t xml:space="preserve">76; J. </w:t>
      </w:r>
      <w:r w:rsidRPr="00862B0F">
        <w:rPr>
          <w:smallCaps/>
          <w:sz w:val="20"/>
        </w:rPr>
        <w:t xml:space="preserve">Pieters, </w:t>
      </w:r>
      <w:r w:rsidRPr="00862B0F">
        <w:rPr>
          <w:sz w:val="20"/>
        </w:rPr>
        <w:t xml:space="preserve">“Commentaar bij artikel 26-38 Pandwet”, </w:t>
      </w:r>
      <w:r w:rsidRPr="00862B0F">
        <w:rPr>
          <w:i/>
          <w:sz w:val="20"/>
        </w:rPr>
        <w:t xml:space="preserve">OVH </w:t>
      </w:r>
      <w:r>
        <w:rPr>
          <w:sz w:val="20"/>
        </w:rPr>
        <w:t xml:space="preserve">2014, 36; </w:t>
      </w:r>
      <w:r>
        <w:rPr>
          <w:smallCaps/>
          <w:sz w:val="20"/>
        </w:rPr>
        <w:t xml:space="preserve">P. Becue, </w:t>
      </w:r>
      <w:r>
        <w:rPr>
          <w:sz w:val="20"/>
        </w:rPr>
        <w:t>“</w:t>
      </w:r>
      <w:r w:rsidRPr="00C01AE6">
        <w:rPr>
          <w:sz w:val="20"/>
        </w:rPr>
        <w:t xml:space="preserve">De wet van 11 juli 2013 met betrekking tot de hervorming van zakelijke zekerheden op roerende goederen (nieuwe </w:t>
      </w:r>
      <w:proofErr w:type="spellStart"/>
      <w:r w:rsidRPr="00C01AE6">
        <w:rPr>
          <w:sz w:val="20"/>
        </w:rPr>
        <w:t>pandwet</w:t>
      </w:r>
      <w:proofErr w:type="spellEnd"/>
      <w:r w:rsidRPr="00C01AE6">
        <w:rPr>
          <w:sz w:val="20"/>
        </w:rPr>
        <w:t>)</w:t>
      </w:r>
      <w:r>
        <w:rPr>
          <w:sz w:val="20"/>
        </w:rPr>
        <w:t xml:space="preserve">”, </w:t>
      </w:r>
      <w:r>
        <w:rPr>
          <w:i/>
          <w:sz w:val="20"/>
        </w:rPr>
        <w:t xml:space="preserve">T. Verz. </w:t>
      </w:r>
      <w:r>
        <w:rPr>
          <w:sz w:val="20"/>
        </w:rPr>
        <w:t xml:space="preserve">2014, 357; </w:t>
      </w:r>
      <w:r w:rsidRPr="00862B0F">
        <w:rPr>
          <w:sz w:val="20"/>
        </w:rPr>
        <w:t xml:space="preserve">J. </w:t>
      </w:r>
      <w:r w:rsidRPr="00862B0F">
        <w:rPr>
          <w:smallCaps/>
          <w:sz w:val="20"/>
        </w:rPr>
        <w:t xml:space="preserve">Del Corral, </w:t>
      </w:r>
      <w:r w:rsidRPr="00862B0F">
        <w:rPr>
          <w:sz w:val="20"/>
        </w:rPr>
        <w:t xml:space="preserve">“Zekerheidsrechten – Stand van zaken”, </w:t>
      </w:r>
      <w:r w:rsidRPr="00862B0F">
        <w:rPr>
          <w:i/>
          <w:smallCaps/>
          <w:sz w:val="20"/>
        </w:rPr>
        <w:t xml:space="preserve">NJW </w:t>
      </w:r>
      <w:r w:rsidRPr="00862B0F">
        <w:rPr>
          <w:smallCaps/>
          <w:sz w:val="20"/>
        </w:rPr>
        <w:t>2014</w:t>
      </w:r>
      <w:r w:rsidRPr="00862B0F">
        <w:rPr>
          <w:i/>
          <w:smallCaps/>
          <w:sz w:val="20"/>
        </w:rPr>
        <w:t xml:space="preserve">, </w:t>
      </w:r>
      <w:r>
        <w:rPr>
          <w:smallCaps/>
          <w:sz w:val="20"/>
        </w:rPr>
        <w:t xml:space="preserve">580; J. Baeck. </w:t>
      </w:r>
      <w:r>
        <w:rPr>
          <w:sz w:val="20"/>
        </w:rPr>
        <w:t xml:space="preserve">“Artikel 24 en 25 Pandwet”, </w:t>
      </w:r>
      <w:r>
        <w:rPr>
          <w:i/>
          <w:sz w:val="20"/>
        </w:rPr>
        <w:t xml:space="preserve">Voorrechten en hypotheken </w:t>
      </w:r>
      <w:r>
        <w:rPr>
          <w:sz w:val="20"/>
        </w:rPr>
        <w:t>2015, 44.</w:t>
      </w:r>
    </w:p>
  </w:footnote>
  <w:footnote w:id="183">
    <w:p w14:paraId="3B83F338" w14:textId="77777777" w:rsidR="00C97F8C" w:rsidRPr="00F10F4D" w:rsidRDefault="00C97F8C" w:rsidP="000B20F2">
      <w:pPr>
        <w:pStyle w:val="Voetnoottekst"/>
        <w:rPr>
          <w:sz w:val="20"/>
          <w:lang w:val="nl-BE"/>
        </w:rPr>
      </w:pPr>
      <w:r>
        <w:rPr>
          <w:rStyle w:val="Voetnootmarkering"/>
        </w:rPr>
        <w:footnoteRef/>
      </w:r>
      <w:r>
        <w:t xml:space="preserve"> </w:t>
      </w:r>
      <w:r>
        <w:rPr>
          <w:sz w:val="20"/>
          <w:lang w:val="nl-BE"/>
        </w:rPr>
        <w:t xml:space="preserve">Artikel 2333-2354 Code Civil français; </w:t>
      </w:r>
      <w:r>
        <w:rPr>
          <w:smallCaps/>
          <w:sz w:val="20"/>
          <w:lang w:val="nl-BE"/>
        </w:rPr>
        <w:t xml:space="preserve">M. Cabrillac, C. Mouly, S. Cabrillac, P. Pétel, </w:t>
      </w:r>
      <w:r>
        <w:rPr>
          <w:i/>
          <w:sz w:val="20"/>
          <w:lang w:val="nl-BE"/>
        </w:rPr>
        <w:t xml:space="preserve">Droit des sûretés, </w:t>
      </w:r>
      <w:r>
        <w:rPr>
          <w:sz w:val="20"/>
          <w:lang w:val="nl-BE"/>
        </w:rPr>
        <w:t xml:space="preserve">Parijs, Litec 2010, 569; </w:t>
      </w:r>
      <w:r>
        <w:rPr>
          <w:smallCaps/>
          <w:sz w:val="20"/>
        </w:rPr>
        <w:t xml:space="preserve">L. Andreu, </w:t>
      </w:r>
      <w:r>
        <w:rPr>
          <w:sz w:val="20"/>
        </w:rPr>
        <w:t xml:space="preserve">“Gage avec dépossession contre gage sans dépossession”, </w:t>
      </w:r>
      <w:r>
        <w:rPr>
          <w:i/>
          <w:sz w:val="20"/>
        </w:rPr>
        <w:t xml:space="preserve">Recueil Dalloz </w:t>
      </w:r>
      <w:r>
        <w:rPr>
          <w:sz w:val="20"/>
        </w:rPr>
        <w:t>2012, 1761;</w:t>
      </w:r>
      <w:r>
        <w:rPr>
          <w:sz w:val="20"/>
          <w:lang w:val="nl-BE"/>
        </w:rPr>
        <w:t xml:space="preserve"> </w:t>
      </w:r>
      <w:r>
        <w:rPr>
          <w:smallCaps/>
          <w:sz w:val="20"/>
          <w:lang w:val="nl-BE"/>
        </w:rPr>
        <w:t xml:space="preserve">L. Aynès, P. Crocq, </w:t>
      </w:r>
      <w:r>
        <w:rPr>
          <w:i/>
          <w:sz w:val="20"/>
          <w:lang w:val="nl-BE"/>
        </w:rPr>
        <w:t xml:space="preserve">Droit des sûretés, </w:t>
      </w:r>
      <w:r>
        <w:rPr>
          <w:sz w:val="20"/>
          <w:lang w:val="nl-BE"/>
        </w:rPr>
        <w:t>Issy-Les-Moulineaux, LGDJ lextenso éditions 2015, 263.</w:t>
      </w:r>
    </w:p>
  </w:footnote>
  <w:footnote w:id="184">
    <w:p w14:paraId="4BB58F15" w14:textId="77777777" w:rsidR="00C97F8C" w:rsidRPr="005A46FA" w:rsidRDefault="00C97F8C" w:rsidP="00B768BB">
      <w:pPr>
        <w:pStyle w:val="Voetnoottekst"/>
        <w:rPr>
          <w:sz w:val="20"/>
          <w:lang w:val="nl-BE"/>
        </w:rPr>
      </w:pPr>
      <w:r>
        <w:rPr>
          <w:rStyle w:val="Voetnootmarkering"/>
        </w:rPr>
        <w:footnoteRef/>
      </w:r>
      <w:r>
        <w:t xml:space="preserve"> </w:t>
      </w:r>
      <w:r>
        <w:rPr>
          <w:sz w:val="20"/>
          <w:lang w:val="nl-BE"/>
        </w:rPr>
        <w:t xml:space="preserve">Artikel 3:237 Nieuw Burgerlijk Wetboek; </w:t>
      </w:r>
      <w:r w:rsidRPr="00862B0F">
        <w:rPr>
          <w:smallCaps/>
          <w:sz w:val="20"/>
        </w:rPr>
        <w:t xml:space="preserve">H.J. Snijders en E.B. Rank-Berenschoot, </w:t>
      </w:r>
      <w:r w:rsidRPr="00862B0F">
        <w:rPr>
          <w:i/>
          <w:sz w:val="20"/>
        </w:rPr>
        <w:t xml:space="preserve">Goederenrecht, </w:t>
      </w:r>
      <w:r>
        <w:rPr>
          <w:sz w:val="20"/>
        </w:rPr>
        <w:t xml:space="preserve">Deventer, Kluwer, 2012, 582; </w:t>
      </w:r>
      <w:r>
        <w:rPr>
          <w:smallCaps/>
          <w:sz w:val="20"/>
        </w:rPr>
        <w:t xml:space="preserve">D.J.Y Hamwijk, </w:t>
      </w:r>
      <w:r>
        <w:rPr>
          <w:sz w:val="20"/>
        </w:rPr>
        <w:t xml:space="preserve">“ Een openbaar register voor bezitloze zekerheidsrechten op roerende zaken: in ieder geval niet belang voor concurrente (handels)crediteur”, </w:t>
      </w:r>
      <w:r>
        <w:rPr>
          <w:i/>
          <w:sz w:val="20"/>
        </w:rPr>
        <w:t xml:space="preserve">TvL </w:t>
      </w:r>
      <w:r>
        <w:rPr>
          <w:sz w:val="20"/>
        </w:rPr>
        <w:t xml:space="preserve">2011, 1; </w:t>
      </w:r>
      <w:r>
        <w:rPr>
          <w:smallCaps/>
          <w:sz w:val="20"/>
        </w:rPr>
        <w:t xml:space="preserve">P.A. Stein, </w:t>
      </w:r>
      <w:r>
        <w:rPr>
          <w:sz w:val="20"/>
        </w:rPr>
        <w:t xml:space="preserve">“Bezitloos pandrecht volgens het Draft Common Frame of Reference”, </w:t>
      </w:r>
      <w:r>
        <w:rPr>
          <w:i/>
          <w:sz w:val="20"/>
        </w:rPr>
        <w:t>GS Vermogensrecht</w:t>
      </w:r>
      <w:r>
        <w:rPr>
          <w:sz w:val="20"/>
        </w:rPr>
        <w:t xml:space="preserve"> 2015, 1.</w:t>
      </w:r>
    </w:p>
  </w:footnote>
  <w:footnote w:id="185">
    <w:p w14:paraId="7C1CA072"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MvT, </w:t>
      </w:r>
      <w:proofErr w:type="spellStart"/>
      <w:r w:rsidRPr="00862B0F">
        <w:rPr>
          <w:i/>
          <w:sz w:val="20"/>
        </w:rPr>
        <w:t>Parl</w:t>
      </w:r>
      <w:proofErr w:type="spellEnd"/>
      <w:r w:rsidRPr="00862B0F">
        <w:rPr>
          <w:i/>
          <w:sz w:val="20"/>
        </w:rPr>
        <w:t xml:space="preserve">. St., </w:t>
      </w:r>
      <w:r w:rsidRPr="00862B0F">
        <w:rPr>
          <w:sz w:val="20"/>
        </w:rPr>
        <w:t xml:space="preserve">Kamer 2012-13, nr. 2463/001; </w:t>
      </w:r>
      <w:r>
        <w:rPr>
          <w:smallCaps/>
          <w:sz w:val="20"/>
        </w:rPr>
        <w:t>S</w:t>
      </w:r>
      <w:r w:rsidRPr="00862B0F">
        <w:rPr>
          <w:smallCaps/>
          <w:sz w:val="20"/>
        </w:rPr>
        <w:t>. Bogaerts</w:t>
      </w:r>
      <w:r w:rsidRPr="00862B0F">
        <w:rPr>
          <w:sz w:val="20"/>
        </w:rPr>
        <w:t xml:space="preserve">. </w:t>
      </w:r>
      <w:proofErr w:type="gramStart"/>
      <w:r w:rsidRPr="00862B0F">
        <w:rPr>
          <w:sz w:val="20"/>
        </w:rPr>
        <w:t>en</w:t>
      </w:r>
      <w:proofErr w:type="gramEnd"/>
      <w:r w:rsidRPr="00862B0F">
        <w:rPr>
          <w:sz w:val="20"/>
        </w:rPr>
        <w:t xml:space="preserve"> </w:t>
      </w:r>
      <w:r w:rsidRPr="00862B0F">
        <w:rPr>
          <w:smallCaps/>
          <w:sz w:val="20"/>
        </w:rPr>
        <w:t>V. Sagaert</w:t>
      </w:r>
      <w:r w:rsidRPr="00862B0F">
        <w:rPr>
          <w:sz w:val="20"/>
        </w:rPr>
        <w:t>, “Nieuwe Pandwet: grondige hervorming van zekerheden op roe</w:t>
      </w:r>
      <w:r>
        <w:rPr>
          <w:sz w:val="20"/>
        </w:rPr>
        <w:t xml:space="preserve">rende goederen”, Balans 2013, 2; </w:t>
      </w:r>
      <w:r>
        <w:rPr>
          <w:smallCaps/>
          <w:sz w:val="20"/>
        </w:rPr>
        <w:t xml:space="preserve">L. Deltomme, </w:t>
      </w:r>
      <w:r>
        <w:rPr>
          <w:sz w:val="20"/>
        </w:rPr>
        <w:t xml:space="preserve">“De hervorming van de zakelijke zekerheden”, </w:t>
      </w:r>
      <w:r>
        <w:rPr>
          <w:i/>
          <w:sz w:val="20"/>
        </w:rPr>
        <w:t xml:space="preserve">Nieuw Notarieel Kwartaaltijdschrift </w:t>
      </w:r>
      <w:r>
        <w:rPr>
          <w:sz w:val="20"/>
        </w:rPr>
        <w:t>2015, 13.</w:t>
      </w:r>
    </w:p>
  </w:footnote>
  <w:footnote w:id="186">
    <w:p w14:paraId="714426DA"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Artikel 26-38 Pandwet.</w:t>
      </w:r>
    </w:p>
  </w:footnote>
  <w:footnote w:id="187">
    <w:p w14:paraId="5E9379B2" w14:textId="123B2441" w:rsidR="00C97F8C" w:rsidRPr="00137EDA" w:rsidRDefault="00C97F8C" w:rsidP="00B768BB">
      <w:pPr>
        <w:pStyle w:val="Voetnoottekst"/>
        <w:rPr>
          <w:sz w:val="20"/>
        </w:rPr>
      </w:pPr>
      <w:r w:rsidRPr="00862B0F">
        <w:rPr>
          <w:rStyle w:val="Voetnootmarkering"/>
          <w:sz w:val="20"/>
        </w:rPr>
        <w:footnoteRef/>
      </w:r>
      <w:r w:rsidRPr="00862B0F">
        <w:rPr>
          <w:sz w:val="20"/>
        </w:rPr>
        <w:t xml:space="preserve"> Artikel 2338 Code Civil Fra</w:t>
      </w:r>
      <w:r>
        <w:rPr>
          <w:sz w:val="20"/>
        </w:rPr>
        <w:t>nçais; decreet n° 2006-1804 van</w:t>
      </w:r>
      <w:r w:rsidRPr="00862B0F">
        <w:rPr>
          <w:sz w:val="20"/>
        </w:rPr>
        <w:t xml:space="preserve"> 23 december 2006 met betrekking op </w:t>
      </w:r>
      <w:r w:rsidRPr="00862B0F">
        <w:rPr>
          <w:i/>
          <w:sz w:val="20"/>
        </w:rPr>
        <w:t>l'application de l'article 2338 du code civil et relatif à la publ</w:t>
      </w:r>
      <w:r>
        <w:rPr>
          <w:i/>
          <w:sz w:val="20"/>
        </w:rPr>
        <w:t>icité du gage sans dépossession</w:t>
      </w:r>
      <w:r>
        <w:rPr>
          <w:sz w:val="20"/>
        </w:rPr>
        <w:t xml:space="preserve">; </w:t>
      </w:r>
      <w:r w:rsidRPr="00161094">
        <w:rPr>
          <w:smallCaps/>
          <w:sz w:val="20"/>
        </w:rPr>
        <w:t xml:space="preserve">R. Boffa, </w:t>
      </w:r>
      <w:r w:rsidRPr="00161094">
        <w:rPr>
          <w:sz w:val="20"/>
        </w:rPr>
        <w:t xml:space="preserve">L’opposabilité du gage sans dépossession, </w:t>
      </w:r>
      <w:r w:rsidRPr="00161094">
        <w:rPr>
          <w:i/>
          <w:sz w:val="20"/>
        </w:rPr>
        <w:t>Chron</w:t>
      </w:r>
      <w:r w:rsidRPr="00161094">
        <w:rPr>
          <w:sz w:val="20"/>
        </w:rPr>
        <w:t>. 2007, 1</w:t>
      </w:r>
      <w:r>
        <w:rPr>
          <w:sz w:val="20"/>
        </w:rPr>
        <w:t xml:space="preserve">; </w:t>
      </w:r>
      <w:r>
        <w:rPr>
          <w:smallCaps/>
          <w:sz w:val="20"/>
          <w:lang w:val="nl-BE"/>
        </w:rPr>
        <w:t xml:space="preserve">M. Cabrillac, C. Mouly, S. Cabrillac, P. Pétel, </w:t>
      </w:r>
      <w:r>
        <w:rPr>
          <w:i/>
          <w:sz w:val="20"/>
          <w:lang w:val="nl-BE"/>
        </w:rPr>
        <w:t xml:space="preserve">Droit des sûretés, </w:t>
      </w:r>
      <w:r>
        <w:rPr>
          <w:sz w:val="20"/>
          <w:lang w:val="nl-BE"/>
        </w:rPr>
        <w:t>Parijs, Litec 2010, 569;</w:t>
      </w:r>
      <w:r>
        <w:rPr>
          <w:i/>
          <w:sz w:val="20"/>
        </w:rPr>
        <w:t xml:space="preserve"> </w:t>
      </w:r>
      <w:r>
        <w:rPr>
          <w:smallCaps/>
          <w:sz w:val="20"/>
        </w:rPr>
        <w:t xml:space="preserve">D. Legeais, </w:t>
      </w:r>
      <w:r>
        <w:rPr>
          <w:i/>
          <w:sz w:val="20"/>
        </w:rPr>
        <w:t xml:space="preserve">Sûretés et garanties du crédit, </w:t>
      </w:r>
      <w:r>
        <w:rPr>
          <w:sz w:val="20"/>
        </w:rPr>
        <w:t xml:space="preserve">Parijs, LGDJ Lextenso éditions 2011, 396; </w:t>
      </w:r>
      <w:r>
        <w:rPr>
          <w:smallCaps/>
          <w:sz w:val="20"/>
        </w:rPr>
        <w:t>G. Ansaloni, “</w:t>
      </w:r>
      <w:r w:rsidRPr="009B2711">
        <w:rPr>
          <w:sz w:val="20"/>
        </w:rPr>
        <w:t>Sur l'opposabilité du gage sans dépossession de droit commun</w:t>
      </w:r>
      <w:r>
        <w:rPr>
          <w:sz w:val="20"/>
        </w:rPr>
        <w:t>”</w:t>
      </w:r>
      <w:r w:rsidRPr="009B2711">
        <w:rPr>
          <w:sz w:val="20"/>
        </w:rPr>
        <w:t xml:space="preserve">, </w:t>
      </w:r>
      <w:r w:rsidRPr="009B2711">
        <w:rPr>
          <w:i/>
          <w:sz w:val="20"/>
        </w:rPr>
        <w:t>La Semaine Juridique entreprises et affaires</w:t>
      </w:r>
      <w:r>
        <w:rPr>
          <w:i/>
          <w:sz w:val="20"/>
        </w:rPr>
        <w:t xml:space="preserve"> </w:t>
      </w:r>
      <w:r>
        <w:rPr>
          <w:sz w:val="20"/>
        </w:rPr>
        <w:t>2009, 1672;</w:t>
      </w:r>
      <w:r>
        <w:rPr>
          <w:i/>
          <w:sz w:val="20"/>
        </w:rPr>
        <w:t xml:space="preserve"> </w:t>
      </w:r>
      <w:r>
        <w:rPr>
          <w:smallCaps/>
          <w:sz w:val="20"/>
        </w:rPr>
        <w:t xml:space="preserve">Y. Picod, </w:t>
      </w:r>
      <w:r>
        <w:rPr>
          <w:i/>
          <w:sz w:val="20"/>
        </w:rPr>
        <w:t>Droit des sûretés,</w:t>
      </w:r>
      <w:r>
        <w:rPr>
          <w:sz w:val="20"/>
        </w:rPr>
        <w:t xml:space="preserve"> Parijs, Presses Universitaires de France 2011, 291; </w:t>
      </w:r>
      <w:r>
        <w:rPr>
          <w:smallCaps/>
          <w:sz w:val="20"/>
        </w:rPr>
        <w:t xml:space="preserve">M. Bourassin, V. brémond, M.-N. </w:t>
      </w:r>
      <w:proofErr w:type="spellStart"/>
      <w:r>
        <w:rPr>
          <w:smallCaps/>
          <w:sz w:val="20"/>
        </w:rPr>
        <w:t>Jobard-Bachellier</w:t>
      </w:r>
      <w:proofErr w:type="spellEnd"/>
      <w:r>
        <w:rPr>
          <w:smallCaps/>
          <w:sz w:val="20"/>
        </w:rPr>
        <w:t xml:space="preserve">, </w:t>
      </w:r>
      <w:r>
        <w:rPr>
          <w:i/>
          <w:sz w:val="20"/>
        </w:rPr>
        <w:t xml:space="preserve">Droit des sûretés, </w:t>
      </w:r>
      <w:r>
        <w:rPr>
          <w:sz w:val="20"/>
        </w:rPr>
        <w:t>Parijs, Dalloz 2014, 463.</w:t>
      </w:r>
    </w:p>
  </w:footnote>
  <w:footnote w:id="188">
    <w:p w14:paraId="5AB08F48"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sidRPr="00862B0F">
        <w:rPr>
          <w:smallCaps/>
          <w:sz w:val="20"/>
        </w:rPr>
        <w:t xml:space="preserve">H.J. Snijders en E.B. Rank-Berenschoot, </w:t>
      </w:r>
      <w:r w:rsidRPr="00862B0F">
        <w:rPr>
          <w:i/>
          <w:sz w:val="20"/>
        </w:rPr>
        <w:t xml:space="preserve">Goederenrecht, </w:t>
      </w:r>
      <w:r w:rsidRPr="00862B0F">
        <w:rPr>
          <w:sz w:val="20"/>
        </w:rPr>
        <w:t>Deventer, Kluwer, 2012, 457.</w:t>
      </w:r>
    </w:p>
  </w:footnote>
  <w:footnote w:id="189">
    <w:p w14:paraId="4275B365"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J. </w:t>
      </w:r>
      <w:r w:rsidRPr="00862B0F">
        <w:rPr>
          <w:smallCaps/>
          <w:sz w:val="20"/>
        </w:rPr>
        <w:t xml:space="preserve">Del Corral, </w:t>
      </w:r>
      <w:r w:rsidRPr="00862B0F">
        <w:rPr>
          <w:sz w:val="20"/>
        </w:rPr>
        <w:t xml:space="preserve">“Zekerheidsrechten – Stand van zaken”, </w:t>
      </w:r>
      <w:r w:rsidRPr="00862B0F">
        <w:rPr>
          <w:i/>
          <w:smallCaps/>
          <w:sz w:val="20"/>
        </w:rPr>
        <w:t xml:space="preserve">NJW </w:t>
      </w:r>
      <w:r w:rsidRPr="00862B0F">
        <w:rPr>
          <w:smallCaps/>
          <w:sz w:val="20"/>
        </w:rPr>
        <w:t>2014</w:t>
      </w:r>
      <w:r w:rsidRPr="00862B0F">
        <w:rPr>
          <w:i/>
          <w:smallCaps/>
          <w:sz w:val="20"/>
        </w:rPr>
        <w:t xml:space="preserve">, </w:t>
      </w:r>
      <w:r w:rsidRPr="00862B0F">
        <w:rPr>
          <w:smallCaps/>
          <w:sz w:val="20"/>
        </w:rPr>
        <w:t xml:space="preserve">580; C.A. Van Oldendeel, </w:t>
      </w:r>
      <w:r w:rsidRPr="00862B0F">
        <w:rPr>
          <w:sz w:val="20"/>
        </w:rPr>
        <w:t>“Sûretés mobilièr</w:t>
      </w:r>
      <w:r>
        <w:rPr>
          <w:sz w:val="20"/>
        </w:rPr>
        <w:t>es: une reforme en profondeur”,</w:t>
      </w:r>
      <w:r w:rsidRPr="00862B0F">
        <w:rPr>
          <w:sz w:val="20"/>
        </w:rPr>
        <w:t xml:space="preserve"> </w:t>
      </w:r>
      <w:r w:rsidRPr="00862B0F">
        <w:rPr>
          <w:i/>
          <w:sz w:val="20"/>
        </w:rPr>
        <w:t xml:space="preserve">Bull. Ass. </w:t>
      </w:r>
      <w:r w:rsidRPr="00862B0F">
        <w:rPr>
          <w:sz w:val="20"/>
        </w:rPr>
        <w:t>2013, 374.</w:t>
      </w:r>
    </w:p>
  </w:footnote>
  <w:footnote w:id="190">
    <w:p w14:paraId="386FF54B" w14:textId="3108C300" w:rsidR="00C97F8C" w:rsidRPr="00936D12" w:rsidRDefault="00C97F8C" w:rsidP="00B768BB">
      <w:pPr>
        <w:pStyle w:val="Voetnoottekst"/>
        <w:rPr>
          <w:sz w:val="20"/>
          <w:lang w:val="nl-BE"/>
        </w:rPr>
      </w:pPr>
      <w:r w:rsidRPr="00862B0F">
        <w:rPr>
          <w:rStyle w:val="Voetnootmarkering"/>
          <w:sz w:val="20"/>
        </w:rPr>
        <w:footnoteRef/>
      </w:r>
      <w:r w:rsidRPr="00862B0F">
        <w:rPr>
          <w:sz w:val="20"/>
        </w:rPr>
        <w:t xml:space="preserve"> Artikel 2237 tweede lid Code Civil Français; MvT, </w:t>
      </w:r>
      <w:proofErr w:type="spellStart"/>
      <w:r w:rsidRPr="00862B0F">
        <w:rPr>
          <w:i/>
          <w:sz w:val="20"/>
        </w:rPr>
        <w:t>Parl</w:t>
      </w:r>
      <w:proofErr w:type="spellEnd"/>
      <w:r w:rsidRPr="00862B0F">
        <w:rPr>
          <w:i/>
          <w:sz w:val="20"/>
        </w:rPr>
        <w:t xml:space="preserve">. St., </w:t>
      </w:r>
      <w:r>
        <w:rPr>
          <w:sz w:val="20"/>
        </w:rPr>
        <w:t>Kamer 2012-13, nr. 2463/001;</w:t>
      </w:r>
      <w:r w:rsidRPr="00AF10FA">
        <w:rPr>
          <w:smallCaps/>
          <w:sz w:val="20"/>
          <w:lang w:val="nl-BE"/>
        </w:rPr>
        <w:t xml:space="preserve"> </w:t>
      </w:r>
      <w:r>
        <w:rPr>
          <w:smallCaps/>
          <w:sz w:val="20"/>
          <w:lang w:val="nl-BE"/>
        </w:rPr>
        <w:t xml:space="preserve">M. Cabrillac, C. Mouly, S. Cabrillac, P. Pétel, </w:t>
      </w:r>
      <w:r>
        <w:rPr>
          <w:i/>
          <w:sz w:val="20"/>
          <w:lang w:val="nl-BE"/>
        </w:rPr>
        <w:t xml:space="preserve">Droit des sûretés, </w:t>
      </w:r>
      <w:r>
        <w:rPr>
          <w:sz w:val="20"/>
          <w:lang w:val="nl-BE"/>
        </w:rPr>
        <w:t>Parijs, Litec 2010, 555;</w:t>
      </w:r>
      <w:r>
        <w:rPr>
          <w:sz w:val="20"/>
        </w:rPr>
        <w:t xml:space="preserve"> </w:t>
      </w:r>
      <w:r>
        <w:rPr>
          <w:smallCaps/>
          <w:sz w:val="20"/>
        </w:rPr>
        <w:t xml:space="preserve">M. Bourassin, V. brémond, M.-N. </w:t>
      </w:r>
      <w:proofErr w:type="spellStart"/>
      <w:r>
        <w:rPr>
          <w:smallCaps/>
          <w:sz w:val="20"/>
        </w:rPr>
        <w:t>Jobard-Bachellier</w:t>
      </w:r>
      <w:proofErr w:type="spellEnd"/>
      <w:r>
        <w:rPr>
          <w:smallCaps/>
          <w:sz w:val="20"/>
        </w:rPr>
        <w:t xml:space="preserve">, </w:t>
      </w:r>
      <w:r>
        <w:rPr>
          <w:i/>
          <w:sz w:val="20"/>
        </w:rPr>
        <w:t xml:space="preserve">Droit des sûretés, </w:t>
      </w:r>
      <w:r>
        <w:rPr>
          <w:sz w:val="20"/>
        </w:rPr>
        <w:t xml:space="preserve">Parijs, Dalloz 2014, 462; </w:t>
      </w:r>
      <w:r>
        <w:rPr>
          <w:smallCaps/>
          <w:sz w:val="20"/>
          <w:lang w:val="nl-BE"/>
        </w:rPr>
        <w:t xml:space="preserve">L. Aynès, P. Crocq, </w:t>
      </w:r>
      <w:r>
        <w:rPr>
          <w:i/>
          <w:sz w:val="20"/>
          <w:lang w:val="nl-BE"/>
        </w:rPr>
        <w:t xml:space="preserve">Droit des sûretés, </w:t>
      </w:r>
      <w:r>
        <w:rPr>
          <w:sz w:val="20"/>
          <w:lang w:val="nl-BE"/>
        </w:rPr>
        <w:t>Issy-Les-Moulineaux, LGDJ lextenso éditions 2015, 278.</w:t>
      </w:r>
    </w:p>
  </w:footnote>
  <w:footnote w:id="191">
    <w:p w14:paraId="3A2222A7"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sidRPr="00862B0F">
        <w:rPr>
          <w:smallCaps/>
          <w:sz w:val="20"/>
        </w:rPr>
        <w:t xml:space="preserve">H.J. Snijders en E.B. Rank-Berenschoot, </w:t>
      </w:r>
      <w:r w:rsidRPr="00862B0F">
        <w:rPr>
          <w:i/>
          <w:sz w:val="20"/>
        </w:rPr>
        <w:t xml:space="preserve">Goederenrecht, </w:t>
      </w:r>
      <w:r w:rsidRPr="00862B0F">
        <w:rPr>
          <w:sz w:val="20"/>
        </w:rPr>
        <w:t>Deventer, Kluwer, 2012, 450.</w:t>
      </w:r>
    </w:p>
  </w:footnote>
  <w:footnote w:id="192">
    <w:p w14:paraId="4A98236E" w14:textId="09D5438D" w:rsidR="00C97F8C" w:rsidRPr="006460FD" w:rsidRDefault="00C97F8C" w:rsidP="00B768BB">
      <w:pPr>
        <w:pStyle w:val="Voetnoottekst"/>
        <w:rPr>
          <w:sz w:val="20"/>
          <w:lang w:val="en-GB"/>
        </w:rPr>
      </w:pPr>
      <w:r w:rsidRPr="00862B0F">
        <w:rPr>
          <w:rStyle w:val="Voetnootmarkering"/>
          <w:sz w:val="20"/>
        </w:rPr>
        <w:footnoteRef/>
      </w:r>
      <w:r w:rsidRPr="006460FD">
        <w:rPr>
          <w:sz w:val="20"/>
          <w:lang w:val="en-GB"/>
        </w:rPr>
        <w:t xml:space="preserve"> </w:t>
      </w:r>
      <w:proofErr w:type="spellStart"/>
      <w:r w:rsidRPr="006460FD">
        <w:rPr>
          <w:sz w:val="20"/>
          <w:lang w:val="en-GB"/>
        </w:rPr>
        <w:t>Artikel</w:t>
      </w:r>
      <w:proofErr w:type="spellEnd"/>
      <w:r w:rsidRPr="006460FD">
        <w:rPr>
          <w:sz w:val="20"/>
          <w:lang w:val="en-GB"/>
        </w:rPr>
        <w:t xml:space="preserve"> VIII-2:102 Draft </w:t>
      </w:r>
      <w:r w:rsidR="00192459">
        <w:rPr>
          <w:sz w:val="20"/>
          <w:lang w:val="en-GB"/>
        </w:rPr>
        <w:t>Common Frame of</w:t>
      </w:r>
      <w:r w:rsidRPr="006460FD">
        <w:rPr>
          <w:sz w:val="20"/>
          <w:lang w:val="en-GB"/>
        </w:rPr>
        <w:t xml:space="preserve"> Reference; </w:t>
      </w:r>
      <w:r w:rsidRPr="006460FD">
        <w:rPr>
          <w:smallCaps/>
          <w:sz w:val="20"/>
          <w:lang w:val="en-GB"/>
        </w:rPr>
        <w:t xml:space="preserve">C. Von Bar en E. Clive, </w:t>
      </w:r>
      <w:r w:rsidRPr="006460FD">
        <w:rPr>
          <w:i/>
          <w:sz w:val="20"/>
          <w:lang w:val="en-GB"/>
        </w:rPr>
        <w:t xml:space="preserve">Principles, Definitions and Model Rules of European Private law: Draft Common Frame of Reference (DCFR), </w:t>
      </w:r>
      <w:r w:rsidRPr="006460FD">
        <w:rPr>
          <w:sz w:val="20"/>
          <w:lang w:val="en-GB"/>
        </w:rPr>
        <w:t>2009, 5413-5414.</w:t>
      </w:r>
    </w:p>
  </w:footnote>
  <w:footnote w:id="193">
    <w:p w14:paraId="123171B1"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Artikel 7 Pandwet; </w:t>
      </w:r>
      <w:r w:rsidRPr="00862B0F">
        <w:rPr>
          <w:smallCaps/>
          <w:sz w:val="20"/>
        </w:rPr>
        <w:t xml:space="preserve">E. Dirix, </w:t>
      </w:r>
      <w:r w:rsidRPr="00862B0F">
        <w:rPr>
          <w:sz w:val="20"/>
        </w:rPr>
        <w:t xml:space="preserve">“De wet van 11 juli 2013 betreffende de zakelijke zekerheden op roerende goederen”, </w:t>
      </w:r>
      <w:r w:rsidRPr="00862B0F">
        <w:rPr>
          <w:i/>
          <w:sz w:val="20"/>
        </w:rPr>
        <w:t>Nieuwsbrief Notariaat</w:t>
      </w:r>
      <w:r w:rsidRPr="00862B0F">
        <w:rPr>
          <w:sz w:val="20"/>
        </w:rPr>
        <w:t xml:space="preserve"> 2014, 3; J. </w:t>
      </w:r>
      <w:r w:rsidRPr="00862B0F">
        <w:rPr>
          <w:smallCaps/>
          <w:sz w:val="20"/>
        </w:rPr>
        <w:t xml:space="preserve">Del Corral, </w:t>
      </w:r>
      <w:r w:rsidRPr="00862B0F">
        <w:rPr>
          <w:sz w:val="20"/>
        </w:rPr>
        <w:t xml:space="preserve">“Zekerheidsrechten – Stand van zaken”, </w:t>
      </w:r>
      <w:r w:rsidRPr="00862B0F">
        <w:rPr>
          <w:i/>
          <w:smallCaps/>
          <w:sz w:val="20"/>
        </w:rPr>
        <w:t xml:space="preserve">NJW </w:t>
      </w:r>
      <w:r w:rsidRPr="00862B0F">
        <w:rPr>
          <w:smallCaps/>
          <w:sz w:val="20"/>
        </w:rPr>
        <w:t>2014</w:t>
      </w:r>
      <w:r w:rsidRPr="00862B0F">
        <w:rPr>
          <w:i/>
          <w:smallCaps/>
          <w:sz w:val="20"/>
        </w:rPr>
        <w:t xml:space="preserve">, </w:t>
      </w:r>
      <w:r w:rsidRPr="00862B0F">
        <w:rPr>
          <w:smallCaps/>
          <w:sz w:val="20"/>
        </w:rPr>
        <w:t>581.</w:t>
      </w:r>
    </w:p>
  </w:footnote>
  <w:footnote w:id="194">
    <w:p w14:paraId="0DE3432F" w14:textId="51544BEF" w:rsidR="00C97F8C" w:rsidRPr="004F6390" w:rsidRDefault="00C97F8C" w:rsidP="00B768BB">
      <w:pPr>
        <w:pStyle w:val="Voetnoottekst"/>
        <w:rPr>
          <w:sz w:val="20"/>
        </w:rPr>
      </w:pPr>
      <w:r w:rsidRPr="00862B0F">
        <w:rPr>
          <w:rStyle w:val="Voetnootmarkering"/>
          <w:sz w:val="20"/>
        </w:rPr>
        <w:footnoteRef/>
      </w:r>
      <w:r w:rsidRPr="00862B0F">
        <w:rPr>
          <w:sz w:val="20"/>
        </w:rPr>
        <w:t xml:space="preserve"> Artikel 104 en 105 wet 11 juli 2013 tot wijziging van het Burgerlijk Wetboek wat de zakelijke zekerheden op roerende goederen betreft en tot opheffing van diverse bepalingen ter zake, </w:t>
      </w:r>
      <w:r w:rsidRPr="00862B0F">
        <w:rPr>
          <w:i/>
          <w:sz w:val="20"/>
        </w:rPr>
        <w:t xml:space="preserve">BS </w:t>
      </w:r>
      <w:r w:rsidRPr="00862B0F">
        <w:rPr>
          <w:sz w:val="20"/>
        </w:rPr>
        <w:t>2 augustus 2013, 48463</w:t>
      </w:r>
      <w:r>
        <w:rPr>
          <w:sz w:val="20"/>
        </w:rPr>
        <w:t xml:space="preserve">; </w:t>
      </w:r>
      <w:r w:rsidRPr="00862B0F">
        <w:rPr>
          <w:sz w:val="20"/>
        </w:rPr>
        <w:t xml:space="preserve">MvT </w:t>
      </w:r>
      <w:r w:rsidRPr="00862B0F">
        <w:rPr>
          <w:i/>
          <w:sz w:val="20"/>
        </w:rPr>
        <w:t xml:space="preserve">Parl.St., </w:t>
      </w:r>
      <w:r w:rsidRPr="00862B0F">
        <w:rPr>
          <w:sz w:val="20"/>
        </w:rPr>
        <w:t xml:space="preserve">Kamer 2012-13, nr. 2463/001, </w:t>
      </w:r>
      <w:r>
        <w:rPr>
          <w:sz w:val="20"/>
        </w:rPr>
        <w:t xml:space="preserve">17; </w:t>
      </w:r>
      <w:r w:rsidRPr="00862B0F">
        <w:rPr>
          <w:smallCaps/>
          <w:sz w:val="20"/>
        </w:rPr>
        <w:t>S. Bogaerts</w:t>
      </w:r>
      <w:r w:rsidRPr="00862B0F">
        <w:rPr>
          <w:sz w:val="20"/>
        </w:rPr>
        <w:t xml:space="preserve"> en </w:t>
      </w:r>
      <w:r w:rsidRPr="00862B0F">
        <w:rPr>
          <w:smallCaps/>
          <w:sz w:val="20"/>
        </w:rPr>
        <w:t>V. Sagaert</w:t>
      </w:r>
      <w:r w:rsidRPr="00862B0F">
        <w:rPr>
          <w:sz w:val="20"/>
        </w:rPr>
        <w:t>, “Nieuwe Pandwet: grondige hervorming van zekerheden op roerende goederen”, Balans 2013, 1</w:t>
      </w:r>
      <w:r>
        <w:rPr>
          <w:sz w:val="20"/>
        </w:rPr>
        <w:t xml:space="preserve">; </w:t>
      </w:r>
      <w:r>
        <w:rPr>
          <w:smallCaps/>
          <w:sz w:val="20"/>
        </w:rPr>
        <w:t xml:space="preserve">L. Deltomme, </w:t>
      </w:r>
      <w:r>
        <w:rPr>
          <w:sz w:val="20"/>
        </w:rPr>
        <w:t xml:space="preserve">“De hervorming van de zakelijke zekerheden”, </w:t>
      </w:r>
      <w:r>
        <w:rPr>
          <w:i/>
          <w:sz w:val="20"/>
        </w:rPr>
        <w:t xml:space="preserve">Nieuw Notarieel Kwartaaltijdschrift </w:t>
      </w:r>
      <w:r>
        <w:rPr>
          <w:sz w:val="20"/>
        </w:rPr>
        <w:t>2015, 11.</w:t>
      </w:r>
    </w:p>
  </w:footnote>
  <w:footnote w:id="195">
    <w:p w14:paraId="6295182C" w14:textId="2E511E4B" w:rsidR="00C97F8C" w:rsidRPr="00862B0F" w:rsidRDefault="00C97F8C" w:rsidP="00B768BB">
      <w:pPr>
        <w:pStyle w:val="Voetnoottekst"/>
        <w:rPr>
          <w:sz w:val="20"/>
        </w:rPr>
      </w:pPr>
      <w:r w:rsidRPr="00862B0F">
        <w:rPr>
          <w:rStyle w:val="Voetnootmarkering"/>
          <w:sz w:val="20"/>
        </w:rPr>
        <w:footnoteRef/>
      </w:r>
      <w:r w:rsidRPr="00862B0F">
        <w:rPr>
          <w:sz w:val="20"/>
        </w:rPr>
        <w:t xml:space="preserve"> Artikel 6 Pandwet; MvT, </w:t>
      </w:r>
      <w:r w:rsidRPr="00862B0F">
        <w:rPr>
          <w:i/>
          <w:sz w:val="20"/>
        </w:rPr>
        <w:t xml:space="preserve">Parl.St. </w:t>
      </w:r>
      <w:r w:rsidRPr="00862B0F">
        <w:rPr>
          <w:sz w:val="20"/>
        </w:rPr>
        <w:t xml:space="preserve">Kamer, </w:t>
      </w:r>
      <w:proofErr w:type="spellStart"/>
      <w:r w:rsidRPr="00862B0F">
        <w:rPr>
          <w:sz w:val="20"/>
        </w:rPr>
        <w:t>Doc</w:t>
      </w:r>
      <w:proofErr w:type="spellEnd"/>
      <w:r w:rsidRPr="00862B0F">
        <w:rPr>
          <w:sz w:val="20"/>
        </w:rPr>
        <w:t xml:space="preserve">. 53, 2463/011, 37; E. </w:t>
      </w:r>
      <w:r>
        <w:rPr>
          <w:smallCaps/>
          <w:sz w:val="20"/>
        </w:rPr>
        <w:t>Dirix,</w:t>
      </w:r>
      <w:r w:rsidRPr="00862B0F">
        <w:rPr>
          <w:smallCaps/>
          <w:sz w:val="20"/>
        </w:rPr>
        <w:t xml:space="preserve"> </w:t>
      </w:r>
      <w:r w:rsidRPr="00862B0F">
        <w:rPr>
          <w:i/>
          <w:sz w:val="20"/>
        </w:rPr>
        <w:t xml:space="preserve">De hervorming van de roerende zakelijke zekerheden, </w:t>
      </w:r>
      <w:r w:rsidRPr="00862B0F">
        <w:rPr>
          <w:sz w:val="20"/>
        </w:rPr>
        <w:t>Mechelen, Kluwer, 2013, 16;</w:t>
      </w:r>
      <w:r>
        <w:rPr>
          <w:sz w:val="20"/>
        </w:rPr>
        <w:t xml:space="preserve"> </w:t>
      </w:r>
      <w:r>
        <w:rPr>
          <w:smallCaps/>
          <w:sz w:val="20"/>
        </w:rPr>
        <w:t xml:space="preserve">F. Georges, </w:t>
      </w:r>
      <w:r>
        <w:rPr>
          <w:sz w:val="20"/>
        </w:rPr>
        <w:t xml:space="preserve">“La reforme des sûretés mobilières, </w:t>
      </w:r>
      <w:r w:rsidRPr="008530A1">
        <w:rPr>
          <w:i/>
          <w:sz w:val="20"/>
        </w:rPr>
        <w:t>Revue de la Faculté de droit de l’Université de Liège</w:t>
      </w:r>
      <w:r>
        <w:rPr>
          <w:sz w:val="20"/>
        </w:rPr>
        <w:t xml:space="preserve"> 2013, 333;</w:t>
      </w:r>
      <w:r w:rsidRPr="00862B0F">
        <w:rPr>
          <w:sz w:val="20"/>
        </w:rPr>
        <w:t xml:space="preserve"> </w:t>
      </w:r>
      <w:r w:rsidRPr="00862B0F">
        <w:rPr>
          <w:smallCaps/>
          <w:sz w:val="20"/>
        </w:rPr>
        <w:t xml:space="preserve">E. Hellebuyck, </w:t>
      </w:r>
      <w:r w:rsidRPr="00862B0F">
        <w:rPr>
          <w:sz w:val="20"/>
        </w:rPr>
        <w:t xml:space="preserve">“Commentaar bij artikel 6 Pandwet”, </w:t>
      </w:r>
      <w:r w:rsidRPr="00862B0F">
        <w:rPr>
          <w:i/>
          <w:sz w:val="20"/>
        </w:rPr>
        <w:t xml:space="preserve">Voorrechten en hypotheken OVH </w:t>
      </w:r>
      <w:r>
        <w:rPr>
          <w:sz w:val="20"/>
        </w:rPr>
        <w:t xml:space="preserve">2015, 8; </w:t>
      </w:r>
      <w:r w:rsidRPr="00BD0A62">
        <w:rPr>
          <w:smallCaps/>
          <w:sz w:val="20"/>
        </w:rPr>
        <w:t>J. Baeck, “</w:t>
      </w:r>
      <w:r w:rsidRPr="00BD0A62">
        <w:rPr>
          <w:sz w:val="20"/>
        </w:rPr>
        <w:t>Het nieuwe pandrecht”</w:t>
      </w:r>
      <w:r w:rsidRPr="00BD0A62">
        <w:rPr>
          <w:i/>
          <w:sz w:val="20"/>
        </w:rPr>
        <w:t xml:space="preserve">, RW </w:t>
      </w:r>
      <w:r>
        <w:rPr>
          <w:sz w:val="20"/>
        </w:rPr>
        <w:t>2015-16, 1210.</w:t>
      </w:r>
    </w:p>
  </w:footnote>
  <w:footnote w:id="196">
    <w:p w14:paraId="0CCD2F5F" w14:textId="77777777" w:rsidR="00C97F8C" w:rsidRPr="00862B0F" w:rsidRDefault="00C97F8C" w:rsidP="00B768BB">
      <w:pPr>
        <w:pStyle w:val="Voetnoottekst"/>
        <w:rPr>
          <w:smallCaps/>
          <w:sz w:val="20"/>
        </w:rPr>
      </w:pPr>
      <w:r w:rsidRPr="00862B0F">
        <w:rPr>
          <w:rStyle w:val="Voetnootmarkering"/>
          <w:sz w:val="20"/>
        </w:rPr>
        <w:footnoteRef/>
      </w:r>
      <w:r w:rsidRPr="00862B0F">
        <w:rPr>
          <w:sz w:val="20"/>
        </w:rPr>
        <w:t xml:space="preserve"> Cass. 16 juni 1995, </w:t>
      </w:r>
      <w:r w:rsidRPr="008530A1">
        <w:rPr>
          <w:i/>
          <w:sz w:val="20"/>
        </w:rPr>
        <w:t>RW</w:t>
      </w:r>
      <w:r w:rsidRPr="00862B0F">
        <w:rPr>
          <w:sz w:val="20"/>
        </w:rPr>
        <w:t xml:space="preserve"> 1995-96, 309</w:t>
      </w:r>
      <w:r w:rsidRPr="00862B0F">
        <w:rPr>
          <w:i/>
          <w:sz w:val="20"/>
        </w:rPr>
        <w:t xml:space="preserve">; </w:t>
      </w:r>
      <w:r w:rsidRPr="00862B0F">
        <w:rPr>
          <w:sz w:val="20"/>
        </w:rPr>
        <w:t xml:space="preserve">Cass. 25 mei 1984, </w:t>
      </w:r>
      <w:r w:rsidRPr="008530A1">
        <w:rPr>
          <w:i/>
          <w:sz w:val="20"/>
        </w:rPr>
        <w:t>RW</w:t>
      </w:r>
      <w:r w:rsidRPr="00862B0F">
        <w:rPr>
          <w:sz w:val="20"/>
        </w:rPr>
        <w:t xml:space="preserve"> 1984-85, 2328; R. </w:t>
      </w:r>
      <w:r w:rsidRPr="00862B0F">
        <w:rPr>
          <w:smallCaps/>
          <w:sz w:val="20"/>
        </w:rPr>
        <w:t xml:space="preserve">Steennot, </w:t>
      </w:r>
      <w:r w:rsidRPr="00862B0F">
        <w:rPr>
          <w:sz w:val="20"/>
        </w:rPr>
        <w:t xml:space="preserve">“Algemene regeling van het pand” in in J. </w:t>
      </w:r>
      <w:r w:rsidRPr="00862B0F">
        <w:rPr>
          <w:smallCaps/>
          <w:sz w:val="20"/>
        </w:rPr>
        <w:t xml:space="preserve">Baeck  </w:t>
      </w:r>
      <w:r w:rsidRPr="00862B0F">
        <w:rPr>
          <w:sz w:val="20"/>
        </w:rPr>
        <w:t xml:space="preserve">en M. </w:t>
      </w:r>
      <w:r w:rsidRPr="00862B0F">
        <w:rPr>
          <w:smallCaps/>
          <w:sz w:val="20"/>
        </w:rPr>
        <w:t xml:space="preserve">Kruithof </w:t>
      </w:r>
      <w:r w:rsidRPr="00862B0F">
        <w:rPr>
          <w:sz w:val="20"/>
        </w:rPr>
        <w:t xml:space="preserve">(eds.), </w:t>
      </w:r>
      <w:r w:rsidRPr="00862B0F">
        <w:rPr>
          <w:i/>
          <w:sz w:val="20"/>
        </w:rPr>
        <w:t xml:space="preserve">Het nieuwe zekerheidsrecht, </w:t>
      </w:r>
      <w:r w:rsidRPr="00862B0F">
        <w:rPr>
          <w:sz w:val="20"/>
        </w:rPr>
        <w:t xml:space="preserve">Antwerpen, Intersentia, 2014, 40; </w:t>
      </w:r>
      <w:r w:rsidRPr="00862B0F">
        <w:rPr>
          <w:smallCaps/>
          <w:sz w:val="20"/>
        </w:rPr>
        <w:t xml:space="preserve">M. Storme, </w:t>
      </w:r>
      <w:r w:rsidRPr="00862B0F">
        <w:rPr>
          <w:i/>
          <w:sz w:val="20"/>
        </w:rPr>
        <w:t>I</w:t>
      </w:r>
      <w:r>
        <w:rPr>
          <w:i/>
          <w:sz w:val="20"/>
        </w:rPr>
        <w:t xml:space="preserve">nsolventierecht in kortbestek, </w:t>
      </w:r>
      <w:r w:rsidRPr="00862B0F">
        <w:rPr>
          <w:i/>
          <w:sz w:val="20"/>
        </w:rPr>
        <w:t xml:space="preserve">Gent-Mariakerke, </w:t>
      </w:r>
      <w:r w:rsidRPr="00862B0F">
        <w:rPr>
          <w:sz w:val="20"/>
        </w:rPr>
        <w:t>2011, 223.</w:t>
      </w:r>
    </w:p>
  </w:footnote>
  <w:footnote w:id="197">
    <w:p w14:paraId="279ECAF6" w14:textId="6A8A17C8" w:rsidR="00C97F8C" w:rsidRPr="006460FD" w:rsidRDefault="00C97F8C" w:rsidP="00372021">
      <w:pPr>
        <w:pStyle w:val="Voetnoottekst"/>
        <w:jc w:val="left"/>
        <w:rPr>
          <w:b/>
          <w:smallCaps/>
          <w:sz w:val="20"/>
          <w:lang w:val="en-GB"/>
        </w:rPr>
      </w:pPr>
      <w:r w:rsidRPr="00862B0F">
        <w:rPr>
          <w:rStyle w:val="Voetnootmarkering"/>
          <w:sz w:val="20"/>
        </w:rPr>
        <w:footnoteRef/>
      </w:r>
      <w:r w:rsidRPr="00862B0F">
        <w:rPr>
          <w:sz w:val="20"/>
        </w:rPr>
        <w:t xml:space="preserve"> Artikel 15 Pandwet; Artikel 57 Pandwet; R. </w:t>
      </w:r>
      <w:r w:rsidRPr="00862B0F">
        <w:rPr>
          <w:smallCaps/>
          <w:sz w:val="20"/>
        </w:rPr>
        <w:t xml:space="preserve">Steennot, </w:t>
      </w:r>
      <w:r w:rsidRPr="00862B0F">
        <w:rPr>
          <w:sz w:val="20"/>
        </w:rPr>
        <w:t xml:space="preserve">“Algemene regeling van het pand” in in J. </w:t>
      </w:r>
      <w:r w:rsidRPr="00862B0F">
        <w:rPr>
          <w:smallCaps/>
          <w:sz w:val="20"/>
        </w:rPr>
        <w:t xml:space="preserve">Baeck  </w:t>
      </w:r>
      <w:r w:rsidRPr="00862B0F">
        <w:rPr>
          <w:sz w:val="20"/>
        </w:rPr>
        <w:t xml:space="preserve">en M. </w:t>
      </w:r>
      <w:r w:rsidRPr="00862B0F">
        <w:rPr>
          <w:smallCaps/>
          <w:sz w:val="20"/>
        </w:rPr>
        <w:t xml:space="preserve">Kruithof </w:t>
      </w:r>
      <w:r w:rsidRPr="00862B0F">
        <w:rPr>
          <w:sz w:val="20"/>
        </w:rPr>
        <w:t xml:space="preserve">(eds.), </w:t>
      </w:r>
      <w:r w:rsidRPr="00862B0F">
        <w:rPr>
          <w:i/>
          <w:sz w:val="20"/>
        </w:rPr>
        <w:t xml:space="preserve">Het nieuwe zekerheidsrecht, </w:t>
      </w:r>
      <w:r w:rsidRPr="00862B0F">
        <w:rPr>
          <w:sz w:val="20"/>
        </w:rPr>
        <w:t>Antwerpen, Intersentia, 2014, 40.</w:t>
      </w:r>
      <w:r>
        <w:rPr>
          <w:sz w:val="20"/>
        </w:rPr>
        <w:t xml:space="preserve"> </w:t>
      </w:r>
      <w:r>
        <w:rPr>
          <w:sz w:val="20"/>
          <w:u w:val="single"/>
        </w:rPr>
        <w:t>Frankrijk:</w:t>
      </w:r>
      <w:r>
        <w:rPr>
          <w:sz w:val="20"/>
        </w:rPr>
        <w:t xml:space="preserve"> </w:t>
      </w:r>
      <w:r w:rsidRPr="00862B0F">
        <w:rPr>
          <w:sz w:val="20"/>
        </w:rPr>
        <w:t xml:space="preserve">Artikel 2340, eerste lid Code Civil; </w:t>
      </w:r>
      <w:r w:rsidRPr="00862B0F">
        <w:rPr>
          <w:smallCaps/>
          <w:sz w:val="20"/>
        </w:rPr>
        <w:t xml:space="preserve">L. </w:t>
      </w:r>
      <w:proofErr w:type="spellStart"/>
      <w:r w:rsidRPr="00862B0F">
        <w:rPr>
          <w:smallCaps/>
          <w:sz w:val="20"/>
        </w:rPr>
        <w:t>Aynès</w:t>
      </w:r>
      <w:proofErr w:type="spellEnd"/>
      <w:r w:rsidRPr="00862B0F">
        <w:rPr>
          <w:smallCaps/>
          <w:sz w:val="20"/>
        </w:rPr>
        <w:t xml:space="preserve"> </w:t>
      </w:r>
      <w:r w:rsidRPr="00194F6E">
        <w:rPr>
          <w:sz w:val="20"/>
        </w:rPr>
        <w:t>en</w:t>
      </w:r>
      <w:r>
        <w:rPr>
          <w:smallCaps/>
          <w:sz w:val="20"/>
        </w:rPr>
        <w:t xml:space="preserve"> P. Crocq</w:t>
      </w:r>
      <w:r w:rsidRPr="00862B0F">
        <w:rPr>
          <w:smallCaps/>
          <w:sz w:val="20"/>
        </w:rPr>
        <w:t xml:space="preserve">, </w:t>
      </w:r>
      <w:r w:rsidRPr="00862B0F">
        <w:rPr>
          <w:sz w:val="20"/>
        </w:rPr>
        <w:t xml:space="preserve">Les sûretés. </w:t>
      </w:r>
      <w:r w:rsidRPr="006460FD">
        <w:rPr>
          <w:sz w:val="20"/>
          <w:lang w:val="en-GB"/>
        </w:rPr>
        <w:t xml:space="preserve">La publicité foncière, Parijs, Defrénois 2008, 225-226. </w:t>
      </w:r>
      <w:r w:rsidRPr="006460FD">
        <w:rPr>
          <w:sz w:val="20"/>
          <w:u w:val="single"/>
          <w:lang w:val="en-GB"/>
        </w:rPr>
        <w:t>Draft Common Frame of Reference:</w:t>
      </w:r>
      <w:r w:rsidRPr="006460FD">
        <w:rPr>
          <w:sz w:val="20"/>
          <w:lang w:val="en-GB"/>
        </w:rPr>
        <w:t xml:space="preserve"> </w:t>
      </w:r>
      <w:proofErr w:type="spellStart"/>
      <w:r w:rsidRPr="006460FD">
        <w:rPr>
          <w:sz w:val="20"/>
          <w:lang w:val="en-GB"/>
        </w:rPr>
        <w:t>Artikel</w:t>
      </w:r>
      <w:proofErr w:type="spellEnd"/>
      <w:r w:rsidRPr="006460FD">
        <w:rPr>
          <w:sz w:val="20"/>
          <w:lang w:val="en-GB"/>
        </w:rPr>
        <w:t xml:space="preserve"> IX-2:109 DCFR.</w:t>
      </w:r>
    </w:p>
  </w:footnote>
  <w:footnote w:id="198">
    <w:p w14:paraId="11DD1324" w14:textId="28C287AE" w:rsidR="00C97F8C" w:rsidRPr="00372021" w:rsidRDefault="00C97F8C" w:rsidP="00372021">
      <w:pPr>
        <w:pStyle w:val="Voetnoottekst"/>
        <w:rPr>
          <w:lang w:val="nl-BE"/>
        </w:rPr>
      </w:pPr>
      <w:r>
        <w:rPr>
          <w:rStyle w:val="Voetnootmarkering"/>
        </w:rPr>
        <w:footnoteRef/>
      </w:r>
      <w:r>
        <w:t xml:space="preserve"> </w:t>
      </w:r>
      <w:r w:rsidRPr="00862B0F">
        <w:rPr>
          <w:smallCaps/>
          <w:sz w:val="20"/>
        </w:rPr>
        <w:t xml:space="preserve">H.J. Snijders en E.B. Rank-Berenschoot, </w:t>
      </w:r>
      <w:r w:rsidRPr="00862B0F">
        <w:rPr>
          <w:i/>
          <w:sz w:val="20"/>
        </w:rPr>
        <w:t xml:space="preserve">Goederenrecht, </w:t>
      </w:r>
      <w:r w:rsidRPr="00862B0F">
        <w:rPr>
          <w:sz w:val="20"/>
        </w:rPr>
        <w:t>Deventer, Kluwer, 2012, 45</w:t>
      </w:r>
      <w:r>
        <w:rPr>
          <w:sz w:val="20"/>
        </w:rPr>
        <w:t xml:space="preserve">3. </w:t>
      </w:r>
    </w:p>
  </w:footnote>
  <w:footnote w:id="199">
    <w:p w14:paraId="69340266" w14:textId="77777777" w:rsidR="00C97F8C" w:rsidRPr="007C2BAE" w:rsidRDefault="00C97F8C" w:rsidP="00372021">
      <w:pPr>
        <w:pStyle w:val="Voetnoottekst"/>
        <w:rPr>
          <w:lang w:val="nl-BE"/>
        </w:rPr>
      </w:pPr>
      <w:r>
        <w:rPr>
          <w:rStyle w:val="Voetnootmarkering"/>
        </w:rPr>
        <w:footnoteRef/>
      </w:r>
      <w:r>
        <w:t xml:space="preserve"> </w:t>
      </w:r>
      <w:r w:rsidRPr="007C2BAE">
        <w:rPr>
          <w:sz w:val="20"/>
        </w:rPr>
        <w:t>Cass. 12 februari 2004, RW 2004-05, 1179, noot M. STORME</w:t>
      </w:r>
      <w:r>
        <w:t xml:space="preserve">; </w:t>
      </w:r>
      <w:r w:rsidRPr="00862B0F">
        <w:rPr>
          <w:smallCaps/>
          <w:sz w:val="20"/>
        </w:rPr>
        <w:t xml:space="preserve">E. Hellebuyck, </w:t>
      </w:r>
      <w:r w:rsidRPr="00862B0F">
        <w:rPr>
          <w:sz w:val="20"/>
        </w:rPr>
        <w:t xml:space="preserve">“Commentaar bij artikel 6 Pandwet”, </w:t>
      </w:r>
      <w:r w:rsidRPr="00862B0F">
        <w:rPr>
          <w:i/>
          <w:sz w:val="20"/>
        </w:rPr>
        <w:t xml:space="preserve">Voorrechten en hypotheken OVH </w:t>
      </w:r>
      <w:r w:rsidRPr="00862B0F">
        <w:rPr>
          <w:sz w:val="20"/>
        </w:rPr>
        <w:t xml:space="preserve">2015, </w:t>
      </w:r>
      <w:r>
        <w:rPr>
          <w:sz w:val="20"/>
        </w:rPr>
        <w:t>9.</w:t>
      </w:r>
    </w:p>
  </w:footnote>
  <w:footnote w:id="200">
    <w:p w14:paraId="369F0BC1" w14:textId="77777777" w:rsidR="00C97F8C" w:rsidRPr="003420A5" w:rsidRDefault="00C97F8C" w:rsidP="00B768BB">
      <w:pPr>
        <w:widowControl w:val="0"/>
        <w:autoSpaceDE w:val="0"/>
        <w:autoSpaceDN w:val="0"/>
        <w:adjustRightInd w:val="0"/>
        <w:rPr>
          <w:rFonts w:ascii="Times" w:hAnsi="Times" w:cs="Times"/>
        </w:rPr>
      </w:pPr>
      <w:r w:rsidRPr="00862B0F">
        <w:rPr>
          <w:rStyle w:val="Voetnootmarkering"/>
          <w:sz w:val="20"/>
        </w:rPr>
        <w:footnoteRef/>
      </w:r>
      <w:r w:rsidRPr="00862B0F">
        <w:rPr>
          <w:sz w:val="20"/>
        </w:rPr>
        <w:t xml:space="preserve"> Artikel 6, tweede lid Pandwet; MvT, </w:t>
      </w:r>
      <w:r w:rsidRPr="00862B0F">
        <w:rPr>
          <w:i/>
          <w:sz w:val="20"/>
        </w:rPr>
        <w:t xml:space="preserve">Parl.St. </w:t>
      </w:r>
      <w:r w:rsidRPr="00862B0F">
        <w:rPr>
          <w:sz w:val="20"/>
        </w:rPr>
        <w:t xml:space="preserve">Kamer, </w:t>
      </w:r>
      <w:proofErr w:type="spellStart"/>
      <w:r w:rsidRPr="00862B0F">
        <w:rPr>
          <w:sz w:val="20"/>
        </w:rPr>
        <w:t>Doc</w:t>
      </w:r>
      <w:proofErr w:type="spellEnd"/>
      <w:r w:rsidRPr="00862B0F">
        <w:rPr>
          <w:sz w:val="20"/>
        </w:rPr>
        <w:t xml:space="preserve">. 53, 2463/011, 37; E. </w:t>
      </w:r>
      <w:r w:rsidRPr="00862B0F">
        <w:rPr>
          <w:smallCaps/>
          <w:sz w:val="20"/>
        </w:rPr>
        <w:t xml:space="preserve">Dirix,  </w:t>
      </w:r>
      <w:r w:rsidRPr="00862B0F">
        <w:rPr>
          <w:i/>
          <w:sz w:val="20"/>
        </w:rPr>
        <w:t xml:space="preserve">De hervorming van de roerende zakelijke zekerheden, </w:t>
      </w:r>
      <w:r>
        <w:rPr>
          <w:sz w:val="20"/>
        </w:rPr>
        <w:t xml:space="preserve">Mechelen, Kluwer, 2013, </w:t>
      </w:r>
      <w:r w:rsidRPr="00862B0F">
        <w:rPr>
          <w:sz w:val="20"/>
        </w:rPr>
        <w:t>16;</w:t>
      </w:r>
      <w:r>
        <w:rPr>
          <w:sz w:val="20"/>
        </w:rPr>
        <w:t xml:space="preserve"> </w:t>
      </w:r>
      <w:r>
        <w:rPr>
          <w:smallCaps/>
          <w:sz w:val="20"/>
        </w:rPr>
        <w:t>J. Cattaruzza, “</w:t>
      </w:r>
      <w:r>
        <w:rPr>
          <w:sz w:val="20"/>
        </w:rPr>
        <w:t xml:space="preserve">Les </w:t>
      </w:r>
      <w:proofErr w:type="spellStart"/>
      <w:r>
        <w:rPr>
          <w:sz w:val="20"/>
        </w:rPr>
        <w:t>grands</w:t>
      </w:r>
      <w:proofErr w:type="spellEnd"/>
      <w:r>
        <w:rPr>
          <w:sz w:val="20"/>
        </w:rPr>
        <w:t xml:space="preserve"> </w:t>
      </w:r>
      <w:proofErr w:type="spellStart"/>
      <w:r>
        <w:rPr>
          <w:sz w:val="20"/>
        </w:rPr>
        <w:t>axes</w:t>
      </w:r>
      <w:proofErr w:type="spellEnd"/>
      <w:r>
        <w:rPr>
          <w:sz w:val="20"/>
        </w:rPr>
        <w:t xml:space="preserve"> de la réforme des sûretés mobilières”, Forum Financier/Droit bancaire et financier 2013, 185; </w:t>
      </w:r>
      <w:r>
        <w:rPr>
          <w:smallCaps/>
          <w:sz w:val="20"/>
        </w:rPr>
        <w:t xml:space="preserve">F. Georges, </w:t>
      </w:r>
      <w:r>
        <w:rPr>
          <w:sz w:val="20"/>
        </w:rPr>
        <w:t xml:space="preserve">“La reforme des sûretés mobilières, </w:t>
      </w:r>
      <w:r w:rsidRPr="008530A1">
        <w:rPr>
          <w:i/>
          <w:sz w:val="20"/>
        </w:rPr>
        <w:t>Revue de la Faculté de droit de l’Université de Liège</w:t>
      </w:r>
      <w:r>
        <w:rPr>
          <w:sz w:val="20"/>
        </w:rPr>
        <w:t xml:space="preserve"> 2013, 333;</w:t>
      </w:r>
      <w:r w:rsidRPr="00862B0F">
        <w:rPr>
          <w:smallCaps/>
          <w:sz w:val="20"/>
        </w:rPr>
        <w:t xml:space="preserve"> E. Hellebuyck, </w:t>
      </w:r>
      <w:r w:rsidRPr="00862B0F">
        <w:rPr>
          <w:sz w:val="20"/>
        </w:rPr>
        <w:t xml:space="preserve">“Commentaar bij artikel 6 Pandwet”, </w:t>
      </w:r>
      <w:r w:rsidRPr="00862B0F">
        <w:rPr>
          <w:i/>
          <w:sz w:val="20"/>
        </w:rPr>
        <w:t xml:space="preserve">Voorrechten en hypotheken OVH </w:t>
      </w:r>
      <w:r w:rsidRPr="00862B0F">
        <w:rPr>
          <w:sz w:val="20"/>
        </w:rPr>
        <w:t xml:space="preserve">2015, 8; K. </w:t>
      </w:r>
      <w:r w:rsidRPr="00862B0F">
        <w:rPr>
          <w:smallCaps/>
          <w:sz w:val="20"/>
        </w:rPr>
        <w:t>Van Landeghem., “</w:t>
      </w:r>
      <w:r w:rsidRPr="00862B0F">
        <w:rPr>
          <w:sz w:val="20"/>
        </w:rPr>
        <w:t xml:space="preserve">Inpandgeving” in J. </w:t>
      </w:r>
      <w:r w:rsidRPr="00862B0F">
        <w:rPr>
          <w:smallCaps/>
          <w:sz w:val="20"/>
        </w:rPr>
        <w:t>Cerfontaine en I. Verougstraete I. (</w:t>
      </w:r>
      <w:r w:rsidRPr="00862B0F">
        <w:rPr>
          <w:sz w:val="20"/>
        </w:rPr>
        <w:t>eds.)</w:t>
      </w:r>
      <w:r w:rsidRPr="00862B0F">
        <w:rPr>
          <w:smallCaps/>
          <w:sz w:val="20"/>
        </w:rPr>
        <w:t xml:space="preserve">, </w:t>
      </w:r>
      <w:r w:rsidRPr="00862B0F">
        <w:rPr>
          <w:i/>
          <w:sz w:val="20"/>
        </w:rPr>
        <w:t xml:space="preserve">Wet en duiding: Economisch recht: Deel 5: Bank en Zekerheden, </w:t>
      </w:r>
      <w:r w:rsidRPr="00862B0F">
        <w:rPr>
          <w:sz w:val="20"/>
        </w:rPr>
        <w:t xml:space="preserve">Larcier, Brussel 2014, 612; V. </w:t>
      </w:r>
      <w:r w:rsidRPr="00862B0F">
        <w:rPr>
          <w:smallCaps/>
          <w:sz w:val="20"/>
        </w:rPr>
        <w:t xml:space="preserve">Sagaert, </w:t>
      </w:r>
      <w:r w:rsidRPr="00862B0F">
        <w:rPr>
          <w:sz w:val="20"/>
        </w:rPr>
        <w:t xml:space="preserve">“Enkele pijlers van de </w:t>
      </w:r>
      <w:proofErr w:type="spellStart"/>
      <w:r w:rsidRPr="00862B0F">
        <w:rPr>
          <w:sz w:val="20"/>
        </w:rPr>
        <w:t>pandwet</w:t>
      </w:r>
      <w:proofErr w:type="spellEnd"/>
      <w:r w:rsidRPr="00862B0F">
        <w:rPr>
          <w:sz w:val="20"/>
        </w:rPr>
        <w:t xml:space="preserve">”, in </w:t>
      </w:r>
      <w:r>
        <w:rPr>
          <w:smallCaps/>
          <w:sz w:val="20"/>
        </w:rPr>
        <w:t xml:space="preserve">Centrum voor  </w:t>
      </w:r>
      <w:r w:rsidRPr="00862B0F">
        <w:rPr>
          <w:smallCaps/>
          <w:sz w:val="20"/>
        </w:rPr>
        <w:t>Beroepsvervolmaking in de Rechten</w:t>
      </w:r>
      <w:r w:rsidRPr="00862B0F">
        <w:rPr>
          <w:sz w:val="20"/>
        </w:rPr>
        <w:t xml:space="preserve"> (ed.), </w:t>
      </w:r>
      <w:r w:rsidRPr="00862B0F">
        <w:rPr>
          <w:i/>
          <w:sz w:val="20"/>
        </w:rPr>
        <w:t>CBR Jaarboek 2013-14</w:t>
      </w:r>
      <w:r w:rsidRPr="00862B0F">
        <w:rPr>
          <w:sz w:val="20"/>
        </w:rPr>
        <w:t>, Antwerpen, Intersentia 2014, 61</w:t>
      </w:r>
      <w:r>
        <w:rPr>
          <w:sz w:val="20"/>
        </w:rPr>
        <w:t xml:space="preserve">; </w:t>
      </w:r>
      <w:r w:rsidRPr="00BD0A62">
        <w:rPr>
          <w:smallCaps/>
          <w:sz w:val="20"/>
        </w:rPr>
        <w:t>J. Baeck, “</w:t>
      </w:r>
      <w:r w:rsidRPr="00BD0A62">
        <w:rPr>
          <w:sz w:val="20"/>
        </w:rPr>
        <w:t>Het nieuwe pandrecht”</w:t>
      </w:r>
      <w:r w:rsidRPr="00BD0A62">
        <w:rPr>
          <w:i/>
          <w:sz w:val="20"/>
        </w:rPr>
        <w:t xml:space="preserve">, RW </w:t>
      </w:r>
      <w:r w:rsidRPr="00BD0A62">
        <w:rPr>
          <w:sz w:val="20"/>
        </w:rPr>
        <w:t>2015-16, 121</w:t>
      </w:r>
      <w:r>
        <w:rPr>
          <w:sz w:val="20"/>
        </w:rPr>
        <w:t>0.</w:t>
      </w:r>
    </w:p>
  </w:footnote>
  <w:footnote w:id="201">
    <w:p w14:paraId="170980AB" w14:textId="005E694D" w:rsidR="00C97F8C" w:rsidRPr="00D7317F" w:rsidRDefault="00C97F8C">
      <w:pPr>
        <w:pStyle w:val="Voetnoottekst"/>
        <w:rPr>
          <w:lang w:val="nl-BE"/>
        </w:rPr>
      </w:pPr>
      <w:r>
        <w:rPr>
          <w:rStyle w:val="Voetnootmarkering"/>
        </w:rPr>
        <w:footnoteRef/>
      </w:r>
      <w:r w:rsidRPr="006460FD">
        <w:rPr>
          <w:lang w:val="en-GB"/>
        </w:rPr>
        <w:t xml:space="preserve"> </w:t>
      </w:r>
      <w:r w:rsidRPr="006460FD">
        <w:rPr>
          <w:sz w:val="20"/>
          <w:lang w:val="en-GB"/>
        </w:rPr>
        <w:t xml:space="preserve">Cass. 17 oktober 1984, </w:t>
      </w:r>
      <w:r w:rsidRPr="006460FD">
        <w:rPr>
          <w:i/>
          <w:sz w:val="20"/>
          <w:lang w:val="en-GB"/>
        </w:rPr>
        <w:t xml:space="preserve">Arr. Cass. </w:t>
      </w:r>
      <w:r w:rsidRPr="006460FD">
        <w:rPr>
          <w:sz w:val="20"/>
          <w:lang w:val="en-GB"/>
        </w:rPr>
        <w:t xml:space="preserve">1984-85, 280; Cass. 21 maart 2003, </w:t>
      </w:r>
      <w:r w:rsidRPr="006460FD">
        <w:rPr>
          <w:i/>
          <w:sz w:val="20"/>
          <w:lang w:val="en-GB"/>
        </w:rPr>
        <w:t xml:space="preserve">Arr. Cass. </w:t>
      </w:r>
      <w:r w:rsidRPr="006460FD">
        <w:rPr>
          <w:sz w:val="20"/>
          <w:lang w:val="en-GB"/>
        </w:rPr>
        <w:t xml:space="preserve">2003, 721; Cass. 12 februari 2004, </w:t>
      </w:r>
      <w:r w:rsidRPr="006460FD">
        <w:rPr>
          <w:i/>
          <w:sz w:val="20"/>
          <w:lang w:val="en-GB"/>
        </w:rPr>
        <w:t xml:space="preserve">Arr. Cass. </w:t>
      </w:r>
      <w:r w:rsidRPr="006460FD">
        <w:rPr>
          <w:sz w:val="20"/>
          <w:lang w:val="en-GB"/>
        </w:rPr>
        <w:t xml:space="preserve">2004, 256; Cass. 10 oktober 2007, </w:t>
      </w:r>
      <w:r w:rsidRPr="006460FD">
        <w:rPr>
          <w:i/>
          <w:sz w:val="20"/>
          <w:lang w:val="en-GB"/>
        </w:rPr>
        <w:t xml:space="preserve">Arr. Cass. 2007, </w:t>
      </w:r>
      <w:r w:rsidRPr="006460FD">
        <w:rPr>
          <w:sz w:val="20"/>
          <w:lang w:val="en-GB"/>
        </w:rPr>
        <w:t xml:space="preserve">1890; Cass. 26 november 2010, </w:t>
      </w:r>
      <w:r w:rsidRPr="006460FD">
        <w:rPr>
          <w:i/>
          <w:sz w:val="20"/>
          <w:lang w:val="en-GB"/>
        </w:rPr>
        <w:t xml:space="preserve">RW </w:t>
      </w:r>
      <w:r w:rsidRPr="006460FD">
        <w:rPr>
          <w:sz w:val="20"/>
          <w:lang w:val="en-GB"/>
        </w:rPr>
        <w:t xml:space="preserve">2010-11, 1227; Cass. 29 september 2015, </w:t>
      </w:r>
      <w:hyperlink r:id="rId2" w:history="1">
        <w:r w:rsidRPr="006460FD">
          <w:rPr>
            <w:rStyle w:val="Hyperlink"/>
            <w:sz w:val="20"/>
            <w:lang w:val="en-GB"/>
          </w:rPr>
          <w:t>www.cass.be</w:t>
        </w:r>
      </w:hyperlink>
      <w:r w:rsidRPr="006460FD">
        <w:rPr>
          <w:sz w:val="20"/>
          <w:lang w:val="en-GB"/>
        </w:rPr>
        <w:t xml:space="preserve">; Gent 25 april 1936, </w:t>
      </w:r>
      <w:r w:rsidRPr="006460FD">
        <w:rPr>
          <w:i/>
          <w:sz w:val="20"/>
          <w:lang w:val="en-GB"/>
        </w:rPr>
        <w:t xml:space="preserve">Res. Jur. Imm. </w:t>
      </w:r>
      <w:r w:rsidRPr="006460FD">
        <w:rPr>
          <w:sz w:val="20"/>
          <w:lang w:val="en-GB"/>
        </w:rPr>
        <w:t xml:space="preserve">936, 14, noot </w:t>
      </w:r>
      <w:r w:rsidRPr="006460FD">
        <w:rPr>
          <w:smallCaps/>
          <w:sz w:val="20"/>
          <w:lang w:val="en-GB"/>
        </w:rPr>
        <w:t xml:space="preserve">E.V.; </w:t>
      </w:r>
      <w:r w:rsidRPr="006460FD">
        <w:rPr>
          <w:sz w:val="20"/>
          <w:lang w:val="en-GB"/>
        </w:rPr>
        <w:t xml:space="preserve">Brussel 24 januari 1953, </w:t>
      </w:r>
      <w:r w:rsidRPr="006460FD">
        <w:rPr>
          <w:i/>
          <w:sz w:val="20"/>
          <w:lang w:val="en-GB"/>
        </w:rPr>
        <w:t xml:space="preserve">JT </w:t>
      </w:r>
      <w:r w:rsidRPr="006460FD">
        <w:rPr>
          <w:sz w:val="20"/>
          <w:lang w:val="en-GB"/>
        </w:rPr>
        <w:t xml:space="preserve">1953, 452; Brussel 30 april 2001 </w:t>
      </w:r>
      <w:r w:rsidRPr="006460FD">
        <w:rPr>
          <w:i/>
          <w:sz w:val="20"/>
          <w:lang w:val="en-GB"/>
        </w:rPr>
        <w:t xml:space="preserve">RW </w:t>
      </w:r>
      <w:r w:rsidRPr="006460FD">
        <w:rPr>
          <w:sz w:val="20"/>
          <w:lang w:val="en-GB"/>
        </w:rPr>
        <w:t>2002-03, 626</w:t>
      </w:r>
      <w:r w:rsidRPr="006460FD">
        <w:rPr>
          <w:smallCaps/>
          <w:sz w:val="20"/>
          <w:lang w:val="en-GB"/>
        </w:rPr>
        <w:t xml:space="preserve">; </w:t>
      </w:r>
      <w:r w:rsidRPr="006460FD">
        <w:rPr>
          <w:sz w:val="20"/>
          <w:lang w:val="en-GB"/>
        </w:rPr>
        <w:t xml:space="preserve">Kh. </w:t>
      </w:r>
      <w:r>
        <w:rPr>
          <w:sz w:val="20"/>
        </w:rPr>
        <w:t xml:space="preserve">Ieper 1 maart 2001, </w:t>
      </w:r>
      <w:r w:rsidRPr="009E6A5B">
        <w:rPr>
          <w:i/>
          <w:sz w:val="20"/>
        </w:rPr>
        <w:t>TGR-TWVR</w:t>
      </w:r>
      <w:r w:rsidRPr="009E6A5B">
        <w:rPr>
          <w:i/>
          <w:smallCaps/>
          <w:sz w:val="20"/>
        </w:rPr>
        <w:t>F</w:t>
      </w:r>
      <w:r>
        <w:rPr>
          <w:smallCaps/>
          <w:sz w:val="20"/>
        </w:rPr>
        <w:t xml:space="preserve"> 2012, 121; F. Laurent, </w:t>
      </w:r>
      <w:r>
        <w:rPr>
          <w:i/>
          <w:sz w:val="20"/>
        </w:rPr>
        <w:t xml:space="preserve">Principes </w:t>
      </w:r>
      <w:r w:rsidRPr="008346B3">
        <w:rPr>
          <w:i/>
          <w:sz w:val="20"/>
        </w:rPr>
        <w:t>XXXII</w:t>
      </w:r>
      <w:r>
        <w:rPr>
          <w:sz w:val="20"/>
        </w:rPr>
        <w:t xml:space="preserve">, 1887, 593; </w:t>
      </w:r>
      <w:r>
        <w:rPr>
          <w:smallCaps/>
          <w:sz w:val="20"/>
        </w:rPr>
        <w:t xml:space="preserve">H. De Page, </w:t>
      </w:r>
      <w:r>
        <w:rPr>
          <w:i/>
          <w:sz w:val="20"/>
        </w:rPr>
        <w:t xml:space="preserve">Traité, </w:t>
      </w:r>
      <w:r>
        <w:rPr>
          <w:sz w:val="20"/>
        </w:rPr>
        <w:t xml:space="preserve">1975, 938; </w:t>
      </w:r>
      <w:r>
        <w:rPr>
          <w:smallCaps/>
          <w:sz w:val="20"/>
          <w:lang w:val="nl-BE"/>
        </w:rPr>
        <w:t xml:space="preserve">A.-M. Strannart, </w:t>
      </w:r>
      <w:r>
        <w:rPr>
          <w:sz w:val="20"/>
          <w:lang w:val="nl-BE"/>
        </w:rPr>
        <w:t xml:space="preserve">“Les sûretés réelles traditionelles – Développements récents”, in </w:t>
      </w:r>
      <w:r>
        <w:rPr>
          <w:smallCaps/>
          <w:sz w:val="20"/>
          <w:lang w:val="nl-BE"/>
        </w:rPr>
        <w:t xml:space="preserve">A.-M. strannarts </w:t>
      </w:r>
      <w:r>
        <w:rPr>
          <w:sz w:val="20"/>
          <w:lang w:val="nl-BE"/>
        </w:rPr>
        <w:t xml:space="preserve">(ed.), </w:t>
      </w:r>
      <w:r>
        <w:rPr>
          <w:i/>
          <w:sz w:val="20"/>
          <w:lang w:val="nl-BE"/>
        </w:rPr>
        <w:t xml:space="preserve">Le droit des sûretés, </w:t>
      </w:r>
      <w:r>
        <w:rPr>
          <w:sz w:val="20"/>
          <w:lang w:val="nl-BE"/>
        </w:rPr>
        <w:t>Brussel, Editions Jeune Barreau, 78;</w:t>
      </w:r>
      <w:r>
        <w:rPr>
          <w:sz w:val="20"/>
        </w:rPr>
        <w:t xml:space="preserve"> </w:t>
      </w:r>
      <w:r>
        <w:rPr>
          <w:smallCaps/>
          <w:sz w:val="20"/>
        </w:rPr>
        <w:t xml:space="preserve">E. Dirix, </w:t>
      </w:r>
      <w:r>
        <w:rPr>
          <w:sz w:val="20"/>
        </w:rPr>
        <w:t xml:space="preserve">“Het vuistpand”, </w:t>
      </w:r>
      <w:r>
        <w:rPr>
          <w:i/>
          <w:sz w:val="20"/>
        </w:rPr>
        <w:t xml:space="preserve">Voorrechten en hypotheken </w:t>
      </w:r>
      <w:r>
        <w:rPr>
          <w:sz w:val="20"/>
        </w:rPr>
        <w:t>2001, 5;</w:t>
      </w:r>
      <w:r>
        <w:rPr>
          <w:sz w:val="20"/>
          <w:lang w:val="nl-BE"/>
        </w:rPr>
        <w:t xml:space="preserve"> </w:t>
      </w:r>
      <w:r>
        <w:rPr>
          <w:smallCaps/>
          <w:sz w:val="20"/>
          <w:lang w:val="nl-BE"/>
        </w:rPr>
        <w:t xml:space="preserve">E. Dirix, </w:t>
      </w:r>
      <w:r>
        <w:rPr>
          <w:sz w:val="20"/>
          <w:lang w:val="nl-BE"/>
        </w:rPr>
        <w:t xml:space="preserve">“Het passief van het faillissement”, in </w:t>
      </w:r>
      <w:r>
        <w:rPr>
          <w:i/>
          <w:sz w:val="20"/>
          <w:lang w:val="nl-BE"/>
        </w:rPr>
        <w:t xml:space="preserve">Faillissement en reorganisatie, </w:t>
      </w:r>
      <w:r w:rsidRPr="00AF04BB">
        <w:rPr>
          <w:sz w:val="20"/>
          <w:lang w:val="nl-BE"/>
        </w:rPr>
        <w:t>Mechelen</w:t>
      </w:r>
      <w:r>
        <w:rPr>
          <w:i/>
          <w:sz w:val="20"/>
          <w:lang w:val="nl-BE"/>
        </w:rPr>
        <w:t xml:space="preserve">, </w:t>
      </w:r>
      <w:r>
        <w:rPr>
          <w:sz w:val="20"/>
          <w:lang w:val="nl-BE"/>
        </w:rPr>
        <w:t xml:space="preserve">Kluwer, 7; </w:t>
      </w:r>
      <w:r w:rsidRPr="00862B0F">
        <w:rPr>
          <w:smallCaps/>
          <w:sz w:val="20"/>
        </w:rPr>
        <w:t xml:space="preserve">R. Dekkers en E. Dirix, </w:t>
      </w:r>
      <w:r w:rsidRPr="00862B0F">
        <w:rPr>
          <w:i/>
          <w:sz w:val="20"/>
        </w:rPr>
        <w:t xml:space="preserve">Handboek Burgerlijk Recht – Deel II, </w:t>
      </w:r>
      <w:r w:rsidRPr="00862B0F">
        <w:rPr>
          <w:sz w:val="20"/>
        </w:rPr>
        <w:t>Antwerpe</w:t>
      </w:r>
      <w:r>
        <w:rPr>
          <w:sz w:val="20"/>
        </w:rPr>
        <w:t>n, Intersentia, 2005, 103;</w:t>
      </w:r>
      <w:r>
        <w:rPr>
          <w:sz w:val="20"/>
          <w:lang w:val="nl-BE"/>
        </w:rPr>
        <w:t xml:space="preserve"> </w:t>
      </w:r>
      <w:r w:rsidRPr="00D03752">
        <w:rPr>
          <w:smallCaps/>
          <w:sz w:val="20"/>
          <w:lang w:val="nl-BE"/>
        </w:rPr>
        <w:t>J. Van Kokelenberg, V. Sagaert, T Van Sinay en R. Jansen, “</w:t>
      </w:r>
      <w:r w:rsidRPr="00D03752">
        <w:rPr>
          <w:sz w:val="20"/>
          <w:lang w:val="nl-BE"/>
        </w:rPr>
        <w:t xml:space="preserve">Zakenrecht – overzicht van rechtspraak (2000-2008)”, </w:t>
      </w:r>
      <w:r w:rsidRPr="00D03752">
        <w:rPr>
          <w:i/>
          <w:sz w:val="20"/>
          <w:lang w:val="nl-BE"/>
        </w:rPr>
        <w:t xml:space="preserve">TPR </w:t>
      </w:r>
      <w:r w:rsidRPr="00D03752">
        <w:rPr>
          <w:sz w:val="20"/>
          <w:lang w:val="nl-BE"/>
        </w:rPr>
        <w:t xml:space="preserve"> 2009, 1690</w:t>
      </w:r>
      <w:r>
        <w:rPr>
          <w:sz w:val="20"/>
          <w:lang w:val="nl-BE"/>
        </w:rPr>
        <w:t xml:space="preserve">; </w:t>
      </w:r>
      <w:r w:rsidRPr="00862B0F">
        <w:rPr>
          <w:smallCaps/>
          <w:sz w:val="20"/>
        </w:rPr>
        <w:t xml:space="preserve">R. Dekkers en E. Dirix, </w:t>
      </w:r>
      <w:r w:rsidRPr="00862B0F">
        <w:rPr>
          <w:i/>
          <w:sz w:val="20"/>
        </w:rPr>
        <w:t xml:space="preserve">Handboek Burgerlijk Recht – Deel II, </w:t>
      </w:r>
      <w:r w:rsidRPr="00862B0F">
        <w:rPr>
          <w:sz w:val="20"/>
        </w:rPr>
        <w:t xml:space="preserve">Antwerpen, Intersentia, 2005, </w:t>
      </w:r>
      <w:r>
        <w:rPr>
          <w:sz w:val="20"/>
        </w:rPr>
        <w:t xml:space="preserve">369; </w:t>
      </w:r>
      <w:r w:rsidRPr="00BE041A">
        <w:rPr>
          <w:smallCaps/>
          <w:sz w:val="20"/>
          <w:lang w:val="nl-BE"/>
        </w:rPr>
        <w:t xml:space="preserve">S. Boufflette, </w:t>
      </w:r>
      <w:r w:rsidRPr="00BE041A">
        <w:rPr>
          <w:i/>
          <w:sz w:val="20"/>
          <w:lang w:val="nl-BE"/>
        </w:rPr>
        <w:t>La Possession,</w:t>
      </w:r>
      <w:r w:rsidRPr="00BE041A">
        <w:rPr>
          <w:sz w:val="20"/>
          <w:lang w:val="nl-BE"/>
        </w:rPr>
        <w:t xml:space="preserve"> Brussel</w:t>
      </w:r>
      <w:r w:rsidRPr="00BE041A">
        <w:rPr>
          <w:i/>
          <w:sz w:val="20"/>
          <w:lang w:val="nl-BE"/>
        </w:rPr>
        <w:t xml:space="preserve"> </w:t>
      </w:r>
      <w:r w:rsidRPr="00BE041A">
        <w:rPr>
          <w:sz w:val="20"/>
          <w:lang w:val="nl-BE"/>
        </w:rPr>
        <w:t>Larcier 2010, 12</w:t>
      </w:r>
      <w:r>
        <w:rPr>
          <w:sz w:val="20"/>
          <w:lang w:val="nl-BE"/>
        </w:rPr>
        <w:t>6</w:t>
      </w:r>
      <w:r>
        <w:rPr>
          <w:smallCaps/>
          <w:sz w:val="20"/>
        </w:rPr>
        <w:t xml:space="preserve">; </w:t>
      </w:r>
      <w:r>
        <w:rPr>
          <w:sz w:val="20"/>
        </w:rPr>
        <w:t>J.</w:t>
      </w:r>
      <w:r w:rsidRPr="00862B0F">
        <w:rPr>
          <w:smallCaps/>
          <w:sz w:val="20"/>
        </w:rPr>
        <w:t xml:space="preserve"> Del Corral, </w:t>
      </w:r>
      <w:r w:rsidRPr="00862B0F">
        <w:rPr>
          <w:i/>
          <w:sz w:val="20"/>
        </w:rPr>
        <w:t>De leveringsplicht bij de overdracht van roerende lichamelijke goederen</w:t>
      </w:r>
      <w:r w:rsidRPr="00862B0F">
        <w:rPr>
          <w:sz w:val="20"/>
        </w:rPr>
        <w:t xml:space="preserve">, </w:t>
      </w:r>
      <w:r>
        <w:rPr>
          <w:sz w:val="20"/>
        </w:rPr>
        <w:t>Antwerpen, Intersentia, 2013, 438.</w:t>
      </w:r>
    </w:p>
  </w:footnote>
  <w:footnote w:id="202">
    <w:p w14:paraId="0E5F83D8" w14:textId="5FF78C57" w:rsidR="00C97F8C" w:rsidRPr="00E4743A" w:rsidRDefault="00C97F8C">
      <w:pPr>
        <w:pStyle w:val="Voetnoottekst"/>
        <w:rPr>
          <w:lang w:val="nl-BE"/>
        </w:rPr>
      </w:pPr>
      <w:r>
        <w:rPr>
          <w:rStyle w:val="Voetnootmarkering"/>
        </w:rPr>
        <w:footnoteRef/>
      </w:r>
      <w:r>
        <w:t xml:space="preserve"> </w:t>
      </w:r>
      <w:r>
        <w:rPr>
          <w:smallCaps/>
          <w:sz w:val="20"/>
        </w:rPr>
        <w:t>P. Esmein, “</w:t>
      </w:r>
      <w:r w:rsidRPr="002B62C7">
        <w:rPr>
          <w:sz w:val="20"/>
        </w:rPr>
        <w:t>Les Biens</w:t>
      </w:r>
      <w:r>
        <w:rPr>
          <w:sz w:val="20"/>
        </w:rPr>
        <w:t xml:space="preserve">” in </w:t>
      </w:r>
      <w:r>
        <w:rPr>
          <w:i/>
          <w:sz w:val="20"/>
        </w:rPr>
        <w:t xml:space="preserve">Aubry en Rau, </w:t>
      </w:r>
      <w:r>
        <w:rPr>
          <w:sz w:val="20"/>
        </w:rPr>
        <w:t xml:space="preserve">Parijs </w:t>
      </w:r>
      <w:r w:rsidRPr="006875E5">
        <w:rPr>
          <w:sz w:val="20"/>
        </w:rPr>
        <w:t xml:space="preserve">Librairies techniques 1961, </w:t>
      </w:r>
      <w:r>
        <w:rPr>
          <w:sz w:val="20"/>
        </w:rPr>
        <w:t xml:space="preserve">154; </w:t>
      </w:r>
      <w:r>
        <w:rPr>
          <w:smallCaps/>
          <w:sz w:val="20"/>
        </w:rPr>
        <w:t xml:space="preserve">C. Larroumet, </w:t>
      </w:r>
      <w:r>
        <w:rPr>
          <w:i/>
          <w:sz w:val="20"/>
        </w:rPr>
        <w:t xml:space="preserve">Droit Civil -  Tome II – Les biens, droit réels principaux, </w:t>
      </w:r>
      <w:r>
        <w:rPr>
          <w:sz w:val="20"/>
        </w:rPr>
        <w:t xml:space="preserve">Parijs, Economica 1985, 524; </w:t>
      </w:r>
      <w:r>
        <w:rPr>
          <w:smallCaps/>
          <w:sz w:val="20"/>
        </w:rPr>
        <w:t xml:space="preserve">H. </w:t>
      </w:r>
      <w:r w:rsidRPr="00DB514B">
        <w:rPr>
          <w:sz w:val="20"/>
        </w:rPr>
        <w:t>en</w:t>
      </w:r>
      <w:r>
        <w:rPr>
          <w:smallCaps/>
          <w:sz w:val="20"/>
        </w:rPr>
        <w:t xml:space="preserve"> L. Mazeaud, </w:t>
      </w:r>
      <w:r w:rsidRPr="00862B0F">
        <w:rPr>
          <w:smallCaps/>
          <w:sz w:val="20"/>
        </w:rPr>
        <w:t xml:space="preserve">J. mazeaud en F. Chabas, </w:t>
      </w:r>
      <w:r w:rsidRPr="00862B0F">
        <w:rPr>
          <w:i/>
          <w:sz w:val="20"/>
        </w:rPr>
        <w:t xml:space="preserve">Biens, </w:t>
      </w:r>
      <w:r>
        <w:rPr>
          <w:sz w:val="20"/>
        </w:rPr>
        <w:t xml:space="preserve">Parijs, Montchrestien 1994, 276; </w:t>
      </w:r>
      <w:r>
        <w:rPr>
          <w:smallCaps/>
          <w:sz w:val="20"/>
        </w:rPr>
        <w:t xml:space="preserve">P. Jourdain, </w:t>
      </w:r>
      <w:r>
        <w:rPr>
          <w:sz w:val="20"/>
        </w:rPr>
        <w:t xml:space="preserve">“Les biens”, in </w:t>
      </w:r>
      <w:r>
        <w:rPr>
          <w:i/>
          <w:sz w:val="20"/>
        </w:rPr>
        <w:t xml:space="preserve">Marty en Raynaud, </w:t>
      </w:r>
      <w:r>
        <w:rPr>
          <w:sz w:val="20"/>
        </w:rPr>
        <w:t xml:space="preserve">Parijs, Dalloz 1995, 488; </w:t>
      </w:r>
      <w:r>
        <w:rPr>
          <w:smallCaps/>
          <w:sz w:val="20"/>
        </w:rPr>
        <w:t xml:space="preserve">F. Terré, P. Simler, </w:t>
      </w:r>
      <w:r>
        <w:rPr>
          <w:i/>
          <w:sz w:val="20"/>
        </w:rPr>
        <w:t xml:space="preserve">Droit Civil. Les Biens, </w:t>
      </w:r>
      <w:r>
        <w:rPr>
          <w:sz w:val="20"/>
        </w:rPr>
        <w:t xml:space="preserve">Parijs, Dalloz 2006, </w:t>
      </w:r>
      <w:r w:rsidRPr="00526FFF">
        <w:rPr>
          <w:sz w:val="20"/>
        </w:rPr>
        <w:t>345</w:t>
      </w:r>
      <w:r>
        <w:rPr>
          <w:sz w:val="20"/>
        </w:rPr>
        <w:t xml:space="preserve">; </w:t>
      </w:r>
      <w:r>
        <w:rPr>
          <w:smallCaps/>
          <w:sz w:val="20"/>
          <w:lang w:val="nl-BE"/>
        </w:rPr>
        <w:t xml:space="preserve">P. Malaurie, L. Aynes, </w:t>
      </w:r>
      <w:r>
        <w:rPr>
          <w:i/>
          <w:sz w:val="20"/>
          <w:lang w:val="nl-BE"/>
        </w:rPr>
        <w:t xml:space="preserve">Les Biens, </w:t>
      </w:r>
      <w:r>
        <w:rPr>
          <w:sz w:val="20"/>
          <w:lang w:val="nl-BE"/>
        </w:rPr>
        <w:t xml:space="preserve">Parijs, Defrénois 2010, 179; </w:t>
      </w:r>
      <w:r w:rsidRPr="00EA33F9">
        <w:rPr>
          <w:smallCaps/>
          <w:sz w:val="20"/>
          <w:lang w:val="nl-BE"/>
        </w:rPr>
        <w:t>Y. Picod</w:t>
      </w:r>
      <w:r w:rsidRPr="00EA33F9">
        <w:rPr>
          <w:sz w:val="20"/>
          <w:lang w:val="nl-BE"/>
        </w:rPr>
        <w:t xml:space="preserve">, </w:t>
      </w:r>
      <w:r w:rsidRPr="00EA33F9">
        <w:rPr>
          <w:i/>
          <w:sz w:val="20"/>
          <w:lang w:val="nl-BE"/>
        </w:rPr>
        <w:t xml:space="preserve">Droit des sûretés, </w:t>
      </w:r>
      <w:r w:rsidRPr="00EA33F9">
        <w:rPr>
          <w:sz w:val="20"/>
          <w:lang w:val="nl-BE"/>
        </w:rPr>
        <w:t>Parijs, Presses Universitaires franç</w:t>
      </w:r>
      <w:r>
        <w:rPr>
          <w:sz w:val="20"/>
          <w:lang w:val="nl-BE"/>
        </w:rPr>
        <w:t xml:space="preserve">aises 2011, </w:t>
      </w:r>
      <w:r w:rsidRPr="008055BA">
        <w:rPr>
          <w:sz w:val="20"/>
          <w:lang w:val="nl-BE"/>
        </w:rPr>
        <w:t>286</w:t>
      </w:r>
      <w:r>
        <w:rPr>
          <w:sz w:val="20"/>
          <w:lang w:val="nl-BE"/>
        </w:rPr>
        <w:t xml:space="preserve">; </w:t>
      </w:r>
      <w:r>
        <w:rPr>
          <w:sz w:val="20"/>
        </w:rPr>
        <w:t xml:space="preserve">M.-L. </w:t>
      </w:r>
      <w:r>
        <w:rPr>
          <w:smallCaps/>
          <w:sz w:val="20"/>
        </w:rPr>
        <w:t xml:space="preserve">Mathieu, </w:t>
      </w:r>
      <w:r>
        <w:rPr>
          <w:i/>
          <w:sz w:val="20"/>
        </w:rPr>
        <w:t xml:space="preserve">Droit Civil. </w:t>
      </w:r>
      <w:r w:rsidRPr="006460FD">
        <w:rPr>
          <w:i/>
          <w:sz w:val="20"/>
          <w:lang w:val="en-GB"/>
        </w:rPr>
        <w:t xml:space="preserve">Les Biens, </w:t>
      </w:r>
      <w:r w:rsidRPr="006460FD">
        <w:rPr>
          <w:sz w:val="20"/>
          <w:lang w:val="en-GB"/>
        </w:rPr>
        <w:t>Parijs, Dalloz 2013, 338;</w:t>
      </w:r>
      <w:r w:rsidRPr="006460FD">
        <w:rPr>
          <w:lang w:val="en-GB"/>
        </w:rPr>
        <w:t xml:space="preserve"> </w:t>
      </w:r>
      <w:r w:rsidRPr="006460FD">
        <w:rPr>
          <w:smallCaps/>
          <w:sz w:val="20"/>
          <w:lang w:val="en-GB"/>
        </w:rPr>
        <w:t xml:space="preserve">M. Bourassin, V. brémond, M.-N. </w:t>
      </w:r>
      <w:proofErr w:type="spellStart"/>
      <w:r w:rsidRPr="006460FD">
        <w:rPr>
          <w:smallCaps/>
          <w:sz w:val="20"/>
          <w:lang w:val="en-GB"/>
        </w:rPr>
        <w:t>Jobard-Bachellier</w:t>
      </w:r>
      <w:proofErr w:type="spellEnd"/>
      <w:r w:rsidRPr="006460FD">
        <w:rPr>
          <w:smallCaps/>
          <w:sz w:val="20"/>
          <w:lang w:val="en-GB"/>
        </w:rPr>
        <w:t xml:space="preserve">, </w:t>
      </w:r>
      <w:r w:rsidRPr="006460FD">
        <w:rPr>
          <w:i/>
          <w:sz w:val="20"/>
          <w:lang w:val="en-GB"/>
        </w:rPr>
        <w:t xml:space="preserve">Droit des sûretés, </w:t>
      </w:r>
      <w:r w:rsidRPr="006460FD">
        <w:rPr>
          <w:sz w:val="20"/>
          <w:lang w:val="en-GB"/>
        </w:rPr>
        <w:t xml:space="preserve">Parijs, Dalloz 2014, 461; </w:t>
      </w:r>
      <w:r w:rsidRPr="006460FD">
        <w:rPr>
          <w:smallCaps/>
          <w:sz w:val="20"/>
          <w:lang w:val="en-GB"/>
        </w:rPr>
        <w:t xml:space="preserve">C. Atias, </w:t>
      </w:r>
      <w:r w:rsidRPr="006460FD">
        <w:rPr>
          <w:i/>
          <w:sz w:val="20"/>
          <w:lang w:val="en-GB"/>
        </w:rPr>
        <w:t xml:space="preserve">Manuel Droit Civil. </w:t>
      </w:r>
      <w:r>
        <w:rPr>
          <w:i/>
          <w:sz w:val="20"/>
        </w:rPr>
        <w:t>Les Biens,</w:t>
      </w:r>
      <w:r>
        <w:rPr>
          <w:sz w:val="20"/>
        </w:rPr>
        <w:t xml:space="preserve"> Parijs, Litec 2014, 251.</w:t>
      </w:r>
    </w:p>
  </w:footnote>
  <w:footnote w:id="203">
    <w:p w14:paraId="0E92C674" w14:textId="77777777" w:rsidR="00C97F8C" w:rsidRPr="00B16440" w:rsidRDefault="00C97F8C" w:rsidP="00B768BB">
      <w:pPr>
        <w:pStyle w:val="Voetnoottekst"/>
        <w:rPr>
          <w:lang w:val="nl-BE"/>
        </w:rPr>
      </w:pPr>
      <w:r>
        <w:rPr>
          <w:rStyle w:val="Voetnootmarkering"/>
        </w:rPr>
        <w:footnoteRef/>
      </w:r>
      <w:r>
        <w:t xml:space="preserve"> </w:t>
      </w:r>
      <w:r>
        <w:rPr>
          <w:smallCaps/>
          <w:sz w:val="20"/>
        </w:rPr>
        <w:t xml:space="preserve">W.H.M. Reehuis, </w:t>
      </w:r>
      <w:r>
        <w:rPr>
          <w:i/>
          <w:sz w:val="20"/>
        </w:rPr>
        <w:t xml:space="preserve">Stille verpanding, </w:t>
      </w:r>
      <w:r>
        <w:rPr>
          <w:sz w:val="20"/>
        </w:rPr>
        <w:t>Arhem, Gouda Quint 1987, 55-56; W.</w:t>
      </w:r>
      <w:r w:rsidRPr="00862B0F">
        <w:rPr>
          <w:smallCaps/>
          <w:sz w:val="20"/>
        </w:rPr>
        <w:t xml:space="preserve">H.J. Snijders en E.B. Rank-Berenschoot, </w:t>
      </w:r>
      <w:r w:rsidRPr="00862B0F">
        <w:rPr>
          <w:i/>
          <w:sz w:val="20"/>
        </w:rPr>
        <w:t xml:space="preserve">Goederenrecht, </w:t>
      </w:r>
      <w:r w:rsidRPr="00862B0F">
        <w:rPr>
          <w:sz w:val="20"/>
        </w:rPr>
        <w:t>Deventer, Kluwer, 2012, 45</w:t>
      </w:r>
      <w:r>
        <w:rPr>
          <w:sz w:val="20"/>
        </w:rPr>
        <w:t>3.</w:t>
      </w:r>
    </w:p>
  </w:footnote>
  <w:footnote w:id="204">
    <w:p w14:paraId="2FD413BA" w14:textId="77777777" w:rsidR="00C97F8C" w:rsidRPr="007B2E1A" w:rsidRDefault="00C97F8C" w:rsidP="00B768BB">
      <w:pPr>
        <w:pStyle w:val="Voetnoottekst"/>
        <w:rPr>
          <w:lang w:val="nl-BE"/>
        </w:rPr>
      </w:pPr>
      <w:r>
        <w:rPr>
          <w:rStyle w:val="Voetnootmarkering"/>
        </w:rPr>
        <w:footnoteRef/>
      </w:r>
      <w:r>
        <w:t xml:space="preserve"> </w:t>
      </w:r>
      <w:r>
        <w:rPr>
          <w:smallCaps/>
          <w:sz w:val="20"/>
        </w:rPr>
        <w:t xml:space="preserve">W.H.M. Reehuis, </w:t>
      </w:r>
      <w:r>
        <w:rPr>
          <w:i/>
          <w:sz w:val="20"/>
        </w:rPr>
        <w:t xml:space="preserve">Stille verpanding, </w:t>
      </w:r>
      <w:r>
        <w:rPr>
          <w:sz w:val="20"/>
        </w:rPr>
        <w:t>Arhem, Gouda Quint 1987, 58.</w:t>
      </w:r>
    </w:p>
  </w:footnote>
  <w:footnote w:id="205">
    <w:p w14:paraId="31826A19" w14:textId="0DD3E532" w:rsidR="00C97F8C" w:rsidRPr="006460FD" w:rsidRDefault="00C97F8C" w:rsidP="00C21E6E">
      <w:pPr>
        <w:pStyle w:val="Voetnoottekst"/>
        <w:rPr>
          <w:sz w:val="20"/>
          <w:lang w:val="en-GB"/>
        </w:rPr>
      </w:pPr>
      <w:r w:rsidRPr="00862B0F">
        <w:rPr>
          <w:rStyle w:val="Voetnootmarkering"/>
          <w:sz w:val="20"/>
        </w:rPr>
        <w:footnoteRef/>
      </w:r>
      <w:r w:rsidRPr="006460FD">
        <w:rPr>
          <w:sz w:val="20"/>
          <w:lang w:val="en-GB"/>
        </w:rPr>
        <w:t xml:space="preserve"> </w:t>
      </w:r>
      <w:proofErr w:type="spellStart"/>
      <w:r w:rsidRPr="006460FD">
        <w:rPr>
          <w:sz w:val="20"/>
          <w:lang w:val="en-GB"/>
        </w:rPr>
        <w:t>Artikel</w:t>
      </w:r>
      <w:proofErr w:type="spellEnd"/>
      <w:r w:rsidRPr="006460FD">
        <w:rPr>
          <w:sz w:val="20"/>
          <w:lang w:val="en-GB"/>
        </w:rPr>
        <w:t xml:space="preserve"> IX- 2:108 Draft </w:t>
      </w:r>
      <w:r w:rsidR="00192459">
        <w:rPr>
          <w:sz w:val="20"/>
          <w:lang w:val="en-GB"/>
        </w:rPr>
        <w:t>Common Frame of</w:t>
      </w:r>
      <w:r w:rsidRPr="006460FD">
        <w:rPr>
          <w:sz w:val="20"/>
          <w:lang w:val="en-GB"/>
        </w:rPr>
        <w:t xml:space="preserve"> Reference.</w:t>
      </w:r>
    </w:p>
  </w:footnote>
  <w:footnote w:id="206">
    <w:p w14:paraId="732D0078" w14:textId="19E00058" w:rsidR="00C97F8C" w:rsidRPr="006460FD" w:rsidRDefault="00C97F8C" w:rsidP="00C21E6E">
      <w:pPr>
        <w:pStyle w:val="Voetnoottekst"/>
        <w:rPr>
          <w:sz w:val="20"/>
          <w:lang w:val="en-GB"/>
        </w:rPr>
      </w:pPr>
      <w:r w:rsidRPr="00862B0F">
        <w:rPr>
          <w:rStyle w:val="Voetnootmarkering"/>
          <w:sz w:val="20"/>
        </w:rPr>
        <w:footnoteRef/>
      </w:r>
      <w:r w:rsidRPr="006460FD">
        <w:rPr>
          <w:sz w:val="20"/>
          <w:lang w:val="en-GB"/>
        </w:rPr>
        <w:t xml:space="preserve"> </w:t>
      </w:r>
      <w:proofErr w:type="spellStart"/>
      <w:r w:rsidRPr="006460FD">
        <w:rPr>
          <w:sz w:val="20"/>
          <w:lang w:val="en-GB"/>
        </w:rPr>
        <w:t>Artikel</w:t>
      </w:r>
      <w:proofErr w:type="spellEnd"/>
      <w:r w:rsidRPr="006460FD">
        <w:rPr>
          <w:sz w:val="20"/>
          <w:lang w:val="en-GB"/>
        </w:rPr>
        <w:t xml:space="preserve"> IX - 2:108 (3) Draft </w:t>
      </w:r>
      <w:r w:rsidR="00192459">
        <w:rPr>
          <w:sz w:val="20"/>
          <w:lang w:val="en-GB"/>
        </w:rPr>
        <w:t>Common Frame of</w:t>
      </w:r>
      <w:r w:rsidRPr="006460FD">
        <w:rPr>
          <w:sz w:val="20"/>
          <w:lang w:val="en-GB"/>
        </w:rPr>
        <w:t xml:space="preserve"> Reference. </w:t>
      </w:r>
    </w:p>
  </w:footnote>
  <w:footnote w:id="207">
    <w:p w14:paraId="78B71C5E" w14:textId="4A264FE5" w:rsidR="00C97F8C" w:rsidRPr="006460FD" w:rsidRDefault="00C97F8C" w:rsidP="00FE78F4">
      <w:pPr>
        <w:widowControl w:val="0"/>
        <w:autoSpaceDE w:val="0"/>
        <w:autoSpaceDN w:val="0"/>
        <w:adjustRightInd w:val="0"/>
        <w:rPr>
          <w:sz w:val="20"/>
          <w:szCs w:val="20"/>
          <w:lang w:val="nl-BE"/>
        </w:rPr>
      </w:pPr>
      <w:r>
        <w:rPr>
          <w:rStyle w:val="Voetnootmarkering"/>
        </w:rPr>
        <w:footnoteRef/>
      </w:r>
      <w:r>
        <w:t xml:space="preserve"> </w:t>
      </w:r>
      <w:r w:rsidRPr="00DF3FC8">
        <w:rPr>
          <w:sz w:val="20"/>
        </w:rPr>
        <w:t xml:space="preserve">Brussel, 12 januari 1952, </w:t>
      </w:r>
      <w:r w:rsidRPr="00DF3FC8">
        <w:rPr>
          <w:i/>
          <w:sz w:val="20"/>
        </w:rPr>
        <w:t xml:space="preserve">Pas. 1953, </w:t>
      </w:r>
      <w:r w:rsidRPr="00DF3FC8">
        <w:rPr>
          <w:sz w:val="20"/>
        </w:rPr>
        <w:t xml:space="preserve">II, 37; Rb. Brussel 15 april 1949, </w:t>
      </w:r>
      <w:r w:rsidRPr="00DF3FC8">
        <w:rPr>
          <w:i/>
          <w:sz w:val="20"/>
        </w:rPr>
        <w:t xml:space="preserve">JT </w:t>
      </w:r>
      <w:r w:rsidRPr="00DF3FC8">
        <w:rPr>
          <w:sz w:val="20"/>
        </w:rPr>
        <w:t>1949, 324</w:t>
      </w:r>
      <w:r>
        <w:rPr>
          <w:sz w:val="20"/>
        </w:rPr>
        <w:t xml:space="preserve">; </w:t>
      </w:r>
      <w:r w:rsidRPr="00DF3FC8">
        <w:rPr>
          <w:sz w:val="20"/>
          <w:szCs w:val="20"/>
          <w:lang w:val="nl-BE"/>
        </w:rPr>
        <w:t xml:space="preserve">Kh. </w:t>
      </w:r>
      <w:r w:rsidRPr="00DF3FC8">
        <w:rPr>
          <w:sz w:val="20"/>
          <w:szCs w:val="20"/>
          <w:lang w:val="nl-BE"/>
        </w:rPr>
        <w:t xml:space="preserve">Hasselt 12 december 2002, </w:t>
      </w:r>
      <w:r w:rsidRPr="00DF3FC8">
        <w:rPr>
          <w:i/>
          <w:iCs/>
          <w:sz w:val="20"/>
          <w:szCs w:val="20"/>
          <w:lang w:val="nl-BE"/>
        </w:rPr>
        <w:t>R.W</w:t>
      </w:r>
      <w:r w:rsidRPr="00DF3FC8">
        <w:rPr>
          <w:sz w:val="20"/>
          <w:szCs w:val="20"/>
          <w:lang w:val="nl-BE"/>
        </w:rPr>
        <w:t>. 2003-04, 1067; Kh</w:t>
      </w:r>
      <w:r>
        <w:rPr>
          <w:sz w:val="20"/>
          <w:szCs w:val="20"/>
          <w:lang w:val="nl-BE"/>
        </w:rPr>
        <w:t>. Brus</w:t>
      </w:r>
      <w:r w:rsidRPr="00DF3FC8">
        <w:rPr>
          <w:sz w:val="20"/>
          <w:szCs w:val="20"/>
          <w:lang w:val="nl-BE"/>
        </w:rPr>
        <w:t xml:space="preserve">sel 14 november 1995, </w:t>
      </w:r>
      <w:r w:rsidRPr="00DF3FC8">
        <w:rPr>
          <w:i/>
          <w:iCs/>
          <w:sz w:val="20"/>
          <w:szCs w:val="20"/>
          <w:lang w:val="nl-BE"/>
        </w:rPr>
        <w:t>J.T</w:t>
      </w:r>
      <w:r w:rsidRPr="00DF3FC8">
        <w:rPr>
          <w:sz w:val="20"/>
          <w:szCs w:val="20"/>
          <w:lang w:val="nl-BE"/>
        </w:rPr>
        <w:t xml:space="preserve">. 1996, 310; Rb. Gent 24 januari 1940, </w:t>
      </w:r>
      <w:r w:rsidRPr="00DF3FC8">
        <w:rPr>
          <w:i/>
          <w:iCs/>
          <w:sz w:val="20"/>
          <w:szCs w:val="20"/>
          <w:lang w:val="nl-BE"/>
        </w:rPr>
        <w:t>Rev. prat. not</w:t>
      </w:r>
      <w:r w:rsidRPr="00DF3FC8">
        <w:rPr>
          <w:sz w:val="20"/>
          <w:szCs w:val="20"/>
          <w:lang w:val="nl-BE"/>
        </w:rPr>
        <w:t>. 1943, 118</w:t>
      </w:r>
      <w:r>
        <w:rPr>
          <w:sz w:val="20"/>
          <w:szCs w:val="20"/>
          <w:lang w:val="nl-BE"/>
        </w:rPr>
        <w:t xml:space="preserve">; </w:t>
      </w:r>
      <w:r>
        <w:rPr>
          <w:smallCaps/>
          <w:sz w:val="20"/>
        </w:rPr>
        <w:t xml:space="preserve">G. Van </w:t>
      </w:r>
      <w:proofErr w:type="spellStart"/>
      <w:r>
        <w:rPr>
          <w:smallCaps/>
          <w:sz w:val="20"/>
        </w:rPr>
        <w:t>Haeghenborghg</w:t>
      </w:r>
      <w:proofErr w:type="spellEnd"/>
      <w:r>
        <w:rPr>
          <w:smallCaps/>
          <w:sz w:val="20"/>
        </w:rPr>
        <w:t xml:space="preserve">, </w:t>
      </w:r>
      <w:r>
        <w:rPr>
          <w:sz w:val="20"/>
        </w:rPr>
        <w:t xml:space="preserve">“Over de samenloop van de niet-betaalde verkoper en de houder van het landbouwvoorrecht”, </w:t>
      </w:r>
      <w:r>
        <w:rPr>
          <w:i/>
          <w:sz w:val="20"/>
        </w:rPr>
        <w:t xml:space="preserve">RW </w:t>
      </w:r>
      <w:r>
        <w:rPr>
          <w:sz w:val="20"/>
        </w:rPr>
        <w:t>1993-94, 989 (noot onder Cass. 17 februari 1993);</w:t>
      </w:r>
      <w:r>
        <w:rPr>
          <w:sz w:val="20"/>
          <w:szCs w:val="20"/>
          <w:lang w:val="nl-BE"/>
        </w:rPr>
        <w:t xml:space="preserve"> </w:t>
      </w:r>
      <w:r w:rsidRPr="00DF3FC8">
        <w:rPr>
          <w:smallCaps/>
          <w:sz w:val="20"/>
          <w:szCs w:val="20"/>
        </w:rPr>
        <w:t>J. Kokelenberg</w:t>
      </w:r>
      <w:r>
        <w:rPr>
          <w:sz w:val="20"/>
          <w:szCs w:val="20"/>
        </w:rPr>
        <w:t>, “De verantwoor</w:t>
      </w:r>
      <w:r w:rsidRPr="00DF3FC8">
        <w:rPr>
          <w:sz w:val="20"/>
          <w:szCs w:val="20"/>
        </w:rPr>
        <w:t>ding voor de uitbreiding van</w:t>
      </w:r>
      <w:r>
        <w:rPr>
          <w:sz w:val="20"/>
          <w:szCs w:val="20"/>
        </w:rPr>
        <w:t xml:space="preserve"> het voorrecht”, R.W. 1975-76, </w:t>
      </w:r>
      <w:r w:rsidRPr="00DF3FC8">
        <w:rPr>
          <w:sz w:val="20"/>
          <w:szCs w:val="20"/>
        </w:rPr>
        <w:t>667;</w:t>
      </w:r>
      <w:r>
        <w:rPr>
          <w:sz w:val="20"/>
          <w:szCs w:val="20"/>
        </w:rPr>
        <w:t xml:space="preserve"> </w:t>
      </w:r>
      <w:r>
        <w:rPr>
          <w:smallCaps/>
          <w:sz w:val="20"/>
        </w:rPr>
        <w:t>F. ‘T Kind</w:t>
      </w:r>
      <w:r w:rsidRPr="00EA4E18">
        <w:rPr>
          <w:sz w:val="20"/>
        </w:rPr>
        <w:t xml:space="preserve">, Sûretés et principes généraux du droit de poursuite des créanciers, Brussel, Larcier, 2004, </w:t>
      </w:r>
      <w:r>
        <w:rPr>
          <w:sz w:val="20"/>
        </w:rPr>
        <w:t xml:space="preserve">228; </w:t>
      </w:r>
      <w:r>
        <w:rPr>
          <w:smallCaps/>
          <w:sz w:val="20"/>
        </w:rPr>
        <w:t>X, “</w:t>
      </w:r>
      <w:r>
        <w:rPr>
          <w:sz w:val="20"/>
        </w:rPr>
        <w:t xml:space="preserve">Voorrechten”, </w:t>
      </w:r>
      <w:r>
        <w:rPr>
          <w:i/>
          <w:sz w:val="20"/>
        </w:rPr>
        <w:t xml:space="preserve">TPR </w:t>
      </w:r>
      <w:r>
        <w:rPr>
          <w:sz w:val="20"/>
        </w:rPr>
        <w:t>2004, 1262;</w:t>
      </w:r>
      <w:r>
        <w:rPr>
          <w:sz w:val="20"/>
          <w:szCs w:val="20"/>
        </w:rPr>
        <w:t xml:space="preserve"> </w:t>
      </w:r>
      <w:r>
        <w:rPr>
          <w:smallCaps/>
          <w:sz w:val="20"/>
          <w:szCs w:val="20"/>
        </w:rPr>
        <w:t>S. Lemiegre, “</w:t>
      </w:r>
      <w:r w:rsidRPr="00275647">
        <w:rPr>
          <w:sz w:val="20"/>
          <w:szCs w:val="20"/>
        </w:rPr>
        <w:t>Het voorrecht van de verhuuurder</w:t>
      </w:r>
      <w:r>
        <w:rPr>
          <w:sz w:val="20"/>
          <w:szCs w:val="20"/>
        </w:rPr>
        <w:t>”</w:t>
      </w:r>
      <w:r>
        <w:rPr>
          <w:i/>
          <w:sz w:val="20"/>
          <w:szCs w:val="20"/>
        </w:rPr>
        <w:t xml:space="preserve">, </w:t>
      </w:r>
      <w:r>
        <w:rPr>
          <w:sz w:val="20"/>
          <w:szCs w:val="20"/>
        </w:rPr>
        <w:t>Mechelen, Kluwer 2005, 128;</w:t>
      </w:r>
      <w:r w:rsidRPr="00DF3FC8">
        <w:rPr>
          <w:sz w:val="20"/>
          <w:szCs w:val="20"/>
        </w:rPr>
        <w:t xml:space="preserve"> </w:t>
      </w:r>
      <w:r w:rsidRPr="00DF3FC8">
        <w:rPr>
          <w:smallCaps/>
          <w:sz w:val="20"/>
          <w:szCs w:val="20"/>
        </w:rPr>
        <w:t xml:space="preserve">M.E. Storme, </w:t>
      </w:r>
      <w:r w:rsidRPr="00DF3FC8">
        <w:rPr>
          <w:sz w:val="20"/>
          <w:szCs w:val="20"/>
        </w:rPr>
        <w:t xml:space="preserve">“Paritas Creditorum, voorrang en roerende zekerheden”, </w:t>
      </w:r>
      <w:r w:rsidRPr="00DF3FC8">
        <w:rPr>
          <w:i/>
          <w:sz w:val="20"/>
          <w:szCs w:val="20"/>
        </w:rPr>
        <w:t xml:space="preserve">TPR </w:t>
      </w:r>
      <w:r w:rsidRPr="00DF3FC8">
        <w:rPr>
          <w:sz w:val="20"/>
          <w:szCs w:val="20"/>
        </w:rPr>
        <w:t>2006, 1012;</w:t>
      </w:r>
      <w:r>
        <w:rPr>
          <w:sz w:val="20"/>
          <w:szCs w:val="20"/>
        </w:rPr>
        <w:t xml:space="preserve"> </w:t>
      </w:r>
      <w:r>
        <w:rPr>
          <w:smallCaps/>
          <w:sz w:val="20"/>
        </w:rPr>
        <w:t xml:space="preserve">P. François, </w:t>
      </w:r>
      <w:r>
        <w:rPr>
          <w:sz w:val="20"/>
        </w:rPr>
        <w:t xml:space="preserve">“Actuele problemen inzake landbouwfinanciering: het landbouwvoorrecht, moet dat?”, in </w:t>
      </w:r>
      <w:r>
        <w:rPr>
          <w:smallCaps/>
          <w:sz w:val="20"/>
        </w:rPr>
        <w:t xml:space="preserve">J. Cattaruzza, W. Kupers, I. Peeters </w:t>
      </w:r>
      <w:r>
        <w:rPr>
          <w:sz w:val="20"/>
        </w:rPr>
        <w:t xml:space="preserve">(eds.), </w:t>
      </w:r>
      <w:r>
        <w:rPr>
          <w:i/>
          <w:sz w:val="20"/>
        </w:rPr>
        <w:t xml:space="preserve">Liber Amicorum Achilles Cuypers, </w:t>
      </w:r>
      <w:r>
        <w:rPr>
          <w:sz w:val="20"/>
        </w:rPr>
        <w:t>Brussel, Larcier, 123;</w:t>
      </w:r>
      <w:r w:rsidRPr="00DF3FC8">
        <w:rPr>
          <w:sz w:val="20"/>
          <w:szCs w:val="20"/>
        </w:rPr>
        <w:t xml:space="preserve"> </w:t>
      </w:r>
      <w:r w:rsidRPr="006460FD">
        <w:rPr>
          <w:smallCaps/>
          <w:sz w:val="20"/>
          <w:szCs w:val="20"/>
          <w:lang w:val="nl-BE"/>
        </w:rPr>
        <w:t>G. Van Gaeghenborgh</w:t>
      </w:r>
      <w:r w:rsidRPr="006460FD">
        <w:rPr>
          <w:sz w:val="20"/>
          <w:szCs w:val="20"/>
          <w:lang w:val="nl-BE"/>
        </w:rPr>
        <w:t xml:space="preserve">, “Het landbouwvoorrecht”, in </w:t>
      </w:r>
      <w:r w:rsidRPr="00971D9B">
        <w:rPr>
          <w:i/>
          <w:sz w:val="20"/>
          <w:lang w:val="nl-BE"/>
        </w:rPr>
        <w:t>Voorrechten en Hypotheken</w:t>
      </w:r>
      <w:r>
        <w:rPr>
          <w:i/>
          <w:sz w:val="20"/>
          <w:lang w:val="nl-BE"/>
        </w:rPr>
        <w:t>,</w:t>
      </w:r>
      <w:r w:rsidRPr="006460FD">
        <w:rPr>
          <w:sz w:val="20"/>
          <w:szCs w:val="20"/>
          <w:lang w:val="nl-BE"/>
        </w:rPr>
        <w:t xml:space="preserve"> 15; </w:t>
      </w:r>
      <w:r w:rsidRPr="006460FD">
        <w:rPr>
          <w:smallCaps/>
          <w:sz w:val="20"/>
          <w:szCs w:val="20"/>
          <w:lang w:val="nl-BE"/>
        </w:rPr>
        <w:t xml:space="preserve">R. Jansen, V. Sagaert, </w:t>
      </w:r>
      <w:r w:rsidRPr="006460FD">
        <w:rPr>
          <w:sz w:val="20"/>
          <w:szCs w:val="20"/>
          <w:lang w:val="nl-BE"/>
        </w:rPr>
        <w:t xml:space="preserve">“Bijzondere voorrechten”, </w:t>
      </w:r>
      <w:r w:rsidRPr="006460FD">
        <w:rPr>
          <w:i/>
          <w:sz w:val="20"/>
          <w:szCs w:val="20"/>
          <w:lang w:val="nl-BE"/>
        </w:rPr>
        <w:t xml:space="preserve">TPR </w:t>
      </w:r>
      <w:r w:rsidRPr="006460FD">
        <w:rPr>
          <w:sz w:val="20"/>
          <w:szCs w:val="20"/>
          <w:lang w:val="nl-BE"/>
        </w:rPr>
        <w:t>2012, 1310.</w:t>
      </w:r>
    </w:p>
  </w:footnote>
  <w:footnote w:id="208">
    <w:p w14:paraId="3929C5E2" w14:textId="02BEBEF2" w:rsidR="00C97F8C" w:rsidRPr="00FE78F4" w:rsidRDefault="00C97F8C">
      <w:pPr>
        <w:pStyle w:val="Voetnoottekst"/>
        <w:rPr>
          <w:sz w:val="20"/>
          <w:lang w:val="nl-BE"/>
        </w:rPr>
      </w:pPr>
      <w:r>
        <w:rPr>
          <w:rStyle w:val="Voetnootmarkering"/>
        </w:rPr>
        <w:footnoteRef/>
      </w:r>
      <w:r>
        <w:t xml:space="preserve"> </w:t>
      </w:r>
      <w:r>
        <w:rPr>
          <w:sz w:val="20"/>
          <w:lang w:val="nl-BE"/>
        </w:rPr>
        <w:t>Artikel 7 Pandwet.</w:t>
      </w:r>
    </w:p>
  </w:footnote>
  <w:footnote w:id="209">
    <w:p w14:paraId="41FB23E2"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R. </w:t>
      </w:r>
      <w:r w:rsidRPr="00862B0F">
        <w:rPr>
          <w:smallCaps/>
          <w:sz w:val="20"/>
        </w:rPr>
        <w:t xml:space="preserve">Steennot, </w:t>
      </w:r>
      <w:r w:rsidRPr="00862B0F">
        <w:rPr>
          <w:sz w:val="20"/>
        </w:rPr>
        <w:t xml:space="preserve">“Algemene regeling van het pand” in in J. </w:t>
      </w:r>
      <w:r w:rsidRPr="00862B0F">
        <w:rPr>
          <w:smallCaps/>
          <w:sz w:val="20"/>
        </w:rPr>
        <w:t xml:space="preserve">Baeck  </w:t>
      </w:r>
      <w:r w:rsidRPr="00862B0F">
        <w:rPr>
          <w:sz w:val="20"/>
        </w:rPr>
        <w:t xml:space="preserve">en M. </w:t>
      </w:r>
      <w:r w:rsidRPr="00862B0F">
        <w:rPr>
          <w:smallCaps/>
          <w:sz w:val="20"/>
        </w:rPr>
        <w:t xml:space="preserve">Kruithof </w:t>
      </w:r>
      <w:r w:rsidRPr="00862B0F">
        <w:rPr>
          <w:sz w:val="20"/>
        </w:rPr>
        <w:t xml:space="preserve">(eds.), </w:t>
      </w:r>
      <w:r w:rsidRPr="00862B0F">
        <w:rPr>
          <w:i/>
          <w:sz w:val="20"/>
        </w:rPr>
        <w:t xml:space="preserve">Het nieuwe zekerheidsrecht, </w:t>
      </w:r>
      <w:r w:rsidRPr="00862B0F">
        <w:rPr>
          <w:sz w:val="20"/>
        </w:rPr>
        <w:t>Antwerpen, Intersentia, 2014, 41.</w:t>
      </w:r>
    </w:p>
  </w:footnote>
  <w:footnote w:id="210">
    <w:p w14:paraId="5A9C75D5" w14:textId="77777777" w:rsidR="00C97F8C" w:rsidRPr="00862B0F" w:rsidRDefault="00C97F8C" w:rsidP="00B768BB">
      <w:pPr>
        <w:rPr>
          <w:sz w:val="20"/>
          <w:szCs w:val="20"/>
        </w:rPr>
      </w:pPr>
      <w:r w:rsidRPr="00862B0F">
        <w:rPr>
          <w:rStyle w:val="Voetnootmarkering"/>
          <w:sz w:val="20"/>
          <w:szCs w:val="20"/>
        </w:rPr>
        <w:footnoteRef/>
      </w:r>
      <w:r w:rsidRPr="00862B0F">
        <w:rPr>
          <w:sz w:val="20"/>
          <w:szCs w:val="20"/>
        </w:rPr>
        <w:t xml:space="preserve"> </w:t>
      </w:r>
      <w:r w:rsidRPr="00862B0F">
        <w:rPr>
          <w:smallCaps/>
          <w:sz w:val="20"/>
          <w:szCs w:val="20"/>
        </w:rPr>
        <w:t xml:space="preserve">E. Hellebuyck, </w:t>
      </w:r>
      <w:r w:rsidRPr="00862B0F">
        <w:rPr>
          <w:sz w:val="20"/>
          <w:szCs w:val="20"/>
        </w:rPr>
        <w:t xml:space="preserve">“Commentaar bij artikel 6 Pandwet”, </w:t>
      </w:r>
      <w:r w:rsidRPr="00862B0F">
        <w:rPr>
          <w:i/>
          <w:sz w:val="20"/>
          <w:szCs w:val="20"/>
        </w:rPr>
        <w:t xml:space="preserve">Voorrechten en hypotheken OVH </w:t>
      </w:r>
      <w:r w:rsidRPr="00862B0F">
        <w:rPr>
          <w:sz w:val="20"/>
          <w:szCs w:val="20"/>
        </w:rPr>
        <w:t xml:space="preserve">2015, 10; </w:t>
      </w:r>
      <w:r w:rsidRPr="00862B0F">
        <w:rPr>
          <w:smallCaps/>
          <w:sz w:val="20"/>
          <w:szCs w:val="20"/>
        </w:rPr>
        <w:t xml:space="preserve">V. Sagaert, </w:t>
      </w:r>
      <w:r w:rsidRPr="00862B0F">
        <w:rPr>
          <w:sz w:val="20"/>
          <w:szCs w:val="20"/>
        </w:rPr>
        <w:t xml:space="preserve">“Enkele pijlers van de </w:t>
      </w:r>
      <w:proofErr w:type="spellStart"/>
      <w:r w:rsidRPr="00862B0F">
        <w:rPr>
          <w:sz w:val="20"/>
          <w:szCs w:val="20"/>
        </w:rPr>
        <w:t>pandwet</w:t>
      </w:r>
      <w:proofErr w:type="spellEnd"/>
      <w:r w:rsidRPr="00862B0F">
        <w:rPr>
          <w:sz w:val="20"/>
          <w:szCs w:val="20"/>
        </w:rPr>
        <w:t xml:space="preserve">”, in </w:t>
      </w:r>
      <w:r w:rsidRPr="00862B0F">
        <w:rPr>
          <w:smallCaps/>
          <w:sz w:val="20"/>
          <w:szCs w:val="20"/>
        </w:rPr>
        <w:t>Centrum voor Beroepsvervolmaking in de Rechten</w:t>
      </w:r>
      <w:r w:rsidRPr="00862B0F">
        <w:rPr>
          <w:sz w:val="20"/>
          <w:szCs w:val="20"/>
        </w:rPr>
        <w:t xml:space="preserve"> (ed.), </w:t>
      </w:r>
      <w:r w:rsidRPr="00862B0F">
        <w:rPr>
          <w:i/>
          <w:sz w:val="20"/>
          <w:szCs w:val="20"/>
        </w:rPr>
        <w:t>CBR Jaarboek 2013-14</w:t>
      </w:r>
      <w:r w:rsidRPr="00862B0F">
        <w:rPr>
          <w:sz w:val="20"/>
          <w:szCs w:val="20"/>
        </w:rPr>
        <w:t>, Antwerpen, Intersentia 2014, 61.</w:t>
      </w:r>
    </w:p>
  </w:footnote>
  <w:footnote w:id="211">
    <w:p w14:paraId="3F615953" w14:textId="4124D1FF"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sidRPr="00862B0F">
        <w:rPr>
          <w:smallCaps/>
          <w:sz w:val="20"/>
        </w:rPr>
        <w:t xml:space="preserve">E. Hellebuyck, </w:t>
      </w:r>
      <w:r w:rsidRPr="00862B0F">
        <w:rPr>
          <w:sz w:val="20"/>
        </w:rPr>
        <w:t xml:space="preserve">“Commentaar bij artikel 6 Pandwet”, </w:t>
      </w:r>
      <w:r w:rsidRPr="00862B0F">
        <w:rPr>
          <w:i/>
          <w:sz w:val="20"/>
        </w:rPr>
        <w:t xml:space="preserve">Voorrechten en hypotheken </w:t>
      </w:r>
      <w:r w:rsidRPr="00862B0F">
        <w:rPr>
          <w:sz w:val="20"/>
        </w:rPr>
        <w:t xml:space="preserve">2015, 8; R. </w:t>
      </w:r>
      <w:r>
        <w:rPr>
          <w:smallCaps/>
          <w:sz w:val="20"/>
        </w:rPr>
        <w:t>Steennot</w:t>
      </w:r>
      <w:r w:rsidRPr="00862B0F">
        <w:rPr>
          <w:smallCaps/>
          <w:sz w:val="20"/>
        </w:rPr>
        <w:t xml:space="preserve">, </w:t>
      </w:r>
      <w:r w:rsidRPr="00862B0F">
        <w:rPr>
          <w:sz w:val="20"/>
        </w:rPr>
        <w:t xml:space="preserve">“Algemene regeling van het pand” in in J. </w:t>
      </w:r>
      <w:r w:rsidRPr="00862B0F">
        <w:rPr>
          <w:smallCaps/>
          <w:sz w:val="20"/>
        </w:rPr>
        <w:t xml:space="preserve">Baeck  </w:t>
      </w:r>
      <w:r w:rsidRPr="00862B0F">
        <w:rPr>
          <w:sz w:val="20"/>
        </w:rPr>
        <w:t xml:space="preserve">en M. </w:t>
      </w:r>
      <w:r w:rsidRPr="00862B0F">
        <w:rPr>
          <w:smallCaps/>
          <w:sz w:val="20"/>
        </w:rPr>
        <w:t xml:space="preserve">Kruithof </w:t>
      </w:r>
      <w:r w:rsidRPr="00862B0F">
        <w:rPr>
          <w:sz w:val="20"/>
        </w:rPr>
        <w:t xml:space="preserve">(eds.), </w:t>
      </w:r>
      <w:r w:rsidRPr="00862B0F">
        <w:rPr>
          <w:i/>
          <w:sz w:val="20"/>
        </w:rPr>
        <w:t xml:space="preserve">Het nieuwe zekerheidsrecht, </w:t>
      </w:r>
      <w:r w:rsidRPr="00862B0F">
        <w:rPr>
          <w:sz w:val="20"/>
        </w:rPr>
        <w:t>Antwerpen, Intersentia, 2014, 41.</w:t>
      </w:r>
    </w:p>
  </w:footnote>
  <w:footnote w:id="212">
    <w:p w14:paraId="14ACA30A"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sidRPr="00862B0F">
        <w:rPr>
          <w:smallCaps/>
          <w:sz w:val="20"/>
        </w:rPr>
        <w:t xml:space="preserve">E. Hellebuyck, </w:t>
      </w:r>
      <w:r w:rsidRPr="00862B0F">
        <w:rPr>
          <w:sz w:val="20"/>
        </w:rPr>
        <w:t xml:space="preserve">“Commentaar bij artikel 6 Pandwet”, </w:t>
      </w:r>
      <w:r w:rsidRPr="00862B0F">
        <w:rPr>
          <w:i/>
          <w:sz w:val="20"/>
        </w:rPr>
        <w:t xml:space="preserve">Voorrechten en hypotheken OVH </w:t>
      </w:r>
      <w:r w:rsidRPr="00862B0F">
        <w:rPr>
          <w:sz w:val="20"/>
        </w:rPr>
        <w:t>2015, 8.</w:t>
      </w:r>
    </w:p>
  </w:footnote>
  <w:footnote w:id="213">
    <w:p w14:paraId="3DF780F6" w14:textId="77777777" w:rsidR="00C97F8C" w:rsidRPr="00637017" w:rsidRDefault="00C97F8C" w:rsidP="00B768BB">
      <w:pPr>
        <w:pStyle w:val="Voetnoottekst"/>
        <w:rPr>
          <w:smallCaps/>
          <w:lang w:val="nl-BE"/>
        </w:rPr>
      </w:pPr>
      <w:r>
        <w:rPr>
          <w:rStyle w:val="Voetnootmarkering"/>
        </w:rPr>
        <w:footnoteRef/>
      </w:r>
      <w:r>
        <w:t xml:space="preserve"> </w:t>
      </w:r>
      <w:r w:rsidRPr="00637017">
        <w:rPr>
          <w:sz w:val="20"/>
          <w:lang w:val="nl-BE"/>
        </w:rPr>
        <w:t xml:space="preserve">Cass. 4 december 2003, </w:t>
      </w:r>
      <w:r w:rsidRPr="00637017">
        <w:rPr>
          <w:i/>
          <w:sz w:val="20"/>
          <w:lang w:val="nl-BE"/>
        </w:rPr>
        <w:t xml:space="preserve">RW </w:t>
      </w:r>
      <w:r w:rsidRPr="00637017">
        <w:rPr>
          <w:sz w:val="20"/>
          <w:lang w:val="nl-BE"/>
        </w:rPr>
        <w:t>2004-05, 623</w:t>
      </w:r>
      <w:r>
        <w:rPr>
          <w:sz w:val="20"/>
          <w:lang w:val="nl-BE"/>
        </w:rPr>
        <w:t xml:space="preserve">, noot </w:t>
      </w:r>
      <w:r>
        <w:rPr>
          <w:smallCaps/>
          <w:sz w:val="20"/>
          <w:lang w:val="nl-BE"/>
        </w:rPr>
        <w:t xml:space="preserve">M.E. Storme. </w:t>
      </w:r>
    </w:p>
  </w:footnote>
  <w:footnote w:id="214">
    <w:p w14:paraId="5B1B3E66" w14:textId="77777777" w:rsidR="00C97F8C" w:rsidRPr="00862B0F" w:rsidRDefault="00C97F8C" w:rsidP="00B768BB">
      <w:pPr>
        <w:pStyle w:val="Voetnoottekst"/>
        <w:rPr>
          <w:sz w:val="20"/>
        </w:rPr>
      </w:pPr>
      <w:r w:rsidRPr="00862B0F">
        <w:rPr>
          <w:rStyle w:val="Voetnootmarkering"/>
          <w:sz w:val="20"/>
        </w:rPr>
        <w:footnoteRef/>
      </w:r>
      <w:r w:rsidRPr="00862B0F">
        <w:rPr>
          <w:sz w:val="20"/>
        </w:rPr>
        <w:t xml:space="preserve"> </w:t>
      </w:r>
      <w:r w:rsidRPr="00862B0F">
        <w:rPr>
          <w:smallCaps/>
          <w:sz w:val="20"/>
        </w:rPr>
        <w:t xml:space="preserve">E. Hellebuyck, </w:t>
      </w:r>
      <w:r w:rsidRPr="00862B0F">
        <w:rPr>
          <w:sz w:val="20"/>
        </w:rPr>
        <w:t xml:space="preserve">“Commentaar bij artikel 6 Pandwet”, </w:t>
      </w:r>
      <w:r w:rsidRPr="00862B0F">
        <w:rPr>
          <w:i/>
          <w:sz w:val="20"/>
        </w:rPr>
        <w:t xml:space="preserve">Voorrechten en hypotheken OVH </w:t>
      </w:r>
      <w:r w:rsidRPr="00862B0F">
        <w:rPr>
          <w:sz w:val="20"/>
        </w:rPr>
        <w:t xml:space="preserve">2015, 10; R. </w:t>
      </w:r>
      <w:r>
        <w:rPr>
          <w:smallCaps/>
          <w:sz w:val="20"/>
        </w:rPr>
        <w:t>Steennot</w:t>
      </w:r>
      <w:r w:rsidRPr="00862B0F">
        <w:rPr>
          <w:smallCaps/>
          <w:sz w:val="20"/>
        </w:rPr>
        <w:t xml:space="preserve">, </w:t>
      </w:r>
      <w:r w:rsidRPr="00862B0F">
        <w:rPr>
          <w:sz w:val="20"/>
        </w:rPr>
        <w:t xml:space="preserve">“Algemene regeling van het pand” in in J. </w:t>
      </w:r>
      <w:r w:rsidRPr="00862B0F">
        <w:rPr>
          <w:smallCaps/>
          <w:sz w:val="20"/>
        </w:rPr>
        <w:t xml:space="preserve">Baeck  </w:t>
      </w:r>
      <w:r w:rsidRPr="00862B0F">
        <w:rPr>
          <w:sz w:val="20"/>
        </w:rPr>
        <w:t xml:space="preserve">en M. </w:t>
      </w:r>
      <w:r w:rsidRPr="00862B0F">
        <w:rPr>
          <w:smallCaps/>
          <w:sz w:val="20"/>
        </w:rPr>
        <w:t xml:space="preserve">Kruithof </w:t>
      </w:r>
      <w:r w:rsidRPr="00862B0F">
        <w:rPr>
          <w:sz w:val="20"/>
        </w:rPr>
        <w:t xml:space="preserve">(eds.), </w:t>
      </w:r>
      <w:r w:rsidRPr="00862B0F">
        <w:rPr>
          <w:i/>
          <w:sz w:val="20"/>
        </w:rPr>
        <w:t xml:space="preserve">Het nieuwe zekerheidsrecht, </w:t>
      </w:r>
      <w:r w:rsidRPr="00862B0F">
        <w:rPr>
          <w:sz w:val="20"/>
        </w:rPr>
        <w:t>Antwerpen, Intersentia, 2014, 41.</w:t>
      </w:r>
    </w:p>
  </w:footnote>
  <w:footnote w:id="215">
    <w:p w14:paraId="3F35B183" w14:textId="240F66AD" w:rsidR="00C97F8C" w:rsidRPr="00686FEE" w:rsidRDefault="00C97F8C" w:rsidP="00B768BB">
      <w:pPr>
        <w:pStyle w:val="Voetnoottekst"/>
        <w:rPr>
          <w:lang w:val="nl-BE"/>
        </w:rPr>
      </w:pPr>
      <w:r>
        <w:rPr>
          <w:rStyle w:val="Voetnootmarkering"/>
        </w:rPr>
        <w:footnoteRef/>
      </w:r>
      <w:r>
        <w:t xml:space="preserve"> </w:t>
      </w:r>
      <w:r w:rsidRPr="00C82D60">
        <w:rPr>
          <w:smallCaps/>
          <w:sz w:val="20"/>
        </w:rPr>
        <w:t>F. Helsen, “</w:t>
      </w:r>
      <w:r w:rsidRPr="00C82D60">
        <w:rPr>
          <w:sz w:val="20"/>
        </w:rPr>
        <w:t>Belang van openbaar pandregister mag niet onderschat worden”</w:t>
      </w:r>
      <w:r w:rsidRPr="00C82D60">
        <w:rPr>
          <w:i/>
          <w:sz w:val="20"/>
        </w:rPr>
        <w:t xml:space="preserve">, </w:t>
      </w:r>
      <w:r w:rsidRPr="00C4196D">
        <w:rPr>
          <w:i/>
          <w:sz w:val="20"/>
        </w:rPr>
        <w:t>Juristenkrant</w:t>
      </w:r>
      <w:r w:rsidRPr="00D0396A">
        <w:rPr>
          <w:i/>
        </w:rPr>
        <w:t xml:space="preserve"> </w:t>
      </w:r>
      <w:r w:rsidRPr="00C82D60">
        <w:rPr>
          <w:sz w:val="20"/>
        </w:rPr>
        <w:t>2014, 11</w:t>
      </w:r>
    </w:p>
  </w:footnote>
  <w:footnote w:id="216">
    <w:p w14:paraId="09E7BBFF" w14:textId="0000CCE4" w:rsidR="00C97F8C" w:rsidRPr="00E647D3" w:rsidRDefault="00C97F8C" w:rsidP="00B768BB">
      <w:pPr>
        <w:pStyle w:val="Voetnoottekst"/>
        <w:rPr>
          <w:lang w:val="nl-BE"/>
        </w:rPr>
      </w:pPr>
      <w:r>
        <w:rPr>
          <w:rStyle w:val="Voetnootmarkering"/>
        </w:rPr>
        <w:footnoteRef/>
      </w:r>
      <w:r>
        <w:t xml:space="preserve"> </w:t>
      </w:r>
      <w:r w:rsidRPr="00C82D60">
        <w:rPr>
          <w:smallCaps/>
          <w:sz w:val="20"/>
        </w:rPr>
        <w:t>F. Helsen, “</w:t>
      </w:r>
      <w:r w:rsidRPr="00C82D60">
        <w:rPr>
          <w:sz w:val="20"/>
        </w:rPr>
        <w:t>Belang van openbaar pandregister mag niet onderschat worden”</w:t>
      </w:r>
      <w:r w:rsidRPr="00C82D60">
        <w:rPr>
          <w:i/>
          <w:sz w:val="20"/>
        </w:rPr>
        <w:t xml:space="preserve">, </w:t>
      </w:r>
      <w:r w:rsidRPr="00C4196D">
        <w:rPr>
          <w:i/>
          <w:sz w:val="20"/>
        </w:rPr>
        <w:t>Juristenkrant</w:t>
      </w:r>
      <w:r w:rsidRPr="00D0396A">
        <w:rPr>
          <w:i/>
        </w:rPr>
        <w:t xml:space="preserve"> </w:t>
      </w:r>
      <w:r w:rsidRPr="00C82D60">
        <w:rPr>
          <w:sz w:val="20"/>
        </w:rPr>
        <w:t>2014, 11</w:t>
      </w:r>
      <w:r>
        <w:rPr>
          <w:sz w:val="20"/>
        </w:rPr>
        <w:t>.</w:t>
      </w:r>
    </w:p>
  </w:footnote>
  <w:footnote w:id="217">
    <w:p w14:paraId="1A23CB1A" w14:textId="3D323E48" w:rsidR="00C97F8C" w:rsidRPr="00C82D60" w:rsidRDefault="00C97F8C" w:rsidP="00B768BB">
      <w:pPr>
        <w:pStyle w:val="Voetnoottekst"/>
        <w:rPr>
          <w:sz w:val="20"/>
          <w:lang w:val="nl-BE"/>
        </w:rPr>
      </w:pPr>
      <w:r>
        <w:rPr>
          <w:rStyle w:val="Voetnootmarkering"/>
        </w:rPr>
        <w:footnoteRef/>
      </w:r>
      <w:r>
        <w:t xml:space="preserve"> </w:t>
      </w:r>
      <w:r w:rsidRPr="00C82D60">
        <w:rPr>
          <w:smallCaps/>
          <w:sz w:val="20"/>
        </w:rPr>
        <w:t>F. Helsen, “</w:t>
      </w:r>
      <w:r w:rsidRPr="00C82D60">
        <w:rPr>
          <w:sz w:val="20"/>
        </w:rPr>
        <w:t>Belang van openbaar pandregister mag niet onderschat worden”</w:t>
      </w:r>
      <w:r w:rsidRPr="00C82D60">
        <w:rPr>
          <w:i/>
          <w:sz w:val="20"/>
        </w:rPr>
        <w:t xml:space="preserve">, </w:t>
      </w:r>
      <w:r w:rsidRPr="00C4196D">
        <w:rPr>
          <w:i/>
          <w:sz w:val="20"/>
        </w:rPr>
        <w:t>Juristenkrant</w:t>
      </w:r>
      <w:r w:rsidRPr="00D0396A">
        <w:rPr>
          <w:i/>
        </w:rPr>
        <w:t xml:space="preserve"> </w:t>
      </w:r>
      <w:r w:rsidRPr="00C82D60">
        <w:rPr>
          <w:sz w:val="20"/>
        </w:rPr>
        <w:t>2014, 11</w:t>
      </w:r>
      <w:r>
        <w:rPr>
          <w:sz w:val="20"/>
        </w:rPr>
        <w:t>.</w:t>
      </w:r>
    </w:p>
  </w:footnote>
  <w:footnote w:id="218">
    <w:p w14:paraId="11ACAD5F" w14:textId="29D5F2CB" w:rsidR="00C97F8C" w:rsidRPr="001E5502" w:rsidRDefault="00C97F8C" w:rsidP="003333D1">
      <w:pPr>
        <w:pStyle w:val="Voetnoottekst"/>
        <w:rPr>
          <w:sz w:val="20"/>
        </w:rPr>
      </w:pPr>
      <w:r>
        <w:rPr>
          <w:rStyle w:val="Voetnootmarkering"/>
        </w:rPr>
        <w:footnoteRef/>
      </w:r>
      <w:r>
        <w:t xml:space="preserve"> </w:t>
      </w:r>
      <w:r>
        <w:rPr>
          <w:smallCaps/>
          <w:sz w:val="20"/>
        </w:rPr>
        <w:t>J. Cattaruzza, “</w:t>
      </w:r>
      <w:r>
        <w:rPr>
          <w:sz w:val="20"/>
        </w:rPr>
        <w:t xml:space="preserve">Les </w:t>
      </w:r>
      <w:proofErr w:type="spellStart"/>
      <w:r>
        <w:rPr>
          <w:sz w:val="20"/>
        </w:rPr>
        <w:t>grands</w:t>
      </w:r>
      <w:proofErr w:type="spellEnd"/>
      <w:r>
        <w:rPr>
          <w:sz w:val="20"/>
        </w:rPr>
        <w:t xml:space="preserve"> </w:t>
      </w:r>
      <w:proofErr w:type="spellStart"/>
      <w:r>
        <w:rPr>
          <w:sz w:val="20"/>
        </w:rPr>
        <w:t>axes</w:t>
      </w:r>
      <w:proofErr w:type="spellEnd"/>
      <w:r>
        <w:rPr>
          <w:sz w:val="20"/>
        </w:rPr>
        <w:t xml:space="preserve"> de la réforme des sûretés mobilières”, Forum Financier/Droit bancaire et financier 2013, 190; </w:t>
      </w:r>
      <w:r>
        <w:rPr>
          <w:smallCaps/>
        </w:rPr>
        <w:t xml:space="preserve">E. </w:t>
      </w:r>
      <w:r>
        <w:rPr>
          <w:smallCaps/>
          <w:sz w:val="20"/>
        </w:rPr>
        <w:t xml:space="preserve">Dirix, </w:t>
      </w:r>
      <w:r>
        <w:rPr>
          <w:sz w:val="20"/>
        </w:rPr>
        <w:t xml:space="preserve">“België kiest voor een centraal pandregister”, </w:t>
      </w:r>
      <w:r>
        <w:rPr>
          <w:i/>
          <w:sz w:val="20"/>
        </w:rPr>
        <w:t xml:space="preserve">TvL </w:t>
      </w:r>
      <w:r>
        <w:rPr>
          <w:sz w:val="20"/>
        </w:rPr>
        <w:t xml:space="preserve">2014, 9; </w:t>
      </w:r>
      <w:r>
        <w:rPr>
          <w:smallCaps/>
          <w:sz w:val="20"/>
        </w:rPr>
        <w:t xml:space="preserve">W. Derijcke, </w:t>
      </w:r>
      <w:r>
        <w:rPr>
          <w:sz w:val="20"/>
        </w:rPr>
        <w:t xml:space="preserve">“La réforme des sûretés réelles mobilières”, </w:t>
      </w:r>
      <w:r>
        <w:rPr>
          <w:i/>
          <w:sz w:val="20"/>
        </w:rPr>
        <w:t xml:space="preserve">TBH </w:t>
      </w:r>
      <w:r>
        <w:rPr>
          <w:sz w:val="20"/>
        </w:rPr>
        <w:t xml:space="preserve">2013, 704; </w:t>
      </w:r>
      <w:r>
        <w:rPr>
          <w:smallCaps/>
          <w:sz w:val="20"/>
        </w:rPr>
        <w:t xml:space="preserve">F. Georges, </w:t>
      </w:r>
      <w:r>
        <w:rPr>
          <w:sz w:val="20"/>
        </w:rPr>
        <w:t xml:space="preserve">“La réforme des sûretés mobilières, </w:t>
      </w:r>
      <w:r w:rsidRPr="004F6064">
        <w:rPr>
          <w:i/>
          <w:sz w:val="20"/>
        </w:rPr>
        <w:t>Revue de la Faculté de droit de l’Université de</w:t>
      </w:r>
      <w:r w:rsidRPr="00B61319">
        <w:rPr>
          <w:sz w:val="20"/>
        </w:rPr>
        <w:t xml:space="preserve"> Liège</w:t>
      </w:r>
      <w:r>
        <w:rPr>
          <w:sz w:val="20"/>
        </w:rPr>
        <w:t xml:space="preserve"> 2013, 345; </w:t>
      </w:r>
      <w:r w:rsidRPr="00862B0F">
        <w:rPr>
          <w:sz w:val="20"/>
        </w:rPr>
        <w:t xml:space="preserve">V. </w:t>
      </w:r>
      <w:r w:rsidRPr="00862B0F">
        <w:rPr>
          <w:smallCaps/>
          <w:sz w:val="20"/>
        </w:rPr>
        <w:t xml:space="preserve">Sagaert , </w:t>
      </w:r>
      <w:r w:rsidRPr="00862B0F">
        <w:rPr>
          <w:sz w:val="20"/>
        </w:rPr>
        <w:t xml:space="preserve">“Enkele pijlers van de </w:t>
      </w:r>
      <w:proofErr w:type="spellStart"/>
      <w:r w:rsidRPr="00862B0F">
        <w:rPr>
          <w:sz w:val="20"/>
        </w:rPr>
        <w:t>pandwet</w:t>
      </w:r>
      <w:proofErr w:type="spellEnd"/>
      <w:r w:rsidRPr="00862B0F">
        <w:rPr>
          <w:sz w:val="20"/>
        </w:rPr>
        <w:t xml:space="preserve">”, in </w:t>
      </w:r>
      <w:r w:rsidRPr="00862B0F">
        <w:rPr>
          <w:smallCaps/>
          <w:sz w:val="20"/>
        </w:rPr>
        <w:t>Centrum voor Beroepsvervolmaking in de Rechten</w:t>
      </w:r>
      <w:r w:rsidRPr="00862B0F">
        <w:rPr>
          <w:sz w:val="20"/>
        </w:rPr>
        <w:t xml:space="preserve"> (ed.), </w:t>
      </w:r>
      <w:r w:rsidRPr="00862B0F">
        <w:rPr>
          <w:i/>
          <w:sz w:val="20"/>
        </w:rPr>
        <w:t>CBR Jaarboek 2013-14</w:t>
      </w:r>
      <w:r w:rsidRPr="00862B0F">
        <w:rPr>
          <w:sz w:val="20"/>
        </w:rPr>
        <w:t>, Antwerpen, Intersentia 2014,</w:t>
      </w:r>
      <w:r>
        <w:rPr>
          <w:sz w:val="20"/>
        </w:rPr>
        <w:t xml:space="preserve"> 62; </w:t>
      </w:r>
      <w:r>
        <w:rPr>
          <w:smallCaps/>
          <w:sz w:val="20"/>
        </w:rPr>
        <w:t xml:space="preserve">M. Grégoire, </w:t>
      </w:r>
      <w:r>
        <w:rPr>
          <w:sz w:val="20"/>
        </w:rPr>
        <w:t xml:space="preserve">“Le modification du Code Civil en ce qui concerne les sûretés réelles mobilières”, in </w:t>
      </w:r>
      <w:r>
        <w:rPr>
          <w:i/>
          <w:sz w:val="20"/>
        </w:rPr>
        <w:t>Insolvabilités et garanties</w:t>
      </w:r>
      <w:r>
        <w:rPr>
          <w:sz w:val="20"/>
        </w:rPr>
        <w:t xml:space="preserve">, Brussel, Larcier 2014, 15. </w:t>
      </w:r>
      <w:r w:rsidRPr="00BD0A62">
        <w:rPr>
          <w:smallCaps/>
          <w:sz w:val="20"/>
        </w:rPr>
        <w:t>J. Baeck, “</w:t>
      </w:r>
      <w:r w:rsidRPr="00BD0A62">
        <w:rPr>
          <w:sz w:val="20"/>
        </w:rPr>
        <w:t>Het nieuwe pandrecht”</w:t>
      </w:r>
      <w:r w:rsidRPr="00BD0A62">
        <w:rPr>
          <w:i/>
          <w:sz w:val="20"/>
        </w:rPr>
        <w:t xml:space="preserve">, RW </w:t>
      </w:r>
      <w:r>
        <w:rPr>
          <w:sz w:val="20"/>
        </w:rPr>
        <w:t xml:space="preserve">2015-16, 1216; </w:t>
      </w:r>
      <w:r>
        <w:rPr>
          <w:smallCaps/>
          <w:sz w:val="20"/>
        </w:rPr>
        <w:t xml:space="preserve">J. Baeck. </w:t>
      </w:r>
      <w:r>
        <w:rPr>
          <w:sz w:val="20"/>
        </w:rPr>
        <w:t xml:space="preserve">“Commentaar bij Artikel 24 en 25 Pandwet”, </w:t>
      </w:r>
      <w:r>
        <w:rPr>
          <w:i/>
          <w:sz w:val="20"/>
        </w:rPr>
        <w:t xml:space="preserve">Voorrechten en hypotheken </w:t>
      </w:r>
      <w:r>
        <w:rPr>
          <w:sz w:val="20"/>
        </w:rPr>
        <w:t xml:space="preserve">2015, 44; </w:t>
      </w:r>
      <w:r>
        <w:rPr>
          <w:smallCaps/>
          <w:sz w:val="20"/>
        </w:rPr>
        <w:t xml:space="preserve">J. Baeck, </w:t>
      </w:r>
      <w:r>
        <w:rPr>
          <w:sz w:val="20"/>
        </w:rPr>
        <w:t xml:space="preserve">“Commentaar bij artikel 21 Pandwet”, </w:t>
      </w:r>
      <w:r>
        <w:rPr>
          <w:i/>
          <w:sz w:val="20"/>
        </w:rPr>
        <w:t xml:space="preserve">Voorrechten en Hypotheken </w:t>
      </w:r>
      <w:r>
        <w:rPr>
          <w:sz w:val="20"/>
        </w:rPr>
        <w:t>2015, 39.</w:t>
      </w:r>
    </w:p>
    <w:p w14:paraId="33EB182E" w14:textId="649CAE3E" w:rsidR="00C97F8C" w:rsidRPr="003333D1" w:rsidRDefault="00C97F8C">
      <w:pPr>
        <w:pStyle w:val="Voetnoottekst"/>
        <w:rPr>
          <w:lang w:val="nl-BE"/>
        </w:rPr>
      </w:pPr>
      <w:r>
        <w:rPr>
          <w:rStyle w:val="Voetnootmarkering"/>
        </w:rPr>
        <w:footnoteRef/>
      </w:r>
      <w:r>
        <w:t xml:space="preserve"> </w:t>
      </w:r>
      <w:r w:rsidRPr="00862B0F">
        <w:rPr>
          <w:sz w:val="20"/>
        </w:rPr>
        <w:t xml:space="preserve">Artikel 2337, </w:t>
      </w:r>
      <w:r>
        <w:rPr>
          <w:sz w:val="20"/>
        </w:rPr>
        <w:t xml:space="preserve">derde lid Code Civil Français; </w:t>
      </w:r>
      <w:r w:rsidRPr="00161094">
        <w:rPr>
          <w:smallCaps/>
          <w:sz w:val="20"/>
        </w:rPr>
        <w:t xml:space="preserve">R. Boffa, </w:t>
      </w:r>
      <w:r w:rsidRPr="00161094">
        <w:rPr>
          <w:sz w:val="20"/>
        </w:rPr>
        <w:t xml:space="preserve">L’opposabilité du gage sans dépossession, </w:t>
      </w:r>
      <w:r w:rsidRPr="00161094">
        <w:rPr>
          <w:i/>
          <w:sz w:val="20"/>
        </w:rPr>
        <w:t>Chron</w:t>
      </w:r>
      <w:r w:rsidRPr="00161094">
        <w:rPr>
          <w:sz w:val="20"/>
        </w:rPr>
        <w:t>. 2007, 1</w:t>
      </w:r>
      <w:r>
        <w:rPr>
          <w:sz w:val="20"/>
        </w:rPr>
        <w:t xml:space="preserve">; </w:t>
      </w:r>
      <w:r w:rsidRPr="007F29B2">
        <w:rPr>
          <w:smallCaps/>
          <w:sz w:val="20"/>
        </w:rPr>
        <w:t>P. Crocq</w:t>
      </w:r>
      <w:r>
        <w:rPr>
          <w:sz w:val="20"/>
        </w:rPr>
        <w:t xml:space="preserve">, “Gage”, </w:t>
      </w:r>
      <w:r>
        <w:rPr>
          <w:i/>
          <w:sz w:val="20"/>
        </w:rPr>
        <w:t xml:space="preserve">Répertoire de droit civil </w:t>
      </w:r>
      <w:r>
        <w:rPr>
          <w:sz w:val="20"/>
        </w:rPr>
        <w:t xml:space="preserve">2007, 8; </w:t>
      </w:r>
      <w:r>
        <w:rPr>
          <w:smallCaps/>
          <w:sz w:val="20"/>
        </w:rPr>
        <w:t>G. Ansaloni, “</w:t>
      </w:r>
      <w:r w:rsidRPr="009B2711">
        <w:rPr>
          <w:sz w:val="20"/>
        </w:rPr>
        <w:t>Sur l'opposabilité du gage sans dépossession de droit commun</w:t>
      </w:r>
      <w:r>
        <w:rPr>
          <w:sz w:val="20"/>
        </w:rPr>
        <w:t>”</w:t>
      </w:r>
      <w:r w:rsidRPr="009B2711">
        <w:rPr>
          <w:sz w:val="20"/>
        </w:rPr>
        <w:t xml:space="preserve">, </w:t>
      </w:r>
      <w:r w:rsidRPr="009B2711">
        <w:rPr>
          <w:i/>
          <w:sz w:val="20"/>
        </w:rPr>
        <w:t>La Semaine Juridique entreprises et affaires</w:t>
      </w:r>
      <w:r>
        <w:rPr>
          <w:i/>
          <w:sz w:val="20"/>
        </w:rPr>
        <w:t xml:space="preserve"> </w:t>
      </w:r>
      <w:r>
        <w:rPr>
          <w:sz w:val="20"/>
        </w:rPr>
        <w:t>2009, 1675; P</w:t>
      </w:r>
      <w:r>
        <w:rPr>
          <w:smallCaps/>
          <w:sz w:val="20"/>
          <w:lang w:val="nl-BE"/>
        </w:rPr>
        <w:t xml:space="preserve">. Simler, P. Delebecque, </w:t>
      </w:r>
      <w:r>
        <w:rPr>
          <w:i/>
          <w:sz w:val="20"/>
          <w:lang w:val="nl-BE"/>
        </w:rPr>
        <w:t xml:space="preserve">Les sûretés, la publicité foncière, </w:t>
      </w:r>
      <w:r>
        <w:rPr>
          <w:sz w:val="20"/>
          <w:lang w:val="nl-BE"/>
        </w:rPr>
        <w:t xml:space="preserve">Parijs, Dalloz 2009, 605; </w:t>
      </w:r>
      <w:r>
        <w:rPr>
          <w:smallCaps/>
          <w:sz w:val="20"/>
          <w:lang w:val="nl-BE"/>
        </w:rPr>
        <w:t xml:space="preserve">M. Cabrillac, C. Mouly, S. Cabrillac, P. Pétel, </w:t>
      </w:r>
      <w:r>
        <w:rPr>
          <w:i/>
          <w:sz w:val="20"/>
          <w:lang w:val="nl-BE"/>
        </w:rPr>
        <w:t xml:space="preserve">Droit des sûretés, </w:t>
      </w:r>
      <w:r>
        <w:rPr>
          <w:sz w:val="20"/>
          <w:lang w:val="nl-BE"/>
        </w:rPr>
        <w:t xml:space="preserve">Parijs, Litec 2010, 570; </w:t>
      </w:r>
      <w:r w:rsidRPr="00EA33F9">
        <w:rPr>
          <w:smallCaps/>
          <w:sz w:val="20"/>
          <w:lang w:val="nl-BE"/>
        </w:rPr>
        <w:t>Y. Picod</w:t>
      </w:r>
      <w:r w:rsidRPr="00EA33F9">
        <w:rPr>
          <w:sz w:val="20"/>
          <w:lang w:val="nl-BE"/>
        </w:rPr>
        <w:t xml:space="preserve">, </w:t>
      </w:r>
      <w:r w:rsidRPr="00EA33F9">
        <w:rPr>
          <w:i/>
          <w:sz w:val="20"/>
          <w:lang w:val="nl-BE"/>
        </w:rPr>
        <w:t xml:space="preserve">Droit des sûretés, </w:t>
      </w:r>
      <w:r w:rsidRPr="00EA33F9">
        <w:rPr>
          <w:sz w:val="20"/>
          <w:lang w:val="nl-BE"/>
        </w:rPr>
        <w:t>Parijs, Presses Universitaires franç</w:t>
      </w:r>
      <w:r>
        <w:rPr>
          <w:sz w:val="20"/>
          <w:lang w:val="nl-BE"/>
        </w:rPr>
        <w:t>aises 2011, 272;</w:t>
      </w:r>
      <w:r>
        <w:rPr>
          <w:sz w:val="20"/>
        </w:rPr>
        <w:t xml:space="preserve"> </w:t>
      </w:r>
      <w:r>
        <w:rPr>
          <w:smallCaps/>
          <w:sz w:val="20"/>
        </w:rPr>
        <w:t xml:space="preserve">M. Bourassin, V. brémond, M.-N. </w:t>
      </w:r>
      <w:proofErr w:type="spellStart"/>
      <w:r>
        <w:rPr>
          <w:smallCaps/>
          <w:sz w:val="20"/>
        </w:rPr>
        <w:t>Jobard-Bachellier</w:t>
      </w:r>
      <w:proofErr w:type="spellEnd"/>
      <w:r>
        <w:rPr>
          <w:smallCaps/>
          <w:sz w:val="20"/>
        </w:rPr>
        <w:t xml:space="preserve">, </w:t>
      </w:r>
      <w:r>
        <w:rPr>
          <w:i/>
          <w:sz w:val="20"/>
        </w:rPr>
        <w:t xml:space="preserve">Droit des sûretés, </w:t>
      </w:r>
      <w:r>
        <w:rPr>
          <w:sz w:val="20"/>
        </w:rPr>
        <w:t xml:space="preserve">Parijs, Dalloz 2014, 464, 475; </w:t>
      </w:r>
      <w:r>
        <w:rPr>
          <w:smallCaps/>
          <w:sz w:val="20"/>
          <w:lang w:val="nl-BE"/>
        </w:rPr>
        <w:t xml:space="preserve">L. Aynès, P. Crocq, </w:t>
      </w:r>
      <w:r>
        <w:rPr>
          <w:i/>
          <w:sz w:val="20"/>
          <w:lang w:val="nl-BE"/>
        </w:rPr>
        <w:t xml:space="preserve">Droit des sûretés, </w:t>
      </w:r>
      <w:r>
        <w:rPr>
          <w:sz w:val="20"/>
          <w:lang w:val="nl-BE"/>
        </w:rPr>
        <w:t>Issy-Les-Moulineaux, LGDJ lextenso éditions 2015, 272.</w:t>
      </w:r>
    </w:p>
  </w:footnote>
  <w:footnote w:id="219">
    <w:p w14:paraId="6DF07F1C" w14:textId="3C603179" w:rsidR="00C97F8C" w:rsidRPr="001E5502" w:rsidRDefault="00C97F8C" w:rsidP="001E5502">
      <w:pPr>
        <w:pStyle w:val="Voetnoottekst"/>
        <w:rPr>
          <w:sz w:val="20"/>
        </w:rPr>
      </w:pPr>
      <w:r>
        <w:rPr>
          <w:rStyle w:val="Voetnootmarkering"/>
        </w:rPr>
        <w:footnoteRef/>
      </w:r>
      <w:r>
        <w:t xml:space="preserve"> </w:t>
      </w:r>
      <w:r>
        <w:rPr>
          <w:smallCaps/>
          <w:sz w:val="20"/>
        </w:rPr>
        <w:t>J. Cattaruzza, “</w:t>
      </w:r>
      <w:r>
        <w:rPr>
          <w:sz w:val="20"/>
        </w:rPr>
        <w:t xml:space="preserve">Les </w:t>
      </w:r>
      <w:proofErr w:type="spellStart"/>
      <w:r>
        <w:rPr>
          <w:sz w:val="20"/>
        </w:rPr>
        <w:t>grands</w:t>
      </w:r>
      <w:proofErr w:type="spellEnd"/>
      <w:r>
        <w:rPr>
          <w:sz w:val="20"/>
        </w:rPr>
        <w:t xml:space="preserve"> </w:t>
      </w:r>
      <w:proofErr w:type="spellStart"/>
      <w:r>
        <w:rPr>
          <w:sz w:val="20"/>
        </w:rPr>
        <w:t>axes</w:t>
      </w:r>
      <w:proofErr w:type="spellEnd"/>
      <w:r>
        <w:rPr>
          <w:sz w:val="20"/>
        </w:rPr>
        <w:t xml:space="preserve"> de la réforme des sûretés mobilières”, Forum Financier/Droit bancaire et financier 2013, 190; </w:t>
      </w:r>
      <w:r>
        <w:rPr>
          <w:smallCaps/>
        </w:rPr>
        <w:t xml:space="preserve">E. </w:t>
      </w:r>
      <w:r>
        <w:rPr>
          <w:smallCaps/>
          <w:sz w:val="20"/>
        </w:rPr>
        <w:t xml:space="preserve">Dirix, </w:t>
      </w:r>
      <w:r>
        <w:rPr>
          <w:sz w:val="20"/>
        </w:rPr>
        <w:t xml:space="preserve">“België kiest voor een centraal pandregister”, </w:t>
      </w:r>
      <w:r>
        <w:rPr>
          <w:i/>
          <w:sz w:val="20"/>
        </w:rPr>
        <w:t xml:space="preserve">TvL </w:t>
      </w:r>
      <w:r>
        <w:rPr>
          <w:sz w:val="20"/>
        </w:rPr>
        <w:t xml:space="preserve">2014, 9; </w:t>
      </w:r>
      <w:r>
        <w:rPr>
          <w:smallCaps/>
          <w:sz w:val="20"/>
        </w:rPr>
        <w:t xml:space="preserve">W. Derijcke, </w:t>
      </w:r>
      <w:r>
        <w:rPr>
          <w:sz w:val="20"/>
        </w:rPr>
        <w:t xml:space="preserve">“La réforme des sûretés réelles mobilières”, </w:t>
      </w:r>
      <w:r>
        <w:rPr>
          <w:i/>
          <w:sz w:val="20"/>
        </w:rPr>
        <w:t xml:space="preserve">TBH </w:t>
      </w:r>
      <w:r>
        <w:rPr>
          <w:sz w:val="20"/>
        </w:rPr>
        <w:t xml:space="preserve">2013, 704; </w:t>
      </w:r>
      <w:r>
        <w:rPr>
          <w:smallCaps/>
          <w:sz w:val="20"/>
        </w:rPr>
        <w:t xml:space="preserve">F. Georges, </w:t>
      </w:r>
      <w:r>
        <w:rPr>
          <w:sz w:val="20"/>
        </w:rPr>
        <w:t xml:space="preserve">“La réforme des sûretés mobilières, </w:t>
      </w:r>
      <w:r w:rsidRPr="004F6064">
        <w:rPr>
          <w:i/>
          <w:sz w:val="20"/>
        </w:rPr>
        <w:t>Revue de la Faculté de droit de l’Université de</w:t>
      </w:r>
      <w:r w:rsidRPr="00B61319">
        <w:rPr>
          <w:sz w:val="20"/>
        </w:rPr>
        <w:t xml:space="preserve"> Liège</w:t>
      </w:r>
      <w:r>
        <w:rPr>
          <w:sz w:val="20"/>
        </w:rPr>
        <w:t xml:space="preserve"> 2013, 345; </w:t>
      </w:r>
      <w:r w:rsidRPr="00862B0F">
        <w:rPr>
          <w:sz w:val="20"/>
        </w:rPr>
        <w:t xml:space="preserve">V. </w:t>
      </w:r>
      <w:r w:rsidRPr="00862B0F">
        <w:rPr>
          <w:smallCaps/>
          <w:sz w:val="20"/>
        </w:rPr>
        <w:t xml:space="preserve">Sagaert , </w:t>
      </w:r>
      <w:r w:rsidRPr="00862B0F">
        <w:rPr>
          <w:sz w:val="20"/>
        </w:rPr>
        <w:t xml:space="preserve">“Enkele pijlers van de </w:t>
      </w:r>
      <w:proofErr w:type="spellStart"/>
      <w:r w:rsidRPr="00862B0F">
        <w:rPr>
          <w:sz w:val="20"/>
        </w:rPr>
        <w:t>pandwet</w:t>
      </w:r>
      <w:proofErr w:type="spellEnd"/>
      <w:r w:rsidRPr="00862B0F">
        <w:rPr>
          <w:sz w:val="20"/>
        </w:rPr>
        <w:t xml:space="preserve">”, in </w:t>
      </w:r>
      <w:r w:rsidRPr="00862B0F">
        <w:rPr>
          <w:smallCaps/>
          <w:sz w:val="20"/>
        </w:rPr>
        <w:t>Centrum voor Beroepsvervolmaking in de Rechten</w:t>
      </w:r>
      <w:r w:rsidRPr="00862B0F">
        <w:rPr>
          <w:sz w:val="20"/>
        </w:rPr>
        <w:t xml:space="preserve"> (ed.), </w:t>
      </w:r>
      <w:r w:rsidRPr="00862B0F">
        <w:rPr>
          <w:i/>
          <w:sz w:val="20"/>
        </w:rPr>
        <w:t>CBR Jaarboek 2013-14</w:t>
      </w:r>
      <w:r w:rsidRPr="00862B0F">
        <w:rPr>
          <w:sz w:val="20"/>
        </w:rPr>
        <w:t>, Antwerpen, Intersentia 2014,</w:t>
      </w:r>
      <w:r>
        <w:rPr>
          <w:sz w:val="20"/>
        </w:rPr>
        <w:t xml:space="preserve"> 62; </w:t>
      </w:r>
      <w:r>
        <w:rPr>
          <w:smallCaps/>
          <w:sz w:val="20"/>
        </w:rPr>
        <w:t xml:space="preserve">M. Grégoire, </w:t>
      </w:r>
      <w:r>
        <w:rPr>
          <w:sz w:val="20"/>
        </w:rPr>
        <w:t xml:space="preserve">“Le modification du Code Civil en ce qui concerne les sûretés réelles mobilières”, in </w:t>
      </w:r>
      <w:r>
        <w:rPr>
          <w:i/>
          <w:sz w:val="20"/>
        </w:rPr>
        <w:t>Insolvabilités et garanties</w:t>
      </w:r>
      <w:r>
        <w:rPr>
          <w:sz w:val="20"/>
        </w:rPr>
        <w:t xml:space="preserve">, Brussel, Larcier 2014, 15. </w:t>
      </w:r>
      <w:r w:rsidRPr="00BD0A62">
        <w:rPr>
          <w:smallCaps/>
          <w:sz w:val="20"/>
        </w:rPr>
        <w:t>J. Baeck, “</w:t>
      </w:r>
      <w:r w:rsidRPr="00BD0A62">
        <w:rPr>
          <w:sz w:val="20"/>
        </w:rPr>
        <w:t>Het nieuwe pandrecht”</w:t>
      </w:r>
      <w:r w:rsidRPr="00BD0A62">
        <w:rPr>
          <w:i/>
          <w:sz w:val="20"/>
        </w:rPr>
        <w:t xml:space="preserve">, RW </w:t>
      </w:r>
      <w:r>
        <w:rPr>
          <w:sz w:val="20"/>
        </w:rPr>
        <w:t xml:space="preserve">2015-16, 1216; </w:t>
      </w:r>
      <w:r>
        <w:rPr>
          <w:smallCaps/>
          <w:sz w:val="20"/>
        </w:rPr>
        <w:t xml:space="preserve">J. Baeck. </w:t>
      </w:r>
      <w:r>
        <w:rPr>
          <w:sz w:val="20"/>
        </w:rPr>
        <w:t xml:space="preserve">“Commentaar bij Artikel 24 en 25 Pandwet”, </w:t>
      </w:r>
      <w:r>
        <w:rPr>
          <w:i/>
          <w:sz w:val="20"/>
        </w:rPr>
        <w:t xml:space="preserve">Voorrechten en hypotheken </w:t>
      </w:r>
      <w:r>
        <w:rPr>
          <w:sz w:val="20"/>
        </w:rPr>
        <w:t xml:space="preserve">2015, 44; </w:t>
      </w:r>
      <w:r>
        <w:rPr>
          <w:smallCaps/>
          <w:sz w:val="20"/>
        </w:rPr>
        <w:t xml:space="preserve">J. Baeck, </w:t>
      </w:r>
      <w:r>
        <w:rPr>
          <w:sz w:val="20"/>
        </w:rPr>
        <w:t xml:space="preserve">“Commentaar bij artikel 21 Pandwet”, </w:t>
      </w:r>
      <w:r>
        <w:rPr>
          <w:i/>
          <w:sz w:val="20"/>
        </w:rPr>
        <w:t xml:space="preserve">Voorrechten en Hypotheken </w:t>
      </w:r>
      <w:r>
        <w:rPr>
          <w:sz w:val="20"/>
        </w:rPr>
        <w:t>2015, 39. (</w:t>
      </w:r>
      <w:r w:rsidRPr="00BD0A62">
        <w:rPr>
          <w:sz w:val="20"/>
          <w:lang w:val="nl-BE"/>
        </w:rPr>
        <w:t>Daarnaast wordt het eerste lid ook buiten toepassing gesteld wanneer de pandgever overeenkomst artikel 21 Pandwet vrij over de bezwaarde goederen kan beschikken binnen een normale bedrijfsvoering of indien de pandhouder met de beschikking had ingestemd.</w:t>
      </w:r>
      <w:r>
        <w:rPr>
          <w:sz w:val="20"/>
          <w:lang w:val="nl-BE"/>
        </w:rPr>
        <w:t>)</w:t>
      </w:r>
    </w:p>
  </w:footnote>
  <w:footnote w:id="220">
    <w:p w14:paraId="1CD66FDA" w14:textId="77777777" w:rsidR="00C97F8C" w:rsidRPr="00161094" w:rsidRDefault="00C97F8C" w:rsidP="00854625">
      <w:pPr>
        <w:pStyle w:val="Voetnoottekst"/>
        <w:rPr>
          <w:lang w:val="nl-BE"/>
        </w:rPr>
      </w:pPr>
      <w:r>
        <w:rPr>
          <w:rStyle w:val="Voetnootmarkering"/>
        </w:rPr>
        <w:footnoteRef/>
      </w:r>
      <w:r>
        <w:t xml:space="preserve"> </w:t>
      </w:r>
      <w:r w:rsidRPr="00862B0F">
        <w:rPr>
          <w:sz w:val="20"/>
        </w:rPr>
        <w:t xml:space="preserve">Artikel 2337, </w:t>
      </w:r>
      <w:r>
        <w:rPr>
          <w:sz w:val="20"/>
        </w:rPr>
        <w:t xml:space="preserve">derde lid Code Civil Français; </w:t>
      </w:r>
      <w:r w:rsidRPr="00161094">
        <w:rPr>
          <w:smallCaps/>
          <w:sz w:val="20"/>
        </w:rPr>
        <w:t xml:space="preserve">R. Boffa, </w:t>
      </w:r>
      <w:r w:rsidRPr="00161094">
        <w:rPr>
          <w:sz w:val="20"/>
        </w:rPr>
        <w:t xml:space="preserve">L’opposabilité du gage sans dépossession, </w:t>
      </w:r>
      <w:r w:rsidRPr="00161094">
        <w:rPr>
          <w:i/>
          <w:sz w:val="20"/>
        </w:rPr>
        <w:t>Chron</w:t>
      </w:r>
      <w:r w:rsidRPr="00161094">
        <w:rPr>
          <w:sz w:val="20"/>
        </w:rPr>
        <w:t>. 2007, 1</w:t>
      </w:r>
      <w:r>
        <w:rPr>
          <w:sz w:val="20"/>
        </w:rPr>
        <w:t xml:space="preserve">; </w:t>
      </w:r>
      <w:r w:rsidRPr="007F29B2">
        <w:rPr>
          <w:smallCaps/>
          <w:sz w:val="20"/>
        </w:rPr>
        <w:t>P. Crocq</w:t>
      </w:r>
      <w:r>
        <w:rPr>
          <w:sz w:val="20"/>
        </w:rPr>
        <w:t xml:space="preserve">, “Gage”, </w:t>
      </w:r>
      <w:r>
        <w:rPr>
          <w:i/>
          <w:sz w:val="20"/>
        </w:rPr>
        <w:t xml:space="preserve">Répertoire de droit civil </w:t>
      </w:r>
      <w:r>
        <w:rPr>
          <w:sz w:val="20"/>
        </w:rPr>
        <w:t xml:space="preserve">2007, 8; </w:t>
      </w:r>
      <w:r>
        <w:rPr>
          <w:smallCaps/>
          <w:sz w:val="20"/>
        </w:rPr>
        <w:t>G. Ansaloni, “</w:t>
      </w:r>
      <w:r w:rsidRPr="009B2711">
        <w:rPr>
          <w:sz w:val="20"/>
        </w:rPr>
        <w:t>Sur l'opposabilité du gage sans dépossession de droit commun</w:t>
      </w:r>
      <w:r>
        <w:rPr>
          <w:sz w:val="20"/>
        </w:rPr>
        <w:t>”</w:t>
      </w:r>
      <w:r w:rsidRPr="009B2711">
        <w:rPr>
          <w:sz w:val="20"/>
        </w:rPr>
        <w:t xml:space="preserve">, </w:t>
      </w:r>
      <w:r w:rsidRPr="009B2711">
        <w:rPr>
          <w:i/>
          <w:sz w:val="20"/>
        </w:rPr>
        <w:t>La Semaine Juridique entreprises et affaires</w:t>
      </w:r>
      <w:r>
        <w:rPr>
          <w:i/>
          <w:sz w:val="20"/>
        </w:rPr>
        <w:t xml:space="preserve"> </w:t>
      </w:r>
      <w:r>
        <w:rPr>
          <w:sz w:val="20"/>
        </w:rPr>
        <w:t>2009, 1675; P</w:t>
      </w:r>
      <w:r>
        <w:rPr>
          <w:smallCaps/>
          <w:sz w:val="20"/>
          <w:lang w:val="nl-BE"/>
        </w:rPr>
        <w:t xml:space="preserve">. </w:t>
      </w:r>
      <w:r>
        <w:rPr>
          <w:smallCaps/>
          <w:sz w:val="20"/>
          <w:lang w:val="nl-BE"/>
        </w:rPr>
        <w:t xml:space="preserve">Simler, P. Delebecque, </w:t>
      </w:r>
      <w:r>
        <w:rPr>
          <w:i/>
          <w:sz w:val="20"/>
          <w:lang w:val="nl-BE"/>
        </w:rPr>
        <w:t xml:space="preserve">Les sûretés, la publicité foncière, </w:t>
      </w:r>
      <w:r>
        <w:rPr>
          <w:sz w:val="20"/>
          <w:lang w:val="nl-BE"/>
        </w:rPr>
        <w:t xml:space="preserve">Parijs, Dalloz 2009, 605; </w:t>
      </w:r>
      <w:r>
        <w:rPr>
          <w:smallCaps/>
          <w:sz w:val="20"/>
          <w:lang w:val="nl-BE"/>
        </w:rPr>
        <w:t xml:space="preserve">M. Cabrillac, C. Mouly, S. Cabrillac, P. Pétel, </w:t>
      </w:r>
      <w:r>
        <w:rPr>
          <w:i/>
          <w:sz w:val="20"/>
          <w:lang w:val="nl-BE"/>
        </w:rPr>
        <w:t xml:space="preserve">Droit des sûretés, </w:t>
      </w:r>
      <w:r>
        <w:rPr>
          <w:sz w:val="20"/>
          <w:lang w:val="nl-BE"/>
        </w:rPr>
        <w:t xml:space="preserve">Parijs, Litec 2010, 570; </w:t>
      </w:r>
      <w:r w:rsidRPr="00EA33F9">
        <w:rPr>
          <w:smallCaps/>
          <w:sz w:val="20"/>
          <w:lang w:val="nl-BE"/>
        </w:rPr>
        <w:t>Y. Picod</w:t>
      </w:r>
      <w:r w:rsidRPr="00EA33F9">
        <w:rPr>
          <w:sz w:val="20"/>
          <w:lang w:val="nl-BE"/>
        </w:rPr>
        <w:t xml:space="preserve">, </w:t>
      </w:r>
      <w:r w:rsidRPr="00EA33F9">
        <w:rPr>
          <w:i/>
          <w:sz w:val="20"/>
          <w:lang w:val="nl-BE"/>
        </w:rPr>
        <w:t xml:space="preserve">Droit des sûretés, </w:t>
      </w:r>
      <w:r w:rsidRPr="00EA33F9">
        <w:rPr>
          <w:sz w:val="20"/>
          <w:lang w:val="nl-BE"/>
        </w:rPr>
        <w:t>Parijs, Presses Universitaires franç</w:t>
      </w:r>
      <w:r>
        <w:rPr>
          <w:sz w:val="20"/>
          <w:lang w:val="nl-BE"/>
        </w:rPr>
        <w:t>aises 2011, 272;</w:t>
      </w:r>
      <w:r>
        <w:rPr>
          <w:sz w:val="20"/>
        </w:rPr>
        <w:t xml:space="preserve"> </w:t>
      </w:r>
      <w:r>
        <w:rPr>
          <w:smallCaps/>
          <w:sz w:val="20"/>
        </w:rPr>
        <w:t xml:space="preserve">M. Bourassin, V. brémond, M.-N. </w:t>
      </w:r>
      <w:proofErr w:type="spellStart"/>
      <w:r>
        <w:rPr>
          <w:smallCaps/>
          <w:sz w:val="20"/>
        </w:rPr>
        <w:t>Jobard-Bachellier</w:t>
      </w:r>
      <w:proofErr w:type="spellEnd"/>
      <w:r>
        <w:rPr>
          <w:smallCaps/>
          <w:sz w:val="20"/>
        </w:rPr>
        <w:t xml:space="preserve">, </w:t>
      </w:r>
      <w:r>
        <w:rPr>
          <w:i/>
          <w:sz w:val="20"/>
        </w:rPr>
        <w:t xml:space="preserve">Droit des sûretés, </w:t>
      </w:r>
      <w:r>
        <w:rPr>
          <w:sz w:val="20"/>
        </w:rPr>
        <w:t xml:space="preserve">Parijs, Dalloz 2014, 464, 475; </w:t>
      </w:r>
      <w:r>
        <w:rPr>
          <w:smallCaps/>
          <w:sz w:val="20"/>
          <w:lang w:val="nl-BE"/>
        </w:rPr>
        <w:t xml:space="preserve">L. Aynès, P. Crocq, </w:t>
      </w:r>
      <w:r>
        <w:rPr>
          <w:i/>
          <w:sz w:val="20"/>
          <w:lang w:val="nl-BE"/>
        </w:rPr>
        <w:t xml:space="preserve">Droit des sûretés, </w:t>
      </w:r>
      <w:r>
        <w:rPr>
          <w:sz w:val="20"/>
          <w:lang w:val="nl-BE"/>
        </w:rPr>
        <w:t>Issy-Les-Moulineaux, LGDJ lextenso éditions 2015, 272.</w:t>
      </w:r>
    </w:p>
  </w:footnote>
  <w:footnote w:id="221">
    <w:p w14:paraId="6EC2C4EE" w14:textId="77777777" w:rsidR="00C97F8C" w:rsidRPr="00363567" w:rsidRDefault="00C97F8C" w:rsidP="00854625">
      <w:pPr>
        <w:pStyle w:val="Voetnoottekst"/>
        <w:rPr>
          <w:lang w:val="nl-BE"/>
        </w:rPr>
      </w:pPr>
      <w:r>
        <w:rPr>
          <w:rStyle w:val="Voetnootmarkering"/>
        </w:rPr>
        <w:footnoteRef/>
      </w:r>
      <w:r>
        <w:t xml:space="preserve"> </w:t>
      </w:r>
      <w:r>
        <w:rPr>
          <w:smallCaps/>
          <w:sz w:val="20"/>
        </w:rPr>
        <w:t>B. Houtcieff, “</w:t>
      </w:r>
      <w:r w:rsidRPr="00363567">
        <w:rPr>
          <w:sz w:val="20"/>
        </w:rPr>
        <w:t>Gage Commercial”,</w:t>
      </w:r>
      <w:r>
        <w:rPr>
          <w:smallCaps/>
          <w:sz w:val="20"/>
        </w:rPr>
        <w:t xml:space="preserve"> </w:t>
      </w:r>
      <w:r>
        <w:rPr>
          <w:i/>
          <w:sz w:val="20"/>
        </w:rPr>
        <w:t xml:space="preserve">Répertoire de droit commercial </w:t>
      </w:r>
      <w:r>
        <w:rPr>
          <w:sz w:val="20"/>
        </w:rPr>
        <w:t>2006, 11.</w:t>
      </w:r>
    </w:p>
  </w:footnote>
  <w:footnote w:id="222">
    <w:p w14:paraId="14CDFF0E" w14:textId="77777777" w:rsidR="00C97F8C" w:rsidRPr="003C672A" w:rsidRDefault="00C97F8C" w:rsidP="00986707">
      <w:pPr>
        <w:pStyle w:val="Voetnoottekst"/>
        <w:rPr>
          <w:lang w:val="nl-BE"/>
        </w:rPr>
      </w:pPr>
      <w:r>
        <w:rPr>
          <w:rStyle w:val="Voetnootmarkering"/>
        </w:rPr>
        <w:footnoteRef/>
      </w:r>
      <w:r>
        <w:rPr>
          <w:smallCaps/>
          <w:sz w:val="20"/>
        </w:rPr>
        <w:t xml:space="preserve">W.H.M. Reehuis, </w:t>
      </w:r>
      <w:r>
        <w:rPr>
          <w:i/>
          <w:sz w:val="20"/>
        </w:rPr>
        <w:t xml:space="preserve">Zwaartepunten van het vermogensrecht, </w:t>
      </w:r>
      <w:r>
        <w:rPr>
          <w:sz w:val="20"/>
        </w:rPr>
        <w:t>Kluwer, Deventer 2010, 88;</w:t>
      </w:r>
      <w:r>
        <w:t xml:space="preserve"> </w:t>
      </w:r>
      <w:r w:rsidRPr="00862B0F">
        <w:rPr>
          <w:smallCaps/>
          <w:sz w:val="20"/>
        </w:rPr>
        <w:t xml:space="preserve">H.J. Snijders en E.B. Rank-Berenschoot, </w:t>
      </w:r>
      <w:r w:rsidRPr="00862B0F">
        <w:rPr>
          <w:i/>
          <w:sz w:val="20"/>
        </w:rPr>
        <w:t xml:space="preserve">Goederenrecht, </w:t>
      </w:r>
      <w:r>
        <w:rPr>
          <w:sz w:val="20"/>
        </w:rPr>
        <w:t>Deventer, Kluwer, 2012, 147.</w:t>
      </w:r>
    </w:p>
  </w:footnote>
  <w:footnote w:id="223">
    <w:p w14:paraId="4B3052BD" w14:textId="77777777" w:rsidR="00C97F8C" w:rsidRPr="00862B0F" w:rsidRDefault="00C97F8C" w:rsidP="00E2702A">
      <w:pPr>
        <w:pStyle w:val="Voetnoottekst"/>
        <w:rPr>
          <w:sz w:val="20"/>
        </w:rPr>
      </w:pPr>
      <w:r w:rsidRPr="00862B0F">
        <w:rPr>
          <w:rStyle w:val="Voetnootmarkering"/>
          <w:sz w:val="20"/>
        </w:rPr>
        <w:footnoteRef/>
      </w:r>
      <w:r w:rsidRPr="00862B0F">
        <w:rPr>
          <w:sz w:val="20"/>
        </w:rPr>
        <w:t xml:space="preserve"> Voor een uitgebreide bespreking van artikel 2279 Burgerlijk Wetboek: zie Deel I Hoofdstuk 1.</w:t>
      </w:r>
    </w:p>
  </w:footnote>
  <w:footnote w:id="224">
    <w:p w14:paraId="465CEFBB" w14:textId="77777777" w:rsidR="00C97F8C" w:rsidRPr="00862B0F" w:rsidRDefault="00C97F8C" w:rsidP="00E2702A">
      <w:pPr>
        <w:pStyle w:val="Voetnoottekst"/>
        <w:rPr>
          <w:sz w:val="20"/>
        </w:rPr>
      </w:pPr>
      <w:r w:rsidRPr="00862B0F">
        <w:rPr>
          <w:rStyle w:val="Voetnootmarkering"/>
          <w:sz w:val="20"/>
        </w:rPr>
        <w:footnoteRef/>
      </w:r>
      <w:r w:rsidRPr="00862B0F">
        <w:rPr>
          <w:sz w:val="20"/>
        </w:rPr>
        <w:t xml:space="preserve"> </w:t>
      </w:r>
      <w:r w:rsidRPr="00862B0F">
        <w:rPr>
          <w:smallCaps/>
          <w:sz w:val="20"/>
        </w:rPr>
        <w:t xml:space="preserve">H.J. Snijders en E.B. Rank-Berenschoot, </w:t>
      </w:r>
      <w:r w:rsidRPr="00862B0F">
        <w:rPr>
          <w:i/>
          <w:sz w:val="20"/>
        </w:rPr>
        <w:t xml:space="preserve">Goederenrecht, </w:t>
      </w:r>
      <w:r w:rsidRPr="00862B0F">
        <w:rPr>
          <w:sz w:val="20"/>
        </w:rPr>
        <w:t>Deventer, Kluwer, 2012, 458.</w:t>
      </w:r>
    </w:p>
  </w:footnote>
  <w:footnote w:id="225">
    <w:p w14:paraId="35B5B025" w14:textId="77777777" w:rsidR="00C97F8C" w:rsidRPr="006E16AE" w:rsidRDefault="00C97F8C" w:rsidP="00E2702A">
      <w:pPr>
        <w:pStyle w:val="Voetnoottekst"/>
        <w:rPr>
          <w:lang w:val="nl-BE"/>
        </w:rPr>
      </w:pPr>
      <w:r>
        <w:rPr>
          <w:rStyle w:val="Voetnootmarkering"/>
        </w:rPr>
        <w:footnoteRef/>
      </w:r>
      <w:r>
        <w:t xml:space="preserve"> </w:t>
      </w:r>
      <w:r w:rsidRPr="00862B0F">
        <w:rPr>
          <w:smallCaps/>
          <w:sz w:val="20"/>
        </w:rPr>
        <w:t xml:space="preserve">H.J. Snijders en E.B. Rank-Berenschoot, </w:t>
      </w:r>
      <w:r w:rsidRPr="00862B0F">
        <w:rPr>
          <w:i/>
          <w:sz w:val="20"/>
        </w:rPr>
        <w:t xml:space="preserve">Goederenrecht, </w:t>
      </w:r>
      <w:r>
        <w:rPr>
          <w:sz w:val="20"/>
        </w:rPr>
        <w:t xml:space="preserve">Deventer, Kluwer, 2012, 148. </w:t>
      </w:r>
      <w:r>
        <w:rPr>
          <w:sz w:val="20"/>
          <w:u w:val="single"/>
        </w:rPr>
        <w:t>Contra:</w:t>
      </w:r>
      <w:r>
        <w:rPr>
          <w:sz w:val="20"/>
        </w:rPr>
        <w:t xml:space="preserve"> </w:t>
      </w:r>
      <w:r w:rsidRPr="00526FFF">
        <w:rPr>
          <w:smallCaps/>
          <w:sz w:val="20"/>
        </w:rPr>
        <w:t xml:space="preserve">F. Molenaar, </w:t>
      </w:r>
      <w:r w:rsidRPr="00526FFF">
        <w:rPr>
          <w:i/>
          <w:sz w:val="20"/>
        </w:rPr>
        <w:t xml:space="preserve">Algemene bepalingen zekerheidsrechten op goederen, </w:t>
      </w:r>
      <w:r w:rsidRPr="00526FFF">
        <w:rPr>
          <w:sz w:val="20"/>
        </w:rPr>
        <w:t>Deventer, Kluwer 1992, 34.</w:t>
      </w:r>
    </w:p>
  </w:footnote>
  <w:footnote w:id="226">
    <w:p w14:paraId="16333F2E" w14:textId="77777777" w:rsidR="00C97F8C" w:rsidRPr="00336153" w:rsidRDefault="00C97F8C" w:rsidP="00E2702A">
      <w:pPr>
        <w:pStyle w:val="Voetnoottekst"/>
        <w:rPr>
          <w:lang w:val="nl-BE"/>
        </w:rPr>
      </w:pPr>
      <w:r>
        <w:rPr>
          <w:rStyle w:val="Voetnootmarkering"/>
        </w:rPr>
        <w:footnoteRef/>
      </w:r>
      <w:r>
        <w:t xml:space="preserve"> </w:t>
      </w:r>
      <w:r w:rsidRPr="00C9240F">
        <w:rPr>
          <w:sz w:val="20"/>
          <w:lang w:val="nl-BE"/>
        </w:rPr>
        <w:t>Het is namelijk zo dat wanneer de pandgever over zijn voorraden kan beschikken om zijn normale bedrijfsuitvoering verder te zetten hij fondsen zal verwerven die hem in staat zullen stellen om zijn krediet terug te betalen.</w:t>
      </w:r>
    </w:p>
  </w:footnote>
  <w:footnote w:id="227">
    <w:p w14:paraId="470B82FB" w14:textId="77777777" w:rsidR="00C97F8C" w:rsidRPr="002B68C6" w:rsidRDefault="00C97F8C" w:rsidP="00E2702A">
      <w:pPr>
        <w:pStyle w:val="Voetnoottekst"/>
        <w:rPr>
          <w:lang w:val="nl-BE"/>
        </w:rPr>
      </w:pPr>
      <w:r>
        <w:rPr>
          <w:rStyle w:val="Voetnootmarkering"/>
        </w:rPr>
        <w:footnoteRef/>
      </w:r>
      <w:r>
        <w:t xml:space="preserve"> </w:t>
      </w:r>
      <w:r>
        <w:rPr>
          <w:sz w:val="20"/>
        </w:rPr>
        <w:t xml:space="preserve">Hoge Raad 29 juni 1979, </w:t>
      </w:r>
      <w:r>
        <w:rPr>
          <w:i/>
          <w:sz w:val="20"/>
        </w:rPr>
        <w:t xml:space="preserve">NJ </w:t>
      </w:r>
      <w:r>
        <w:rPr>
          <w:sz w:val="20"/>
        </w:rPr>
        <w:t xml:space="preserve">1980, 133; </w:t>
      </w:r>
      <w:r w:rsidRPr="002B68C6">
        <w:rPr>
          <w:smallCaps/>
          <w:sz w:val="20"/>
          <w:lang w:val="nl-BE"/>
        </w:rPr>
        <w:t xml:space="preserve">V.J.M. van Hoof, </w:t>
      </w:r>
      <w:r w:rsidRPr="002B68C6">
        <w:rPr>
          <w:sz w:val="20"/>
          <w:lang w:val="nl-BE"/>
        </w:rPr>
        <w:t xml:space="preserve">“De bescherming van een vuistpandhouder en retentor tegen een eerder gevestigd stil pandrecht”, </w:t>
      </w:r>
      <w:r w:rsidRPr="002B68C6">
        <w:rPr>
          <w:i/>
          <w:sz w:val="20"/>
          <w:lang w:val="nl-BE"/>
        </w:rPr>
        <w:t xml:space="preserve">NTBR </w:t>
      </w:r>
      <w:r w:rsidRPr="002B68C6">
        <w:rPr>
          <w:sz w:val="20"/>
          <w:lang w:val="nl-BE"/>
        </w:rPr>
        <w:t>2013, 5.</w:t>
      </w:r>
    </w:p>
  </w:footnote>
  <w:footnote w:id="228">
    <w:p w14:paraId="1FACA4A9" w14:textId="77777777" w:rsidR="00C97F8C" w:rsidRPr="006460FD" w:rsidRDefault="00C97F8C" w:rsidP="00E2702A">
      <w:pPr>
        <w:pStyle w:val="Voetnoottekst"/>
        <w:rPr>
          <w:lang w:val="en-GB"/>
        </w:rPr>
      </w:pPr>
      <w:r>
        <w:rPr>
          <w:rStyle w:val="Voetnootmarkering"/>
        </w:rPr>
        <w:footnoteRef/>
      </w:r>
      <w:r w:rsidRPr="006460FD">
        <w:rPr>
          <w:lang w:val="en-GB"/>
        </w:rPr>
        <w:t xml:space="preserve"> </w:t>
      </w:r>
      <w:r w:rsidRPr="006460FD">
        <w:rPr>
          <w:smallCaps/>
          <w:sz w:val="20"/>
          <w:lang w:val="en-GB"/>
        </w:rPr>
        <w:t xml:space="preserve">L.P.W. Van </w:t>
      </w:r>
      <w:proofErr w:type="spellStart"/>
      <w:r w:rsidRPr="006460FD">
        <w:rPr>
          <w:smallCaps/>
          <w:sz w:val="20"/>
          <w:lang w:val="en-GB"/>
        </w:rPr>
        <w:t>Vliet</w:t>
      </w:r>
      <w:proofErr w:type="spellEnd"/>
      <w:r w:rsidRPr="006460FD">
        <w:rPr>
          <w:smallCaps/>
          <w:sz w:val="20"/>
          <w:lang w:val="en-GB"/>
        </w:rPr>
        <w:t>, “</w:t>
      </w:r>
      <w:r w:rsidRPr="006460FD">
        <w:rPr>
          <w:sz w:val="20"/>
          <w:lang w:val="en-GB"/>
        </w:rPr>
        <w:t>Book VII DCFR: Acquisition and loss of ownership”</w:t>
      </w:r>
      <w:r w:rsidRPr="006460FD">
        <w:rPr>
          <w:i/>
          <w:sz w:val="20"/>
          <w:lang w:val="en-GB"/>
        </w:rPr>
        <w:t xml:space="preserve">, NTBR </w:t>
      </w:r>
      <w:r w:rsidRPr="006460FD">
        <w:rPr>
          <w:sz w:val="20"/>
          <w:lang w:val="en-GB"/>
        </w:rPr>
        <w:t>2011, 5.</w:t>
      </w:r>
    </w:p>
  </w:footnote>
  <w:footnote w:id="229">
    <w:p w14:paraId="2816C1E6" w14:textId="6EC24451" w:rsidR="00C97F8C" w:rsidRPr="00862B0F" w:rsidRDefault="00C97F8C" w:rsidP="00B768BB">
      <w:pPr>
        <w:pStyle w:val="Voetnoottekst"/>
        <w:rPr>
          <w:sz w:val="20"/>
        </w:rPr>
      </w:pPr>
      <w:r w:rsidRPr="00862B0F">
        <w:rPr>
          <w:rStyle w:val="Voetnootmarkering"/>
          <w:sz w:val="20"/>
        </w:rPr>
        <w:footnoteRef/>
      </w:r>
      <w:r w:rsidRPr="006460FD">
        <w:rPr>
          <w:sz w:val="20"/>
          <w:lang w:val="en-GB"/>
        </w:rPr>
        <w:t xml:space="preserve"> </w:t>
      </w:r>
      <w:proofErr w:type="spellStart"/>
      <w:r w:rsidRPr="006460FD">
        <w:rPr>
          <w:sz w:val="20"/>
          <w:lang w:val="en-GB"/>
        </w:rPr>
        <w:t>Artikel</w:t>
      </w:r>
      <w:proofErr w:type="spellEnd"/>
      <w:r w:rsidRPr="006460FD">
        <w:rPr>
          <w:sz w:val="20"/>
          <w:lang w:val="en-GB"/>
        </w:rPr>
        <w:t xml:space="preserve"> 25 Pandwet; MvT, </w:t>
      </w:r>
      <w:r w:rsidRPr="006460FD">
        <w:rPr>
          <w:i/>
          <w:sz w:val="20"/>
          <w:lang w:val="en-GB"/>
        </w:rPr>
        <w:t xml:space="preserve">Parl. St., </w:t>
      </w:r>
      <w:proofErr w:type="spellStart"/>
      <w:r w:rsidRPr="006460FD">
        <w:rPr>
          <w:sz w:val="20"/>
          <w:lang w:val="en-GB"/>
        </w:rPr>
        <w:t>Kamer</w:t>
      </w:r>
      <w:proofErr w:type="spellEnd"/>
      <w:r w:rsidRPr="006460FD">
        <w:rPr>
          <w:sz w:val="20"/>
          <w:lang w:val="en-GB"/>
        </w:rPr>
        <w:t xml:space="preserve"> 2012-13, nr. 2463/001, 47; </w:t>
      </w:r>
      <w:r w:rsidRPr="006460FD">
        <w:rPr>
          <w:smallCaps/>
          <w:sz w:val="20"/>
          <w:lang w:val="en-GB"/>
        </w:rPr>
        <w:t>J. Cattaruzza, “</w:t>
      </w:r>
      <w:r w:rsidRPr="006460FD">
        <w:rPr>
          <w:sz w:val="20"/>
          <w:lang w:val="en-GB"/>
        </w:rPr>
        <w:t xml:space="preserve">Les </w:t>
      </w:r>
      <w:proofErr w:type="spellStart"/>
      <w:r w:rsidRPr="006460FD">
        <w:rPr>
          <w:sz w:val="20"/>
          <w:lang w:val="en-GB"/>
        </w:rPr>
        <w:t>grands</w:t>
      </w:r>
      <w:proofErr w:type="spellEnd"/>
      <w:r w:rsidRPr="006460FD">
        <w:rPr>
          <w:sz w:val="20"/>
          <w:lang w:val="en-GB"/>
        </w:rPr>
        <w:t xml:space="preserve"> axes de la réforme des sûretés mobilières”, Forum Financier/Droit </w:t>
      </w:r>
      <w:proofErr w:type="spellStart"/>
      <w:r w:rsidRPr="006460FD">
        <w:rPr>
          <w:sz w:val="20"/>
          <w:lang w:val="en-GB"/>
        </w:rPr>
        <w:t>bancaire</w:t>
      </w:r>
      <w:proofErr w:type="spellEnd"/>
      <w:r w:rsidRPr="006460FD">
        <w:rPr>
          <w:sz w:val="20"/>
          <w:lang w:val="en-GB"/>
        </w:rPr>
        <w:t xml:space="preserve"> et financier 2013, 190; </w:t>
      </w:r>
      <w:r w:rsidRPr="006460FD">
        <w:rPr>
          <w:smallCaps/>
          <w:sz w:val="20"/>
          <w:lang w:val="en-GB"/>
        </w:rPr>
        <w:t xml:space="preserve">W. Derijcke, </w:t>
      </w:r>
      <w:r w:rsidRPr="006460FD">
        <w:rPr>
          <w:sz w:val="20"/>
          <w:lang w:val="en-GB"/>
        </w:rPr>
        <w:t xml:space="preserve">“La réforme des sûretés réelles mobilières”, </w:t>
      </w:r>
      <w:r w:rsidRPr="006460FD">
        <w:rPr>
          <w:i/>
          <w:sz w:val="20"/>
          <w:lang w:val="en-GB"/>
        </w:rPr>
        <w:t xml:space="preserve">TBH </w:t>
      </w:r>
      <w:r w:rsidRPr="006460FD">
        <w:rPr>
          <w:sz w:val="20"/>
          <w:lang w:val="en-GB"/>
        </w:rPr>
        <w:t xml:space="preserve">2013, 704; </w:t>
      </w:r>
      <w:r w:rsidRPr="006460FD">
        <w:rPr>
          <w:smallCaps/>
          <w:sz w:val="20"/>
          <w:lang w:val="en-GB"/>
        </w:rPr>
        <w:t xml:space="preserve">F. Georges, </w:t>
      </w:r>
      <w:r w:rsidRPr="006460FD">
        <w:rPr>
          <w:sz w:val="20"/>
          <w:lang w:val="en-GB"/>
        </w:rPr>
        <w:t>“La réforme des sûretés mobilières,”</w:t>
      </w:r>
      <w:r w:rsidRPr="006460FD">
        <w:rPr>
          <w:i/>
          <w:sz w:val="20"/>
          <w:lang w:val="en-GB"/>
        </w:rPr>
        <w:t xml:space="preserve"> Revue de la Faculté de droit de l’Université de Liège</w:t>
      </w:r>
      <w:r w:rsidRPr="006460FD">
        <w:rPr>
          <w:sz w:val="20"/>
          <w:lang w:val="en-GB"/>
        </w:rPr>
        <w:t xml:space="preserve"> 2013, 345; </w:t>
      </w:r>
      <w:r w:rsidRPr="006460FD">
        <w:rPr>
          <w:smallCaps/>
          <w:sz w:val="20"/>
          <w:lang w:val="en-GB"/>
        </w:rPr>
        <w:t xml:space="preserve">J. Del Corral, </w:t>
      </w:r>
      <w:r w:rsidRPr="006460FD">
        <w:rPr>
          <w:sz w:val="20"/>
          <w:lang w:val="en-GB"/>
        </w:rPr>
        <w:t>“</w:t>
      </w:r>
      <w:proofErr w:type="spellStart"/>
      <w:r w:rsidRPr="006460FD">
        <w:rPr>
          <w:sz w:val="20"/>
          <w:lang w:val="en-GB"/>
        </w:rPr>
        <w:t>Zekerheidsrechten</w:t>
      </w:r>
      <w:proofErr w:type="spellEnd"/>
      <w:r w:rsidRPr="006460FD">
        <w:rPr>
          <w:sz w:val="20"/>
          <w:lang w:val="en-GB"/>
        </w:rPr>
        <w:t xml:space="preserve"> – Stand van </w:t>
      </w:r>
      <w:proofErr w:type="spellStart"/>
      <w:r w:rsidRPr="006460FD">
        <w:rPr>
          <w:sz w:val="20"/>
          <w:lang w:val="en-GB"/>
        </w:rPr>
        <w:t>zaken</w:t>
      </w:r>
      <w:proofErr w:type="spellEnd"/>
      <w:r w:rsidRPr="006460FD">
        <w:rPr>
          <w:sz w:val="20"/>
          <w:lang w:val="en-GB"/>
        </w:rPr>
        <w:t xml:space="preserve">”, </w:t>
      </w:r>
      <w:r w:rsidRPr="006460FD">
        <w:rPr>
          <w:i/>
          <w:smallCaps/>
          <w:sz w:val="20"/>
          <w:lang w:val="en-GB"/>
        </w:rPr>
        <w:t xml:space="preserve">NJW </w:t>
      </w:r>
      <w:r w:rsidRPr="006460FD">
        <w:rPr>
          <w:smallCaps/>
          <w:sz w:val="20"/>
          <w:lang w:val="en-GB"/>
        </w:rPr>
        <w:t>2014</w:t>
      </w:r>
      <w:r w:rsidRPr="006460FD">
        <w:rPr>
          <w:i/>
          <w:smallCaps/>
          <w:sz w:val="20"/>
          <w:lang w:val="en-GB"/>
        </w:rPr>
        <w:t xml:space="preserve">, </w:t>
      </w:r>
      <w:r w:rsidRPr="006460FD">
        <w:rPr>
          <w:smallCaps/>
          <w:sz w:val="20"/>
          <w:lang w:val="en-GB"/>
        </w:rPr>
        <w:t xml:space="preserve">58; M. </w:t>
      </w:r>
      <w:proofErr w:type="spellStart"/>
      <w:r w:rsidRPr="006460FD">
        <w:rPr>
          <w:smallCaps/>
          <w:sz w:val="20"/>
          <w:lang w:val="en-GB"/>
        </w:rPr>
        <w:t>Grégoire</w:t>
      </w:r>
      <w:proofErr w:type="spellEnd"/>
      <w:r w:rsidRPr="006460FD">
        <w:rPr>
          <w:smallCaps/>
          <w:sz w:val="20"/>
          <w:lang w:val="en-GB"/>
        </w:rPr>
        <w:t xml:space="preserve">, </w:t>
      </w:r>
      <w:r w:rsidRPr="006460FD">
        <w:rPr>
          <w:sz w:val="20"/>
          <w:lang w:val="en-GB"/>
        </w:rPr>
        <w:t xml:space="preserve">“Le modification du Code Civil en ce qui concerne les sûretés réelles mobilières”, in </w:t>
      </w:r>
      <w:r w:rsidRPr="006460FD">
        <w:rPr>
          <w:i/>
          <w:sz w:val="20"/>
          <w:lang w:val="en-GB"/>
        </w:rPr>
        <w:t xml:space="preserve">Insolvabilités et </w:t>
      </w:r>
      <w:proofErr w:type="spellStart"/>
      <w:r w:rsidRPr="006460FD">
        <w:rPr>
          <w:i/>
          <w:sz w:val="20"/>
          <w:lang w:val="en-GB"/>
        </w:rPr>
        <w:t>garanties</w:t>
      </w:r>
      <w:proofErr w:type="spellEnd"/>
      <w:r w:rsidRPr="006460FD">
        <w:rPr>
          <w:sz w:val="20"/>
          <w:lang w:val="en-GB"/>
        </w:rPr>
        <w:t>, Brussel, Larcier 2014, 16;</w:t>
      </w:r>
      <w:r w:rsidRPr="006460FD">
        <w:rPr>
          <w:smallCaps/>
          <w:sz w:val="20"/>
          <w:lang w:val="en-GB"/>
        </w:rPr>
        <w:t xml:space="preserve"> J. Baeck, “</w:t>
      </w:r>
      <w:r w:rsidRPr="006460FD">
        <w:rPr>
          <w:sz w:val="20"/>
          <w:lang w:val="en-GB"/>
        </w:rPr>
        <w:t xml:space="preserve">Het </w:t>
      </w:r>
      <w:proofErr w:type="spellStart"/>
      <w:r w:rsidRPr="006460FD">
        <w:rPr>
          <w:sz w:val="20"/>
          <w:lang w:val="en-GB"/>
        </w:rPr>
        <w:t>nieuwe</w:t>
      </w:r>
      <w:proofErr w:type="spellEnd"/>
      <w:r w:rsidRPr="006460FD">
        <w:rPr>
          <w:sz w:val="20"/>
          <w:lang w:val="en-GB"/>
        </w:rPr>
        <w:t xml:space="preserve"> </w:t>
      </w:r>
      <w:proofErr w:type="spellStart"/>
      <w:r w:rsidRPr="006460FD">
        <w:rPr>
          <w:sz w:val="20"/>
          <w:lang w:val="en-GB"/>
        </w:rPr>
        <w:t>pandrecht</w:t>
      </w:r>
      <w:proofErr w:type="spellEnd"/>
      <w:r w:rsidRPr="006460FD">
        <w:rPr>
          <w:sz w:val="20"/>
          <w:lang w:val="en-GB"/>
        </w:rPr>
        <w:t>”</w:t>
      </w:r>
      <w:r w:rsidRPr="006460FD">
        <w:rPr>
          <w:i/>
          <w:sz w:val="20"/>
          <w:lang w:val="en-GB"/>
        </w:rPr>
        <w:t xml:space="preserve">, RW </w:t>
      </w:r>
      <w:r w:rsidRPr="006460FD">
        <w:rPr>
          <w:sz w:val="20"/>
          <w:lang w:val="en-GB"/>
        </w:rPr>
        <w:t xml:space="preserve">2015-16, 1216; </w:t>
      </w:r>
      <w:r w:rsidRPr="006460FD">
        <w:rPr>
          <w:smallCaps/>
          <w:sz w:val="20"/>
          <w:lang w:val="en-GB"/>
        </w:rPr>
        <w:t xml:space="preserve">J. Baeck. </w:t>
      </w:r>
      <w:r>
        <w:rPr>
          <w:sz w:val="20"/>
        </w:rPr>
        <w:t xml:space="preserve">“Artikel 24 en 25 Pandwet”, </w:t>
      </w:r>
      <w:r>
        <w:rPr>
          <w:i/>
          <w:sz w:val="20"/>
        </w:rPr>
        <w:t xml:space="preserve">Voorrechten en hypotheken </w:t>
      </w:r>
      <w:r>
        <w:rPr>
          <w:sz w:val="20"/>
        </w:rPr>
        <w:t xml:space="preserve">2015, 45. </w:t>
      </w:r>
      <w:r>
        <w:rPr>
          <w:sz w:val="20"/>
          <w:u w:val="single"/>
        </w:rPr>
        <w:t>Frankrijk:</w:t>
      </w:r>
      <w:r>
        <w:rPr>
          <w:sz w:val="20"/>
        </w:rPr>
        <w:t xml:space="preserve"> </w:t>
      </w:r>
      <w:r w:rsidRPr="00862B0F">
        <w:rPr>
          <w:sz w:val="20"/>
        </w:rPr>
        <w:t xml:space="preserve">Artikel 2337, </w:t>
      </w:r>
      <w:r>
        <w:rPr>
          <w:sz w:val="20"/>
        </w:rPr>
        <w:t xml:space="preserve">derde lid Code Civil Français; </w:t>
      </w:r>
      <w:r w:rsidRPr="00161094">
        <w:rPr>
          <w:smallCaps/>
          <w:sz w:val="20"/>
        </w:rPr>
        <w:t xml:space="preserve">R. Boffa, </w:t>
      </w:r>
      <w:r w:rsidRPr="00161094">
        <w:rPr>
          <w:sz w:val="20"/>
        </w:rPr>
        <w:t xml:space="preserve">L’opposabilité du gage sans dépossession, </w:t>
      </w:r>
      <w:r w:rsidRPr="00161094">
        <w:rPr>
          <w:i/>
          <w:sz w:val="20"/>
        </w:rPr>
        <w:t>Chron</w:t>
      </w:r>
      <w:r w:rsidRPr="00161094">
        <w:rPr>
          <w:sz w:val="20"/>
        </w:rPr>
        <w:t>. 2007, 1</w:t>
      </w:r>
      <w:r>
        <w:rPr>
          <w:sz w:val="20"/>
        </w:rPr>
        <w:t xml:space="preserve">; </w:t>
      </w:r>
      <w:r w:rsidRPr="007F29B2">
        <w:rPr>
          <w:smallCaps/>
          <w:sz w:val="20"/>
        </w:rPr>
        <w:t>P. Crocq</w:t>
      </w:r>
      <w:r>
        <w:rPr>
          <w:sz w:val="20"/>
        </w:rPr>
        <w:t xml:space="preserve">, “Gage”, </w:t>
      </w:r>
      <w:r>
        <w:rPr>
          <w:i/>
          <w:sz w:val="20"/>
        </w:rPr>
        <w:t xml:space="preserve">Répertoire de droit civil </w:t>
      </w:r>
      <w:r>
        <w:rPr>
          <w:sz w:val="20"/>
        </w:rPr>
        <w:t xml:space="preserve">2007, 8; </w:t>
      </w:r>
      <w:r>
        <w:rPr>
          <w:smallCaps/>
          <w:sz w:val="20"/>
        </w:rPr>
        <w:t>G. Ansaloni, “</w:t>
      </w:r>
      <w:r w:rsidRPr="009B2711">
        <w:rPr>
          <w:sz w:val="20"/>
        </w:rPr>
        <w:t>Sur l'opposabilité du gage sans dépossession de droit commun</w:t>
      </w:r>
      <w:r>
        <w:rPr>
          <w:sz w:val="20"/>
        </w:rPr>
        <w:t>”</w:t>
      </w:r>
      <w:r w:rsidRPr="009B2711">
        <w:rPr>
          <w:sz w:val="20"/>
        </w:rPr>
        <w:t xml:space="preserve">, </w:t>
      </w:r>
      <w:r w:rsidRPr="009B2711">
        <w:rPr>
          <w:i/>
          <w:sz w:val="20"/>
        </w:rPr>
        <w:t>La Semaine Juridique entreprises et affaires</w:t>
      </w:r>
      <w:r>
        <w:rPr>
          <w:i/>
          <w:sz w:val="20"/>
        </w:rPr>
        <w:t xml:space="preserve"> </w:t>
      </w:r>
      <w:r>
        <w:rPr>
          <w:sz w:val="20"/>
        </w:rPr>
        <w:t>2009, 1675; P</w:t>
      </w:r>
      <w:r>
        <w:rPr>
          <w:smallCaps/>
          <w:sz w:val="20"/>
          <w:lang w:val="nl-BE"/>
        </w:rPr>
        <w:t xml:space="preserve">. Simler, P. Delebecque, </w:t>
      </w:r>
      <w:r>
        <w:rPr>
          <w:i/>
          <w:sz w:val="20"/>
          <w:lang w:val="nl-BE"/>
        </w:rPr>
        <w:t xml:space="preserve">Les sûretés, la publicité foncière, </w:t>
      </w:r>
      <w:r>
        <w:rPr>
          <w:sz w:val="20"/>
          <w:lang w:val="nl-BE"/>
        </w:rPr>
        <w:t xml:space="preserve">Parijs, Dalloz 2009, 605; </w:t>
      </w:r>
      <w:r>
        <w:rPr>
          <w:smallCaps/>
          <w:sz w:val="20"/>
          <w:lang w:val="nl-BE"/>
        </w:rPr>
        <w:t xml:space="preserve">M. Cabrillac, C. Mouly, S. Cabrillac, P. Pétel, </w:t>
      </w:r>
      <w:r>
        <w:rPr>
          <w:i/>
          <w:sz w:val="20"/>
          <w:lang w:val="nl-BE"/>
        </w:rPr>
        <w:t xml:space="preserve">Droit des sûretés, </w:t>
      </w:r>
      <w:r>
        <w:rPr>
          <w:sz w:val="20"/>
          <w:lang w:val="nl-BE"/>
        </w:rPr>
        <w:t xml:space="preserve">Parijs, Litec 2010, 570; </w:t>
      </w:r>
      <w:r w:rsidRPr="008C5175">
        <w:rPr>
          <w:smallCaps/>
          <w:sz w:val="20"/>
        </w:rPr>
        <w:t xml:space="preserve"> </w:t>
      </w:r>
      <w:r>
        <w:rPr>
          <w:smallCaps/>
          <w:sz w:val="20"/>
        </w:rPr>
        <w:t xml:space="preserve">D. Legeais, </w:t>
      </w:r>
      <w:r>
        <w:rPr>
          <w:i/>
          <w:sz w:val="20"/>
        </w:rPr>
        <w:t xml:space="preserve">Sûretés et garanties du crédit, </w:t>
      </w:r>
      <w:r>
        <w:rPr>
          <w:sz w:val="20"/>
        </w:rPr>
        <w:t>Parijs, LGDJ Lextenso éditions 2011, 416;</w:t>
      </w:r>
      <w:r>
        <w:rPr>
          <w:sz w:val="20"/>
          <w:lang w:val="nl-BE"/>
        </w:rPr>
        <w:t xml:space="preserve"> </w:t>
      </w:r>
      <w:r w:rsidRPr="00EA33F9">
        <w:rPr>
          <w:smallCaps/>
          <w:sz w:val="20"/>
          <w:lang w:val="nl-BE"/>
        </w:rPr>
        <w:t>Y. Picod</w:t>
      </w:r>
      <w:r w:rsidRPr="00EA33F9">
        <w:rPr>
          <w:sz w:val="20"/>
          <w:lang w:val="nl-BE"/>
        </w:rPr>
        <w:t xml:space="preserve">, </w:t>
      </w:r>
      <w:r w:rsidRPr="00EA33F9">
        <w:rPr>
          <w:i/>
          <w:sz w:val="20"/>
          <w:lang w:val="nl-BE"/>
        </w:rPr>
        <w:t xml:space="preserve">Droit des sûretés, </w:t>
      </w:r>
      <w:r w:rsidRPr="00EA33F9">
        <w:rPr>
          <w:sz w:val="20"/>
          <w:lang w:val="nl-BE"/>
        </w:rPr>
        <w:t>Parijs, Presses Universitaires franç</w:t>
      </w:r>
      <w:r>
        <w:rPr>
          <w:sz w:val="20"/>
          <w:lang w:val="nl-BE"/>
        </w:rPr>
        <w:t>aises 2011, 272;</w:t>
      </w:r>
      <w:r>
        <w:rPr>
          <w:sz w:val="20"/>
        </w:rPr>
        <w:t xml:space="preserve"> </w:t>
      </w:r>
      <w:r>
        <w:rPr>
          <w:smallCaps/>
          <w:sz w:val="20"/>
        </w:rPr>
        <w:t xml:space="preserve">L. Andreu, </w:t>
      </w:r>
      <w:r>
        <w:rPr>
          <w:sz w:val="20"/>
        </w:rPr>
        <w:t xml:space="preserve">“Gage avec dépossession contre gage sans dépossession”, </w:t>
      </w:r>
      <w:r>
        <w:rPr>
          <w:i/>
          <w:sz w:val="20"/>
        </w:rPr>
        <w:t xml:space="preserve">Recueil Dalloz </w:t>
      </w:r>
      <w:r>
        <w:rPr>
          <w:sz w:val="20"/>
        </w:rPr>
        <w:t xml:space="preserve">2012, 1762; </w:t>
      </w:r>
      <w:r>
        <w:rPr>
          <w:smallCaps/>
          <w:sz w:val="20"/>
        </w:rPr>
        <w:t xml:space="preserve">M. Bourassin, V. brémond, M.-N. </w:t>
      </w:r>
      <w:proofErr w:type="spellStart"/>
      <w:r>
        <w:rPr>
          <w:smallCaps/>
          <w:sz w:val="20"/>
        </w:rPr>
        <w:t>Jobard-Bachellier</w:t>
      </w:r>
      <w:proofErr w:type="spellEnd"/>
      <w:r>
        <w:rPr>
          <w:smallCaps/>
          <w:sz w:val="20"/>
        </w:rPr>
        <w:t xml:space="preserve">, </w:t>
      </w:r>
      <w:r>
        <w:rPr>
          <w:i/>
          <w:sz w:val="20"/>
        </w:rPr>
        <w:t xml:space="preserve">Droit des sûretés, </w:t>
      </w:r>
      <w:r>
        <w:rPr>
          <w:sz w:val="20"/>
        </w:rPr>
        <w:t xml:space="preserve">Parijs, Dalloz 2014, 464, 475; </w:t>
      </w:r>
      <w:r>
        <w:rPr>
          <w:smallCaps/>
          <w:sz w:val="20"/>
          <w:lang w:val="nl-BE"/>
        </w:rPr>
        <w:t xml:space="preserve">L. Aynès, P. Crocq, </w:t>
      </w:r>
      <w:r>
        <w:rPr>
          <w:i/>
          <w:sz w:val="20"/>
          <w:lang w:val="nl-BE"/>
        </w:rPr>
        <w:t xml:space="preserve">Droit des sûretés, </w:t>
      </w:r>
      <w:r>
        <w:rPr>
          <w:sz w:val="20"/>
          <w:lang w:val="nl-BE"/>
        </w:rPr>
        <w:t>Issy-Les-Moulineaux, LGDJ lextenso éditions 2015, 272.</w:t>
      </w:r>
    </w:p>
  </w:footnote>
  <w:footnote w:id="230">
    <w:p w14:paraId="4C9EDDEA" w14:textId="77777777" w:rsidR="00C97F8C" w:rsidRPr="00862B0F" w:rsidRDefault="00C97F8C" w:rsidP="00947C60">
      <w:pPr>
        <w:pStyle w:val="Voetnoottekst"/>
        <w:rPr>
          <w:sz w:val="20"/>
        </w:rPr>
      </w:pPr>
      <w:r w:rsidRPr="00862B0F">
        <w:rPr>
          <w:rStyle w:val="Voetnootmarkering"/>
          <w:sz w:val="20"/>
        </w:rPr>
        <w:footnoteRef/>
      </w:r>
      <w:r w:rsidRPr="00862B0F">
        <w:rPr>
          <w:sz w:val="20"/>
        </w:rPr>
        <w:t xml:space="preserve"> </w:t>
      </w:r>
      <w:r>
        <w:rPr>
          <w:smallCaps/>
          <w:sz w:val="20"/>
        </w:rPr>
        <w:t>G. Ansaloni, “</w:t>
      </w:r>
      <w:r w:rsidRPr="009B2711">
        <w:rPr>
          <w:sz w:val="20"/>
        </w:rPr>
        <w:t>Sur l'opposabilité du gage sans dépossession de droit commun</w:t>
      </w:r>
      <w:r>
        <w:rPr>
          <w:sz w:val="20"/>
        </w:rPr>
        <w:t>”</w:t>
      </w:r>
      <w:r w:rsidRPr="009B2711">
        <w:rPr>
          <w:sz w:val="20"/>
        </w:rPr>
        <w:t xml:space="preserve">, </w:t>
      </w:r>
      <w:r w:rsidRPr="009B2711">
        <w:rPr>
          <w:i/>
          <w:sz w:val="20"/>
        </w:rPr>
        <w:t>La Semaine Juridique entreprises et affaires</w:t>
      </w:r>
      <w:r>
        <w:rPr>
          <w:i/>
          <w:sz w:val="20"/>
        </w:rPr>
        <w:t xml:space="preserve"> </w:t>
      </w:r>
      <w:r>
        <w:rPr>
          <w:sz w:val="20"/>
        </w:rPr>
        <w:t xml:space="preserve">2009, 1672; </w:t>
      </w:r>
      <w:r>
        <w:rPr>
          <w:smallCaps/>
          <w:sz w:val="20"/>
        </w:rPr>
        <w:t xml:space="preserve">M. Bourassin, V. brémond, M.-N. </w:t>
      </w:r>
      <w:proofErr w:type="spellStart"/>
      <w:r>
        <w:rPr>
          <w:smallCaps/>
          <w:sz w:val="20"/>
        </w:rPr>
        <w:t>Jobard-Bachellier</w:t>
      </w:r>
      <w:proofErr w:type="spellEnd"/>
      <w:r>
        <w:rPr>
          <w:smallCaps/>
          <w:sz w:val="20"/>
        </w:rPr>
        <w:t xml:space="preserve">, </w:t>
      </w:r>
      <w:r>
        <w:rPr>
          <w:i/>
          <w:sz w:val="20"/>
        </w:rPr>
        <w:t xml:space="preserve">Droit des sûretés, </w:t>
      </w:r>
      <w:r>
        <w:rPr>
          <w:sz w:val="20"/>
        </w:rPr>
        <w:t xml:space="preserve">Parijs, Dalloz 2014, 464, 475; </w:t>
      </w:r>
      <w:r>
        <w:rPr>
          <w:smallCaps/>
          <w:sz w:val="20"/>
          <w:lang w:val="nl-BE"/>
        </w:rPr>
        <w:t xml:space="preserve">L. Aynès, P. Crocq, </w:t>
      </w:r>
      <w:r>
        <w:rPr>
          <w:i/>
          <w:sz w:val="20"/>
          <w:lang w:val="nl-BE"/>
        </w:rPr>
        <w:t xml:space="preserve">Droit des sûretés, </w:t>
      </w:r>
      <w:r>
        <w:rPr>
          <w:sz w:val="20"/>
          <w:lang w:val="nl-BE"/>
        </w:rPr>
        <w:t>Issy-Les-Moulineaux, LGDJ lextenso éditions 2015, 272.</w:t>
      </w:r>
    </w:p>
  </w:footnote>
  <w:footnote w:id="231">
    <w:p w14:paraId="05B43427" w14:textId="77777777" w:rsidR="00C97F8C" w:rsidRPr="00482695" w:rsidRDefault="00C97F8C" w:rsidP="00947C60">
      <w:pPr>
        <w:pStyle w:val="Voetnoottekst"/>
        <w:rPr>
          <w:lang w:val="nl-BE"/>
        </w:rPr>
      </w:pPr>
      <w:r>
        <w:rPr>
          <w:rStyle w:val="Voetnootmarkering"/>
        </w:rPr>
        <w:footnoteRef/>
      </w:r>
      <w:r w:rsidRPr="006460FD">
        <w:rPr>
          <w:lang w:val="en-GB"/>
        </w:rPr>
        <w:t xml:space="preserve"> </w:t>
      </w:r>
      <w:r w:rsidRPr="006460FD">
        <w:rPr>
          <w:smallCaps/>
          <w:sz w:val="20"/>
          <w:lang w:val="en-GB"/>
        </w:rPr>
        <w:t xml:space="preserve">R. Boffa, </w:t>
      </w:r>
      <w:r w:rsidRPr="006460FD">
        <w:rPr>
          <w:sz w:val="20"/>
          <w:lang w:val="en-GB"/>
        </w:rPr>
        <w:t xml:space="preserve">L’opposabilité du gage sans dépossession, </w:t>
      </w:r>
      <w:r w:rsidRPr="006460FD">
        <w:rPr>
          <w:i/>
          <w:sz w:val="20"/>
          <w:lang w:val="en-GB"/>
        </w:rPr>
        <w:t>Chron</w:t>
      </w:r>
      <w:r w:rsidRPr="006460FD">
        <w:rPr>
          <w:sz w:val="20"/>
          <w:lang w:val="en-GB"/>
        </w:rPr>
        <w:t xml:space="preserve">. </w:t>
      </w:r>
      <w:r w:rsidRPr="00161094">
        <w:rPr>
          <w:sz w:val="20"/>
        </w:rPr>
        <w:t>2007, 1</w:t>
      </w:r>
      <w:r>
        <w:rPr>
          <w:sz w:val="20"/>
        </w:rPr>
        <w:t>.</w:t>
      </w:r>
    </w:p>
  </w:footnote>
  <w:footnote w:id="232">
    <w:p w14:paraId="1F932861" w14:textId="77777777" w:rsidR="00C97F8C" w:rsidRPr="00ED6B12" w:rsidRDefault="00C97F8C" w:rsidP="001D1D59">
      <w:pPr>
        <w:pStyle w:val="Voetnoottekst"/>
        <w:rPr>
          <w:sz w:val="20"/>
        </w:rPr>
      </w:pPr>
      <w:r>
        <w:rPr>
          <w:rStyle w:val="Voetnootmarkering"/>
        </w:rPr>
        <w:footnoteRef/>
      </w:r>
      <w:r>
        <w:t xml:space="preserve"> </w:t>
      </w:r>
      <w:r>
        <w:rPr>
          <w:sz w:val="20"/>
        </w:rPr>
        <w:t xml:space="preserve">Een consument is </w:t>
      </w:r>
      <w:r w:rsidRPr="00BE655E">
        <w:rPr>
          <w:sz w:val="20"/>
        </w:rPr>
        <w:t>iedere natuurlijke persoon die, “</w:t>
      </w:r>
      <w:r w:rsidRPr="00BE655E">
        <w:rPr>
          <w:i/>
          <w:sz w:val="20"/>
        </w:rPr>
        <w:t>handelt voor doeleinden die buiten zijn handels-, bedrijfs-, ambachts- of beroepsactiviteit vallen</w:t>
      </w:r>
      <w:r w:rsidRPr="00C42009">
        <w:rPr>
          <w:i/>
        </w:rPr>
        <w:t>”.</w:t>
      </w:r>
      <w:r>
        <w:rPr>
          <w:i/>
        </w:rPr>
        <w:t xml:space="preserve"> </w:t>
      </w:r>
      <w:r w:rsidRPr="00BE655E">
        <w:rPr>
          <w:sz w:val="20"/>
          <w:lang w:val="nl-BE"/>
        </w:rPr>
        <w:t>De Pandwet verwijst voor de definitie van “consument” naar artikel 2 3° van de Wet Marktpraktijken, deze is echter opgegeheven bij de inwerkingtreding van Boek IV van het Wetboek Economisch recht. Waardoor de definitie die daar aangehaald wordt nu gehanteerd wordt door de Pandwet.</w:t>
      </w:r>
      <w:r>
        <w:rPr>
          <w:sz w:val="20"/>
          <w:lang w:val="nl-BE"/>
        </w:rPr>
        <w:t xml:space="preserve"> (</w:t>
      </w:r>
      <w:r w:rsidRPr="00862B0F">
        <w:rPr>
          <w:sz w:val="20"/>
        </w:rPr>
        <w:t xml:space="preserve">Artikel 1 2° Wetboek Economisch recht; </w:t>
      </w:r>
      <w:r w:rsidRPr="00862B0F">
        <w:rPr>
          <w:smallCaps/>
          <w:sz w:val="20"/>
        </w:rPr>
        <w:t xml:space="preserve">S. Landuyt, </w:t>
      </w:r>
      <w:r w:rsidRPr="00862B0F">
        <w:rPr>
          <w:sz w:val="20"/>
        </w:rPr>
        <w:t xml:space="preserve">“Commentaar bij artikel 4 Pandwet”, </w:t>
      </w:r>
      <w:r w:rsidRPr="00862B0F">
        <w:rPr>
          <w:i/>
          <w:sz w:val="20"/>
        </w:rPr>
        <w:t xml:space="preserve">OVH </w:t>
      </w:r>
      <w:r w:rsidRPr="00862B0F">
        <w:rPr>
          <w:sz w:val="20"/>
        </w:rPr>
        <w:t xml:space="preserve">2014, 63; R. </w:t>
      </w:r>
      <w:r w:rsidRPr="00862B0F">
        <w:rPr>
          <w:smallCaps/>
          <w:sz w:val="20"/>
        </w:rPr>
        <w:t xml:space="preserve">Steennot, </w:t>
      </w:r>
      <w:r w:rsidRPr="00862B0F">
        <w:rPr>
          <w:sz w:val="20"/>
        </w:rPr>
        <w:t xml:space="preserve">“Algemene regeling van het pand” in in J. </w:t>
      </w:r>
      <w:r w:rsidRPr="00862B0F">
        <w:rPr>
          <w:smallCaps/>
          <w:sz w:val="20"/>
        </w:rPr>
        <w:t xml:space="preserve">Baeck </w:t>
      </w:r>
      <w:r w:rsidRPr="00862B0F">
        <w:rPr>
          <w:sz w:val="20"/>
        </w:rPr>
        <w:t xml:space="preserve">en M. </w:t>
      </w:r>
      <w:r w:rsidRPr="00862B0F">
        <w:rPr>
          <w:smallCaps/>
          <w:sz w:val="20"/>
        </w:rPr>
        <w:t xml:space="preserve">Kruithof </w:t>
      </w:r>
      <w:r w:rsidRPr="00862B0F">
        <w:rPr>
          <w:sz w:val="20"/>
        </w:rPr>
        <w:t xml:space="preserve">(eds.), </w:t>
      </w:r>
      <w:r w:rsidRPr="00862B0F">
        <w:rPr>
          <w:i/>
          <w:sz w:val="20"/>
        </w:rPr>
        <w:t xml:space="preserve">Het nieuwe zekerheidsrecht, </w:t>
      </w:r>
      <w:r w:rsidRPr="00862B0F">
        <w:rPr>
          <w:sz w:val="20"/>
        </w:rPr>
        <w:t>Antwe</w:t>
      </w:r>
      <w:r>
        <w:rPr>
          <w:sz w:val="20"/>
        </w:rPr>
        <w:t>rpen, Intersentia, 2014, 29-30.)</w:t>
      </w:r>
    </w:p>
  </w:footnote>
  <w:footnote w:id="233">
    <w:p w14:paraId="6B80CC6E" w14:textId="77777777" w:rsidR="00C97F8C" w:rsidRPr="00A73589" w:rsidRDefault="00C97F8C" w:rsidP="001D1D59">
      <w:pPr>
        <w:pStyle w:val="Voetnoottekst"/>
        <w:rPr>
          <w:lang w:val="nl-BE"/>
        </w:rPr>
      </w:pPr>
      <w:r>
        <w:rPr>
          <w:rStyle w:val="Voetnootmarkering"/>
        </w:rPr>
        <w:footnoteRef/>
      </w:r>
      <w:r>
        <w:t xml:space="preserve"> </w:t>
      </w:r>
      <w:r w:rsidRPr="00A73589">
        <w:rPr>
          <w:sz w:val="20"/>
        </w:rPr>
        <w:t xml:space="preserve">De Wet marktpraktijken definieert onderneming als </w:t>
      </w:r>
      <w:r w:rsidRPr="00A73589">
        <w:rPr>
          <w:i/>
          <w:sz w:val="20"/>
        </w:rPr>
        <w:t>“personen die op duurzame wijze een economisch doel nastreven.”</w:t>
      </w:r>
      <w:r w:rsidRPr="00A73589">
        <w:rPr>
          <w:sz w:val="20"/>
        </w:rPr>
        <w:t xml:space="preserve"> Hiermee worden personen bedoeld die op een duurzame wijze een economische activiteit nastreven</w:t>
      </w:r>
      <w:r>
        <w:t>. (</w:t>
      </w:r>
      <w:r>
        <w:rPr>
          <w:smallCaps/>
          <w:sz w:val="20"/>
        </w:rPr>
        <w:t xml:space="preserve">R. Steennot, </w:t>
      </w:r>
      <w:r>
        <w:rPr>
          <w:sz w:val="20"/>
        </w:rPr>
        <w:t xml:space="preserve">“De bescherming van de consument bij pandovereenkomsten”, </w:t>
      </w:r>
      <w:r>
        <w:rPr>
          <w:i/>
          <w:sz w:val="20"/>
        </w:rPr>
        <w:t>Working Paper Series</w:t>
      </w:r>
      <w:r>
        <w:rPr>
          <w:sz w:val="20"/>
        </w:rPr>
        <w:t xml:space="preserve"> 2013, 5-6.)</w:t>
      </w:r>
    </w:p>
  </w:footnote>
  <w:footnote w:id="234">
    <w:p w14:paraId="472F84D5" w14:textId="77777777" w:rsidR="00C97F8C" w:rsidRPr="00FA2106" w:rsidRDefault="00C97F8C" w:rsidP="001D1D59">
      <w:pPr>
        <w:pStyle w:val="Voetnoottekst"/>
        <w:rPr>
          <w:sz w:val="20"/>
        </w:rPr>
      </w:pPr>
      <w:r>
        <w:rPr>
          <w:rStyle w:val="Voetnootmarkering"/>
        </w:rPr>
        <w:footnoteRef/>
      </w:r>
      <w:r>
        <w:t xml:space="preserve"> </w:t>
      </w:r>
      <w:r w:rsidRPr="00862B0F">
        <w:rPr>
          <w:smallCaps/>
          <w:sz w:val="20"/>
        </w:rPr>
        <w:t xml:space="preserve">J. Del Corral, </w:t>
      </w:r>
      <w:r w:rsidRPr="00862B0F">
        <w:rPr>
          <w:sz w:val="20"/>
        </w:rPr>
        <w:t xml:space="preserve">“Zekerheidsrechten – Stand van zaken”, </w:t>
      </w:r>
      <w:r w:rsidRPr="00862B0F">
        <w:rPr>
          <w:i/>
          <w:smallCaps/>
          <w:sz w:val="20"/>
        </w:rPr>
        <w:t xml:space="preserve">NJW </w:t>
      </w:r>
      <w:r w:rsidRPr="00862B0F">
        <w:rPr>
          <w:smallCaps/>
          <w:sz w:val="20"/>
        </w:rPr>
        <w:t>2014</w:t>
      </w:r>
      <w:r w:rsidRPr="00862B0F">
        <w:rPr>
          <w:i/>
          <w:smallCaps/>
          <w:sz w:val="20"/>
        </w:rPr>
        <w:t xml:space="preserve">, </w:t>
      </w:r>
      <w:r>
        <w:rPr>
          <w:smallCaps/>
          <w:sz w:val="20"/>
        </w:rPr>
        <w:t xml:space="preserve">582; </w:t>
      </w:r>
      <w:r w:rsidRPr="00862B0F">
        <w:rPr>
          <w:sz w:val="20"/>
        </w:rPr>
        <w:t xml:space="preserve">R. </w:t>
      </w:r>
      <w:r w:rsidRPr="00862B0F">
        <w:rPr>
          <w:smallCaps/>
          <w:sz w:val="20"/>
        </w:rPr>
        <w:t xml:space="preserve">Steennot, </w:t>
      </w:r>
      <w:r w:rsidRPr="00862B0F">
        <w:rPr>
          <w:sz w:val="20"/>
        </w:rPr>
        <w:t xml:space="preserve">“Algemene regeling van het pand” in in J. </w:t>
      </w:r>
      <w:r w:rsidRPr="00862B0F">
        <w:rPr>
          <w:smallCaps/>
          <w:sz w:val="20"/>
        </w:rPr>
        <w:t xml:space="preserve">Baeck  </w:t>
      </w:r>
      <w:r w:rsidRPr="00862B0F">
        <w:rPr>
          <w:sz w:val="20"/>
        </w:rPr>
        <w:t xml:space="preserve">en M. </w:t>
      </w:r>
      <w:r w:rsidRPr="00862B0F">
        <w:rPr>
          <w:smallCaps/>
          <w:sz w:val="20"/>
        </w:rPr>
        <w:t xml:space="preserve">Kruithof </w:t>
      </w:r>
      <w:r w:rsidRPr="00862B0F">
        <w:rPr>
          <w:sz w:val="20"/>
        </w:rPr>
        <w:t xml:space="preserve">(eds.), </w:t>
      </w:r>
      <w:r w:rsidRPr="00862B0F">
        <w:rPr>
          <w:i/>
          <w:sz w:val="20"/>
        </w:rPr>
        <w:t xml:space="preserve">Het nieuwe zekerheidsrecht, </w:t>
      </w:r>
      <w:r>
        <w:rPr>
          <w:sz w:val="20"/>
        </w:rPr>
        <w:t xml:space="preserve">Antwerpen, Intersentia, 2014, 53; </w:t>
      </w:r>
      <w:r w:rsidRPr="00862B0F">
        <w:rPr>
          <w:smallCaps/>
          <w:sz w:val="20"/>
        </w:rPr>
        <w:t xml:space="preserve">E. Hellebuyck, </w:t>
      </w:r>
      <w:r w:rsidRPr="00862B0F">
        <w:rPr>
          <w:sz w:val="20"/>
        </w:rPr>
        <w:t xml:space="preserve">“Commentaar bij artikel 6 Pandwet”, </w:t>
      </w:r>
      <w:r w:rsidRPr="00862B0F">
        <w:rPr>
          <w:i/>
          <w:sz w:val="20"/>
        </w:rPr>
        <w:t xml:space="preserve">Voorrechten en hypotheken OVH </w:t>
      </w:r>
      <w:r w:rsidRPr="00862B0F">
        <w:rPr>
          <w:sz w:val="20"/>
        </w:rPr>
        <w:t xml:space="preserve">2015, </w:t>
      </w:r>
      <w:r>
        <w:rPr>
          <w:sz w:val="20"/>
        </w:rPr>
        <w:t xml:space="preserve">9; </w:t>
      </w:r>
      <w:r w:rsidRPr="00BD0A62">
        <w:rPr>
          <w:smallCaps/>
          <w:sz w:val="20"/>
        </w:rPr>
        <w:t>J. Baeck, “</w:t>
      </w:r>
      <w:r w:rsidRPr="00BD0A62">
        <w:rPr>
          <w:sz w:val="20"/>
        </w:rPr>
        <w:t>Het nieuwe pandrecht”</w:t>
      </w:r>
      <w:r w:rsidRPr="00BD0A62">
        <w:rPr>
          <w:i/>
          <w:sz w:val="20"/>
        </w:rPr>
        <w:t xml:space="preserve">, RW </w:t>
      </w:r>
      <w:r w:rsidRPr="00BD0A62">
        <w:rPr>
          <w:sz w:val="20"/>
        </w:rPr>
        <w:t>2015-16, 121</w:t>
      </w:r>
      <w:r>
        <w:rPr>
          <w:sz w:val="20"/>
        </w:rPr>
        <w:t>7.</w:t>
      </w:r>
    </w:p>
  </w:footnote>
  <w:footnote w:id="235">
    <w:p w14:paraId="76ED43E0" w14:textId="5CEE9964" w:rsidR="00C97F8C" w:rsidRPr="00273CE1" w:rsidRDefault="00C97F8C" w:rsidP="00E3154F">
      <w:pPr>
        <w:pStyle w:val="Voetnoottekst"/>
        <w:rPr>
          <w:lang w:val="nl-BE"/>
        </w:rPr>
      </w:pPr>
      <w:r>
        <w:rPr>
          <w:rStyle w:val="Voetnootmarkering"/>
        </w:rPr>
        <w:footnoteRef/>
      </w:r>
      <w:r>
        <w:t xml:space="preserve"> </w:t>
      </w:r>
      <w:r w:rsidRPr="00273CE1">
        <w:rPr>
          <w:smallCaps/>
          <w:sz w:val="20"/>
        </w:rPr>
        <w:t>F. Helsen, “</w:t>
      </w:r>
      <w:r w:rsidRPr="00273CE1">
        <w:rPr>
          <w:sz w:val="20"/>
        </w:rPr>
        <w:t>Belang van openbaar pandregister mag niet onderschat worden”</w:t>
      </w:r>
      <w:r w:rsidRPr="00273CE1">
        <w:rPr>
          <w:i/>
          <w:sz w:val="20"/>
        </w:rPr>
        <w:t xml:space="preserve">, </w:t>
      </w:r>
      <w:r w:rsidRPr="00C4196D">
        <w:rPr>
          <w:i/>
          <w:sz w:val="20"/>
        </w:rPr>
        <w:t>Juristenkrant</w:t>
      </w:r>
      <w:r w:rsidRPr="00D0396A">
        <w:rPr>
          <w:i/>
        </w:rPr>
        <w:t xml:space="preserve"> </w:t>
      </w:r>
      <w:r w:rsidRPr="00273CE1">
        <w:rPr>
          <w:sz w:val="20"/>
        </w:rPr>
        <w:t>2014, 11.</w:t>
      </w:r>
    </w:p>
  </w:footnote>
  <w:footnote w:id="236">
    <w:p w14:paraId="0507B660" w14:textId="5DCE84CE" w:rsidR="00C97F8C" w:rsidRPr="003C581B" w:rsidRDefault="00C97F8C" w:rsidP="001D1D59">
      <w:pPr>
        <w:pStyle w:val="Voetnoottekst"/>
        <w:rPr>
          <w:lang w:val="nl-BE"/>
        </w:rPr>
      </w:pPr>
      <w:r>
        <w:rPr>
          <w:rStyle w:val="Voetnootmarkering"/>
        </w:rPr>
        <w:footnoteRef/>
      </w:r>
      <w:r>
        <w:t xml:space="preserve"> </w:t>
      </w:r>
      <w:r w:rsidRPr="005878D5">
        <w:rPr>
          <w:sz w:val="20"/>
          <w:lang w:val="nl-BE"/>
        </w:rPr>
        <w:t xml:space="preserve">Artikel 21 Pandwet; </w:t>
      </w:r>
      <w:r w:rsidRPr="005878D5">
        <w:rPr>
          <w:sz w:val="20"/>
        </w:rPr>
        <w:t xml:space="preserve">MvT </w:t>
      </w:r>
      <w:r w:rsidRPr="005878D5">
        <w:rPr>
          <w:i/>
          <w:sz w:val="20"/>
        </w:rPr>
        <w:t xml:space="preserve">Parl.St., </w:t>
      </w:r>
      <w:r w:rsidRPr="005878D5">
        <w:rPr>
          <w:sz w:val="20"/>
        </w:rPr>
        <w:t>Kamer 2012-13, nr. 2463/001, 20</w:t>
      </w:r>
      <w:r>
        <w:rPr>
          <w:sz w:val="20"/>
        </w:rPr>
        <w:t xml:space="preserve">; </w:t>
      </w:r>
      <w:r w:rsidRPr="006962CE">
        <w:rPr>
          <w:smallCaps/>
          <w:sz w:val="20"/>
        </w:rPr>
        <w:t>F. Helsen, “</w:t>
      </w:r>
      <w:r w:rsidRPr="006962CE">
        <w:rPr>
          <w:sz w:val="20"/>
        </w:rPr>
        <w:t>Belang van openbaar pandregister mag niet onderschat worden”</w:t>
      </w:r>
      <w:r w:rsidRPr="006962CE">
        <w:rPr>
          <w:i/>
          <w:sz w:val="20"/>
        </w:rPr>
        <w:t xml:space="preserve">, </w:t>
      </w:r>
      <w:r w:rsidRPr="00C4196D">
        <w:rPr>
          <w:i/>
          <w:sz w:val="20"/>
        </w:rPr>
        <w:t>Juristenkrant</w:t>
      </w:r>
      <w:r w:rsidRPr="00D0396A">
        <w:rPr>
          <w:i/>
        </w:rPr>
        <w:t xml:space="preserve"> </w:t>
      </w:r>
      <w:r w:rsidRPr="006962CE">
        <w:rPr>
          <w:sz w:val="20"/>
        </w:rPr>
        <w:t>2014, 11</w:t>
      </w:r>
      <w:r>
        <w:rPr>
          <w:sz w:val="20"/>
        </w:rPr>
        <w:t>.</w:t>
      </w:r>
    </w:p>
  </w:footnote>
  <w:footnote w:id="237">
    <w:p w14:paraId="13EC2FEF" w14:textId="44EDDB3A" w:rsidR="00C97F8C" w:rsidRPr="00A73589" w:rsidRDefault="00C97F8C" w:rsidP="001D1D59">
      <w:pPr>
        <w:pStyle w:val="Voetnoottekst"/>
        <w:rPr>
          <w:sz w:val="20"/>
          <w:lang w:val="nl-BE"/>
        </w:rPr>
      </w:pPr>
      <w:r>
        <w:rPr>
          <w:rStyle w:val="Voetnootmarkering"/>
        </w:rPr>
        <w:footnoteRef/>
      </w:r>
      <w:r>
        <w:t xml:space="preserve"> </w:t>
      </w:r>
      <w:r w:rsidRPr="004202EB">
        <w:rPr>
          <w:sz w:val="20"/>
        </w:rPr>
        <w:t>Artikel 7 Pandwet;</w:t>
      </w:r>
      <w:r>
        <w:t xml:space="preserve"> </w:t>
      </w:r>
      <w:r>
        <w:rPr>
          <w:sz w:val="20"/>
        </w:rPr>
        <w:t xml:space="preserve">Artikel 10 Pandwet; Artikel 12, lid 2 Pandwet; Artikel 15 Pandwet; Artikel 20 Pandwet; Artikel 39 Pandwet; Artikel 40 Pandwet. (Een uitgebreide bespreking van de consumentenbescherming onder de nieuwe Pandwet valt echt buiten het bestek van deze thesis. </w:t>
      </w:r>
      <w:r w:rsidRPr="00916858">
        <w:rPr>
          <w:sz w:val="20"/>
        </w:rPr>
        <w:t>Voor een uitgebreide bespreking</w:t>
      </w:r>
      <w:r>
        <w:rPr>
          <w:sz w:val="20"/>
        </w:rPr>
        <w:t xml:space="preserve"> zie </w:t>
      </w:r>
      <w:r>
        <w:rPr>
          <w:smallCaps/>
          <w:sz w:val="20"/>
        </w:rPr>
        <w:t xml:space="preserve">R. Steennot, </w:t>
      </w:r>
      <w:r>
        <w:rPr>
          <w:sz w:val="20"/>
        </w:rPr>
        <w:t xml:space="preserve">“De bescherming van de consument bij pandovereenkomsten”, </w:t>
      </w:r>
      <w:r>
        <w:rPr>
          <w:i/>
          <w:sz w:val="20"/>
        </w:rPr>
        <w:t>Working Paper Series</w:t>
      </w:r>
      <w:r>
        <w:rPr>
          <w:sz w:val="20"/>
        </w:rPr>
        <w:t xml:space="preserve"> 2013, 29.).</w:t>
      </w:r>
    </w:p>
  </w:footnote>
  <w:footnote w:id="238">
    <w:p w14:paraId="66F799FF" w14:textId="77777777" w:rsidR="00C97F8C" w:rsidRPr="0012255A" w:rsidRDefault="00C97F8C" w:rsidP="001D1D59">
      <w:pPr>
        <w:pStyle w:val="Voetnoottekst"/>
        <w:rPr>
          <w:sz w:val="20"/>
        </w:rPr>
      </w:pPr>
      <w:r>
        <w:rPr>
          <w:rStyle w:val="Voetnootmarkering"/>
        </w:rPr>
        <w:footnoteRef/>
      </w:r>
      <w:r>
        <w:t xml:space="preserve"> </w:t>
      </w:r>
      <w:r w:rsidRPr="00BD0A62">
        <w:rPr>
          <w:smallCaps/>
          <w:sz w:val="20"/>
        </w:rPr>
        <w:t>J. Baeck, “</w:t>
      </w:r>
      <w:r w:rsidRPr="00BD0A62">
        <w:rPr>
          <w:sz w:val="20"/>
        </w:rPr>
        <w:t>Het nieuwe pandrecht”</w:t>
      </w:r>
      <w:r w:rsidRPr="00BD0A62">
        <w:rPr>
          <w:i/>
          <w:sz w:val="20"/>
        </w:rPr>
        <w:t xml:space="preserve">, RW </w:t>
      </w:r>
      <w:r>
        <w:rPr>
          <w:sz w:val="20"/>
        </w:rPr>
        <w:t xml:space="preserve">2015-16, 1217; </w:t>
      </w:r>
      <w:r>
        <w:rPr>
          <w:smallCaps/>
          <w:sz w:val="20"/>
        </w:rPr>
        <w:t xml:space="preserve">J. Baeck. </w:t>
      </w:r>
      <w:r>
        <w:rPr>
          <w:sz w:val="20"/>
        </w:rPr>
        <w:t xml:space="preserve">“Commentaar bij Artikel 24 en 25 Pandwet”, </w:t>
      </w:r>
      <w:r>
        <w:rPr>
          <w:i/>
          <w:sz w:val="20"/>
        </w:rPr>
        <w:t xml:space="preserve">Voorrechten en hypotheken </w:t>
      </w:r>
      <w:r>
        <w:rPr>
          <w:sz w:val="20"/>
        </w:rPr>
        <w:t>2015, 46.</w:t>
      </w:r>
    </w:p>
  </w:footnote>
  <w:footnote w:id="239">
    <w:p w14:paraId="43DBB1FD" w14:textId="77777777" w:rsidR="00C97F8C" w:rsidRPr="006460FD" w:rsidRDefault="00C97F8C" w:rsidP="001D1D59">
      <w:pPr>
        <w:pStyle w:val="Voetnoottekst"/>
        <w:rPr>
          <w:sz w:val="20"/>
          <w:lang w:val="en-GB"/>
        </w:rPr>
      </w:pPr>
      <w:r>
        <w:rPr>
          <w:rStyle w:val="Voetnootmarkering"/>
        </w:rPr>
        <w:footnoteRef/>
      </w:r>
      <w:r w:rsidRPr="006460FD">
        <w:rPr>
          <w:lang w:val="en-GB"/>
        </w:rPr>
        <w:t xml:space="preserve"> </w:t>
      </w:r>
      <w:r w:rsidRPr="006460FD">
        <w:rPr>
          <w:smallCaps/>
          <w:sz w:val="20"/>
          <w:lang w:val="en-GB"/>
        </w:rPr>
        <w:t xml:space="preserve">R. Boffa, </w:t>
      </w:r>
      <w:r w:rsidRPr="006460FD">
        <w:rPr>
          <w:sz w:val="20"/>
          <w:lang w:val="en-GB"/>
        </w:rPr>
        <w:t xml:space="preserve">L’opposabilité du gage sans dépossession, </w:t>
      </w:r>
      <w:r w:rsidRPr="006460FD">
        <w:rPr>
          <w:i/>
          <w:sz w:val="20"/>
          <w:lang w:val="en-GB"/>
        </w:rPr>
        <w:t>Chron</w:t>
      </w:r>
      <w:r w:rsidRPr="006460FD">
        <w:rPr>
          <w:sz w:val="20"/>
          <w:lang w:val="en-GB"/>
        </w:rPr>
        <w:t xml:space="preserve">. 2007, 1161; </w:t>
      </w:r>
      <w:r w:rsidRPr="006460FD">
        <w:rPr>
          <w:smallCaps/>
          <w:sz w:val="20"/>
          <w:lang w:val="en-GB"/>
        </w:rPr>
        <w:t>G. Ansaloni, “</w:t>
      </w:r>
      <w:r w:rsidRPr="006460FD">
        <w:rPr>
          <w:sz w:val="20"/>
          <w:lang w:val="en-GB"/>
        </w:rPr>
        <w:t xml:space="preserve">Sur l'opposabilité du gage sans dépossession de droit commun”, </w:t>
      </w:r>
      <w:r w:rsidRPr="006460FD">
        <w:rPr>
          <w:i/>
          <w:sz w:val="20"/>
          <w:lang w:val="en-GB"/>
        </w:rPr>
        <w:t xml:space="preserve">La Semaine Juridique entreprises et affaires </w:t>
      </w:r>
      <w:r w:rsidRPr="006460FD">
        <w:rPr>
          <w:sz w:val="20"/>
          <w:lang w:val="en-GB"/>
        </w:rPr>
        <w:t xml:space="preserve">2009, 1672; </w:t>
      </w:r>
      <w:r w:rsidRPr="006460FD">
        <w:rPr>
          <w:smallCaps/>
          <w:sz w:val="20"/>
          <w:lang w:val="en-GB"/>
        </w:rPr>
        <w:t xml:space="preserve">M. </w:t>
      </w:r>
      <w:proofErr w:type="spellStart"/>
      <w:r w:rsidRPr="006460FD">
        <w:rPr>
          <w:smallCaps/>
          <w:sz w:val="20"/>
          <w:lang w:val="en-GB"/>
        </w:rPr>
        <w:t>Cabrillac</w:t>
      </w:r>
      <w:proofErr w:type="spellEnd"/>
      <w:r w:rsidRPr="006460FD">
        <w:rPr>
          <w:smallCaps/>
          <w:sz w:val="20"/>
          <w:lang w:val="en-GB"/>
        </w:rPr>
        <w:t xml:space="preserve">, C. </w:t>
      </w:r>
      <w:proofErr w:type="spellStart"/>
      <w:r w:rsidRPr="006460FD">
        <w:rPr>
          <w:smallCaps/>
          <w:sz w:val="20"/>
          <w:lang w:val="en-GB"/>
        </w:rPr>
        <w:t>Mouly</w:t>
      </w:r>
      <w:proofErr w:type="spellEnd"/>
      <w:r w:rsidRPr="006460FD">
        <w:rPr>
          <w:smallCaps/>
          <w:sz w:val="20"/>
          <w:lang w:val="en-GB"/>
        </w:rPr>
        <w:t xml:space="preserve">, S. </w:t>
      </w:r>
      <w:proofErr w:type="spellStart"/>
      <w:r w:rsidRPr="006460FD">
        <w:rPr>
          <w:smallCaps/>
          <w:sz w:val="20"/>
          <w:lang w:val="en-GB"/>
        </w:rPr>
        <w:t>Cabrillac</w:t>
      </w:r>
      <w:proofErr w:type="spellEnd"/>
      <w:r w:rsidRPr="006460FD">
        <w:rPr>
          <w:smallCaps/>
          <w:sz w:val="20"/>
          <w:lang w:val="en-GB"/>
        </w:rPr>
        <w:t xml:space="preserve">, P. </w:t>
      </w:r>
      <w:proofErr w:type="spellStart"/>
      <w:r w:rsidRPr="006460FD">
        <w:rPr>
          <w:smallCaps/>
          <w:sz w:val="20"/>
          <w:lang w:val="en-GB"/>
        </w:rPr>
        <w:t>Pétel</w:t>
      </w:r>
      <w:proofErr w:type="spellEnd"/>
      <w:r w:rsidRPr="006460FD">
        <w:rPr>
          <w:smallCaps/>
          <w:sz w:val="20"/>
          <w:lang w:val="en-GB"/>
        </w:rPr>
        <w:t xml:space="preserve">, </w:t>
      </w:r>
      <w:r w:rsidRPr="006460FD">
        <w:rPr>
          <w:i/>
          <w:sz w:val="20"/>
          <w:lang w:val="en-GB"/>
        </w:rPr>
        <w:t xml:space="preserve">Droit des sûretés, </w:t>
      </w:r>
      <w:r w:rsidRPr="006460FD">
        <w:rPr>
          <w:sz w:val="20"/>
          <w:lang w:val="en-GB"/>
        </w:rPr>
        <w:t xml:space="preserve">Parijs, Litec 2010, 570; </w:t>
      </w:r>
      <w:r w:rsidRPr="006460FD">
        <w:rPr>
          <w:smallCaps/>
          <w:sz w:val="20"/>
          <w:lang w:val="en-GB"/>
        </w:rPr>
        <w:t xml:space="preserve">C. Juillet, </w:t>
      </w:r>
      <w:r w:rsidRPr="006460FD">
        <w:rPr>
          <w:sz w:val="20"/>
          <w:lang w:val="en-GB"/>
        </w:rPr>
        <w:t xml:space="preserve">“Le warrant agricole, les sûretés mobilières spéciales et le droit commun du gage”, </w:t>
      </w:r>
      <w:r w:rsidRPr="006460FD">
        <w:rPr>
          <w:i/>
          <w:sz w:val="20"/>
          <w:lang w:val="en-GB"/>
        </w:rPr>
        <w:t xml:space="preserve">Reueil Dalloz </w:t>
      </w:r>
      <w:r w:rsidRPr="006460FD">
        <w:rPr>
          <w:sz w:val="20"/>
          <w:lang w:val="en-GB"/>
        </w:rPr>
        <w:t>2016, 178.</w:t>
      </w:r>
    </w:p>
  </w:footnote>
  <w:footnote w:id="240">
    <w:p w14:paraId="5E481565" w14:textId="77777777" w:rsidR="00C97F8C" w:rsidRPr="00862B0F" w:rsidRDefault="00C97F8C" w:rsidP="001D1D59">
      <w:pPr>
        <w:pStyle w:val="Voetnoottekst"/>
        <w:rPr>
          <w:sz w:val="20"/>
        </w:rPr>
      </w:pPr>
      <w:r w:rsidRPr="00862B0F">
        <w:rPr>
          <w:rStyle w:val="Voetnootmarkering"/>
          <w:sz w:val="20"/>
        </w:rPr>
        <w:footnoteRef/>
      </w:r>
      <w:r w:rsidRPr="00862B0F">
        <w:rPr>
          <w:sz w:val="20"/>
        </w:rPr>
        <w:t xml:space="preserve"> </w:t>
      </w:r>
      <w:r>
        <w:rPr>
          <w:sz w:val="20"/>
        </w:rPr>
        <w:t xml:space="preserve">Artikel 30 Pandwet; </w:t>
      </w:r>
      <w:r w:rsidRPr="00862B0F">
        <w:rPr>
          <w:sz w:val="20"/>
        </w:rPr>
        <w:t xml:space="preserve">MvT, </w:t>
      </w:r>
      <w:r w:rsidRPr="00862B0F">
        <w:rPr>
          <w:i/>
          <w:sz w:val="20"/>
        </w:rPr>
        <w:t xml:space="preserve">Parl.St., </w:t>
      </w:r>
      <w:r>
        <w:rPr>
          <w:sz w:val="20"/>
        </w:rPr>
        <w:t>Kamer 2012-13, nr. 2463/001, 47; J. Pieters, “Het Pandregister”</w:t>
      </w:r>
      <w:r w:rsidRPr="00FA2106">
        <w:rPr>
          <w:sz w:val="20"/>
        </w:rPr>
        <w:t xml:space="preserve"> in J. Baeck en M. Kruithof (eds.), Het nieuwe zekerheidsrecht, Antwerpen, Inter</w:t>
      </w:r>
      <w:r>
        <w:rPr>
          <w:sz w:val="20"/>
        </w:rPr>
        <w:t xml:space="preserve">sentia, 2014, 91; </w:t>
      </w:r>
      <w:r w:rsidRPr="00BD0A62">
        <w:rPr>
          <w:smallCaps/>
          <w:sz w:val="20"/>
        </w:rPr>
        <w:t>J. Baeck, “</w:t>
      </w:r>
      <w:r w:rsidRPr="00BD0A62">
        <w:rPr>
          <w:sz w:val="20"/>
        </w:rPr>
        <w:t>Het nieuwe pandrecht”</w:t>
      </w:r>
      <w:r w:rsidRPr="00BD0A62">
        <w:rPr>
          <w:i/>
          <w:sz w:val="20"/>
        </w:rPr>
        <w:t xml:space="preserve">, RW </w:t>
      </w:r>
      <w:r>
        <w:rPr>
          <w:sz w:val="20"/>
        </w:rPr>
        <w:t xml:space="preserve">2015-16, 1217; </w:t>
      </w:r>
      <w:r>
        <w:rPr>
          <w:smallCaps/>
          <w:sz w:val="20"/>
        </w:rPr>
        <w:t xml:space="preserve">J. Baeck. </w:t>
      </w:r>
      <w:r>
        <w:rPr>
          <w:sz w:val="20"/>
        </w:rPr>
        <w:t xml:space="preserve">“Artikel 24 en 25 Pandwet”, </w:t>
      </w:r>
      <w:r>
        <w:rPr>
          <w:i/>
          <w:sz w:val="20"/>
        </w:rPr>
        <w:t xml:space="preserve">Voorrechten en hypotheken </w:t>
      </w:r>
      <w:r>
        <w:rPr>
          <w:sz w:val="20"/>
        </w:rPr>
        <w:t>2015, 46.</w:t>
      </w:r>
    </w:p>
  </w:footnote>
  <w:footnote w:id="241">
    <w:p w14:paraId="0E699F68" w14:textId="4B53567B" w:rsidR="00C97F8C" w:rsidRPr="00EF045E" w:rsidRDefault="00C97F8C" w:rsidP="00C4196D">
      <w:pPr>
        <w:pStyle w:val="Voetnoottekst"/>
        <w:rPr>
          <w:lang w:val="nl-BE"/>
        </w:rPr>
      </w:pPr>
      <w:r>
        <w:rPr>
          <w:rStyle w:val="Voetnootmarkering"/>
        </w:rPr>
        <w:footnoteRef/>
      </w:r>
      <w:r>
        <w:t xml:space="preserve"> </w:t>
      </w:r>
      <w:r w:rsidRPr="00273CE1">
        <w:rPr>
          <w:smallCaps/>
          <w:sz w:val="20"/>
        </w:rPr>
        <w:t>F. Helsen, “</w:t>
      </w:r>
      <w:r w:rsidRPr="00273CE1">
        <w:rPr>
          <w:sz w:val="20"/>
        </w:rPr>
        <w:t>Belang van openbaar pandregister mag niet onderschat worden”</w:t>
      </w:r>
      <w:r w:rsidRPr="00273CE1">
        <w:rPr>
          <w:i/>
          <w:sz w:val="20"/>
        </w:rPr>
        <w:t xml:space="preserve">, </w:t>
      </w:r>
      <w:r w:rsidRPr="00C4196D">
        <w:rPr>
          <w:i/>
          <w:sz w:val="20"/>
        </w:rPr>
        <w:t>Juristenkrant</w:t>
      </w:r>
      <w:r w:rsidRPr="00D0396A">
        <w:rPr>
          <w:i/>
        </w:rPr>
        <w:t xml:space="preserve"> </w:t>
      </w:r>
      <w:r w:rsidRPr="00273CE1">
        <w:rPr>
          <w:sz w:val="20"/>
        </w:rPr>
        <w:t>2014, 11</w:t>
      </w:r>
      <w:r>
        <w:rPr>
          <w:sz w:val="20"/>
        </w:rPr>
        <w:t>.</w:t>
      </w:r>
    </w:p>
  </w:footnote>
  <w:footnote w:id="242">
    <w:p w14:paraId="051518D9" w14:textId="14CC59AC" w:rsidR="00C97F8C" w:rsidRPr="00AA7E20" w:rsidRDefault="00C97F8C" w:rsidP="001D1D59">
      <w:pPr>
        <w:pStyle w:val="Voetnoottekst"/>
        <w:rPr>
          <w:lang w:val="nl-BE"/>
        </w:rPr>
      </w:pPr>
      <w:r>
        <w:rPr>
          <w:rStyle w:val="Voetnootmarkering"/>
        </w:rPr>
        <w:footnoteRef/>
      </w:r>
      <w:r>
        <w:t xml:space="preserve"> </w:t>
      </w:r>
      <w:r w:rsidRPr="00273CE1">
        <w:rPr>
          <w:smallCaps/>
          <w:sz w:val="20"/>
        </w:rPr>
        <w:t>F. Helsen, “</w:t>
      </w:r>
      <w:r w:rsidRPr="00273CE1">
        <w:rPr>
          <w:sz w:val="20"/>
        </w:rPr>
        <w:t>Belang van openbaar pandregister mag niet onderschat worden”</w:t>
      </w:r>
      <w:r w:rsidRPr="00273CE1">
        <w:rPr>
          <w:i/>
          <w:sz w:val="20"/>
        </w:rPr>
        <w:t xml:space="preserve">, </w:t>
      </w:r>
      <w:r w:rsidRPr="00C4196D">
        <w:rPr>
          <w:i/>
          <w:sz w:val="20"/>
        </w:rPr>
        <w:t>Juristenkrant</w:t>
      </w:r>
      <w:r w:rsidRPr="00D0396A">
        <w:rPr>
          <w:i/>
        </w:rPr>
        <w:t xml:space="preserve"> </w:t>
      </w:r>
      <w:r w:rsidRPr="00273CE1">
        <w:rPr>
          <w:sz w:val="20"/>
        </w:rPr>
        <w:t xml:space="preserve">2014, 11; </w:t>
      </w:r>
      <w:r w:rsidRPr="00273CE1">
        <w:rPr>
          <w:sz w:val="20"/>
          <w:lang w:val="nl-BE"/>
        </w:rPr>
        <w:t>Advies Privacy Commissie 22/2012; Advies Privacy Commissie 15/2014.</w:t>
      </w:r>
    </w:p>
  </w:footnote>
  <w:footnote w:id="243">
    <w:p w14:paraId="1566FBED" w14:textId="471A221F" w:rsidR="00C97F8C" w:rsidRPr="00B545B2" w:rsidRDefault="00C97F8C" w:rsidP="001D1D59">
      <w:pPr>
        <w:pStyle w:val="Voetnoottekst"/>
        <w:rPr>
          <w:lang w:val="nl-BE"/>
        </w:rPr>
      </w:pPr>
      <w:r>
        <w:rPr>
          <w:rStyle w:val="Voetnootmarkering"/>
        </w:rPr>
        <w:footnoteRef/>
      </w:r>
      <w:r>
        <w:t xml:space="preserve"> </w:t>
      </w:r>
      <w:r w:rsidRPr="00273CE1">
        <w:rPr>
          <w:smallCaps/>
          <w:sz w:val="20"/>
        </w:rPr>
        <w:t>F. Helsen, “</w:t>
      </w:r>
      <w:r w:rsidRPr="00273CE1">
        <w:rPr>
          <w:sz w:val="20"/>
        </w:rPr>
        <w:t>Belang van openbaar pandregister mag niet onderschat worden”</w:t>
      </w:r>
      <w:r w:rsidRPr="00273CE1">
        <w:rPr>
          <w:i/>
          <w:sz w:val="20"/>
        </w:rPr>
        <w:t xml:space="preserve">, </w:t>
      </w:r>
      <w:r w:rsidRPr="00C4196D">
        <w:rPr>
          <w:i/>
          <w:sz w:val="20"/>
        </w:rPr>
        <w:t xml:space="preserve">Juristenkrant </w:t>
      </w:r>
      <w:r w:rsidRPr="00273CE1">
        <w:rPr>
          <w:sz w:val="20"/>
        </w:rPr>
        <w:t>2014, 11</w:t>
      </w:r>
      <w:r>
        <w:rPr>
          <w:sz w:val="20"/>
        </w:rPr>
        <w:t>.</w:t>
      </w:r>
    </w:p>
  </w:footnote>
  <w:footnote w:id="244">
    <w:p w14:paraId="2ADB6454" w14:textId="77777777" w:rsidR="00C97F8C" w:rsidRPr="00153AC5" w:rsidRDefault="00C97F8C" w:rsidP="001D1D59">
      <w:pPr>
        <w:pStyle w:val="Voetnoottekst"/>
        <w:rPr>
          <w:lang w:val="nl-BE"/>
        </w:rPr>
      </w:pPr>
      <w:r>
        <w:rPr>
          <w:rStyle w:val="Voetnootmarkering"/>
        </w:rPr>
        <w:footnoteRef/>
      </w:r>
      <w:r>
        <w:t xml:space="preserve"> </w:t>
      </w:r>
      <w:r w:rsidRPr="00153AC5">
        <w:rPr>
          <w:sz w:val="20"/>
          <w:lang w:val="nl-BE"/>
        </w:rPr>
        <w:t>Artikel 9</w:t>
      </w:r>
      <w:r>
        <w:rPr>
          <w:sz w:val="20"/>
          <w:lang w:val="nl-BE"/>
        </w:rPr>
        <w:t xml:space="preserve"> </w:t>
      </w:r>
      <w:r>
        <w:rPr>
          <w:sz w:val="20"/>
        </w:rPr>
        <w:t>decreet n° 2006-1804 van</w:t>
      </w:r>
      <w:r w:rsidRPr="00862B0F">
        <w:rPr>
          <w:sz w:val="20"/>
        </w:rPr>
        <w:t xml:space="preserve"> 23 december 2006 met betrekking op </w:t>
      </w:r>
      <w:r w:rsidRPr="00862B0F">
        <w:rPr>
          <w:i/>
          <w:sz w:val="20"/>
        </w:rPr>
        <w:t>l'application de l'article 2338 du code civil et relatif à la publ</w:t>
      </w:r>
      <w:r>
        <w:rPr>
          <w:i/>
          <w:sz w:val="20"/>
        </w:rPr>
        <w:t xml:space="preserve">icité du gage sans dépossession; </w:t>
      </w:r>
      <w:r w:rsidRPr="007F29B2">
        <w:rPr>
          <w:smallCaps/>
          <w:sz w:val="20"/>
        </w:rPr>
        <w:t>P. Crocq</w:t>
      </w:r>
      <w:r>
        <w:rPr>
          <w:sz w:val="20"/>
        </w:rPr>
        <w:t xml:space="preserve">, “Gage”, </w:t>
      </w:r>
      <w:r>
        <w:rPr>
          <w:i/>
          <w:sz w:val="20"/>
        </w:rPr>
        <w:t xml:space="preserve">Répertoire de droit civil </w:t>
      </w:r>
      <w:r>
        <w:rPr>
          <w:sz w:val="20"/>
        </w:rPr>
        <w:t>2007, 8.</w:t>
      </w:r>
    </w:p>
  </w:footnote>
  <w:footnote w:id="245">
    <w:p w14:paraId="3DA4AAF4" w14:textId="77777777" w:rsidR="00C97F8C" w:rsidRPr="00FA0047" w:rsidRDefault="00C97F8C" w:rsidP="001D1D59">
      <w:pPr>
        <w:pStyle w:val="Voetnoottekst"/>
      </w:pPr>
      <w:r w:rsidRPr="00862B0F">
        <w:rPr>
          <w:rStyle w:val="Voetnootmarkering"/>
          <w:sz w:val="20"/>
        </w:rPr>
        <w:footnoteRef/>
      </w:r>
      <w:r w:rsidRPr="00862B0F">
        <w:rPr>
          <w:sz w:val="20"/>
        </w:rPr>
        <w:t xml:space="preserve"> </w:t>
      </w:r>
      <w:r w:rsidRPr="00862B0F">
        <w:rPr>
          <w:smallCaps/>
          <w:sz w:val="20"/>
        </w:rPr>
        <w:t xml:space="preserve">V. Sagaert, </w:t>
      </w:r>
      <w:r w:rsidRPr="00862B0F">
        <w:rPr>
          <w:sz w:val="20"/>
        </w:rPr>
        <w:t xml:space="preserve">“Enkele pijlers van de </w:t>
      </w:r>
      <w:proofErr w:type="spellStart"/>
      <w:r w:rsidRPr="00862B0F">
        <w:rPr>
          <w:sz w:val="20"/>
        </w:rPr>
        <w:t>pandwet</w:t>
      </w:r>
      <w:proofErr w:type="spellEnd"/>
      <w:r w:rsidRPr="00862B0F">
        <w:rPr>
          <w:sz w:val="20"/>
        </w:rPr>
        <w:t xml:space="preserve">”, in </w:t>
      </w:r>
      <w:r w:rsidRPr="00862B0F">
        <w:rPr>
          <w:smallCaps/>
          <w:sz w:val="20"/>
        </w:rPr>
        <w:t>Centrum voor Beroepsvervolmaking in de Rechten</w:t>
      </w:r>
      <w:r w:rsidRPr="00862B0F">
        <w:rPr>
          <w:sz w:val="20"/>
        </w:rPr>
        <w:t xml:space="preserve"> (ed.), </w:t>
      </w:r>
      <w:r w:rsidRPr="00862B0F">
        <w:rPr>
          <w:i/>
          <w:sz w:val="20"/>
        </w:rPr>
        <w:t>CBR Jaarboek 2013-14</w:t>
      </w:r>
      <w:r w:rsidRPr="00862B0F">
        <w:rPr>
          <w:sz w:val="20"/>
        </w:rPr>
        <w:t>, Antwerpen, Intersentia 2014, 62.</w:t>
      </w:r>
    </w:p>
  </w:footnote>
  <w:footnote w:id="246">
    <w:p w14:paraId="429C592E" w14:textId="77777777" w:rsidR="00C97F8C" w:rsidRPr="0033673D" w:rsidRDefault="00C97F8C" w:rsidP="00B768BB">
      <w:pPr>
        <w:pStyle w:val="Voetnoottekst"/>
        <w:rPr>
          <w:lang w:val="nl-BE"/>
        </w:rPr>
      </w:pPr>
      <w:r>
        <w:rPr>
          <w:rStyle w:val="Voetnootmarkering"/>
        </w:rPr>
        <w:footnoteRef/>
      </w:r>
      <w:r>
        <w:t xml:space="preserve"> </w:t>
      </w:r>
      <w:r>
        <w:rPr>
          <w:sz w:val="20"/>
        </w:rPr>
        <w:t>Artikel 11, II</w:t>
      </w:r>
      <w:r w:rsidRPr="00862B0F">
        <w:rPr>
          <w:sz w:val="20"/>
        </w:rPr>
        <w:t xml:space="preserve"> Wet van 25 oktober 1919 betreffende het in pand geven van de handelszaak, het disconto en het in pand geven van de factuur, alsmede de aanvaarding en de keuring van de rechtstreeks voor het verbruik gedane leveringen, </w:t>
      </w:r>
      <w:r w:rsidRPr="00862B0F">
        <w:rPr>
          <w:i/>
          <w:sz w:val="20"/>
        </w:rPr>
        <w:t xml:space="preserve">BS </w:t>
      </w:r>
      <w:r w:rsidRPr="00862B0F">
        <w:rPr>
          <w:sz w:val="20"/>
        </w:rPr>
        <w:t>5 november 1919</w:t>
      </w:r>
      <w:r>
        <w:rPr>
          <w:sz w:val="20"/>
        </w:rPr>
        <w:t xml:space="preserve">; </w:t>
      </w:r>
      <w:r>
        <w:rPr>
          <w:smallCaps/>
          <w:sz w:val="20"/>
        </w:rPr>
        <w:t>J. Cattaruzza, “</w:t>
      </w:r>
      <w:r>
        <w:rPr>
          <w:sz w:val="20"/>
        </w:rPr>
        <w:t xml:space="preserve">Les </w:t>
      </w:r>
      <w:proofErr w:type="spellStart"/>
      <w:r>
        <w:rPr>
          <w:sz w:val="20"/>
        </w:rPr>
        <w:t>grands</w:t>
      </w:r>
      <w:proofErr w:type="spellEnd"/>
      <w:r>
        <w:rPr>
          <w:sz w:val="20"/>
        </w:rPr>
        <w:t xml:space="preserve"> </w:t>
      </w:r>
      <w:proofErr w:type="spellStart"/>
      <w:r>
        <w:rPr>
          <w:sz w:val="20"/>
        </w:rPr>
        <w:t>axes</w:t>
      </w:r>
      <w:proofErr w:type="spellEnd"/>
      <w:r>
        <w:rPr>
          <w:sz w:val="20"/>
        </w:rPr>
        <w:t xml:space="preserve"> de la réforme des sûretés mobilières”, Forum Financier/Droit bancaire et financier 2013, 190.</w:t>
      </w:r>
    </w:p>
  </w:footnote>
  <w:footnote w:id="247">
    <w:p w14:paraId="03160EC2" w14:textId="0F7489CA" w:rsidR="00C97F8C" w:rsidRPr="00315C63" w:rsidRDefault="00C97F8C" w:rsidP="00B768BB">
      <w:pPr>
        <w:pStyle w:val="Voetnoottekst"/>
        <w:rPr>
          <w:lang w:val="nl-BE"/>
        </w:rPr>
      </w:pPr>
      <w:r>
        <w:rPr>
          <w:rStyle w:val="Voetnootmarkering"/>
        </w:rPr>
        <w:footnoteRef/>
      </w:r>
      <w:r>
        <w:t xml:space="preserve"> </w:t>
      </w:r>
      <w:r>
        <w:rPr>
          <w:sz w:val="20"/>
        </w:rPr>
        <w:t xml:space="preserve">Gent 25 mei 1979, </w:t>
      </w:r>
      <w:r>
        <w:rPr>
          <w:i/>
          <w:sz w:val="20"/>
        </w:rPr>
        <w:t xml:space="preserve">RW </w:t>
      </w:r>
      <w:r w:rsidRPr="00B2117D">
        <w:rPr>
          <w:sz w:val="20"/>
        </w:rPr>
        <w:t>1980-81, 1928</w:t>
      </w:r>
      <w:r w:rsidRPr="000501E3">
        <w:t>;</w:t>
      </w:r>
      <w:r w:rsidRPr="000501E3">
        <w:rPr>
          <w:smallCaps/>
          <w:sz w:val="20"/>
        </w:rPr>
        <w:t xml:space="preserve"> </w:t>
      </w:r>
      <w:r>
        <w:rPr>
          <w:smallCaps/>
          <w:sz w:val="20"/>
        </w:rPr>
        <w:t xml:space="preserve">F. Laurent, </w:t>
      </w:r>
      <w:r w:rsidRPr="00793276">
        <w:rPr>
          <w:sz w:val="20"/>
        </w:rPr>
        <w:t>Principes</w:t>
      </w:r>
      <w:r>
        <w:rPr>
          <w:smallCaps/>
          <w:sz w:val="20"/>
        </w:rPr>
        <w:t xml:space="preserve">, XXIX, </w:t>
      </w:r>
      <w:r w:rsidRPr="000501E3">
        <w:rPr>
          <w:smallCaps/>
          <w:sz w:val="20"/>
        </w:rPr>
        <w:t>477</w:t>
      </w:r>
      <w:r>
        <w:rPr>
          <w:smallCaps/>
          <w:sz w:val="20"/>
        </w:rPr>
        <w:t xml:space="preserve">; </w:t>
      </w:r>
      <w:r>
        <w:rPr>
          <w:smallCaps/>
          <w:sz w:val="20"/>
          <w:lang w:val="nl-BE"/>
        </w:rPr>
        <w:t xml:space="preserve">H. Van Malleghem, </w:t>
      </w:r>
      <w:r>
        <w:rPr>
          <w:sz w:val="20"/>
          <w:lang w:val="nl-BE"/>
        </w:rPr>
        <w:t xml:space="preserve">“Commentaar bij de wet van 15 oktober 1884”, </w:t>
      </w:r>
      <w:r>
        <w:rPr>
          <w:i/>
          <w:sz w:val="20"/>
          <w:lang w:val="nl-BE"/>
        </w:rPr>
        <w:t xml:space="preserve">Voorrechten en hypotheken </w:t>
      </w:r>
      <w:r>
        <w:rPr>
          <w:sz w:val="20"/>
          <w:lang w:val="nl-BE"/>
        </w:rPr>
        <w:t>1997, 9;</w:t>
      </w:r>
      <w:r>
        <w:rPr>
          <w:smallCaps/>
          <w:sz w:val="20"/>
        </w:rPr>
        <w:t xml:space="preserve"> </w:t>
      </w:r>
      <w:r w:rsidRPr="00862B0F">
        <w:rPr>
          <w:smallCaps/>
          <w:sz w:val="20"/>
        </w:rPr>
        <w:t>K. Byttebier</w:t>
      </w:r>
      <w:r w:rsidRPr="00862B0F">
        <w:rPr>
          <w:sz w:val="20"/>
        </w:rPr>
        <w:t>, Voorrechten en hypoth</w:t>
      </w:r>
      <w:r>
        <w:rPr>
          <w:sz w:val="20"/>
        </w:rPr>
        <w:t xml:space="preserve">eken ̧ Antwerpen, Maklu, 2005, 336; </w:t>
      </w:r>
      <w:r w:rsidRPr="00862B0F">
        <w:rPr>
          <w:sz w:val="20"/>
        </w:rPr>
        <w:t xml:space="preserve">R. </w:t>
      </w:r>
      <w:r w:rsidRPr="00862B0F">
        <w:rPr>
          <w:smallCaps/>
          <w:sz w:val="20"/>
        </w:rPr>
        <w:t xml:space="preserve">De Corte en E. Dirix, </w:t>
      </w:r>
      <w:r w:rsidRPr="00862B0F">
        <w:rPr>
          <w:i/>
          <w:sz w:val="20"/>
        </w:rPr>
        <w:t xml:space="preserve">Beginselen van Belgisch Privaatrecht – XII – Zekerheidsrechten, </w:t>
      </w:r>
      <w:r>
        <w:rPr>
          <w:sz w:val="20"/>
        </w:rPr>
        <w:t xml:space="preserve">Kluwer, Antwerpen 2006, 180; </w:t>
      </w:r>
      <w:r w:rsidRPr="00862B0F">
        <w:rPr>
          <w:smallCaps/>
          <w:sz w:val="20"/>
        </w:rPr>
        <w:t xml:space="preserve">H. De Page, </w:t>
      </w:r>
      <w:r w:rsidRPr="00862B0F">
        <w:rPr>
          <w:i/>
          <w:sz w:val="20"/>
        </w:rPr>
        <w:t xml:space="preserve">Traité elementaire de droit civil Belge – VI- Les biens, Les sûretés, </w:t>
      </w:r>
      <w:r>
        <w:rPr>
          <w:sz w:val="20"/>
        </w:rPr>
        <w:t xml:space="preserve">Bruylant, Brussel, 1953,149; </w:t>
      </w:r>
      <w:r>
        <w:rPr>
          <w:smallCaps/>
          <w:sz w:val="20"/>
        </w:rPr>
        <w:t>F. ‘T Kind</w:t>
      </w:r>
      <w:r w:rsidRPr="00EA4E18">
        <w:rPr>
          <w:sz w:val="20"/>
        </w:rPr>
        <w:t xml:space="preserve">, Sûretés et principes généraux du droit de poursuite des créanciers, Brussel, Larcier, 2004, </w:t>
      </w:r>
      <w:r>
        <w:rPr>
          <w:sz w:val="20"/>
        </w:rPr>
        <w:t xml:space="preserve">231; </w:t>
      </w:r>
      <w:r w:rsidRPr="006460FD">
        <w:rPr>
          <w:sz w:val="20"/>
          <w:lang w:val="nl-BE"/>
        </w:rPr>
        <w:t xml:space="preserve">M.E. </w:t>
      </w:r>
      <w:r w:rsidRPr="006460FD">
        <w:rPr>
          <w:smallCaps/>
          <w:sz w:val="20"/>
          <w:lang w:val="nl-BE"/>
        </w:rPr>
        <w:t>Storme</w:t>
      </w:r>
      <w:r w:rsidRPr="006460FD">
        <w:rPr>
          <w:sz w:val="20"/>
          <w:lang w:val="nl-BE"/>
        </w:rPr>
        <w:t xml:space="preserve">, “Paritas creditorum, voorrang en roerende zekerheden”, </w:t>
      </w:r>
      <w:r w:rsidRPr="006460FD">
        <w:rPr>
          <w:i/>
          <w:iCs/>
          <w:sz w:val="20"/>
          <w:lang w:val="nl-BE"/>
        </w:rPr>
        <w:t xml:space="preserve">T.P.R. </w:t>
      </w:r>
      <w:r w:rsidRPr="006460FD">
        <w:rPr>
          <w:sz w:val="20"/>
          <w:lang w:val="nl-BE"/>
        </w:rPr>
        <w:t xml:space="preserve">2006, 1009; </w:t>
      </w:r>
      <w:r w:rsidRPr="006460FD">
        <w:rPr>
          <w:smallCaps/>
          <w:sz w:val="20"/>
          <w:lang w:val="nl-BE"/>
        </w:rPr>
        <w:t>G. Van haegenborghg</w:t>
      </w:r>
      <w:r>
        <w:rPr>
          <w:sz w:val="20"/>
          <w:lang w:val="nl-BE"/>
        </w:rPr>
        <w:t>, “Het landbouwvoorrecht”,</w:t>
      </w:r>
      <w:r w:rsidRPr="00971D9B">
        <w:rPr>
          <w:i/>
          <w:sz w:val="20"/>
          <w:lang w:val="nl-BE"/>
        </w:rPr>
        <w:t>Voorrechten en Hypotheken</w:t>
      </w:r>
      <w:r w:rsidRPr="006460FD">
        <w:rPr>
          <w:sz w:val="20"/>
          <w:lang w:val="nl-BE"/>
        </w:rPr>
        <w:t xml:space="preserve">, 23; </w:t>
      </w:r>
      <w:r w:rsidRPr="006460FD">
        <w:rPr>
          <w:smallCaps/>
          <w:sz w:val="20"/>
          <w:lang w:val="nl-BE"/>
        </w:rPr>
        <w:t xml:space="preserve">R. Jansen, V. Sagaert, </w:t>
      </w:r>
      <w:r w:rsidRPr="006460FD">
        <w:rPr>
          <w:sz w:val="20"/>
          <w:lang w:val="nl-BE"/>
        </w:rPr>
        <w:t xml:space="preserve">“Bijzondere voorrechten”, </w:t>
      </w:r>
      <w:r w:rsidRPr="006460FD">
        <w:rPr>
          <w:i/>
          <w:sz w:val="20"/>
          <w:lang w:val="nl-BE"/>
        </w:rPr>
        <w:t xml:space="preserve">TPR </w:t>
      </w:r>
      <w:r w:rsidRPr="006460FD">
        <w:rPr>
          <w:sz w:val="20"/>
          <w:lang w:val="nl-BE"/>
        </w:rPr>
        <w:t>2012, 1312.</w:t>
      </w:r>
    </w:p>
  </w:footnote>
  <w:footnote w:id="248">
    <w:p w14:paraId="666AED54" w14:textId="405B34A7" w:rsidR="00C97F8C" w:rsidRPr="001E5502" w:rsidRDefault="00C97F8C">
      <w:pPr>
        <w:pStyle w:val="Voetnoottekst"/>
        <w:rPr>
          <w:sz w:val="20"/>
          <w:lang w:val="nl-BE"/>
        </w:rPr>
      </w:pPr>
      <w:r>
        <w:rPr>
          <w:rStyle w:val="Voetnootmarkering"/>
        </w:rPr>
        <w:footnoteRef/>
      </w:r>
      <w:r>
        <w:t xml:space="preserve"> </w:t>
      </w:r>
      <w:r>
        <w:rPr>
          <w:sz w:val="20"/>
          <w:lang w:val="nl-BE"/>
        </w:rPr>
        <w:t>Artikel 2279 Burgerlijk Wetboek is namelijk niet van toepassing op universaliteiten (</w:t>
      </w:r>
      <w:r>
        <w:rPr>
          <w:i/>
          <w:sz w:val="20"/>
          <w:lang w:val="nl-BE"/>
        </w:rPr>
        <w:t xml:space="preserve">supra, </w:t>
      </w:r>
      <w:r>
        <w:rPr>
          <w:sz w:val="20"/>
          <w:lang w:val="nl-BE"/>
        </w:rPr>
        <w:t>nr. 19).</w:t>
      </w:r>
    </w:p>
  </w:footnote>
  <w:footnote w:id="249">
    <w:p w14:paraId="54318694" w14:textId="740015A3" w:rsidR="00C97F8C" w:rsidRPr="00FA2106" w:rsidRDefault="00C97F8C" w:rsidP="00B768BB">
      <w:pPr>
        <w:pStyle w:val="Voetnoottekst"/>
        <w:rPr>
          <w:sz w:val="20"/>
        </w:rPr>
      </w:pPr>
      <w:r>
        <w:rPr>
          <w:rStyle w:val="Voetnootmarkering"/>
        </w:rPr>
        <w:footnoteRef/>
      </w:r>
      <w:r>
        <w:t xml:space="preserve"> </w:t>
      </w:r>
      <w:r w:rsidRPr="00DC386D">
        <w:rPr>
          <w:sz w:val="20"/>
        </w:rPr>
        <w:t>Deze geldboete moet nog vermeerderd worden met de wettelijke opdeciemen (vermenigvuldiging met factor 6).</w:t>
      </w:r>
      <w:r>
        <w:t xml:space="preserve"> (</w:t>
      </w:r>
      <w:r w:rsidRPr="00C75CCD">
        <w:rPr>
          <w:sz w:val="20"/>
          <w:lang w:val="nl-BE"/>
        </w:rPr>
        <w:t>Artikel 491 Strafwetboek</w:t>
      </w:r>
      <w:r>
        <w:rPr>
          <w:sz w:val="20"/>
          <w:lang w:val="nl-BE"/>
        </w:rPr>
        <w:t xml:space="preserve">; </w:t>
      </w:r>
      <w:r>
        <w:rPr>
          <w:smallCaps/>
          <w:sz w:val="20"/>
          <w:lang w:val="nl-BE"/>
        </w:rPr>
        <w:t>C. Van Den Broeck, “</w:t>
      </w:r>
      <w:r w:rsidRPr="00DC386D">
        <w:rPr>
          <w:sz w:val="20"/>
          <w:lang w:val="nl-BE"/>
        </w:rPr>
        <w:t>Artikel 22 Pandwet”</w:t>
      </w:r>
      <w:r>
        <w:rPr>
          <w:sz w:val="20"/>
          <w:lang w:val="nl-BE"/>
        </w:rPr>
        <w:t xml:space="preserve">, </w:t>
      </w:r>
      <w:r>
        <w:rPr>
          <w:i/>
          <w:sz w:val="20"/>
          <w:lang w:val="nl-BE"/>
        </w:rPr>
        <w:t xml:space="preserve">Voorrechten en hypotheken </w:t>
      </w:r>
      <w:r>
        <w:rPr>
          <w:sz w:val="20"/>
          <w:lang w:val="nl-BE"/>
        </w:rPr>
        <w:t xml:space="preserve">2015, 54; </w:t>
      </w:r>
      <w:r w:rsidRPr="00BD0A62">
        <w:rPr>
          <w:smallCaps/>
          <w:sz w:val="20"/>
        </w:rPr>
        <w:t>J. Baeck, “</w:t>
      </w:r>
      <w:r w:rsidRPr="00BD0A62">
        <w:rPr>
          <w:sz w:val="20"/>
        </w:rPr>
        <w:t>Het nieuwe pandrecht”</w:t>
      </w:r>
      <w:r w:rsidRPr="00BD0A62">
        <w:rPr>
          <w:i/>
          <w:sz w:val="20"/>
        </w:rPr>
        <w:t xml:space="preserve">, RW </w:t>
      </w:r>
      <w:r>
        <w:rPr>
          <w:sz w:val="20"/>
        </w:rPr>
        <w:t xml:space="preserve">2015-16, 1217; </w:t>
      </w:r>
      <w:r>
        <w:rPr>
          <w:smallCaps/>
          <w:sz w:val="20"/>
        </w:rPr>
        <w:t xml:space="preserve">J. Baeck. </w:t>
      </w:r>
      <w:r>
        <w:rPr>
          <w:sz w:val="20"/>
        </w:rPr>
        <w:t xml:space="preserve">“Commentaar bij Artikel 24 en 25 Pandwet”, </w:t>
      </w:r>
      <w:r>
        <w:rPr>
          <w:i/>
          <w:sz w:val="20"/>
        </w:rPr>
        <w:t xml:space="preserve">Voorrechten en hypotheken </w:t>
      </w:r>
      <w:r>
        <w:rPr>
          <w:sz w:val="20"/>
        </w:rPr>
        <w:t>2015, 46.)</w:t>
      </w:r>
    </w:p>
  </w:footnote>
  <w:footnote w:id="250">
    <w:p w14:paraId="28B52955" w14:textId="77777777" w:rsidR="00C97F8C" w:rsidRPr="006460FD" w:rsidRDefault="00C97F8C" w:rsidP="001D1D59">
      <w:pPr>
        <w:rPr>
          <w:sz w:val="20"/>
          <w:szCs w:val="20"/>
          <w:lang w:val="en-GB"/>
        </w:rPr>
      </w:pPr>
      <w:r>
        <w:rPr>
          <w:rStyle w:val="Voetnootmarkering"/>
        </w:rPr>
        <w:footnoteRef/>
      </w:r>
      <w:r>
        <w:t xml:space="preserve"> </w:t>
      </w:r>
      <w:r w:rsidRPr="00161094">
        <w:rPr>
          <w:smallCaps/>
          <w:sz w:val="20"/>
        </w:rPr>
        <w:t xml:space="preserve">R. Boffa, </w:t>
      </w:r>
      <w:r w:rsidRPr="00161094">
        <w:rPr>
          <w:sz w:val="20"/>
        </w:rPr>
        <w:t xml:space="preserve">L’opposabilité du gage sans dépossession, </w:t>
      </w:r>
      <w:r w:rsidRPr="00161094">
        <w:rPr>
          <w:i/>
          <w:sz w:val="20"/>
        </w:rPr>
        <w:t>Chron</w:t>
      </w:r>
      <w:r w:rsidRPr="00161094">
        <w:rPr>
          <w:sz w:val="20"/>
        </w:rPr>
        <w:t xml:space="preserve">. </w:t>
      </w:r>
      <w:r w:rsidRPr="006460FD">
        <w:rPr>
          <w:sz w:val="20"/>
          <w:lang w:val="en-GB"/>
        </w:rPr>
        <w:t xml:space="preserve">2007, 3; </w:t>
      </w:r>
      <w:r w:rsidRPr="006460FD">
        <w:rPr>
          <w:smallCaps/>
          <w:sz w:val="20"/>
          <w:lang w:val="en-GB"/>
        </w:rPr>
        <w:t>G. Ansaloni, “</w:t>
      </w:r>
      <w:r w:rsidRPr="006460FD">
        <w:rPr>
          <w:sz w:val="20"/>
          <w:szCs w:val="20"/>
          <w:lang w:val="en-GB"/>
        </w:rPr>
        <w:t xml:space="preserve">Sur l'opposabilité du gage sans dépossession de droit commun”, </w:t>
      </w:r>
      <w:r w:rsidRPr="006460FD">
        <w:rPr>
          <w:i/>
          <w:sz w:val="20"/>
          <w:szCs w:val="20"/>
          <w:lang w:val="en-GB"/>
        </w:rPr>
        <w:t xml:space="preserve">La Semaine Juridique entreprises et affaires </w:t>
      </w:r>
      <w:r w:rsidRPr="006460FD">
        <w:rPr>
          <w:sz w:val="20"/>
          <w:szCs w:val="20"/>
          <w:lang w:val="en-GB"/>
        </w:rPr>
        <w:t>2009, 1673.</w:t>
      </w:r>
    </w:p>
  </w:footnote>
  <w:footnote w:id="251">
    <w:p w14:paraId="48FF6D42" w14:textId="77777777" w:rsidR="00C97F8C" w:rsidRPr="006460FD" w:rsidRDefault="00C97F8C" w:rsidP="001D1D59">
      <w:pPr>
        <w:pStyle w:val="Voetnoottekst"/>
        <w:rPr>
          <w:lang w:val="en-GB"/>
        </w:rPr>
      </w:pPr>
      <w:r>
        <w:rPr>
          <w:rStyle w:val="Voetnootmarkering"/>
        </w:rPr>
        <w:footnoteRef/>
      </w:r>
      <w:r w:rsidRPr="006460FD">
        <w:rPr>
          <w:lang w:val="en-GB"/>
        </w:rPr>
        <w:t xml:space="preserve"> </w:t>
      </w:r>
      <w:r w:rsidRPr="006460FD">
        <w:rPr>
          <w:smallCaps/>
          <w:sz w:val="20"/>
          <w:lang w:val="en-GB"/>
        </w:rPr>
        <w:t xml:space="preserve">R. Boffa, </w:t>
      </w:r>
      <w:r w:rsidRPr="006460FD">
        <w:rPr>
          <w:sz w:val="20"/>
          <w:lang w:val="en-GB"/>
        </w:rPr>
        <w:t xml:space="preserve">L’opposabilité du gage sans dépossession, </w:t>
      </w:r>
      <w:r w:rsidRPr="006460FD">
        <w:rPr>
          <w:i/>
          <w:sz w:val="20"/>
          <w:lang w:val="en-GB"/>
        </w:rPr>
        <w:t>Chron</w:t>
      </w:r>
      <w:r w:rsidRPr="006460FD">
        <w:rPr>
          <w:sz w:val="20"/>
          <w:lang w:val="en-GB"/>
        </w:rPr>
        <w:t xml:space="preserve">. 2007, 4; </w:t>
      </w:r>
      <w:r w:rsidRPr="006460FD">
        <w:rPr>
          <w:smallCaps/>
          <w:sz w:val="20"/>
          <w:lang w:val="en-GB"/>
        </w:rPr>
        <w:t>G. Ansaloni, “</w:t>
      </w:r>
      <w:r w:rsidRPr="006460FD">
        <w:rPr>
          <w:sz w:val="20"/>
          <w:lang w:val="en-GB"/>
        </w:rPr>
        <w:t xml:space="preserve">Sur l'opposabilité du gage sans dépossession de droit commun”, </w:t>
      </w:r>
      <w:r w:rsidRPr="006460FD">
        <w:rPr>
          <w:i/>
          <w:sz w:val="20"/>
          <w:lang w:val="en-GB"/>
        </w:rPr>
        <w:t xml:space="preserve">La Semaine Juridique entreprises et affaires </w:t>
      </w:r>
      <w:r w:rsidRPr="006460FD">
        <w:rPr>
          <w:sz w:val="20"/>
          <w:lang w:val="en-GB"/>
        </w:rPr>
        <w:t>2009, 1673.</w:t>
      </w:r>
    </w:p>
  </w:footnote>
  <w:footnote w:id="252">
    <w:p w14:paraId="0A0F4C7B" w14:textId="77777777" w:rsidR="00C97F8C" w:rsidRPr="006460FD" w:rsidRDefault="00C97F8C" w:rsidP="001D1D59">
      <w:pPr>
        <w:pStyle w:val="Voetnoottekst"/>
        <w:rPr>
          <w:lang w:val="en-GB"/>
        </w:rPr>
      </w:pPr>
      <w:r>
        <w:rPr>
          <w:rStyle w:val="Voetnootmarkering"/>
        </w:rPr>
        <w:footnoteRef/>
      </w:r>
      <w:r w:rsidRPr="006460FD">
        <w:rPr>
          <w:lang w:val="en-GB"/>
        </w:rPr>
        <w:t xml:space="preserve"> </w:t>
      </w:r>
      <w:r w:rsidRPr="006460FD">
        <w:rPr>
          <w:smallCaps/>
          <w:sz w:val="20"/>
          <w:lang w:val="en-GB"/>
        </w:rPr>
        <w:t>G. Ansaloni, “</w:t>
      </w:r>
      <w:r w:rsidRPr="006460FD">
        <w:rPr>
          <w:sz w:val="20"/>
          <w:lang w:val="en-GB"/>
        </w:rPr>
        <w:t xml:space="preserve">Sur l'opposabilité du gage sans dépossession de droit commun”, </w:t>
      </w:r>
      <w:r w:rsidRPr="006460FD">
        <w:rPr>
          <w:i/>
          <w:sz w:val="20"/>
          <w:lang w:val="en-GB"/>
        </w:rPr>
        <w:t xml:space="preserve">La Semaine Juridique entreprises et affaires </w:t>
      </w:r>
      <w:r w:rsidRPr="006460FD">
        <w:rPr>
          <w:sz w:val="20"/>
          <w:lang w:val="en-GB"/>
        </w:rPr>
        <w:t>2009, 1675.</w:t>
      </w:r>
    </w:p>
  </w:footnote>
  <w:footnote w:id="253">
    <w:p w14:paraId="363F8986" w14:textId="77777777" w:rsidR="00C97F8C" w:rsidRPr="00862B0F" w:rsidRDefault="00C97F8C" w:rsidP="001D1D59">
      <w:pPr>
        <w:pStyle w:val="Voetnoottekst"/>
        <w:rPr>
          <w:sz w:val="20"/>
        </w:rPr>
      </w:pPr>
      <w:r w:rsidRPr="00862B0F">
        <w:rPr>
          <w:rStyle w:val="Voetnootmarkering"/>
          <w:sz w:val="20"/>
        </w:rPr>
        <w:footnoteRef/>
      </w:r>
      <w:r w:rsidRPr="00862B0F">
        <w:rPr>
          <w:sz w:val="20"/>
        </w:rPr>
        <w:t xml:space="preserve"> Artikel 9 Pandwet; MvT </w:t>
      </w:r>
      <w:r w:rsidRPr="00862B0F">
        <w:rPr>
          <w:i/>
          <w:sz w:val="20"/>
        </w:rPr>
        <w:t xml:space="preserve">Parl.St., </w:t>
      </w:r>
      <w:r w:rsidRPr="00862B0F">
        <w:rPr>
          <w:sz w:val="20"/>
        </w:rPr>
        <w:t xml:space="preserve">Kamer 2012-13, nr. 2463/001, </w:t>
      </w:r>
      <w:r>
        <w:rPr>
          <w:sz w:val="20"/>
        </w:rPr>
        <w:t xml:space="preserve">20; </w:t>
      </w:r>
      <w:r>
        <w:rPr>
          <w:smallCaps/>
          <w:sz w:val="20"/>
        </w:rPr>
        <w:t xml:space="preserve">W. Derijcke, </w:t>
      </w:r>
      <w:r>
        <w:rPr>
          <w:sz w:val="20"/>
        </w:rPr>
        <w:t xml:space="preserve">“La réforme des sûretés réelles mobilières”, </w:t>
      </w:r>
      <w:r>
        <w:rPr>
          <w:i/>
          <w:sz w:val="20"/>
        </w:rPr>
        <w:t xml:space="preserve">TBH </w:t>
      </w:r>
      <w:r>
        <w:rPr>
          <w:sz w:val="20"/>
        </w:rPr>
        <w:t xml:space="preserve">2013, 704; </w:t>
      </w:r>
      <w:r w:rsidRPr="00862B0F">
        <w:rPr>
          <w:smallCaps/>
          <w:sz w:val="20"/>
        </w:rPr>
        <w:t xml:space="preserve">J. Del Corral, </w:t>
      </w:r>
      <w:r w:rsidRPr="00862B0F">
        <w:rPr>
          <w:sz w:val="20"/>
        </w:rPr>
        <w:t>“Zekerhe</w:t>
      </w:r>
      <w:r>
        <w:rPr>
          <w:sz w:val="20"/>
        </w:rPr>
        <w:t xml:space="preserve">idsrechten – Stand van zaken”, </w:t>
      </w:r>
      <w:r w:rsidRPr="00862B0F">
        <w:rPr>
          <w:i/>
          <w:smallCaps/>
          <w:sz w:val="20"/>
        </w:rPr>
        <w:t xml:space="preserve">NJW </w:t>
      </w:r>
      <w:r w:rsidRPr="00862B0F">
        <w:rPr>
          <w:smallCaps/>
          <w:sz w:val="20"/>
        </w:rPr>
        <w:t>2014</w:t>
      </w:r>
      <w:r w:rsidRPr="00862B0F">
        <w:rPr>
          <w:i/>
          <w:smallCaps/>
          <w:sz w:val="20"/>
        </w:rPr>
        <w:t xml:space="preserve">, </w:t>
      </w:r>
      <w:r w:rsidRPr="00862B0F">
        <w:rPr>
          <w:smallCaps/>
          <w:sz w:val="20"/>
        </w:rPr>
        <w:t>582</w:t>
      </w:r>
      <w:r>
        <w:rPr>
          <w:smallCaps/>
          <w:sz w:val="20"/>
        </w:rPr>
        <w:t xml:space="preserve">; </w:t>
      </w:r>
      <w:r w:rsidRPr="00862B0F">
        <w:rPr>
          <w:smallCaps/>
          <w:sz w:val="20"/>
        </w:rPr>
        <w:t xml:space="preserve">F. Georges, </w:t>
      </w:r>
      <w:r>
        <w:rPr>
          <w:sz w:val="20"/>
        </w:rPr>
        <w:t xml:space="preserve">“La réforme des </w:t>
      </w:r>
      <w:proofErr w:type="spellStart"/>
      <w:r>
        <w:rPr>
          <w:sz w:val="20"/>
        </w:rPr>
        <w:t>surê</w:t>
      </w:r>
      <w:r w:rsidRPr="00862B0F">
        <w:rPr>
          <w:sz w:val="20"/>
        </w:rPr>
        <w:t>tés</w:t>
      </w:r>
      <w:proofErr w:type="spellEnd"/>
      <w:r w:rsidRPr="00862B0F">
        <w:rPr>
          <w:sz w:val="20"/>
        </w:rPr>
        <w:t xml:space="preserve"> </w:t>
      </w:r>
      <w:proofErr w:type="spellStart"/>
      <w:r w:rsidRPr="00862B0F">
        <w:rPr>
          <w:sz w:val="20"/>
        </w:rPr>
        <w:t>mobolières</w:t>
      </w:r>
      <w:proofErr w:type="spellEnd"/>
      <w:r w:rsidRPr="00862B0F">
        <w:rPr>
          <w:sz w:val="20"/>
        </w:rPr>
        <w:t xml:space="preserve">”, </w:t>
      </w:r>
      <w:r w:rsidRPr="00862B0F">
        <w:rPr>
          <w:i/>
          <w:sz w:val="20"/>
        </w:rPr>
        <w:t xml:space="preserve">Ius en Actores </w:t>
      </w:r>
      <w:r>
        <w:rPr>
          <w:sz w:val="20"/>
        </w:rPr>
        <w:t xml:space="preserve">2013, </w:t>
      </w:r>
      <w:r w:rsidRPr="00862B0F">
        <w:rPr>
          <w:sz w:val="20"/>
        </w:rPr>
        <w:t xml:space="preserve">84; V. </w:t>
      </w:r>
      <w:r>
        <w:rPr>
          <w:smallCaps/>
          <w:sz w:val="20"/>
        </w:rPr>
        <w:t>Sagaert</w:t>
      </w:r>
      <w:r w:rsidRPr="00862B0F">
        <w:rPr>
          <w:smallCaps/>
          <w:sz w:val="20"/>
        </w:rPr>
        <w:t xml:space="preserve">, </w:t>
      </w:r>
      <w:r w:rsidRPr="00862B0F">
        <w:rPr>
          <w:sz w:val="20"/>
        </w:rPr>
        <w:t xml:space="preserve">“Enkele pijlers van de </w:t>
      </w:r>
      <w:proofErr w:type="spellStart"/>
      <w:r w:rsidRPr="00862B0F">
        <w:rPr>
          <w:sz w:val="20"/>
        </w:rPr>
        <w:t>pandwet</w:t>
      </w:r>
      <w:proofErr w:type="spellEnd"/>
      <w:r w:rsidRPr="00862B0F">
        <w:rPr>
          <w:sz w:val="20"/>
        </w:rPr>
        <w:t xml:space="preserve">”, in </w:t>
      </w:r>
      <w:r w:rsidRPr="008530A1">
        <w:rPr>
          <w:smallCaps/>
          <w:sz w:val="20"/>
        </w:rPr>
        <w:t>Centrum voor Beroepsvervolmaking in de Rechten</w:t>
      </w:r>
      <w:r w:rsidRPr="00862B0F">
        <w:rPr>
          <w:sz w:val="20"/>
        </w:rPr>
        <w:t xml:space="preserve"> (ed.), </w:t>
      </w:r>
      <w:r w:rsidRPr="00862B0F">
        <w:rPr>
          <w:i/>
          <w:sz w:val="20"/>
        </w:rPr>
        <w:t>CBR Jaarboek 2013-14</w:t>
      </w:r>
      <w:r w:rsidRPr="00862B0F">
        <w:rPr>
          <w:sz w:val="20"/>
        </w:rPr>
        <w:t>, Antwerpen, Intersentia 2014, 62.</w:t>
      </w:r>
    </w:p>
  </w:footnote>
  <w:footnote w:id="254">
    <w:p w14:paraId="2DEB3F3F" w14:textId="77777777" w:rsidR="00C97F8C" w:rsidRPr="00BB7247" w:rsidRDefault="00C97F8C" w:rsidP="00D66183">
      <w:pPr>
        <w:pStyle w:val="Voetnoottekst"/>
        <w:rPr>
          <w:lang w:val="nl-BE"/>
        </w:rPr>
      </w:pPr>
      <w:r>
        <w:rPr>
          <w:rStyle w:val="Voetnootmarkering"/>
        </w:rPr>
        <w:footnoteRef/>
      </w:r>
      <w:r>
        <w:t xml:space="preserve"> </w:t>
      </w:r>
      <w:r>
        <w:rPr>
          <w:smallCaps/>
          <w:sz w:val="20"/>
        </w:rPr>
        <w:t xml:space="preserve">W.H.M. Reehuis, </w:t>
      </w:r>
      <w:r>
        <w:rPr>
          <w:i/>
          <w:sz w:val="20"/>
        </w:rPr>
        <w:t xml:space="preserve">Zwaartepunten van het vermogensrecht, </w:t>
      </w:r>
      <w:r>
        <w:rPr>
          <w:sz w:val="20"/>
        </w:rPr>
        <w:t>Kluwer, Deventer 2010, 160.</w:t>
      </w:r>
    </w:p>
  </w:footnote>
  <w:footnote w:id="255">
    <w:p w14:paraId="34E61E71" w14:textId="76F5CA3A" w:rsidR="00C97F8C" w:rsidRPr="006460FD" w:rsidRDefault="00C97F8C" w:rsidP="00D66183">
      <w:pPr>
        <w:pStyle w:val="Voetnoottekst"/>
        <w:rPr>
          <w:sz w:val="20"/>
          <w:lang w:val="en-GB"/>
        </w:rPr>
      </w:pPr>
      <w:r>
        <w:rPr>
          <w:rStyle w:val="Voetnootmarkering"/>
        </w:rPr>
        <w:footnoteRef/>
      </w:r>
      <w:r w:rsidRPr="006460FD">
        <w:rPr>
          <w:lang w:val="en-GB"/>
        </w:rPr>
        <w:t xml:space="preserve"> </w:t>
      </w:r>
      <w:r w:rsidRPr="006460FD">
        <w:rPr>
          <w:smallCaps/>
          <w:sz w:val="20"/>
          <w:lang w:val="en-GB"/>
        </w:rPr>
        <w:t>G. Ansaloni, “</w:t>
      </w:r>
      <w:r w:rsidRPr="006460FD">
        <w:rPr>
          <w:sz w:val="20"/>
          <w:lang w:val="en-GB"/>
        </w:rPr>
        <w:t xml:space="preserve">Sur l'opposabilité du gage sans dépossession de droit commun”, </w:t>
      </w:r>
      <w:r w:rsidRPr="006460FD">
        <w:rPr>
          <w:i/>
          <w:sz w:val="20"/>
          <w:lang w:val="en-GB"/>
        </w:rPr>
        <w:t xml:space="preserve">La Semaine Juridique entreprises et affaires </w:t>
      </w:r>
      <w:r w:rsidRPr="006460FD">
        <w:rPr>
          <w:sz w:val="20"/>
          <w:lang w:val="en-GB"/>
        </w:rPr>
        <w:t>2009, 1673</w:t>
      </w:r>
    </w:p>
  </w:footnote>
  <w:footnote w:id="256">
    <w:p w14:paraId="7B2AA49F" w14:textId="77777777" w:rsidR="00C97F8C" w:rsidRPr="006460FD" w:rsidRDefault="00C97F8C" w:rsidP="00D66183">
      <w:pPr>
        <w:pStyle w:val="Voetnoottekst"/>
        <w:rPr>
          <w:lang w:val="en-GB"/>
        </w:rPr>
      </w:pPr>
      <w:r>
        <w:rPr>
          <w:rStyle w:val="Voetnootmarkering"/>
        </w:rPr>
        <w:footnoteRef/>
      </w:r>
      <w:r w:rsidRPr="006460FD">
        <w:rPr>
          <w:lang w:val="en-GB"/>
        </w:rPr>
        <w:t xml:space="preserve"> </w:t>
      </w:r>
      <w:r w:rsidRPr="006460FD">
        <w:rPr>
          <w:smallCaps/>
          <w:sz w:val="20"/>
          <w:lang w:val="en-GB"/>
        </w:rPr>
        <w:t>G. Ansaloni, “</w:t>
      </w:r>
      <w:r w:rsidRPr="006460FD">
        <w:rPr>
          <w:sz w:val="20"/>
          <w:lang w:val="en-GB"/>
        </w:rPr>
        <w:t xml:space="preserve">Sur l'opposabilité du gage sans dépossession de droit commun”, </w:t>
      </w:r>
      <w:r w:rsidRPr="006460FD">
        <w:rPr>
          <w:i/>
          <w:sz w:val="20"/>
          <w:lang w:val="en-GB"/>
        </w:rPr>
        <w:t xml:space="preserve">La Semaine Juridique entreprises et affaires </w:t>
      </w:r>
      <w:r w:rsidRPr="006460FD">
        <w:rPr>
          <w:sz w:val="20"/>
          <w:lang w:val="en-GB"/>
        </w:rPr>
        <w:t xml:space="preserve">2009, 1673; </w:t>
      </w:r>
      <w:proofErr w:type="spellStart"/>
      <w:r w:rsidRPr="006460FD">
        <w:rPr>
          <w:sz w:val="20"/>
          <w:lang w:val="en-GB"/>
        </w:rPr>
        <w:t>Artikel</w:t>
      </w:r>
      <w:proofErr w:type="spellEnd"/>
      <w:r w:rsidRPr="006460FD">
        <w:rPr>
          <w:sz w:val="20"/>
          <w:lang w:val="en-GB"/>
        </w:rPr>
        <w:t xml:space="preserve"> 2342 Code Civil français;</w:t>
      </w:r>
      <w:r w:rsidRPr="006460FD">
        <w:rPr>
          <w:smallCaps/>
          <w:sz w:val="20"/>
          <w:lang w:val="en-GB"/>
        </w:rPr>
        <w:t xml:space="preserve"> D. Legeais, </w:t>
      </w:r>
      <w:r w:rsidRPr="006460FD">
        <w:rPr>
          <w:i/>
          <w:sz w:val="20"/>
          <w:lang w:val="en-GB"/>
        </w:rPr>
        <w:t xml:space="preserve">Sûretés et </w:t>
      </w:r>
      <w:proofErr w:type="spellStart"/>
      <w:r w:rsidRPr="006460FD">
        <w:rPr>
          <w:i/>
          <w:sz w:val="20"/>
          <w:lang w:val="en-GB"/>
        </w:rPr>
        <w:t>garanties</w:t>
      </w:r>
      <w:proofErr w:type="spellEnd"/>
      <w:r w:rsidRPr="006460FD">
        <w:rPr>
          <w:i/>
          <w:sz w:val="20"/>
          <w:lang w:val="en-GB"/>
        </w:rPr>
        <w:t xml:space="preserve"> du crédit, </w:t>
      </w:r>
      <w:r w:rsidRPr="006460FD">
        <w:rPr>
          <w:sz w:val="20"/>
          <w:lang w:val="en-GB"/>
        </w:rPr>
        <w:t xml:space="preserve">Parijs, LGDJ Lextenso éditions 2011, 416; </w:t>
      </w:r>
      <w:r w:rsidRPr="006460FD">
        <w:rPr>
          <w:smallCaps/>
          <w:sz w:val="20"/>
          <w:lang w:val="en-GB"/>
        </w:rPr>
        <w:t xml:space="preserve">M. Bourassin, V. brémond, M.-N. </w:t>
      </w:r>
      <w:proofErr w:type="spellStart"/>
      <w:r w:rsidRPr="006460FD">
        <w:rPr>
          <w:smallCaps/>
          <w:sz w:val="20"/>
          <w:lang w:val="en-GB"/>
        </w:rPr>
        <w:t>Jobard-Bachellier</w:t>
      </w:r>
      <w:proofErr w:type="spellEnd"/>
      <w:r w:rsidRPr="006460FD">
        <w:rPr>
          <w:smallCaps/>
          <w:sz w:val="20"/>
          <w:lang w:val="en-GB"/>
        </w:rPr>
        <w:t xml:space="preserve">, </w:t>
      </w:r>
      <w:r w:rsidRPr="006460FD">
        <w:rPr>
          <w:i/>
          <w:sz w:val="20"/>
          <w:lang w:val="en-GB"/>
        </w:rPr>
        <w:t xml:space="preserve">Droit des sûretés, </w:t>
      </w:r>
      <w:r w:rsidRPr="006460FD">
        <w:rPr>
          <w:sz w:val="20"/>
          <w:lang w:val="en-GB"/>
        </w:rPr>
        <w:t xml:space="preserve">Parijs, Dalloz 2014, 456; </w:t>
      </w:r>
      <w:r w:rsidRPr="006460FD">
        <w:rPr>
          <w:smallCaps/>
          <w:sz w:val="20"/>
          <w:lang w:val="en-GB"/>
        </w:rPr>
        <w:t xml:space="preserve">L. </w:t>
      </w:r>
      <w:proofErr w:type="spellStart"/>
      <w:r w:rsidRPr="006460FD">
        <w:rPr>
          <w:smallCaps/>
          <w:sz w:val="20"/>
          <w:lang w:val="en-GB"/>
        </w:rPr>
        <w:t>Aynès</w:t>
      </w:r>
      <w:proofErr w:type="spellEnd"/>
      <w:r w:rsidRPr="006460FD">
        <w:rPr>
          <w:smallCaps/>
          <w:sz w:val="20"/>
          <w:lang w:val="en-GB"/>
        </w:rPr>
        <w:t xml:space="preserve">, P. Crocq, </w:t>
      </w:r>
      <w:r w:rsidRPr="006460FD">
        <w:rPr>
          <w:i/>
          <w:sz w:val="20"/>
          <w:lang w:val="en-GB"/>
        </w:rPr>
        <w:t xml:space="preserve">Droit des sûretés, </w:t>
      </w:r>
      <w:proofErr w:type="spellStart"/>
      <w:r w:rsidRPr="006460FD">
        <w:rPr>
          <w:sz w:val="20"/>
          <w:lang w:val="en-GB"/>
        </w:rPr>
        <w:t>Issy</w:t>
      </w:r>
      <w:proofErr w:type="spellEnd"/>
      <w:r w:rsidRPr="006460FD">
        <w:rPr>
          <w:sz w:val="20"/>
          <w:lang w:val="en-GB"/>
        </w:rPr>
        <w:t>-Les-</w:t>
      </w:r>
      <w:proofErr w:type="spellStart"/>
      <w:r w:rsidRPr="006460FD">
        <w:rPr>
          <w:sz w:val="20"/>
          <w:lang w:val="en-GB"/>
        </w:rPr>
        <w:t>Moulineaux</w:t>
      </w:r>
      <w:proofErr w:type="spellEnd"/>
      <w:r w:rsidRPr="006460FD">
        <w:rPr>
          <w:sz w:val="20"/>
          <w:lang w:val="en-GB"/>
        </w:rPr>
        <w:t xml:space="preserve">, LGDJ </w:t>
      </w:r>
      <w:proofErr w:type="spellStart"/>
      <w:r w:rsidRPr="006460FD">
        <w:rPr>
          <w:sz w:val="20"/>
          <w:lang w:val="en-GB"/>
        </w:rPr>
        <w:t>lextenso</w:t>
      </w:r>
      <w:proofErr w:type="spellEnd"/>
      <w:r w:rsidRPr="006460FD">
        <w:rPr>
          <w:sz w:val="20"/>
          <w:lang w:val="en-GB"/>
        </w:rPr>
        <w:t xml:space="preserve"> éditions 2015, 272.</w:t>
      </w:r>
    </w:p>
  </w:footnote>
  <w:footnote w:id="257">
    <w:p w14:paraId="1805D486" w14:textId="77777777" w:rsidR="00C97F8C" w:rsidRPr="006460FD" w:rsidRDefault="00C97F8C" w:rsidP="00947C60">
      <w:pPr>
        <w:pStyle w:val="Voetnoottekst"/>
        <w:rPr>
          <w:lang w:val="en-GB"/>
        </w:rPr>
      </w:pPr>
      <w:r>
        <w:rPr>
          <w:rStyle w:val="Voetnootmarkering"/>
        </w:rPr>
        <w:footnoteRef/>
      </w:r>
      <w:r w:rsidRPr="006460FD">
        <w:rPr>
          <w:lang w:val="en-GB"/>
        </w:rPr>
        <w:t xml:space="preserve"> G. </w:t>
      </w:r>
      <w:r w:rsidRPr="006460FD">
        <w:rPr>
          <w:smallCaps/>
          <w:sz w:val="20"/>
          <w:lang w:val="en-GB"/>
        </w:rPr>
        <w:t>Ansaloni, “</w:t>
      </w:r>
      <w:r w:rsidRPr="006460FD">
        <w:rPr>
          <w:sz w:val="20"/>
          <w:lang w:val="en-GB"/>
        </w:rPr>
        <w:t xml:space="preserve">Sur l'opposabilité du gage sans dépossession de droit commun”, </w:t>
      </w:r>
      <w:r w:rsidRPr="006460FD">
        <w:rPr>
          <w:i/>
          <w:sz w:val="20"/>
          <w:lang w:val="en-GB"/>
        </w:rPr>
        <w:t xml:space="preserve">La Semaine Juridique entreprises et affaires </w:t>
      </w:r>
      <w:r w:rsidRPr="006460FD">
        <w:rPr>
          <w:sz w:val="20"/>
          <w:lang w:val="en-GB"/>
        </w:rPr>
        <w:t>2009, 1673.</w:t>
      </w:r>
    </w:p>
  </w:footnote>
  <w:footnote w:id="258">
    <w:p w14:paraId="32B6D4A0" w14:textId="77777777" w:rsidR="00C97F8C" w:rsidRPr="006460FD" w:rsidRDefault="00C97F8C" w:rsidP="00947C60">
      <w:pPr>
        <w:pStyle w:val="Voetnoottekst"/>
        <w:rPr>
          <w:lang w:val="en-GB"/>
        </w:rPr>
      </w:pPr>
      <w:r>
        <w:rPr>
          <w:rStyle w:val="Voetnootmarkering"/>
        </w:rPr>
        <w:footnoteRef/>
      </w:r>
      <w:r w:rsidRPr="006460FD">
        <w:rPr>
          <w:lang w:val="en-GB"/>
        </w:rPr>
        <w:t xml:space="preserve"> </w:t>
      </w:r>
      <w:r w:rsidRPr="006460FD">
        <w:rPr>
          <w:smallCaps/>
          <w:sz w:val="20"/>
          <w:lang w:val="en-GB"/>
        </w:rPr>
        <w:t>G. Ansaloni, “</w:t>
      </w:r>
      <w:r w:rsidRPr="006460FD">
        <w:rPr>
          <w:sz w:val="20"/>
          <w:lang w:val="en-GB"/>
        </w:rPr>
        <w:t xml:space="preserve">Sur l'opposabilité du gage sans dépossession de droit commun”, </w:t>
      </w:r>
      <w:r w:rsidRPr="006460FD">
        <w:rPr>
          <w:i/>
          <w:sz w:val="20"/>
          <w:lang w:val="en-GB"/>
        </w:rPr>
        <w:t xml:space="preserve">La Semaine Juridique entreprises et affaires </w:t>
      </w:r>
      <w:r w:rsidRPr="006460FD">
        <w:rPr>
          <w:sz w:val="20"/>
          <w:lang w:val="en-GB"/>
        </w:rPr>
        <w:t xml:space="preserve">2009, 1673; </w:t>
      </w:r>
      <w:proofErr w:type="spellStart"/>
      <w:r w:rsidRPr="006460FD">
        <w:rPr>
          <w:sz w:val="20"/>
          <w:lang w:val="en-GB"/>
        </w:rPr>
        <w:t>Artikel</w:t>
      </w:r>
      <w:proofErr w:type="spellEnd"/>
      <w:r w:rsidRPr="006460FD">
        <w:rPr>
          <w:sz w:val="20"/>
          <w:lang w:val="en-GB"/>
        </w:rPr>
        <w:t xml:space="preserve"> 2342 Code Civil français;</w:t>
      </w:r>
      <w:r w:rsidRPr="006460FD">
        <w:rPr>
          <w:smallCaps/>
          <w:sz w:val="20"/>
          <w:lang w:val="en-GB"/>
        </w:rPr>
        <w:t xml:space="preserve"> D. Legeais, </w:t>
      </w:r>
      <w:r w:rsidRPr="006460FD">
        <w:rPr>
          <w:i/>
          <w:sz w:val="20"/>
          <w:lang w:val="en-GB"/>
        </w:rPr>
        <w:t xml:space="preserve">Sûretés et </w:t>
      </w:r>
      <w:proofErr w:type="spellStart"/>
      <w:r w:rsidRPr="006460FD">
        <w:rPr>
          <w:i/>
          <w:sz w:val="20"/>
          <w:lang w:val="en-GB"/>
        </w:rPr>
        <w:t>garanties</w:t>
      </w:r>
      <w:proofErr w:type="spellEnd"/>
      <w:r w:rsidRPr="006460FD">
        <w:rPr>
          <w:i/>
          <w:sz w:val="20"/>
          <w:lang w:val="en-GB"/>
        </w:rPr>
        <w:t xml:space="preserve"> du crédit, </w:t>
      </w:r>
      <w:r w:rsidRPr="006460FD">
        <w:rPr>
          <w:sz w:val="20"/>
          <w:lang w:val="en-GB"/>
        </w:rPr>
        <w:t xml:space="preserve">Parijs, LGDJ Lextenso éditions 2011, 416; </w:t>
      </w:r>
      <w:r w:rsidRPr="006460FD">
        <w:rPr>
          <w:smallCaps/>
          <w:sz w:val="20"/>
          <w:lang w:val="en-GB"/>
        </w:rPr>
        <w:t xml:space="preserve">M. Bourassin, V. brémond, M.-N. </w:t>
      </w:r>
      <w:proofErr w:type="spellStart"/>
      <w:r w:rsidRPr="006460FD">
        <w:rPr>
          <w:smallCaps/>
          <w:sz w:val="20"/>
          <w:lang w:val="en-GB"/>
        </w:rPr>
        <w:t>Jobard-Bachellier</w:t>
      </w:r>
      <w:proofErr w:type="spellEnd"/>
      <w:r w:rsidRPr="006460FD">
        <w:rPr>
          <w:smallCaps/>
          <w:sz w:val="20"/>
          <w:lang w:val="en-GB"/>
        </w:rPr>
        <w:t xml:space="preserve">, </w:t>
      </w:r>
      <w:r w:rsidRPr="006460FD">
        <w:rPr>
          <w:i/>
          <w:sz w:val="20"/>
          <w:lang w:val="en-GB"/>
        </w:rPr>
        <w:t xml:space="preserve">Droit des sûretés, </w:t>
      </w:r>
      <w:r w:rsidRPr="006460FD">
        <w:rPr>
          <w:sz w:val="20"/>
          <w:lang w:val="en-GB"/>
        </w:rPr>
        <w:t xml:space="preserve">Parijs, Dalloz 2014, 456; </w:t>
      </w:r>
      <w:r w:rsidRPr="006460FD">
        <w:rPr>
          <w:smallCaps/>
          <w:sz w:val="20"/>
          <w:lang w:val="en-GB"/>
        </w:rPr>
        <w:t xml:space="preserve">L. </w:t>
      </w:r>
      <w:proofErr w:type="spellStart"/>
      <w:r w:rsidRPr="006460FD">
        <w:rPr>
          <w:smallCaps/>
          <w:sz w:val="20"/>
          <w:lang w:val="en-GB"/>
        </w:rPr>
        <w:t>Aynès</w:t>
      </w:r>
      <w:proofErr w:type="spellEnd"/>
      <w:r w:rsidRPr="006460FD">
        <w:rPr>
          <w:smallCaps/>
          <w:sz w:val="20"/>
          <w:lang w:val="en-GB"/>
        </w:rPr>
        <w:t xml:space="preserve">, P. Crocq, </w:t>
      </w:r>
      <w:r w:rsidRPr="006460FD">
        <w:rPr>
          <w:i/>
          <w:sz w:val="20"/>
          <w:lang w:val="en-GB"/>
        </w:rPr>
        <w:t xml:space="preserve">Droit des sûretés, </w:t>
      </w:r>
      <w:proofErr w:type="spellStart"/>
      <w:r w:rsidRPr="006460FD">
        <w:rPr>
          <w:sz w:val="20"/>
          <w:lang w:val="en-GB"/>
        </w:rPr>
        <w:t>Issy</w:t>
      </w:r>
      <w:proofErr w:type="spellEnd"/>
      <w:r w:rsidRPr="006460FD">
        <w:rPr>
          <w:sz w:val="20"/>
          <w:lang w:val="en-GB"/>
        </w:rPr>
        <w:t>-Les-</w:t>
      </w:r>
      <w:proofErr w:type="spellStart"/>
      <w:r w:rsidRPr="006460FD">
        <w:rPr>
          <w:sz w:val="20"/>
          <w:lang w:val="en-GB"/>
        </w:rPr>
        <w:t>Moulineaux</w:t>
      </w:r>
      <w:proofErr w:type="spellEnd"/>
      <w:r w:rsidRPr="006460FD">
        <w:rPr>
          <w:sz w:val="20"/>
          <w:lang w:val="en-GB"/>
        </w:rPr>
        <w:t xml:space="preserve">, LGDJ </w:t>
      </w:r>
      <w:proofErr w:type="spellStart"/>
      <w:r w:rsidRPr="006460FD">
        <w:rPr>
          <w:sz w:val="20"/>
          <w:lang w:val="en-GB"/>
        </w:rPr>
        <w:t>lextenso</w:t>
      </w:r>
      <w:proofErr w:type="spellEnd"/>
      <w:r w:rsidRPr="006460FD">
        <w:rPr>
          <w:sz w:val="20"/>
          <w:lang w:val="en-GB"/>
        </w:rPr>
        <w:t xml:space="preserve"> éditions 2015, 272.</w:t>
      </w:r>
    </w:p>
  </w:footnote>
  <w:footnote w:id="259">
    <w:p w14:paraId="48E374C3" w14:textId="77777777" w:rsidR="00C97F8C" w:rsidRPr="005878D5" w:rsidRDefault="00C97F8C" w:rsidP="00947C60">
      <w:pPr>
        <w:pStyle w:val="Voetnoottekst"/>
        <w:rPr>
          <w:lang w:val="nl-BE"/>
        </w:rPr>
      </w:pPr>
      <w:r>
        <w:rPr>
          <w:rStyle w:val="Voetnootmarkering"/>
        </w:rPr>
        <w:footnoteRef/>
      </w:r>
      <w:r>
        <w:t xml:space="preserve"> </w:t>
      </w:r>
      <w:r w:rsidRPr="005878D5">
        <w:rPr>
          <w:sz w:val="20"/>
          <w:lang w:val="nl-BE"/>
        </w:rPr>
        <w:t xml:space="preserve">Artikel 21 Pandwet; </w:t>
      </w:r>
      <w:r w:rsidRPr="005878D5">
        <w:rPr>
          <w:sz w:val="20"/>
        </w:rPr>
        <w:t xml:space="preserve">MvT </w:t>
      </w:r>
      <w:r w:rsidRPr="005878D5">
        <w:rPr>
          <w:i/>
          <w:sz w:val="20"/>
        </w:rPr>
        <w:t xml:space="preserve">Parl.St., </w:t>
      </w:r>
      <w:r>
        <w:rPr>
          <w:sz w:val="20"/>
        </w:rPr>
        <w:t xml:space="preserve">Kamer 2012-13, nr. 2463/001, 20; </w:t>
      </w:r>
      <w:r>
        <w:rPr>
          <w:smallCaps/>
          <w:sz w:val="20"/>
        </w:rPr>
        <w:t xml:space="preserve">J. Baeck. </w:t>
      </w:r>
      <w:r>
        <w:rPr>
          <w:sz w:val="20"/>
        </w:rPr>
        <w:t xml:space="preserve">“Artikel 24 en 25 Pandwet”, </w:t>
      </w:r>
      <w:r>
        <w:rPr>
          <w:i/>
          <w:sz w:val="20"/>
        </w:rPr>
        <w:t xml:space="preserve">Voorrechten en hypotheken </w:t>
      </w:r>
      <w:r>
        <w:rPr>
          <w:sz w:val="20"/>
        </w:rPr>
        <w:t xml:space="preserve">2015, 44; </w:t>
      </w:r>
      <w:r>
        <w:rPr>
          <w:smallCaps/>
          <w:sz w:val="20"/>
        </w:rPr>
        <w:t xml:space="preserve">J. Baeck, </w:t>
      </w:r>
      <w:r>
        <w:rPr>
          <w:sz w:val="20"/>
        </w:rPr>
        <w:t xml:space="preserve">“Commentaar bij artikel 21 Pandwet”, </w:t>
      </w:r>
      <w:r>
        <w:rPr>
          <w:i/>
          <w:sz w:val="20"/>
        </w:rPr>
        <w:t xml:space="preserve">Voorrechten en Hypotheken </w:t>
      </w:r>
      <w:r>
        <w:rPr>
          <w:sz w:val="20"/>
        </w:rPr>
        <w:t>2015, 39.</w:t>
      </w:r>
    </w:p>
  </w:footnote>
  <w:footnote w:id="260">
    <w:p w14:paraId="09849EF6" w14:textId="46C81F7E" w:rsidR="00C97F8C" w:rsidRPr="0015649B" w:rsidRDefault="00C97F8C">
      <w:pPr>
        <w:pStyle w:val="Voetnoottekst"/>
        <w:rPr>
          <w:lang w:val="nl-BE"/>
        </w:rPr>
      </w:pPr>
      <w:r>
        <w:rPr>
          <w:rStyle w:val="Voetnootmarkering"/>
        </w:rPr>
        <w:footnoteRef/>
      </w:r>
      <w:r>
        <w:t xml:space="preserve"> </w:t>
      </w:r>
      <w:r>
        <w:rPr>
          <w:smallCaps/>
          <w:sz w:val="20"/>
        </w:rPr>
        <w:t xml:space="preserve">J. Baeck, </w:t>
      </w:r>
      <w:r>
        <w:rPr>
          <w:sz w:val="20"/>
        </w:rPr>
        <w:t xml:space="preserve">“Commentaar bij artikel 21 Pandwet”, </w:t>
      </w:r>
      <w:r>
        <w:rPr>
          <w:i/>
          <w:sz w:val="20"/>
        </w:rPr>
        <w:t xml:space="preserve">Voorrechten en Hypotheken </w:t>
      </w:r>
      <w:r>
        <w:rPr>
          <w:sz w:val="20"/>
        </w:rPr>
        <w:t>2015, 41.</w:t>
      </w:r>
    </w:p>
  </w:footnote>
  <w:footnote w:id="261">
    <w:p w14:paraId="3037EA35" w14:textId="77777777" w:rsidR="00C97F8C" w:rsidRPr="001F41BB" w:rsidRDefault="00C97F8C">
      <w:pPr>
        <w:pStyle w:val="Voetnoottekst"/>
        <w:rPr>
          <w:sz w:val="20"/>
          <w:lang w:val="nl-BE"/>
        </w:rPr>
      </w:pPr>
      <w:r>
        <w:rPr>
          <w:rStyle w:val="Voetnootmarkering"/>
        </w:rPr>
        <w:footnoteRef/>
      </w:r>
      <w:r>
        <w:t xml:space="preserve"> </w:t>
      </w:r>
      <w:r>
        <w:rPr>
          <w:sz w:val="20"/>
          <w:lang w:val="nl-BE"/>
        </w:rPr>
        <w:t xml:space="preserve">Artikel 21 Pandwet stelt </w:t>
      </w:r>
      <w:r>
        <w:rPr>
          <w:i/>
          <w:sz w:val="20"/>
          <w:lang w:val="nl-BE"/>
        </w:rPr>
        <w:t>“behoudens anders overeengekomen”.</w:t>
      </w:r>
    </w:p>
  </w:footnote>
  <w:footnote w:id="262">
    <w:p w14:paraId="6C20D110" w14:textId="77777777" w:rsidR="00C97F8C" w:rsidRPr="00222D35" w:rsidRDefault="00C97F8C">
      <w:pPr>
        <w:pStyle w:val="Voetnoottekst"/>
        <w:rPr>
          <w:lang w:val="nl-BE"/>
        </w:rPr>
      </w:pPr>
      <w:r>
        <w:rPr>
          <w:rStyle w:val="Voetnootmarkering"/>
        </w:rPr>
        <w:footnoteRef/>
      </w:r>
      <w:r>
        <w:t xml:space="preserve"> </w:t>
      </w:r>
      <w:r>
        <w:rPr>
          <w:smallCaps/>
          <w:sz w:val="20"/>
        </w:rPr>
        <w:t xml:space="preserve">J. Baeck, </w:t>
      </w:r>
      <w:r>
        <w:rPr>
          <w:sz w:val="20"/>
        </w:rPr>
        <w:t xml:space="preserve">“Commentaar bij artikel 21 Pandwet”, </w:t>
      </w:r>
      <w:r>
        <w:rPr>
          <w:i/>
          <w:sz w:val="20"/>
        </w:rPr>
        <w:t xml:space="preserve">Voorrechten en Hypotheken </w:t>
      </w:r>
      <w:r>
        <w:rPr>
          <w:sz w:val="20"/>
        </w:rPr>
        <w:t>2015, 41.</w:t>
      </w:r>
    </w:p>
  </w:footnote>
  <w:footnote w:id="263">
    <w:p w14:paraId="23A1991E" w14:textId="1E16710B" w:rsidR="00C97F8C" w:rsidRPr="00222D35" w:rsidRDefault="00C97F8C">
      <w:pPr>
        <w:pStyle w:val="Voetnoottekst"/>
        <w:rPr>
          <w:sz w:val="20"/>
          <w:lang w:val="nl-BE"/>
        </w:rPr>
      </w:pPr>
      <w:r>
        <w:rPr>
          <w:rStyle w:val="Voetnootmarkering"/>
        </w:rPr>
        <w:footnoteRef/>
      </w:r>
      <w:r>
        <w:t xml:space="preserve"> </w:t>
      </w:r>
      <w:r>
        <w:rPr>
          <w:smallCaps/>
          <w:sz w:val="20"/>
        </w:rPr>
        <w:t xml:space="preserve">J. Baeck, </w:t>
      </w:r>
      <w:r>
        <w:rPr>
          <w:sz w:val="20"/>
        </w:rPr>
        <w:t xml:space="preserve">“Commentaar bij artikel 21 Pandwet”, </w:t>
      </w:r>
      <w:r>
        <w:rPr>
          <w:i/>
          <w:sz w:val="20"/>
        </w:rPr>
        <w:t xml:space="preserve">Voorrechten en Hypotheken </w:t>
      </w:r>
      <w:r>
        <w:rPr>
          <w:sz w:val="20"/>
        </w:rPr>
        <w:t>2015, 42.</w:t>
      </w:r>
    </w:p>
  </w:footnote>
  <w:footnote w:id="264">
    <w:p w14:paraId="5F1CEDE5" w14:textId="77777777" w:rsidR="00C97F8C" w:rsidRPr="00480E27" w:rsidRDefault="00C97F8C" w:rsidP="00B768BB">
      <w:pPr>
        <w:pStyle w:val="Voetnoottekst"/>
        <w:rPr>
          <w:lang w:val="nl-BE"/>
        </w:rPr>
      </w:pPr>
      <w:r>
        <w:rPr>
          <w:rStyle w:val="Voetnootmarkering"/>
        </w:rPr>
        <w:footnoteRef/>
      </w:r>
      <w:r>
        <w:t xml:space="preserve"> </w:t>
      </w:r>
      <w:r w:rsidRPr="00B34FCF">
        <w:rPr>
          <w:sz w:val="20"/>
          <w:lang w:val="nl-BE"/>
        </w:rPr>
        <w:t>Te denken valt bijvoorbeeld aan de eerder aangehaalde tapijtenhandelaar. Een consument zal daarbij enkel tapijten aankopen, wat onder de normale bedrijfsvoering valt. Het zal eerder uitzonderlijk zijn dat een consument een goed verkrijgt dat niet past in de normale bedrijfsvoering, bv. wanneer hij een tweedehandswagen aankoopt van diezelfde tapijtenhandelaar.</w:t>
      </w:r>
    </w:p>
  </w:footnote>
  <w:footnote w:id="265">
    <w:p w14:paraId="73DF6260" w14:textId="77777777" w:rsidR="00C97F8C" w:rsidRPr="00B34FCF" w:rsidRDefault="00C97F8C" w:rsidP="00B768BB">
      <w:pPr>
        <w:pStyle w:val="Voetnoottekst"/>
        <w:rPr>
          <w:lang w:val="nl-BE"/>
        </w:rPr>
      </w:pPr>
      <w:r>
        <w:rPr>
          <w:rStyle w:val="Voetnootmarkering"/>
        </w:rPr>
        <w:footnoteRef/>
      </w:r>
      <w:r>
        <w:t xml:space="preserve"> </w:t>
      </w:r>
      <w:r w:rsidRPr="00B34FCF">
        <w:rPr>
          <w:sz w:val="20"/>
          <w:lang w:val="nl-BE"/>
        </w:rPr>
        <w:t>Te denken valt bijvoorbeeld aan de eerder vermelde tapijtenhandelaar die zijn weefmachines verkoopt aan een andere tapijtenhandelaar.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B871E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366D43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BC34BEF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DB500DE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BB62B1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7D34987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A18CF0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F862576C"/>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A764110"/>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A208A65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383212"/>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197710"/>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D6B4914"/>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739540C"/>
    <w:multiLevelType w:val="hybridMultilevel"/>
    <w:tmpl w:val="3CE22334"/>
    <w:lvl w:ilvl="0" w:tplc="EE167942">
      <w:start w:val="1"/>
      <w:numFmt w:val="decimal"/>
      <w:pStyle w:val="Nummer"/>
      <w:lvlText w:val="%1."/>
      <w:lvlJc w:val="left"/>
      <w:pPr>
        <w:tabs>
          <w:tab w:val="num" w:pos="357"/>
        </w:tabs>
        <w:ind w:left="0" w:firstLine="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071662E"/>
    <w:multiLevelType w:val="multilevel"/>
    <w:tmpl w:val="B5B20C44"/>
    <w:lvl w:ilvl="0">
      <w:start w:val="1"/>
      <w:numFmt w:val="upperRoman"/>
      <w:pStyle w:val="Kop1"/>
      <w:suff w:val="space"/>
      <w:lvlText w:val="Deel %1:"/>
      <w:lvlJc w:val="left"/>
      <w:pPr>
        <w:ind w:left="0" w:firstLine="0"/>
      </w:pPr>
      <w:rPr>
        <w:rFonts w:hint="default"/>
      </w:rPr>
    </w:lvl>
    <w:lvl w:ilvl="1">
      <w:start w:val="1"/>
      <w:numFmt w:val="upperRoman"/>
      <w:pStyle w:val="Kop2"/>
      <w:suff w:val="space"/>
      <w:lvlText w:val="Hoofdstuk %2."/>
      <w:lvlJc w:val="left"/>
      <w:pPr>
        <w:ind w:left="0" w:firstLine="0"/>
      </w:pPr>
      <w:rPr>
        <w:rFonts w:hint="default"/>
      </w:rPr>
    </w:lvl>
    <w:lvl w:ilvl="2">
      <w:start w:val="1"/>
      <w:numFmt w:val="upperRoman"/>
      <w:pStyle w:val="Kop3"/>
      <w:suff w:val="space"/>
      <w:lvlText w:val="Afdeling %3."/>
      <w:lvlJc w:val="left"/>
      <w:pPr>
        <w:ind w:left="0" w:firstLine="0"/>
      </w:pPr>
      <w:rPr>
        <w:rFonts w:hint="default"/>
      </w:rPr>
    </w:lvl>
    <w:lvl w:ilvl="3">
      <w:start w:val="1"/>
      <w:numFmt w:val="decimal"/>
      <w:pStyle w:val="Kop4"/>
      <w:suff w:val="space"/>
      <w:lvlText w:val="§%4."/>
      <w:lvlJc w:val="left"/>
      <w:pPr>
        <w:ind w:left="0" w:firstLine="0"/>
      </w:pPr>
      <w:rPr>
        <w:rFonts w:hint="default"/>
      </w:rPr>
    </w:lvl>
    <w:lvl w:ilvl="4">
      <w:start w:val="1"/>
      <w:numFmt w:val="upperLetter"/>
      <w:pStyle w:val="Kop5"/>
      <w:suff w:val="space"/>
      <w:lvlText w:val="%5."/>
      <w:lvlJc w:val="left"/>
      <w:pPr>
        <w:ind w:left="0" w:firstLine="0"/>
      </w:pPr>
      <w:rPr>
        <w:rFonts w:hint="default"/>
      </w:rPr>
    </w:lvl>
    <w:lvl w:ilvl="5">
      <w:start w:val="1"/>
      <w:numFmt w:val="decimal"/>
      <w:pStyle w:val="Kop6"/>
      <w:suff w:val="space"/>
      <w:lvlText w:val="%6."/>
      <w:lvlJc w:val="left"/>
      <w:pPr>
        <w:ind w:left="0" w:firstLine="0"/>
      </w:pPr>
      <w:rPr>
        <w:rFonts w:hint="default"/>
      </w:rPr>
    </w:lvl>
    <w:lvl w:ilvl="6">
      <w:start w:val="1"/>
      <w:numFmt w:val="lowerLetter"/>
      <w:pStyle w:val="Kop7"/>
      <w:suff w:val="space"/>
      <w:lvlText w:val="%7."/>
      <w:lvlJc w:val="left"/>
      <w:pPr>
        <w:ind w:left="0" w:firstLine="0"/>
      </w:pPr>
      <w:rPr>
        <w:rFonts w:hint="default"/>
      </w:rPr>
    </w:lvl>
    <w:lvl w:ilvl="7">
      <w:start w:val="1"/>
      <w:numFmt w:val="lowerRoman"/>
      <w:pStyle w:val="Kop8"/>
      <w:suff w:val="space"/>
      <w:lvlText w:val="%8."/>
      <w:lvlJc w:val="left"/>
      <w:pPr>
        <w:ind w:left="0" w:firstLine="709"/>
      </w:pPr>
      <w:rPr>
        <w:rFonts w:hint="default"/>
      </w:rPr>
    </w:lvl>
    <w:lvl w:ilvl="8">
      <w:start w:val="1"/>
      <w:numFmt w:val="none"/>
      <w:pStyle w:val="Kop9"/>
      <w:suff w:val="nothing"/>
      <w:lvlText w:val=""/>
      <w:lvlJc w:val="left"/>
      <w:pPr>
        <w:ind w:left="0" w:firstLine="0"/>
      </w:pPr>
      <w:rPr>
        <w:rFonts w:hint="default"/>
      </w:rPr>
    </w:lvl>
  </w:abstractNum>
  <w:num w:numId="1">
    <w:abstractNumId w:val="14"/>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7D"/>
    <w:rsid w:val="000001BA"/>
    <w:rsid w:val="00002315"/>
    <w:rsid w:val="00003271"/>
    <w:rsid w:val="000032D9"/>
    <w:rsid w:val="00003D7A"/>
    <w:rsid w:val="000040DB"/>
    <w:rsid w:val="0000595B"/>
    <w:rsid w:val="00006F7E"/>
    <w:rsid w:val="00007DF3"/>
    <w:rsid w:val="00011C17"/>
    <w:rsid w:val="00011F3F"/>
    <w:rsid w:val="00013590"/>
    <w:rsid w:val="0001396F"/>
    <w:rsid w:val="00015122"/>
    <w:rsid w:val="00016A66"/>
    <w:rsid w:val="00023221"/>
    <w:rsid w:val="00023CEB"/>
    <w:rsid w:val="00024621"/>
    <w:rsid w:val="00024A8E"/>
    <w:rsid w:val="00024B94"/>
    <w:rsid w:val="00026566"/>
    <w:rsid w:val="00027D27"/>
    <w:rsid w:val="00032AD9"/>
    <w:rsid w:val="000334CD"/>
    <w:rsid w:val="00034C94"/>
    <w:rsid w:val="000364AF"/>
    <w:rsid w:val="00037D5C"/>
    <w:rsid w:val="00040932"/>
    <w:rsid w:val="000412A7"/>
    <w:rsid w:val="00041927"/>
    <w:rsid w:val="0004794C"/>
    <w:rsid w:val="000501E3"/>
    <w:rsid w:val="000510D6"/>
    <w:rsid w:val="00051333"/>
    <w:rsid w:val="00053BE0"/>
    <w:rsid w:val="00055172"/>
    <w:rsid w:val="00057271"/>
    <w:rsid w:val="00057782"/>
    <w:rsid w:val="00057C6A"/>
    <w:rsid w:val="00060324"/>
    <w:rsid w:val="00060973"/>
    <w:rsid w:val="000613C6"/>
    <w:rsid w:val="00061475"/>
    <w:rsid w:val="00061F15"/>
    <w:rsid w:val="00063928"/>
    <w:rsid w:val="00063B10"/>
    <w:rsid w:val="000675CB"/>
    <w:rsid w:val="00067D1B"/>
    <w:rsid w:val="00072260"/>
    <w:rsid w:val="00072F44"/>
    <w:rsid w:val="0007449A"/>
    <w:rsid w:val="00075030"/>
    <w:rsid w:val="0007550F"/>
    <w:rsid w:val="0007621B"/>
    <w:rsid w:val="0008255A"/>
    <w:rsid w:val="00085328"/>
    <w:rsid w:val="0008792B"/>
    <w:rsid w:val="000915F4"/>
    <w:rsid w:val="00091817"/>
    <w:rsid w:val="000918E7"/>
    <w:rsid w:val="00093154"/>
    <w:rsid w:val="000931D5"/>
    <w:rsid w:val="00094B9A"/>
    <w:rsid w:val="0009595D"/>
    <w:rsid w:val="000973F6"/>
    <w:rsid w:val="000A05C3"/>
    <w:rsid w:val="000A08B7"/>
    <w:rsid w:val="000A168F"/>
    <w:rsid w:val="000A1FD4"/>
    <w:rsid w:val="000A21EC"/>
    <w:rsid w:val="000A2B87"/>
    <w:rsid w:val="000A2BB0"/>
    <w:rsid w:val="000A3474"/>
    <w:rsid w:val="000A502B"/>
    <w:rsid w:val="000A5F8D"/>
    <w:rsid w:val="000A72A0"/>
    <w:rsid w:val="000B0AA4"/>
    <w:rsid w:val="000B0FDE"/>
    <w:rsid w:val="000B1D9E"/>
    <w:rsid w:val="000B20F2"/>
    <w:rsid w:val="000B27D7"/>
    <w:rsid w:val="000B2A47"/>
    <w:rsid w:val="000B433A"/>
    <w:rsid w:val="000B5A48"/>
    <w:rsid w:val="000C0573"/>
    <w:rsid w:val="000C060A"/>
    <w:rsid w:val="000C0AED"/>
    <w:rsid w:val="000C0B85"/>
    <w:rsid w:val="000C0F09"/>
    <w:rsid w:val="000C2DC4"/>
    <w:rsid w:val="000C319E"/>
    <w:rsid w:val="000C332B"/>
    <w:rsid w:val="000C4BFB"/>
    <w:rsid w:val="000C5FCC"/>
    <w:rsid w:val="000C67DC"/>
    <w:rsid w:val="000C7141"/>
    <w:rsid w:val="000D2640"/>
    <w:rsid w:val="000D3A67"/>
    <w:rsid w:val="000D472B"/>
    <w:rsid w:val="000D5AFA"/>
    <w:rsid w:val="000D5CD2"/>
    <w:rsid w:val="000D5E95"/>
    <w:rsid w:val="000D7C07"/>
    <w:rsid w:val="000E0381"/>
    <w:rsid w:val="000E1112"/>
    <w:rsid w:val="000E1E46"/>
    <w:rsid w:val="000E32DF"/>
    <w:rsid w:val="000E4608"/>
    <w:rsid w:val="000E4903"/>
    <w:rsid w:val="000E4F44"/>
    <w:rsid w:val="000E52EE"/>
    <w:rsid w:val="000E57BD"/>
    <w:rsid w:val="000E5DA3"/>
    <w:rsid w:val="000E64BF"/>
    <w:rsid w:val="000E66BF"/>
    <w:rsid w:val="000E7E55"/>
    <w:rsid w:val="000F1392"/>
    <w:rsid w:val="000F34C9"/>
    <w:rsid w:val="000F3509"/>
    <w:rsid w:val="000F484D"/>
    <w:rsid w:val="000F4C5E"/>
    <w:rsid w:val="000F4ECA"/>
    <w:rsid w:val="000F7CBA"/>
    <w:rsid w:val="0010112E"/>
    <w:rsid w:val="00101262"/>
    <w:rsid w:val="00102DE9"/>
    <w:rsid w:val="00104E29"/>
    <w:rsid w:val="001059B8"/>
    <w:rsid w:val="0010615E"/>
    <w:rsid w:val="00106960"/>
    <w:rsid w:val="00107378"/>
    <w:rsid w:val="00113A0D"/>
    <w:rsid w:val="00114386"/>
    <w:rsid w:val="00114A83"/>
    <w:rsid w:val="00115335"/>
    <w:rsid w:val="001215F2"/>
    <w:rsid w:val="0012255A"/>
    <w:rsid w:val="00124CCE"/>
    <w:rsid w:val="0013083D"/>
    <w:rsid w:val="00132BD9"/>
    <w:rsid w:val="00133C88"/>
    <w:rsid w:val="00137EDA"/>
    <w:rsid w:val="001407F3"/>
    <w:rsid w:val="00140D64"/>
    <w:rsid w:val="00141D8C"/>
    <w:rsid w:val="00142CA1"/>
    <w:rsid w:val="00144C42"/>
    <w:rsid w:val="001451A6"/>
    <w:rsid w:val="001508BC"/>
    <w:rsid w:val="0015159F"/>
    <w:rsid w:val="00152F93"/>
    <w:rsid w:val="00153AC5"/>
    <w:rsid w:val="00154DDB"/>
    <w:rsid w:val="00155263"/>
    <w:rsid w:val="00155D4A"/>
    <w:rsid w:val="0015649B"/>
    <w:rsid w:val="0015730C"/>
    <w:rsid w:val="00160A34"/>
    <w:rsid w:val="00161094"/>
    <w:rsid w:val="00162D99"/>
    <w:rsid w:val="0016320B"/>
    <w:rsid w:val="00167536"/>
    <w:rsid w:val="001678BF"/>
    <w:rsid w:val="00167BC9"/>
    <w:rsid w:val="001706A0"/>
    <w:rsid w:val="00170F46"/>
    <w:rsid w:val="0017167E"/>
    <w:rsid w:val="0017292B"/>
    <w:rsid w:val="0017373C"/>
    <w:rsid w:val="00173FC7"/>
    <w:rsid w:val="0017426B"/>
    <w:rsid w:val="0017434B"/>
    <w:rsid w:val="00176385"/>
    <w:rsid w:val="00176959"/>
    <w:rsid w:val="00176C1B"/>
    <w:rsid w:val="0017720E"/>
    <w:rsid w:val="001827C1"/>
    <w:rsid w:val="00182A9F"/>
    <w:rsid w:val="001847D7"/>
    <w:rsid w:val="00184EEF"/>
    <w:rsid w:val="00185B8A"/>
    <w:rsid w:val="00185DE5"/>
    <w:rsid w:val="0019053B"/>
    <w:rsid w:val="00191416"/>
    <w:rsid w:val="00191C74"/>
    <w:rsid w:val="001922F1"/>
    <w:rsid w:val="00192459"/>
    <w:rsid w:val="00193B73"/>
    <w:rsid w:val="00194F6E"/>
    <w:rsid w:val="00195099"/>
    <w:rsid w:val="001978EB"/>
    <w:rsid w:val="001A06F1"/>
    <w:rsid w:val="001A1385"/>
    <w:rsid w:val="001A3A02"/>
    <w:rsid w:val="001A4CE6"/>
    <w:rsid w:val="001A6A69"/>
    <w:rsid w:val="001A6E52"/>
    <w:rsid w:val="001B24A6"/>
    <w:rsid w:val="001B28A1"/>
    <w:rsid w:val="001B37E2"/>
    <w:rsid w:val="001B4827"/>
    <w:rsid w:val="001B5AD1"/>
    <w:rsid w:val="001B634B"/>
    <w:rsid w:val="001B738E"/>
    <w:rsid w:val="001C10FF"/>
    <w:rsid w:val="001C1610"/>
    <w:rsid w:val="001C20CA"/>
    <w:rsid w:val="001C2C64"/>
    <w:rsid w:val="001C2C87"/>
    <w:rsid w:val="001C38A7"/>
    <w:rsid w:val="001C507B"/>
    <w:rsid w:val="001C55E7"/>
    <w:rsid w:val="001C6C2D"/>
    <w:rsid w:val="001D0EC5"/>
    <w:rsid w:val="001D1745"/>
    <w:rsid w:val="001D1D59"/>
    <w:rsid w:val="001D228E"/>
    <w:rsid w:val="001D3A75"/>
    <w:rsid w:val="001D5006"/>
    <w:rsid w:val="001D5EF4"/>
    <w:rsid w:val="001D7155"/>
    <w:rsid w:val="001D76AF"/>
    <w:rsid w:val="001E12CE"/>
    <w:rsid w:val="001E1C68"/>
    <w:rsid w:val="001E5502"/>
    <w:rsid w:val="001E55EC"/>
    <w:rsid w:val="001E63A9"/>
    <w:rsid w:val="001F0657"/>
    <w:rsid w:val="001F08CF"/>
    <w:rsid w:val="001F099A"/>
    <w:rsid w:val="001F41BB"/>
    <w:rsid w:val="001F41DE"/>
    <w:rsid w:val="001F42EC"/>
    <w:rsid w:val="001F65D8"/>
    <w:rsid w:val="001F6ED3"/>
    <w:rsid w:val="001F6FE3"/>
    <w:rsid w:val="002002BA"/>
    <w:rsid w:val="00200587"/>
    <w:rsid w:val="00200B7D"/>
    <w:rsid w:val="00202E59"/>
    <w:rsid w:val="0020362C"/>
    <w:rsid w:val="002039EF"/>
    <w:rsid w:val="00204A9F"/>
    <w:rsid w:val="00206BFB"/>
    <w:rsid w:val="00207D8F"/>
    <w:rsid w:val="002107FC"/>
    <w:rsid w:val="00212009"/>
    <w:rsid w:val="00214854"/>
    <w:rsid w:val="00214DF2"/>
    <w:rsid w:val="00214F63"/>
    <w:rsid w:val="002157C7"/>
    <w:rsid w:val="002166E9"/>
    <w:rsid w:val="00220BEF"/>
    <w:rsid w:val="002220D1"/>
    <w:rsid w:val="002227DD"/>
    <w:rsid w:val="00222D35"/>
    <w:rsid w:val="00224238"/>
    <w:rsid w:val="002242DE"/>
    <w:rsid w:val="00225090"/>
    <w:rsid w:val="0022531E"/>
    <w:rsid w:val="0022651F"/>
    <w:rsid w:val="0022754A"/>
    <w:rsid w:val="00227554"/>
    <w:rsid w:val="002275D0"/>
    <w:rsid w:val="002349CD"/>
    <w:rsid w:val="002350CF"/>
    <w:rsid w:val="002367B1"/>
    <w:rsid w:val="00236E24"/>
    <w:rsid w:val="002373E1"/>
    <w:rsid w:val="00237827"/>
    <w:rsid w:val="00240581"/>
    <w:rsid w:val="00242660"/>
    <w:rsid w:val="00242B03"/>
    <w:rsid w:val="00243B36"/>
    <w:rsid w:val="00243E8C"/>
    <w:rsid w:val="0024672A"/>
    <w:rsid w:val="002511CA"/>
    <w:rsid w:val="0025182C"/>
    <w:rsid w:val="0025418A"/>
    <w:rsid w:val="002542BE"/>
    <w:rsid w:val="00255572"/>
    <w:rsid w:val="002566FD"/>
    <w:rsid w:val="0025797D"/>
    <w:rsid w:val="00257C36"/>
    <w:rsid w:val="0026107B"/>
    <w:rsid w:val="002642EF"/>
    <w:rsid w:val="0026498D"/>
    <w:rsid w:val="00266564"/>
    <w:rsid w:val="002671E4"/>
    <w:rsid w:val="00271313"/>
    <w:rsid w:val="00271710"/>
    <w:rsid w:val="0027222E"/>
    <w:rsid w:val="002729FE"/>
    <w:rsid w:val="00273CE1"/>
    <w:rsid w:val="00275647"/>
    <w:rsid w:val="00276FCE"/>
    <w:rsid w:val="00277553"/>
    <w:rsid w:val="00281D23"/>
    <w:rsid w:val="00282A0D"/>
    <w:rsid w:val="00290FD7"/>
    <w:rsid w:val="00291357"/>
    <w:rsid w:val="002922A6"/>
    <w:rsid w:val="00292362"/>
    <w:rsid w:val="002957AF"/>
    <w:rsid w:val="002A0C60"/>
    <w:rsid w:val="002A3785"/>
    <w:rsid w:val="002A5DEC"/>
    <w:rsid w:val="002A5F4D"/>
    <w:rsid w:val="002B1734"/>
    <w:rsid w:val="002B24AC"/>
    <w:rsid w:val="002B46B0"/>
    <w:rsid w:val="002B4A74"/>
    <w:rsid w:val="002B62C7"/>
    <w:rsid w:val="002B68C6"/>
    <w:rsid w:val="002B7F71"/>
    <w:rsid w:val="002C4AE7"/>
    <w:rsid w:val="002C5ACB"/>
    <w:rsid w:val="002C5E77"/>
    <w:rsid w:val="002D5D53"/>
    <w:rsid w:val="002D6E8C"/>
    <w:rsid w:val="002E0BA8"/>
    <w:rsid w:val="002E1203"/>
    <w:rsid w:val="002E157D"/>
    <w:rsid w:val="002E18B6"/>
    <w:rsid w:val="002E1B61"/>
    <w:rsid w:val="002E2164"/>
    <w:rsid w:val="002E4546"/>
    <w:rsid w:val="002E4AA1"/>
    <w:rsid w:val="002E5F72"/>
    <w:rsid w:val="002E69F4"/>
    <w:rsid w:val="002E7AAA"/>
    <w:rsid w:val="002F02A3"/>
    <w:rsid w:val="002F4109"/>
    <w:rsid w:val="002F653A"/>
    <w:rsid w:val="002F6EEA"/>
    <w:rsid w:val="002F72D7"/>
    <w:rsid w:val="003015CB"/>
    <w:rsid w:val="0030190D"/>
    <w:rsid w:val="00301EE4"/>
    <w:rsid w:val="00302D1F"/>
    <w:rsid w:val="003044AE"/>
    <w:rsid w:val="0030637D"/>
    <w:rsid w:val="00306B4B"/>
    <w:rsid w:val="00307304"/>
    <w:rsid w:val="003101BA"/>
    <w:rsid w:val="00310203"/>
    <w:rsid w:val="00310630"/>
    <w:rsid w:val="00310E5E"/>
    <w:rsid w:val="00311162"/>
    <w:rsid w:val="00313BED"/>
    <w:rsid w:val="003151E2"/>
    <w:rsid w:val="00315C63"/>
    <w:rsid w:val="003216BE"/>
    <w:rsid w:val="00322877"/>
    <w:rsid w:val="003241FF"/>
    <w:rsid w:val="0032583A"/>
    <w:rsid w:val="00325CD1"/>
    <w:rsid w:val="0032641C"/>
    <w:rsid w:val="00327972"/>
    <w:rsid w:val="00330CEB"/>
    <w:rsid w:val="00331EE1"/>
    <w:rsid w:val="00332148"/>
    <w:rsid w:val="0033289E"/>
    <w:rsid w:val="00332AFA"/>
    <w:rsid w:val="003333D1"/>
    <w:rsid w:val="00333443"/>
    <w:rsid w:val="00334042"/>
    <w:rsid w:val="003351A6"/>
    <w:rsid w:val="003353D1"/>
    <w:rsid w:val="00336153"/>
    <w:rsid w:val="0033673D"/>
    <w:rsid w:val="00337B8A"/>
    <w:rsid w:val="003420A5"/>
    <w:rsid w:val="003422AD"/>
    <w:rsid w:val="00342BB4"/>
    <w:rsid w:val="00342BC1"/>
    <w:rsid w:val="00343421"/>
    <w:rsid w:val="003439BE"/>
    <w:rsid w:val="00344AC9"/>
    <w:rsid w:val="00347143"/>
    <w:rsid w:val="003479C5"/>
    <w:rsid w:val="003514B5"/>
    <w:rsid w:val="00351D8A"/>
    <w:rsid w:val="00356607"/>
    <w:rsid w:val="00357ABF"/>
    <w:rsid w:val="00361A84"/>
    <w:rsid w:val="00363567"/>
    <w:rsid w:val="00363611"/>
    <w:rsid w:val="0036538D"/>
    <w:rsid w:val="00370810"/>
    <w:rsid w:val="00372021"/>
    <w:rsid w:val="00372512"/>
    <w:rsid w:val="003736AF"/>
    <w:rsid w:val="00375F55"/>
    <w:rsid w:val="00376E64"/>
    <w:rsid w:val="003770A1"/>
    <w:rsid w:val="003773BC"/>
    <w:rsid w:val="00380DEC"/>
    <w:rsid w:val="003833E0"/>
    <w:rsid w:val="003854BD"/>
    <w:rsid w:val="00387720"/>
    <w:rsid w:val="00387890"/>
    <w:rsid w:val="00387BB4"/>
    <w:rsid w:val="00395EA4"/>
    <w:rsid w:val="00395EE3"/>
    <w:rsid w:val="00396AFD"/>
    <w:rsid w:val="00397076"/>
    <w:rsid w:val="003A07AE"/>
    <w:rsid w:val="003A0DBD"/>
    <w:rsid w:val="003A1382"/>
    <w:rsid w:val="003A1ECC"/>
    <w:rsid w:val="003A2FC8"/>
    <w:rsid w:val="003A31C0"/>
    <w:rsid w:val="003A35D8"/>
    <w:rsid w:val="003A3F8C"/>
    <w:rsid w:val="003A4992"/>
    <w:rsid w:val="003A4D61"/>
    <w:rsid w:val="003A53AD"/>
    <w:rsid w:val="003A63DC"/>
    <w:rsid w:val="003A66CB"/>
    <w:rsid w:val="003A7D76"/>
    <w:rsid w:val="003A7E08"/>
    <w:rsid w:val="003B0414"/>
    <w:rsid w:val="003B0755"/>
    <w:rsid w:val="003B169A"/>
    <w:rsid w:val="003B38EC"/>
    <w:rsid w:val="003B521F"/>
    <w:rsid w:val="003B6088"/>
    <w:rsid w:val="003B66E8"/>
    <w:rsid w:val="003C2502"/>
    <w:rsid w:val="003C581B"/>
    <w:rsid w:val="003C6291"/>
    <w:rsid w:val="003C636A"/>
    <w:rsid w:val="003C672A"/>
    <w:rsid w:val="003D1273"/>
    <w:rsid w:val="003D4F0D"/>
    <w:rsid w:val="003D4F26"/>
    <w:rsid w:val="003D5339"/>
    <w:rsid w:val="003D5B68"/>
    <w:rsid w:val="003D64FD"/>
    <w:rsid w:val="003D73CB"/>
    <w:rsid w:val="003E145E"/>
    <w:rsid w:val="003E20A0"/>
    <w:rsid w:val="003E297E"/>
    <w:rsid w:val="003E33DC"/>
    <w:rsid w:val="003E4669"/>
    <w:rsid w:val="003E50D2"/>
    <w:rsid w:val="003E5489"/>
    <w:rsid w:val="003E56B6"/>
    <w:rsid w:val="003E59E3"/>
    <w:rsid w:val="003E5E30"/>
    <w:rsid w:val="003F05CE"/>
    <w:rsid w:val="003F0C00"/>
    <w:rsid w:val="003F2A89"/>
    <w:rsid w:val="003F4918"/>
    <w:rsid w:val="003F6634"/>
    <w:rsid w:val="003F6809"/>
    <w:rsid w:val="00400790"/>
    <w:rsid w:val="00405AE6"/>
    <w:rsid w:val="004064DF"/>
    <w:rsid w:val="00407B5A"/>
    <w:rsid w:val="00407F48"/>
    <w:rsid w:val="004118DE"/>
    <w:rsid w:val="004202EB"/>
    <w:rsid w:val="00420C44"/>
    <w:rsid w:val="00421957"/>
    <w:rsid w:val="0042349F"/>
    <w:rsid w:val="004275D0"/>
    <w:rsid w:val="004300AD"/>
    <w:rsid w:val="00434065"/>
    <w:rsid w:val="004347D4"/>
    <w:rsid w:val="00435344"/>
    <w:rsid w:val="004439B8"/>
    <w:rsid w:val="00443EB4"/>
    <w:rsid w:val="00444114"/>
    <w:rsid w:val="004449E6"/>
    <w:rsid w:val="00446AB7"/>
    <w:rsid w:val="00447F6A"/>
    <w:rsid w:val="00451E43"/>
    <w:rsid w:val="00452858"/>
    <w:rsid w:val="00453545"/>
    <w:rsid w:val="004538D4"/>
    <w:rsid w:val="0045530B"/>
    <w:rsid w:val="0045701C"/>
    <w:rsid w:val="0046108B"/>
    <w:rsid w:val="004614C2"/>
    <w:rsid w:val="0046303B"/>
    <w:rsid w:val="00463400"/>
    <w:rsid w:val="00465249"/>
    <w:rsid w:val="00465671"/>
    <w:rsid w:val="004707FC"/>
    <w:rsid w:val="00470DE0"/>
    <w:rsid w:val="00472F38"/>
    <w:rsid w:val="004730C8"/>
    <w:rsid w:val="0047339C"/>
    <w:rsid w:val="0047370C"/>
    <w:rsid w:val="0047759B"/>
    <w:rsid w:val="00481EC6"/>
    <w:rsid w:val="00482695"/>
    <w:rsid w:val="00483272"/>
    <w:rsid w:val="00483E46"/>
    <w:rsid w:val="00485F68"/>
    <w:rsid w:val="004873F4"/>
    <w:rsid w:val="00487674"/>
    <w:rsid w:val="0049159A"/>
    <w:rsid w:val="004921FB"/>
    <w:rsid w:val="004956DE"/>
    <w:rsid w:val="00495903"/>
    <w:rsid w:val="00496023"/>
    <w:rsid w:val="004A127F"/>
    <w:rsid w:val="004A1872"/>
    <w:rsid w:val="004A2B16"/>
    <w:rsid w:val="004A55A7"/>
    <w:rsid w:val="004A674F"/>
    <w:rsid w:val="004B04C9"/>
    <w:rsid w:val="004B18BC"/>
    <w:rsid w:val="004B207A"/>
    <w:rsid w:val="004B7820"/>
    <w:rsid w:val="004B791A"/>
    <w:rsid w:val="004B7F06"/>
    <w:rsid w:val="004C129E"/>
    <w:rsid w:val="004C1FF6"/>
    <w:rsid w:val="004C242A"/>
    <w:rsid w:val="004C3FEE"/>
    <w:rsid w:val="004C4605"/>
    <w:rsid w:val="004C6424"/>
    <w:rsid w:val="004D0B6A"/>
    <w:rsid w:val="004D15FB"/>
    <w:rsid w:val="004D1636"/>
    <w:rsid w:val="004D1D97"/>
    <w:rsid w:val="004D1F92"/>
    <w:rsid w:val="004D351E"/>
    <w:rsid w:val="004D4CA4"/>
    <w:rsid w:val="004D672C"/>
    <w:rsid w:val="004D6D9A"/>
    <w:rsid w:val="004E042F"/>
    <w:rsid w:val="004E082E"/>
    <w:rsid w:val="004E0C48"/>
    <w:rsid w:val="004E1F6F"/>
    <w:rsid w:val="004E3BD8"/>
    <w:rsid w:val="004E3C4B"/>
    <w:rsid w:val="004F106E"/>
    <w:rsid w:val="004F14A2"/>
    <w:rsid w:val="004F1957"/>
    <w:rsid w:val="004F3EFE"/>
    <w:rsid w:val="004F5DB9"/>
    <w:rsid w:val="004F6064"/>
    <w:rsid w:val="004F6390"/>
    <w:rsid w:val="004F68DB"/>
    <w:rsid w:val="004F6E15"/>
    <w:rsid w:val="00500CA3"/>
    <w:rsid w:val="00500D7B"/>
    <w:rsid w:val="0050276A"/>
    <w:rsid w:val="00502C94"/>
    <w:rsid w:val="00502DF9"/>
    <w:rsid w:val="005037A6"/>
    <w:rsid w:val="00504CDB"/>
    <w:rsid w:val="005055A6"/>
    <w:rsid w:val="00507686"/>
    <w:rsid w:val="00511009"/>
    <w:rsid w:val="005113D4"/>
    <w:rsid w:val="00520958"/>
    <w:rsid w:val="00520EDE"/>
    <w:rsid w:val="0052151B"/>
    <w:rsid w:val="0052181C"/>
    <w:rsid w:val="00522D05"/>
    <w:rsid w:val="00523CC3"/>
    <w:rsid w:val="00524366"/>
    <w:rsid w:val="005257DB"/>
    <w:rsid w:val="005268A5"/>
    <w:rsid w:val="00526B5E"/>
    <w:rsid w:val="00526C87"/>
    <w:rsid w:val="00526FFF"/>
    <w:rsid w:val="005300D7"/>
    <w:rsid w:val="00531229"/>
    <w:rsid w:val="00531599"/>
    <w:rsid w:val="00532FCE"/>
    <w:rsid w:val="005336B3"/>
    <w:rsid w:val="00534CD6"/>
    <w:rsid w:val="00537232"/>
    <w:rsid w:val="00541644"/>
    <w:rsid w:val="005439D8"/>
    <w:rsid w:val="0054444F"/>
    <w:rsid w:val="00550958"/>
    <w:rsid w:val="00551677"/>
    <w:rsid w:val="00551ED6"/>
    <w:rsid w:val="005529B6"/>
    <w:rsid w:val="005538CF"/>
    <w:rsid w:val="00554021"/>
    <w:rsid w:val="005545E2"/>
    <w:rsid w:val="00556802"/>
    <w:rsid w:val="00565EC0"/>
    <w:rsid w:val="00565F16"/>
    <w:rsid w:val="00565FDA"/>
    <w:rsid w:val="0056680A"/>
    <w:rsid w:val="005668F1"/>
    <w:rsid w:val="0056706E"/>
    <w:rsid w:val="00567A42"/>
    <w:rsid w:val="00573764"/>
    <w:rsid w:val="005738BB"/>
    <w:rsid w:val="00574BA8"/>
    <w:rsid w:val="00574C1D"/>
    <w:rsid w:val="0057588C"/>
    <w:rsid w:val="005758D9"/>
    <w:rsid w:val="0057627F"/>
    <w:rsid w:val="005764C5"/>
    <w:rsid w:val="00576B0B"/>
    <w:rsid w:val="00577986"/>
    <w:rsid w:val="00580F05"/>
    <w:rsid w:val="00583B51"/>
    <w:rsid w:val="0058636C"/>
    <w:rsid w:val="005878D5"/>
    <w:rsid w:val="00590DAF"/>
    <w:rsid w:val="00590EF7"/>
    <w:rsid w:val="00591409"/>
    <w:rsid w:val="0059228C"/>
    <w:rsid w:val="0059251D"/>
    <w:rsid w:val="005936A9"/>
    <w:rsid w:val="00594D97"/>
    <w:rsid w:val="00596F15"/>
    <w:rsid w:val="005A0120"/>
    <w:rsid w:val="005A06B5"/>
    <w:rsid w:val="005A204D"/>
    <w:rsid w:val="005A46FA"/>
    <w:rsid w:val="005A51E0"/>
    <w:rsid w:val="005A5B30"/>
    <w:rsid w:val="005A5EEF"/>
    <w:rsid w:val="005B0E7E"/>
    <w:rsid w:val="005B13BF"/>
    <w:rsid w:val="005B210C"/>
    <w:rsid w:val="005B3ADC"/>
    <w:rsid w:val="005B40C9"/>
    <w:rsid w:val="005B4B80"/>
    <w:rsid w:val="005B6BE2"/>
    <w:rsid w:val="005C1303"/>
    <w:rsid w:val="005C3912"/>
    <w:rsid w:val="005C50A9"/>
    <w:rsid w:val="005C574D"/>
    <w:rsid w:val="005C76DB"/>
    <w:rsid w:val="005C79DB"/>
    <w:rsid w:val="005D0690"/>
    <w:rsid w:val="005D0DF2"/>
    <w:rsid w:val="005D2159"/>
    <w:rsid w:val="005D23BA"/>
    <w:rsid w:val="005D3C5D"/>
    <w:rsid w:val="005D4E84"/>
    <w:rsid w:val="005D727F"/>
    <w:rsid w:val="005E121D"/>
    <w:rsid w:val="005E187E"/>
    <w:rsid w:val="005E394B"/>
    <w:rsid w:val="005E673B"/>
    <w:rsid w:val="005F1F0A"/>
    <w:rsid w:val="005F2ACB"/>
    <w:rsid w:val="005F2ADD"/>
    <w:rsid w:val="005F4670"/>
    <w:rsid w:val="005F46F2"/>
    <w:rsid w:val="005F5102"/>
    <w:rsid w:val="005F53FD"/>
    <w:rsid w:val="0060004E"/>
    <w:rsid w:val="00600440"/>
    <w:rsid w:val="006025DA"/>
    <w:rsid w:val="0060414E"/>
    <w:rsid w:val="0060427F"/>
    <w:rsid w:val="00606E44"/>
    <w:rsid w:val="006122DA"/>
    <w:rsid w:val="006130A0"/>
    <w:rsid w:val="00617A1A"/>
    <w:rsid w:val="00620830"/>
    <w:rsid w:val="00621568"/>
    <w:rsid w:val="00621BB6"/>
    <w:rsid w:val="006229A8"/>
    <w:rsid w:val="00623AC8"/>
    <w:rsid w:val="00624254"/>
    <w:rsid w:val="00625079"/>
    <w:rsid w:val="00625691"/>
    <w:rsid w:val="00630D9C"/>
    <w:rsid w:val="00630F4A"/>
    <w:rsid w:val="00635F20"/>
    <w:rsid w:val="00636014"/>
    <w:rsid w:val="00637017"/>
    <w:rsid w:val="006423AD"/>
    <w:rsid w:val="00643DC2"/>
    <w:rsid w:val="00645579"/>
    <w:rsid w:val="00645880"/>
    <w:rsid w:val="00645935"/>
    <w:rsid w:val="006460FD"/>
    <w:rsid w:val="006468F2"/>
    <w:rsid w:val="006469C4"/>
    <w:rsid w:val="006470CC"/>
    <w:rsid w:val="006502AF"/>
    <w:rsid w:val="00650630"/>
    <w:rsid w:val="0065198A"/>
    <w:rsid w:val="0066101C"/>
    <w:rsid w:val="006616AB"/>
    <w:rsid w:val="00663C25"/>
    <w:rsid w:val="00664C57"/>
    <w:rsid w:val="006653A3"/>
    <w:rsid w:val="00666916"/>
    <w:rsid w:val="00673A40"/>
    <w:rsid w:val="00674A13"/>
    <w:rsid w:val="00675390"/>
    <w:rsid w:val="00675DE4"/>
    <w:rsid w:val="00676F60"/>
    <w:rsid w:val="0067762D"/>
    <w:rsid w:val="00682533"/>
    <w:rsid w:val="00686001"/>
    <w:rsid w:val="00686089"/>
    <w:rsid w:val="00686FEE"/>
    <w:rsid w:val="006875E5"/>
    <w:rsid w:val="006910F2"/>
    <w:rsid w:val="00691E69"/>
    <w:rsid w:val="006921E5"/>
    <w:rsid w:val="00693F95"/>
    <w:rsid w:val="006945FD"/>
    <w:rsid w:val="006962CE"/>
    <w:rsid w:val="006969D4"/>
    <w:rsid w:val="006A04A9"/>
    <w:rsid w:val="006A14A3"/>
    <w:rsid w:val="006A3FAF"/>
    <w:rsid w:val="006A4016"/>
    <w:rsid w:val="006A40F1"/>
    <w:rsid w:val="006A486B"/>
    <w:rsid w:val="006A4DFF"/>
    <w:rsid w:val="006B010E"/>
    <w:rsid w:val="006B1783"/>
    <w:rsid w:val="006B2DA0"/>
    <w:rsid w:val="006B30F8"/>
    <w:rsid w:val="006B3C20"/>
    <w:rsid w:val="006B486D"/>
    <w:rsid w:val="006C049B"/>
    <w:rsid w:val="006C378E"/>
    <w:rsid w:val="006C3A24"/>
    <w:rsid w:val="006C6A39"/>
    <w:rsid w:val="006C7152"/>
    <w:rsid w:val="006D0A31"/>
    <w:rsid w:val="006D0B1A"/>
    <w:rsid w:val="006D40FF"/>
    <w:rsid w:val="006D44BB"/>
    <w:rsid w:val="006D4D66"/>
    <w:rsid w:val="006D6B01"/>
    <w:rsid w:val="006D7306"/>
    <w:rsid w:val="006E00CF"/>
    <w:rsid w:val="006E1453"/>
    <w:rsid w:val="006E16AE"/>
    <w:rsid w:val="006E2ADB"/>
    <w:rsid w:val="006E3100"/>
    <w:rsid w:val="006E341B"/>
    <w:rsid w:val="006E3B4F"/>
    <w:rsid w:val="006E3F5E"/>
    <w:rsid w:val="006E426C"/>
    <w:rsid w:val="006E46AD"/>
    <w:rsid w:val="006E5A17"/>
    <w:rsid w:val="006E7596"/>
    <w:rsid w:val="006F0AC8"/>
    <w:rsid w:val="006F11EB"/>
    <w:rsid w:val="006F3477"/>
    <w:rsid w:val="006F40EB"/>
    <w:rsid w:val="006F4368"/>
    <w:rsid w:val="006F49B8"/>
    <w:rsid w:val="00702D43"/>
    <w:rsid w:val="007046C1"/>
    <w:rsid w:val="007108FF"/>
    <w:rsid w:val="00716FF1"/>
    <w:rsid w:val="00720BF9"/>
    <w:rsid w:val="00724127"/>
    <w:rsid w:val="00724649"/>
    <w:rsid w:val="00724735"/>
    <w:rsid w:val="00724C8C"/>
    <w:rsid w:val="00726111"/>
    <w:rsid w:val="007263E1"/>
    <w:rsid w:val="00726851"/>
    <w:rsid w:val="00726BCD"/>
    <w:rsid w:val="00726F9C"/>
    <w:rsid w:val="00730139"/>
    <w:rsid w:val="007303A8"/>
    <w:rsid w:val="00732976"/>
    <w:rsid w:val="00734395"/>
    <w:rsid w:val="0073596C"/>
    <w:rsid w:val="0073685E"/>
    <w:rsid w:val="00737637"/>
    <w:rsid w:val="0074092F"/>
    <w:rsid w:val="0074111A"/>
    <w:rsid w:val="00742BED"/>
    <w:rsid w:val="00745ACC"/>
    <w:rsid w:val="00747114"/>
    <w:rsid w:val="0075062E"/>
    <w:rsid w:val="00750A8A"/>
    <w:rsid w:val="00752817"/>
    <w:rsid w:val="00756A62"/>
    <w:rsid w:val="00757684"/>
    <w:rsid w:val="00760600"/>
    <w:rsid w:val="00760832"/>
    <w:rsid w:val="00760C0D"/>
    <w:rsid w:val="00761773"/>
    <w:rsid w:val="007620D5"/>
    <w:rsid w:val="00762431"/>
    <w:rsid w:val="007626A3"/>
    <w:rsid w:val="00764D4B"/>
    <w:rsid w:val="0076643F"/>
    <w:rsid w:val="007669B4"/>
    <w:rsid w:val="00766B23"/>
    <w:rsid w:val="00766F96"/>
    <w:rsid w:val="00770CD2"/>
    <w:rsid w:val="007727C1"/>
    <w:rsid w:val="007744D9"/>
    <w:rsid w:val="0077523D"/>
    <w:rsid w:val="007765F2"/>
    <w:rsid w:val="007767EF"/>
    <w:rsid w:val="00776CA3"/>
    <w:rsid w:val="00777EDE"/>
    <w:rsid w:val="00780585"/>
    <w:rsid w:val="007805A8"/>
    <w:rsid w:val="00781B71"/>
    <w:rsid w:val="00782996"/>
    <w:rsid w:val="00783E54"/>
    <w:rsid w:val="00783E6B"/>
    <w:rsid w:val="00787217"/>
    <w:rsid w:val="00787BBC"/>
    <w:rsid w:val="007900A4"/>
    <w:rsid w:val="00790BE9"/>
    <w:rsid w:val="007924DA"/>
    <w:rsid w:val="00792632"/>
    <w:rsid w:val="007928A3"/>
    <w:rsid w:val="00792D4A"/>
    <w:rsid w:val="00793276"/>
    <w:rsid w:val="007950CB"/>
    <w:rsid w:val="00795DA2"/>
    <w:rsid w:val="007966A1"/>
    <w:rsid w:val="00797496"/>
    <w:rsid w:val="00797F7A"/>
    <w:rsid w:val="007A20ED"/>
    <w:rsid w:val="007A2293"/>
    <w:rsid w:val="007A5138"/>
    <w:rsid w:val="007A7901"/>
    <w:rsid w:val="007A7E0C"/>
    <w:rsid w:val="007B07CE"/>
    <w:rsid w:val="007B183C"/>
    <w:rsid w:val="007B238E"/>
    <w:rsid w:val="007B2536"/>
    <w:rsid w:val="007B2E1A"/>
    <w:rsid w:val="007B6C93"/>
    <w:rsid w:val="007B6CC1"/>
    <w:rsid w:val="007C11D3"/>
    <w:rsid w:val="007C2BAE"/>
    <w:rsid w:val="007C3027"/>
    <w:rsid w:val="007C3569"/>
    <w:rsid w:val="007C4D1D"/>
    <w:rsid w:val="007C5F19"/>
    <w:rsid w:val="007C6529"/>
    <w:rsid w:val="007D0111"/>
    <w:rsid w:val="007D22CE"/>
    <w:rsid w:val="007D4A6B"/>
    <w:rsid w:val="007D579B"/>
    <w:rsid w:val="007D71F9"/>
    <w:rsid w:val="007E031A"/>
    <w:rsid w:val="007E05EE"/>
    <w:rsid w:val="007E0B62"/>
    <w:rsid w:val="007E1F2E"/>
    <w:rsid w:val="007E29B0"/>
    <w:rsid w:val="007E38F7"/>
    <w:rsid w:val="007E3B2C"/>
    <w:rsid w:val="007E4317"/>
    <w:rsid w:val="007E6307"/>
    <w:rsid w:val="007E66EE"/>
    <w:rsid w:val="007E73BC"/>
    <w:rsid w:val="007E7F4B"/>
    <w:rsid w:val="007F0CB2"/>
    <w:rsid w:val="007F29B2"/>
    <w:rsid w:val="007F3A28"/>
    <w:rsid w:val="007F66E3"/>
    <w:rsid w:val="007F6D95"/>
    <w:rsid w:val="007F7536"/>
    <w:rsid w:val="0080130B"/>
    <w:rsid w:val="00802487"/>
    <w:rsid w:val="008026A8"/>
    <w:rsid w:val="008029A8"/>
    <w:rsid w:val="008035D9"/>
    <w:rsid w:val="00803CF3"/>
    <w:rsid w:val="00804ADF"/>
    <w:rsid w:val="008050D9"/>
    <w:rsid w:val="008055BA"/>
    <w:rsid w:val="008061CB"/>
    <w:rsid w:val="00807436"/>
    <w:rsid w:val="0080796C"/>
    <w:rsid w:val="008112DD"/>
    <w:rsid w:val="00812AE8"/>
    <w:rsid w:val="008153D5"/>
    <w:rsid w:val="008222C3"/>
    <w:rsid w:val="00823409"/>
    <w:rsid w:val="00824A5F"/>
    <w:rsid w:val="00826690"/>
    <w:rsid w:val="00830E38"/>
    <w:rsid w:val="00832B2B"/>
    <w:rsid w:val="00832F47"/>
    <w:rsid w:val="008346B3"/>
    <w:rsid w:val="008363C7"/>
    <w:rsid w:val="008367D0"/>
    <w:rsid w:val="0083684D"/>
    <w:rsid w:val="00837DC6"/>
    <w:rsid w:val="0084035D"/>
    <w:rsid w:val="00842591"/>
    <w:rsid w:val="008530A1"/>
    <w:rsid w:val="00854625"/>
    <w:rsid w:val="00855231"/>
    <w:rsid w:val="008560DC"/>
    <w:rsid w:val="008561A0"/>
    <w:rsid w:val="0085681C"/>
    <w:rsid w:val="0086044C"/>
    <w:rsid w:val="00860492"/>
    <w:rsid w:val="00862B0F"/>
    <w:rsid w:val="0086314F"/>
    <w:rsid w:val="00865305"/>
    <w:rsid w:val="00865AC1"/>
    <w:rsid w:val="00866985"/>
    <w:rsid w:val="00870E42"/>
    <w:rsid w:val="00871084"/>
    <w:rsid w:val="0087145F"/>
    <w:rsid w:val="008718E1"/>
    <w:rsid w:val="00872188"/>
    <w:rsid w:val="0087218C"/>
    <w:rsid w:val="008734CC"/>
    <w:rsid w:val="008735D1"/>
    <w:rsid w:val="00873E35"/>
    <w:rsid w:val="00876041"/>
    <w:rsid w:val="008767A1"/>
    <w:rsid w:val="00877300"/>
    <w:rsid w:val="0087750B"/>
    <w:rsid w:val="00882BEA"/>
    <w:rsid w:val="008841D2"/>
    <w:rsid w:val="008846F8"/>
    <w:rsid w:val="008849CD"/>
    <w:rsid w:val="00885288"/>
    <w:rsid w:val="00886380"/>
    <w:rsid w:val="008871E8"/>
    <w:rsid w:val="008912F2"/>
    <w:rsid w:val="00892917"/>
    <w:rsid w:val="00893704"/>
    <w:rsid w:val="00893BEA"/>
    <w:rsid w:val="0089412C"/>
    <w:rsid w:val="00894B83"/>
    <w:rsid w:val="00894EBB"/>
    <w:rsid w:val="00895528"/>
    <w:rsid w:val="008956B0"/>
    <w:rsid w:val="00895DBD"/>
    <w:rsid w:val="00896DF3"/>
    <w:rsid w:val="008A39F8"/>
    <w:rsid w:val="008A52B5"/>
    <w:rsid w:val="008A52FC"/>
    <w:rsid w:val="008A6D01"/>
    <w:rsid w:val="008B0A36"/>
    <w:rsid w:val="008B2BD0"/>
    <w:rsid w:val="008B3B60"/>
    <w:rsid w:val="008B471C"/>
    <w:rsid w:val="008B5999"/>
    <w:rsid w:val="008B6D8F"/>
    <w:rsid w:val="008B7ED3"/>
    <w:rsid w:val="008C0766"/>
    <w:rsid w:val="008C2728"/>
    <w:rsid w:val="008C3394"/>
    <w:rsid w:val="008C4320"/>
    <w:rsid w:val="008C5175"/>
    <w:rsid w:val="008C52A7"/>
    <w:rsid w:val="008C7DA2"/>
    <w:rsid w:val="008C7F22"/>
    <w:rsid w:val="008D06C5"/>
    <w:rsid w:val="008D0FED"/>
    <w:rsid w:val="008D131F"/>
    <w:rsid w:val="008D2935"/>
    <w:rsid w:val="008D29B9"/>
    <w:rsid w:val="008D49B4"/>
    <w:rsid w:val="008D78D0"/>
    <w:rsid w:val="008E0901"/>
    <w:rsid w:val="008E15DD"/>
    <w:rsid w:val="008E2801"/>
    <w:rsid w:val="008E3A61"/>
    <w:rsid w:val="008E3DB1"/>
    <w:rsid w:val="008E64CD"/>
    <w:rsid w:val="008E7BA2"/>
    <w:rsid w:val="008F0C86"/>
    <w:rsid w:val="008F13A3"/>
    <w:rsid w:val="008F3D9A"/>
    <w:rsid w:val="008F510A"/>
    <w:rsid w:val="008F5CDB"/>
    <w:rsid w:val="008F7B3D"/>
    <w:rsid w:val="00900887"/>
    <w:rsid w:val="00902923"/>
    <w:rsid w:val="00902E6F"/>
    <w:rsid w:val="00907E89"/>
    <w:rsid w:val="00910EB4"/>
    <w:rsid w:val="009117A6"/>
    <w:rsid w:val="009138EA"/>
    <w:rsid w:val="0091400E"/>
    <w:rsid w:val="00914779"/>
    <w:rsid w:val="00914AA3"/>
    <w:rsid w:val="009153A4"/>
    <w:rsid w:val="00915607"/>
    <w:rsid w:val="009167A9"/>
    <w:rsid w:val="00916858"/>
    <w:rsid w:val="00921CC4"/>
    <w:rsid w:val="00921DD9"/>
    <w:rsid w:val="00923173"/>
    <w:rsid w:val="009236CD"/>
    <w:rsid w:val="00924E76"/>
    <w:rsid w:val="00926D27"/>
    <w:rsid w:val="00926E4F"/>
    <w:rsid w:val="00927F76"/>
    <w:rsid w:val="009305A5"/>
    <w:rsid w:val="00930779"/>
    <w:rsid w:val="009347FF"/>
    <w:rsid w:val="00935A97"/>
    <w:rsid w:val="00936D12"/>
    <w:rsid w:val="009378CA"/>
    <w:rsid w:val="00937D97"/>
    <w:rsid w:val="00940360"/>
    <w:rsid w:val="0094196C"/>
    <w:rsid w:val="00941B7D"/>
    <w:rsid w:val="00941BB6"/>
    <w:rsid w:val="00942C7D"/>
    <w:rsid w:val="009439F5"/>
    <w:rsid w:val="00944AF9"/>
    <w:rsid w:val="0094511A"/>
    <w:rsid w:val="00946949"/>
    <w:rsid w:val="00947143"/>
    <w:rsid w:val="0094726E"/>
    <w:rsid w:val="00947C60"/>
    <w:rsid w:val="009510A0"/>
    <w:rsid w:val="00951A3E"/>
    <w:rsid w:val="0095636C"/>
    <w:rsid w:val="00957C1A"/>
    <w:rsid w:val="00962442"/>
    <w:rsid w:val="009626EF"/>
    <w:rsid w:val="009645C7"/>
    <w:rsid w:val="0096651F"/>
    <w:rsid w:val="00966EEB"/>
    <w:rsid w:val="00971D9B"/>
    <w:rsid w:val="00973123"/>
    <w:rsid w:val="00973BCF"/>
    <w:rsid w:val="00975F9C"/>
    <w:rsid w:val="0097646B"/>
    <w:rsid w:val="009772AD"/>
    <w:rsid w:val="00980F8D"/>
    <w:rsid w:val="0098306F"/>
    <w:rsid w:val="009830D0"/>
    <w:rsid w:val="00986707"/>
    <w:rsid w:val="00986CDD"/>
    <w:rsid w:val="00987AD0"/>
    <w:rsid w:val="00987D90"/>
    <w:rsid w:val="00987FA3"/>
    <w:rsid w:val="009922C1"/>
    <w:rsid w:val="0099297B"/>
    <w:rsid w:val="009938B5"/>
    <w:rsid w:val="00993A46"/>
    <w:rsid w:val="00993BDF"/>
    <w:rsid w:val="00994202"/>
    <w:rsid w:val="0099527F"/>
    <w:rsid w:val="0099625E"/>
    <w:rsid w:val="00996E52"/>
    <w:rsid w:val="0099730A"/>
    <w:rsid w:val="009A1FA4"/>
    <w:rsid w:val="009A3987"/>
    <w:rsid w:val="009A3C91"/>
    <w:rsid w:val="009A41F9"/>
    <w:rsid w:val="009A49B5"/>
    <w:rsid w:val="009A532B"/>
    <w:rsid w:val="009A5B50"/>
    <w:rsid w:val="009A65DD"/>
    <w:rsid w:val="009A6A5F"/>
    <w:rsid w:val="009A7880"/>
    <w:rsid w:val="009B033F"/>
    <w:rsid w:val="009B263B"/>
    <w:rsid w:val="009B2711"/>
    <w:rsid w:val="009B4A6E"/>
    <w:rsid w:val="009B78C3"/>
    <w:rsid w:val="009C0176"/>
    <w:rsid w:val="009C0931"/>
    <w:rsid w:val="009C5B69"/>
    <w:rsid w:val="009C5BD9"/>
    <w:rsid w:val="009D2B59"/>
    <w:rsid w:val="009D37D5"/>
    <w:rsid w:val="009D3AEE"/>
    <w:rsid w:val="009D4A75"/>
    <w:rsid w:val="009D5238"/>
    <w:rsid w:val="009D6626"/>
    <w:rsid w:val="009D782B"/>
    <w:rsid w:val="009E0D89"/>
    <w:rsid w:val="009E2089"/>
    <w:rsid w:val="009E233F"/>
    <w:rsid w:val="009E2DFD"/>
    <w:rsid w:val="009E3E29"/>
    <w:rsid w:val="009E58B6"/>
    <w:rsid w:val="009E6A5B"/>
    <w:rsid w:val="009E6D3A"/>
    <w:rsid w:val="009E7109"/>
    <w:rsid w:val="009E7C50"/>
    <w:rsid w:val="009F159E"/>
    <w:rsid w:val="009F163D"/>
    <w:rsid w:val="009F25E9"/>
    <w:rsid w:val="009F33F5"/>
    <w:rsid w:val="009F525A"/>
    <w:rsid w:val="009F5C8F"/>
    <w:rsid w:val="009F5E22"/>
    <w:rsid w:val="009F61B0"/>
    <w:rsid w:val="009F65E4"/>
    <w:rsid w:val="009F6CA1"/>
    <w:rsid w:val="009F6D1C"/>
    <w:rsid w:val="00A01686"/>
    <w:rsid w:val="00A04376"/>
    <w:rsid w:val="00A073F6"/>
    <w:rsid w:val="00A1115E"/>
    <w:rsid w:val="00A11898"/>
    <w:rsid w:val="00A123BB"/>
    <w:rsid w:val="00A130EF"/>
    <w:rsid w:val="00A14F58"/>
    <w:rsid w:val="00A152C0"/>
    <w:rsid w:val="00A15B49"/>
    <w:rsid w:val="00A15FB8"/>
    <w:rsid w:val="00A172D0"/>
    <w:rsid w:val="00A207F4"/>
    <w:rsid w:val="00A2087B"/>
    <w:rsid w:val="00A23ACA"/>
    <w:rsid w:val="00A23E8B"/>
    <w:rsid w:val="00A244A3"/>
    <w:rsid w:val="00A244F4"/>
    <w:rsid w:val="00A257F5"/>
    <w:rsid w:val="00A259FB"/>
    <w:rsid w:val="00A25A08"/>
    <w:rsid w:val="00A2715B"/>
    <w:rsid w:val="00A3038E"/>
    <w:rsid w:val="00A31079"/>
    <w:rsid w:val="00A32003"/>
    <w:rsid w:val="00A33F76"/>
    <w:rsid w:val="00A36A26"/>
    <w:rsid w:val="00A36C8B"/>
    <w:rsid w:val="00A37A43"/>
    <w:rsid w:val="00A40414"/>
    <w:rsid w:val="00A40CEB"/>
    <w:rsid w:val="00A412CF"/>
    <w:rsid w:val="00A413BB"/>
    <w:rsid w:val="00A4143B"/>
    <w:rsid w:val="00A425E7"/>
    <w:rsid w:val="00A4317A"/>
    <w:rsid w:val="00A44726"/>
    <w:rsid w:val="00A4544A"/>
    <w:rsid w:val="00A45454"/>
    <w:rsid w:val="00A455F6"/>
    <w:rsid w:val="00A4683E"/>
    <w:rsid w:val="00A47B55"/>
    <w:rsid w:val="00A50FC6"/>
    <w:rsid w:val="00A53218"/>
    <w:rsid w:val="00A543FA"/>
    <w:rsid w:val="00A544CE"/>
    <w:rsid w:val="00A554BB"/>
    <w:rsid w:val="00A555E3"/>
    <w:rsid w:val="00A569A0"/>
    <w:rsid w:val="00A56B5B"/>
    <w:rsid w:val="00A56F09"/>
    <w:rsid w:val="00A57B72"/>
    <w:rsid w:val="00A61D31"/>
    <w:rsid w:val="00A63468"/>
    <w:rsid w:val="00A6386D"/>
    <w:rsid w:val="00A641E2"/>
    <w:rsid w:val="00A671CD"/>
    <w:rsid w:val="00A678DA"/>
    <w:rsid w:val="00A70433"/>
    <w:rsid w:val="00A70502"/>
    <w:rsid w:val="00A7095B"/>
    <w:rsid w:val="00A724EA"/>
    <w:rsid w:val="00A7252A"/>
    <w:rsid w:val="00A72FE3"/>
    <w:rsid w:val="00A73589"/>
    <w:rsid w:val="00A748DA"/>
    <w:rsid w:val="00A766AF"/>
    <w:rsid w:val="00A8206D"/>
    <w:rsid w:val="00A8342F"/>
    <w:rsid w:val="00A83876"/>
    <w:rsid w:val="00A83BE0"/>
    <w:rsid w:val="00A87096"/>
    <w:rsid w:val="00A92C2F"/>
    <w:rsid w:val="00A93BEF"/>
    <w:rsid w:val="00A94ACF"/>
    <w:rsid w:val="00A966E4"/>
    <w:rsid w:val="00A96B5F"/>
    <w:rsid w:val="00A9710A"/>
    <w:rsid w:val="00AA2926"/>
    <w:rsid w:val="00AA2DAE"/>
    <w:rsid w:val="00AA2E9A"/>
    <w:rsid w:val="00AA402D"/>
    <w:rsid w:val="00AA4A0E"/>
    <w:rsid w:val="00AA6803"/>
    <w:rsid w:val="00AA69E3"/>
    <w:rsid w:val="00AA7E20"/>
    <w:rsid w:val="00AB005D"/>
    <w:rsid w:val="00AB7126"/>
    <w:rsid w:val="00AC0357"/>
    <w:rsid w:val="00AC2DE6"/>
    <w:rsid w:val="00AC33B8"/>
    <w:rsid w:val="00AC401A"/>
    <w:rsid w:val="00AC51F2"/>
    <w:rsid w:val="00AC55BF"/>
    <w:rsid w:val="00AC646E"/>
    <w:rsid w:val="00AC7C2E"/>
    <w:rsid w:val="00AD034D"/>
    <w:rsid w:val="00AD04E4"/>
    <w:rsid w:val="00AD06C6"/>
    <w:rsid w:val="00AD15B0"/>
    <w:rsid w:val="00AD4A1F"/>
    <w:rsid w:val="00AD680D"/>
    <w:rsid w:val="00AD68B3"/>
    <w:rsid w:val="00AD72E7"/>
    <w:rsid w:val="00AE038D"/>
    <w:rsid w:val="00AE0AFC"/>
    <w:rsid w:val="00AE1688"/>
    <w:rsid w:val="00AE231A"/>
    <w:rsid w:val="00AE42BA"/>
    <w:rsid w:val="00AE685D"/>
    <w:rsid w:val="00AE6A33"/>
    <w:rsid w:val="00AE754D"/>
    <w:rsid w:val="00AF04BB"/>
    <w:rsid w:val="00AF10FA"/>
    <w:rsid w:val="00AF1237"/>
    <w:rsid w:val="00AF20C4"/>
    <w:rsid w:val="00AF4CDD"/>
    <w:rsid w:val="00AF6DCF"/>
    <w:rsid w:val="00AF7180"/>
    <w:rsid w:val="00AF782A"/>
    <w:rsid w:val="00B005EE"/>
    <w:rsid w:val="00B01A8A"/>
    <w:rsid w:val="00B023D2"/>
    <w:rsid w:val="00B030B9"/>
    <w:rsid w:val="00B05281"/>
    <w:rsid w:val="00B054D4"/>
    <w:rsid w:val="00B067E3"/>
    <w:rsid w:val="00B13B38"/>
    <w:rsid w:val="00B13F2B"/>
    <w:rsid w:val="00B14A29"/>
    <w:rsid w:val="00B16440"/>
    <w:rsid w:val="00B20EEB"/>
    <w:rsid w:val="00B2117D"/>
    <w:rsid w:val="00B22738"/>
    <w:rsid w:val="00B231AA"/>
    <w:rsid w:val="00B23C3E"/>
    <w:rsid w:val="00B246B6"/>
    <w:rsid w:val="00B27EDE"/>
    <w:rsid w:val="00B30100"/>
    <w:rsid w:val="00B305C0"/>
    <w:rsid w:val="00B30671"/>
    <w:rsid w:val="00B30F18"/>
    <w:rsid w:val="00B31B42"/>
    <w:rsid w:val="00B32214"/>
    <w:rsid w:val="00B32976"/>
    <w:rsid w:val="00B32F9F"/>
    <w:rsid w:val="00B33EE6"/>
    <w:rsid w:val="00B352FB"/>
    <w:rsid w:val="00B3741F"/>
    <w:rsid w:val="00B37CA8"/>
    <w:rsid w:val="00B43514"/>
    <w:rsid w:val="00B47C73"/>
    <w:rsid w:val="00B50864"/>
    <w:rsid w:val="00B53163"/>
    <w:rsid w:val="00B545B2"/>
    <w:rsid w:val="00B54C82"/>
    <w:rsid w:val="00B54D3B"/>
    <w:rsid w:val="00B569CB"/>
    <w:rsid w:val="00B56DFF"/>
    <w:rsid w:val="00B570B6"/>
    <w:rsid w:val="00B57230"/>
    <w:rsid w:val="00B57C22"/>
    <w:rsid w:val="00B61106"/>
    <w:rsid w:val="00B61319"/>
    <w:rsid w:val="00B6261E"/>
    <w:rsid w:val="00B65CE6"/>
    <w:rsid w:val="00B66917"/>
    <w:rsid w:val="00B67725"/>
    <w:rsid w:val="00B70E5E"/>
    <w:rsid w:val="00B719EC"/>
    <w:rsid w:val="00B7295A"/>
    <w:rsid w:val="00B75D1D"/>
    <w:rsid w:val="00B768BB"/>
    <w:rsid w:val="00B77915"/>
    <w:rsid w:val="00B77DCB"/>
    <w:rsid w:val="00B812EE"/>
    <w:rsid w:val="00B81C10"/>
    <w:rsid w:val="00B82AB2"/>
    <w:rsid w:val="00B84BCD"/>
    <w:rsid w:val="00B87864"/>
    <w:rsid w:val="00B91146"/>
    <w:rsid w:val="00B924E3"/>
    <w:rsid w:val="00B939DD"/>
    <w:rsid w:val="00B94722"/>
    <w:rsid w:val="00B95341"/>
    <w:rsid w:val="00B95BBE"/>
    <w:rsid w:val="00B96BC7"/>
    <w:rsid w:val="00B971CA"/>
    <w:rsid w:val="00BA0396"/>
    <w:rsid w:val="00BA0B9C"/>
    <w:rsid w:val="00BA1371"/>
    <w:rsid w:val="00BA1CA1"/>
    <w:rsid w:val="00BA1D03"/>
    <w:rsid w:val="00BA2144"/>
    <w:rsid w:val="00BA3E43"/>
    <w:rsid w:val="00BA794F"/>
    <w:rsid w:val="00BB22F6"/>
    <w:rsid w:val="00BB4005"/>
    <w:rsid w:val="00BB41B1"/>
    <w:rsid w:val="00BB4B34"/>
    <w:rsid w:val="00BB4E3E"/>
    <w:rsid w:val="00BB518D"/>
    <w:rsid w:val="00BB6845"/>
    <w:rsid w:val="00BB6A17"/>
    <w:rsid w:val="00BB7247"/>
    <w:rsid w:val="00BC1F07"/>
    <w:rsid w:val="00BC2441"/>
    <w:rsid w:val="00BC74C7"/>
    <w:rsid w:val="00BC765E"/>
    <w:rsid w:val="00BD0A62"/>
    <w:rsid w:val="00BD1CA9"/>
    <w:rsid w:val="00BD28C3"/>
    <w:rsid w:val="00BE041A"/>
    <w:rsid w:val="00BE07E8"/>
    <w:rsid w:val="00BE09DF"/>
    <w:rsid w:val="00BE121D"/>
    <w:rsid w:val="00BE1AF7"/>
    <w:rsid w:val="00BE6131"/>
    <w:rsid w:val="00BE655E"/>
    <w:rsid w:val="00BE73B9"/>
    <w:rsid w:val="00BF2D8B"/>
    <w:rsid w:val="00BF39A0"/>
    <w:rsid w:val="00BF3F6C"/>
    <w:rsid w:val="00BF5411"/>
    <w:rsid w:val="00BF57C8"/>
    <w:rsid w:val="00BF6A56"/>
    <w:rsid w:val="00BF74ED"/>
    <w:rsid w:val="00BF7DB0"/>
    <w:rsid w:val="00C00128"/>
    <w:rsid w:val="00C003E1"/>
    <w:rsid w:val="00C01158"/>
    <w:rsid w:val="00C01AE6"/>
    <w:rsid w:val="00C01E20"/>
    <w:rsid w:val="00C0597F"/>
    <w:rsid w:val="00C06A06"/>
    <w:rsid w:val="00C06A61"/>
    <w:rsid w:val="00C1023B"/>
    <w:rsid w:val="00C10342"/>
    <w:rsid w:val="00C13F64"/>
    <w:rsid w:val="00C152A7"/>
    <w:rsid w:val="00C16305"/>
    <w:rsid w:val="00C21E6E"/>
    <w:rsid w:val="00C23690"/>
    <w:rsid w:val="00C264C5"/>
    <w:rsid w:val="00C26BE5"/>
    <w:rsid w:val="00C30F81"/>
    <w:rsid w:val="00C31D62"/>
    <w:rsid w:val="00C31D63"/>
    <w:rsid w:val="00C33A4F"/>
    <w:rsid w:val="00C34AB3"/>
    <w:rsid w:val="00C35B80"/>
    <w:rsid w:val="00C3694B"/>
    <w:rsid w:val="00C37528"/>
    <w:rsid w:val="00C40B6F"/>
    <w:rsid w:val="00C4196D"/>
    <w:rsid w:val="00C42009"/>
    <w:rsid w:val="00C423AF"/>
    <w:rsid w:val="00C42767"/>
    <w:rsid w:val="00C42BD6"/>
    <w:rsid w:val="00C44849"/>
    <w:rsid w:val="00C45FDB"/>
    <w:rsid w:val="00C46890"/>
    <w:rsid w:val="00C5170E"/>
    <w:rsid w:val="00C52019"/>
    <w:rsid w:val="00C52BFA"/>
    <w:rsid w:val="00C56CD2"/>
    <w:rsid w:val="00C572F7"/>
    <w:rsid w:val="00C60270"/>
    <w:rsid w:val="00C6036C"/>
    <w:rsid w:val="00C61225"/>
    <w:rsid w:val="00C61B3A"/>
    <w:rsid w:val="00C63282"/>
    <w:rsid w:val="00C667F8"/>
    <w:rsid w:val="00C671B4"/>
    <w:rsid w:val="00C70FF3"/>
    <w:rsid w:val="00C718A0"/>
    <w:rsid w:val="00C71E47"/>
    <w:rsid w:val="00C72E1D"/>
    <w:rsid w:val="00C73120"/>
    <w:rsid w:val="00C73C6E"/>
    <w:rsid w:val="00C7419F"/>
    <w:rsid w:val="00C754EB"/>
    <w:rsid w:val="00C75B41"/>
    <w:rsid w:val="00C75CCD"/>
    <w:rsid w:val="00C77BD1"/>
    <w:rsid w:val="00C80E1C"/>
    <w:rsid w:val="00C816ED"/>
    <w:rsid w:val="00C82D60"/>
    <w:rsid w:val="00C82E63"/>
    <w:rsid w:val="00C8447D"/>
    <w:rsid w:val="00C84620"/>
    <w:rsid w:val="00C87530"/>
    <w:rsid w:val="00C905E0"/>
    <w:rsid w:val="00C9240F"/>
    <w:rsid w:val="00C925DB"/>
    <w:rsid w:val="00C95771"/>
    <w:rsid w:val="00C97F8C"/>
    <w:rsid w:val="00CA00C0"/>
    <w:rsid w:val="00CA0675"/>
    <w:rsid w:val="00CA073C"/>
    <w:rsid w:val="00CA1117"/>
    <w:rsid w:val="00CA14F7"/>
    <w:rsid w:val="00CA2B7A"/>
    <w:rsid w:val="00CA63FD"/>
    <w:rsid w:val="00CB1985"/>
    <w:rsid w:val="00CB2C84"/>
    <w:rsid w:val="00CB669D"/>
    <w:rsid w:val="00CB6CD2"/>
    <w:rsid w:val="00CC126D"/>
    <w:rsid w:val="00CC1D31"/>
    <w:rsid w:val="00CC4672"/>
    <w:rsid w:val="00CC4C31"/>
    <w:rsid w:val="00CC55C7"/>
    <w:rsid w:val="00CC66F4"/>
    <w:rsid w:val="00CD143D"/>
    <w:rsid w:val="00CD1D4D"/>
    <w:rsid w:val="00CD4F40"/>
    <w:rsid w:val="00CE1650"/>
    <w:rsid w:val="00CE16C9"/>
    <w:rsid w:val="00CE1874"/>
    <w:rsid w:val="00CE455E"/>
    <w:rsid w:val="00CE4B8E"/>
    <w:rsid w:val="00CF2192"/>
    <w:rsid w:val="00CF57E1"/>
    <w:rsid w:val="00CF5A88"/>
    <w:rsid w:val="00CF61D9"/>
    <w:rsid w:val="00CF66F9"/>
    <w:rsid w:val="00D009DA"/>
    <w:rsid w:val="00D00A62"/>
    <w:rsid w:val="00D017FA"/>
    <w:rsid w:val="00D03430"/>
    <w:rsid w:val="00D03752"/>
    <w:rsid w:val="00D04324"/>
    <w:rsid w:val="00D04714"/>
    <w:rsid w:val="00D065FE"/>
    <w:rsid w:val="00D10080"/>
    <w:rsid w:val="00D1098F"/>
    <w:rsid w:val="00D10ABF"/>
    <w:rsid w:val="00D12F1B"/>
    <w:rsid w:val="00D150E0"/>
    <w:rsid w:val="00D15416"/>
    <w:rsid w:val="00D160C0"/>
    <w:rsid w:val="00D17FA5"/>
    <w:rsid w:val="00D20ACB"/>
    <w:rsid w:val="00D22E8C"/>
    <w:rsid w:val="00D244B0"/>
    <w:rsid w:val="00D24A3E"/>
    <w:rsid w:val="00D2510A"/>
    <w:rsid w:val="00D30402"/>
    <w:rsid w:val="00D34798"/>
    <w:rsid w:val="00D4199B"/>
    <w:rsid w:val="00D41F83"/>
    <w:rsid w:val="00D4327A"/>
    <w:rsid w:val="00D43C39"/>
    <w:rsid w:val="00D45305"/>
    <w:rsid w:val="00D45D94"/>
    <w:rsid w:val="00D46D68"/>
    <w:rsid w:val="00D47367"/>
    <w:rsid w:val="00D540FE"/>
    <w:rsid w:val="00D54713"/>
    <w:rsid w:val="00D55A63"/>
    <w:rsid w:val="00D5731A"/>
    <w:rsid w:val="00D61822"/>
    <w:rsid w:val="00D64863"/>
    <w:rsid w:val="00D64FAB"/>
    <w:rsid w:val="00D65232"/>
    <w:rsid w:val="00D66183"/>
    <w:rsid w:val="00D6633E"/>
    <w:rsid w:val="00D66672"/>
    <w:rsid w:val="00D70021"/>
    <w:rsid w:val="00D715E6"/>
    <w:rsid w:val="00D73031"/>
    <w:rsid w:val="00D7317F"/>
    <w:rsid w:val="00D74C1E"/>
    <w:rsid w:val="00D74EB3"/>
    <w:rsid w:val="00D8020D"/>
    <w:rsid w:val="00D80C53"/>
    <w:rsid w:val="00D80DD5"/>
    <w:rsid w:val="00D810D7"/>
    <w:rsid w:val="00D83700"/>
    <w:rsid w:val="00D85258"/>
    <w:rsid w:val="00D8623A"/>
    <w:rsid w:val="00D864CB"/>
    <w:rsid w:val="00D87BB6"/>
    <w:rsid w:val="00D87C27"/>
    <w:rsid w:val="00D91ED5"/>
    <w:rsid w:val="00D92580"/>
    <w:rsid w:val="00D9431E"/>
    <w:rsid w:val="00D95044"/>
    <w:rsid w:val="00DA11DD"/>
    <w:rsid w:val="00DA4303"/>
    <w:rsid w:val="00DA4E57"/>
    <w:rsid w:val="00DA5A1A"/>
    <w:rsid w:val="00DB1ADA"/>
    <w:rsid w:val="00DB1DFC"/>
    <w:rsid w:val="00DB2875"/>
    <w:rsid w:val="00DB3B17"/>
    <w:rsid w:val="00DB4633"/>
    <w:rsid w:val="00DB514B"/>
    <w:rsid w:val="00DB62A2"/>
    <w:rsid w:val="00DB64B2"/>
    <w:rsid w:val="00DC1E1B"/>
    <w:rsid w:val="00DC386D"/>
    <w:rsid w:val="00DC4234"/>
    <w:rsid w:val="00DC5D13"/>
    <w:rsid w:val="00DC600D"/>
    <w:rsid w:val="00DD0D72"/>
    <w:rsid w:val="00DD16D4"/>
    <w:rsid w:val="00DD2D0B"/>
    <w:rsid w:val="00DD4ADC"/>
    <w:rsid w:val="00DD68C1"/>
    <w:rsid w:val="00DD6CA8"/>
    <w:rsid w:val="00DD7034"/>
    <w:rsid w:val="00DE0155"/>
    <w:rsid w:val="00DE1837"/>
    <w:rsid w:val="00DE4CEE"/>
    <w:rsid w:val="00DE527E"/>
    <w:rsid w:val="00DE6E31"/>
    <w:rsid w:val="00DF0545"/>
    <w:rsid w:val="00DF0B3D"/>
    <w:rsid w:val="00DF0C67"/>
    <w:rsid w:val="00DF1003"/>
    <w:rsid w:val="00DF3FC8"/>
    <w:rsid w:val="00DF4A78"/>
    <w:rsid w:val="00DF5C81"/>
    <w:rsid w:val="00DF5E8F"/>
    <w:rsid w:val="00DF6C7D"/>
    <w:rsid w:val="00DF7D9A"/>
    <w:rsid w:val="00E00A53"/>
    <w:rsid w:val="00E019A7"/>
    <w:rsid w:val="00E03815"/>
    <w:rsid w:val="00E03EC3"/>
    <w:rsid w:val="00E0407D"/>
    <w:rsid w:val="00E0408F"/>
    <w:rsid w:val="00E1128E"/>
    <w:rsid w:val="00E130F9"/>
    <w:rsid w:val="00E1646E"/>
    <w:rsid w:val="00E16780"/>
    <w:rsid w:val="00E16B0C"/>
    <w:rsid w:val="00E16EC1"/>
    <w:rsid w:val="00E178C9"/>
    <w:rsid w:val="00E2152A"/>
    <w:rsid w:val="00E23531"/>
    <w:rsid w:val="00E24AE5"/>
    <w:rsid w:val="00E250EC"/>
    <w:rsid w:val="00E252B2"/>
    <w:rsid w:val="00E2702A"/>
    <w:rsid w:val="00E27CE9"/>
    <w:rsid w:val="00E27D67"/>
    <w:rsid w:val="00E30381"/>
    <w:rsid w:val="00E3154F"/>
    <w:rsid w:val="00E31617"/>
    <w:rsid w:val="00E326BC"/>
    <w:rsid w:val="00E33DDF"/>
    <w:rsid w:val="00E33F2C"/>
    <w:rsid w:val="00E34435"/>
    <w:rsid w:val="00E34B17"/>
    <w:rsid w:val="00E35A3D"/>
    <w:rsid w:val="00E36307"/>
    <w:rsid w:val="00E3633D"/>
    <w:rsid w:val="00E36F6A"/>
    <w:rsid w:val="00E3722C"/>
    <w:rsid w:val="00E37464"/>
    <w:rsid w:val="00E3790D"/>
    <w:rsid w:val="00E40436"/>
    <w:rsid w:val="00E4323B"/>
    <w:rsid w:val="00E43A81"/>
    <w:rsid w:val="00E4452E"/>
    <w:rsid w:val="00E4743A"/>
    <w:rsid w:val="00E51775"/>
    <w:rsid w:val="00E51AD1"/>
    <w:rsid w:val="00E52D98"/>
    <w:rsid w:val="00E5398C"/>
    <w:rsid w:val="00E56AEB"/>
    <w:rsid w:val="00E578A6"/>
    <w:rsid w:val="00E6076C"/>
    <w:rsid w:val="00E617A7"/>
    <w:rsid w:val="00E6310E"/>
    <w:rsid w:val="00E63694"/>
    <w:rsid w:val="00E647D3"/>
    <w:rsid w:val="00E65A5C"/>
    <w:rsid w:val="00E6743F"/>
    <w:rsid w:val="00E709E2"/>
    <w:rsid w:val="00E729B0"/>
    <w:rsid w:val="00E73CC2"/>
    <w:rsid w:val="00E7442C"/>
    <w:rsid w:val="00E745B6"/>
    <w:rsid w:val="00E74EF6"/>
    <w:rsid w:val="00E816D8"/>
    <w:rsid w:val="00E82CFA"/>
    <w:rsid w:val="00E8314A"/>
    <w:rsid w:val="00E843FF"/>
    <w:rsid w:val="00E85C97"/>
    <w:rsid w:val="00E90230"/>
    <w:rsid w:val="00E90AC7"/>
    <w:rsid w:val="00E93758"/>
    <w:rsid w:val="00E94072"/>
    <w:rsid w:val="00E96979"/>
    <w:rsid w:val="00EA05FA"/>
    <w:rsid w:val="00EA33F9"/>
    <w:rsid w:val="00EA42A2"/>
    <w:rsid w:val="00EA4E18"/>
    <w:rsid w:val="00EA63FC"/>
    <w:rsid w:val="00EA6B9D"/>
    <w:rsid w:val="00EB0BDB"/>
    <w:rsid w:val="00EB0FC2"/>
    <w:rsid w:val="00EB528C"/>
    <w:rsid w:val="00EB544D"/>
    <w:rsid w:val="00EB72C0"/>
    <w:rsid w:val="00EB7BE8"/>
    <w:rsid w:val="00EB7D55"/>
    <w:rsid w:val="00EB7F22"/>
    <w:rsid w:val="00EC3711"/>
    <w:rsid w:val="00EC469B"/>
    <w:rsid w:val="00EC70E5"/>
    <w:rsid w:val="00ED05BF"/>
    <w:rsid w:val="00ED0B47"/>
    <w:rsid w:val="00ED24BB"/>
    <w:rsid w:val="00ED2CC3"/>
    <w:rsid w:val="00ED44B3"/>
    <w:rsid w:val="00ED5A64"/>
    <w:rsid w:val="00ED63A2"/>
    <w:rsid w:val="00ED6B12"/>
    <w:rsid w:val="00ED6D4F"/>
    <w:rsid w:val="00EE18FA"/>
    <w:rsid w:val="00EE1E47"/>
    <w:rsid w:val="00EE2031"/>
    <w:rsid w:val="00EE20A8"/>
    <w:rsid w:val="00EE2D4B"/>
    <w:rsid w:val="00EE3398"/>
    <w:rsid w:val="00EE348B"/>
    <w:rsid w:val="00EE6400"/>
    <w:rsid w:val="00EF045E"/>
    <w:rsid w:val="00EF0EB8"/>
    <w:rsid w:val="00EF2EE0"/>
    <w:rsid w:val="00EF4EA2"/>
    <w:rsid w:val="00EF7A52"/>
    <w:rsid w:val="00EF7C55"/>
    <w:rsid w:val="00F00FF7"/>
    <w:rsid w:val="00F0229B"/>
    <w:rsid w:val="00F02B82"/>
    <w:rsid w:val="00F03007"/>
    <w:rsid w:val="00F05247"/>
    <w:rsid w:val="00F064DC"/>
    <w:rsid w:val="00F07148"/>
    <w:rsid w:val="00F078D1"/>
    <w:rsid w:val="00F1002F"/>
    <w:rsid w:val="00F10F4D"/>
    <w:rsid w:val="00F174CF"/>
    <w:rsid w:val="00F17C2D"/>
    <w:rsid w:val="00F2039B"/>
    <w:rsid w:val="00F2175A"/>
    <w:rsid w:val="00F21CE7"/>
    <w:rsid w:val="00F21F57"/>
    <w:rsid w:val="00F220E2"/>
    <w:rsid w:val="00F230CC"/>
    <w:rsid w:val="00F26C80"/>
    <w:rsid w:val="00F306CB"/>
    <w:rsid w:val="00F3376B"/>
    <w:rsid w:val="00F3667D"/>
    <w:rsid w:val="00F4288B"/>
    <w:rsid w:val="00F42B86"/>
    <w:rsid w:val="00F46269"/>
    <w:rsid w:val="00F465C8"/>
    <w:rsid w:val="00F47F93"/>
    <w:rsid w:val="00F52CEC"/>
    <w:rsid w:val="00F53C82"/>
    <w:rsid w:val="00F53F92"/>
    <w:rsid w:val="00F548B3"/>
    <w:rsid w:val="00F56335"/>
    <w:rsid w:val="00F5635F"/>
    <w:rsid w:val="00F63ECF"/>
    <w:rsid w:val="00F64013"/>
    <w:rsid w:val="00F649BE"/>
    <w:rsid w:val="00F66318"/>
    <w:rsid w:val="00F6654F"/>
    <w:rsid w:val="00F66960"/>
    <w:rsid w:val="00F66D91"/>
    <w:rsid w:val="00F7132E"/>
    <w:rsid w:val="00F7250D"/>
    <w:rsid w:val="00F7687A"/>
    <w:rsid w:val="00F773D7"/>
    <w:rsid w:val="00F81448"/>
    <w:rsid w:val="00F8366A"/>
    <w:rsid w:val="00F84576"/>
    <w:rsid w:val="00F8465B"/>
    <w:rsid w:val="00F862C6"/>
    <w:rsid w:val="00F87FFE"/>
    <w:rsid w:val="00F900E8"/>
    <w:rsid w:val="00F91687"/>
    <w:rsid w:val="00F91A79"/>
    <w:rsid w:val="00F93ACF"/>
    <w:rsid w:val="00F94D27"/>
    <w:rsid w:val="00F9659C"/>
    <w:rsid w:val="00F96959"/>
    <w:rsid w:val="00FA10E8"/>
    <w:rsid w:val="00FA2106"/>
    <w:rsid w:val="00FA54AF"/>
    <w:rsid w:val="00FA5F07"/>
    <w:rsid w:val="00FA7FA8"/>
    <w:rsid w:val="00FB1258"/>
    <w:rsid w:val="00FB2E53"/>
    <w:rsid w:val="00FB43F7"/>
    <w:rsid w:val="00FC04AE"/>
    <w:rsid w:val="00FC2884"/>
    <w:rsid w:val="00FC3514"/>
    <w:rsid w:val="00FC43C8"/>
    <w:rsid w:val="00FC46E8"/>
    <w:rsid w:val="00FC4817"/>
    <w:rsid w:val="00FC4A40"/>
    <w:rsid w:val="00FC4EF1"/>
    <w:rsid w:val="00FC7672"/>
    <w:rsid w:val="00FC7854"/>
    <w:rsid w:val="00FD0670"/>
    <w:rsid w:val="00FD10F6"/>
    <w:rsid w:val="00FD2EC0"/>
    <w:rsid w:val="00FD3368"/>
    <w:rsid w:val="00FD565A"/>
    <w:rsid w:val="00FD5F53"/>
    <w:rsid w:val="00FE0303"/>
    <w:rsid w:val="00FE240F"/>
    <w:rsid w:val="00FE247F"/>
    <w:rsid w:val="00FE263F"/>
    <w:rsid w:val="00FE29DC"/>
    <w:rsid w:val="00FE3AD8"/>
    <w:rsid w:val="00FE4E79"/>
    <w:rsid w:val="00FE6A94"/>
    <w:rsid w:val="00FE730D"/>
    <w:rsid w:val="00FE78F4"/>
    <w:rsid w:val="00FF05EE"/>
    <w:rsid w:val="00FF251E"/>
    <w:rsid w:val="00FF26C3"/>
    <w:rsid w:val="00FF4AC1"/>
    <w:rsid w:val="00FF4BF5"/>
    <w:rsid w:val="00FF6508"/>
    <w:rsid w:val="00FF754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5A8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jc w:val="both"/>
    </w:pPr>
    <w:rPr>
      <w:sz w:val="24"/>
      <w:szCs w:val="24"/>
      <w:lang w:val="nl-NL"/>
    </w:rPr>
  </w:style>
  <w:style w:type="paragraph" w:styleId="Kop1">
    <w:name w:val="heading 1"/>
    <w:basedOn w:val="Standaard"/>
    <w:next w:val="Kop2"/>
    <w:link w:val="Kop1Teken"/>
    <w:qFormat/>
    <w:pPr>
      <w:keepNext/>
      <w:keepLines/>
      <w:numPr>
        <w:numId w:val="1"/>
      </w:numPr>
      <w:jc w:val="left"/>
      <w:outlineLvl w:val="0"/>
    </w:pPr>
    <w:rPr>
      <w:rFonts w:cs="Arial"/>
      <w:b/>
      <w:bCs/>
      <w:caps/>
      <w:sz w:val="36"/>
      <w:szCs w:val="32"/>
    </w:rPr>
  </w:style>
  <w:style w:type="paragraph" w:styleId="Kop2">
    <w:name w:val="heading 2"/>
    <w:basedOn w:val="Standaard"/>
    <w:next w:val="Nummer"/>
    <w:link w:val="Kop2Teken"/>
    <w:qFormat/>
    <w:pPr>
      <w:keepNext/>
      <w:keepLines/>
      <w:numPr>
        <w:ilvl w:val="1"/>
        <w:numId w:val="1"/>
      </w:numPr>
      <w:spacing w:before="240"/>
      <w:jc w:val="left"/>
      <w:outlineLvl w:val="1"/>
    </w:pPr>
    <w:rPr>
      <w:rFonts w:cs="Arial"/>
      <w:b/>
      <w:bCs/>
      <w:iCs/>
      <w:caps/>
      <w:szCs w:val="28"/>
    </w:rPr>
  </w:style>
  <w:style w:type="paragraph" w:styleId="Kop3">
    <w:name w:val="heading 3"/>
    <w:basedOn w:val="Standaard"/>
    <w:next w:val="Nummer"/>
    <w:qFormat/>
    <w:pPr>
      <w:keepNext/>
      <w:keepLines/>
      <w:numPr>
        <w:ilvl w:val="2"/>
        <w:numId w:val="1"/>
      </w:numPr>
      <w:spacing w:before="240"/>
      <w:jc w:val="left"/>
      <w:outlineLvl w:val="2"/>
    </w:pPr>
    <w:rPr>
      <w:rFonts w:cs="Arial"/>
      <w:bCs/>
      <w:caps/>
      <w:szCs w:val="26"/>
    </w:rPr>
  </w:style>
  <w:style w:type="paragraph" w:styleId="Kop4">
    <w:name w:val="heading 4"/>
    <w:basedOn w:val="Standaard"/>
    <w:next w:val="Nummer"/>
    <w:link w:val="Kop4Teken"/>
    <w:qFormat/>
    <w:pPr>
      <w:keepNext/>
      <w:keepLines/>
      <w:numPr>
        <w:ilvl w:val="3"/>
        <w:numId w:val="1"/>
      </w:numPr>
      <w:spacing w:before="240"/>
      <w:jc w:val="left"/>
      <w:outlineLvl w:val="3"/>
    </w:pPr>
    <w:rPr>
      <w:b/>
      <w:bCs/>
      <w:szCs w:val="28"/>
    </w:rPr>
  </w:style>
  <w:style w:type="paragraph" w:styleId="Kop5">
    <w:name w:val="heading 5"/>
    <w:basedOn w:val="Standaard"/>
    <w:next w:val="Nummer"/>
    <w:link w:val="Kop5Teken"/>
    <w:qFormat/>
    <w:pPr>
      <w:keepNext/>
      <w:keepLines/>
      <w:numPr>
        <w:ilvl w:val="4"/>
        <w:numId w:val="1"/>
      </w:numPr>
      <w:spacing w:before="240"/>
      <w:jc w:val="left"/>
      <w:outlineLvl w:val="4"/>
    </w:pPr>
    <w:rPr>
      <w:b/>
      <w:bCs/>
      <w:i/>
      <w:iCs/>
      <w:szCs w:val="26"/>
    </w:rPr>
  </w:style>
  <w:style w:type="paragraph" w:styleId="Kop6">
    <w:name w:val="heading 6"/>
    <w:basedOn w:val="Standaard"/>
    <w:next w:val="Nummer"/>
    <w:qFormat/>
    <w:pPr>
      <w:keepNext/>
      <w:keepLines/>
      <w:numPr>
        <w:ilvl w:val="5"/>
        <w:numId w:val="1"/>
      </w:numPr>
      <w:spacing w:before="240"/>
      <w:jc w:val="left"/>
      <w:outlineLvl w:val="5"/>
    </w:pPr>
    <w:rPr>
      <w:bCs/>
      <w:i/>
      <w:szCs w:val="22"/>
    </w:rPr>
  </w:style>
  <w:style w:type="paragraph" w:styleId="Kop7">
    <w:name w:val="heading 7"/>
    <w:basedOn w:val="Standaard"/>
    <w:next w:val="Nummer"/>
    <w:qFormat/>
    <w:pPr>
      <w:keepNext/>
      <w:keepLines/>
      <w:numPr>
        <w:ilvl w:val="6"/>
        <w:numId w:val="1"/>
      </w:numPr>
      <w:spacing w:before="240"/>
      <w:jc w:val="left"/>
      <w:outlineLvl w:val="6"/>
    </w:pPr>
    <w:rPr>
      <w:i/>
    </w:rPr>
  </w:style>
  <w:style w:type="paragraph" w:styleId="Kop8">
    <w:name w:val="heading 8"/>
    <w:basedOn w:val="Standaard"/>
    <w:next w:val="Nummer"/>
    <w:qFormat/>
    <w:pPr>
      <w:keepNext/>
      <w:keepLines/>
      <w:numPr>
        <w:ilvl w:val="7"/>
        <w:numId w:val="1"/>
      </w:numPr>
      <w:spacing w:before="240"/>
      <w:jc w:val="left"/>
      <w:outlineLvl w:val="7"/>
    </w:pPr>
    <w:rPr>
      <w:iCs/>
    </w:rPr>
  </w:style>
  <w:style w:type="paragraph" w:styleId="Kop9">
    <w:name w:val="heading 9"/>
    <w:basedOn w:val="Standaard"/>
    <w:next w:val="Standaard"/>
    <w:qFormat/>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Teken"/>
    <w:uiPriority w:val="99"/>
    <w:pPr>
      <w:tabs>
        <w:tab w:val="center" w:pos="4536"/>
        <w:tab w:val="right" w:pos="9072"/>
      </w:tabs>
    </w:pPr>
  </w:style>
  <w:style w:type="character" w:styleId="Paginanummer">
    <w:name w:val="page number"/>
    <w:basedOn w:val="Standaardalinea-lettertype"/>
  </w:style>
  <w:style w:type="paragraph" w:styleId="Voetnoottekst">
    <w:name w:val="footnote text"/>
    <w:basedOn w:val="Standaard"/>
    <w:link w:val="VoetnoottekstTeken"/>
    <w:uiPriority w:val="99"/>
    <w:rPr>
      <w:sz w:val="18"/>
      <w:szCs w:val="20"/>
    </w:rPr>
  </w:style>
  <w:style w:type="paragraph" w:customStyle="1" w:styleId="12ptvoor">
    <w:name w:val="_12pt voor"/>
    <w:basedOn w:val="Standaard"/>
    <w:pPr>
      <w:spacing w:before="240"/>
    </w:pPr>
  </w:style>
  <w:style w:type="paragraph" w:customStyle="1" w:styleId="Insprong125cm">
    <w:name w:val="_Insprong 1.25cm"/>
    <w:basedOn w:val="Standaard"/>
    <w:pPr>
      <w:ind w:firstLine="709"/>
    </w:pPr>
  </w:style>
  <w:style w:type="paragraph" w:customStyle="1" w:styleId="12ptvoorinsprong125cm">
    <w:name w:val="_12pt voor+insprong 1.25cm"/>
    <w:basedOn w:val="12ptvoor"/>
    <w:pPr>
      <w:ind w:firstLine="709"/>
    </w:pPr>
  </w:style>
  <w:style w:type="character" w:customStyle="1" w:styleId="Vet">
    <w:name w:val="_Vet"/>
    <w:rPr>
      <w:b/>
      <w:lang w:val="nl-NL"/>
    </w:rPr>
  </w:style>
  <w:style w:type="character" w:customStyle="1" w:styleId="Cursief">
    <w:name w:val="_Cursief"/>
    <w:rPr>
      <w:i/>
      <w:lang w:val="nl-NL"/>
    </w:rPr>
  </w:style>
  <w:style w:type="paragraph" w:styleId="Inhopg1">
    <w:name w:val="toc 1"/>
    <w:basedOn w:val="Standaard"/>
    <w:next w:val="Standaard"/>
    <w:autoRedefine/>
    <w:uiPriority w:val="39"/>
    <w:pPr>
      <w:tabs>
        <w:tab w:val="right" w:leader="dot" w:pos="9061"/>
      </w:tabs>
      <w:spacing w:before="480"/>
      <w:jc w:val="left"/>
    </w:pPr>
    <w:rPr>
      <w:b/>
      <w:caps/>
      <w:noProof/>
    </w:rPr>
  </w:style>
  <w:style w:type="paragraph" w:styleId="Inhopg2">
    <w:name w:val="toc 2"/>
    <w:basedOn w:val="Standaard"/>
    <w:next w:val="Standaard"/>
    <w:autoRedefine/>
    <w:uiPriority w:val="39"/>
    <w:pPr>
      <w:tabs>
        <w:tab w:val="right" w:leader="dot" w:pos="9061"/>
      </w:tabs>
      <w:spacing w:before="240"/>
      <w:jc w:val="left"/>
    </w:pPr>
    <w:rPr>
      <w:b/>
      <w:bCs/>
      <w:caps/>
      <w:noProof/>
    </w:rPr>
  </w:style>
  <w:style w:type="paragraph" w:styleId="Inhopg3">
    <w:name w:val="toc 3"/>
    <w:basedOn w:val="Standaard"/>
    <w:next w:val="Standaard"/>
    <w:autoRedefine/>
    <w:uiPriority w:val="39"/>
    <w:pPr>
      <w:tabs>
        <w:tab w:val="right" w:leader="dot" w:pos="9061"/>
      </w:tabs>
      <w:spacing w:before="240"/>
      <w:jc w:val="left"/>
    </w:pPr>
    <w:rPr>
      <w:smallCaps/>
      <w:noProof/>
    </w:rPr>
  </w:style>
  <w:style w:type="paragraph" w:styleId="Inhopg4">
    <w:name w:val="toc 4"/>
    <w:basedOn w:val="Standaard"/>
    <w:next w:val="Standaard"/>
    <w:autoRedefine/>
    <w:uiPriority w:val="39"/>
    <w:pPr>
      <w:tabs>
        <w:tab w:val="right" w:leader="dot" w:pos="9061"/>
      </w:tabs>
      <w:ind w:left="284"/>
      <w:jc w:val="left"/>
    </w:pPr>
    <w:rPr>
      <w:i/>
      <w:iCs/>
      <w:noProof/>
    </w:rPr>
  </w:style>
  <w:style w:type="paragraph" w:styleId="Inhopg5">
    <w:name w:val="toc 5"/>
    <w:basedOn w:val="Standaard"/>
    <w:next w:val="Standaard"/>
    <w:autoRedefine/>
    <w:uiPriority w:val="39"/>
    <w:pPr>
      <w:tabs>
        <w:tab w:val="right" w:leader="dot" w:pos="9061"/>
      </w:tabs>
      <w:ind w:left="567"/>
      <w:jc w:val="left"/>
    </w:pPr>
    <w:rPr>
      <w:noProof/>
    </w:rPr>
  </w:style>
  <w:style w:type="paragraph" w:styleId="Inhopg6">
    <w:name w:val="toc 6"/>
    <w:basedOn w:val="Standaard"/>
    <w:next w:val="Standaard"/>
    <w:autoRedefine/>
    <w:uiPriority w:val="39"/>
    <w:pPr>
      <w:tabs>
        <w:tab w:val="right" w:leader="dot" w:pos="9061"/>
      </w:tabs>
      <w:ind w:left="851"/>
      <w:jc w:val="left"/>
    </w:pPr>
    <w:rPr>
      <w:noProof/>
    </w:rPr>
  </w:style>
  <w:style w:type="paragraph" w:styleId="Inhopg7">
    <w:name w:val="toc 7"/>
    <w:basedOn w:val="Standaard"/>
    <w:next w:val="Standaard"/>
    <w:autoRedefine/>
    <w:pPr>
      <w:tabs>
        <w:tab w:val="right" w:leader="dot" w:pos="9061"/>
      </w:tabs>
      <w:ind w:left="1134"/>
      <w:jc w:val="left"/>
    </w:pPr>
    <w:rPr>
      <w:noProof/>
    </w:rPr>
  </w:style>
  <w:style w:type="paragraph" w:styleId="Inhopg8">
    <w:name w:val="toc 8"/>
    <w:basedOn w:val="Standaard"/>
    <w:next w:val="Standaard"/>
    <w:autoRedefine/>
    <w:pPr>
      <w:tabs>
        <w:tab w:val="right" w:leader="dot" w:pos="9061"/>
      </w:tabs>
      <w:ind w:left="1440"/>
      <w:jc w:val="left"/>
    </w:pPr>
    <w:rPr>
      <w:noProof/>
    </w:rPr>
  </w:style>
  <w:style w:type="paragraph" w:styleId="Inhopg9">
    <w:name w:val="toc 9"/>
    <w:basedOn w:val="Standaard"/>
    <w:next w:val="Standaard"/>
    <w:autoRedefine/>
    <w:semiHidden/>
    <w:pPr>
      <w:ind w:left="1760"/>
    </w:pPr>
  </w:style>
  <w:style w:type="character" w:styleId="Hyperlink">
    <w:name w:val="Hyperlink"/>
    <w:semiHidden/>
    <w:rPr>
      <w:color w:val="0000FF"/>
      <w:u w:val="single"/>
    </w:rPr>
  </w:style>
  <w:style w:type="paragraph" w:customStyle="1" w:styleId="Nummer">
    <w:name w:val="_Nummer"/>
    <w:basedOn w:val="12ptvoor"/>
    <w:rsid w:val="000F4ECA"/>
    <w:pPr>
      <w:numPr>
        <w:numId w:val="15"/>
      </w:numPr>
    </w:pPr>
  </w:style>
  <w:style w:type="character" w:styleId="GevolgdeHyperlink">
    <w:name w:val="FollowedHyperlink"/>
    <w:semiHidden/>
    <w:rPr>
      <w:color w:val="800080"/>
      <w:u w:val="single"/>
    </w:rPr>
  </w:style>
  <w:style w:type="paragraph" w:styleId="Ballontekst">
    <w:name w:val="Balloon Text"/>
    <w:basedOn w:val="Standaard"/>
    <w:semiHidden/>
    <w:rsid w:val="004439B8"/>
    <w:rPr>
      <w:rFonts w:ascii="Tahoma" w:hAnsi="Tahoma" w:cs="Tahoma"/>
      <w:sz w:val="16"/>
      <w:szCs w:val="16"/>
    </w:rPr>
  </w:style>
  <w:style w:type="numbering" w:styleId="111111">
    <w:name w:val="Outline List 2"/>
    <w:basedOn w:val="Geenlijst"/>
    <w:semiHidden/>
    <w:rsid w:val="004730C8"/>
    <w:pPr>
      <w:numPr>
        <w:numId w:val="2"/>
      </w:numPr>
    </w:pPr>
  </w:style>
  <w:style w:type="numbering" w:styleId="1ai">
    <w:name w:val="Outline List 1"/>
    <w:basedOn w:val="Geenlijst"/>
    <w:semiHidden/>
    <w:rsid w:val="004730C8"/>
    <w:pPr>
      <w:numPr>
        <w:numId w:val="3"/>
      </w:numPr>
    </w:pPr>
  </w:style>
  <w:style w:type="table" w:styleId="3D-effectenvoortabel1">
    <w:name w:val="Table 3D effects 1"/>
    <w:basedOn w:val="Standaardtabel"/>
    <w:semiHidden/>
    <w:rsid w:val="004730C8"/>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730C8"/>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730C8"/>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4730C8"/>
  </w:style>
  <w:style w:type="paragraph" w:styleId="Adresenvelop">
    <w:name w:val="envelope address"/>
    <w:basedOn w:val="Standaard"/>
    <w:semiHidden/>
    <w:rsid w:val="004730C8"/>
    <w:pPr>
      <w:framePr w:w="7920" w:h="1980" w:hRule="exact" w:hSpace="141" w:wrap="auto" w:hAnchor="page" w:xAlign="center" w:yAlign="bottom"/>
      <w:ind w:left="2880"/>
    </w:pPr>
    <w:rPr>
      <w:rFonts w:ascii="Arial" w:hAnsi="Arial" w:cs="Arial"/>
    </w:rPr>
  </w:style>
  <w:style w:type="paragraph" w:styleId="Afsluiting">
    <w:name w:val="Closing"/>
    <w:basedOn w:val="Standaard"/>
    <w:semiHidden/>
    <w:rsid w:val="004730C8"/>
    <w:pPr>
      <w:ind w:left="4252"/>
    </w:pPr>
  </w:style>
  <w:style w:type="paragraph" w:styleId="Afzender">
    <w:name w:val="envelope return"/>
    <w:basedOn w:val="Standaard"/>
    <w:semiHidden/>
    <w:rsid w:val="004730C8"/>
    <w:rPr>
      <w:rFonts w:ascii="Arial" w:hAnsi="Arial" w:cs="Arial"/>
      <w:sz w:val="20"/>
      <w:szCs w:val="20"/>
    </w:rPr>
  </w:style>
  <w:style w:type="numbering" w:styleId="Artikelsectie">
    <w:name w:val="Outline List 3"/>
    <w:basedOn w:val="Geenlijst"/>
    <w:semiHidden/>
    <w:rsid w:val="004730C8"/>
    <w:pPr>
      <w:numPr>
        <w:numId w:val="4"/>
      </w:numPr>
    </w:pPr>
  </w:style>
  <w:style w:type="paragraph" w:styleId="Berichtkop">
    <w:name w:val="Message Header"/>
    <w:basedOn w:val="Standaard"/>
    <w:semiHidden/>
    <w:rsid w:val="004730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loktekst">
    <w:name w:val="Block Text"/>
    <w:basedOn w:val="Standaard"/>
    <w:semiHidden/>
    <w:rsid w:val="004730C8"/>
    <w:pPr>
      <w:spacing w:after="120"/>
      <w:ind w:left="1440" w:right="1440"/>
    </w:pPr>
  </w:style>
  <w:style w:type="paragraph" w:styleId="Datum">
    <w:name w:val="Date"/>
    <w:basedOn w:val="Standaard"/>
    <w:next w:val="Standaard"/>
    <w:semiHidden/>
    <w:rsid w:val="004730C8"/>
  </w:style>
  <w:style w:type="table" w:styleId="Eenvoudigetabel1">
    <w:name w:val="Table Simple 1"/>
    <w:basedOn w:val="Standaardtabel"/>
    <w:semiHidden/>
    <w:rsid w:val="004730C8"/>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4730C8"/>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4730C8"/>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4730C8"/>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4730C8"/>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4730C8"/>
  </w:style>
  <w:style w:type="paragraph" w:styleId="Handtekening">
    <w:name w:val="Signature"/>
    <w:basedOn w:val="Standaard"/>
    <w:semiHidden/>
    <w:rsid w:val="004730C8"/>
    <w:pPr>
      <w:ind w:left="4252"/>
    </w:pPr>
  </w:style>
  <w:style w:type="paragraph" w:styleId="HTML-voorafopgemaakt">
    <w:name w:val="HTML Preformatted"/>
    <w:basedOn w:val="Standaard"/>
    <w:semiHidden/>
    <w:rsid w:val="004730C8"/>
    <w:rPr>
      <w:rFonts w:ascii="Courier New" w:hAnsi="Courier New" w:cs="Courier New"/>
      <w:sz w:val="20"/>
      <w:szCs w:val="20"/>
    </w:rPr>
  </w:style>
  <w:style w:type="character" w:styleId="HTML-code">
    <w:name w:val="HTML Code"/>
    <w:semiHidden/>
    <w:rsid w:val="004730C8"/>
    <w:rPr>
      <w:rFonts w:ascii="Courier New" w:hAnsi="Courier New" w:cs="Courier New"/>
      <w:sz w:val="20"/>
      <w:szCs w:val="20"/>
    </w:rPr>
  </w:style>
  <w:style w:type="character" w:styleId="HTML-definitie">
    <w:name w:val="HTML Definition"/>
    <w:semiHidden/>
    <w:rsid w:val="004730C8"/>
    <w:rPr>
      <w:i/>
      <w:iCs/>
    </w:rPr>
  </w:style>
  <w:style w:type="character" w:styleId="HTML-variabele">
    <w:name w:val="HTML Variable"/>
    <w:semiHidden/>
    <w:rsid w:val="004730C8"/>
    <w:rPr>
      <w:i/>
      <w:iCs/>
    </w:rPr>
  </w:style>
  <w:style w:type="character" w:styleId="HTML-acroniem">
    <w:name w:val="HTML Acronym"/>
    <w:basedOn w:val="Standaardalinea-lettertype"/>
    <w:semiHidden/>
    <w:rsid w:val="004730C8"/>
  </w:style>
  <w:style w:type="paragraph" w:styleId="HTML-adres">
    <w:name w:val="HTML Address"/>
    <w:basedOn w:val="Standaard"/>
    <w:semiHidden/>
    <w:rsid w:val="004730C8"/>
    <w:rPr>
      <w:i/>
      <w:iCs/>
    </w:rPr>
  </w:style>
  <w:style w:type="character" w:styleId="HTML-citaat">
    <w:name w:val="HTML Cite"/>
    <w:semiHidden/>
    <w:rsid w:val="004730C8"/>
    <w:rPr>
      <w:i/>
      <w:iCs/>
    </w:rPr>
  </w:style>
  <w:style w:type="character" w:styleId="HTML-schrijfmachine">
    <w:name w:val="HTML Typewriter"/>
    <w:semiHidden/>
    <w:rsid w:val="004730C8"/>
    <w:rPr>
      <w:rFonts w:ascii="Courier New" w:hAnsi="Courier New" w:cs="Courier New"/>
      <w:sz w:val="20"/>
      <w:szCs w:val="20"/>
    </w:rPr>
  </w:style>
  <w:style w:type="character" w:styleId="HTML-toetsenbord">
    <w:name w:val="HTML Keyboard"/>
    <w:semiHidden/>
    <w:rsid w:val="004730C8"/>
    <w:rPr>
      <w:rFonts w:ascii="Courier New" w:hAnsi="Courier New" w:cs="Courier New"/>
      <w:sz w:val="20"/>
      <w:szCs w:val="20"/>
    </w:rPr>
  </w:style>
  <w:style w:type="character" w:styleId="HTML-voorbeeld">
    <w:name w:val="HTML Sample"/>
    <w:semiHidden/>
    <w:rsid w:val="004730C8"/>
    <w:rPr>
      <w:rFonts w:ascii="Courier New" w:hAnsi="Courier New" w:cs="Courier New"/>
    </w:rPr>
  </w:style>
  <w:style w:type="table" w:styleId="Klassieketabel1">
    <w:name w:val="Table Classic 1"/>
    <w:basedOn w:val="Standaardtabel"/>
    <w:semiHidden/>
    <w:rsid w:val="004730C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4730C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4730C8"/>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4730C8"/>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4730C8"/>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4730C8"/>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4730C8"/>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4730C8"/>
    <w:pPr>
      <w:ind w:left="283" w:hanging="283"/>
    </w:pPr>
  </w:style>
  <w:style w:type="paragraph" w:styleId="Lijst2">
    <w:name w:val="List 2"/>
    <w:basedOn w:val="Standaard"/>
    <w:semiHidden/>
    <w:rsid w:val="004730C8"/>
    <w:pPr>
      <w:ind w:left="566" w:hanging="283"/>
    </w:pPr>
  </w:style>
  <w:style w:type="paragraph" w:styleId="Lijst3">
    <w:name w:val="List 3"/>
    <w:basedOn w:val="Standaard"/>
    <w:semiHidden/>
    <w:rsid w:val="004730C8"/>
    <w:pPr>
      <w:ind w:left="849" w:hanging="283"/>
    </w:pPr>
  </w:style>
  <w:style w:type="paragraph" w:styleId="Lijst4">
    <w:name w:val="List 4"/>
    <w:basedOn w:val="Standaard"/>
    <w:semiHidden/>
    <w:rsid w:val="004730C8"/>
    <w:pPr>
      <w:ind w:left="1132" w:hanging="283"/>
    </w:pPr>
  </w:style>
  <w:style w:type="paragraph" w:styleId="Lijst5">
    <w:name w:val="List 5"/>
    <w:basedOn w:val="Standaard"/>
    <w:semiHidden/>
    <w:rsid w:val="004730C8"/>
    <w:pPr>
      <w:ind w:left="1415" w:hanging="283"/>
    </w:pPr>
  </w:style>
  <w:style w:type="paragraph" w:styleId="Lijstopsomteken">
    <w:name w:val="List Bullet"/>
    <w:basedOn w:val="Standaard"/>
    <w:autoRedefine/>
    <w:semiHidden/>
    <w:rsid w:val="004730C8"/>
    <w:pPr>
      <w:numPr>
        <w:numId w:val="5"/>
      </w:numPr>
    </w:pPr>
  </w:style>
  <w:style w:type="paragraph" w:styleId="Lijstopsomteken2">
    <w:name w:val="List Bullet 2"/>
    <w:basedOn w:val="Standaard"/>
    <w:autoRedefine/>
    <w:semiHidden/>
    <w:rsid w:val="004730C8"/>
    <w:pPr>
      <w:numPr>
        <w:numId w:val="6"/>
      </w:numPr>
    </w:pPr>
  </w:style>
  <w:style w:type="paragraph" w:styleId="Lijstopsomteken3">
    <w:name w:val="List Bullet 3"/>
    <w:basedOn w:val="Standaard"/>
    <w:autoRedefine/>
    <w:semiHidden/>
    <w:rsid w:val="004730C8"/>
    <w:pPr>
      <w:numPr>
        <w:numId w:val="7"/>
      </w:numPr>
    </w:pPr>
  </w:style>
  <w:style w:type="paragraph" w:styleId="Lijstopsomteken4">
    <w:name w:val="List Bullet 4"/>
    <w:basedOn w:val="Standaard"/>
    <w:autoRedefine/>
    <w:semiHidden/>
    <w:rsid w:val="004730C8"/>
    <w:pPr>
      <w:numPr>
        <w:numId w:val="8"/>
      </w:numPr>
    </w:pPr>
  </w:style>
  <w:style w:type="paragraph" w:styleId="Lijstopsomteken5">
    <w:name w:val="List Bullet 5"/>
    <w:basedOn w:val="Standaard"/>
    <w:autoRedefine/>
    <w:semiHidden/>
    <w:rsid w:val="004730C8"/>
    <w:pPr>
      <w:numPr>
        <w:numId w:val="9"/>
      </w:numPr>
    </w:pPr>
  </w:style>
  <w:style w:type="paragraph" w:styleId="Lijstnummering">
    <w:name w:val="List Number"/>
    <w:basedOn w:val="Standaard"/>
    <w:semiHidden/>
    <w:rsid w:val="004730C8"/>
    <w:pPr>
      <w:numPr>
        <w:numId w:val="10"/>
      </w:numPr>
    </w:pPr>
  </w:style>
  <w:style w:type="paragraph" w:styleId="Lijstnummering2">
    <w:name w:val="List Number 2"/>
    <w:basedOn w:val="Standaard"/>
    <w:semiHidden/>
    <w:rsid w:val="004730C8"/>
    <w:pPr>
      <w:numPr>
        <w:numId w:val="11"/>
      </w:numPr>
    </w:pPr>
  </w:style>
  <w:style w:type="paragraph" w:styleId="Lijstnummering3">
    <w:name w:val="List Number 3"/>
    <w:basedOn w:val="Standaard"/>
    <w:semiHidden/>
    <w:rsid w:val="004730C8"/>
    <w:pPr>
      <w:numPr>
        <w:numId w:val="12"/>
      </w:numPr>
    </w:pPr>
  </w:style>
  <w:style w:type="paragraph" w:styleId="Lijstnummering4">
    <w:name w:val="List Number 4"/>
    <w:basedOn w:val="Standaard"/>
    <w:semiHidden/>
    <w:rsid w:val="004730C8"/>
    <w:pPr>
      <w:numPr>
        <w:numId w:val="13"/>
      </w:numPr>
    </w:pPr>
  </w:style>
  <w:style w:type="paragraph" w:styleId="Lijstnummering5">
    <w:name w:val="List Number 5"/>
    <w:basedOn w:val="Standaard"/>
    <w:semiHidden/>
    <w:rsid w:val="004730C8"/>
    <w:pPr>
      <w:numPr>
        <w:numId w:val="14"/>
      </w:numPr>
    </w:pPr>
  </w:style>
  <w:style w:type="paragraph" w:styleId="Lijstvoortzetting">
    <w:name w:val="List Continue"/>
    <w:basedOn w:val="Standaard"/>
    <w:semiHidden/>
    <w:rsid w:val="004730C8"/>
    <w:pPr>
      <w:spacing w:after="120"/>
      <w:ind w:left="283"/>
    </w:pPr>
  </w:style>
  <w:style w:type="paragraph" w:styleId="Lijstvoortzetting2">
    <w:name w:val="List Continue 2"/>
    <w:basedOn w:val="Standaard"/>
    <w:semiHidden/>
    <w:rsid w:val="004730C8"/>
    <w:pPr>
      <w:spacing w:after="120"/>
      <w:ind w:left="566"/>
    </w:pPr>
  </w:style>
  <w:style w:type="paragraph" w:styleId="Lijstvoortzetting3">
    <w:name w:val="List Continue 3"/>
    <w:basedOn w:val="Standaard"/>
    <w:semiHidden/>
    <w:rsid w:val="004730C8"/>
    <w:pPr>
      <w:spacing w:after="120"/>
      <w:ind w:left="849"/>
    </w:pPr>
  </w:style>
  <w:style w:type="paragraph" w:styleId="Lijstvoortzetting4">
    <w:name w:val="List Continue 4"/>
    <w:basedOn w:val="Standaard"/>
    <w:semiHidden/>
    <w:rsid w:val="004730C8"/>
    <w:pPr>
      <w:spacing w:after="120"/>
      <w:ind w:left="1132"/>
    </w:pPr>
  </w:style>
  <w:style w:type="paragraph" w:styleId="Lijstvoortzetting5">
    <w:name w:val="List Continue 5"/>
    <w:basedOn w:val="Standaard"/>
    <w:semiHidden/>
    <w:rsid w:val="004730C8"/>
    <w:pPr>
      <w:spacing w:after="120"/>
      <w:ind w:left="1415"/>
    </w:pPr>
  </w:style>
  <w:style w:type="character" w:styleId="Nadruk">
    <w:name w:val="Emphasis"/>
    <w:qFormat/>
    <w:rsid w:val="004730C8"/>
    <w:rPr>
      <w:i/>
      <w:iCs/>
    </w:rPr>
  </w:style>
  <w:style w:type="paragraph" w:styleId="Normaalweb">
    <w:name w:val="Normal (Web)"/>
    <w:basedOn w:val="Standaard"/>
    <w:uiPriority w:val="99"/>
    <w:rsid w:val="004730C8"/>
  </w:style>
  <w:style w:type="paragraph" w:styleId="Notitiekop">
    <w:name w:val="Note Heading"/>
    <w:basedOn w:val="Standaard"/>
    <w:next w:val="Standaard"/>
    <w:semiHidden/>
    <w:rsid w:val="004730C8"/>
  </w:style>
  <w:style w:type="paragraph" w:styleId="Plattetekst">
    <w:name w:val="Body Text"/>
    <w:basedOn w:val="Standaard"/>
    <w:semiHidden/>
    <w:rsid w:val="004730C8"/>
    <w:pPr>
      <w:spacing w:after="120"/>
    </w:pPr>
  </w:style>
  <w:style w:type="paragraph" w:styleId="Plattetekst2">
    <w:name w:val="Body Text 2"/>
    <w:basedOn w:val="Standaard"/>
    <w:semiHidden/>
    <w:rsid w:val="004730C8"/>
    <w:pPr>
      <w:spacing w:after="120" w:line="480" w:lineRule="auto"/>
    </w:pPr>
  </w:style>
  <w:style w:type="paragraph" w:styleId="Plattetekst3">
    <w:name w:val="Body Text 3"/>
    <w:basedOn w:val="Standaard"/>
    <w:semiHidden/>
    <w:rsid w:val="004730C8"/>
    <w:pPr>
      <w:spacing w:after="120"/>
    </w:pPr>
    <w:rPr>
      <w:sz w:val="16"/>
      <w:szCs w:val="16"/>
    </w:rPr>
  </w:style>
  <w:style w:type="paragraph" w:styleId="Platteteksteersteinspringing">
    <w:name w:val="Body Text First Indent"/>
    <w:basedOn w:val="Plattetekst"/>
    <w:semiHidden/>
    <w:rsid w:val="004730C8"/>
    <w:pPr>
      <w:ind w:firstLine="210"/>
    </w:pPr>
  </w:style>
  <w:style w:type="paragraph" w:styleId="Plattetekstinspringen">
    <w:name w:val="Body Text Indent"/>
    <w:basedOn w:val="Standaard"/>
    <w:semiHidden/>
    <w:rsid w:val="004730C8"/>
    <w:pPr>
      <w:spacing w:after="120"/>
      <w:ind w:left="283"/>
    </w:pPr>
  </w:style>
  <w:style w:type="paragraph" w:styleId="Platteteksteersteinspringing2">
    <w:name w:val="Body Text First Indent 2"/>
    <w:basedOn w:val="Plattetekstinspringen"/>
    <w:semiHidden/>
    <w:rsid w:val="004730C8"/>
    <w:pPr>
      <w:ind w:firstLine="210"/>
    </w:pPr>
  </w:style>
  <w:style w:type="paragraph" w:styleId="Plattetekstinspringen2">
    <w:name w:val="Body Text Indent 2"/>
    <w:basedOn w:val="Standaard"/>
    <w:semiHidden/>
    <w:rsid w:val="004730C8"/>
    <w:pPr>
      <w:spacing w:after="120" w:line="480" w:lineRule="auto"/>
      <w:ind w:left="283"/>
    </w:pPr>
  </w:style>
  <w:style w:type="paragraph" w:styleId="Plattetekstinspringen3">
    <w:name w:val="Body Text Indent 3"/>
    <w:basedOn w:val="Standaard"/>
    <w:semiHidden/>
    <w:rsid w:val="004730C8"/>
    <w:pPr>
      <w:spacing w:after="120"/>
      <w:ind w:left="283"/>
    </w:pPr>
    <w:rPr>
      <w:sz w:val="16"/>
      <w:szCs w:val="16"/>
    </w:rPr>
  </w:style>
  <w:style w:type="table" w:styleId="Professioneletabel">
    <w:name w:val="Table Professional"/>
    <w:basedOn w:val="Standaardtabel"/>
    <w:semiHidden/>
    <w:rsid w:val="004730C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4730C8"/>
  </w:style>
  <w:style w:type="paragraph" w:styleId="Standaardinspringing">
    <w:name w:val="Normal Indent"/>
    <w:basedOn w:val="Standaard"/>
    <w:semiHidden/>
    <w:rsid w:val="004730C8"/>
    <w:pPr>
      <w:ind w:left="708"/>
    </w:pPr>
  </w:style>
  <w:style w:type="paragraph" w:styleId="Ondertitel">
    <w:name w:val="Subtitle"/>
    <w:basedOn w:val="Standaard"/>
    <w:qFormat/>
    <w:rsid w:val="004730C8"/>
    <w:pPr>
      <w:spacing w:after="60"/>
      <w:jc w:val="center"/>
      <w:outlineLvl w:val="1"/>
    </w:pPr>
    <w:rPr>
      <w:rFonts w:ascii="Arial" w:hAnsi="Arial" w:cs="Arial"/>
    </w:rPr>
  </w:style>
  <w:style w:type="table" w:styleId="Tabelkolommen1">
    <w:name w:val="Table Columns 1"/>
    <w:basedOn w:val="Standaardtabel"/>
    <w:semiHidden/>
    <w:rsid w:val="004730C8"/>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4730C8"/>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4730C8"/>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4730C8"/>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4730C8"/>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4730C8"/>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4730C8"/>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4730C8"/>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4730C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4730C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4730C8"/>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4730C8"/>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4730C8"/>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4730C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semiHidden/>
    <w:rsid w:val="004730C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4730C8"/>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4730C8"/>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4730C8"/>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4730C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4730C8"/>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4730C8"/>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4730C8"/>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4730C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semiHidden/>
    <w:rsid w:val="004730C8"/>
    <w:rPr>
      <w:rFonts w:ascii="Courier New" w:hAnsi="Courier New" w:cs="Courier New"/>
      <w:sz w:val="20"/>
      <w:szCs w:val="20"/>
    </w:rPr>
  </w:style>
  <w:style w:type="paragraph" w:styleId="Titel">
    <w:name w:val="Title"/>
    <w:basedOn w:val="Standaard"/>
    <w:qFormat/>
    <w:rsid w:val="004730C8"/>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4730C8"/>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4730C8"/>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uiPriority w:val="99"/>
    <w:rsid w:val="004730C8"/>
    <w:rPr>
      <w:vertAlign w:val="superscript"/>
    </w:rPr>
  </w:style>
  <w:style w:type="table" w:styleId="Webtabel1">
    <w:name w:val="Table Web 1"/>
    <w:basedOn w:val="Standaardtabel"/>
    <w:semiHidden/>
    <w:rsid w:val="004730C8"/>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4730C8"/>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4730C8"/>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4730C8"/>
    <w:rPr>
      <w:b/>
      <w:bCs/>
    </w:rPr>
  </w:style>
  <w:style w:type="paragraph" w:styleId="Lijstalinea">
    <w:name w:val="List Paragraph"/>
    <w:basedOn w:val="Standaard"/>
    <w:uiPriority w:val="34"/>
    <w:qFormat/>
    <w:rsid w:val="008841D2"/>
    <w:pPr>
      <w:spacing w:after="200" w:line="288" w:lineRule="auto"/>
      <w:ind w:left="720"/>
      <w:contextualSpacing/>
      <w:jc w:val="left"/>
    </w:pPr>
    <w:rPr>
      <w:rFonts w:ascii="Cambria" w:eastAsia="MS Mincho" w:hAnsi="Cambria"/>
      <w:iCs/>
    </w:rPr>
  </w:style>
  <w:style w:type="character" w:customStyle="1" w:styleId="VoetnoottekstTeken">
    <w:name w:val="Voetnoottekst Teken"/>
    <w:link w:val="Voetnoottekst"/>
    <w:uiPriority w:val="99"/>
    <w:rsid w:val="008841D2"/>
    <w:rPr>
      <w:sz w:val="18"/>
      <w:lang w:val="nl-NL"/>
    </w:rPr>
  </w:style>
  <w:style w:type="paragraph" w:styleId="Duidelijkcitaat">
    <w:name w:val="Intense Quote"/>
    <w:basedOn w:val="Standaard"/>
    <w:next w:val="Standaard"/>
    <w:link w:val="DuidelijkcitaatTeken"/>
    <w:uiPriority w:val="30"/>
    <w:qFormat/>
    <w:rsid w:val="009F65E4"/>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Cs/>
      <w:color w:val="C0504D" w:themeColor="accent2"/>
    </w:rPr>
  </w:style>
  <w:style w:type="character" w:customStyle="1" w:styleId="DuidelijkcitaatTeken">
    <w:name w:val="Duidelijk citaat Teken"/>
    <w:basedOn w:val="Standaardalinea-lettertype"/>
    <w:link w:val="Duidelijkcitaat"/>
    <w:uiPriority w:val="30"/>
    <w:rsid w:val="009F65E4"/>
    <w:rPr>
      <w:rFonts w:asciiTheme="majorHAnsi" w:eastAsiaTheme="majorEastAsia" w:hAnsiTheme="majorHAnsi" w:cstheme="majorBidi"/>
      <w:b/>
      <w:bCs/>
      <w:iCs/>
      <w:color w:val="C0504D" w:themeColor="accent2"/>
      <w:sz w:val="24"/>
      <w:szCs w:val="24"/>
      <w:lang w:val="nl-NL"/>
    </w:rPr>
  </w:style>
  <w:style w:type="paragraph" w:styleId="Documentstructuur">
    <w:name w:val="Document Map"/>
    <w:basedOn w:val="Standaard"/>
    <w:link w:val="DocumentstructuurTeken"/>
    <w:uiPriority w:val="99"/>
    <w:semiHidden/>
    <w:unhideWhenUsed/>
    <w:rsid w:val="00141D8C"/>
  </w:style>
  <w:style w:type="character" w:customStyle="1" w:styleId="DocumentstructuurTeken">
    <w:name w:val="Documentstructuur Teken"/>
    <w:basedOn w:val="Standaardalinea-lettertype"/>
    <w:link w:val="Documentstructuur"/>
    <w:uiPriority w:val="99"/>
    <w:semiHidden/>
    <w:rsid w:val="00141D8C"/>
    <w:rPr>
      <w:sz w:val="24"/>
      <w:szCs w:val="24"/>
      <w:lang w:val="nl-NL"/>
    </w:rPr>
  </w:style>
  <w:style w:type="character" w:customStyle="1" w:styleId="Kop1Teken">
    <w:name w:val="Kop 1 Teken"/>
    <w:basedOn w:val="Standaardalinea-lettertype"/>
    <w:link w:val="Kop1"/>
    <w:rsid w:val="008530A1"/>
    <w:rPr>
      <w:rFonts w:cs="Arial"/>
      <w:b/>
      <w:bCs/>
      <w:caps/>
      <w:sz w:val="36"/>
      <w:szCs w:val="32"/>
      <w:lang w:val="nl-NL"/>
    </w:rPr>
  </w:style>
  <w:style w:type="character" w:customStyle="1" w:styleId="Kop2Teken">
    <w:name w:val="Kop 2 Teken"/>
    <w:basedOn w:val="Standaardalinea-lettertype"/>
    <w:link w:val="Kop2"/>
    <w:rsid w:val="008530A1"/>
    <w:rPr>
      <w:rFonts w:cs="Arial"/>
      <w:b/>
      <w:bCs/>
      <w:iCs/>
      <w:caps/>
      <w:sz w:val="24"/>
      <w:szCs w:val="28"/>
      <w:lang w:val="nl-NL"/>
    </w:rPr>
  </w:style>
  <w:style w:type="character" w:customStyle="1" w:styleId="Kop4Teken">
    <w:name w:val="Kop 4 Teken"/>
    <w:basedOn w:val="Standaardalinea-lettertype"/>
    <w:link w:val="Kop4"/>
    <w:rsid w:val="008530A1"/>
    <w:rPr>
      <w:b/>
      <w:bCs/>
      <w:sz w:val="24"/>
      <w:szCs w:val="28"/>
      <w:lang w:val="nl-NL"/>
    </w:rPr>
  </w:style>
  <w:style w:type="character" w:customStyle="1" w:styleId="Kop5Teken">
    <w:name w:val="Kop 5 Teken"/>
    <w:basedOn w:val="Standaardalinea-lettertype"/>
    <w:link w:val="Kop5"/>
    <w:rsid w:val="008530A1"/>
    <w:rPr>
      <w:b/>
      <w:bCs/>
      <w:i/>
      <w:iCs/>
      <w:sz w:val="24"/>
      <w:szCs w:val="26"/>
      <w:lang w:val="nl-NL"/>
    </w:rPr>
  </w:style>
  <w:style w:type="character" w:customStyle="1" w:styleId="VoettekstTeken">
    <w:name w:val="Voettekst Teken"/>
    <w:basedOn w:val="Standaardalinea-lettertype"/>
    <w:link w:val="Voettekst"/>
    <w:uiPriority w:val="99"/>
    <w:rsid w:val="006460FD"/>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68132">
      <w:bodyDiv w:val="1"/>
      <w:marLeft w:val="0"/>
      <w:marRight w:val="0"/>
      <w:marTop w:val="0"/>
      <w:marBottom w:val="0"/>
      <w:divBdr>
        <w:top w:val="none" w:sz="0" w:space="0" w:color="auto"/>
        <w:left w:val="none" w:sz="0" w:space="0" w:color="auto"/>
        <w:bottom w:val="none" w:sz="0" w:space="0" w:color="auto"/>
        <w:right w:val="none" w:sz="0" w:space="0" w:color="auto"/>
      </w:divBdr>
    </w:div>
    <w:div w:id="293680970">
      <w:bodyDiv w:val="1"/>
      <w:marLeft w:val="0"/>
      <w:marRight w:val="0"/>
      <w:marTop w:val="0"/>
      <w:marBottom w:val="0"/>
      <w:divBdr>
        <w:top w:val="none" w:sz="0" w:space="0" w:color="auto"/>
        <w:left w:val="none" w:sz="0" w:space="0" w:color="auto"/>
        <w:bottom w:val="none" w:sz="0" w:space="0" w:color="auto"/>
        <w:right w:val="none" w:sz="0" w:space="0" w:color="auto"/>
      </w:divBdr>
      <w:divsChild>
        <w:div w:id="738674762">
          <w:marLeft w:val="0"/>
          <w:marRight w:val="0"/>
          <w:marTop w:val="0"/>
          <w:marBottom w:val="0"/>
          <w:divBdr>
            <w:top w:val="none" w:sz="0" w:space="0" w:color="auto"/>
            <w:left w:val="none" w:sz="0" w:space="0" w:color="auto"/>
            <w:bottom w:val="none" w:sz="0" w:space="0" w:color="auto"/>
            <w:right w:val="none" w:sz="0" w:space="0" w:color="auto"/>
          </w:divBdr>
          <w:divsChild>
            <w:div w:id="20197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4403">
      <w:bodyDiv w:val="1"/>
      <w:marLeft w:val="0"/>
      <w:marRight w:val="0"/>
      <w:marTop w:val="0"/>
      <w:marBottom w:val="0"/>
      <w:divBdr>
        <w:top w:val="none" w:sz="0" w:space="0" w:color="auto"/>
        <w:left w:val="none" w:sz="0" w:space="0" w:color="auto"/>
        <w:bottom w:val="none" w:sz="0" w:space="0" w:color="auto"/>
        <w:right w:val="none" w:sz="0" w:space="0" w:color="auto"/>
      </w:divBdr>
    </w:div>
    <w:div w:id="465971876">
      <w:bodyDiv w:val="1"/>
      <w:marLeft w:val="0"/>
      <w:marRight w:val="0"/>
      <w:marTop w:val="0"/>
      <w:marBottom w:val="0"/>
      <w:divBdr>
        <w:top w:val="none" w:sz="0" w:space="0" w:color="auto"/>
        <w:left w:val="none" w:sz="0" w:space="0" w:color="auto"/>
        <w:bottom w:val="none" w:sz="0" w:space="0" w:color="auto"/>
        <w:right w:val="none" w:sz="0" w:space="0" w:color="auto"/>
      </w:divBdr>
    </w:div>
    <w:div w:id="535433174">
      <w:bodyDiv w:val="1"/>
      <w:marLeft w:val="0"/>
      <w:marRight w:val="0"/>
      <w:marTop w:val="0"/>
      <w:marBottom w:val="0"/>
      <w:divBdr>
        <w:top w:val="none" w:sz="0" w:space="0" w:color="auto"/>
        <w:left w:val="none" w:sz="0" w:space="0" w:color="auto"/>
        <w:bottom w:val="none" w:sz="0" w:space="0" w:color="auto"/>
        <w:right w:val="none" w:sz="0" w:space="0" w:color="auto"/>
      </w:divBdr>
      <w:divsChild>
        <w:div w:id="500315304">
          <w:marLeft w:val="0"/>
          <w:marRight w:val="0"/>
          <w:marTop w:val="0"/>
          <w:marBottom w:val="0"/>
          <w:divBdr>
            <w:top w:val="none" w:sz="0" w:space="0" w:color="auto"/>
            <w:left w:val="none" w:sz="0" w:space="0" w:color="auto"/>
            <w:bottom w:val="none" w:sz="0" w:space="0" w:color="auto"/>
            <w:right w:val="none" w:sz="0" w:space="0" w:color="auto"/>
          </w:divBdr>
          <w:divsChild>
            <w:div w:id="1368481152">
              <w:marLeft w:val="0"/>
              <w:marRight w:val="0"/>
              <w:marTop w:val="0"/>
              <w:marBottom w:val="0"/>
              <w:divBdr>
                <w:top w:val="none" w:sz="0" w:space="0" w:color="auto"/>
                <w:left w:val="none" w:sz="0" w:space="0" w:color="auto"/>
                <w:bottom w:val="none" w:sz="0" w:space="0" w:color="auto"/>
                <w:right w:val="none" w:sz="0" w:space="0" w:color="auto"/>
              </w:divBdr>
              <w:divsChild>
                <w:div w:id="1803885752">
                  <w:marLeft w:val="120"/>
                  <w:marRight w:val="120"/>
                  <w:marTop w:val="150"/>
                  <w:marBottom w:val="150"/>
                  <w:divBdr>
                    <w:top w:val="none" w:sz="0" w:space="0" w:color="auto"/>
                    <w:left w:val="none" w:sz="0" w:space="0" w:color="auto"/>
                    <w:bottom w:val="none" w:sz="0" w:space="0" w:color="auto"/>
                    <w:right w:val="none" w:sz="0" w:space="0" w:color="auto"/>
                  </w:divBdr>
                  <w:divsChild>
                    <w:div w:id="1460954645">
                      <w:marLeft w:val="0"/>
                      <w:marRight w:val="0"/>
                      <w:marTop w:val="0"/>
                      <w:marBottom w:val="0"/>
                      <w:divBdr>
                        <w:top w:val="none" w:sz="0" w:space="0" w:color="auto"/>
                        <w:left w:val="none" w:sz="0" w:space="0" w:color="auto"/>
                        <w:bottom w:val="none" w:sz="0" w:space="0" w:color="auto"/>
                        <w:right w:val="none" w:sz="0" w:space="0" w:color="auto"/>
                      </w:divBdr>
                      <w:divsChild>
                        <w:div w:id="803742111">
                          <w:marLeft w:val="540"/>
                          <w:marRight w:val="0"/>
                          <w:marTop w:val="0"/>
                          <w:marBottom w:val="0"/>
                          <w:divBdr>
                            <w:top w:val="none" w:sz="0" w:space="0" w:color="auto"/>
                            <w:left w:val="none" w:sz="0" w:space="0" w:color="auto"/>
                            <w:bottom w:val="none" w:sz="0" w:space="0" w:color="auto"/>
                            <w:right w:val="none" w:sz="0" w:space="0" w:color="auto"/>
                          </w:divBdr>
                          <w:divsChild>
                            <w:div w:id="1709989242">
                              <w:marLeft w:val="0"/>
                              <w:marRight w:val="0"/>
                              <w:marTop w:val="0"/>
                              <w:marBottom w:val="0"/>
                              <w:divBdr>
                                <w:top w:val="none" w:sz="0" w:space="0" w:color="auto"/>
                                <w:left w:val="none" w:sz="0" w:space="0" w:color="auto"/>
                                <w:bottom w:val="none" w:sz="0" w:space="0" w:color="auto"/>
                                <w:right w:val="none" w:sz="0" w:space="0" w:color="auto"/>
                              </w:divBdr>
                              <w:divsChild>
                                <w:div w:id="1437292099">
                                  <w:marLeft w:val="0"/>
                                  <w:marRight w:val="0"/>
                                  <w:marTop w:val="30"/>
                                  <w:marBottom w:val="30"/>
                                  <w:divBdr>
                                    <w:top w:val="single" w:sz="6" w:space="0" w:color="D5D5D5"/>
                                    <w:left w:val="single" w:sz="6" w:space="0" w:color="D5D5D5"/>
                                    <w:bottom w:val="single" w:sz="6" w:space="0" w:color="D5D5D5"/>
                                    <w:right w:val="single" w:sz="6" w:space="0" w:color="D5D5D5"/>
                                  </w:divBdr>
                                  <w:divsChild>
                                    <w:div w:id="498077129">
                                      <w:marLeft w:val="0"/>
                                      <w:marRight w:val="0"/>
                                      <w:marTop w:val="0"/>
                                      <w:marBottom w:val="0"/>
                                      <w:divBdr>
                                        <w:top w:val="none" w:sz="0" w:space="0" w:color="auto"/>
                                        <w:left w:val="none" w:sz="0" w:space="0" w:color="auto"/>
                                        <w:bottom w:val="none" w:sz="0" w:space="0" w:color="auto"/>
                                        <w:right w:val="none" w:sz="0" w:space="0" w:color="auto"/>
                                      </w:divBdr>
                                      <w:divsChild>
                                        <w:div w:id="15963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1112">
                  <w:marLeft w:val="120"/>
                  <w:marRight w:val="120"/>
                  <w:marTop w:val="150"/>
                  <w:marBottom w:val="150"/>
                  <w:divBdr>
                    <w:top w:val="none" w:sz="0" w:space="0" w:color="auto"/>
                    <w:left w:val="none" w:sz="0" w:space="0" w:color="auto"/>
                    <w:bottom w:val="none" w:sz="0" w:space="0" w:color="auto"/>
                    <w:right w:val="none" w:sz="0" w:space="0" w:color="auto"/>
                  </w:divBdr>
                  <w:divsChild>
                    <w:div w:id="2146000139">
                      <w:marLeft w:val="0"/>
                      <w:marRight w:val="0"/>
                      <w:marTop w:val="0"/>
                      <w:marBottom w:val="0"/>
                      <w:divBdr>
                        <w:top w:val="none" w:sz="0" w:space="0" w:color="auto"/>
                        <w:left w:val="none" w:sz="0" w:space="0" w:color="auto"/>
                        <w:bottom w:val="none" w:sz="0" w:space="0" w:color="auto"/>
                        <w:right w:val="none" w:sz="0" w:space="0" w:color="auto"/>
                      </w:divBdr>
                      <w:divsChild>
                        <w:div w:id="302733462">
                          <w:marLeft w:val="0"/>
                          <w:marRight w:val="0"/>
                          <w:marTop w:val="0"/>
                          <w:marBottom w:val="0"/>
                          <w:divBdr>
                            <w:top w:val="none" w:sz="0" w:space="0" w:color="auto"/>
                            <w:left w:val="none" w:sz="0" w:space="0" w:color="auto"/>
                            <w:bottom w:val="none" w:sz="0" w:space="0" w:color="auto"/>
                            <w:right w:val="none" w:sz="0" w:space="0" w:color="auto"/>
                          </w:divBdr>
                          <w:divsChild>
                            <w:div w:id="101581294">
                              <w:marLeft w:val="0"/>
                              <w:marRight w:val="0"/>
                              <w:marTop w:val="0"/>
                              <w:marBottom w:val="0"/>
                              <w:divBdr>
                                <w:top w:val="none" w:sz="0" w:space="0" w:color="auto"/>
                                <w:left w:val="none" w:sz="0" w:space="0" w:color="auto"/>
                                <w:bottom w:val="none" w:sz="0" w:space="0" w:color="auto"/>
                                <w:right w:val="none" w:sz="0" w:space="0" w:color="auto"/>
                              </w:divBdr>
                              <w:divsChild>
                                <w:div w:id="360135597">
                                  <w:marLeft w:val="0"/>
                                  <w:marRight w:val="0"/>
                                  <w:marTop w:val="0"/>
                                  <w:marBottom w:val="0"/>
                                  <w:divBdr>
                                    <w:top w:val="single" w:sz="6" w:space="0" w:color="BCC7D6"/>
                                    <w:left w:val="single" w:sz="6" w:space="0" w:color="BCC7D6"/>
                                    <w:bottom w:val="single" w:sz="6" w:space="0" w:color="BCC7D6"/>
                                    <w:right w:val="single" w:sz="6" w:space="0" w:color="BCC7D6"/>
                                  </w:divBdr>
                                  <w:divsChild>
                                    <w:div w:id="1706250897">
                                      <w:marLeft w:val="0"/>
                                      <w:marRight w:val="0"/>
                                      <w:marTop w:val="0"/>
                                      <w:marBottom w:val="0"/>
                                      <w:divBdr>
                                        <w:top w:val="none" w:sz="0" w:space="0" w:color="auto"/>
                                        <w:left w:val="none" w:sz="0" w:space="0" w:color="auto"/>
                                        <w:bottom w:val="none" w:sz="0" w:space="0" w:color="auto"/>
                                        <w:right w:val="none" w:sz="0" w:space="0" w:color="auto"/>
                                      </w:divBdr>
                                      <w:divsChild>
                                        <w:div w:id="13370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60101">
                          <w:marLeft w:val="0"/>
                          <w:marRight w:val="0"/>
                          <w:marTop w:val="0"/>
                          <w:marBottom w:val="0"/>
                          <w:divBdr>
                            <w:top w:val="none" w:sz="0" w:space="0" w:color="auto"/>
                            <w:left w:val="none" w:sz="0" w:space="0" w:color="auto"/>
                            <w:bottom w:val="none" w:sz="0" w:space="0" w:color="auto"/>
                            <w:right w:val="none" w:sz="0" w:space="0" w:color="auto"/>
                          </w:divBdr>
                          <w:divsChild>
                            <w:div w:id="175535311">
                              <w:marLeft w:val="0"/>
                              <w:marRight w:val="0"/>
                              <w:marTop w:val="0"/>
                              <w:marBottom w:val="0"/>
                              <w:divBdr>
                                <w:top w:val="none" w:sz="0" w:space="0" w:color="auto"/>
                                <w:left w:val="none" w:sz="0" w:space="0" w:color="auto"/>
                                <w:bottom w:val="none" w:sz="0" w:space="0" w:color="auto"/>
                                <w:right w:val="none" w:sz="0" w:space="0" w:color="auto"/>
                              </w:divBdr>
                              <w:divsChild>
                                <w:div w:id="824735646">
                                  <w:marLeft w:val="0"/>
                                  <w:marRight w:val="0"/>
                                  <w:marTop w:val="0"/>
                                  <w:marBottom w:val="0"/>
                                  <w:divBdr>
                                    <w:top w:val="single" w:sz="6" w:space="0" w:color="BCC7D6"/>
                                    <w:left w:val="single" w:sz="6" w:space="0" w:color="BCC7D6"/>
                                    <w:bottom w:val="single" w:sz="6" w:space="0" w:color="BCC7D6"/>
                                    <w:right w:val="single" w:sz="6" w:space="0" w:color="BCC7D6"/>
                                  </w:divBdr>
                                  <w:divsChild>
                                    <w:div w:id="915165094">
                                      <w:marLeft w:val="0"/>
                                      <w:marRight w:val="0"/>
                                      <w:marTop w:val="0"/>
                                      <w:marBottom w:val="0"/>
                                      <w:divBdr>
                                        <w:top w:val="none" w:sz="0" w:space="0" w:color="auto"/>
                                        <w:left w:val="none" w:sz="0" w:space="0" w:color="auto"/>
                                        <w:bottom w:val="none" w:sz="0" w:space="0" w:color="auto"/>
                                        <w:right w:val="none" w:sz="0" w:space="0" w:color="auto"/>
                                      </w:divBdr>
                                      <w:divsChild>
                                        <w:div w:id="98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4472">
                  <w:marLeft w:val="120"/>
                  <w:marRight w:val="120"/>
                  <w:marTop w:val="150"/>
                  <w:marBottom w:val="150"/>
                  <w:divBdr>
                    <w:top w:val="none" w:sz="0" w:space="0" w:color="auto"/>
                    <w:left w:val="none" w:sz="0" w:space="0" w:color="auto"/>
                    <w:bottom w:val="none" w:sz="0" w:space="0" w:color="auto"/>
                    <w:right w:val="none" w:sz="0" w:space="0" w:color="auto"/>
                  </w:divBdr>
                  <w:divsChild>
                    <w:div w:id="1212426279">
                      <w:marLeft w:val="0"/>
                      <w:marRight w:val="0"/>
                      <w:marTop w:val="0"/>
                      <w:marBottom w:val="0"/>
                      <w:divBdr>
                        <w:top w:val="none" w:sz="0" w:space="0" w:color="auto"/>
                        <w:left w:val="none" w:sz="0" w:space="0" w:color="auto"/>
                        <w:bottom w:val="none" w:sz="0" w:space="0" w:color="auto"/>
                        <w:right w:val="none" w:sz="0" w:space="0" w:color="auto"/>
                      </w:divBdr>
                    </w:div>
                    <w:div w:id="876544945">
                      <w:marLeft w:val="0"/>
                      <w:marRight w:val="0"/>
                      <w:marTop w:val="0"/>
                      <w:marBottom w:val="0"/>
                      <w:divBdr>
                        <w:top w:val="none" w:sz="0" w:space="0" w:color="auto"/>
                        <w:left w:val="none" w:sz="0" w:space="0" w:color="auto"/>
                        <w:bottom w:val="none" w:sz="0" w:space="0" w:color="auto"/>
                        <w:right w:val="none" w:sz="0" w:space="0" w:color="auto"/>
                      </w:divBdr>
                      <w:divsChild>
                        <w:div w:id="1839156791">
                          <w:marLeft w:val="540"/>
                          <w:marRight w:val="0"/>
                          <w:marTop w:val="0"/>
                          <w:marBottom w:val="0"/>
                          <w:divBdr>
                            <w:top w:val="none" w:sz="0" w:space="0" w:color="auto"/>
                            <w:left w:val="none" w:sz="0" w:space="0" w:color="auto"/>
                            <w:bottom w:val="none" w:sz="0" w:space="0" w:color="auto"/>
                            <w:right w:val="none" w:sz="0" w:space="0" w:color="auto"/>
                          </w:divBdr>
                          <w:divsChild>
                            <w:div w:id="1621953556">
                              <w:marLeft w:val="0"/>
                              <w:marRight w:val="0"/>
                              <w:marTop w:val="0"/>
                              <w:marBottom w:val="0"/>
                              <w:divBdr>
                                <w:top w:val="none" w:sz="0" w:space="0" w:color="auto"/>
                                <w:left w:val="none" w:sz="0" w:space="0" w:color="auto"/>
                                <w:bottom w:val="none" w:sz="0" w:space="0" w:color="auto"/>
                                <w:right w:val="none" w:sz="0" w:space="0" w:color="auto"/>
                              </w:divBdr>
                              <w:divsChild>
                                <w:div w:id="1914272776">
                                  <w:marLeft w:val="0"/>
                                  <w:marRight w:val="0"/>
                                  <w:marTop w:val="30"/>
                                  <w:marBottom w:val="30"/>
                                  <w:divBdr>
                                    <w:top w:val="single" w:sz="6" w:space="0" w:color="D5D5D5"/>
                                    <w:left w:val="single" w:sz="6" w:space="0" w:color="D5D5D5"/>
                                    <w:bottom w:val="single" w:sz="6" w:space="0" w:color="D5D5D5"/>
                                    <w:right w:val="single" w:sz="6" w:space="0" w:color="D5D5D5"/>
                                  </w:divBdr>
                                  <w:divsChild>
                                    <w:div w:id="278148630">
                                      <w:marLeft w:val="0"/>
                                      <w:marRight w:val="0"/>
                                      <w:marTop w:val="0"/>
                                      <w:marBottom w:val="0"/>
                                      <w:divBdr>
                                        <w:top w:val="none" w:sz="0" w:space="0" w:color="auto"/>
                                        <w:left w:val="none" w:sz="0" w:space="0" w:color="auto"/>
                                        <w:bottom w:val="none" w:sz="0" w:space="0" w:color="auto"/>
                                        <w:right w:val="none" w:sz="0" w:space="0" w:color="auto"/>
                                      </w:divBdr>
                                      <w:divsChild>
                                        <w:div w:id="815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80785">
                  <w:marLeft w:val="120"/>
                  <w:marRight w:val="120"/>
                  <w:marTop w:val="150"/>
                  <w:marBottom w:val="45"/>
                  <w:divBdr>
                    <w:top w:val="none" w:sz="0" w:space="0" w:color="auto"/>
                    <w:left w:val="none" w:sz="0" w:space="0" w:color="auto"/>
                    <w:bottom w:val="none" w:sz="0" w:space="0" w:color="auto"/>
                    <w:right w:val="none" w:sz="0" w:space="0" w:color="auto"/>
                  </w:divBdr>
                  <w:divsChild>
                    <w:div w:id="1837453899">
                      <w:marLeft w:val="0"/>
                      <w:marRight w:val="0"/>
                      <w:marTop w:val="0"/>
                      <w:marBottom w:val="0"/>
                      <w:divBdr>
                        <w:top w:val="none" w:sz="0" w:space="0" w:color="auto"/>
                        <w:left w:val="none" w:sz="0" w:space="0" w:color="auto"/>
                        <w:bottom w:val="none" w:sz="0" w:space="0" w:color="auto"/>
                        <w:right w:val="none" w:sz="0" w:space="0" w:color="auto"/>
                      </w:divBdr>
                      <w:divsChild>
                        <w:div w:id="388578474">
                          <w:marLeft w:val="0"/>
                          <w:marRight w:val="0"/>
                          <w:marTop w:val="0"/>
                          <w:marBottom w:val="0"/>
                          <w:divBdr>
                            <w:top w:val="none" w:sz="0" w:space="0" w:color="auto"/>
                            <w:left w:val="none" w:sz="0" w:space="0" w:color="auto"/>
                            <w:bottom w:val="none" w:sz="0" w:space="0" w:color="auto"/>
                            <w:right w:val="none" w:sz="0" w:space="0" w:color="auto"/>
                          </w:divBdr>
                          <w:divsChild>
                            <w:div w:id="600995585">
                              <w:marLeft w:val="0"/>
                              <w:marRight w:val="0"/>
                              <w:marTop w:val="0"/>
                              <w:marBottom w:val="0"/>
                              <w:divBdr>
                                <w:top w:val="none" w:sz="0" w:space="0" w:color="auto"/>
                                <w:left w:val="none" w:sz="0" w:space="0" w:color="auto"/>
                                <w:bottom w:val="none" w:sz="0" w:space="0" w:color="auto"/>
                                <w:right w:val="none" w:sz="0" w:space="0" w:color="auto"/>
                              </w:divBdr>
                              <w:divsChild>
                                <w:div w:id="646937256">
                                  <w:marLeft w:val="0"/>
                                  <w:marRight w:val="0"/>
                                  <w:marTop w:val="0"/>
                                  <w:marBottom w:val="0"/>
                                  <w:divBdr>
                                    <w:top w:val="single" w:sz="6" w:space="0" w:color="BCC7D6"/>
                                    <w:left w:val="single" w:sz="6" w:space="0" w:color="BCC7D6"/>
                                    <w:bottom w:val="single" w:sz="6" w:space="0" w:color="BCC7D6"/>
                                    <w:right w:val="single" w:sz="6" w:space="0" w:color="BCC7D6"/>
                                  </w:divBdr>
                                  <w:divsChild>
                                    <w:div w:id="292447190">
                                      <w:marLeft w:val="0"/>
                                      <w:marRight w:val="0"/>
                                      <w:marTop w:val="0"/>
                                      <w:marBottom w:val="0"/>
                                      <w:divBdr>
                                        <w:top w:val="none" w:sz="0" w:space="0" w:color="auto"/>
                                        <w:left w:val="none" w:sz="0" w:space="0" w:color="auto"/>
                                        <w:bottom w:val="none" w:sz="0" w:space="0" w:color="auto"/>
                                        <w:right w:val="none" w:sz="0" w:space="0" w:color="auto"/>
                                      </w:divBdr>
                                      <w:divsChild>
                                        <w:div w:id="6236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6851">
          <w:marLeft w:val="660"/>
          <w:marRight w:val="0"/>
          <w:marTop w:val="0"/>
          <w:marBottom w:val="0"/>
          <w:divBdr>
            <w:top w:val="none" w:sz="0" w:space="0" w:color="auto"/>
            <w:left w:val="none" w:sz="0" w:space="0" w:color="auto"/>
            <w:bottom w:val="none" w:sz="0" w:space="0" w:color="auto"/>
            <w:right w:val="none" w:sz="0" w:space="0" w:color="auto"/>
          </w:divBdr>
        </w:div>
      </w:divsChild>
    </w:div>
    <w:div w:id="562449399">
      <w:bodyDiv w:val="1"/>
      <w:marLeft w:val="0"/>
      <w:marRight w:val="0"/>
      <w:marTop w:val="0"/>
      <w:marBottom w:val="0"/>
      <w:divBdr>
        <w:top w:val="none" w:sz="0" w:space="0" w:color="auto"/>
        <w:left w:val="none" w:sz="0" w:space="0" w:color="auto"/>
        <w:bottom w:val="none" w:sz="0" w:space="0" w:color="auto"/>
        <w:right w:val="none" w:sz="0" w:space="0" w:color="auto"/>
      </w:divBdr>
      <w:divsChild>
        <w:div w:id="1189563763">
          <w:marLeft w:val="0"/>
          <w:marRight w:val="0"/>
          <w:marTop w:val="0"/>
          <w:marBottom w:val="0"/>
          <w:divBdr>
            <w:top w:val="none" w:sz="0" w:space="0" w:color="auto"/>
            <w:left w:val="none" w:sz="0" w:space="0" w:color="auto"/>
            <w:bottom w:val="none" w:sz="0" w:space="0" w:color="auto"/>
            <w:right w:val="none" w:sz="0" w:space="0" w:color="auto"/>
          </w:divBdr>
          <w:divsChild>
            <w:div w:id="8821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29558">
      <w:bodyDiv w:val="1"/>
      <w:marLeft w:val="0"/>
      <w:marRight w:val="0"/>
      <w:marTop w:val="0"/>
      <w:marBottom w:val="0"/>
      <w:divBdr>
        <w:top w:val="none" w:sz="0" w:space="0" w:color="auto"/>
        <w:left w:val="none" w:sz="0" w:space="0" w:color="auto"/>
        <w:bottom w:val="none" w:sz="0" w:space="0" w:color="auto"/>
        <w:right w:val="none" w:sz="0" w:space="0" w:color="auto"/>
      </w:divBdr>
    </w:div>
    <w:div w:id="632292179">
      <w:bodyDiv w:val="1"/>
      <w:marLeft w:val="0"/>
      <w:marRight w:val="0"/>
      <w:marTop w:val="0"/>
      <w:marBottom w:val="0"/>
      <w:divBdr>
        <w:top w:val="none" w:sz="0" w:space="0" w:color="auto"/>
        <w:left w:val="none" w:sz="0" w:space="0" w:color="auto"/>
        <w:bottom w:val="none" w:sz="0" w:space="0" w:color="auto"/>
        <w:right w:val="none" w:sz="0" w:space="0" w:color="auto"/>
      </w:divBdr>
    </w:div>
    <w:div w:id="770587553">
      <w:bodyDiv w:val="1"/>
      <w:marLeft w:val="0"/>
      <w:marRight w:val="0"/>
      <w:marTop w:val="0"/>
      <w:marBottom w:val="0"/>
      <w:divBdr>
        <w:top w:val="none" w:sz="0" w:space="0" w:color="auto"/>
        <w:left w:val="none" w:sz="0" w:space="0" w:color="auto"/>
        <w:bottom w:val="none" w:sz="0" w:space="0" w:color="auto"/>
        <w:right w:val="none" w:sz="0" w:space="0" w:color="auto"/>
      </w:divBdr>
      <w:divsChild>
        <w:div w:id="1256355786">
          <w:marLeft w:val="0"/>
          <w:marRight w:val="0"/>
          <w:marTop w:val="0"/>
          <w:marBottom w:val="0"/>
          <w:divBdr>
            <w:top w:val="none" w:sz="0" w:space="0" w:color="auto"/>
            <w:left w:val="none" w:sz="0" w:space="0" w:color="auto"/>
            <w:bottom w:val="none" w:sz="0" w:space="0" w:color="auto"/>
            <w:right w:val="none" w:sz="0" w:space="0" w:color="auto"/>
          </w:divBdr>
          <w:divsChild>
            <w:div w:id="1022367060">
              <w:marLeft w:val="0"/>
              <w:marRight w:val="0"/>
              <w:marTop w:val="0"/>
              <w:marBottom w:val="0"/>
              <w:divBdr>
                <w:top w:val="none" w:sz="0" w:space="0" w:color="auto"/>
                <w:left w:val="none" w:sz="0" w:space="0" w:color="auto"/>
                <w:bottom w:val="none" w:sz="0" w:space="0" w:color="auto"/>
                <w:right w:val="none" w:sz="0" w:space="0" w:color="auto"/>
              </w:divBdr>
              <w:divsChild>
                <w:div w:id="893463893">
                  <w:marLeft w:val="0"/>
                  <w:marRight w:val="0"/>
                  <w:marTop w:val="0"/>
                  <w:marBottom w:val="0"/>
                  <w:divBdr>
                    <w:top w:val="none" w:sz="0" w:space="0" w:color="auto"/>
                    <w:left w:val="none" w:sz="0" w:space="0" w:color="auto"/>
                    <w:bottom w:val="none" w:sz="0" w:space="0" w:color="auto"/>
                    <w:right w:val="none" w:sz="0" w:space="0" w:color="auto"/>
                  </w:divBdr>
                  <w:divsChild>
                    <w:div w:id="90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72816">
      <w:bodyDiv w:val="1"/>
      <w:marLeft w:val="0"/>
      <w:marRight w:val="0"/>
      <w:marTop w:val="0"/>
      <w:marBottom w:val="0"/>
      <w:divBdr>
        <w:top w:val="none" w:sz="0" w:space="0" w:color="auto"/>
        <w:left w:val="none" w:sz="0" w:space="0" w:color="auto"/>
        <w:bottom w:val="none" w:sz="0" w:space="0" w:color="auto"/>
        <w:right w:val="none" w:sz="0" w:space="0" w:color="auto"/>
      </w:divBdr>
    </w:div>
    <w:div w:id="823859450">
      <w:bodyDiv w:val="1"/>
      <w:marLeft w:val="0"/>
      <w:marRight w:val="0"/>
      <w:marTop w:val="0"/>
      <w:marBottom w:val="0"/>
      <w:divBdr>
        <w:top w:val="none" w:sz="0" w:space="0" w:color="auto"/>
        <w:left w:val="none" w:sz="0" w:space="0" w:color="auto"/>
        <w:bottom w:val="none" w:sz="0" w:space="0" w:color="auto"/>
        <w:right w:val="none" w:sz="0" w:space="0" w:color="auto"/>
      </w:divBdr>
    </w:div>
    <w:div w:id="885601251">
      <w:bodyDiv w:val="1"/>
      <w:marLeft w:val="0"/>
      <w:marRight w:val="0"/>
      <w:marTop w:val="0"/>
      <w:marBottom w:val="0"/>
      <w:divBdr>
        <w:top w:val="none" w:sz="0" w:space="0" w:color="auto"/>
        <w:left w:val="none" w:sz="0" w:space="0" w:color="auto"/>
        <w:bottom w:val="none" w:sz="0" w:space="0" w:color="auto"/>
        <w:right w:val="none" w:sz="0" w:space="0" w:color="auto"/>
      </w:divBdr>
    </w:div>
    <w:div w:id="905997416">
      <w:bodyDiv w:val="1"/>
      <w:marLeft w:val="0"/>
      <w:marRight w:val="0"/>
      <w:marTop w:val="0"/>
      <w:marBottom w:val="0"/>
      <w:divBdr>
        <w:top w:val="none" w:sz="0" w:space="0" w:color="auto"/>
        <w:left w:val="none" w:sz="0" w:space="0" w:color="auto"/>
        <w:bottom w:val="none" w:sz="0" w:space="0" w:color="auto"/>
        <w:right w:val="none" w:sz="0" w:space="0" w:color="auto"/>
      </w:divBdr>
    </w:div>
    <w:div w:id="949316025">
      <w:bodyDiv w:val="1"/>
      <w:marLeft w:val="0"/>
      <w:marRight w:val="0"/>
      <w:marTop w:val="0"/>
      <w:marBottom w:val="0"/>
      <w:divBdr>
        <w:top w:val="none" w:sz="0" w:space="0" w:color="auto"/>
        <w:left w:val="none" w:sz="0" w:space="0" w:color="auto"/>
        <w:bottom w:val="none" w:sz="0" w:space="0" w:color="auto"/>
        <w:right w:val="none" w:sz="0" w:space="0" w:color="auto"/>
      </w:divBdr>
      <w:divsChild>
        <w:div w:id="663977561">
          <w:marLeft w:val="0"/>
          <w:marRight w:val="0"/>
          <w:marTop w:val="0"/>
          <w:marBottom w:val="0"/>
          <w:divBdr>
            <w:top w:val="none" w:sz="0" w:space="0" w:color="auto"/>
            <w:left w:val="none" w:sz="0" w:space="0" w:color="auto"/>
            <w:bottom w:val="none" w:sz="0" w:space="0" w:color="auto"/>
            <w:right w:val="none" w:sz="0" w:space="0" w:color="auto"/>
          </w:divBdr>
          <w:divsChild>
            <w:div w:id="665324699">
              <w:marLeft w:val="0"/>
              <w:marRight w:val="0"/>
              <w:marTop w:val="0"/>
              <w:marBottom w:val="0"/>
              <w:divBdr>
                <w:top w:val="none" w:sz="0" w:space="0" w:color="auto"/>
                <w:left w:val="none" w:sz="0" w:space="0" w:color="auto"/>
                <w:bottom w:val="none" w:sz="0" w:space="0" w:color="auto"/>
                <w:right w:val="none" w:sz="0" w:space="0" w:color="auto"/>
              </w:divBdr>
              <w:divsChild>
                <w:div w:id="644702216">
                  <w:marLeft w:val="0"/>
                  <w:marRight w:val="0"/>
                  <w:marTop w:val="0"/>
                  <w:marBottom w:val="0"/>
                  <w:divBdr>
                    <w:top w:val="none" w:sz="0" w:space="0" w:color="auto"/>
                    <w:left w:val="none" w:sz="0" w:space="0" w:color="auto"/>
                    <w:bottom w:val="none" w:sz="0" w:space="0" w:color="auto"/>
                    <w:right w:val="none" w:sz="0" w:space="0" w:color="auto"/>
                  </w:divBdr>
                  <w:divsChild>
                    <w:div w:id="19462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34829">
      <w:bodyDiv w:val="1"/>
      <w:marLeft w:val="0"/>
      <w:marRight w:val="0"/>
      <w:marTop w:val="0"/>
      <w:marBottom w:val="0"/>
      <w:divBdr>
        <w:top w:val="none" w:sz="0" w:space="0" w:color="auto"/>
        <w:left w:val="none" w:sz="0" w:space="0" w:color="auto"/>
        <w:bottom w:val="none" w:sz="0" w:space="0" w:color="auto"/>
        <w:right w:val="none" w:sz="0" w:space="0" w:color="auto"/>
      </w:divBdr>
      <w:divsChild>
        <w:div w:id="1712805934">
          <w:marLeft w:val="0"/>
          <w:marRight w:val="0"/>
          <w:marTop w:val="900"/>
          <w:marBottom w:val="375"/>
          <w:divBdr>
            <w:top w:val="single" w:sz="6" w:space="11" w:color="D8D8D8"/>
            <w:left w:val="single" w:sz="6" w:space="19" w:color="D8D8D8"/>
            <w:bottom w:val="single" w:sz="12" w:space="19" w:color="474747"/>
            <w:right w:val="single" w:sz="6" w:space="19" w:color="D8D8D8"/>
          </w:divBdr>
        </w:div>
        <w:div w:id="206797681">
          <w:marLeft w:val="0"/>
          <w:marRight w:val="0"/>
          <w:marTop w:val="900"/>
          <w:marBottom w:val="375"/>
          <w:divBdr>
            <w:top w:val="single" w:sz="6" w:space="11" w:color="D8D8D8"/>
            <w:left w:val="single" w:sz="6" w:space="19" w:color="D8D8D8"/>
            <w:bottom w:val="single" w:sz="12" w:space="19" w:color="A6232D"/>
            <w:right w:val="single" w:sz="6" w:space="19" w:color="D8D8D8"/>
          </w:divBdr>
        </w:div>
      </w:divsChild>
    </w:div>
    <w:div w:id="1048606864">
      <w:bodyDiv w:val="1"/>
      <w:marLeft w:val="0"/>
      <w:marRight w:val="0"/>
      <w:marTop w:val="0"/>
      <w:marBottom w:val="0"/>
      <w:divBdr>
        <w:top w:val="none" w:sz="0" w:space="0" w:color="auto"/>
        <w:left w:val="none" w:sz="0" w:space="0" w:color="auto"/>
        <w:bottom w:val="none" w:sz="0" w:space="0" w:color="auto"/>
        <w:right w:val="none" w:sz="0" w:space="0" w:color="auto"/>
      </w:divBdr>
    </w:div>
    <w:div w:id="1064108346">
      <w:bodyDiv w:val="1"/>
      <w:marLeft w:val="0"/>
      <w:marRight w:val="0"/>
      <w:marTop w:val="0"/>
      <w:marBottom w:val="0"/>
      <w:divBdr>
        <w:top w:val="none" w:sz="0" w:space="0" w:color="auto"/>
        <w:left w:val="none" w:sz="0" w:space="0" w:color="auto"/>
        <w:bottom w:val="none" w:sz="0" w:space="0" w:color="auto"/>
        <w:right w:val="none" w:sz="0" w:space="0" w:color="auto"/>
      </w:divBdr>
    </w:div>
    <w:div w:id="1098258366">
      <w:bodyDiv w:val="1"/>
      <w:marLeft w:val="0"/>
      <w:marRight w:val="0"/>
      <w:marTop w:val="0"/>
      <w:marBottom w:val="0"/>
      <w:divBdr>
        <w:top w:val="none" w:sz="0" w:space="0" w:color="auto"/>
        <w:left w:val="none" w:sz="0" w:space="0" w:color="auto"/>
        <w:bottom w:val="none" w:sz="0" w:space="0" w:color="auto"/>
        <w:right w:val="none" w:sz="0" w:space="0" w:color="auto"/>
      </w:divBdr>
    </w:div>
    <w:div w:id="1140731011">
      <w:bodyDiv w:val="1"/>
      <w:marLeft w:val="0"/>
      <w:marRight w:val="0"/>
      <w:marTop w:val="0"/>
      <w:marBottom w:val="0"/>
      <w:divBdr>
        <w:top w:val="none" w:sz="0" w:space="0" w:color="auto"/>
        <w:left w:val="none" w:sz="0" w:space="0" w:color="auto"/>
        <w:bottom w:val="none" w:sz="0" w:space="0" w:color="auto"/>
        <w:right w:val="none" w:sz="0" w:space="0" w:color="auto"/>
      </w:divBdr>
    </w:div>
    <w:div w:id="1210848118">
      <w:bodyDiv w:val="1"/>
      <w:marLeft w:val="0"/>
      <w:marRight w:val="0"/>
      <w:marTop w:val="0"/>
      <w:marBottom w:val="0"/>
      <w:divBdr>
        <w:top w:val="none" w:sz="0" w:space="0" w:color="auto"/>
        <w:left w:val="none" w:sz="0" w:space="0" w:color="auto"/>
        <w:bottom w:val="none" w:sz="0" w:space="0" w:color="auto"/>
        <w:right w:val="none" w:sz="0" w:space="0" w:color="auto"/>
      </w:divBdr>
    </w:div>
    <w:div w:id="1236092916">
      <w:bodyDiv w:val="1"/>
      <w:marLeft w:val="0"/>
      <w:marRight w:val="0"/>
      <w:marTop w:val="0"/>
      <w:marBottom w:val="0"/>
      <w:divBdr>
        <w:top w:val="none" w:sz="0" w:space="0" w:color="auto"/>
        <w:left w:val="none" w:sz="0" w:space="0" w:color="auto"/>
        <w:bottom w:val="none" w:sz="0" w:space="0" w:color="auto"/>
        <w:right w:val="none" w:sz="0" w:space="0" w:color="auto"/>
      </w:divBdr>
    </w:div>
    <w:div w:id="1383093729">
      <w:bodyDiv w:val="1"/>
      <w:marLeft w:val="0"/>
      <w:marRight w:val="0"/>
      <w:marTop w:val="0"/>
      <w:marBottom w:val="0"/>
      <w:divBdr>
        <w:top w:val="none" w:sz="0" w:space="0" w:color="auto"/>
        <w:left w:val="none" w:sz="0" w:space="0" w:color="auto"/>
        <w:bottom w:val="none" w:sz="0" w:space="0" w:color="auto"/>
        <w:right w:val="none" w:sz="0" w:space="0" w:color="auto"/>
      </w:divBdr>
    </w:div>
    <w:div w:id="1468357274">
      <w:bodyDiv w:val="1"/>
      <w:marLeft w:val="0"/>
      <w:marRight w:val="0"/>
      <w:marTop w:val="0"/>
      <w:marBottom w:val="0"/>
      <w:divBdr>
        <w:top w:val="none" w:sz="0" w:space="0" w:color="auto"/>
        <w:left w:val="none" w:sz="0" w:space="0" w:color="auto"/>
        <w:bottom w:val="none" w:sz="0" w:space="0" w:color="auto"/>
        <w:right w:val="none" w:sz="0" w:space="0" w:color="auto"/>
      </w:divBdr>
    </w:div>
    <w:div w:id="1571573952">
      <w:bodyDiv w:val="1"/>
      <w:marLeft w:val="0"/>
      <w:marRight w:val="0"/>
      <w:marTop w:val="0"/>
      <w:marBottom w:val="0"/>
      <w:divBdr>
        <w:top w:val="none" w:sz="0" w:space="0" w:color="auto"/>
        <w:left w:val="none" w:sz="0" w:space="0" w:color="auto"/>
        <w:bottom w:val="none" w:sz="0" w:space="0" w:color="auto"/>
        <w:right w:val="none" w:sz="0" w:space="0" w:color="auto"/>
      </w:divBdr>
    </w:div>
    <w:div w:id="1594702154">
      <w:bodyDiv w:val="1"/>
      <w:marLeft w:val="0"/>
      <w:marRight w:val="0"/>
      <w:marTop w:val="0"/>
      <w:marBottom w:val="0"/>
      <w:divBdr>
        <w:top w:val="none" w:sz="0" w:space="0" w:color="auto"/>
        <w:left w:val="none" w:sz="0" w:space="0" w:color="auto"/>
        <w:bottom w:val="none" w:sz="0" w:space="0" w:color="auto"/>
        <w:right w:val="none" w:sz="0" w:space="0" w:color="auto"/>
      </w:divBdr>
    </w:div>
    <w:div w:id="1696733073">
      <w:bodyDiv w:val="1"/>
      <w:marLeft w:val="0"/>
      <w:marRight w:val="0"/>
      <w:marTop w:val="0"/>
      <w:marBottom w:val="0"/>
      <w:divBdr>
        <w:top w:val="none" w:sz="0" w:space="0" w:color="auto"/>
        <w:left w:val="none" w:sz="0" w:space="0" w:color="auto"/>
        <w:bottom w:val="none" w:sz="0" w:space="0" w:color="auto"/>
        <w:right w:val="none" w:sz="0" w:space="0" w:color="auto"/>
      </w:divBdr>
    </w:div>
    <w:div w:id="1708526114">
      <w:bodyDiv w:val="1"/>
      <w:marLeft w:val="0"/>
      <w:marRight w:val="0"/>
      <w:marTop w:val="0"/>
      <w:marBottom w:val="0"/>
      <w:divBdr>
        <w:top w:val="none" w:sz="0" w:space="0" w:color="auto"/>
        <w:left w:val="none" w:sz="0" w:space="0" w:color="auto"/>
        <w:bottom w:val="none" w:sz="0" w:space="0" w:color="auto"/>
        <w:right w:val="none" w:sz="0" w:space="0" w:color="auto"/>
      </w:divBdr>
    </w:div>
    <w:div w:id="1762292490">
      <w:bodyDiv w:val="1"/>
      <w:marLeft w:val="0"/>
      <w:marRight w:val="0"/>
      <w:marTop w:val="0"/>
      <w:marBottom w:val="0"/>
      <w:divBdr>
        <w:top w:val="none" w:sz="0" w:space="0" w:color="auto"/>
        <w:left w:val="none" w:sz="0" w:space="0" w:color="auto"/>
        <w:bottom w:val="none" w:sz="0" w:space="0" w:color="auto"/>
        <w:right w:val="none" w:sz="0" w:space="0" w:color="auto"/>
      </w:divBdr>
      <w:divsChild>
        <w:div w:id="1542353547">
          <w:marLeft w:val="0"/>
          <w:marRight w:val="0"/>
          <w:marTop w:val="0"/>
          <w:marBottom w:val="0"/>
          <w:divBdr>
            <w:top w:val="none" w:sz="0" w:space="0" w:color="auto"/>
            <w:left w:val="none" w:sz="0" w:space="0" w:color="auto"/>
            <w:bottom w:val="none" w:sz="0" w:space="0" w:color="auto"/>
            <w:right w:val="none" w:sz="0" w:space="0" w:color="auto"/>
          </w:divBdr>
          <w:divsChild>
            <w:div w:id="1817843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1754645">
      <w:bodyDiv w:val="1"/>
      <w:marLeft w:val="0"/>
      <w:marRight w:val="0"/>
      <w:marTop w:val="0"/>
      <w:marBottom w:val="0"/>
      <w:divBdr>
        <w:top w:val="none" w:sz="0" w:space="0" w:color="auto"/>
        <w:left w:val="none" w:sz="0" w:space="0" w:color="auto"/>
        <w:bottom w:val="none" w:sz="0" w:space="0" w:color="auto"/>
        <w:right w:val="none" w:sz="0" w:space="0" w:color="auto"/>
      </w:divBdr>
    </w:div>
    <w:div w:id="2027437969">
      <w:bodyDiv w:val="1"/>
      <w:marLeft w:val="0"/>
      <w:marRight w:val="0"/>
      <w:marTop w:val="0"/>
      <w:marBottom w:val="0"/>
      <w:divBdr>
        <w:top w:val="none" w:sz="0" w:space="0" w:color="auto"/>
        <w:left w:val="none" w:sz="0" w:space="0" w:color="auto"/>
        <w:bottom w:val="none" w:sz="0" w:space="0" w:color="auto"/>
        <w:right w:val="none" w:sz="0" w:space="0" w:color="auto"/>
      </w:divBdr>
    </w:div>
    <w:div w:id="2049335390">
      <w:bodyDiv w:val="1"/>
      <w:marLeft w:val="0"/>
      <w:marRight w:val="0"/>
      <w:marTop w:val="0"/>
      <w:marBottom w:val="0"/>
      <w:divBdr>
        <w:top w:val="none" w:sz="0" w:space="0" w:color="auto"/>
        <w:left w:val="none" w:sz="0" w:space="0" w:color="auto"/>
        <w:bottom w:val="none" w:sz="0" w:space="0" w:color="auto"/>
        <w:right w:val="none" w:sz="0" w:space="0" w:color="auto"/>
      </w:divBdr>
    </w:div>
    <w:div w:id="2052801674">
      <w:bodyDiv w:val="1"/>
      <w:marLeft w:val="0"/>
      <w:marRight w:val="0"/>
      <w:marTop w:val="0"/>
      <w:marBottom w:val="0"/>
      <w:divBdr>
        <w:top w:val="none" w:sz="0" w:space="0" w:color="auto"/>
        <w:left w:val="none" w:sz="0" w:space="0" w:color="auto"/>
        <w:bottom w:val="none" w:sz="0" w:space="0" w:color="auto"/>
        <w:right w:val="none" w:sz="0" w:space="0" w:color="auto"/>
      </w:divBdr>
    </w:div>
    <w:div w:id="2054497389">
      <w:bodyDiv w:val="1"/>
      <w:marLeft w:val="0"/>
      <w:marRight w:val="0"/>
      <w:marTop w:val="0"/>
      <w:marBottom w:val="0"/>
      <w:divBdr>
        <w:top w:val="none" w:sz="0" w:space="0" w:color="auto"/>
        <w:left w:val="none" w:sz="0" w:space="0" w:color="auto"/>
        <w:bottom w:val="none" w:sz="0" w:space="0" w:color="auto"/>
        <w:right w:val="none" w:sz="0" w:space="0" w:color="auto"/>
      </w:divBdr>
    </w:div>
    <w:div w:id="21020258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yperlink" Target="http://www.juridat.be" TargetMode="Externa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ass.be" TargetMode="External"/><Relationship Id="rId2" Type="http://schemas.openxmlformats.org/officeDocument/2006/relationships/hyperlink" Target="http://www.cass.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53867\Dropbox\Documenten\Seminarie%20BO\Sjabloon%20seminarie%20BO.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72A7-B1BD-834F-B18C-4F283CB0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C:\Users\u0053867\Dropbox\Documenten\Seminarie BO\Sjabloon seminarie BO.dot</Template>
  <TotalTime>6</TotalTime>
  <Pages>111</Pages>
  <Words>23762</Words>
  <Characters>132832</Characters>
  <Application>Microsoft Macintosh Word</Application>
  <DocSecurity>0</DocSecurity>
  <Lines>1897</Lines>
  <Paragraphs>365</Paragraphs>
  <ScaleCrop>false</ScaleCrop>
  <HeadingPairs>
    <vt:vector size="2" baseType="variant">
      <vt:variant>
        <vt:lpstr>Titel</vt:lpstr>
      </vt:variant>
      <vt:variant>
        <vt:i4>1</vt:i4>
      </vt:variant>
    </vt:vector>
  </HeadingPairs>
  <TitlesOfParts>
    <vt:vector size="1" baseType="lpstr">
      <vt:lpstr>Titel van het proefschrift</vt:lpstr>
    </vt:vector>
  </TitlesOfParts>
  <Company>K.U.Leuven (A.I.V.)</Company>
  <LinksUpToDate>false</LinksUpToDate>
  <CharactersWithSpaces>156229</CharactersWithSpaces>
  <SharedDoc>false</SharedDoc>
  <HLinks>
    <vt:vector size="6" baseType="variant">
      <vt:variant>
        <vt:i4>3276886</vt:i4>
      </vt:variant>
      <vt:variant>
        <vt:i4>2048</vt:i4>
      </vt:variant>
      <vt:variant>
        <vt:i4>1025</vt:i4>
      </vt:variant>
      <vt:variant>
        <vt:i4>1</vt:i4>
      </vt:variant>
      <vt:variant>
        <vt:lpwstr>Sedes22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proefschrift</dc:title>
  <dc:subject/>
  <dc:creator>u0053867</dc:creator>
  <cp:keywords/>
  <dc:description/>
  <cp:lastModifiedBy>julie.demeester@hotmail.com</cp:lastModifiedBy>
  <cp:revision>4</cp:revision>
  <cp:lastPrinted>2016-05-02T17:53:00Z</cp:lastPrinted>
  <dcterms:created xsi:type="dcterms:W3CDTF">2016-05-02T17:53:00Z</dcterms:created>
  <dcterms:modified xsi:type="dcterms:W3CDTF">2016-09-26T11:33:00Z</dcterms:modified>
</cp:coreProperties>
</file>