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026ACE" w14:textId="38D2165E" w:rsidR="00267E9B" w:rsidRDefault="00267E9B" w:rsidP="00756C8D">
      <w:pPr>
        <w:spacing w:after="160" w:line="278" w:lineRule="auto"/>
        <w:rPr>
          <w:rFonts w:ascii="Georgia" w:hAnsi="Georgia" w:cs="Calibri"/>
          <w:b/>
          <w:bCs/>
          <w:sz w:val="30"/>
          <w:szCs w:val="30"/>
          <w:lang w:val="nl-NL"/>
        </w:rPr>
      </w:pPr>
    </w:p>
    <w:p w14:paraId="3D883CC7" w14:textId="68367D79" w:rsidR="009E4BB3" w:rsidRDefault="009E4BB3" w:rsidP="00C140A8">
      <w:pPr>
        <w:pStyle w:val="CoverHeading"/>
        <w:spacing w:before="0" w:afterLines="80" w:after="192" w:line="360" w:lineRule="auto"/>
        <w:rPr>
          <w:rFonts w:ascii="Georgia" w:hAnsi="Georgia" w:cs="Calibri"/>
          <w:b/>
          <w:bCs/>
          <w:sz w:val="30"/>
          <w:szCs w:val="30"/>
          <w:lang w:val="nl-NL"/>
        </w:rPr>
      </w:pPr>
    </w:p>
    <w:p w14:paraId="1282871A" w14:textId="39BDE89A" w:rsidR="009E4BB3" w:rsidRDefault="009E4BB3" w:rsidP="00C140A8">
      <w:pPr>
        <w:pStyle w:val="CoverHeading"/>
        <w:spacing w:before="0" w:afterLines="80" w:after="192" w:line="360" w:lineRule="auto"/>
        <w:rPr>
          <w:rFonts w:ascii="Georgia" w:hAnsi="Georgia" w:cs="Calibri"/>
          <w:b/>
          <w:bCs/>
          <w:sz w:val="30"/>
          <w:szCs w:val="30"/>
          <w:lang w:val="nl-NL"/>
        </w:rPr>
      </w:pPr>
    </w:p>
    <w:p w14:paraId="2558ED85" w14:textId="0DE3DD17" w:rsidR="004732E2" w:rsidRDefault="004732E2" w:rsidP="004732E2">
      <w:pPr>
        <w:pStyle w:val="Header"/>
      </w:pPr>
    </w:p>
    <w:p w14:paraId="480828B1" w14:textId="294EEB21" w:rsidR="00632BEA" w:rsidRDefault="00632BEA" w:rsidP="00C140A8">
      <w:pPr>
        <w:pStyle w:val="CoverHeading"/>
        <w:spacing w:before="0" w:afterLines="80" w:after="192" w:line="360" w:lineRule="auto"/>
        <w:rPr>
          <w:rFonts w:ascii="Georgia" w:hAnsi="Georgia" w:cs="Calibri"/>
          <w:b/>
          <w:bCs/>
          <w:sz w:val="30"/>
          <w:szCs w:val="30"/>
          <w:lang w:val="nl-NL"/>
        </w:rPr>
      </w:pPr>
    </w:p>
    <w:p w14:paraId="3AC0B392" w14:textId="5AE72930" w:rsidR="00632BEA" w:rsidRDefault="00632BEA" w:rsidP="00C140A8">
      <w:pPr>
        <w:pStyle w:val="CoverHeading"/>
        <w:spacing w:before="0" w:afterLines="80" w:after="192" w:line="360" w:lineRule="auto"/>
        <w:rPr>
          <w:rFonts w:ascii="Georgia" w:hAnsi="Georgia" w:cs="Calibri"/>
          <w:b/>
          <w:bCs/>
          <w:sz w:val="30"/>
          <w:szCs w:val="30"/>
          <w:lang w:val="nl-NL"/>
        </w:rPr>
      </w:pPr>
    </w:p>
    <w:p w14:paraId="07B491FA" w14:textId="4A66EE05" w:rsidR="009E4BB3" w:rsidRDefault="009E4BB3" w:rsidP="00C140A8">
      <w:pPr>
        <w:pStyle w:val="CoverHeading"/>
        <w:spacing w:before="0" w:afterLines="80" w:after="192" w:line="360" w:lineRule="auto"/>
        <w:rPr>
          <w:rFonts w:ascii="Georgia" w:hAnsi="Georgia" w:cs="Calibri"/>
          <w:b/>
          <w:bCs/>
          <w:sz w:val="30"/>
          <w:szCs w:val="30"/>
          <w:lang w:val="nl-NL"/>
        </w:rPr>
      </w:pPr>
    </w:p>
    <w:p w14:paraId="173CB590" w14:textId="37F57BA1" w:rsidR="00D85EC8" w:rsidRPr="00267E9B" w:rsidRDefault="00AB6014" w:rsidP="2D0D95AE">
      <w:pPr>
        <w:rPr>
          <w:rFonts w:ascii="Garamond" w:hAnsi="Garamond" w:cs="Arial"/>
          <w:color w:val="000000" w:themeColor="text1"/>
          <w:sz w:val="70"/>
          <w:szCs w:val="70"/>
          <w:lang w:val="en-US"/>
        </w:rPr>
      </w:pPr>
      <w:r w:rsidRPr="2D0D95AE">
        <w:rPr>
          <w:rFonts w:ascii="Garamond" w:hAnsi="Garamond" w:cs="Arial"/>
          <w:color w:val="000000" w:themeColor="text1"/>
          <w:sz w:val="70"/>
          <w:szCs w:val="70"/>
          <w:lang w:val="en-US"/>
        </w:rPr>
        <w:t>Van der edelre hertoginne vrouwe johanne:</w:t>
      </w:r>
    </w:p>
    <w:p w14:paraId="0F0E08CB" w14:textId="28824B59" w:rsidR="00D85EC8" w:rsidRPr="00606552" w:rsidRDefault="00D85EC8" w:rsidP="00D85EC8">
      <w:pPr>
        <w:jc w:val="both"/>
        <w:rPr>
          <w:rFonts w:ascii="Arial" w:hAnsi="Arial" w:cs="Arial"/>
          <w:sz w:val="40"/>
        </w:rPr>
      </w:pPr>
    </w:p>
    <w:p w14:paraId="2873FF0E" w14:textId="0C84DA51" w:rsidR="00D85EC8" w:rsidRPr="00AB6014" w:rsidRDefault="009E4BB3" w:rsidP="2D0D95AE">
      <w:pPr>
        <w:jc w:val="both"/>
        <w:rPr>
          <w:rStyle w:val="subtitel"/>
          <w:rFonts w:ascii="Garamond" w:eastAsiaTheme="majorEastAsia" w:hAnsi="Garamond" w:cs="Arial"/>
          <w:sz w:val="40"/>
          <w:szCs w:val="40"/>
          <w:lang w:val="en-US"/>
        </w:rPr>
      </w:pPr>
      <w:r w:rsidRPr="2D0D95AE">
        <w:rPr>
          <w:rStyle w:val="subtitel"/>
          <w:rFonts w:ascii="Garamond" w:eastAsiaTheme="majorEastAsia" w:hAnsi="Garamond" w:cs="Arial"/>
          <w:sz w:val="40"/>
          <w:szCs w:val="40"/>
          <w:lang w:val="en-US"/>
        </w:rPr>
        <w:t xml:space="preserve">De bestuursbijdrage van </w:t>
      </w:r>
      <w:r w:rsidR="006C2B7D" w:rsidRPr="2D0D95AE">
        <w:rPr>
          <w:rStyle w:val="subtitel"/>
          <w:rFonts w:ascii="Garamond" w:eastAsiaTheme="majorEastAsia" w:hAnsi="Garamond" w:cs="Arial"/>
          <w:sz w:val="40"/>
          <w:szCs w:val="40"/>
          <w:lang w:val="en-US"/>
        </w:rPr>
        <w:t>Johanna van Brabant in het hertogdom Brabant van 1376</w:t>
      </w:r>
      <w:r w:rsidR="00175CBB" w:rsidRPr="2D0D95AE">
        <w:rPr>
          <w:rStyle w:val="subtitel"/>
          <w:rFonts w:ascii="Garamond" w:eastAsiaTheme="majorEastAsia" w:hAnsi="Garamond" w:cs="Arial"/>
          <w:sz w:val="40"/>
          <w:szCs w:val="40"/>
          <w:lang w:val="en-US"/>
        </w:rPr>
        <w:t xml:space="preserve"> tot 1380.</w:t>
      </w:r>
    </w:p>
    <w:p w14:paraId="4ECF378B" w14:textId="77777777" w:rsidR="00D85EC8" w:rsidRPr="00606552" w:rsidRDefault="00D85EC8" w:rsidP="00D85EC8">
      <w:pPr>
        <w:jc w:val="both"/>
        <w:rPr>
          <w:rFonts w:ascii="Arial" w:hAnsi="Arial" w:cs="Arial"/>
        </w:rPr>
      </w:pPr>
    </w:p>
    <w:p w14:paraId="7E92C19C" w14:textId="77777777" w:rsidR="00D85EC8" w:rsidRDefault="00D85EC8" w:rsidP="00D85EC8">
      <w:pPr>
        <w:jc w:val="both"/>
        <w:rPr>
          <w:rFonts w:ascii="Arial" w:hAnsi="Arial" w:cs="Arial"/>
        </w:rPr>
      </w:pPr>
    </w:p>
    <w:p w14:paraId="37153072" w14:textId="588EC84E" w:rsidR="009E4BB3" w:rsidRDefault="009E4BB3" w:rsidP="00D85EC8">
      <w:pPr>
        <w:jc w:val="both"/>
        <w:rPr>
          <w:rFonts w:ascii="Arial" w:hAnsi="Arial" w:cs="Arial"/>
        </w:rPr>
      </w:pPr>
    </w:p>
    <w:p w14:paraId="1B8E6643" w14:textId="3071FE8C" w:rsidR="009E4BB3" w:rsidRPr="00606552" w:rsidRDefault="009E4BB3" w:rsidP="00D85EC8">
      <w:pPr>
        <w:jc w:val="both"/>
        <w:rPr>
          <w:rFonts w:ascii="Arial" w:hAnsi="Arial" w:cs="Arial"/>
        </w:rPr>
      </w:pPr>
    </w:p>
    <w:p w14:paraId="73584FE2" w14:textId="571EA42F" w:rsidR="006C2B7D" w:rsidRDefault="006C2B7D" w:rsidP="00D85EC8">
      <w:pPr>
        <w:jc w:val="both"/>
        <w:rPr>
          <w:rFonts w:ascii="Arial" w:hAnsi="Arial" w:cs="Arial"/>
        </w:rPr>
      </w:pPr>
    </w:p>
    <w:p w14:paraId="1FA2FE37" w14:textId="77777777" w:rsidR="006C2B7D" w:rsidRDefault="006C2B7D" w:rsidP="00D85EC8">
      <w:pPr>
        <w:jc w:val="both"/>
        <w:rPr>
          <w:rFonts w:ascii="Arial" w:hAnsi="Arial" w:cs="Arial"/>
        </w:rPr>
      </w:pPr>
    </w:p>
    <w:p w14:paraId="3D21A81D" w14:textId="77777777" w:rsidR="006C2B7D" w:rsidRDefault="006C2B7D" w:rsidP="00D85EC8">
      <w:pPr>
        <w:jc w:val="both"/>
        <w:rPr>
          <w:rFonts w:ascii="Arial" w:hAnsi="Arial" w:cs="Arial"/>
        </w:rPr>
      </w:pPr>
    </w:p>
    <w:p w14:paraId="2F075D5E" w14:textId="77777777" w:rsidR="006C2B7D" w:rsidRDefault="006C2B7D" w:rsidP="00D85EC8">
      <w:pPr>
        <w:jc w:val="both"/>
        <w:rPr>
          <w:rFonts w:ascii="Arial" w:hAnsi="Arial" w:cs="Arial"/>
        </w:rPr>
      </w:pPr>
    </w:p>
    <w:p w14:paraId="18D87B5A" w14:textId="77777777" w:rsidR="006C2B7D" w:rsidRDefault="006C2B7D" w:rsidP="00D85EC8">
      <w:pPr>
        <w:jc w:val="both"/>
        <w:rPr>
          <w:rFonts w:ascii="Arial" w:hAnsi="Arial" w:cs="Arial"/>
        </w:rPr>
      </w:pPr>
    </w:p>
    <w:p w14:paraId="723358FF" w14:textId="77777777" w:rsidR="006C2B7D" w:rsidRDefault="006C2B7D" w:rsidP="00D85EC8">
      <w:pPr>
        <w:jc w:val="both"/>
        <w:rPr>
          <w:rFonts w:ascii="Arial" w:hAnsi="Arial" w:cs="Arial"/>
        </w:rPr>
      </w:pPr>
    </w:p>
    <w:p w14:paraId="144803FA" w14:textId="77777777" w:rsidR="00D85EC8" w:rsidRPr="00606552" w:rsidRDefault="00D85EC8" w:rsidP="00D85EC8">
      <w:pPr>
        <w:jc w:val="both"/>
        <w:rPr>
          <w:rFonts w:ascii="Arial" w:hAnsi="Arial" w:cs="Arial"/>
        </w:rPr>
      </w:pPr>
    </w:p>
    <w:p w14:paraId="5CCA8C92" w14:textId="77777777" w:rsidR="009E4BB3" w:rsidRPr="00606552" w:rsidRDefault="009E4BB3" w:rsidP="009E4BB3">
      <w:pPr>
        <w:jc w:val="both"/>
        <w:rPr>
          <w:rFonts w:ascii="Arial" w:hAnsi="Arial" w:cs="Arial"/>
        </w:rPr>
      </w:pPr>
    </w:p>
    <w:p w14:paraId="617F9BBF" w14:textId="3864D0DC" w:rsidR="009E4BB3" w:rsidRPr="00AB6014" w:rsidRDefault="009E4BB3" w:rsidP="009E4BB3">
      <w:pPr>
        <w:autoSpaceDE w:val="0"/>
        <w:autoSpaceDN w:val="0"/>
        <w:adjustRightInd w:val="0"/>
        <w:ind w:right="-2"/>
        <w:jc w:val="right"/>
        <w:rPr>
          <w:rFonts w:ascii="Garamond" w:hAnsi="Garamond" w:cs="Arial"/>
          <w:b/>
          <w:bCs/>
          <w:color w:val="231F20"/>
          <w:sz w:val="28"/>
          <w:szCs w:val="28"/>
        </w:rPr>
      </w:pPr>
      <w:r w:rsidRPr="00AB6014">
        <w:rPr>
          <w:rFonts w:ascii="Garamond" w:hAnsi="Garamond" w:cs="Arial"/>
          <w:b/>
          <w:bCs/>
          <w:color w:val="231F20"/>
          <w:sz w:val="28"/>
          <w:szCs w:val="28"/>
        </w:rPr>
        <w:t>Janneke De Keersmaecker</w:t>
      </w:r>
    </w:p>
    <w:p w14:paraId="7786DF00" w14:textId="77777777" w:rsidR="009E4BB3" w:rsidRPr="00AB6014" w:rsidRDefault="009E4BB3" w:rsidP="009E4BB3">
      <w:pPr>
        <w:autoSpaceDE w:val="0"/>
        <w:autoSpaceDN w:val="0"/>
        <w:adjustRightInd w:val="0"/>
        <w:ind w:right="-2"/>
        <w:jc w:val="right"/>
        <w:rPr>
          <w:rFonts w:ascii="Garamond" w:hAnsi="Garamond" w:cs="Arial"/>
          <w:b/>
          <w:bCs/>
          <w:color w:val="231F20"/>
          <w:sz w:val="28"/>
          <w:szCs w:val="28"/>
        </w:rPr>
      </w:pPr>
    </w:p>
    <w:p w14:paraId="0C26036E" w14:textId="77777777" w:rsidR="009E4BB3" w:rsidRPr="00AB6014" w:rsidRDefault="009E4BB3" w:rsidP="2D0D95AE">
      <w:pPr>
        <w:autoSpaceDE w:val="0"/>
        <w:autoSpaceDN w:val="0"/>
        <w:adjustRightInd w:val="0"/>
        <w:ind w:right="-2"/>
        <w:jc w:val="right"/>
        <w:rPr>
          <w:rFonts w:ascii="Garamond" w:hAnsi="Garamond" w:cs="Arial"/>
          <w:color w:val="231F20"/>
          <w:lang w:val="en-US"/>
        </w:rPr>
      </w:pPr>
      <w:r w:rsidRPr="2D0D95AE">
        <w:rPr>
          <w:rFonts w:ascii="Garamond" w:hAnsi="Garamond" w:cs="Arial"/>
          <w:color w:val="231F20"/>
          <w:lang w:val="en-US"/>
        </w:rPr>
        <w:t>Masterproef aangeboden binnen de opleiding</w:t>
      </w:r>
    </w:p>
    <w:p w14:paraId="295E532D" w14:textId="4C8FA77E" w:rsidR="009E4BB3" w:rsidRPr="00AB6014" w:rsidRDefault="009E4BB3" w:rsidP="2D0D95AE">
      <w:pPr>
        <w:autoSpaceDE w:val="0"/>
        <w:autoSpaceDN w:val="0"/>
        <w:adjustRightInd w:val="0"/>
        <w:ind w:right="-2"/>
        <w:jc w:val="right"/>
        <w:rPr>
          <w:rFonts w:ascii="Garamond" w:hAnsi="Garamond" w:cs="Arial"/>
          <w:color w:val="231F20"/>
          <w:lang w:val="en-US"/>
        </w:rPr>
      </w:pPr>
      <w:r w:rsidRPr="2D0D95AE">
        <w:rPr>
          <w:rFonts w:ascii="Garamond" w:hAnsi="Garamond" w:cs="Arial"/>
          <w:color w:val="231F20"/>
          <w:lang w:val="en-US"/>
        </w:rPr>
        <w:t>master in de geschiedenis</w:t>
      </w:r>
    </w:p>
    <w:p w14:paraId="22A9B260" w14:textId="77777777" w:rsidR="009E4BB3" w:rsidRPr="00AB6014" w:rsidRDefault="009E4BB3" w:rsidP="009E4BB3">
      <w:pPr>
        <w:autoSpaceDE w:val="0"/>
        <w:autoSpaceDN w:val="0"/>
        <w:adjustRightInd w:val="0"/>
        <w:ind w:right="-2"/>
        <w:jc w:val="right"/>
        <w:rPr>
          <w:rFonts w:ascii="Garamond" w:hAnsi="Garamond" w:cs="Arial"/>
          <w:color w:val="231F20"/>
        </w:rPr>
      </w:pPr>
    </w:p>
    <w:p w14:paraId="632CDC39" w14:textId="02D094A4" w:rsidR="009E4BB3" w:rsidRPr="00AB6014" w:rsidRDefault="009E4BB3" w:rsidP="009E4BB3">
      <w:pPr>
        <w:autoSpaceDE w:val="0"/>
        <w:autoSpaceDN w:val="0"/>
        <w:adjustRightInd w:val="0"/>
        <w:ind w:right="-2"/>
        <w:jc w:val="right"/>
        <w:rPr>
          <w:rFonts w:ascii="Garamond" w:hAnsi="Garamond" w:cs="Arial"/>
          <w:color w:val="231F20"/>
        </w:rPr>
      </w:pPr>
      <w:r w:rsidRPr="00AB6014">
        <w:rPr>
          <w:rFonts w:ascii="Garamond" w:hAnsi="Garamond" w:cs="Arial"/>
          <w:color w:val="231F20"/>
        </w:rPr>
        <w:t>Promotor: prof. dr. Jelle Haemers (promotor)</w:t>
      </w:r>
    </w:p>
    <w:p w14:paraId="4965D8C9" w14:textId="77777777" w:rsidR="009E4BB3" w:rsidRPr="00AB6014" w:rsidRDefault="009E4BB3" w:rsidP="009E4BB3">
      <w:pPr>
        <w:autoSpaceDE w:val="0"/>
        <w:autoSpaceDN w:val="0"/>
        <w:adjustRightInd w:val="0"/>
        <w:ind w:right="-2"/>
        <w:jc w:val="right"/>
        <w:rPr>
          <w:rFonts w:ascii="Garamond" w:hAnsi="Garamond" w:cs="Arial"/>
          <w:color w:val="231F20"/>
        </w:rPr>
      </w:pPr>
    </w:p>
    <w:p w14:paraId="633A8370" w14:textId="64FC748C" w:rsidR="009E4BB3" w:rsidRPr="00AB6014" w:rsidRDefault="009E4BB3" w:rsidP="2D0D95AE">
      <w:pPr>
        <w:autoSpaceDE w:val="0"/>
        <w:autoSpaceDN w:val="0"/>
        <w:adjustRightInd w:val="0"/>
        <w:ind w:right="-2"/>
        <w:jc w:val="right"/>
        <w:rPr>
          <w:rFonts w:ascii="Garamond" w:hAnsi="Garamond" w:cs="Arial"/>
          <w:lang w:val="en-US"/>
        </w:rPr>
      </w:pPr>
      <w:r w:rsidRPr="2D0D95AE">
        <w:rPr>
          <w:rFonts w:ascii="Garamond" w:hAnsi="Garamond" w:cs="Arial"/>
          <w:color w:val="231F20"/>
          <w:lang w:val="en-US"/>
        </w:rPr>
        <w:t>Academiejaar 2025-2026</w:t>
      </w:r>
    </w:p>
    <w:p w14:paraId="56D15985" w14:textId="77777777" w:rsidR="009E4BB3" w:rsidRPr="00AB6014" w:rsidRDefault="009E4BB3" w:rsidP="009E4BB3">
      <w:pPr>
        <w:autoSpaceDE w:val="0"/>
        <w:autoSpaceDN w:val="0"/>
        <w:adjustRightInd w:val="0"/>
        <w:ind w:right="-2"/>
        <w:jc w:val="right"/>
        <w:rPr>
          <w:rFonts w:ascii="Garamond" w:hAnsi="Garamond" w:cs="Arial"/>
        </w:rPr>
      </w:pPr>
    </w:p>
    <w:p w14:paraId="38642A7E" w14:textId="5A333A3E" w:rsidR="009E4BB3" w:rsidRPr="00AB6014" w:rsidRDefault="009E4BB3" w:rsidP="009E4BB3">
      <w:pPr>
        <w:autoSpaceDE w:val="0"/>
        <w:autoSpaceDN w:val="0"/>
        <w:adjustRightInd w:val="0"/>
        <w:ind w:right="-2"/>
        <w:jc w:val="right"/>
        <w:rPr>
          <w:rFonts w:ascii="Garamond" w:hAnsi="Garamond" w:cs="Arial"/>
        </w:rPr>
      </w:pPr>
    </w:p>
    <w:p w14:paraId="75BF022E" w14:textId="721DBA7B" w:rsidR="009E4BB3" w:rsidRPr="00AB6014" w:rsidRDefault="009E4BB3" w:rsidP="2D0D95AE">
      <w:pPr>
        <w:autoSpaceDE w:val="0"/>
        <w:autoSpaceDN w:val="0"/>
        <w:adjustRightInd w:val="0"/>
        <w:ind w:right="-2"/>
        <w:jc w:val="right"/>
        <w:rPr>
          <w:rFonts w:ascii="Garamond" w:hAnsi="Garamond" w:cs="HelveticaNeueLTStd-Roman"/>
          <w:color w:val="231F20"/>
          <w:lang w:val="en-US"/>
        </w:rPr>
      </w:pPr>
      <w:r w:rsidRPr="2D0D95AE">
        <w:rPr>
          <w:rFonts w:ascii="Garamond" w:hAnsi="Garamond" w:cs="Arial"/>
          <w:color w:val="231F20"/>
          <w:lang w:val="en-US"/>
        </w:rPr>
        <w:t>2</w:t>
      </w:r>
      <w:r w:rsidR="009919BA" w:rsidRPr="2D0D95AE">
        <w:rPr>
          <w:rFonts w:ascii="Garamond" w:hAnsi="Garamond" w:cs="Arial"/>
          <w:color w:val="231F20"/>
          <w:lang w:val="en-US"/>
        </w:rPr>
        <w:t>24</w:t>
      </w:r>
      <w:r w:rsidRPr="2D0D95AE">
        <w:rPr>
          <w:rFonts w:ascii="Garamond" w:hAnsi="Garamond" w:cs="Arial"/>
          <w:color w:val="231F20"/>
          <w:lang w:val="en-US"/>
        </w:rPr>
        <w:t xml:space="preserve"> </w:t>
      </w:r>
      <w:r w:rsidR="009919BA" w:rsidRPr="2D0D95AE">
        <w:rPr>
          <w:rFonts w:ascii="Garamond" w:hAnsi="Garamond" w:cs="Arial"/>
          <w:color w:val="231F20"/>
          <w:lang w:val="en-US"/>
        </w:rPr>
        <w:t>069</w:t>
      </w:r>
      <w:r w:rsidRPr="2D0D95AE">
        <w:rPr>
          <w:rFonts w:ascii="Garamond" w:hAnsi="Garamond" w:cs="Arial"/>
          <w:color w:val="231F20"/>
          <w:lang w:val="en-US"/>
        </w:rPr>
        <w:t xml:space="preserve"> tekens</w:t>
      </w:r>
      <w:r w:rsidR="009919BA" w:rsidRPr="2D0D95AE">
        <w:rPr>
          <w:rFonts w:ascii="Garamond" w:hAnsi="Garamond" w:cs="Arial"/>
          <w:color w:val="231F20"/>
          <w:lang w:val="en-US"/>
        </w:rPr>
        <w:t xml:space="preserve"> (Incl. spaties, excl. bibliografie en bijlagen)</w:t>
      </w:r>
    </w:p>
    <w:p w14:paraId="08CBCF73" w14:textId="14959271" w:rsidR="00F37C62" w:rsidRDefault="00F37C62" w:rsidP="00F37C62">
      <w:pPr>
        <w:rPr>
          <w:rFonts w:ascii="Georgia" w:hAnsi="Georgia" w:cs="Calibri"/>
          <w:b/>
          <w:bCs/>
          <w:sz w:val="30"/>
          <w:szCs w:val="30"/>
          <w:lang w:val="nl-NL"/>
        </w:rPr>
      </w:pPr>
      <w:r w:rsidRPr="001C306D">
        <w:rPr>
          <w:noProof/>
          <w:lang w:eastAsia="nl-BE"/>
        </w:rPr>
        <w:lastRenderedPageBreak/>
        <w:drawing>
          <wp:anchor distT="0" distB="0" distL="114300" distR="114300" simplePos="0" relativeHeight="251690495" behindDoc="0" locked="0" layoutInCell="1" allowOverlap="1" wp14:anchorId="4BD02FC9" wp14:editId="128125C4">
            <wp:simplePos x="0" y="0"/>
            <wp:positionH relativeFrom="column">
              <wp:posOffset>2395728</wp:posOffset>
            </wp:positionH>
            <wp:positionV relativeFrom="paragraph">
              <wp:posOffset>164592</wp:posOffset>
            </wp:positionV>
            <wp:extent cx="1057275" cy="1933575"/>
            <wp:effectExtent l="0" t="0" r="0" b="0"/>
            <wp:wrapSquare wrapText="bothSides"/>
            <wp:docPr id="1" name="Picture 3" descr="A black and white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A black and white logo with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7275" cy="1933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335760" w14:textId="77777777" w:rsidR="00F37C62" w:rsidRDefault="00F37C62" w:rsidP="00F37C62">
      <w:pPr>
        <w:rPr>
          <w:rFonts w:ascii="Georgia" w:hAnsi="Georgia" w:cs="Calibri"/>
          <w:b/>
          <w:bCs/>
          <w:sz w:val="30"/>
          <w:szCs w:val="30"/>
          <w:lang w:val="nl-NL"/>
        </w:rPr>
      </w:pPr>
    </w:p>
    <w:p w14:paraId="2329CB13" w14:textId="77777777" w:rsidR="00F37C62" w:rsidRDefault="00F37C62" w:rsidP="00F37C62">
      <w:pPr>
        <w:rPr>
          <w:rFonts w:ascii="Georgia" w:hAnsi="Georgia" w:cs="Calibri"/>
          <w:b/>
          <w:bCs/>
          <w:sz w:val="30"/>
          <w:szCs w:val="30"/>
          <w:lang w:val="nl-NL"/>
        </w:rPr>
      </w:pPr>
    </w:p>
    <w:p w14:paraId="2CD37BE8" w14:textId="77777777" w:rsidR="00F37C62" w:rsidRDefault="00F37C62" w:rsidP="00F37C62">
      <w:pPr>
        <w:rPr>
          <w:rFonts w:ascii="Georgia" w:hAnsi="Georgia" w:cs="Calibri"/>
          <w:b/>
          <w:bCs/>
          <w:sz w:val="30"/>
          <w:szCs w:val="30"/>
          <w:lang w:val="nl-NL"/>
        </w:rPr>
      </w:pPr>
    </w:p>
    <w:p w14:paraId="260E2B8A" w14:textId="77777777" w:rsidR="00F37C62" w:rsidRDefault="00F37C62" w:rsidP="00F37C62">
      <w:pPr>
        <w:rPr>
          <w:rFonts w:ascii="Georgia" w:hAnsi="Georgia" w:cs="Calibri"/>
          <w:b/>
          <w:bCs/>
          <w:sz w:val="30"/>
          <w:szCs w:val="30"/>
          <w:lang w:val="nl-NL"/>
        </w:rPr>
      </w:pPr>
    </w:p>
    <w:p w14:paraId="58779C19" w14:textId="77777777" w:rsidR="00F37C62" w:rsidRDefault="00F37C62" w:rsidP="00F37C62">
      <w:pPr>
        <w:rPr>
          <w:rFonts w:ascii="Georgia" w:hAnsi="Georgia" w:cs="Calibri"/>
          <w:b/>
          <w:bCs/>
          <w:sz w:val="30"/>
          <w:szCs w:val="30"/>
          <w:lang w:val="nl-NL"/>
        </w:rPr>
      </w:pPr>
    </w:p>
    <w:p w14:paraId="11CE0187" w14:textId="77777777" w:rsidR="00F37C62" w:rsidRDefault="00F37C62" w:rsidP="00F37C62">
      <w:pPr>
        <w:rPr>
          <w:rFonts w:ascii="Georgia" w:hAnsi="Georgia" w:cs="Calibri"/>
          <w:b/>
          <w:bCs/>
          <w:sz w:val="30"/>
          <w:szCs w:val="30"/>
          <w:lang w:val="nl-NL"/>
        </w:rPr>
      </w:pPr>
    </w:p>
    <w:p w14:paraId="4812D287" w14:textId="77777777" w:rsidR="00F37C62" w:rsidRDefault="00F37C62" w:rsidP="00F37C62">
      <w:pPr>
        <w:rPr>
          <w:rFonts w:ascii="Georgia" w:hAnsi="Georgia" w:cs="Calibri"/>
          <w:b/>
          <w:bCs/>
          <w:sz w:val="30"/>
          <w:szCs w:val="30"/>
          <w:lang w:val="nl-NL"/>
        </w:rPr>
      </w:pPr>
    </w:p>
    <w:p w14:paraId="0C03F2DC" w14:textId="77777777" w:rsidR="00F37C62" w:rsidRDefault="00F37C62" w:rsidP="00F37C62">
      <w:pPr>
        <w:rPr>
          <w:rFonts w:ascii="Georgia" w:hAnsi="Georgia" w:cs="Calibri"/>
          <w:b/>
          <w:bCs/>
          <w:sz w:val="30"/>
          <w:szCs w:val="30"/>
          <w:lang w:val="nl-NL"/>
        </w:rPr>
      </w:pPr>
    </w:p>
    <w:p w14:paraId="28C13CC3" w14:textId="77777777" w:rsidR="00F37C62" w:rsidRDefault="00F37C62" w:rsidP="00F37C62"/>
    <w:p w14:paraId="0DE22B19" w14:textId="77777777" w:rsidR="00F37C62" w:rsidRPr="008A78F9" w:rsidRDefault="00F37C62" w:rsidP="2D0D95AE">
      <w:pPr>
        <w:shd w:val="clear" w:color="auto" w:fill="FFFFFF" w:themeFill="background1"/>
        <w:jc w:val="center"/>
        <w:rPr>
          <w:rFonts w:ascii="Arial" w:hAnsi="Arial" w:cs="Arial"/>
          <w:i/>
          <w:iCs/>
          <w:color w:val="242424"/>
          <w:sz w:val="32"/>
          <w:szCs w:val="32"/>
          <w:lang w:val="en-US"/>
        </w:rPr>
      </w:pPr>
      <w:r w:rsidRPr="2D0D95AE">
        <w:rPr>
          <w:rFonts w:ascii="Arial" w:hAnsi="Arial" w:cs="Arial"/>
          <w:i/>
          <w:iCs/>
          <w:color w:val="242424"/>
          <w:sz w:val="32"/>
          <w:szCs w:val="32"/>
          <w:lang w:val="en-US"/>
        </w:rPr>
        <w:t>Copyright informatie:</w:t>
      </w:r>
    </w:p>
    <w:p w14:paraId="389C1A07" w14:textId="77777777" w:rsidR="00F37C62" w:rsidRPr="008A78F9" w:rsidRDefault="00F37C62" w:rsidP="2D0D95AE">
      <w:pPr>
        <w:shd w:val="clear" w:color="auto" w:fill="FFFFFF" w:themeFill="background1"/>
        <w:jc w:val="center"/>
        <w:rPr>
          <w:rFonts w:ascii="Arial" w:hAnsi="Arial" w:cs="Arial"/>
          <w:i/>
          <w:iCs/>
          <w:color w:val="242424"/>
          <w:sz w:val="32"/>
          <w:szCs w:val="32"/>
          <w:lang w:val="en-US"/>
        </w:rPr>
      </w:pPr>
      <w:r w:rsidRPr="2D0D95AE">
        <w:rPr>
          <w:rFonts w:ascii="Arial" w:hAnsi="Arial" w:cs="Arial"/>
          <w:i/>
          <w:iCs/>
          <w:color w:val="242424"/>
          <w:sz w:val="32"/>
          <w:szCs w:val="32"/>
          <w:lang w:val="en-US"/>
        </w:rPr>
        <w:t xml:space="preserve">studiewerk van een student in het kader van de academische opleiding en examenbeoordeling. </w:t>
      </w:r>
    </w:p>
    <w:p w14:paraId="579F3E02" w14:textId="77777777" w:rsidR="00F37C62" w:rsidRPr="008A78F9" w:rsidRDefault="00F37C62" w:rsidP="2D0D95AE">
      <w:pPr>
        <w:shd w:val="clear" w:color="auto" w:fill="FFFFFF" w:themeFill="background1"/>
        <w:jc w:val="center"/>
        <w:rPr>
          <w:rFonts w:ascii="Arial" w:hAnsi="Arial" w:cs="Arial"/>
          <w:i/>
          <w:iCs/>
          <w:color w:val="242424"/>
          <w:sz w:val="32"/>
          <w:szCs w:val="32"/>
          <w:lang w:val="en-US"/>
        </w:rPr>
      </w:pPr>
      <w:r w:rsidRPr="2D0D95AE">
        <w:rPr>
          <w:rFonts w:ascii="Arial" w:hAnsi="Arial" w:cs="Arial"/>
          <w:i/>
          <w:iCs/>
          <w:color w:val="242424"/>
          <w:sz w:val="32"/>
          <w:szCs w:val="32"/>
          <w:lang w:val="en-US"/>
        </w:rPr>
        <w:t xml:space="preserve">Na deze beoordeling vond geen correctie plaats </w:t>
      </w:r>
    </w:p>
    <w:p w14:paraId="131AA6CD" w14:textId="77777777" w:rsidR="00F37C62" w:rsidRPr="008A78F9" w:rsidRDefault="00F37C62" w:rsidP="2D0D95AE">
      <w:pPr>
        <w:shd w:val="clear" w:color="auto" w:fill="FFFFFF" w:themeFill="background1"/>
        <w:jc w:val="center"/>
        <w:rPr>
          <w:rFonts w:ascii="Arial" w:hAnsi="Arial" w:cs="Arial"/>
          <w:color w:val="242424"/>
          <w:sz w:val="32"/>
          <w:szCs w:val="32"/>
          <w:lang w:val="en-US"/>
        </w:rPr>
      </w:pPr>
      <w:r w:rsidRPr="2D0D95AE">
        <w:rPr>
          <w:rFonts w:ascii="Arial" w:hAnsi="Arial" w:cs="Arial"/>
          <w:i/>
          <w:iCs/>
          <w:color w:val="242424"/>
          <w:sz w:val="32"/>
          <w:szCs w:val="32"/>
          <w:lang w:val="en-US"/>
        </w:rPr>
        <w:t>van het studiewerk.</w:t>
      </w:r>
    </w:p>
    <w:p w14:paraId="007DB24F" w14:textId="77777777" w:rsidR="00F37C62" w:rsidRDefault="00F37C62" w:rsidP="00F37C62">
      <w:pPr>
        <w:jc w:val="center"/>
      </w:pPr>
    </w:p>
    <w:p w14:paraId="712E3E23" w14:textId="77777777" w:rsidR="00F37C62" w:rsidRDefault="00F37C62" w:rsidP="00F37C62"/>
    <w:p w14:paraId="1612C2D3" w14:textId="77777777" w:rsidR="00F37C62" w:rsidRDefault="00F37C62" w:rsidP="00F37C62"/>
    <w:p w14:paraId="68C8CC20" w14:textId="77777777" w:rsidR="00F37C62" w:rsidRDefault="00F37C62" w:rsidP="00F37C62"/>
    <w:p w14:paraId="2B590642" w14:textId="77777777" w:rsidR="00F37C62" w:rsidRDefault="00F37C62" w:rsidP="00F37C62"/>
    <w:p w14:paraId="0C104249" w14:textId="77777777" w:rsidR="00F37C62" w:rsidRDefault="00F37C62" w:rsidP="00F37C62"/>
    <w:p w14:paraId="2E3C5D01" w14:textId="77777777" w:rsidR="00F37C62" w:rsidRDefault="00F37C62" w:rsidP="00F37C62"/>
    <w:p w14:paraId="1E90B96B" w14:textId="77777777" w:rsidR="00F37C62" w:rsidRDefault="00F37C62" w:rsidP="00F37C62"/>
    <w:p w14:paraId="18ED8665" w14:textId="77777777" w:rsidR="00F37C62" w:rsidRDefault="00F37C62" w:rsidP="00F37C62"/>
    <w:p w14:paraId="6E8773AD" w14:textId="122AF530" w:rsidR="00F37C62" w:rsidRDefault="00F37C62" w:rsidP="00EE6BDB">
      <w:pPr>
        <w:spacing w:after="160" w:line="278" w:lineRule="auto"/>
      </w:pPr>
      <w:r>
        <w:br w:type="page"/>
      </w:r>
    </w:p>
    <w:p w14:paraId="793094D6" w14:textId="1E2ED4B1" w:rsidR="000B6A9C" w:rsidRPr="000B6A9C" w:rsidRDefault="000B6A9C" w:rsidP="004D07EF">
      <w:pPr>
        <w:pStyle w:val="CoverHeading"/>
        <w:spacing w:before="0" w:afterLines="80" w:after="192" w:line="360" w:lineRule="auto"/>
        <w:ind w:left="142"/>
        <w:rPr>
          <w:rFonts w:ascii="Garamond" w:hAnsi="Garamond" w:cs="Calibri"/>
          <w:b/>
          <w:bCs/>
          <w:sz w:val="40"/>
          <w:szCs w:val="40"/>
          <w:lang w:val="nl-NL"/>
        </w:rPr>
      </w:pPr>
      <w:r w:rsidRPr="000B6A9C">
        <w:rPr>
          <w:rFonts w:ascii="Garamond" w:hAnsi="Garamond" w:cs="Calibri"/>
          <w:b/>
          <w:bCs/>
          <w:sz w:val="40"/>
          <w:szCs w:val="40"/>
          <w:lang w:val="nl-NL"/>
        </w:rPr>
        <w:lastRenderedPageBreak/>
        <w:t>Inhoud</w:t>
      </w:r>
    </w:p>
    <w:p w14:paraId="46887C4B" w14:textId="2A2FFB09" w:rsidR="00D75D6E" w:rsidRDefault="0028739B">
      <w:pPr>
        <w:pStyle w:val="TOC1"/>
        <w:tabs>
          <w:tab w:val="right" w:leader="underscore" w:pos="9016"/>
        </w:tabs>
        <w:rPr>
          <w:rFonts w:eastAsiaTheme="minorEastAsia" w:cstheme="minorBidi"/>
          <w:b w:val="0"/>
          <w:bCs w:val="0"/>
          <w:i w:val="0"/>
          <w:iCs w:val="0"/>
          <w:noProof/>
          <w:kern w:val="2"/>
          <w14:ligatures w14:val="standardContextual"/>
        </w:rPr>
      </w:pPr>
      <w:r w:rsidRPr="0028739B">
        <w:rPr>
          <w:rFonts w:ascii="Georgia" w:hAnsi="Georgia" w:cs="Calibri"/>
          <w:b w:val="0"/>
          <w:bCs w:val="0"/>
          <w:sz w:val="26"/>
          <w:szCs w:val="26"/>
          <w:lang w:val="nl-NL"/>
        </w:rPr>
        <w:fldChar w:fldCharType="begin"/>
      </w:r>
      <w:r w:rsidRPr="0028739B">
        <w:rPr>
          <w:rFonts w:ascii="Georgia" w:hAnsi="Georgia" w:cs="Calibri"/>
          <w:b w:val="0"/>
          <w:bCs w:val="0"/>
          <w:sz w:val="26"/>
          <w:szCs w:val="26"/>
          <w:lang w:val="nl-NL"/>
        </w:rPr>
        <w:instrText xml:space="preserve"> TOC \o "1-2" \h \z \u </w:instrText>
      </w:r>
      <w:r w:rsidRPr="0028739B">
        <w:rPr>
          <w:rFonts w:ascii="Georgia" w:hAnsi="Georgia" w:cs="Calibri"/>
          <w:b w:val="0"/>
          <w:bCs w:val="0"/>
          <w:sz w:val="26"/>
          <w:szCs w:val="26"/>
          <w:lang w:val="nl-NL"/>
        </w:rPr>
        <w:fldChar w:fldCharType="separate"/>
      </w:r>
      <w:hyperlink w:anchor="_Toc231463596" w:history="1">
        <w:r w:rsidR="00D75D6E" w:rsidRPr="00135CC1">
          <w:rPr>
            <w:rStyle w:val="Hyperlink"/>
            <w:noProof/>
          </w:rPr>
          <w:t>Dankwoord</w:t>
        </w:r>
        <w:r w:rsidR="00D75D6E">
          <w:rPr>
            <w:noProof/>
            <w:webHidden/>
          </w:rPr>
          <w:tab/>
        </w:r>
        <w:r w:rsidR="00D75D6E">
          <w:rPr>
            <w:noProof/>
            <w:webHidden/>
          </w:rPr>
          <w:fldChar w:fldCharType="begin"/>
        </w:r>
        <w:r w:rsidR="00D75D6E">
          <w:rPr>
            <w:noProof/>
            <w:webHidden/>
          </w:rPr>
          <w:instrText xml:space="preserve"> PAGEREF _Toc231463596 \h </w:instrText>
        </w:r>
        <w:r w:rsidR="00D75D6E">
          <w:rPr>
            <w:noProof/>
            <w:webHidden/>
          </w:rPr>
        </w:r>
        <w:r w:rsidR="00D75D6E">
          <w:rPr>
            <w:noProof/>
            <w:webHidden/>
          </w:rPr>
          <w:fldChar w:fldCharType="separate"/>
        </w:r>
        <w:r w:rsidR="00F83A3D">
          <w:rPr>
            <w:noProof/>
            <w:webHidden/>
          </w:rPr>
          <w:t>4</w:t>
        </w:r>
        <w:r w:rsidR="00D75D6E">
          <w:rPr>
            <w:noProof/>
            <w:webHidden/>
          </w:rPr>
          <w:fldChar w:fldCharType="end"/>
        </w:r>
      </w:hyperlink>
    </w:p>
    <w:p w14:paraId="7D1519F1" w14:textId="37D6975E" w:rsidR="00D75D6E" w:rsidRDefault="00D75D6E">
      <w:pPr>
        <w:pStyle w:val="TOC1"/>
        <w:tabs>
          <w:tab w:val="left" w:pos="480"/>
          <w:tab w:val="right" w:leader="underscore" w:pos="9016"/>
        </w:tabs>
        <w:rPr>
          <w:rFonts w:eastAsiaTheme="minorEastAsia" w:cstheme="minorBidi"/>
          <w:b w:val="0"/>
          <w:bCs w:val="0"/>
          <w:i w:val="0"/>
          <w:iCs w:val="0"/>
          <w:noProof/>
          <w:kern w:val="2"/>
          <w14:ligatures w14:val="standardContextual"/>
        </w:rPr>
      </w:pPr>
      <w:hyperlink w:anchor="_Toc231463597" w:history="1">
        <w:r w:rsidRPr="00135CC1">
          <w:rPr>
            <w:rStyle w:val="Hyperlink"/>
            <w:rFonts w:ascii="Cambria Math" w:hAnsi="Cambria Math"/>
            <w:noProof/>
          </w:rPr>
          <w:t>1</w:t>
        </w:r>
        <w:r>
          <w:rPr>
            <w:rFonts w:eastAsiaTheme="minorEastAsia" w:cstheme="minorBidi"/>
            <w:b w:val="0"/>
            <w:bCs w:val="0"/>
            <w:i w:val="0"/>
            <w:iCs w:val="0"/>
            <w:noProof/>
            <w:kern w:val="2"/>
            <w14:ligatures w14:val="standardContextual"/>
          </w:rPr>
          <w:tab/>
        </w:r>
        <w:r w:rsidRPr="00135CC1">
          <w:rPr>
            <w:rStyle w:val="Hyperlink"/>
            <w:noProof/>
          </w:rPr>
          <w:t>Inleiding: een Brabantse hertogin?</w:t>
        </w:r>
        <w:r>
          <w:rPr>
            <w:noProof/>
            <w:webHidden/>
          </w:rPr>
          <w:tab/>
        </w:r>
        <w:r>
          <w:rPr>
            <w:noProof/>
            <w:webHidden/>
          </w:rPr>
          <w:fldChar w:fldCharType="begin"/>
        </w:r>
        <w:r>
          <w:rPr>
            <w:noProof/>
            <w:webHidden/>
          </w:rPr>
          <w:instrText xml:space="preserve"> PAGEREF _Toc231463597 \h </w:instrText>
        </w:r>
        <w:r>
          <w:rPr>
            <w:noProof/>
            <w:webHidden/>
          </w:rPr>
        </w:r>
        <w:r>
          <w:rPr>
            <w:noProof/>
            <w:webHidden/>
          </w:rPr>
          <w:fldChar w:fldCharType="separate"/>
        </w:r>
        <w:r w:rsidR="00F83A3D">
          <w:rPr>
            <w:noProof/>
            <w:webHidden/>
          </w:rPr>
          <w:t>8</w:t>
        </w:r>
        <w:r>
          <w:rPr>
            <w:noProof/>
            <w:webHidden/>
          </w:rPr>
          <w:fldChar w:fldCharType="end"/>
        </w:r>
      </w:hyperlink>
    </w:p>
    <w:p w14:paraId="2D912471" w14:textId="5E4841CB" w:rsidR="00D75D6E" w:rsidRDefault="00D75D6E">
      <w:pPr>
        <w:pStyle w:val="TOC2"/>
        <w:tabs>
          <w:tab w:val="left" w:pos="960"/>
          <w:tab w:val="right" w:leader="underscore" w:pos="9016"/>
        </w:tabs>
        <w:rPr>
          <w:rFonts w:eastAsiaTheme="minorEastAsia" w:cstheme="minorBidi"/>
          <w:b w:val="0"/>
          <w:bCs w:val="0"/>
          <w:noProof/>
          <w:kern w:val="2"/>
          <w:sz w:val="24"/>
          <w:szCs w:val="24"/>
          <w14:ligatures w14:val="standardContextual"/>
        </w:rPr>
      </w:pPr>
      <w:hyperlink w:anchor="_Toc231463598" w:history="1">
        <w:r w:rsidRPr="00135CC1">
          <w:rPr>
            <w:rStyle w:val="Hyperlink"/>
            <w:rFonts w:ascii="Cambria Math" w:hAnsi="Cambria Math"/>
            <w:noProof/>
            <w:lang w:val="nl-NL"/>
          </w:rPr>
          <w:t>1.1</w:t>
        </w:r>
        <w:r>
          <w:rPr>
            <w:rFonts w:eastAsiaTheme="minorEastAsia" w:cstheme="minorBidi"/>
            <w:b w:val="0"/>
            <w:bCs w:val="0"/>
            <w:noProof/>
            <w:kern w:val="2"/>
            <w:sz w:val="24"/>
            <w:szCs w:val="24"/>
            <w14:ligatures w14:val="standardContextual"/>
          </w:rPr>
          <w:tab/>
        </w:r>
        <w:r w:rsidRPr="00135CC1">
          <w:rPr>
            <w:rStyle w:val="Hyperlink"/>
            <w:noProof/>
            <w:lang w:val="nl-NL"/>
          </w:rPr>
          <w:t>Vrouwen aan de macht!?</w:t>
        </w:r>
        <w:r>
          <w:rPr>
            <w:noProof/>
            <w:webHidden/>
          </w:rPr>
          <w:tab/>
        </w:r>
        <w:r>
          <w:rPr>
            <w:noProof/>
            <w:webHidden/>
          </w:rPr>
          <w:fldChar w:fldCharType="begin"/>
        </w:r>
        <w:r>
          <w:rPr>
            <w:noProof/>
            <w:webHidden/>
          </w:rPr>
          <w:instrText xml:space="preserve"> PAGEREF _Toc231463598 \h </w:instrText>
        </w:r>
        <w:r>
          <w:rPr>
            <w:noProof/>
            <w:webHidden/>
          </w:rPr>
        </w:r>
        <w:r>
          <w:rPr>
            <w:noProof/>
            <w:webHidden/>
          </w:rPr>
          <w:fldChar w:fldCharType="separate"/>
        </w:r>
        <w:r w:rsidR="00F83A3D">
          <w:rPr>
            <w:noProof/>
            <w:webHidden/>
          </w:rPr>
          <w:t>9</w:t>
        </w:r>
        <w:r>
          <w:rPr>
            <w:noProof/>
            <w:webHidden/>
          </w:rPr>
          <w:fldChar w:fldCharType="end"/>
        </w:r>
      </w:hyperlink>
    </w:p>
    <w:p w14:paraId="342FE07D" w14:textId="443321C4" w:rsidR="00D75D6E" w:rsidRDefault="00D75D6E">
      <w:pPr>
        <w:pStyle w:val="TOC2"/>
        <w:tabs>
          <w:tab w:val="left" w:pos="960"/>
          <w:tab w:val="right" w:leader="underscore" w:pos="9016"/>
        </w:tabs>
        <w:rPr>
          <w:rFonts w:eastAsiaTheme="minorEastAsia" w:cstheme="minorBidi"/>
          <w:b w:val="0"/>
          <w:bCs w:val="0"/>
          <w:noProof/>
          <w:kern w:val="2"/>
          <w:sz w:val="24"/>
          <w:szCs w:val="24"/>
          <w14:ligatures w14:val="standardContextual"/>
        </w:rPr>
      </w:pPr>
      <w:hyperlink w:anchor="_Toc231463599" w:history="1">
        <w:r w:rsidRPr="00135CC1">
          <w:rPr>
            <w:rStyle w:val="Hyperlink"/>
            <w:rFonts w:ascii="Cambria Math" w:hAnsi="Cambria Math"/>
            <w:noProof/>
            <w:lang w:val="nl-NL"/>
          </w:rPr>
          <w:t>1.2</w:t>
        </w:r>
        <w:r>
          <w:rPr>
            <w:rFonts w:eastAsiaTheme="minorEastAsia" w:cstheme="minorBidi"/>
            <w:b w:val="0"/>
            <w:bCs w:val="0"/>
            <w:noProof/>
            <w:kern w:val="2"/>
            <w:sz w:val="24"/>
            <w:szCs w:val="24"/>
            <w14:ligatures w14:val="standardContextual"/>
          </w:rPr>
          <w:tab/>
        </w:r>
        <w:r w:rsidRPr="00135CC1">
          <w:rPr>
            <w:rStyle w:val="Hyperlink"/>
            <w:noProof/>
            <w:lang w:val="nl-NL"/>
          </w:rPr>
          <w:t xml:space="preserve">Bewogen Brabant: het </w:t>
        </w:r>
        <w:r w:rsidRPr="00135CC1">
          <w:rPr>
            <w:rStyle w:val="Hyperlink"/>
            <w:noProof/>
          </w:rPr>
          <w:t>politieke</w:t>
        </w:r>
        <w:r w:rsidRPr="00135CC1">
          <w:rPr>
            <w:rStyle w:val="Hyperlink"/>
            <w:noProof/>
            <w:lang w:val="nl-NL"/>
          </w:rPr>
          <w:t xml:space="preserve"> landschap</w:t>
        </w:r>
        <w:r>
          <w:rPr>
            <w:noProof/>
            <w:webHidden/>
          </w:rPr>
          <w:tab/>
        </w:r>
        <w:r>
          <w:rPr>
            <w:noProof/>
            <w:webHidden/>
          </w:rPr>
          <w:fldChar w:fldCharType="begin"/>
        </w:r>
        <w:r>
          <w:rPr>
            <w:noProof/>
            <w:webHidden/>
          </w:rPr>
          <w:instrText xml:space="preserve"> PAGEREF _Toc231463599 \h </w:instrText>
        </w:r>
        <w:r>
          <w:rPr>
            <w:noProof/>
            <w:webHidden/>
          </w:rPr>
        </w:r>
        <w:r>
          <w:rPr>
            <w:noProof/>
            <w:webHidden/>
          </w:rPr>
          <w:fldChar w:fldCharType="separate"/>
        </w:r>
        <w:r w:rsidR="00F83A3D">
          <w:rPr>
            <w:noProof/>
            <w:webHidden/>
          </w:rPr>
          <w:t>17</w:t>
        </w:r>
        <w:r>
          <w:rPr>
            <w:noProof/>
            <w:webHidden/>
          </w:rPr>
          <w:fldChar w:fldCharType="end"/>
        </w:r>
      </w:hyperlink>
    </w:p>
    <w:p w14:paraId="2BC3E24B" w14:textId="2A4B7F6D" w:rsidR="00D75D6E" w:rsidRDefault="00D75D6E">
      <w:pPr>
        <w:pStyle w:val="TOC2"/>
        <w:tabs>
          <w:tab w:val="left" w:pos="960"/>
          <w:tab w:val="right" w:leader="underscore" w:pos="9016"/>
        </w:tabs>
        <w:rPr>
          <w:rFonts w:eastAsiaTheme="minorEastAsia" w:cstheme="minorBidi"/>
          <w:b w:val="0"/>
          <w:bCs w:val="0"/>
          <w:noProof/>
          <w:kern w:val="2"/>
          <w:sz w:val="24"/>
          <w:szCs w:val="24"/>
          <w14:ligatures w14:val="standardContextual"/>
        </w:rPr>
      </w:pPr>
      <w:hyperlink w:anchor="_Toc231463600" w:history="1">
        <w:r w:rsidRPr="00135CC1">
          <w:rPr>
            <w:rStyle w:val="Hyperlink"/>
            <w:rFonts w:ascii="Cambria Math" w:hAnsi="Cambria Math"/>
            <w:noProof/>
            <w:lang w:val="nl-NL"/>
          </w:rPr>
          <w:t>1.3</w:t>
        </w:r>
        <w:r>
          <w:rPr>
            <w:rFonts w:eastAsiaTheme="minorEastAsia" w:cstheme="minorBidi"/>
            <w:b w:val="0"/>
            <w:bCs w:val="0"/>
            <w:noProof/>
            <w:kern w:val="2"/>
            <w:sz w:val="24"/>
            <w:szCs w:val="24"/>
            <w14:ligatures w14:val="standardContextual"/>
          </w:rPr>
          <w:tab/>
        </w:r>
        <w:r w:rsidRPr="00135CC1">
          <w:rPr>
            <w:rStyle w:val="Hyperlink"/>
            <w:noProof/>
            <w:lang w:val="nl-NL"/>
          </w:rPr>
          <w:t xml:space="preserve">Bronnen en </w:t>
        </w:r>
        <w:r w:rsidRPr="00135CC1">
          <w:rPr>
            <w:rStyle w:val="Hyperlink"/>
            <w:noProof/>
          </w:rPr>
          <w:t>Methodologie</w:t>
        </w:r>
        <w:r>
          <w:rPr>
            <w:noProof/>
            <w:webHidden/>
          </w:rPr>
          <w:tab/>
        </w:r>
        <w:r>
          <w:rPr>
            <w:noProof/>
            <w:webHidden/>
          </w:rPr>
          <w:fldChar w:fldCharType="begin"/>
        </w:r>
        <w:r>
          <w:rPr>
            <w:noProof/>
            <w:webHidden/>
          </w:rPr>
          <w:instrText xml:space="preserve"> PAGEREF _Toc231463600 \h </w:instrText>
        </w:r>
        <w:r>
          <w:rPr>
            <w:noProof/>
            <w:webHidden/>
          </w:rPr>
        </w:r>
        <w:r>
          <w:rPr>
            <w:noProof/>
            <w:webHidden/>
          </w:rPr>
          <w:fldChar w:fldCharType="separate"/>
        </w:r>
        <w:r w:rsidR="00F83A3D">
          <w:rPr>
            <w:noProof/>
            <w:webHidden/>
          </w:rPr>
          <w:t>21</w:t>
        </w:r>
        <w:r>
          <w:rPr>
            <w:noProof/>
            <w:webHidden/>
          </w:rPr>
          <w:fldChar w:fldCharType="end"/>
        </w:r>
      </w:hyperlink>
    </w:p>
    <w:p w14:paraId="14CD2AA5" w14:textId="79ECC4B0" w:rsidR="00D75D6E" w:rsidRDefault="00D75D6E">
      <w:pPr>
        <w:pStyle w:val="TOC2"/>
        <w:tabs>
          <w:tab w:val="left" w:pos="960"/>
          <w:tab w:val="right" w:leader="underscore" w:pos="9016"/>
        </w:tabs>
        <w:rPr>
          <w:rFonts w:eastAsiaTheme="minorEastAsia" w:cstheme="minorBidi"/>
          <w:b w:val="0"/>
          <w:bCs w:val="0"/>
          <w:noProof/>
          <w:kern w:val="2"/>
          <w:sz w:val="24"/>
          <w:szCs w:val="24"/>
          <w14:ligatures w14:val="standardContextual"/>
        </w:rPr>
      </w:pPr>
      <w:hyperlink w:anchor="_Toc231463601" w:history="1">
        <w:r w:rsidRPr="00135CC1">
          <w:rPr>
            <w:rStyle w:val="Hyperlink"/>
            <w:rFonts w:ascii="Cambria Math" w:hAnsi="Cambria Math"/>
            <w:noProof/>
            <w:lang w:val="nl-NL"/>
          </w:rPr>
          <w:t>1.4</w:t>
        </w:r>
        <w:r>
          <w:rPr>
            <w:rFonts w:eastAsiaTheme="minorEastAsia" w:cstheme="minorBidi"/>
            <w:b w:val="0"/>
            <w:bCs w:val="0"/>
            <w:noProof/>
            <w:kern w:val="2"/>
            <w:sz w:val="24"/>
            <w:szCs w:val="24"/>
            <w14:ligatures w14:val="standardContextual"/>
          </w:rPr>
          <w:tab/>
        </w:r>
        <w:r w:rsidRPr="00135CC1">
          <w:rPr>
            <w:rStyle w:val="Hyperlink"/>
            <w:noProof/>
          </w:rPr>
          <w:t>Onderzoeksopzet</w:t>
        </w:r>
        <w:r>
          <w:rPr>
            <w:noProof/>
            <w:webHidden/>
          </w:rPr>
          <w:tab/>
        </w:r>
        <w:r>
          <w:rPr>
            <w:noProof/>
            <w:webHidden/>
          </w:rPr>
          <w:fldChar w:fldCharType="begin"/>
        </w:r>
        <w:r>
          <w:rPr>
            <w:noProof/>
            <w:webHidden/>
          </w:rPr>
          <w:instrText xml:space="preserve"> PAGEREF _Toc231463601 \h </w:instrText>
        </w:r>
        <w:r>
          <w:rPr>
            <w:noProof/>
            <w:webHidden/>
          </w:rPr>
        </w:r>
        <w:r>
          <w:rPr>
            <w:noProof/>
            <w:webHidden/>
          </w:rPr>
          <w:fldChar w:fldCharType="separate"/>
        </w:r>
        <w:r w:rsidR="00F83A3D">
          <w:rPr>
            <w:noProof/>
            <w:webHidden/>
          </w:rPr>
          <w:t>26</w:t>
        </w:r>
        <w:r>
          <w:rPr>
            <w:noProof/>
            <w:webHidden/>
          </w:rPr>
          <w:fldChar w:fldCharType="end"/>
        </w:r>
      </w:hyperlink>
    </w:p>
    <w:p w14:paraId="1DE9B5CA" w14:textId="1354052D" w:rsidR="00D75D6E" w:rsidRDefault="00D75D6E">
      <w:pPr>
        <w:pStyle w:val="TOC1"/>
        <w:tabs>
          <w:tab w:val="left" w:pos="480"/>
          <w:tab w:val="right" w:leader="underscore" w:pos="9016"/>
        </w:tabs>
        <w:rPr>
          <w:rFonts w:eastAsiaTheme="minorEastAsia" w:cstheme="minorBidi"/>
          <w:b w:val="0"/>
          <w:bCs w:val="0"/>
          <w:i w:val="0"/>
          <w:iCs w:val="0"/>
          <w:noProof/>
          <w:kern w:val="2"/>
          <w14:ligatures w14:val="standardContextual"/>
        </w:rPr>
      </w:pPr>
      <w:hyperlink w:anchor="_Toc231463602" w:history="1">
        <w:r w:rsidRPr="00135CC1">
          <w:rPr>
            <w:rStyle w:val="Hyperlink"/>
            <w:rFonts w:ascii="Cambria Math" w:hAnsi="Cambria Math"/>
            <w:noProof/>
            <w:lang w:val="nl-NL"/>
          </w:rPr>
          <w:t>2</w:t>
        </w:r>
        <w:r>
          <w:rPr>
            <w:rFonts w:eastAsiaTheme="minorEastAsia" w:cstheme="minorBidi"/>
            <w:b w:val="0"/>
            <w:bCs w:val="0"/>
            <w:i w:val="0"/>
            <w:iCs w:val="0"/>
            <w:noProof/>
            <w:kern w:val="2"/>
            <w14:ligatures w14:val="standardContextual"/>
          </w:rPr>
          <w:tab/>
        </w:r>
        <w:r w:rsidRPr="00135CC1">
          <w:rPr>
            <w:rStyle w:val="Hyperlink"/>
            <w:noProof/>
            <w:lang w:val="nl-NL"/>
          </w:rPr>
          <w:t>Weduwegoeden en inkomsten</w:t>
        </w:r>
        <w:r>
          <w:rPr>
            <w:noProof/>
            <w:webHidden/>
          </w:rPr>
          <w:tab/>
        </w:r>
        <w:r>
          <w:rPr>
            <w:noProof/>
            <w:webHidden/>
          </w:rPr>
          <w:fldChar w:fldCharType="begin"/>
        </w:r>
        <w:r>
          <w:rPr>
            <w:noProof/>
            <w:webHidden/>
          </w:rPr>
          <w:instrText xml:space="preserve"> PAGEREF _Toc231463602 \h </w:instrText>
        </w:r>
        <w:r>
          <w:rPr>
            <w:noProof/>
            <w:webHidden/>
          </w:rPr>
        </w:r>
        <w:r>
          <w:rPr>
            <w:noProof/>
            <w:webHidden/>
          </w:rPr>
          <w:fldChar w:fldCharType="separate"/>
        </w:r>
        <w:r w:rsidR="00F83A3D">
          <w:rPr>
            <w:noProof/>
            <w:webHidden/>
          </w:rPr>
          <w:t>29</w:t>
        </w:r>
        <w:r>
          <w:rPr>
            <w:noProof/>
            <w:webHidden/>
          </w:rPr>
          <w:fldChar w:fldCharType="end"/>
        </w:r>
      </w:hyperlink>
    </w:p>
    <w:p w14:paraId="29EFC28D" w14:textId="424F99F9" w:rsidR="00D75D6E" w:rsidRDefault="00D75D6E">
      <w:pPr>
        <w:pStyle w:val="TOC2"/>
        <w:tabs>
          <w:tab w:val="left" w:pos="960"/>
          <w:tab w:val="right" w:leader="underscore" w:pos="9016"/>
        </w:tabs>
        <w:rPr>
          <w:rFonts w:eastAsiaTheme="minorEastAsia" w:cstheme="minorBidi"/>
          <w:b w:val="0"/>
          <w:bCs w:val="0"/>
          <w:noProof/>
          <w:kern w:val="2"/>
          <w:sz w:val="24"/>
          <w:szCs w:val="24"/>
          <w14:ligatures w14:val="standardContextual"/>
        </w:rPr>
      </w:pPr>
      <w:hyperlink w:anchor="_Toc231463603" w:history="1">
        <w:r w:rsidRPr="00135CC1">
          <w:rPr>
            <w:rStyle w:val="Hyperlink"/>
            <w:rFonts w:ascii="Cambria Math" w:hAnsi="Cambria Math"/>
            <w:noProof/>
            <w:lang w:val="nl-NL"/>
          </w:rPr>
          <w:t>2.1</w:t>
        </w:r>
        <w:r>
          <w:rPr>
            <w:rFonts w:eastAsiaTheme="minorEastAsia" w:cstheme="minorBidi"/>
            <w:b w:val="0"/>
            <w:bCs w:val="0"/>
            <w:noProof/>
            <w:kern w:val="2"/>
            <w:sz w:val="24"/>
            <w:szCs w:val="24"/>
            <w14:ligatures w14:val="standardContextual"/>
          </w:rPr>
          <w:tab/>
        </w:r>
        <w:r w:rsidRPr="00135CC1">
          <w:rPr>
            <w:rStyle w:val="Hyperlink"/>
            <w:noProof/>
            <w:lang w:val="nl-NL"/>
          </w:rPr>
          <w:t>Huwelijk met Willem IV</w:t>
        </w:r>
        <w:r>
          <w:rPr>
            <w:noProof/>
            <w:webHidden/>
          </w:rPr>
          <w:tab/>
        </w:r>
        <w:r>
          <w:rPr>
            <w:noProof/>
            <w:webHidden/>
          </w:rPr>
          <w:fldChar w:fldCharType="begin"/>
        </w:r>
        <w:r>
          <w:rPr>
            <w:noProof/>
            <w:webHidden/>
          </w:rPr>
          <w:instrText xml:space="preserve"> PAGEREF _Toc231463603 \h </w:instrText>
        </w:r>
        <w:r>
          <w:rPr>
            <w:noProof/>
            <w:webHidden/>
          </w:rPr>
        </w:r>
        <w:r>
          <w:rPr>
            <w:noProof/>
            <w:webHidden/>
          </w:rPr>
          <w:fldChar w:fldCharType="separate"/>
        </w:r>
        <w:r w:rsidR="00F83A3D">
          <w:rPr>
            <w:noProof/>
            <w:webHidden/>
          </w:rPr>
          <w:t>30</w:t>
        </w:r>
        <w:r>
          <w:rPr>
            <w:noProof/>
            <w:webHidden/>
          </w:rPr>
          <w:fldChar w:fldCharType="end"/>
        </w:r>
      </w:hyperlink>
    </w:p>
    <w:p w14:paraId="6E076F97" w14:textId="69ED792F" w:rsidR="00D75D6E" w:rsidRDefault="00D75D6E">
      <w:pPr>
        <w:pStyle w:val="TOC2"/>
        <w:tabs>
          <w:tab w:val="left" w:pos="960"/>
          <w:tab w:val="right" w:leader="underscore" w:pos="9016"/>
        </w:tabs>
        <w:rPr>
          <w:rFonts w:eastAsiaTheme="minorEastAsia" w:cstheme="minorBidi"/>
          <w:b w:val="0"/>
          <w:bCs w:val="0"/>
          <w:noProof/>
          <w:kern w:val="2"/>
          <w:sz w:val="24"/>
          <w:szCs w:val="24"/>
          <w14:ligatures w14:val="standardContextual"/>
        </w:rPr>
      </w:pPr>
      <w:hyperlink w:anchor="_Toc231463604" w:history="1">
        <w:r w:rsidRPr="00135CC1">
          <w:rPr>
            <w:rStyle w:val="Hyperlink"/>
            <w:rFonts w:ascii="Cambria Math" w:hAnsi="Cambria Math"/>
            <w:noProof/>
          </w:rPr>
          <w:t>2.2</w:t>
        </w:r>
        <w:r>
          <w:rPr>
            <w:rFonts w:eastAsiaTheme="minorEastAsia" w:cstheme="minorBidi"/>
            <w:b w:val="0"/>
            <w:bCs w:val="0"/>
            <w:noProof/>
            <w:kern w:val="2"/>
            <w:sz w:val="24"/>
            <w:szCs w:val="24"/>
            <w14:ligatures w14:val="standardContextual"/>
          </w:rPr>
          <w:tab/>
        </w:r>
        <w:r w:rsidRPr="00135CC1">
          <w:rPr>
            <w:rStyle w:val="Hyperlink"/>
            <w:noProof/>
          </w:rPr>
          <w:t>Huwelijk met Wenceslas</w:t>
        </w:r>
        <w:r>
          <w:rPr>
            <w:noProof/>
            <w:webHidden/>
          </w:rPr>
          <w:tab/>
        </w:r>
        <w:r>
          <w:rPr>
            <w:noProof/>
            <w:webHidden/>
          </w:rPr>
          <w:fldChar w:fldCharType="begin"/>
        </w:r>
        <w:r>
          <w:rPr>
            <w:noProof/>
            <w:webHidden/>
          </w:rPr>
          <w:instrText xml:space="preserve"> PAGEREF _Toc231463604 \h </w:instrText>
        </w:r>
        <w:r>
          <w:rPr>
            <w:noProof/>
            <w:webHidden/>
          </w:rPr>
        </w:r>
        <w:r>
          <w:rPr>
            <w:noProof/>
            <w:webHidden/>
          </w:rPr>
          <w:fldChar w:fldCharType="separate"/>
        </w:r>
        <w:r w:rsidR="00F83A3D">
          <w:rPr>
            <w:noProof/>
            <w:webHidden/>
          </w:rPr>
          <w:t>37</w:t>
        </w:r>
        <w:r>
          <w:rPr>
            <w:noProof/>
            <w:webHidden/>
          </w:rPr>
          <w:fldChar w:fldCharType="end"/>
        </w:r>
      </w:hyperlink>
    </w:p>
    <w:p w14:paraId="2E50E1ED" w14:textId="2E4C3DAB" w:rsidR="00D75D6E" w:rsidRDefault="00D75D6E">
      <w:pPr>
        <w:pStyle w:val="TOC2"/>
        <w:tabs>
          <w:tab w:val="left" w:pos="960"/>
          <w:tab w:val="right" w:leader="underscore" w:pos="9016"/>
        </w:tabs>
        <w:rPr>
          <w:rFonts w:eastAsiaTheme="minorEastAsia" w:cstheme="minorBidi"/>
          <w:b w:val="0"/>
          <w:bCs w:val="0"/>
          <w:noProof/>
          <w:kern w:val="2"/>
          <w:sz w:val="24"/>
          <w:szCs w:val="24"/>
          <w14:ligatures w14:val="standardContextual"/>
        </w:rPr>
      </w:pPr>
      <w:hyperlink w:anchor="_Toc231463605" w:history="1">
        <w:r w:rsidRPr="00135CC1">
          <w:rPr>
            <w:rStyle w:val="Hyperlink"/>
            <w:rFonts w:ascii="Cambria Math" w:hAnsi="Cambria Math"/>
            <w:noProof/>
            <w:lang w:val="nl-NL"/>
          </w:rPr>
          <w:t>2.3</w:t>
        </w:r>
        <w:r>
          <w:rPr>
            <w:rFonts w:eastAsiaTheme="minorEastAsia" w:cstheme="minorBidi"/>
            <w:b w:val="0"/>
            <w:bCs w:val="0"/>
            <w:noProof/>
            <w:kern w:val="2"/>
            <w:sz w:val="24"/>
            <w:szCs w:val="24"/>
            <w14:ligatures w14:val="standardContextual"/>
          </w:rPr>
          <w:tab/>
        </w:r>
        <w:r w:rsidRPr="00135CC1">
          <w:rPr>
            <w:rStyle w:val="Hyperlink"/>
            <w:noProof/>
          </w:rPr>
          <w:t>Inkomsten</w:t>
        </w:r>
        <w:r w:rsidRPr="00135CC1">
          <w:rPr>
            <w:rStyle w:val="Hyperlink"/>
            <w:noProof/>
            <w:lang w:val="nl-NL"/>
          </w:rPr>
          <w:t xml:space="preserve"> uit de weduwegoeden</w:t>
        </w:r>
        <w:r>
          <w:rPr>
            <w:noProof/>
            <w:webHidden/>
          </w:rPr>
          <w:tab/>
        </w:r>
        <w:r>
          <w:rPr>
            <w:noProof/>
            <w:webHidden/>
          </w:rPr>
          <w:fldChar w:fldCharType="begin"/>
        </w:r>
        <w:r>
          <w:rPr>
            <w:noProof/>
            <w:webHidden/>
          </w:rPr>
          <w:instrText xml:space="preserve"> PAGEREF _Toc231463605 \h </w:instrText>
        </w:r>
        <w:r>
          <w:rPr>
            <w:noProof/>
            <w:webHidden/>
          </w:rPr>
        </w:r>
        <w:r>
          <w:rPr>
            <w:noProof/>
            <w:webHidden/>
          </w:rPr>
          <w:fldChar w:fldCharType="separate"/>
        </w:r>
        <w:r w:rsidR="00F83A3D">
          <w:rPr>
            <w:noProof/>
            <w:webHidden/>
          </w:rPr>
          <w:t>39</w:t>
        </w:r>
        <w:r>
          <w:rPr>
            <w:noProof/>
            <w:webHidden/>
          </w:rPr>
          <w:fldChar w:fldCharType="end"/>
        </w:r>
      </w:hyperlink>
    </w:p>
    <w:p w14:paraId="6FF8147E" w14:textId="54400674" w:rsidR="00D75D6E" w:rsidRDefault="00D75D6E">
      <w:pPr>
        <w:pStyle w:val="TOC2"/>
        <w:tabs>
          <w:tab w:val="left" w:pos="960"/>
          <w:tab w:val="right" w:leader="underscore" w:pos="9016"/>
        </w:tabs>
        <w:rPr>
          <w:rFonts w:eastAsiaTheme="minorEastAsia" w:cstheme="minorBidi"/>
          <w:b w:val="0"/>
          <w:bCs w:val="0"/>
          <w:noProof/>
          <w:kern w:val="2"/>
          <w:sz w:val="24"/>
          <w:szCs w:val="24"/>
          <w14:ligatures w14:val="standardContextual"/>
        </w:rPr>
      </w:pPr>
      <w:hyperlink w:anchor="_Toc231463606" w:history="1">
        <w:r w:rsidRPr="00135CC1">
          <w:rPr>
            <w:rStyle w:val="Hyperlink"/>
            <w:rFonts w:ascii="Cambria Math" w:hAnsi="Cambria Math"/>
            <w:noProof/>
            <w:lang w:val="nl-NL"/>
          </w:rPr>
          <w:t>2.4</w:t>
        </w:r>
        <w:r>
          <w:rPr>
            <w:rFonts w:eastAsiaTheme="minorEastAsia" w:cstheme="minorBidi"/>
            <w:b w:val="0"/>
            <w:bCs w:val="0"/>
            <w:noProof/>
            <w:kern w:val="2"/>
            <w:sz w:val="24"/>
            <w:szCs w:val="24"/>
            <w14:ligatures w14:val="standardContextual"/>
          </w:rPr>
          <w:tab/>
        </w:r>
        <w:r w:rsidRPr="00135CC1">
          <w:rPr>
            <w:rStyle w:val="Hyperlink"/>
            <w:noProof/>
            <w:lang w:val="nl-NL"/>
          </w:rPr>
          <w:t xml:space="preserve">De </w:t>
        </w:r>
        <w:r w:rsidRPr="00135CC1">
          <w:rPr>
            <w:rStyle w:val="Hyperlink"/>
            <w:noProof/>
          </w:rPr>
          <w:t>praktijk</w:t>
        </w:r>
        <w:r>
          <w:rPr>
            <w:noProof/>
            <w:webHidden/>
          </w:rPr>
          <w:tab/>
        </w:r>
        <w:r>
          <w:rPr>
            <w:noProof/>
            <w:webHidden/>
          </w:rPr>
          <w:fldChar w:fldCharType="begin"/>
        </w:r>
        <w:r>
          <w:rPr>
            <w:noProof/>
            <w:webHidden/>
          </w:rPr>
          <w:instrText xml:space="preserve"> PAGEREF _Toc231463606 \h </w:instrText>
        </w:r>
        <w:r>
          <w:rPr>
            <w:noProof/>
            <w:webHidden/>
          </w:rPr>
        </w:r>
        <w:r>
          <w:rPr>
            <w:noProof/>
            <w:webHidden/>
          </w:rPr>
          <w:fldChar w:fldCharType="separate"/>
        </w:r>
        <w:r w:rsidR="00F83A3D">
          <w:rPr>
            <w:noProof/>
            <w:webHidden/>
          </w:rPr>
          <w:t>44</w:t>
        </w:r>
        <w:r>
          <w:rPr>
            <w:noProof/>
            <w:webHidden/>
          </w:rPr>
          <w:fldChar w:fldCharType="end"/>
        </w:r>
      </w:hyperlink>
    </w:p>
    <w:p w14:paraId="1B3705FC" w14:textId="55B6DE76" w:rsidR="00D75D6E" w:rsidRDefault="00D75D6E">
      <w:pPr>
        <w:pStyle w:val="TOC2"/>
        <w:tabs>
          <w:tab w:val="left" w:pos="960"/>
          <w:tab w:val="right" w:leader="underscore" w:pos="9016"/>
        </w:tabs>
        <w:rPr>
          <w:rFonts w:eastAsiaTheme="minorEastAsia" w:cstheme="minorBidi"/>
          <w:b w:val="0"/>
          <w:bCs w:val="0"/>
          <w:noProof/>
          <w:kern w:val="2"/>
          <w:sz w:val="24"/>
          <w:szCs w:val="24"/>
          <w14:ligatures w14:val="standardContextual"/>
        </w:rPr>
      </w:pPr>
      <w:hyperlink w:anchor="_Toc231463607" w:history="1">
        <w:r w:rsidRPr="00135CC1">
          <w:rPr>
            <w:rStyle w:val="Hyperlink"/>
            <w:rFonts w:ascii="Cambria Math" w:hAnsi="Cambria Math"/>
            <w:noProof/>
            <w:lang w:val="nl-NL"/>
          </w:rPr>
          <w:t>2.5</w:t>
        </w:r>
        <w:r>
          <w:rPr>
            <w:rFonts w:eastAsiaTheme="minorEastAsia" w:cstheme="minorBidi"/>
            <w:b w:val="0"/>
            <w:bCs w:val="0"/>
            <w:noProof/>
            <w:kern w:val="2"/>
            <w:sz w:val="24"/>
            <w:szCs w:val="24"/>
            <w14:ligatures w14:val="standardContextual"/>
          </w:rPr>
          <w:tab/>
        </w:r>
        <w:r w:rsidRPr="00135CC1">
          <w:rPr>
            <w:rStyle w:val="Hyperlink"/>
            <w:noProof/>
            <w:lang w:val="nl-NL"/>
          </w:rPr>
          <w:t>Conclusie</w:t>
        </w:r>
        <w:r>
          <w:rPr>
            <w:noProof/>
            <w:webHidden/>
          </w:rPr>
          <w:tab/>
        </w:r>
        <w:r>
          <w:rPr>
            <w:noProof/>
            <w:webHidden/>
          </w:rPr>
          <w:fldChar w:fldCharType="begin"/>
        </w:r>
        <w:r>
          <w:rPr>
            <w:noProof/>
            <w:webHidden/>
          </w:rPr>
          <w:instrText xml:space="preserve"> PAGEREF _Toc231463607 \h </w:instrText>
        </w:r>
        <w:r>
          <w:rPr>
            <w:noProof/>
            <w:webHidden/>
          </w:rPr>
        </w:r>
        <w:r>
          <w:rPr>
            <w:noProof/>
            <w:webHidden/>
          </w:rPr>
          <w:fldChar w:fldCharType="separate"/>
        </w:r>
        <w:r w:rsidR="00F83A3D">
          <w:rPr>
            <w:noProof/>
            <w:webHidden/>
          </w:rPr>
          <w:t>48</w:t>
        </w:r>
        <w:r>
          <w:rPr>
            <w:noProof/>
            <w:webHidden/>
          </w:rPr>
          <w:fldChar w:fldCharType="end"/>
        </w:r>
      </w:hyperlink>
    </w:p>
    <w:p w14:paraId="28ED50B7" w14:textId="6CBEB4E0" w:rsidR="00D75D6E" w:rsidRDefault="00D75D6E">
      <w:pPr>
        <w:pStyle w:val="TOC1"/>
        <w:tabs>
          <w:tab w:val="left" w:pos="480"/>
          <w:tab w:val="right" w:leader="underscore" w:pos="9016"/>
        </w:tabs>
        <w:rPr>
          <w:rFonts w:eastAsiaTheme="minorEastAsia" w:cstheme="minorBidi"/>
          <w:b w:val="0"/>
          <w:bCs w:val="0"/>
          <w:i w:val="0"/>
          <w:iCs w:val="0"/>
          <w:noProof/>
          <w:kern w:val="2"/>
          <w14:ligatures w14:val="standardContextual"/>
        </w:rPr>
      </w:pPr>
      <w:hyperlink w:anchor="_Toc231463608" w:history="1">
        <w:r w:rsidRPr="00135CC1">
          <w:rPr>
            <w:rStyle w:val="Hyperlink"/>
            <w:rFonts w:ascii="Cambria Math" w:hAnsi="Cambria Math"/>
            <w:noProof/>
            <w:lang w:val="nl-NL"/>
          </w:rPr>
          <w:t>3</w:t>
        </w:r>
        <w:r>
          <w:rPr>
            <w:rFonts w:eastAsiaTheme="minorEastAsia" w:cstheme="minorBidi"/>
            <w:b w:val="0"/>
            <w:bCs w:val="0"/>
            <w:i w:val="0"/>
            <w:iCs w:val="0"/>
            <w:noProof/>
            <w:kern w:val="2"/>
            <w14:ligatures w14:val="standardContextual"/>
          </w:rPr>
          <w:tab/>
        </w:r>
        <w:r w:rsidRPr="00135CC1">
          <w:rPr>
            <w:rStyle w:val="Hyperlink"/>
            <w:noProof/>
            <w:lang w:val="nl-NL"/>
          </w:rPr>
          <w:t>Diplomatie en netwerken</w:t>
        </w:r>
        <w:r>
          <w:rPr>
            <w:noProof/>
            <w:webHidden/>
          </w:rPr>
          <w:tab/>
        </w:r>
        <w:r>
          <w:rPr>
            <w:noProof/>
            <w:webHidden/>
          </w:rPr>
          <w:fldChar w:fldCharType="begin"/>
        </w:r>
        <w:r>
          <w:rPr>
            <w:noProof/>
            <w:webHidden/>
          </w:rPr>
          <w:instrText xml:space="preserve"> PAGEREF _Toc231463608 \h </w:instrText>
        </w:r>
        <w:r>
          <w:rPr>
            <w:noProof/>
            <w:webHidden/>
          </w:rPr>
        </w:r>
        <w:r>
          <w:rPr>
            <w:noProof/>
            <w:webHidden/>
          </w:rPr>
          <w:fldChar w:fldCharType="separate"/>
        </w:r>
        <w:r w:rsidR="00F83A3D">
          <w:rPr>
            <w:noProof/>
            <w:webHidden/>
          </w:rPr>
          <w:t>50</w:t>
        </w:r>
        <w:r>
          <w:rPr>
            <w:noProof/>
            <w:webHidden/>
          </w:rPr>
          <w:fldChar w:fldCharType="end"/>
        </w:r>
      </w:hyperlink>
    </w:p>
    <w:p w14:paraId="333E50DA" w14:textId="585EF81F" w:rsidR="00D75D6E" w:rsidRDefault="00D75D6E">
      <w:pPr>
        <w:pStyle w:val="TOC2"/>
        <w:tabs>
          <w:tab w:val="left" w:pos="960"/>
          <w:tab w:val="right" w:leader="underscore" w:pos="9016"/>
        </w:tabs>
        <w:rPr>
          <w:rFonts w:eastAsiaTheme="minorEastAsia" w:cstheme="minorBidi"/>
          <w:b w:val="0"/>
          <w:bCs w:val="0"/>
          <w:noProof/>
          <w:kern w:val="2"/>
          <w:sz w:val="24"/>
          <w:szCs w:val="24"/>
          <w14:ligatures w14:val="standardContextual"/>
        </w:rPr>
      </w:pPr>
      <w:hyperlink w:anchor="_Toc231463609" w:history="1">
        <w:r w:rsidRPr="00135CC1">
          <w:rPr>
            <w:rStyle w:val="Hyperlink"/>
            <w:rFonts w:ascii="Cambria Math" w:hAnsi="Cambria Math"/>
            <w:noProof/>
            <w:lang w:val="nl-NL"/>
          </w:rPr>
          <w:t>3.1</w:t>
        </w:r>
        <w:r>
          <w:rPr>
            <w:rFonts w:eastAsiaTheme="minorEastAsia" w:cstheme="minorBidi"/>
            <w:b w:val="0"/>
            <w:bCs w:val="0"/>
            <w:noProof/>
            <w:kern w:val="2"/>
            <w:sz w:val="24"/>
            <w:szCs w:val="24"/>
            <w14:ligatures w14:val="standardContextual"/>
          </w:rPr>
          <w:tab/>
        </w:r>
        <w:r w:rsidRPr="00135CC1">
          <w:rPr>
            <w:rStyle w:val="Hyperlink"/>
            <w:noProof/>
            <w:lang w:val="nl-NL"/>
          </w:rPr>
          <w:t xml:space="preserve">Johanna als </w:t>
        </w:r>
        <w:r w:rsidRPr="00135CC1">
          <w:rPr>
            <w:rStyle w:val="Hyperlink"/>
            <w:noProof/>
          </w:rPr>
          <w:t>bemiddelaarster</w:t>
        </w:r>
        <w:r>
          <w:rPr>
            <w:noProof/>
            <w:webHidden/>
          </w:rPr>
          <w:tab/>
        </w:r>
        <w:r>
          <w:rPr>
            <w:noProof/>
            <w:webHidden/>
          </w:rPr>
          <w:fldChar w:fldCharType="begin"/>
        </w:r>
        <w:r>
          <w:rPr>
            <w:noProof/>
            <w:webHidden/>
          </w:rPr>
          <w:instrText xml:space="preserve"> PAGEREF _Toc231463609 \h </w:instrText>
        </w:r>
        <w:r>
          <w:rPr>
            <w:noProof/>
            <w:webHidden/>
          </w:rPr>
        </w:r>
        <w:r>
          <w:rPr>
            <w:noProof/>
            <w:webHidden/>
          </w:rPr>
          <w:fldChar w:fldCharType="separate"/>
        </w:r>
        <w:r w:rsidR="00F83A3D">
          <w:rPr>
            <w:noProof/>
            <w:webHidden/>
          </w:rPr>
          <w:t>51</w:t>
        </w:r>
        <w:r>
          <w:rPr>
            <w:noProof/>
            <w:webHidden/>
          </w:rPr>
          <w:fldChar w:fldCharType="end"/>
        </w:r>
      </w:hyperlink>
    </w:p>
    <w:p w14:paraId="78B082E6" w14:textId="13053A11" w:rsidR="00D75D6E" w:rsidRDefault="00D75D6E">
      <w:pPr>
        <w:pStyle w:val="TOC2"/>
        <w:tabs>
          <w:tab w:val="left" w:pos="960"/>
          <w:tab w:val="right" w:leader="underscore" w:pos="9016"/>
        </w:tabs>
        <w:rPr>
          <w:rFonts w:eastAsiaTheme="minorEastAsia" w:cstheme="minorBidi"/>
          <w:b w:val="0"/>
          <w:bCs w:val="0"/>
          <w:noProof/>
          <w:kern w:val="2"/>
          <w:sz w:val="24"/>
          <w:szCs w:val="24"/>
          <w14:ligatures w14:val="standardContextual"/>
        </w:rPr>
      </w:pPr>
      <w:hyperlink w:anchor="_Toc231463610" w:history="1">
        <w:r w:rsidRPr="00135CC1">
          <w:rPr>
            <w:rStyle w:val="Hyperlink"/>
            <w:rFonts w:ascii="Cambria Math" w:hAnsi="Cambria Math"/>
            <w:noProof/>
            <w:lang w:val="nl-NL"/>
          </w:rPr>
          <w:t>3.2</w:t>
        </w:r>
        <w:r>
          <w:rPr>
            <w:rFonts w:eastAsiaTheme="minorEastAsia" w:cstheme="minorBidi"/>
            <w:b w:val="0"/>
            <w:bCs w:val="0"/>
            <w:noProof/>
            <w:kern w:val="2"/>
            <w:sz w:val="24"/>
            <w:szCs w:val="24"/>
            <w14:ligatures w14:val="standardContextual"/>
          </w:rPr>
          <w:tab/>
        </w:r>
        <w:r w:rsidRPr="00135CC1">
          <w:rPr>
            <w:rStyle w:val="Hyperlink"/>
            <w:noProof/>
            <w:lang w:val="nl-NL"/>
          </w:rPr>
          <w:t>Het onderhoud van netwerken</w:t>
        </w:r>
        <w:r>
          <w:rPr>
            <w:noProof/>
            <w:webHidden/>
          </w:rPr>
          <w:tab/>
        </w:r>
        <w:r>
          <w:rPr>
            <w:noProof/>
            <w:webHidden/>
          </w:rPr>
          <w:fldChar w:fldCharType="begin"/>
        </w:r>
        <w:r>
          <w:rPr>
            <w:noProof/>
            <w:webHidden/>
          </w:rPr>
          <w:instrText xml:space="preserve"> PAGEREF _Toc231463610 \h </w:instrText>
        </w:r>
        <w:r>
          <w:rPr>
            <w:noProof/>
            <w:webHidden/>
          </w:rPr>
        </w:r>
        <w:r>
          <w:rPr>
            <w:noProof/>
            <w:webHidden/>
          </w:rPr>
          <w:fldChar w:fldCharType="separate"/>
        </w:r>
        <w:r w:rsidR="00F83A3D">
          <w:rPr>
            <w:noProof/>
            <w:webHidden/>
          </w:rPr>
          <w:t>55</w:t>
        </w:r>
        <w:r>
          <w:rPr>
            <w:noProof/>
            <w:webHidden/>
          </w:rPr>
          <w:fldChar w:fldCharType="end"/>
        </w:r>
      </w:hyperlink>
    </w:p>
    <w:p w14:paraId="269AAB3D" w14:textId="4401C4D3" w:rsidR="00D75D6E" w:rsidRDefault="00D75D6E">
      <w:pPr>
        <w:pStyle w:val="TOC2"/>
        <w:tabs>
          <w:tab w:val="left" w:pos="960"/>
          <w:tab w:val="right" w:leader="underscore" w:pos="9016"/>
        </w:tabs>
        <w:rPr>
          <w:rFonts w:eastAsiaTheme="minorEastAsia" w:cstheme="minorBidi"/>
          <w:b w:val="0"/>
          <w:bCs w:val="0"/>
          <w:noProof/>
          <w:kern w:val="2"/>
          <w:sz w:val="24"/>
          <w:szCs w:val="24"/>
          <w14:ligatures w14:val="standardContextual"/>
        </w:rPr>
      </w:pPr>
      <w:hyperlink w:anchor="_Toc231463611" w:history="1">
        <w:r w:rsidRPr="00135CC1">
          <w:rPr>
            <w:rStyle w:val="Hyperlink"/>
            <w:rFonts w:ascii="Cambria Math" w:hAnsi="Cambria Math"/>
            <w:noProof/>
          </w:rPr>
          <w:t>3.3</w:t>
        </w:r>
        <w:r>
          <w:rPr>
            <w:rFonts w:eastAsiaTheme="minorEastAsia" w:cstheme="minorBidi"/>
            <w:b w:val="0"/>
            <w:bCs w:val="0"/>
            <w:noProof/>
            <w:kern w:val="2"/>
            <w:sz w:val="24"/>
            <w:szCs w:val="24"/>
            <w14:ligatures w14:val="standardContextual"/>
          </w:rPr>
          <w:tab/>
        </w:r>
        <w:r w:rsidRPr="00135CC1">
          <w:rPr>
            <w:rStyle w:val="Hyperlink"/>
            <w:noProof/>
          </w:rPr>
          <w:t>Conclusie</w:t>
        </w:r>
        <w:r>
          <w:rPr>
            <w:noProof/>
            <w:webHidden/>
          </w:rPr>
          <w:tab/>
        </w:r>
        <w:r>
          <w:rPr>
            <w:noProof/>
            <w:webHidden/>
          </w:rPr>
          <w:fldChar w:fldCharType="begin"/>
        </w:r>
        <w:r>
          <w:rPr>
            <w:noProof/>
            <w:webHidden/>
          </w:rPr>
          <w:instrText xml:space="preserve"> PAGEREF _Toc231463611 \h </w:instrText>
        </w:r>
        <w:r>
          <w:rPr>
            <w:noProof/>
            <w:webHidden/>
          </w:rPr>
        </w:r>
        <w:r>
          <w:rPr>
            <w:noProof/>
            <w:webHidden/>
          </w:rPr>
          <w:fldChar w:fldCharType="separate"/>
        </w:r>
        <w:r w:rsidR="00F83A3D">
          <w:rPr>
            <w:noProof/>
            <w:webHidden/>
          </w:rPr>
          <w:t>72</w:t>
        </w:r>
        <w:r>
          <w:rPr>
            <w:noProof/>
            <w:webHidden/>
          </w:rPr>
          <w:fldChar w:fldCharType="end"/>
        </w:r>
      </w:hyperlink>
    </w:p>
    <w:p w14:paraId="16A81C67" w14:textId="00A48CAD" w:rsidR="00D75D6E" w:rsidRDefault="00D75D6E">
      <w:pPr>
        <w:pStyle w:val="TOC1"/>
        <w:tabs>
          <w:tab w:val="left" w:pos="480"/>
          <w:tab w:val="right" w:leader="underscore" w:pos="9016"/>
        </w:tabs>
        <w:rPr>
          <w:rFonts w:eastAsiaTheme="minorEastAsia" w:cstheme="minorBidi"/>
          <w:b w:val="0"/>
          <w:bCs w:val="0"/>
          <w:i w:val="0"/>
          <w:iCs w:val="0"/>
          <w:noProof/>
          <w:kern w:val="2"/>
          <w14:ligatures w14:val="standardContextual"/>
        </w:rPr>
      </w:pPr>
      <w:hyperlink w:anchor="_Toc231463612" w:history="1">
        <w:r w:rsidRPr="00135CC1">
          <w:rPr>
            <w:rStyle w:val="Hyperlink"/>
            <w:rFonts w:ascii="Cambria Math" w:hAnsi="Cambria Math"/>
            <w:noProof/>
          </w:rPr>
          <w:t>4</w:t>
        </w:r>
        <w:r>
          <w:rPr>
            <w:rFonts w:eastAsiaTheme="minorEastAsia" w:cstheme="minorBidi"/>
            <w:b w:val="0"/>
            <w:bCs w:val="0"/>
            <w:i w:val="0"/>
            <w:iCs w:val="0"/>
            <w:noProof/>
            <w:kern w:val="2"/>
            <w14:ligatures w14:val="standardContextual"/>
          </w:rPr>
          <w:tab/>
        </w:r>
        <w:r w:rsidRPr="00135CC1">
          <w:rPr>
            <w:rStyle w:val="Hyperlink"/>
            <w:noProof/>
          </w:rPr>
          <w:t>Religieuze en literaire patronage</w:t>
        </w:r>
        <w:r>
          <w:rPr>
            <w:noProof/>
            <w:webHidden/>
          </w:rPr>
          <w:tab/>
        </w:r>
        <w:r>
          <w:rPr>
            <w:noProof/>
            <w:webHidden/>
          </w:rPr>
          <w:fldChar w:fldCharType="begin"/>
        </w:r>
        <w:r>
          <w:rPr>
            <w:noProof/>
            <w:webHidden/>
          </w:rPr>
          <w:instrText xml:space="preserve"> PAGEREF _Toc231463612 \h </w:instrText>
        </w:r>
        <w:r>
          <w:rPr>
            <w:noProof/>
            <w:webHidden/>
          </w:rPr>
        </w:r>
        <w:r>
          <w:rPr>
            <w:noProof/>
            <w:webHidden/>
          </w:rPr>
          <w:fldChar w:fldCharType="separate"/>
        </w:r>
        <w:r w:rsidR="00F83A3D">
          <w:rPr>
            <w:noProof/>
            <w:webHidden/>
          </w:rPr>
          <w:t>74</w:t>
        </w:r>
        <w:r>
          <w:rPr>
            <w:noProof/>
            <w:webHidden/>
          </w:rPr>
          <w:fldChar w:fldCharType="end"/>
        </w:r>
      </w:hyperlink>
    </w:p>
    <w:p w14:paraId="4A565BB5" w14:textId="25F63C3D" w:rsidR="00D75D6E" w:rsidRDefault="00D75D6E">
      <w:pPr>
        <w:pStyle w:val="TOC2"/>
        <w:tabs>
          <w:tab w:val="left" w:pos="960"/>
          <w:tab w:val="right" w:leader="underscore" w:pos="9016"/>
        </w:tabs>
        <w:rPr>
          <w:rFonts w:eastAsiaTheme="minorEastAsia" w:cstheme="minorBidi"/>
          <w:b w:val="0"/>
          <w:bCs w:val="0"/>
          <w:noProof/>
          <w:kern w:val="2"/>
          <w:sz w:val="24"/>
          <w:szCs w:val="24"/>
          <w14:ligatures w14:val="standardContextual"/>
        </w:rPr>
      </w:pPr>
      <w:hyperlink w:anchor="_Toc231463613" w:history="1">
        <w:r w:rsidRPr="00135CC1">
          <w:rPr>
            <w:rStyle w:val="Hyperlink"/>
            <w:rFonts w:ascii="Cambria Math" w:hAnsi="Cambria Math"/>
            <w:noProof/>
          </w:rPr>
          <w:t>4.1</w:t>
        </w:r>
        <w:r>
          <w:rPr>
            <w:rFonts w:eastAsiaTheme="minorEastAsia" w:cstheme="minorBidi"/>
            <w:b w:val="0"/>
            <w:bCs w:val="0"/>
            <w:noProof/>
            <w:kern w:val="2"/>
            <w:sz w:val="24"/>
            <w:szCs w:val="24"/>
            <w14:ligatures w14:val="standardContextual"/>
          </w:rPr>
          <w:tab/>
        </w:r>
        <w:r w:rsidRPr="00135CC1">
          <w:rPr>
            <w:rStyle w:val="Hyperlink"/>
            <w:noProof/>
          </w:rPr>
          <w:t>Religieuze patronage als politiek instrument</w:t>
        </w:r>
        <w:r>
          <w:rPr>
            <w:noProof/>
            <w:webHidden/>
          </w:rPr>
          <w:tab/>
        </w:r>
        <w:r>
          <w:rPr>
            <w:noProof/>
            <w:webHidden/>
          </w:rPr>
          <w:fldChar w:fldCharType="begin"/>
        </w:r>
        <w:r>
          <w:rPr>
            <w:noProof/>
            <w:webHidden/>
          </w:rPr>
          <w:instrText xml:space="preserve"> PAGEREF _Toc231463613 \h </w:instrText>
        </w:r>
        <w:r>
          <w:rPr>
            <w:noProof/>
            <w:webHidden/>
          </w:rPr>
        </w:r>
        <w:r>
          <w:rPr>
            <w:noProof/>
            <w:webHidden/>
          </w:rPr>
          <w:fldChar w:fldCharType="separate"/>
        </w:r>
        <w:r w:rsidR="00F83A3D">
          <w:rPr>
            <w:noProof/>
            <w:webHidden/>
          </w:rPr>
          <w:t>75</w:t>
        </w:r>
        <w:r>
          <w:rPr>
            <w:noProof/>
            <w:webHidden/>
          </w:rPr>
          <w:fldChar w:fldCharType="end"/>
        </w:r>
      </w:hyperlink>
    </w:p>
    <w:p w14:paraId="6E0902BF" w14:textId="1084E904" w:rsidR="00D75D6E" w:rsidRDefault="00D75D6E">
      <w:pPr>
        <w:pStyle w:val="TOC2"/>
        <w:tabs>
          <w:tab w:val="left" w:pos="960"/>
          <w:tab w:val="right" w:leader="underscore" w:pos="9016"/>
        </w:tabs>
        <w:rPr>
          <w:rFonts w:eastAsiaTheme="minorEastAsia" w:cstheme="minorBidi"/>
          <w:b w:val="0"/>
          <w:bCs w:val="0"/>
          <w:noProof/>
          <w:kern w:val="2"/>
          <w:sz w:val="24"/>
          <w:szCs w:val="24"/>
          <w14:ligatures w14:val="standardContextual"/>
        </w:rPr>
      </w:pPr>
      <w:hyperlink w:anchor="_Toc231463614" w:history="1">
        <w:r w:rsidRPr="00135CC1">
          <w:rPr>
            <w:rStyle w:val="Hyperlink"/>
            <w:rFonts w:ascii="Cambria Math" w:hAnsi="Cambria Math"/>
            <w:noProof/>
            <w:lang w:val="nl-NL"/>
          </w:rPr>
          <w:t>4.2</w:t>
        </w:r>
        <w:r>
          <w:rPr>
            <w:rFonts w:eastAsiaTheme="minorEastAsia" w:cstheme="minorBidi"/>
            <w:b w:val="0"/>
            <w:bCs w:val="0"/>
            <w:noProof/>
            <w:kern w:val="2"/>
            <w:sz w:val="24"/>
            <w:szCs w:val="24"/>
            <w14:ligatures w14:val="standardContextual"/>
          </w:rPr>
          <w:tab/>
        </w:r>
        <w:r w:rsidRPr="00135CC1">
          <w:rPr>
            <w:rStyle w:val="Hyperlink"/>
            <w:noProof/>
            <w:lang w:val="nl-NL"/>
          </w:rPr>
          <w:t>Johanna’s religieuze devotie</w:t>
        </w:r>
        <w:r>
          <w:rPr>
            <w:noProof/>
            <w:webHidden/>
          </w:rPr>
          <w:tab/>
        </w:r>
        <w:r>
          <w:rPr>
            <w:noProof/>
            <w:webHidden/>
          </w:rPr>
          <w:fldChar w:fldCharType="begin"/>
        </w:r>
        <w:r>
          <w:rPr>
            <w:noProof/>
            <w:webHidden/>
          </w:rPr>
          <w:instrText xml:space="preserve"> PAGEREF _Toc231463614 \h </w:instrText>
        </w:r>
        <w:r>
          <w:rPr>
            <w:noProof/>
            <w:webHidden/>
          </w:rPr>
        </w:r>
        <w:r>
          <w:rPr>
            <w:noProof/>
            <w:webHidden/>
          </w:rPr>
          <w:fldChar w:fldCharType="separate"/>
        </w:r>
        <w:r w:rsidR="00F83A3D">
          <w:rPr>
            <w:noProof/>
            <w:webHidden/>
          </w:rPr>
          <w:t>80</w:t>
        </w:r>
        <w:r>
          <w:rPr>
            <w:noProof/>
            <w:webHidden/>
          </w:rPr>
          <w:fldChar w:fldCharType="end"/>
        </w:r>
      </w:hyperlink>
    </w:p>
    <w:p w14:paraId="6ABB4AFA" w14:textId="56095C03" w:rsidR="00D75D6E" w:rsidRDefault="00D75D6E">
      <w:pPr>
        <w:pStyle w:val="TOC2"/>
        <w:tabs>
          <w:tab w:val="left" w:pos="960"/>
          <w:tab w:val="right" w:leader="underscore" w:pos="9016"/>
        </w:tabs>
        <w:rPr>
          <w:rFonts w:eastAsiaTheme="minorEastAsia" w:cstheme="minorBidi"/>
          <w:b w:val="0"/>
          <w:bCs w:val="0"/>
          <w:noProof/>
          <w:kern w:val="2"/>
          <w:sz w:val="24"/>
          <w:szCs w:val="24"/>
          <w14:ligatures w14:val="standardContextual"/>
        </w:rPr>
      </w:pPr>
      <w:hyperlink w:anchor="_Toc231463615" w:history="1">
        <w:r w:rsidRPr="00135CC1">
          <w:rPr>
            <w:rStyle w:val="Hyperlink"/>
            <w:rFonts w:ascii="Cambria Math" w:hAnsi="Cambria Math"/>
            <w:noProof/>
            <w:lang w:val="nl-NL"/>
          </w:rPr>
          <w:t>4.3</w:t>
        </w:r>
        <w:r>
          <w:rPr>
            <w:rFonts w:eastAsiaTheme="minorEastAsia" w:cstheme="minorBidi"/>
            <w:b w:val="0"/>
            <w:bCs w:val="0"/>
            <w:noProof/>
            <w:kern w:val="2"/>
            <w:sz w:val="24"/>
            <w:szCs w:val="24"/>
            <w14:ligatures w14:val="standardContextual"/>
          </w:rPr>
          <w:tab/>
        </w:r>
        <w:r w:rsidRPr="00135CC1">
          <w:rPr>
            <w:rStyle w:val="Hyperlink"/>
            <w:noProof/>
          </w:rPr>
          <w:t>Literair</w:t>
        </w:r>
        <w:r w:rsidRPr="00135CC1">
          <w:rPr>
            <w:rStyle w:val="Hyperlink"/>
            <w:noProof/>
            <w:lang w:val="nl-NL"/>
          </w:rPr>
          <w:t xml:space="preserve"> mecenaat</w:t>
        </w:r>
        <w:r>
          <w:rPr>
            <w:noProof/>
            <w:webHidden/>
          </w:rPr>
          <w:tab/>
        </w:r>
        <w:r>
          <w:rPr>
            <w:noProof/>
            <w:webHidden/>
          </w:rPr>
          <w:fldChar w:fldCharType="begin"/>
        </w:r>
        <w:r>
          <w:rPr>
            <w:noProof/>
            <w:webHidden/>
          </w:rPr>
          <w:instrText xml:space="preserve"> PAGEREF _Toc231463615 \h </w:instrText>
        </w:r>
        <w:r>
          <w:rPr>
            <w:noProof/>
            <w:webHidden/>
          </w:rPr>
        </w:r>
        <w:r>
          <w:rPr>
            <w:noProof/>
            <w:webHidden/>
          </w:rPr>
          <w:fldChar w:fldCharType="separate"/>
        </w:r>
        <w:r w:rsidR="00F83A3D">
          <w:rPr>
            <w:noProof/>
            <w:webHidden/>
          </w:rPr>
          <w:t>84</w:t>
        </w:r>
        <w:r>
          <w:rPr>
            <w:noProof/>
            <w:webHidden/>
          </w:rPr>
          <w:fldChar w:fldCharType="end"/>
        </w:r>
      </w:hyperlink>
    </w:p>
    <w:p w14:paraId="2E3840BF" w14:textId="066F27A6" w:rsidR="00D75D6E" w:rsidRDefault="00D75D6E">
      <w:pPr>
        <w:pStyle w:val="TOC2"/>
        <w:tabs>
          <w:tab w:val="left" w:pos="960"/>
          <w:tab w:val="right" w:leader="underscore" w:pos="9016"/>
        </w:tabs>
        <w:rPr>
          <w:rFonts w:eastAsiaTheme="minorEastAsia" w:cstheme="minorBidi"/>
          <w:b w:val="0"/>
          <w:bCs w:val="0"/>
          <w:noProof/>
          <w:kern w:val="2"/>
          <w:sz w:val="24"/>
          <w:szCs w:val="24"/>
          <w14:ligatures w14:val="standardContextual"/>
        </w:rPr>
      </w:pPr>
      <w:hyperlink w:anchor="_Toc231463616" w:history="1">
        <w:r w:rsidRPr="00135CC1">
          <w:rPr>
            <w:rStyle w:val="Hyperlink"/>
            <w:rFonts w:ascii="Cambria Math" w:hAnsi="Cambria Math"/>
            <w:noProof/>
            <w:lang w:val="nl-NL"/>
          </w:rPr>
          <w:t>4.4</w:t>
        </w:r>
        <w:r>
          <w:rPr>
            <w:rFonts w:eastAsiaTheme="minorEastAsia" w:cstheme="minorBidi"/>
            <w:b w:val="0"/>
            <w:bCs w:val="0"/>
            <w:noProof/>
            <w:kern w:val="2"/>
            <w:sz w:val="24"/>
            <w:szCs w:val="24"/>
            <w14:ligatures w14:val="standardContextual"/>
          </w:rPr>
          <w:tab/>
        </w:r>
        <w:r w:rsidRPr="00135CC1">
          <w:rPr>
            <w:rStyle w:val="Hyperlink"/>
            <w:noProof/>
            <w:lang w:val="nl-NL"/>
          </w:rPr>
          <w:t>Conclusie</w:t>
        </w:r>
        <w:r>
          <w:rPr>
            <w:noProof/>
            <w:webHidden/>
          </w:rPr>
          <w:tab/>
        </w:r>
        <w:r>
          <w:rPr>
            <w:noProof/>
            <w:webHidden/>
          </w:rPr>
          <w:fldChar w:fldCharType="begin"/>
        </w:r>
        <w:r>
          <w:rPr>
            <w:noProof/>
            <w:webHidden/>
          </w:rPr>
          <w:instrText xml:space="preserve"> PAGEREF _Toc231463616 \h </w:instrText>
        </w:r>
        <w:r>
          <w:rPr>
            <w:noProof/>
            <w:webHidden/>
          </w:rPr>
        </w:r>
        <w:r>
          <w:rPr>
            <w:noProof/>
            <w:webHidden/>
          </w:rPr>
          <w:fldChar w:fldCharType="separate"/>
        </w:r>
        <w:r w:rsidR="00F83A3D">
          <w:rPr>
            <w:noProof/>
            <w:webHidden/>
          </w:rPr>
          <w:t>88</w:t>
        </w:r>
        <w:r>
          <w:rPr>
            <w:noProof/>
            <w:webHidden/>
          </w:rPr>
          <w:fldChar w:fldCharType="end"/>
        </w:r>
      </w:hyperlink>
    </w:p>
    <w:p w14:paraId="3F18B6C1" w14:textId="41E78E00" w:rsidR="00D75D6E" w:rsidRDefault="00D75D6E">
      <w:pPr>
        <w:pStyle w:val="TOC1"/>
        <w:tabs>
          <w:tab w:val="left" w:pos="480"/>
          <w:tab w:val="right" w:leader="underscore" w:pos="9016"/>
        </w:tabs>
        <w:rPr>
          <w:rFonts w:eastAsiaTheme="minorEastAsia" w:cstheme="minorBidi"/>
          <w:b w:val="0"/>
          <w:bCs w:val="0"/>
          <w:i w:val="0"/>
          <w:iCs w:val="0"/>
          <w:noProof/>
          <w:kern w:val="2"/>
          <w14:ligatures w14:val="standardContextual"/>
        </w:rPr>
      </w:pPr>
      <w:hyperlink w:anchor="_Toc231463617" w:history="1">
        <w:r w:rsidRPr="00135CC1">
          <w:rPr>
            <w:rStyle w:val="Hyperlink"/>
            <w:rFonts w:ascii="Cambria Math" w:hAnsi="Cambria Math"/>
            <w:noProof/>
          </w:rPr>
          <w:t>5</w:t>
        </w:r>
        <w:r>
          <w:rPr>
            <w:rFonts w:eastAsiaTheme="minorEastAsia" w:cstheme="minorBidi"/>
            <w:b w:val="0"/>
            <w:bCs w:val="0"/>
            <w:i w:val="0"/>
            <w:iCs w:val="0"/>
            <w:noProof/>
            <w:kern w:val="2"/>
            <w14:ligatures w14:val="standardContextual"/>
          </w:rPr>
          <w:tab/>
        </w:r>
        <w:r w:rsidRPr="00135CC1">
          <w:rPr>
            <w:rStyle w:val="Hyperlink"/>
            <w:noProof/>
          </w:rPr>
          <w:t>Algemene conclusie</w:t>
        </w:r>
        <w:r>
          <w:rPr>
            <w:noProof/>
            <w:webHidden/>
          </w:rPr>
          <w:tab/>
        </w:r>
        <w:r>
          <w:rPr>
            <w:noProof/>
            <w:webHidden/>
          </w:rPr>
          <w:fldChar w:fldCharType="begin"/>
        </w:r>
        <w:r>
          <w:rPr>
            <w:noProof/>
            <w:webHidden/>
          </w:rPr>
          <w:instrText xml:space="preserve"> PAGEREF _Toc231463617 \h </w:instrText>
        </w:r>
        <w:r>
          <w:rPr>
            <w:noProof/>
            <w:webHidden/>
          </w:rPr>
        </w:r>
        <w:r>
          <w:rPr>
            <w:noProof/>
            <w:webHidden/>
          </w:rPr>
          <w:fldChar w:fldCharType="separate"/>
        </w:r>
        <w:r w:rsidR="00F83A3D">
          <w:rPr>
            <w:noProof/>
            <w:webHidden/>
          </w:rPr>
          <w:t>89</w:t>
        </w:r>
        <w:r>
          <w:rPr>
            <w:noProof/>
            <w:webHidden/>
          </w:rPr>
          <w:fldChar w:fldCharType="end"/>
        </w:r>
      </w:hyperlink>
    </w:p>
    <w:p w14:paraId="3227DC03" w14:textId="7C02D927" w:rsidR="00D75D6E" w:rsidRDefault="00D75D6E">
      <w:pPr>
        <w:pStyle w:val="TOC2"/>
        <w:tabs>
          <w:tab w:val="left" w:pos="960"/>
          <w:tab w:val="right" w:leader="underscore" w:pos="9016"/>
        </w:tabs>
        <w:rPr>
          <w:rFonts w:eastAsiaTheme="minorEastAsia" w:cstheme="minorBidi"/>
          <w:b w:val="0"/>
          <w:bCs w:val="0"/>
          <w:noProof/>
          <w:kern w:val="2"/>
          <w:sz w:val="24"/>
          <w:szCs w:val="24"/>
          <w14:ligatures w14:val="standardContextual"/>
        </w:rPr>
      </w:pPr>
      <w:hyperlink w:anchor="_Toc231463618" w:history="1">
        <w:r w:rsidRPr="00135CC1">
          <w:rPr>
            <w:rStyle w:val="Hyperlink"/>
            <w:rFonts w:ascii="Cambria Math" w:hAnsi="Cambria Math"/>
            <w:noProof/>
          </w:rPr>
          <w:t>5.1</w:t>
        </w:r>
        <w:r>
          <w:rPr>
            <w:rFonts w:eastAsiaTheme="minorEastAsia" w:cstheme="minorBidi"/>
            <w:b w:val="0"/>
            <w:bCs w:val="0"/>
            <w:noProof/>
            <w:kern w:val="2"/>
            <w:sz w:val="24"/>
            <w:szCs w:val="24"/>
            <w14:ligatures w14:val="standardContextual"/>
          </w:rPr>
          <w:tab/>
        </w:r>
        <w:r w:rsidRPr="00135CC1">
          <w:rPr>
            <w:rStyle w:val="Hyperlink"/>
            <w:noProof/>
          </w:rPr>
          <w:t>Verder onderzoek</w:t>
        </w:r>
        <w:r>
          <w:rPr>
            <w:noProof/>
            <w:webHidden/>
          </w:rPr>
          <w:tab/>
        </w:r>
        <w:r>
          <w:rPr>
            <w:noProof/>
            <w:webHidden/>
          </w:rPr>
          <w:fldChar w:fldCharType="begin"/>
        </w:r>
        <w:r>
          <w:rPr>
            <w:noProof/>
            <w:webHidden/>
          </w:rPr>
          <w:instrText xml:space="preserve"> PAGEREF _Toc231463618 \h </w:instrText>
        </w:r>
        <w:r>
          <w:rPr>
            <w:noProof/>
            <w:webHidden/>
          </w:rPr>
        </w:r>
        <w:r>
          <w:rPr>
            <w:noProof/>
            <w:webHidden/>
          </w:rPr>
          <w:fldChar w:fldCharType="separate"/>
        </w:r>
        <w:r w:rsidR="00F83A3D">
          <w:rPr>
            <w:noProof/>
            <w:webHidden/>
          </w:rPr>
          <w:t>91</w:t>
        </w:r>
        <w:r>
          <w:rPr>
            <w:noProof/>
            <w:webHidden/>
          </w:rPr>
          <w:fldChar w:fldCharType="end"/>
        </w:r>
      </w:hyperlink>
    </w:p>
    <w:p w14:paraId="3E302705" w14:textId="1C58288E" w:rsidR="00D75D6E" w:rsidRDefault="00D75D6E">
      <w:pPr>
        <w:pStyle w:val="TOC1"/>
        <w:tabs>
          <w:tab w:val="right" w:leader="underscore" w:pos="9016"/>
        </w:tabs>
        <w:rPr>
          <w:rFonts w:eastAsiaTheme="minorEastAsia" w:cstheme="minorBidi"/>
          <w:b w:val="0"/>
          <w:bCs w:val="0"/>
          <w:i w:val="0"/>
          <w:iCs w:val="0"/>
          <w:noProof/>
          <w:kern w:val="2"/>
          <w14:ligatures w14:val="standardContextual"/>
        </w:rPr>
      </w:pPr>
      <w:hyperlink w:anchor="_Toc231463619" w:history="1">
        <w:r w:rsidRPr="00135CC1">
          <w:rPr>
            <w:rStyle w:val="Hyperlink"/>
            <w:noProof/>
          </w:rPr>
          <w:t>Bibliografie</w:t>
        </w:r>
        <w:r>
          <w:rPr>
            <w:noProof/>
            <w:webHidden/>
          </w:rPr>
          <w:tab/>
        </w:r>
        <w:r>
          <w:rPr>
            <w:noProof/>
            <w:webHidden/>
          </w:rPr>
          <w:fldChar w:fldCharType="begin"/>
        </w:r>
        <w:r>
          <w:rPr>
            <w:noProof/>
            <w:webHidden/>
          </w:rPr>
          <w:instrText xml:space="preserve"> PAGEREF _Toc231463619 \h </w:instrText>
        </w:r>
        <w:r>
          <w:rPr>
            <w:noProof/>
            <w:webHidden/>
          </w:rPr>
        </w:r>
        <w:r>
          <w:rPr>
            <w:noProof/>
            <w:webHidden/>
          </w:rPr>
          <w:fldChar w:fldCharType="separate"/>
        </w:r>
        <w:r w:rsidR="00F83A3D">
          <w:rPr>
            <w:noProof/>
            <w:webHidden/>
          </w:rPr>
          <w:t>95</w:t>
        </w:r>
        <w:r>
          <w:rPr>
            <w:noProof/>
            <w:webHidden/>
          </w:rPr>
          <w:fldChar w:fldCharType="end"/>
        </w:r>
      </w:hyperlink>
    </w:p>
    <w:p w14:paraId="5855D30A" w14:textId="31D01E52" w:rsidR="00D75D6E" w:rsidRDefault="00D75D6E">
      <w:pPr>
        <w:pStyle w:val="TOC2"/>
        <w:tabs>
          <w:tab w:val="left" w:pos="960"/>
          <w:tab w:val="right" w:leader="underscore" w:pos="9016"/>
        </w:tabs>
        <w:rPr>
          <w:rFonts w:eastAsiaTheme="minorEastAsia" w:cstheme="minorBidi"/>
          <w:b w:val="0"/>
          <w:bCs w:val="0"/>
          <w:noProof/>
          <w:kern w:val="2"/>
          <w:sz w:val="24"/>
          <w:szCs w:val="24"/>
          <w14:ligatures w14:val="standardContextual"/>
        </w:rPr>
      </w:pPr>
      <w:hyperlink w:anchor="_Toc231463620" w:history="1">
        <w:r w:rsidRPr="00135CC1">
          <w:rPr>
            <w:rStyle w:val="Hyperlink"/>
            <w:rFonts w:ascii="Cambria Math" w:hAnsi="Cambria Math"/>
            <w:noProof/>
          </w:rPr>
          <w:t>5.2</w:t>
        </w:r>
        <w:r>
          <w:rPr>
            <w:rFonts w:eastAsiaTheme="minorEastAsia" w:cstheme="minorBidi"/>
            <w:b w:val="0"/>
            <w:bCs w:val="0"/>
            <w:noProof/>
            <w:kern w:val="2"/>
            <w:sz w:val="24"/>
            <w:szCs w:val="24"/>
            <w14:ligatures w14:val="standardContextual"/>
          </w:rPr>
          <w:tab/>
        </w:r>
        <w:r w:rsidRPr="00135CC1">
          <w:rPr>
            <w:rStyle w:val="Hyperlink"/>
            <w:noProof/>
          </w:rPr>
          <w:t>Primaire bronnen</w:t>
        </w:r>
        <w:r>
          <w:rPr>
            <w:noProof/>
            <w:webHidden/>
          </w:rPr>
          <w:tab/>
        </w:r>
        <w:r>
          <w:rPr>
            <w:noProof/>
            <w:webHidden/>
          </w:rPr>
          <w:fldChar w:fldCharType="begin"/>
        </w:r>
        <w:r>
          <w:rPr>
            <w:noProof/>
            <w:webHidden/>
          </w:rPr>
          <w:instrText xml:space="preserve"> PAGEREF _Toc231463620 \h </w:instrText>
        </w:r>
        <w:r>
          <w:rPr>
            <w:noProof/>
            <w:webHidden/>
          </w:rPr>
        </w:r>
        <w:r>
          <w:rPr>
            <w:noProof/>
            <w:webHidden/>
          </w:rPr>
          <w:fldChar w:fldCharType="separate"/>
        </w:r>
        <w:r w:rsidR="00F83A3D">
          <w:rPr>
            <w:noProof/>
            <w:webHidden/>
          </w:rPr>
          <w:t>95</w:t>
        </w:r>
        <w:r>
          <w:rPr>
            <w:noProof/>
            <w:webHidden/>
          </w:rPr>
          <w:fldChar w:fldCharType="end"/>
        </w:r>
      </w:hyperlink>
    </w:p>
    <w:p w14:paraId="6F8E19DF" w14:textId="50825421" w:rsidR="00D75D6E" w:rsidRDefault="00D75D6E">
      <w:pPr>
        <w:pStyle w:val="TOC2"/>
        <w:tabs>
          <w:tab w:val="left" w:pos="960"/>
          <w:tab w:val="right" w:leader="underscore" w:pos="9016"/>
        </w:tabs>
        <w:rPr>
          <w:rFonts w:eastAsiaTheme="minorEastAsia" w:cstheme="minorBidi"/>
          <w:b w:val="0"/>
          <w:bCs w:val="0"/>
          <w:noProof/>
          <w:kern w:val="2"/>
          <w:sz w:val="24"/>
          <w:szCs w:val="24"/>
          <w14:ligatures w14:val="standardContextual"/>
        </w:rPr>
      </w:pPr>
      <w:hyperlink w:anchor="_Toc231463621" w:history="1">
        <w:r w:rsidRPr="00135CC1">
          <w:rPr>
            <w:rStyle w:val="Hyperlink"/>
            <w:rFonts w:ascii="Cambria Math" w:hAnsi="Cambria Math"/>
            <w:noProof/>
          </w:rPr>
          <w:t>5.3</w:t>
        </w:r>
        <w:r>
          <w:rPr>
            <w:rFonts w:eastAsiaTheme="minorEastAsia" w:cstheme="minorBidi"/>
            <w:b w:val="0"/>
            <w:bCs w:val="0"/>
            <w:noProof/>
            <w:kern w:val="2"/>
            <w:sz w:val="24"/>
            <w:szCs w:val="24"/>
            <w14:ligatures w14:val="standardContextual"/>
          </w:rPr>
          <w:tab/>
        </w:r>
        <w:r w:rsidRPr="00135CC1">
          <w:rPr>
            <w:rStyle w:val="Hyperlink"/>
            <w:noProof/>
          </w:rPr>
          <w:t>Secundaire literatuur</w:t>
        </w:r>
        <w:r>
          <w:rPr>
            <w:noProof/>
            <w:webHidden/>
          </w:rPr>
          <w:tab/>
        </w:r>
        <w:r>
          <w:rPr>
            <w:noProof/>
            <w:webHidden/>
          </w:rPr>
          <w:fldChar w:fldCharType="begin"/>
        </w:r>
        <w:r>
          <w:rPr>
            <w:noProof/>
            <w:webHidden/>
          </w:rPr>
          <w:instrText xml:space="preserve"> PAGEREF _Toc231463621 \h </w:instrText>
        </w:r>
        <w:r>
          <w:rPr>
            <w:noProof/>
            <w:webHidden/>
          </w:rPr>
        </w:r>
        <w:r>
          <w:rPr>
            <w:noProof/>
            <w:webHidden/>
          </w:rPr>
          <w:fldChar w:fldCharType="separate"/>
        </w:r>
        <w:r w:rsidR="00F83A3D">
          <w:rPr>
            <w:noProof/>
            <w:webHidden/>
          </w:rPr>
          <w:t>97</w:t>
        </w:r>
        <w:r>
          <w:rPr>
            <w:noProof/>
            <w:webHidden/>
          </w:rPr>
          <w:fldChar w:fldCharType="end"/>
        </w:r>
      </w:hyperlink>
    </w:p>
    <w:p w14:paraId="398367CA" w14:textId="2F680654" w:rsidR="00D75D6E" w:rsidRDefault="00D75D6E">
      <w:pPr>
        <w:pStyle w:val="TOC1"/>
        <w:tabs>
          <w:tab w:val="right" w:leader="underscore" w:pos="9016"/>
        </w:tabs>
        <w:rPr>
          <w:rFonts w:eastAsiaTheme="minorEastAsia" w:cstheme="minorBidi"/>
          <w:b w:val="0"/>
          <w:bCs w:val="0"/>
          <w:i w:val="0"/>
          <w:iCs w:val="0"/>
          <w:noProof/>
          <w:kern w:val="2"/>
          <w14:ligatures w14:val="standardContextual"/>
        </w:rPr>
      </w:pPr>
      <w:hyperlink w:anchor="_Toc231463622" w:history="1">
        <w:r w:rsidRPr="00135CC1">
          <w:rPr>
            <w:rStyle w:val="Hyperlink"/>
            <w:noProof/>
          </w:rPr>
          <w:t>figuren en tabellen</w:t>
        </w:r>
        <w:r>
          <w:rPr>
            <w:noProof/>
            <w:webHidden/>
          </w:rPr>
          <w:tab/>
        </w:r>
        <w:r>
          <w:rPr>
            <w:noProof/>
            <w:webHidden/>
          </w:rPr>
          <w:fldChar w:fldCharType="begin"/>
        </w:r>
        <w:r>
          <w:rPr>
            <w:noProof/>
            <w:webHidden/>
          </w:rPr>
          <w:instrText xml:space="preserve"> PAGEREF _Toc231463622 \h </w:instrText>
        </w:r>
        <w:r>
          <w:rPr>
            <w:noProof/>
            <w:webHidden/>
          </w:rPr>
        </w:r>
        <w:r>
          <w:rPr>
            <w:noProof/>
            <w:webHidden/>
          </w:rPr>
          <w:fldChar w:fldCharType="separate"/>
        </w:r>
        <w:r w:rsidR="00F83A3D">
          <w:rPr>
            <w:noProof/>
            <w:webHidden/>
          </w:rPr>
          <w:t>107</w:t>
        </w:r>
        <w:r>
          <w:rPr>
            <w:noProof/>
            <w:webHidden/>
          </w:rPr>
          <w:fldChar w:fldCharType="end"/>
        </w:r>
      </w:hyperlink>
    </w:p>
    <w:p w14:paraId="013179E4" w14:textId="34729004" w:rsidR="00D75D6E" w:rsidRDefault="00D75D6E">
      <w:pPr>
        <w:pStyle w:val="TOC2"/>
        <w:tabs>
          <w:tab w:val="right" w:leader="underscore" w:pos="9016"/>
        </w:tabs>
        <w:rPr>
          <w:rFonts w:eastAsiaTheme="minorEastAsia" w:cstheme="minorBidi"/>
          <w:b w:val="0"/>
          <w:bCs w:val="0"/>
          <w:noProof/>
          <w:kern w:val="2"/>
          <w:sz w:val="24"/>
          <w:szCs w:val="24"/>
          <w14:ligatures w14:val="standardContextual"/>
        </w:rPr>
      </w:pPr>
      <w:hyperlink w:anchor="_Toc231463623" w:history="1">
        <w:r w:rsidRPr="00135CC1">
          <w:rPr>
            <w:rStyle w:val="Hyperlink"/>
            <w:noProof/>
          </w:rPr>
          <w:t>Tabellen</w:t>
        </w:r>
        <w:r>
          <w:rPr>
            <w:noProof/>
            <w:webHidden/>
          </w:rPr>
          <w:tab/>
        </w:r>
        <w:r>
          <w:rPr>
            <w:noProof/>
            <w:webHidden/>
          </w:rPr>
          <w:fldChar w:fldCharType="begin"/>
        </w:r>
        <w:r>
          <w:rPr>
            <w:noProof/>
            <w:webHidden/>
          </w:rPr>
          <w:instrText xml:space="preserve"> PAGEREF _Toc231463623 \h </w:instrText>
        </w:r>
        <w:r>
          <w:rPr>
            <w:noProof/>
            <w:webHidden/>
          </w:rPr>
        </w:r>
        <w:r>
          <w:rPr>
            <w:noProof/>
            <w:webHidden/>
          </w:rPr>
          <w:fldChar w:fldCharType="separate"/>
        </w:r>
        <w:r w:rsidR="00F83A3D">
          <w:rPr>
            <w:noProof/>
            <w:webHidden/>
          </w:rPr>
          <w:t>107</w:t>
        </w:r>
        <w:r>
          <w:rPr>
            <w:noProof/>
            <w:webHidden/>
          </w:rPr>
          <w:fldChar w:fldCharType="end"/>
        </w:r>
      </w:hyperlink>
    </w:p>
    <w:p w14:paraId="621DDA92" w14:textId="1BFA57D7" w:rsidR="00D75D6E" w:rsidRDefault="00D75D6E">
      <w:pPr>
        <w:pStyle w:val="TOC2"/>
        <w:tabs>
          <w:tab w:val="right" w:leader="underscore" w:pos="9016"/>
        </w:tabs>
        <w:rPr>
          <w:rFonts w:eastAsiaTheme="minorEastAsia" w:cstheme="minorBidi"/>
          <w:b w:val="0"/>
          <w:bCs w:val="0"/>
          <w:noProof/>
          <w:kern w:val="2"/>
          <w:sz w:val="24"/>
          <w:szCs w:val="24"/>
          <w14:ligatures w14:val="standardContextual"/>
        </w:rPr>
      </w:pPr>
      <w:hyperlink w:anchor="_Toc231463624" w:history="1">
        <w:r w:rsidRPr="00135CC1">
          <w:rPr>
            <w:rStyle w:val="Hyperlink"/>
            <w:noProof/>
          </w:rPr>
          <w:t>Figuren</w:t>
        </w:r>
        <w:r>
          <w:rPr>
            <w:noProof/>
            <w:webHidden/>
          </w:rPr>
          <w:tab/>
        </w:r>
        <w:r>
          <w:rPr>
            <w:noProof/>
            <w:webHidden/>
          </w:rPr>
          <w:fldChar w:fldCharType="begin"/>
        </w:r>
        <w:r>
          <w:rPr>
            <w:noProof/>
            <w:webHidden/>
          </w:rPr>
          <w:instrText xml:space="preserve"> PAGEREF _Toc231463624 \h </w:instrText>
        </w:r>
        <w:r>
          <w:rPr>
            <w:noProof/>
            <w:webHidden/>
          </w:rPr>
        </w:r>
        <w:r>
          <w:rPr>
            <w:noProof/>
            <w:webHidden/>
          </w:rPr>
          <w:fldChar w:fldCharType="separate"/>
        </w:r>
        <w:r w:rsidR="00F83A3D">
          <w:rPr>
            <w:noProof/>
            <w:webHidden/>
          </w:rPr>
          <w:t>107</w:t>
        </w:r>
        <w:r>
          <w:rPr>
            <w:noProof/>
            <w:webHidden/>
          </w:rPr>
          <w:fldChar w:fldCharType="end"/>
        </w:r>
      </w:hyperlink>
    </w:p>
    <w:p w14:paraId="2E56FC77" w14:textId="5ABAB5CC" w:rsidR="00D75D6E" w:rsidRDefault="00D75D6E">
      <w:pPr>
        <w:pStyle w:val="TOC1"/>
        <w:tabs>
          <w:tab w:val="right" w:leader="underscore" w:pos="9016"/>
        </w:tabs>
        <w:rPr>
          <w:rFonts w:eastAsiaTheme="minorEastAsia" w:cstheme="minorBidi"/>
          <w:b w:val="0"/>
          <w:bCs w:val="0"/>
          <w:i w:val="0"/>
          <w:iCs w:val="0"/>
          <w:noProof/>
          <w:kern w:val="2"/>
          <w14:ligatures w14:val="standardContextual"/>
        </w:rPr>
      </w:pPr>
      <w:hyperlink w:anchor="_Toc231463625" w:history="1">
        <w:r w:rsidRPr="00135CC1">
          <w:rPr>
            <w:rStyle w:val="Hyperlink"/>
            <w:noProof/>
          </w:rPr>
          <w:t>Bijlagen</w:t>
        </w:r>
        <w:r>
          <w:rPr>
            <w:noProof/>
            <w:webHidden/>
          </w:rPr>
          <w:tab/>
        </w:r>
        <w:r>
          <w:rPr>
            <w:noProof/>
            <w:webHidden/>
          </w:rPr>
          <w:fldChar w:fldCharType="begin"/>
        </w:r>
        <w:r>
          <w:rPr>
            <w:noProof/>
            <w:webHidden/>
          </w:rPr>
          <w:instrText xml:space="preserve"> PAGEREF _Toc231463625 \h </w:instrText>
        </w:r>
        <w:r>
          <w:rPr>
            <w:noProof/>
            <w:webHidden/>
          </w:rPr>
        </w:r>
        <w:r>
          <w:rPr>
            <w:noProof/>
            <w:webHidden/>
          </w:rPr>
          <w:fldChar w:fldCharType="separate"/>
        </w:r>
        <w:r w:rsidR="00F83A3D">
          <w:rPr>
            <w:noProof/>
            <w:webHidden/>
          </w:rPr>
          <w:t>109</w:t>
        </w:r>
        <w:r>
          <w:rPr>
            <w:noProof/>
            <w:webHidden/>
          </w:rPr>
          <w:fldChar w:fldCharType="end"/>
        </w:r>
      </w:hyperlink>
    </w:p>
    <w:p w14:paraId="27FF9013" w14:textId="5A2035F9" w:rsidR="0028739B" w:rsidRDefault="0028739B" w:rsidP="0028739B">
      <w:pPr>
        <w:spacing w:after="160" w:line="278" w:lineRule="auto"/>
        <w:rPr>
          <w:rFonts w:ascii="Georgia" w:eastAsiaTheme="minorHAnsi" w:hAnsi="Georgia" w:cs="Calibri"/>
          <w:b/>
          <w:bCs/>
          <w:smallCaps/>
          <w:sz w:val="30"/>
          <w:szCs w:val="30"/>
          <w:lang w:val="nl-NL" w:eastAsia="en-US"/>
        </w:rPr>
      </w:pPr>
      <w:r w:rsidRPr="0028739B">
        <w:rPr>
          <w:rFonts w:ascii="Georgia" w:hAnsi="Georgia" w:cs="Calibri"/>
          <w:b/>
          <w:bCs/>
          <w:sz w:val="26"/>
          <w:szCs w:val="26"/>
          <w:lang w:val="nl-NL"/>
        </w:rPr>
        <w:fldChar w:fldCharType="end"/>
      </w:r>
    </w:p>
    <w:p w14:paraId="6963740F" w14:textId="6F0CD947" w:rsidR="00AE64BB" w:rsidRPr="001C05AD" w:rsidRDefault="003347B7" w:rsidP="001C05AD">
      <w:pPr>
        <w:pStyle w:val="ThesisSection"/>
        <w:numPr>
          <w:ilvl w:val="0"/>
          <w:numId w:val="0"/>
        </w:numPr>
        <w:spacing w:after="0"/>
        <w:ind w:left="1021" w:hanging="1021"/>
        <w:rPr>
          <w:sz w:val="38"/>
          <w:szCs w:val="38"/>
        </w:rPr>
      </w:pPr>
      <w:bookmarkStart w:id="0" w:name="_Toc231463596"/>
      <w:proofErr w:type="spellStart"/>
      <w:r w:rsidRPr="001C05AD">
        <w:rPr>
          <w:sz w:val="38"/>
          <w:szCs w:val="38"/>
        </w:rPr>
        <w:lastRenderedPageBreak/>
        <w:t>Dankwoord</w:t>
      </w:r>
      <w:bookmarkEnd w:id="0"/>
      <w:proofErr w:type="spellEnd"/>
    </w:p>
    <w:p w14:paraId="17882CC1" w14:textId="0F3655A5" w:rsidR="00505467" w:rsidRPr="00CD1072" w:rsidRDefault="00505467" w:rsidP="2D0D95AE">
      <w:pPr>
        <w:spacing w:before="240" w:afterLines="80" w:after="192" w:line="360" w:lineRule="auto"/>
        <w:jc w:val="both"/>
        <w:rPr>
          <w:rFonts w:ascii="Georgia" w:hAnsi="Georgia"/>
          <w:sz w:val="22"/>
          <w:szCs w:val="22"/>
          <w:lang w:val="en-US"/>
        </w:rPr>
      </w:pPr>
      <w:r w:rsidRPr="2D0D95AE">
        <w:rPr>
          <w:rFonts w:ascii="Georgia" w:hAnsi="Georgia"/>
          <w:sz w:val="22"/>
          <w:szCs w:val="22"/>
          <w:lang w:val="en-US"/>
        </w:rPr>
        <w:t>Plots ging de tijd snel, en wat ooit nog ver weg leek in mijn eerste jaar ligt nu voor mij, klaar om in te dienen. Deze masterproef had ik echter nooit kunnen verwezenlijken zonder de volgende mensen.</w:t>
      </w:r>
    </w:p>
    <w:p w14:paraId="56EFC20F" w14:textId="7F73A998" w:rsidR="00505467" w:rsidRPr="00505467" w:rsidRDefault="00505467" w:rsidP="2D0D95AE">
      <w:pPr>
        <w:spacing w:afterLines="80" w:after="192" w:line="360" w:lineRule="auto"/>
        <w:jc w:val="both"/>
        <w:rPr>
          <w:rFonts w:ascii="Georgia" w:hAnsi="Georgia"/>
          <w:sz w:val="22"/>
          <w:szCs w:val="22"/>
          <w:lang w:val="en-US"/>
        </w:rPr>
      </w:pPr>
      <w:r w:rsidRPr="2D0D95AE">
        <w:rPr>
          <w:rFonts w:ascii="Georgia" w:hAnsi="Georgia"/>
          <w:sz w:val="22"/>
          <w:szCs w:val="22"/>
          <w:lang w:val="en-US"/>
        </w:rPr>
        <w:t>Allereerst wil ik mijn promotor, prof. dr. Jelle Haemers, bedanken. Tijdens de laatste loodjes bleef een zin uit een van zijn mails me bij: "Wat een leuk historisch raadsel", en dat was het ook. Ik kon altijd bij hem terecht voor vragen, literatuuraanbevelingen, het nalezen van mijn teksten en het opvangen van paleografische SOS-signalen. Ik ben enorm dankbaar voor zijn tijd, moeite en hulp</w:t>
      </w:r>
      <w:r w:rsidR="00FA2E9A" w:rsidRPr="2D0D95AE">
        <w:rPr>
          <w:rFonts w:ascii="Georgia" w:hAnsi="Georgia"/>
          <w:sz w:val="22"/>
          <w:szCs w:val="22"/>
          <w:lang w:val="en-US"/>
        </w:rPr>
        <w:t>.</w:t>
      </w:r>
    </w:p>
    <w:p w14:paraId="53E4AEB7" w14:textId="0E8D8A82" w:rsidR="00FA2E9A" w:rsidRDefault="00FA2E9A" w:rsidP="2D0D95AE">
      <w:pPr>
        <w:spacing w:afterLines="80" w:after="192" w:line="360" w:lineRule="auto"/>
        <w:jc w:val="both"/>
        <w:rPr>
          <w:rFonts w:ascii="Georgia" w:hAnsi="Georgia"/>
          <w:sz w:val="22"/>
          <w:szCs w:val="22"/>
          <w:lang w:val="en-US"/>
        </w:rPr>
      </w:pPr>
      <w:r w:rsidRPr="2D0D95AE">
        <w:rPr>
          <w:rFonts w:ascii="Georgia" w:hAnsi="Georgia"/>
          <w:sz w:val="22"/>
          <w:szCs w:val="22"/>
          <w:lang w:val="en-US"/>
        </w:rPr>
        <w:t xml:space="preserve">Daarnaast wil ik ook de vakgroep middeleeuwen bedanken voor de vele feedback en de leuke activiteiten naast het thesissen. Bij uitstek het mooiste tijdvak! In het bijzonder wil ik professor Delameillieure bedanken, die me doorheen de sessies en feedbackmomenten mee heeft geholpen. Ook een speciale dank </w:t>
      </w:r>
      <w:r w:rsidR="00D43D01" w:rsidRPr="2D0D95AE">
        <w:rPr>
          <w:rFonts w:ascii="Georgia" w:hAnsi="Georgia"/>
          <w:sz w:val="22"/>
          <w:szCs w:val="22"/>
          <w:lang w:val="en-US"/>
        </w:rPr>
        <w:t>aan Stefan en het team van</w:t>
      </w:r>
      <w:r w:rsidRPr="2D0D95AE">
        <w:rPr>
          <w:rFonts w:ascii="Georgia" w:hAnsi="Georgia"/>
          <w:sz w:val="22"/>
          <w:szCs w:val="22"/>
          <w:lang w:val="en-US"/>
        </w:rPr>
        <w:t xml:space="preserve"> de IBL-dienst van de Centrale bibliotheek. Op ongekende snelheid hielpen ze mij telkens verder.</w:t>
      </w:r>
    </w:p>
    <w:p w14:paraId="66AA2516" w14:textId="638F0375" w:rsidR="00A0675C" w:rsidRDefault="00A0675C" w:rsidP="2D0D95AE">
      <w:pPr>
        <w:spacing w:afterLines="80" w:after="192" w:line="360" w:lineRule="auto"/>
        <w:jc w:val="both"/>
        <w:rPr>
          <w:rFonts w:ascii="Georgia" w:hAnsi="Georgia"/>
          <w:sz w:val="22"/>
          <w:szCs w:val="22"/>
          <w:lang w:val="en-US"/>
        </w:rPr>
      </w:pPr>
      <w:r w:rsidRPr="2D0D95AE">
        <w:rPr>
          <w:rFonts w:ascii="Georgia" w:hAnsi="Georgia"/>
          <w:sz w:val="22"/>
          <w:szCs w:val="22"/>
          <w:lang w:val="en-US"/>
        </w:rPr>
        <w:t>Verder wil ik ook Bompa bedanken. Van Guillaume d'Aquitaine</w:t>
      </w:r>
      <w:r w:rsidR="00D43D01" w:rsidRPr="2D0D95AE">
        <w:rPr>
          <w:rFonts w:ascii="Georgia" w:hAnsi="Georgia"/>
          <w:sz w:val="22"/>
          <w:szCs w:val="22"/>
          <w:lang w:val="en-US"/>
        </w:rPr>
        <w:t xml:space="preserve"> in </w:t>
      </w:r>
      <w:r w:rsidR="003B7D88" w:rsidRPr="2D0D95AE">
        <w:rPr>
          <w:rFonts w:ascii="Georgia" w:hAnsi="Georgia"/>
          <w:sz w:val="22"/>
          <w:szCs w:val="22"/>
          <w:lang w:val="en-US"/>
        </w:rPr>
        <w:t>1971</w:t>
      </w:r>
      <w:r w:rsidRPr="2D0D95AE">
        <w:rPr>
          <w:rFonts w:ascii="Georgia" w:hAnsi="Georgia"/>
          <w:sz w:val="22"/>
          <w:szCs w:val="22"/>
          <w:lang w:val="en-US"/>
        </w:rPr>
        <w:t xml:space="preserve"> tot Johanna van Brabant</w:t>
      </w:r>
      <w:r w:rsidR="003B7D88" w:rsidRPr="2D0D95AE">
        <w:rPr>
          <w:rFonts w:ascii="Georgia" w:hAnsi="Georgia"/>
          <w:sz w:val="22"/>
          <w:szCs w:val="22"/>
          <w:lang w:val="en-US"/>
        </w:rPr>
        <w:t xml:space="preserve"> in 2025</w:t>
      </w:r>
      <w:r w:rsidRPr="2D0D95AE">
        <w:rPr>
          <w:rFonts w:ascii="Georgia" w:hAnsi="Georgia"/>
          <w:sz w:val="22"/>
          <w:szCs w:val="22"/>
          <w:lang w:val="en-US"/>
        </w:rPr>
        <w:t xml:space="preserve">, wat een </w:t>
      </w:r>
      <w:r w:rsidR="00D43D01" w:rsidRPr="2D0D95AE">
        <w:rPr>
          <w:rFonts w:ascii="Georgia" w:hAnsi="Georgia"/>
          <w:sz w:val="22"/>
          <w:szCs w:val="22"/>
          <w:lang w:val="en-US"/>
        </w:rPr>
        <w:t xml:space="preserve">middeleeuws </w:t>
      </w:r>
      <w:r w:rsidRPr="2D0D95AE">
        <w:rPr>
          <w:rFonts w:ascii="Georgia" w:hAnsi="Georgia"/>
          <w:sz w:val="22"/>
          <w:szCs w:val="22"/>
          <w:lang w:val="en-US"/>
        </w:rPr>
        <w:t>traject hebben we al samen afgelegd. En Bommoe moest dit allemaal aanhoren, maar was doorheen heel dit proces mijn trouwste fan. Ook dankjewel aan moeke en vake, om er altijd voor mij te zijn en mij zo door en door te steunen.</w:t>
      </w:r>
      <w:r w:rsidR="003B7D88" w:rsidRPr="2D0D95AE">
        <w:rPr>
          <w:rFonts w:ascii="Georgia" w:hAnsi="Georgia"/>
          <w:sz w:val="22"/>
          <w:szCs w:val="22"/>
          <w:lang w:val="en-US"/>
        </w:rPr>
        <w:t xml:space="preserve"> </w:t>
      </w:r>
    </w:p>
    <w:p w14:paraId="380CCA7A" w14:textId="1502BACC" w:rsidR="00B87140" w:rsidRDefault="00A0675C" w:rsidP="2D0D95AE">
      <w:pPr>
        <w:spacing w:afterLines="80" w:after="192" w:line="360" w:lineRule="auto"/>
        <w:jc w:val="both"/>
        <w:rPr>
          <w:rFonts w:ascii="Georgia" w:hAnsi="Georgia"/>
          <w:sz w:val="22"/>
          <w:szCs w:val="22"/>
          <w:lang w:val="en-US"/>
        </w:rPr>
      </w:pPr>
      <w:r w:rsidRPr="2D0D95AE">
        <w:rPr>
          <w:rFonts w:ascii="Georgia" w:hAnsi="Georgia"/>
          <w:sz w:val="22"/>
          <w:szCs w:val="22"/>
          <w:lang w:val="en-US"/>
        </w:rPr>
        <w:t>Ik schrijf over een sterke dame, en daarom wil ik ook mijn favoriete dames bedanken. Nele, Anneleen en Iris, al sinds mijn eerste jaar zijn jullie van de partij</w:t>
      </w:r>
      <w:r w:rsidR="00757CC6" w:rsidRPr="2D0D95AE">
        <w:rPr>
          <w:rFonts w:ascii="Georgia" w:hAnsi="Georgia"/>
          <w:sz w:val="22"/>
          <w:szCs w:val="22"/>
          <w:lang w:val="en-US"/>
        </w:rPr>
        <w:t xml:space="preserve"> </w:t>
      </w:r>
      <w:r w:rsidRPr="2D0D95AE">
        <w:rPr>
          <w:rFonts w:ascii="Georgia" w:hAnsi="Georgia"/>
          <w:sz w:val="22"/>
          <w:szCs w:val="22"/>
          <w:lang w:val="en-US"/>
        </w:rPr>
        <w:t xml:space="preserve">en kan ik keer op keer op jullie </w:t>
      </w:r>
      <w:r w:rsidR="00EB4CFF" w:rsidRPr="2D0D95AE">
        <w:rPr>
          <w:rFonts w:ascii="Georgia" w:hAnsi="Georgia"/>
          <w:sz w:val="22"/>
          <w:szCs w:val="22"/>
          <w:lang w:val="en-US"/>
        </w:rPr>
        <w:t>rekenen</w:t>
      </w:r>
      <w:r w:rsidRPr="2D0D95AE">
        <w:rPr>
          <w:rFonts w:ascii="Georgia" w:hAnsi="Georgia"/>
          <w:sz w:val="22"/>
          <w:szCs w:val="22"/>
          <w:lang w:val="en-US"/>
        </w:rPr>
        <w:t>. Wat zou ik toch zonder jullie zijn. En uiteraard ook Mette</w:t>
      </w:r>
      <w:r w:rsidR="00B87140" w:rsidRPr="2D0D95AE">
        <w:rPr>
          <w:rFonts w:ascii="Georgia" w:hAnsi="Georgia"/>
          <w:sz w:val="22"/>
          <w:szCs w:val="22"/>
          <w:lang w:val="en-US"/>
        </w:rPr>
        <w:t>(ken)</w:t>
      </w:r>
      <w:r w:rsidRPr="2D0D95AE">
        <w:rPr>
          <w:rFonts w:ascii="Georgia" w:hAnsi="Georgia"/>
          <w:sz w:val="22"/>
          <w:szCs w:val="22"/>
          <w:lang w:val="en-US"/>
        </w:rPr>
        <w:t>, mijn middeleeuwse partner in crime</w:t>
      </w:r>
      <w:r w:rsidR="00B87140" w:rsidRPr="2D0D95AE">
        <w:rPr>
          <w:rFonts w:ascii="Georgia" w:hAnsi="Georgia"/>
          <w:sz w:val="22"/>
          <w:szCs w:val="22"/>
          <w:lang w:val="en-US"/>
        </w:rPr>
        <w:t xml:space="preserve"> sinds dat seminarie in het eerstejaar. Ik volg </w:t>
      </w:r>
      <w:r w:rsidR="00732E26" w:rsidRPr="2D0D95AE">
        <w:rPr>
          <w:rFonts w:ascii="Georgia" w:hAnsi="Georgia"/>
          <w:sz w:val="22"/>
          <w:szCs w:val="22"/>
          <w:lang w:val="en-US"/>
        </w:rPr>
        <w:t>je</w:t>
      </w:r>
      <w:r w:rsidR="00B87140" w:rsidRPr="2D0D95AE">
        <w:rPr>
          <w:rFonts w:ascii="Georgia" w:hAnsi="Georgia"/>
          <w:sz w:val="22"/>
          <w:szCs w:val="22"/>
          <w:lang w:val="en-US"/>
        </w:rPr>
        <w:t xml:space="preserve"> overal naartoe, tot Dublin en terug!</w:t>
      </w:r>
    </w:p>
    <w:p w14:paraId="091CED23" w14:textId="025CD24F" w:rsidR="00A0675C" w:rsidRPr="00A0675C" w:rsidRDefault="00A0675C" w:rsidP="2D0D95AE">
      <w:pPr>
        <w:spacing w:afterLines="80" w:after="192" w:line="360" w:lineRule="auto"/>
        <w:jc w:val="both"/>
        <w:rPr>
          <w:rFonts w:ascii="Georgia" w:hAnsi="Georgia"/>
          <w:sz w:val="22"/>
          <w:szCs w:val="22"/>
          <w:lang w:val="en-US"/>
        </w:rPr>
      </w:pPr>
      <w:r w:rsidRPr="2D0D95AE">
        <w:rPr>
          <w:rFonts w:ascii="Georgia" w:hAnsi="Georgia"/>
          <w:sz w:val="22"/>
          <w:szCs w:val="22"/>
          <w:lang w:val="en-US"/>
        </w:rPr>
        <w:t xml:space="preserve">Het mooiste dat ik uit deze opleiding heb meegekregen, ben jij, Jan. Dankjewel om er altijd voor mij te zijn en mij op te vangen wanneer het moeilijk </w:t>
      </w:r>
      <w:r w:rsidR="00EB4CFF" w:rsidRPr="2D0D95AE">
        <w:rPr>
          <w:rFonts w:ascii="Georgia" w:hAnsi="Georgia"/>
          <w:sz w:val="22"/>
          <w:szCs w:val="22"/>
          <w:lang w:val="en-US"/>
        </w:rPr>
        <w:t>gaat</w:t>
      </w:r>
      <w:r w:rsidRPr="2D0D95AE">
        <w:rPr>
          <w:rFonts w:ascii="Georgia" w:hAnsi="Georgia"/>
          <w:sz w:val="22"/>
          <w:szCs w:val="22"/>
          <w:lang w:val="en-US"/>
        </w:rPr>
        <w:t>. Jij haalt mijn hoofd uit het verleden en richt het op de toekomst. Ik zie je graag.</w:t>
      </w:r>
    </w:p>
    <w:p w14:paraId="35C2136F" w14:textId="77777777" w:rsidR="00A0675C" w:rsidRPr="00A0675C" w:rsidRDefault="00A0675C" w:rsidP="00A0675C">
      <w:pPr>
        <w:spacing w:afterLines="80" w:after="192" w:line="360" w:lineRule="auto"/>
        <w:jc w:val="both"/>
        <w:rPr>
          <w:rFonts w:ascii="Georgia" w:hAnsi="Georgia"/>
          <w:sz w:val="22"/>
          <w:szCs w:val="22"/>
        </w:rPr>
      </w:pPr>
    </w:p>
    <w:p w14:paraId="3C1EA800" w14:textId="77777777" w:rsidR="00A0675C" w:rsidRPr="00A0675C" w:rsidRDefault="00A0675C" w:rsidP="00A0675C">
      <w:pPr>
        <w:spacing w:afterLines="80" w:after="192" w:line="360" w:lineRule="auto"/>
        <w:jc w:val="both"/>
        <w:rPr>
          <w:rFonts w:ascii="Georgia" w:hAnsi="Georgia"/>
          <w:sz w:val="22"/>
          <w:szCs w:val="22"/>
        </w:rPr>
      </w:pPr>
    </w:p>
    <w:p w14:paraId="6BDCEAF6" w14:textId="77777777" w:rsidR="00A0675C" w:rsidRPr="00A0675C" w:rsidRDefault="00A0675C" w:rsidP="00A0675C">
      <w:pPr>
        <w:spacing w:afterLines="80" w:after="192" w:line="360" w:lineRule="auto"/>
        <w:jc w:val="both"/>
        <w:rPr>
          <w:rFonts w:ascii="Georgia" w:hAnsi="Georgia"/>
          <w:sz w:val="22"/>
          <w:szCs w:val="22"/>
        </w:rPr>
      </w:pPr>
    </w:p>
    <w:p w14:paraId="113B5DC7" w14:textId="77777777" w:rsidR="00A0675C" w:rsidRPr="00A0675C" w:rsidRDefault="00A0675C" w:rsidP="00A0675C">
      <w:pPr>
        <w:spacing w:afterLines="80" w:after="192" w:line="360" w:lineRule="auto"/>
        <w:jc w:val="both"/>
        <w:rPr>
          <w:rFonts w:ascii="Georgia" w:hAnsi="Georgia"/>
          <w:sz w:val="22"/>
          <w:szCs w:val="22"/>
        </w:rPr>
      </w:pPr>
    </w:p>
    <w:p w14:paraId="285DB0C2" w14:textId="77777777" w:rsidR="00A0675C" w:rsidRPr="00A0675C" w:rsidRDefault="00A0675C" w:rsidP="00A0675C">
      <w:pPr>
        <w:spacing w:afterLines="80" w:after="192" w:line="360" w:lineRule="auto"/>
        <w:jc w:val="both"/>
        <w:rPr>
          <w:rFonts w:ascii="Georgia" w:hAnsi="Georgia"/>
          <w:sz w:val="22"/>
          <w:szCs w:val="22"/>
        </w:rPr>
      </w:pPr>
    </w:p>
    <w:p w14:paraId="10B623C8" w14:textId="77777777" w:rsidR="001B1307" w:rsidRDefault="001B1307" w:rsidP="00AF51FA">
      <w:pPr>
        <w:keepNext/>
        <w:spacing w:line="278" w:lineRule="auto"/>
        <w:jc w:val="center"/>
        <w:rPr>
          <w:rFonts w:ascii="Georgia" w:hAnsi="Georgia"/>
          <w:sz w:val="22"/>
          <w:szCs w:val="22"/>
          <w:lang w:val="nl-NL"/>
        </w:rPr>
        <w:sectPr w:rsidR="001B1307" w:rsidSect="00D729FC">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0" w:footer="0" w:gutter="0"/>
          <w:cols w:space="708"/>
          <w:titlePg/>
          <w:docGrid w:linePitch="360"/>
        </w:sectPr>
      </w:pPr>
    </w:p>
    <w:p w14:paraId="58CC3B5A" w14:textId="77777777" w:rsidR="00A06873" w:rsidRDefault="00A06873" w:rsidP="007D268D">
      <w:pPr>
        <w:keepNext/>
        <w:spacing w:line="278" w:lineRule="auto"/>
        <w:jc w:val="center"/>
      </w:pPr>
      <w:r>
        <w:rPr>
          <w:rFonts w:ascii="Georgia" w:hAnsi="Georgia"/>
          <w:sz w:val="22"/>
          <w:szCs w:val="22"/>
          <w:lang w:val="nl-NL"/>
        </w:rPr>
        <w:lastRenderedPageBreak/>
        <w:br w:type="page"/>
      </w:r>
      <w:r>
        <w:rPr>
          <w:rFonts w:ascii="Georgia" w:hAnsi="Georgia"/>
          <w:noProof/>
          <w:sz w:val="22"/>
          <w:szCs w:val="22"/>
          <w:lang w:val="nl-NL"/>
          <w14:ligatures w14:val="standardContextual"/>
        </w:rPr>
        <w:lastRenderedPageBreak/>
        <w:drawing>
          <wp:inline distT="0" distB="0" distL="0" distR="0" wp14:anchorId="3131AECE" wp14:editId="6A0958A2">
            <wp:extent cx="5193323" cy="7821930"/>
            <wp:effectExtent l="0" t="0" r="1270" b="1270"/>
            <wp:docPr id="444116508" name="Picture 8" descr="A painting of a person shaking hands to a crowd of peop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4116508" name="Picture 8" descr="A painting of a person shaking hands to a crowd of people&#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209529" cy="7846339"/>
                    </a:xfrm>
                    <a:prstGeom prst="rect">
                      <a:avLst/>
                    </a:prstGeom>
                  </pic:spPr>
                </pic:pic>
              </a:graphicData>
            </a:graphic>
          </wp:inline>
        </w:drawing>
      </w:r>
    </w:p>
    <w:p w14:paraId="2E0DCBAE" w14:textId="5C88D1B9" w:rsidR="00A06873" w:rsidRPr="008A42D1" w:rsidRDefault="00A06873" w:rsidP="2D0D95AE">
      <w:pPr>
        <w:pStyle w:val="Caption"/>
        <w:spacing w:before="40" w:after="0"/>
        <w:jc w:val="center"/>
        <w:rPr>
          <w:b/>
          <w:bCs/>
          <w:color w:val="000000"/>
          <w:lang w:val="en-US"/>
        </w:rPr>
      </w:pPr>
      <w:bookmarkStart w:id="1" w:name="_Toc231462581"/>
      <w:r w:rsidRPr="2D0D95AE">
        <w:rPr>
          <w:b/>
          <w:bCs/>
          <w:color w:val="000000" w:themeColor="text1"/>
          <w:lang w:val="en-US"/>
        </w:rPr>
        <w:t xml:space="preserve">Figuur </w:t>
      </w:r>
      <w:r w:rsidRPr="2D0D95AE">
        <w:rPr>
          <w:b/>
          <w:bCs/>
          <w:color w:val="000000" w:themeColor="text1"/>
        </w:rPr>
        <w:fldChar w:fldCharType="begin"/>
      </w:r>
      <w:r w:rsidRPr="2D0D95AE">
        <w:rPr>
          <w:b/>
          <w:bCs/>
          <w:color w:val="000000" w:themeColor="text1"/>
        </w:rPr>
        <w:instrText xml:space="preserve"> SEQ Figuur \* ARABIC </w:instrText>
      </w:r>
      <w:r w:rsidRPr="2D0D95AE">
        <w:rPr>
          <w:b/>
          <w:bCs/>
          <w:color w:val="000000" w:themeColor="text1"/>
        </w:rPr>
        <w:fldChar w:fldCharType="separate"/>
      </w:r>
      <w:r w:rsidR="00F83A3D">
        <w:rPr>
          <w:b/>
          <w:bCs/>
          <w:noProof/>
          <w:color w:val="000000" w:themeColor="text1"/>
        </w:rPr>
        <w:t>1</w:t>
      </w:r>
      <w:r w:rsidRPr="2D0D95AE">
        <w:rPr>
          <w:b/>
          <w:bCs/>
          <w:color w:val="000000" w:themeColor="text1"/>
        </w:rPr>
        <w:fldChar w:fldCharType="end"/>
      </w:r>
      <w:r w:rsidRPr="2D0D95AE">
        <w:rPr>
          <w:b/>
          <w:bCs/>
          <w:color w:val="000000" w:themeColor="text1"/>
          <w:lang w:val="en-US"/>
        </w:rPr>
        <w:t>: De Blijde Inkomst van Johanna en Wenceslas in 1356</w:t>
      </w:r>
      <w:bookmarkEnd w:id="1"/>
      <w:r w:rsidRPr="2D0D95AE">
        <w:rPr>
          <w:b/>
          <w:bCs/>
          <w:color w:val="000000" w:themeColor="text1"/>
          <w:lang w:val="en-US"/>
        </w:rPr>
        <w:t xml:space="preserve"> </w:t>
      </w:r>
    </w:p>
    <w:p w14:paraId="624B9FD6" w14:textId="77777777" w:rsidR="00A06873" w:rsidRPr="008A42D1" w:rsidRDefault="00A06873" w:rsidP="008A42D1">
      <w:pPr>
        <w:pStyle w:val="Caption"/>
        <w:spacing w:after="0"/>
        <w:jc w:val="center"/>
        <w:rPr>
          <w:rFonts w:ascii="Georgia" w:hAnsi="Georgia" w:cs="Calibri"/>
          <w:color w:val="000000"/>
          <w:szCs w:val="22"/>
          <w:lang w:val="nl-NL"/>
        </w:rPr>
      </w:pPr>
      <w:r w:rsidRPr="008A42D1">
        <w:rPr>
          <w:color w:val="000000"/>
        </w:rPr>
        <w:t>Schilderij door Antoon Derkinderen, 1884. 's Hertogenbosch, Noordbrabants Museum</w:t>
      </w:r>
    </w:p>
    <w:p w14:paraId="0A3FB57A" w14:textId="77777777" w:rsidR="00A06873" w:rsidRPr="008A42D1" w:rsidRDefault="00A06873" w:rsidP="008A42D1">
      <w:pPr>
        <w:spacing w:afterLines="80" w:after="192" w:line="360" w:lineRule="auto"/>
        <w:rPr>
          <w:rFonts w:ascii="Georgia" w:hAnsi="Georgia"/>
          <w:sz w:val="2"/>
          <w:szCs w:val="22"/>
          <w:lang w:val="nl-NL"/>
        </w:rPr>
      </w:pPr>
    </w:p>
    <w:p w14:paraId="4921CFE7" w14:textId="77777777" w:rsidR="00A06873" w:rsidRPr="008A42D1" w:rsidRDefault="00A06873" w:rsidP="008A42D1">
      <w:pPr>
        <w:pStyle w:val="ThesisSection"/>
        <w:pBdr>
          <w:bottom w:val="single" w:sz="4" w:space="1" w:color="auto"/>
        </w:pBdr>
        <w:spacing w:before="0" w:after="0"/>
        <w:rPr>
          <w:sz w:val="2"/>
        </w:rPr>
        <w:sectPr w:rsidR="00A06873" w:rsidRPr="008A42D1" w:rsidSect="00A06873">
          <w:pgSz w:w="11906" w:h="16838"/>
          <w:pgMar w:top="1440" w:right="1440" w:bottom="1440" w:left="1440" w:header="0" w:footer="0" w:gutter="0"/>
          <w:cols w:space="708"/>
          <w:titlePg/>
          <w:docGrid w:linePitch="360"/>
        </w:sectPr>
      </w:pPr>
    </w:p>
    <w:p w14:paraId="42534986" w14:textId="579637CC" w:rsidR="00347160" w:rsidRPr="00BB06BE" w:rsidRDefault="002A5C26" w:rsidP="00BB06BE">
      <w:pPr>
        <w:pStyle w:val="ThesisSection"/>
        <w:pBdr>
          <w:bottom w:val="single" w:sz="4" w:space="1" w:color="auto"/>
        </w:pBdr>
        <w:spacing w:after="0"/>
      </w:pPr>
      <w:r w:rsidRPr="00BB06BE">
        <w:lastRenderedPageBreak/>
        <w:br w:type="page"/>
      </w:r>
      <w:bookmarkStart w:id="2" w:name="_Toc231153747"/>
      <w:bookmarkStart w:id="3" w:name="_Toc231329822"/>
      <w:bookmarkStart w:id="4" w:name="_Toc231330429"/>
      <w:bookmarkStart w:id="5" w:name="_Toc231428023"/>
      <w:bookmarkStart w:id="6" w:name="_Toc231463597"/>
      <w:proofErr w:type="spellStart"/>
      <w:r w:rsidR="00565AFD" w:rsidRPr="00BB06BE">
        <w:lastRenderedPageBreak/>
        <w:t>Inleiding</w:t>
      </w:r>
      <w:proofErr w:type="spellEnd"/>
      <w:r w:rsidR="00565AFD" w:rsidRPr="00BB06BE">
        <w:t xml:space="preserve">: </w:t>
      </w:r>
      <w:proofErr w:type="spellStart"/>
      <w:r w:rsidR="00565AFD" w:rsidRPr="00BB06BE">
        <w:t>een</w:t>
      </w:r>
      <w:proofErr w:type="spellEnd"/>
      <w:r w:rsidR="00565AFD" w:rsidRPr="00BB06BE">
        <w:t xml:space="preserve"> </w:t>
      </w:r>
      <w:proofErr w:type="spellStart"/>
      <w:r w:rsidR="00565AFD" w:rsidRPr="00BB06BE">
        <w:t>Braban</w:t>
      </w:r>
      <w:r w:rsidR="0075534E" w:rsidRPr="00BB06BE">
        <w:t>ts</w:t>
      </w:r>
      <w:r w:rsidR="00565AFD" w:rsidRPr="00BB06BE">
        <w:t>e</w:t>
      </w:r>
      <w:proofErr w:type="spellEnd"/>
      <w:r w:rsidR="00565AFD" w:rsidRPr="00BB06BE">
        <w:t xml:space="preserve"> </w:t>
      </w:r>
      <w:proofErr w:type="spellStart"/>
      <w:r w:rsidR="00565AFD" w:rsidRPr="00BB06BE">
        <w:t>hertogin</w:t>
      </w:r>
      <w:proofErr w:type="spellEnd"/>
      <w:r w:rsidR="00565AFD" w:rsidRPr="00BB06BE">
        <w:t>?</w:t>
      </w:r>
      <w:bookmarkEnd w:id="2"/>
      <w:bookmarkEnd w:id="3"/>
      <w:bookmarkEnd w:id="4"/>
      <w:bookmarkEnd w:id="5"/>
      <w:bookmarkEnd w:id="6"/>
    </w:p>
    <w:p w14:paraId="103868E2" w14:textId="77777777" w:rsidR="00347160" w:rsidRPr="00C140A8" w:rsidRDefault="00347160" w:rsidP="00BB06BE">
      <w:pPr>
        <w:spacing w:before="240" w:afterLines="80" w:after="192" w:line="276" w:lineRule="auto"/>
        <w:jc w:val="both"/>
        <w:rPr>
          <w:rFonts w:ascii="Georgia" w:hAnsi="Georgia" w:cs="Calibri"/>
          <w:i/>
          <w:iCs/>
          <w:sz w:val="22"/>
          <w:szCs w:val="22"/>
          <w:lang w:val="nl-NL"/>
        </w:rPr>
      </w:pPr>
      <w:r w:rsidRPr="00C140A8">
        <w:rPr>
          <w:rFonts w:ascii="Georgia" w:hAnsi="Georgia" w:cs="Calibri"/>
          <w:i/>
          <w:iCs/>
          <w:sz w:val="22"/>
          <w:szCs w:val="22"/>
          <w:lang w:val="nl-NL"/>
        </w:rPr>
        <w:t xml:space="preserve">Bi </w:t>
      </w:r>
      <w:proofErr w:type="spellStart"/>
      <w:r w:rsidRPr="00C140A8">
        <w:rPr>
          <w:rFonts w:ascii="Georgia" w:hAnsi="Georgia" w:cs="Calibri"/>
          <w:i/>
          <w:iCs/>
          <w:sz w:val="22"/>
          <w:szCs w:val="22"/>
          <w:lang w:val="nl-NL"/>
        </w:rPr>
        <w:t>wetene</w:t>
      </w:r>
      <w:proofErr w:type="spellEnd"/>
      <w:r w:rsidRPr="00C140A8">
        <w:rPr>
          <w:rFonts w:ascii="Georgia" w:hAnsi="Georgia" w:cs="Calibri"/>
          <w:i/>
          <w:iCs/>
          <w:sz w:val="22"/>
          <w:szCs w:val="22"/>
          <w:lang w:val="nl-NL"/>
        </w:rPr>
        <w:t xml:space="preserve"> ende </w:t>
      </w:r>
      <w:proofErr w:type="spellStart"/>
      <w:r w:rsidRPr="00C140A8">
        <w:rPr>
          <w:rFonts w:ascii="Georgia" w:hAnsi="Georgia" w:cs="Calibri"/>
          <w:i/>
          <w:iCs/>
          <w:sz w:val="22"/>
          <w:szCs w:val="22"/>
          <w:lang w:val="nl-NL"/>
        </w:rPr>
        <w:t>oec</w:t>
      </w:r>
      <w:proofErr w:type="spellEnd"/>
      <w:r w:rsidRPr="00C140A8">
        <w:rPr>
          <w:rFonts w:ascii="Georgia" w:hAnsi="Georgia" w:cs="Calibri"/>
          <w:i/>
          <w:iCs/>
          <w:sz w:val="22"/>
          <w:szCs w:val="22"/>
          <w:lang w:val="nl-NL"/>
        </w:rPr>
        <w:t xml:space="preserve"> bi rade</w:t>
      </w:r>
    </w:p>
    <w:p w14:paraId="5F1C595A" w14:textId="77777777" w:rsidR="00347160" w:rsidRPr="00C140A8" w:rsidRDefault="00347160" w:rsidP="003D1218">
      <w:pPr>
        <w:spacing w:afterLines="80" w:after="192" w:line="276" w:lineRule="auto"/>
        <w:jc w:val="both"/>
        <w:rPr>
          <w:rFonts w:ascii="Georgia" w:hAnsi="Georgia" w:cs="Calibri"/>
          <w:i/>
          <w:iCs/>
          <w:sz w:val="22"/>
          <w:szCs w:val="22"/>
          <w:lang w:val="nl-NL"/>
        </w:rPr>
      </w:pPr>
      <w:r w:rsidRPr="00C140A8">
        <w:rPr>
          <w:rFonts w:ascii="Georgia" w:hAnsi="Georgia" w:cs="Calibri"/>
          <w:i/>
          <w:iCs/>
          <w:sz w:val="22"/>
          <w:szCs w:val="22"/>
          <w:lang w:val="nl-NL"/>
        </w:rPr>
        <w:t xml:space="preserve">Van </w:t>
      </w:r>
      <w:proofErr w:type="spellStart"/>
      <w:r w:rsidRPr="00C140A8">
        <w:rPr>
          <w:rFonts w:ascii="Georgia" w:hAnsi="Georgia" w:cs="Calibri"/>
          <w:i/>
          <w:iCs/>
          <w:sz w:val="22"/>
          <w:szCs w:val="22"/>
          <w:lang w:val="nl-NL"/>
        </w:rPr>
        <w:t>vrou</w:t>
      </w:r>
      <w:proofErr w:type="spellEnd"/>
      <w:r w:rsidRPr="00C140A8">
        <w:rPr>
          <w:rFonts w:ascii="Georgia" w:hAnsi="Georgia" w:cs="Calibri"/>
          <w:i/>
          <w:iCs/>
          <w:sz w:val="22"/>
          <w:szCs w:val="22"/>
          <w:lang w:val="nl-NL"/>
        </w:rPr>
        <w:t xml:space="preserve"> </w:t>
      </w:r>
      <w:proofErr w:type="spellStart"/>
      <w:r w:rsidRPr="00C140A8">
        <w:rPr>
          <w:rFonts w:ascii="Georgia" w:hAnsi="Georgia" w:cs="Calibri"/>
          <w:i/>
          <w:iCs/>
          <w:sz w:val="22"/>
          <w:szCs w:val="22"/>
          <w:lang w:val="nl-NL"/>
        </w:rPr>
        <w:t>Johannen</w:t>
      </w:r>
      <w:proofErr w:type="spellEnd"/>
      <w:r w:rsidRPr="00C140A8">
        <w:rPr>
          <w:rFonts w:ascii="Georgia" w:hAnsi="Georgia" w:cs="Calibri"/>
          <w:i/>
          <w:iCs/>
          <w:sz w:val="22"/>
          <w:szCs w:val="22"/>
          <w:lang w:val="nl-NL"/>
        </w:rPr>
        <w:t xml:space="preserve">, in allen </w:t>
      </w:r>
      <w:proofErr w:type="spellStart"/>
      <w:r w:rsidRPr="00C140A8">
        <w:rPr>
          <w:rFonts w:ascii="Georgia" w:hAnsi="Georgia" w:cs="Calibri"/>
          <w:i/>
          <w:iCs/>
          <w:sz w:val="22"/>
          <w:szCs w:val="22"/>
          <w:lang w:val="nl-NL"/>
        </w:rPr>
        <w:t>sinnen</w:t>
      </w:r>
      <w:proofErr w:type="spellEnd"/>
      <w:r w:rsidRPr="00C140A8">
        <w:rPr>
          <w:rFonts w:ascii="Georgia" w:hAnsi="Georgia" w:cs="Calibri"/>
          <w:i/>
          <w:iCs/>
          <w:sz w:val="22"/>
          <w:szCs w:val="22"/>
          <w:lang w:val="nl-NL"/>
        </w:rPr>
        <w:t xml:space="preserve">, </w:t>
      </w:r>
    </w:p>
    <w:p w14:paraId="5D9CB4D3" w14:textId="77777777" w:rsidR="00347160" w:rsidRPr="00C140A8" w:rsidRDefault="00347160" w:rsidP="003D1218">
      <w:pPr>
        <w:spacing w:afterLines="80" w:after="192" w:line="276" w:lineRule="auto"/>
        <w:jc w:val="both"/>
        <w:rPr>
          <w:rFonts w:ascii="Georgia" w:hAnsi="Georgia" w:cs="Calibri"/>
          <w:i/>
          <w:iCs/>
          <w:sz w:val="22"/>
          <w:szCs w:val="22"/>
          <w:lang w:val="nl-NL"/>
        </w:rPr>
      </w:pPr>
      <w:proofErr w:type="spellStart"/>
      <w:r w:rsidRPr="00C140A8">
        <w:rPr>
          <w:rFonts w:ascii="Georgia" w:hAnsi="Georgia" w:cs="Calibri"/>
          <w:i/>
          <w:iCs/>
          <w:sz w:val="22"/>
          <w:szCs w:val="22"/>
          <w:lang w:val="nl-NL"/>
        </w:rPr>
        <w:t>Sijnre</w:t>
      </w:r>
      <w:proofErr w:type="spellEnd"/>
      <w:r w:rsidRPr="00C140A8">
        <w:rPr>
          <w:rFonts w:ascii="Georgia" w:hAnsi="Georgia" w:cs="Calibri"/>
          <w:i/>
          <w:iCs/>
          <w:sz w:val="22"/>
          <w:szCs w:val="22"/>
          <w:lang w:val="nl-NL"/>
        </w:rPr>
        <w:t xml:space="preserve"> liever </w:t>
      </w:r>
      <w:proofErr w:type="spellStart"/>
      <w:r w:rsidRPr="00C140A8">
        <w:rPr>
          <w:rFonts w:ascii="Georgia" w:hAnsi="Georgia" w:cs="Calibri"/>
          <w:i/>
          <w:iCs/>
          <w:sz w:val="22"/>
          <w:szCs w:val="22"/>
          <w:lang w:val="nl-NL"/>
        </w:rPr>
        <w:t>ghesellinnen</w:t>
      </w:r>
      <w:proofErr w:type="spellEnd"/>
      <w:r w:rsidRPr="00C140A8">
        <w:rPr>
          <w:rFonts w:ascii="Georgia" w:hAnsi="Georgia" w:cs="Calibri"/>
          <w:i/>
          <w:iCs/>
          <w:sz w:val="22"/>
          <w:szCs w:val="22"/>
          <w:lang w:val="nl-NL"/>
        </w:rPr>
        <w:t xml:space="preserve">, </w:t>
      </w:r>
    </w:p>
    <w:p w14:paraId="5FD1E867" w14:textId="77777777" w:rsidR="00347160" w:rsidRPr="00C140A8" w:rsidRDefault="00347160" w:rsidP="003D1218">
      <w:pPr>
        <w:spacing w:afterLines="80" w:after="192" w:line="276" w:lineRule="auto"/>
        <w:jc w:val="both"/>
        <w:rPr>
          <w:rFonts w:ascii="Georgia" w:hAnsi="Georgia" w:cs="Calibri"/>
          <w:i/>
          <w:iCs/>
          <w:sz w:val="22"/>
          <w:szCs w:val="22"/>
          <w:lang w:val="nl-NL"/>
        </w:rPr>
      </w:pPr>
      <w:r w:rsidRPr="00C140A8">
        <w:rPr>
          <w:rFonts w:ascii="Georgia" w:hAnsi="Georgia" w:cs="Calibri"/>
          <w:i/>
          <w:iCs/>
          <w:sz w:val="22"/>
          <w:szCs w:val="22"/>
          <w:lang w:val="nl-NL"/>
        </w:rPr>
        <w:t xml:space="preserve">In </w:t>
      </w:r>
      <w:proofErr w:type="spellStart"/>
      <w:r w:rsidRPr="00C140A8">
        <w:rPr>
          <w:rFonts w:ascii="Georgia" w:hAnsi="Georgia" w:cs="Calibri"/>
          <w:i/>
          <w:iCs/>
          <w:sz w:val="22"/>
          <w:szCs w:val="22"/>
          <w:lang w:val="nl-NL"/>
        </w:rPr>
        <w:t>sulker</w:t>
      </w:r>
      <w:proofErr w:type="spellEnd"/>
      <w:r w:rsidRPr="00C140A8">
        <w:rPr>
          <w:rFonts w:ascii="Georgia" w:hAnsi="Georgia" w:cs="Calibri"/>
          <w:i/>
          <w:iCs/>
          <w:sz w:val="22"/>
          <w:szCs w:val="22"/>
          <w:lang w:val="nl-NL"/>
        </w:rPr>
        <w:t xml:space="preserve"> voegen, </w:t>
      </w:r>
      <w:proofErr w:type="spellStart"/>
      <w:r w:rsidRPr="00C140A8">
        <w:rPr>
          <w:rFonts w:ascii="Georgia" w:hAnsi="Georgia" w:cs="Calibri"/>
          <w:i/>
          <w:iCs/>
          <w:sz w:val="22"/>
          <w:szCs w:val="22"/>
          <w:lang w:val="nl-NL"/>
        </w:rPr>
        <w:t>waert</w:t>
      </w:r>
      <w:proofErr w:type="spellEnd"/>
      <w:r w:rsidRPr="00C140A8">
        <w:rPr>
          <w:rFonts w:ascii="Georgia" w:hAnsi="Georgia" w:cs="Calibri"/>
          <w:i/>
          <w:iCs/>
          <w:sz w:val="22"/>
          <w:szCs w:val="22"/>
          <w:lang w:val="nl-NL"/>
        </w:rPr>
        <w:t xml:space="preserve"> dat sake</w:t>
      </w:r>
    </w:p>
    <w:p w14:paraId="12CDAAE3" w14:textId="77777777" w:rsidR="00347160" w:rsidRPr="00C140A8" w:rsidRDefault="00347160" w:rsidP="003D1218">
      <w:pPr>
        <w:spacing w:afterLines="80" w:after="192" w:line="276" w:lineRule="auto"/>
        <w:jc w:val="both"/>
        <w:rPr>
          <w:rFonts w:ascii="Georgia" w:hAnsi="Georgia" w:cs="Calibri"/>
          <w:i/>
          <w:iCs/>
          <w:sz w:val="22"/>
          <w:szCs w:val="22"/>
          <w:lang w:val="nl-NL"/>
        </w:rPr>
      </w:pPr>
      <w:r w:rsidRPr="00C140A8">
        <w:rPr>
          <w:rFonts w:ascii="Georgia" w:hAnsi="Georgia" w:cs="Calibri"/>
          <w:i/>
          <w:iCs/>
          <w:sz w:val="22"/>
          <w:szCs w:val="22"/>
          <w:lang w:val="nl-NL"/>
        </w:rPr>
        <w:t xml:space="preserve">Dat </w:t>
      </w:r>
      <w:proofErr w:type="spellStart"/>
      <w:r w:rsidRPr="00C140A8">
        <w:rPr>
          <w:rFonts w:ascii="Georgia" w:hAnsi="Georgia" w:cs="Calibri"/>
          <w:i/>
          <w:iCs/>
          <w:sz w:val="22"/>
          <w:szCs w:val="22"/>
          <w:lang w:val="nl-NL"/>
        </w:rPr>
        <w:t>vrou</w:t>
      </w:r>
      <w:proofErr w:type="spellEnd"/>
      <w:r w:rsidRPr="00C140A8">
        <w:rPr>
          <w:rFonts w:ascii="Georgia" w:hAnsi="Georgia" w:cs="Calibri"/>
          <w:i/>
          <w:iCs/>
          <w:sz w:val="22"/>
          <w:szCs w:val="22"/>
          <w:lang w:val="nl-NL"/>
        </w:rPr>
        <w:t xml:space="preserve"> </w:t>
      </w:r>
      <w:proofErr w:type="spellStart"/>
      <w:r w:rsidRPr="00C140A8">
        <w:rPr>
          <w:rFonts w:ascii="Georgia" w:hAnsi="Georgia" w:cs="Calibri"/>
          <w:i/>
          <w:iCs/>
          <w:sz w:val="22"/>
          <w:szCs w:val="22"/>
          <w:lang w:val="nl-NL"/>
        </w:rPr>
        <w:t>Johanne</w:t>
      </w:r>
      <w:proofErr w:type="spellEnd"/>
      <w:r w:rsidRPr="00C140A8">
        <w:rPr>
          <w:rFonts w:ascii="Georgia" w:hAnsi="Georgia" w:cs="Calibri"/>
          <w:i/>
          <w:iCs/>
          <w:sz w:val="22"/>
          <w:szCs w:val="22"/>
          <w:lang w:val="nl-NL"/>
        </w:rPr>
        <w:t xml:space="preserve"> </w:t>
      </w:r>
      <w:proofErr w:type="spellStart"/>
      <w:r w:rsidRPr="00C140A8">
        <w:rPr>
          <w:rFonts w:ascii="Georgia" w:hAnsi="Georgia" w:cs="Calibri"/>
          <w:i/>
          <w:iCs/>
          <w:sz w:val="22"/>
          <w:szCs w:val="22"/>
          <w:lang w:val="nl-NL"/>
        </w:rPr>
        <w:t>wedersprake</w:t>
      </w:r>
      <w:proofErr w:type="spellEnd"/>
      <w:r w:rsidRPr="00C140A8">
        <w:rPr>
          <w:rFonts w:ascii="Georgia" w:hAnsi="Georgia" w:cs="Calibri"/>
          <w:i/>
          <w:iCs/>
          <w:sz w:val="22"/>
          <w:szCs w:val="22"/>
          <w:lang w:val="nl-NL"/>
        </w:rPr>
        <w:t xml:space="preserve">, </w:t>
      </w:r>
    </w:p>
    <w:p w14:paraId="7721766A" w14:textId="77777777" w:rsidR="00347160" w:rsidRPr="00C140A8" w:rsidRDefault="00347160" w:rsidP="003D1218">
      <w:pPr>
        <w:spacing w:afterLines="80" w:after="192" w:line="276" w:lineRule="auto"/>
        <w:jc w:val="both"/>
        <w:rPr>
          <w:rFonts w:ascii="Georgia" w:hAnsi="Georgia" w:cs="Calibri"/>
          <w:i/>
          <w:iCs/>
          <w:sz w:val="22"/>
          <w:szCs w:val="22"/>
          <w:lang w:val="nl-NL"/>
        </w:rPr>
      </w:pPr>
      <w:r w:rsidRPr="00C140A8">
        <w:rPr>
          <w:rFonts w:ascii="Georgia" w:hAnsi="Georgia" w:cs="Calibri"/>
          <w:i/>
          <w:iCs/>
          <w:sz w:val="22"/>
          <w:szCs w:val="22"/>
          <w:lang w:val="nl-NL"/>
        </w:rPr>
        <w:t>Ende consenteren niet en wilde</w:t>
      </w:r>
    </w:p>
    <w:p w14:paraId="59C8CA4D" w14:textId="77777777" w:rsidR="00347160" w:rsidRPr="00C140A8" w:rsidRDefault="00347160" w:rsidP="003D1218">
      <w:pPr>
        <w:spacing w:afterLines="80" w:after="192" w:line="276" w:lineRule="auto"/>
        <w:jc w:val="both"/>
        <w:rPr>
          <w:rFonts w:ascii="Georgia" w:hAnsi="Georgia" w:cs="Calibri"/>
          <w:i/>
          <w:iCs/>
          <w:sz w:val="22"/>
          <w:szCs w:val="22"/>
          <w:lang w:val="nl-NL"/>
        </w:rPr>
      </w:pPr>
      <w:r w:rsidRPr="00C140A8">
        <w:rPr>
          <w:rFonts w:ascii="Georgia" w:hAnsi="Georgia" w:cs="Calibri"/>
          <w:i/>
          <w:iCs/>
          <w:sz w:val="22"/>
          <w:szCs w:val="22"/>
          <w:lang w:val="nl-NL"/>
        </w:rPr>
        <w:t xml:space="preserve">die administratie, ende </w:t>
      </w:r>
      <w:proofErr w:type="spellStart"/>
      <w:r w:rsidRPr="00C140A8">
        <w:rPr>
          <w:rFonts w:ascii="Georgia" w:hAnsi="Georgia" w:cs="Calibri"/>
          <w:i/>
          <w:iCs/>
          <w:sz w:val="22"/>
          <w:szCs w:val="22"/>
          <w:lang w:val="nl-NL"/>
        </w:rPr>
        <w:t>teghen</w:t>
      </w:r>
      <w:proofErr w:type="spellEnd"/>
      <w:r w:rsidRPr="00C140A8">
        <w:rPr>
          <w:rFonts w:ascii="Georgia" w:hAnsi="Georgia" w:cs="Calibri"/>
          <w:i/>
          <w:iCs/>
          <w:sz w:val="22"/>
          <w:szCs w:val="22"/>
          <w:lang w:val="nl-NL"/>
        </w:rPr>
        <w:t xml:space="preserve"> </w:t>
      </w:r>
      <w:proofErr w:type="spellStart"/>
      <w:r w:rsidRPr="00C140A8">
        <w:rPr>
          <w:rFonts w:ascii="Georgia" w:hAnsi="Georgia" w:cs="Calibri"/>
          <w:i/>
          <w:iCs/>
          <w:sz w:val="22"/>
          <w:szCs w:val="22"/>
          <w:lang w:val="nl-NL"/>
        </w:rPr>
        <w:t>hilde</w:t>
      </w:r>
      <w:proofErr w:type="spellEnd"/>
    </w:p>
    <w:p w14:paraId="0705C750" w14:textId="77777777" w:rsidR="00347160" w:rsidRPr="00C140A8" w:rsidRDefault="00347160" w:rsidP="003D1218">
      <w:pPr>
        <w:spacing w:afterLines="80" w:after="192" w:line="276" w:lineRule="auto"/>
        <w:jc w:val="both"/>
        <w:rPr>
          <w:rFonts w:ascii="Georgia" w:hAnsi="Georgia" w:cs="Calibri"/>
          <w:i/>
          <w:iCs/>
          <w:sz w:val="22"/>
          <w:szCs w:val="22"/>
          <w:lang w:val="nl-NL"/>
        </w:rPr>
      </w:pPr>
      <w:r w:rsidRPr="00C140A8">
        <w:rPr>
          <w:rFonts w:ascii="Georgia" w:hAnsi="Georgia" w:cs="Calibri"/>
          <w:i/>
          <w:iCs/>
          <w:sz w:val="22"/>
          <w:szCs w:val="22"/>
          <w:lang w:val="nl-NL"/>
        </w:rPr>
        <w:t xml:space="preserve">Te </w:t>
      </w:r>
      <w:proofErr w:type="spellStart"/>
      <w:r w:rsidRPr="00C140A8">
        <w:rPr>
          <w:rFonts w:ascii="Georgia" w:hAnsi="Georgia" w:cs="Calibri"/>
          <w:i/>
          <w:iCs/>
          <w:sz w:val="22"/>
          <w:szCs w:val="22"/>
          <w:lang w:val="nl-NL"/>
        </w:rPr>
        <w:t>volghene</w:t>
      </w:r>
      <w:proofErr w:type="spellEnd"/>
      <w:r w:rsidRPr="00C140A8">
        <w:rPr>
          <w:rFonts w:ascii="Georgia" w:hAnsi="Georgia" w:cs="Calibri"/>
          <w:i/>
          <w:iCs/>
          <w:sz w:val="22"/>
          <w:szCs w:val="22"/>
          <w:lang w:val="nl-NL"/>
        </w:rPr>
        <w:t xml:space="preserve"> die dispositie </w:t>
      </w:r>
      <w:proofErr w:type="spellStart"/>
      <w:r w:rsidRPr="00C140A8">
        <w:rPr>
          <w:rFonts w:ascii="Georgia" w:hAnsi="Georgia" w:cs="Calibri"/>
          <w:i/>
          <w:iCs/>
          <w:sz w:val="22"/>
          <w:szCs w:val="22"/>
          <w:lang w:val="nl-NL"/>
        </w:rPr>
        <w:t>sijn</w:t>
      </w:r>
      <w:proofErr w:type="spellEnd"/>
      <w:r w:rsidRPr="00C140A8">
        <w:rPr>
          <w:rFonts w:ascii="Georgia" w:hAnsi="Georgia" w:cs="Calibri"/>
          <w:i/>
          <w:iCs/>
          <w:sz w:val="22"/>
          <w:szCs w:val="22"/>
          <w:lang w:val="nl-NL"/>
        </w:rPr>
        <w:t>,</w:t>
      </w:r>
    </w:p>
    <w:p w14:paraId="03BC0BA7" w14:textId="77777777" w:rsidR="00347160" w:rsidRPr="00C140A8" w:rsidRDefault="00347160" w:rsidP="003D1218">
      <w:pPr>
        <w:spacing w:afterLines="80" w:after="192" w:line="276" w:lineRule="auto"/>
        <w:jc w:val="both"/>
        <w:rPr>
          <w:rFonts w:ascii="Georgia" w:hAnsi="Georgia" w:cs="Calibri"/>
          <w:i/>
          <w:iCs/>
          <w:sz w:val="22"/>
          <w:szCs w:val="22"/>
          <w:lang w:val="nl-NL"/>
        </w:rPr>
      </w:pPr>
      <w:proofErr w:type="spellStart"/>
      <w:r w:rsidRPr="00C140A8">
        <w:rPr>
          <w:rFonts w:ascii="Georgia" w:hAnsi="Georgia" w:cs="Calibri"/>
          <w:i/>
          <w:iCs/>
          <w:sz w:val="22"/>
          <w:szCs w:val="22"/>
          <w:lang w:val="nl-NL"/>
        </w:rPr>
        <w:t>So</w:t>
      </w:r>
      <w:proofErr w:type="spellEnd"/>
      <w:r w:rsidRPr="00C140A8">
        <w:rPr>
          <w:rFonts w:ascii="Georgia" w:hAnsi="Georgia" w:cs="Calibri"/>
          <w:i/>
          <w:iCs/>
          <w:sz w:val="22"/>
          <w:szCs w:val="22"/>
          <w:lang w:val="nl-NL"/>
        </w:rPr>
        <w:t xml:space="preserve"> </w:t>
      </w:r>
      <w:proofErr w:type="spellStart"/>
      <w:r w:rsidRPr="00C140A8">
        <w:rPr>
          <w:rFonts w:ascii="Georgia" w:hAnsi="Georgia" w:cs="Calibri"/>
          <w:i/>
          <w:iCs/>
          <w:sz w:val="22"/>
          <w:szCs w:val="22"/>
          <w:lang w:val="nl-NL"/>
        </w:rPr>
        <w:t>soude</w:t>
      </w:r>
      <w:proofErr w:type="spellEnd"/>
      <w:r w:rsidRPr="00C140A8">
        <w:rPr>
          <w:rFonts w:ascii="Georgia" w:hAnsi="Georgia" w:cs="Calibri"/>
          <w:i/>
          <w:iCs/>
          <w:sz w:val="22"/>
          <w:szCs w:val="22"/>
          <w:lang w:val="nl-NL"/>
        </w:rPr>
        <w:t xml:space="preserve"> </w:t>
      </w:r>
      <w:proofErr w:type="spellStart"/>
      <w:r w:rsidRPr="00C140A8">
        <w:rPr>
          <w:rFonts w:ascii="Georgia" w:hAnsi="Georgia" w:cs="Calibri"/>
          <w:i/>
          <w:iCs/>
          <w:sz w:val="22"/>
          <w:szCs w:val="22"/>
          <w:lang w:val="nl-NL"/>
        </w:rPr>
        <w:t>hertoghe</w:t>
      </w:r>
      <w:proofErr w:type="spellEnd"/>
      <w:r w:rsidRPr="00C140A8">
        <w:rPr>
          <w:rFonts w:ascii="Georgia" w:hAnsi="Georgia" w:cs="Calibri"/>
          <w:i/>
          <w:iCs/>
          <w:sz w:val="22"/>
          <w:szCs w:val="22"/>
          <w:lang w:val="nl-NL"/>
        </w:rPr>
        <w:t xml:space="preserve"> </w:t>
      </w:r>
      <w:proofErr w:type="spellStart"/>
      <w:r w:rsidRPr="00C140A8">
        <w:rPr>
          <w:rFonts w:ascii="Georgia" w:hAnsi="Georgia" w:cs="Calibri"/>
          <w:i/>
          <w:iCs/>
          <w:sz w:val="22"/>
          <w:szCs w:val="22"/>
          <w:lang w:val="nl-NL"/>
        </w:rPr>
        <w:t>Wencelijn</w:t>
      </w:r>
      <w:proofErr w:type="spellEnd"/>
    </w:p>
    <w:p w14:paraId="083ADCB9" w14:textId="1E85500B" w:rsidR="00347160" w:rsidRPr="00C140A8" w:rsidRDefault="00347160" w:rsidP="003D1218">
      <w:pPr>
        <w:spacing w:afterLines="80" w:after="192" w:line="276" w:lineRule="auto"/>
        <w:jc w:val="both"/>
        <w:rPr>
          <w:rFonts w:ascii="Georgia" w:hAnsi="Georgia" w:cs="Calibri"/>
          <w:i/>
          <w:iCs/>
          <w:sz w:val="22"/>
          <w:szCs w:val="22"/>
          <w:lang w:val="nl-NL"/>
        </w:rPr>
      </w:pPr>
      <w:proofErr w:type="spellStart"/>
      <w:r w:rsidRPr="00C140A8">
        <w:rPr>
          <w:rFonts w:ascii="Georgia" w:hAnsi="Georgia" w:cs="Calibri"/>
          <w:i/>
          <w:iCs/>
          <w:sz w:val="22"/>
          <w:szCs w:val="22"/>
          <w:lang w:val="nl-NL"/>
        </w:rPr>
        <w:t>Nocktans</w:t>
      </w:r>
      <w:proofErr w:type="spellEnd"/>
      <w:r w:rsidRPr="00C140A8">
        <w:rPr>
          <w:rFonts w:ascii="Georgia" w:hAnsi="Georgia" w:cs="Calibri"/>
          <w:i/>
          <w:iCs/>
          <w:sz w:val="22"/>
          <w:szCs w:val="22"/>
          <w:lang w:val="nl-NL"/>
        </w:rPr>
        <w:t xml:space="preserve"> des hebben </w:t>
      </w:r>
      <w:proofErr w:type="spellStart"/>
      <w:r w:rsidRPr="00C140A8">
        <w:rPr>
          <w:rFonts w:ascii="Georgia" w:hAnsi="Georgia" w:cs="Calibri"/>
          <w:i/>
          <w:iCs/>
          <w:sz w:val="22"/>
          <w:szCs w:val="22"/>
          <w:lang w:val="nl-NL"/>
        </w:rPr>
        <w:t>volcomen</w:t>
      </w:r>
      <w:proofErr w:type="spellEnd"/>
      <w:r w:rsidRPr="00C140A8">
        <w:rPr>
          <w:rFonts w:ascii="Georgia" w:hAnsi="Georgia" w:cs="Calibri"/>
          <w:i/>
          <w:iCs/>
          <w:sz w:val="22"/>
          <w:szCs w:val="22"/>
          <w:lang w:val="nl-NL"/>
        </w:rPr>
        <w:t xml:space="preserve"> macht</w:t>
      </w:r>
      <w:r w:rsidR="003D1218">
        <w:rPr>
          <w:rFonts w:ascii="Georgia" w:hAnsi="Georgia" w:cs="Calibri"/>
          <w:i/>
          <w:iCs/>
          <w:sz w:val="22"/>
          <w:szCs w:val="22"/>
          <w:lang w:val="nl-NL"/>
        </w:rPr>
        <w:t>.</w:t>
      </w:r>
      <w:r w:rsidRPr="00C140A8">
        <w:rPr>
          <w:rStyle w:val="FootnoteReference"/>
          <w:rFonts w:ascii="Georgia" w:hAnsi="Georgia" w:cs="Calibri"/>
          <w:i/>
          <w:iCs/>
          <w:sz w:val="22"/>
          <w:szCs w:val="22"/>
          <w:lang w:val="nl-NL"/>
        </w:rPr>
        <w:footnoteReference w:id="1"/>
      </w:r>
    </w:p>
    <w:p w14:paraId="553250E4" w14:textId="7B56D578" w:rsidR="00347160" w:rsidRPr="00C140A8" w:rsidRDefault="006A581D" w:rsidP="0020747D">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In de </w:t>
      </w:r>
      <w:r w:rsidRPr="00C140A8">
        <w:rPr>
          <w:rFonts w:ascii="Georgia" w:hAnsi="Georgia" w:cs="Calibri"/>
          <w:i/>
          <w:iCs/>
          <w:sz w:val="22"/>
          <w:szCs w:val="22"/>
          <w:lang w:val="nl-NL"/>
        </w:rPr>
        <w:t xml:space="preserve">Brabantse </w:t>
      </w:r>
      <w:proofErr w:type="spellStart"/>
      <w:r w:rsidRPr="00C140A8">
        <w:rPr>
          <w:rFonts w:ascii="Georgia" w:hAnsi="Georgia" w:cs="Calibri"/>
          <w:i/>
          <w:iCs/>
          <w:sz w:val="22"/>
          <w:szCs w:val="22"/>
          <w:lang w:val="nl-NL"/>
        </w:rPr>
        <w:t>Yeesten</w:t>
      </w:r>
      <w:proofErr w:type="spellEnd"/>
      <w:r w:rsidRPr="00C140A8">
        <w:rPr>
          <w:rFonts w:ascii="Georgia" w:hAnsi="Georgia" w:cs="Calibri"/>
          <w:i/>
          <w:iCs/>
          <w:sz w:val="22"/>
          <w:szCs w:val="22"/>
          <w:lang w:val="nl-NL"/>
        </w:rPr>
        <w:t xml:space="preserve"> </w:t>
      </w:r>
      <w:r w:rsidRPr="00754CC3">
        <w:rPr>
          <w:rFonts w:ascii="Georgia" w:hAnsi="Georgia" w:cs="Calibri"/>
          <w:sz w:val="22"/>
          <w:szCs w:val="22"/>
          <w:lang w:val="nl-NL"/>
        </w:rPr>
        <w:t xml:space="preserve">legt </w:t>
      </w:r>
      <w:proofErr w:type="spellStart"/>
      <w:r w:rsidRPr="00754CC3">
        <w:rPr>
          <w:rFonts w:ascii="Georgia" w:hAnsi="Georgia" w:cs="Calibri"/>
          <w:sz w:val="22"/>
          <w:szCs w:val="22"/>
          <w:lang w:val="nl-NL"/>
        </w:rPr>
        <w:t>Wein</w:t>
      </w:r>
      <w:proofErr w:type="spellEnd"/>
      <w:r w:rsidRPr="00754CC3">
        <w:rPr>
          <w:rFonts w:ascii="Georgia" w:hAnsi="Georgia" w:cs="Calibri"/>
          <w:sz w:val="22"/>
          <w:szCs w:val="22"/>
          <w:lang w:val="nl-NL"/>
        </w:rPr>
        <w:t xml:space="preserve"> van </w:t>
      </w:r>
      <w:proofErr w:type="spellStart"/>
      <w:r w:rsidRPr="00754CC3">
        <w:rPr>
          <w:rFonts w:ascii="Georgia" w:hAnsi="Georgia" w:cs="Calibri"/>
          <w:sz w:val="22"/>
          <w:szCs w:val="22"/>
          <w:lang w:val="nl-NL"/>
        </w:rPr>
        <w:t>Cothem</w:t>
      </w:r>
      <w:proofErr w:type="spellEnd"/>
      <w:r w:rsidRPr="00754CC3">
        <w:rPr>
          <w:rFonts w:ascii="Georgia" w:hAnsi="Georgia" w:cs="Calibri"/>
          <w:sz w:val="22"/>
          <w:szCs w:val="22"/>
          <w:lang w:val="nl-NL"/>
        </w:rPr>
        <w:t xml:space="preserve">, de opvolger van Jan van </w:t>
      </w:r>
      <w:proofErr w:type="spellStart"/>
      <w:r w:rsidRPr="00754CC3">
        <w:rPr>
          <w:rFonts w:ascii="Georgia" w:hAnsi="Georgia" w:cs="Calibri"/>
          <w:sz w:val="22"/>
          <w:szCs w:val="22"/>
          <w:lang w:val="nl-NL"/>
        </w:rPr>
        <w:t>Boendale</w:t>
      </w:r>
      <w:proofErr w:type="spellEnd"/>
      <w:r w:rsidRPr="00754CC3">
        <w:rPr>
          <w:rFonts w:ascii="Georgia" w:hAnsi="Georgia" w:cs="Calibri"/>
          <w:sz w:val="22"/>
          <w:szCs w:val="22"/>
          <w:lang w:val="nl-NL"/>
        </w:rPr>
        <w:t>,</w:t>
      </w:r>
      <w:r w:rsidRPr="00C140A8">
        <w:rPr>
          <w:rFonts w:ascii="Georgia" w:hAnsi="Georgia" w:cs="Calibri"/>
          <w:i/>
          <w:iCs/>
          <w:sz w:val="22"/>
          <w:szCs w:val="22"/>
          <w:lang w:val="nl-NL"/>
        </w:rPr>
        <w:t xml:space="preserve"> </w:t>
      </w:r>
      <w:r w:rsidRPr="00C140A8">
        <w:rPr>
          <w:rFonts w:ascii="Georgia" w:hAnsi="Georgia" w:cs="Calibri"/>
          <w:sz w:val="22"/>
          <w:szCs w:val="22"/>
          <w:lang w:val="nl-NL"/>
        </w:rPr>
        <w:t xml:space="preserve">in zijn perceptie van het bestuur van Johanna van Brabant 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van Luxemburg (1356-1383) een onderliggende spanning bloot.</w:t>
      </w:r>
      <w:r w:rsidR="00765298">
        <w:rPr>
          <w:rStyle w:val="FootnoteReference"/>
          <w:rFonts w:ascii="Georgia" w:hAnsi="Georgia" w:cs="Calibri"/>
          <w:sz w:val="22"/>
          <w:szCs w:val="22"/>
          <w:lang w:val="nl-NL"/>
        </w:rPr>
        <w:footnoteReference w:id="2"/>
      </w:r>
      <w:r w:rsidRPr="00C140A8">
        <w:rPr>
          <w:rFonts w:ascii="Georgia" w:hAnsi="Georgia" w:cs="Calibri"/>
          <w:sz w:val="22"/>
          <w:szCs w:val="22"/>
          <w:lang w:val="nl-NL"/>
        </w:rPr>
        <w:t xml:space="preserve"> </w:t>
      </w:r>
      <w:r w:rsidR="00347160" w:rsidRPr="00C140A8">
        <w:rPr>
          <w:rFonts w:ascii="Georgia" w:hAnsi="Georgia" w:cs="Calibri"/>
          <w:sz w:val="22"/>
          <w:szCs w:val="22"/>
          <w:lang w:val="nl-NL"/>
        </w:rPr>
        <w:t xml:space="preserve">Eerst beschrijft hij hoe </w:t>
      </w:r>
      <w:proofErr w:type="spellStart"/>
      <w:r w:rsidR="00347160" w:rsidRPr="00C140A8">
        <w:rPr>
          <w:rFonts w:ascii="Georgia" w:hAnsi="Georgia" w:cs="Calibri"/>
          <w:sz w:val="22"/>
          <w:szCs w:val="22"/>
          <w:lang w:val="nl-NL"/>
        </w:rPr>
        <w:t>Wenceslas</w:t>
      </w:r>
      <w:proofErr w:type="spellEnd"/>
      <w:r w:rsidR="00347160" w:rsidRPr="00C140A8">
        <w:rPr>
          <w:rFonts w:ascii="Georgia" w:hAnsi="Georgia" w:cs="Calibri"/>
          <w:sz w:val="22"/>
          <w:szCs w:val="22"/>
          <w:lang w:val="nl-NL"/>
        </w:rPr>
        <w:t xml:space="preserve"> slechts met medeweten en op advies van Johanna </w:t>
      </w:r>
      <w:r w:rsidR="00754CC3">
        <w:rPr>
          <w:rFonts w:ascii="Georgia" w:hAnsi="Georgia" w:cs="Calibri"/>
          <w:sz w:val="22"/>
          <w:szCs w:val="22"/>
          <w:lang w:val="nl-NL"/>
        </w:rPr>
        <w:t>kon</w:t>
      </w:r>
      <w:r w:rsidR="00347160" w:rsidRPr="00C140A8">
        <w:rPr>
          <w:rFonts w:ascii="Georgia" w:hAnsi="Georgia" w:cs="Calibri"/>
          <w:sz w:val="22"/>
          <w:szCs w:val="22"/>
          <w:lang w:val="nl-NL"/>
        </w:rPr>
        <w:t xml:space="preserve"> handelen, maar hij beëindigt het fragment met een retorische twijfel: Had </w:t>
      </w:r>
      <w:proofErr w:type="spellStart"/>
      <w:r w:rsidR="00347160" w:rsidRPr="00C140A8">
        <w:rPr>
          <w:rFonts w:ascii="Georgia" w:hAnsi="Georgia" w:cs="Calibri"/>
          <w:sz w:val="22"/>
          <w:szCs w:val="22"/>
          <w:lang w:val="nl-NL"/>
        </w:rPr>
        <w:t>Wenceslas</w:t>
      </w:r>
      <w:proofErr w:type="spellEnd"/>
      <w:r w:rsidR="00347160" w:rsidRPr="00C140A8">
        <w:rPr>
          <w:rFonts w:ascii="Georgia" w:hAnsi="Georgia" w:cs="Calibri"/>
          <w:sz w:val="22"/>
          <w:szCs w:val="22"/>
          <w:lang w:val="nl-NL"/>
        </w:rPr>
        <w:t xml:space="preserve"> dan toch niet de volledige macht? Die vraag is sinds de middeleeuwen blijven circuleren en vond verder weerklank in de negentiende- en twintigste-eeuwse historiografie. Als oudste dochter van hertog Jan III was haar opvolging al bij haar geboorte een mogelijkheid. Het huwelijkscontract met haar eerste echtgenoot, Willem IV van Holland, Zeeland en Henegouwen</w:t>
      </w:r>
      <w:r w:rsidR="002B3405" w:rsidRPr="00C140A8">
        <w:rPr>
          <w:rFonts w:ascii="Georgia" w:hAnsi="Georgia" w:cs="Calibri"/>
          <w:sz w:val="22"/>
          <w:szCs w:val="22"/>
          <w:lang w:val="nl-NL"/>
        </w:rPr>
        <w:t>,</w:t>
      </w:r>
      <w:r w:rsidR="00347160" w:rsidRPr="00C140A8">
        <w:rPr>
          <w:rFonts w:ascii="Georgia" w:hAnsi="Georgia" w:cs="Calibri"/>
          <w:sz w:val="22"/>
          <w:szCs w:val="22"/>
          <w:lang w:val="nl-NL"/>
        </w:rPr>
        <w:t xml:space="preserve"> schijnt dit te bevestigen.</w:t>
      </w:r>
      <w:r w:rsidR="00075E95" w:rsidRPr="00C140A8">
        <w:rPr>
          <w:rStyle w:val="FootnoteReference"/>
          <w:rFonts w:ascii="Georgia" w:hAnsi="Georgia" w:cs="Calibri"/>
          <w:sz w:val="22"/>
          <w:szCs w:val="22"/>
          <w:lang w:val="nl-NL"/>
        </w:rPr>
        <w:footnoteReference w:id="3"/>
      </w:r>
      <w:r w:rsidR="00075E95" w:rsidRPr="00C140A8">
        <w:rPr>
          <w:rFonts w:ascii="Georgia" w:hAnsi="Georgia" w:cs="Calibri"/>
          <w:sz w:val="22"/>
          <w:szCs w:val="22"/>
          <w:lang w:val="nl-NL"/>
        </w:rPr>
        <w:t xml:space="preserve"> </w:t>
      </w:r>
      <w:r w:rsidR="00347160" w:rsidRPr="00C140A8">
        <w:rPr>
          <w:rFonts w:ascii="Georgia" w:hAnsi="Georgia" w:cs="Calibri"/>
          <w:sz w:val="22"/>
          <w:szCs w:val="22"/>
          <w:lang w:val="nl-NL"/>
        </w:rPr>
        <w:t xml:space="preserve">Na het overlijden van haar drie broers kwam de Brabantse troon haar in 1355 formeel toe. Haar positie werd echter gecompliceerd door haar huwelijk met </w:t>
      </w:r>
      <w:proofErr w:type="spellStart"/>
      <w:r w:rsidR="00347160" w:rsidRPr="00C140A8">
        <w:rPr>
          <w:rFonts w:ascii="Georgia" w:hAnsi="Georgia" w:cs="Calibri"/>
          <w:sz w:val="22"/>
          <w:szCs w:val="22"/>
          <w:lang w:val="nl-NL"/>
        </w:rPr>
        <w:t>Wenceslas</w:t>
      </w:r>
      <w:proofErr w:type="spellEnd"/>
      <w:r w:rsidR="00347160" w:rsidRPr="00C140A8">
        <w:rPr>
          <w:rFonts w:ascii="Georgia" w:hAnsi="Georgia" w:cs="Calibri"/>
          <w:sz w:val="22"/>
          <w:szCs w:val="22"/>
          <w:lang w:val="nl-NL"/>
        </w:rPr>
        <w:t xml:space="preserve"> </w:t>
      </w:r>
      <w:r w:rsidR="002B3405" w:rsidRPr="00C140A8">
        <w:rPr>
          <w:rFonts w:ascii="Georgia" w:hAnsi="Georgia" w:cs="Calibri"/>
          <w:sz w:val="22"/>
          <w:szCs w:val="22"/>
          <w:lang w:val="nl-NL"/>
        </w:rPr>
        <w:t xml:space="preserve">van Bohemen </w:t>
      </w:r>
      <w:r w:rsidR="00347160" w:rsidRPr="00C140A8">
        <w:rPr>
          <w:rFonts w:ascii="Georgia" w:hAnsi="Georgia" w:cs="Calibri"/>
          <w:sz w:val="22"/>
          <w:szCs w:val="22"/>
          <w:lang w:val="nl-NL"/>
        </w:rPr>
        <w:t>in 1351</w:t>
      </w:r>
      <w:r w:rsidR="00962F17" w:rsidRPr="00C140A8">
        <w:rPr>
          <w:rFonts w:ascii="Georgia" w:hAnsi="Georgia" w:cs="Calibri"/>
          <w:sz w:val="22"/>
          <w:szCs w:val="22"/>
          <w:lang w:val="nl-NL"/>
        </w:rPr>
        <w:t>, met wie ze hertrouwde na het overlijden van Willem IV</w:t>
      </w:r>
      <w:r w:rsidR="00347160" w:rsidRPr="00C140A8">
        <w:rPr>
          <w:rFonts w:ascii="Georgia" w:hAnsi="Georgia" w:cs="Calibri"/>
          <w:sz w:val="22"/>
          <w:szCs w:val="22"/>
          <w:lang w:val="nl-NL"/>
        </w:rPr>
        <w:t>.</w:t>
      </w:r>
      <w:r w:rsidR="00075E95">
        <w:rPr>
          <w:rStyle w:val="FootnoteReference"/>
          <w:rFonts w:ascii="Georgia" w:hAnsi="Georgia" w:cs="Calibri"/>
          <w:sz w:val="22"/>
          <w:szCs w:val="22"/>
          <w:lang w:val="nl-NL"/>
        </w:rPr>
        <w:footnoteReference w:id="4"/>
      </w:r>
      <w:r w:rsidR="00347160" w:rsidRPr="00C140A8">
        <w:rPr>
          <w:rFonts w:ascii="Georgia" w:hAnsi="Georgia" w:cs="Calibri"/>
          <w:sz w:val="22"/>
          <w:szCs w:val="22"/>
          <w:lang w:val="nl-NL"/>
        </w:rPr>
        <w:t xml:space="preserve"> Die werd medeheerser van Brabant en Limburg en voor vele historici verdween Johanna naar de achtergrond. </w:t>
      </w:r>
      <w:r w:rsidR="0020747D">
        <w:rPr>
          <w:rFonts w:ascii="Georgia" w:hAnsi="Georgia" w:cs="Calibri"/>
          <w:sz w:val="22"/>
          <w:szCs w:val="22"/>
          <w:lang w:val="nl-NL"/>
        </w:rPr>
        <w:t xml:space="preserve">Zij stellen haar voor als een </w:t>
      </w:r>
      <w:r w:rsidR="00347160" w:rsidRPr="00C140A8">
        <w:rPr>
          <w:rFonts w:ascii="Georgia" w:hAnsi="Georgia" w:cs="Calibri"/>
          <w:sz w:val="22"/>
          <w:szCs w:val="22"/>
          <w:lang w:val="nl-NL"/>
        </w:rPr>
        <w:t xml:space="preserve">zwakke passieve vrouw die niets te maken had met beleidszaken en zich tot een starre vroomheid bekeerde, terwijl de focus op de impopulaire </w:t>
      </w:r>
      <w:proofErr w:type="spellStart"/>
      <w:r w:rsidR="00347160" w:rsidRPr="00C140A8">
        <w:rPr>
          <w:rFonts w:ascii="Georgia" w:hAnsi="Georgia" w:cs="Calibri"/>
          <w:sz w:val="22"/>
          <w:szCs w:val="22"/>
          <w:lang w:val="nl-NL"/>
        </w:rPr>
        <w:t>Wenceslas</w:t>
      </w:r>
      <w:proofErr w:type="spellEnd"/>
      <w:r w:rsidR="00347160" w:rsidRPr="00C140A8">
        <w:rPr>
          <w:rFonts w:ascii="Georgia" w:hAnsi="Georgia" w:cs="Calibri"/>
          <w:sz w:val="22"/>
          <w:szCs w:val="22"/>
          <w:lang w:val="nl-NL"/>
        </w:rPr>
        <w:t xml:space="preserve"> lag, de vreemde vorst wiens vechtlust en extravagante spilzucht Brabant naar de financiële afgrond duwden.  </w:t>
      </w:r>
    </w:p>
    <w:p w14:paraId="065610B3" w14:textId="7BAC1600" w:rsidR="00347160" w:rsidRPr="00C140A8" w:rsidRDefault="0034716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lastRenderedPageBreak/>
        <w:t>Dit historiografische beeld verdient herziening. De vraag in hoeverre Johanna een actieve bestuurlijke rol speelde, is lange tijd onderbelicht gebleven door een geschiedschrijving die monarchale macht voorstelde als een uitsluitend mannelijke aangelegenheid.</w:t>
      </w:r>
      <w:r w:rsidRPr="00C140A8">
        <w:rPr>
          <w:rStyle w:val="FootnoteReference"/>
          <w:rFonts w:ascii="Georgia" w:hAnsi="Georgia" w:cs="Calibri"/>
          <w:sz w:val="22"/>
          <w:szCs w:val="22"/>
          <w:lang w:val="nl-NL"/>
        </w:rPr>
        <w:footnoteReference w:id="5"/>
      </w:r>
      <w:r w:rsidRPr="00C140A8">
        <w:rPr>
          <w:rFonts w:ascii="Georgia" w:hAnsi="Georgia" w:cs="Calibri"/>
          <w:sz w:val="22"/>
          <w:szCs w:val="22"/>
          <w:lang w:val="nl-NL"/>
        </w:rPr>
        <w:t xml:space="preserve"> In een literaire en idealiserende kroniek zoals de </w:t>
      </w:r>
      <w:r w:rsidRPr="00C140A8">
        <w:rPr>
          <w:rFonts w:ascii="Georgia" w:hAnsi="Georgia" w:cs="Calibri"/>
          <w:i/>
          <w:iCs/>
          <w:sz w:val="22"/>
          <w:szCs w:val="22"/>
          <w:lang w:val="nl-NL"/>
        </w:rPr>
        <w:t xml:space="preserve">Brabantse </w:t>
      </w:r>
      <w:proofErr w:type="spellStart"/>
      <w:r w:rsidRPr="00C140A8">
        <w:rPr>
          <w:rFonts w:ascii="Georgia" w:hAnsi="Georgia" w:cs="Calibri"/>
          <w:i/>
          <w:iCs/>
          <w:sz w:val="22"/>
          <w:szCs w:val="22"/>
          <w:lang w:val="nl-NL"/>
        </w:rPr>
        <w:t>Yeesten</w:t>
      </w:r>
      <w:proofErr w:type="spellEnd"/>
      <w:r w:rsidRPr="00C140A8">
        <w:rPr>
          <w:rFonts w:ascii="Georgia" w:hAnsi="Georgia" w:cs="Calibri"/>
          <w:i/>
          <w:iCs/>
          <w:sz w:val="22"/>
          <w:szCs w:val="22"/>
          <w:lang w:val="nl-NL"/>
        </w:rPr>
        <w:t xml:space="preserve"> </w:t>
      </w:r>
      <w:r w:rsidRPr="00C140A8">
        <w:rPr>
          <w:rFonts w:ascii="Georgia" w:hAnsi="Georgia" w:cs="Calibri"/>
          <w:sz w:val="22"/>
          <w:szCs w:val="22"/>
          <w:lang w:val="nl-NL"/>
        </w:rPr>
        <w:t>lijkt zij vooral een adviserende functie te vervullen, ondanks haar status als erfdochter.</w:t>
      </w:r>
      <w:r w:rsidRPr="00C140A8">
        <w:rPr>
          <w:rStyle w:val="FootnoteReference"/>
          <w:rFonts w:ascii="Georgia" w:hAnsi="Georgia" w:cs="Calibri"/>
          <w:sz w:val="22"/>
          <w:szCs w:val="22"/>
          <w:lang w:val="nl-NL"/>
        </w:rPr>
        <w:footnoteReference w:id="6"/>
      </w:r>
      <w:r w:rsidRPr="00C140A8">
        <w:rPr>
          <w:rFonts w:ascii="Georgia" w:hAnsi="Georgia" w:cs="Calibri"/>
          <w:sz w:val="22"/>
          <w:szCs w:val="22"/>
          <w:lang w:val="nl-NL"/>
        </w:rPr>
        <w:t xml:space="preserve"> Dat is op zich niet uitzonderlijk voor die periode. Middeleeuwse opvattingen over vrouwelijke macht erkenden de vorstin als een belangrijke bemiddelaarster in conflicten. Zo kende Christine de </w:t>
      </w:r>
      <w:proofErr w:type="spellStart"/>
      <w:r w:rsidRPr="00C140A8">
        <w:rPr>
          <w:rFonts w:ascii="Georgia" w:hAnsi="Georgia" w:cs="Calibri"/>
          <w:sz w:val="22"/>
          <w:szCs w:val="22"/>
          <w:lang w:val="nl-NL"/>
        </w:rPr>
        <w:t>Pizan</w:t>
      </w:r>
      <w:proofErr w:type="spellEnd"/>
      <w:r w:rsidRPr="00C140A8">
        <w:rPr>
          <w:rFonts w:ascii="Georgia" w:hAnsi="Georgia" w:cs="Calibri"/>
          <w:sz w:val="22"/>
          <w:szCs w:val="22"/>
          <w:lang w:val="nl-NL"/>
        </w:rPr>
        <w:t xml:space="preserve"> vrouwen van stand een rol toe als ‘vredebewaaksters’ die een brugfunctie vervulden tussen vorst en volk.</w:t>
      </w:r>
      <w:r w:rsidRPr="00C140A8">
        <w:rPr>
          <w:rStyle w:val="FootnoteReference"/>
          <w:rFonts w:ascii="Georgia" w:hAnsi="Georgia" w:cs="Calibri"/>
          <w:sz w:val="22"/>
          <w:szCs w:val="22"/>
          <w:lang w:val="nl-NL"/>
        </w:rPr>
        <w:footnoteReference w:id="7"/>
      </w:r>
      <w:r w:rsidRPr="00C140A8">
        <w:rPr>
          <w:rFonts w:ascii="Georgia" w:hAnsi="Georgia" w:cs="Calibri"/>
          <w:sz w:val="22"/>
          <w:szCs w:val="22"/>
          <w:lang w:val="nl-NL"/>
        </w:rPr>
        <w:t xml:space="preserve"> Toch rijst de vraag of die macht niet verder ging dan dat. Daarom dringt zich een herlezing op van de bronnen die betrekking hebben op Johanna van Brabant en haar </w:t>
      </w:r>
      <w:proofErr w:type="spellStart"/>
      <w:r w:rsidR="006A4241">
        <w:rPr>
          <w:rFonts w:ascii="Georgia" w:hAnsi="Georgia" w:cs="Calibri"/>
          <w:sz w:val="22"/>
          <w:szCs w:val="22"/>
          <w:lang w:val="nl-NL"/>
        </w:rPr>
        <w:t>bestuursbijdrage</w:t>
      </w:r>
      <w:proofErr w:type="spellEnd"/>
      <w:r w:rsidRPr="00C140A8">
        <w:rPr>
          <w:rFonts w:ascii="Georgia" w:hAnsi="Georgia" w:cs="Calibri"/>
          <w:sz w:val="22"/>
          <w:szCs w:val="22"/>
          <w:lang w:val="nl-NL"/>
        </w:rPr>
        <w:t xml:space="preserve">. </w:t>
      </w:r>
    </w:p>
    <w:p w14:paraId="2ECB5CA6" w14:textId="30E0B595" w:rsidR="00347160" w:rsidRPr="00C140A8" w:rsidRDefault="0034716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Johanna was geen geïsoleerd individu, maar maakte deel uit van een politiek koppel. Het centrale argument van deze scriptie is dan ook een van complementariteit. Johanna 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vulden elkaar aan en functioneerden als een eenheid waarin beiden eigen taken vervulden. Hieruit vloeit de volgende onderzoeksvraag: in welke mate en op welke wijze oefende Johanna van Brabant een bestuurlijke rol uit binnen het hertogdom Brabant tijdens de periode 1376–1380 en hoe verhoudt die zich tot de rol die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van </w:t>
      </w:r>
      <w:r w:rsidR="002B3405" w:rsidRPr="00C140A8">
        <w:rPr>
          <w:rFonts w:ascii="Georgia" w:hAnsi="Georgia" w:cs="Calibri"/>
          <w:sz w:val="22"/>
          <w:szCs w:val="22"/>
          <w:lang w:val="nl-NL"/>
        </w:rPr>
        <w:t>Bohemen</w:t>
      </w:r>
      <w:r w:rsidRPr="00C140A8">
        <w:rPr>
          <w:rFonts w:ascii="Georgia" w:hAnsi="Georgia" w:cs="Calibri"/>
          <w:sz w:val="22"/>
          <w:szCs w:val="22"/>
          <w:lang w:val="nl-NL"/>
        </w:rPr>
        <w:t xml:space="preserve"> binnen datzelfde bestuur vervulde?</w:t>
      </w:r>
      <w:bookmarkStart w:id="7" w:name="_Toc230118012"/>
      <w:bookmarkStart w:id="8" w:name="_Toc229925958"/>
      <w:bookmarkStart w:id="9" w:name="_Toc230014140"/>
      <w:bookmarkStart w:id="10" w:name="_Toc230014222"/>
    </w:p>
    <w:p w14:paraId="4AAE19EE" w14:textId="0A296FAF" w:rsidR="00347160" w:rsidRPr="00C140A8" w:rsidRDefault="00347160" w:rsidP="00BB06BE">
      <w:pPr>
        <w:pStyle w:val="ThesisHeading"/>
        <w:spacing w:before="0" w:after="0"/>
        <w:rPr>
          <w:lang w:val="nl-NL"/>
        </w:rPr>
      </w:pPr>
      <w:bookmarkStart w:id="11" w:name="_Toc230358681"/>
      <w:bookmarkStart w:id="12" w:name="_Toc231153748"/>
      <w:bookmarkStart w:id="13" w:name="_Toc231329823"/>
      <w:bookmarkStart w:id="14" w:name="_Toc231330430"/>
      <w:bookmarkStart w:id="15" w:name="_Toc231428024"/>
      <w:bookmarkStart w:id="16" w:name="_Toc231463598"/>
      <w:r w:rsidRPr="00C140A8">
        <w:rPr>
          <w:lang w:val="nl-NL"/>
        </w:rPr>
        <w:t>Vrouwen aan de macht</w:t>
      </w:r>
      <w:bookmarkEnd w:id="7"/>
      <w:bookmarkEnd w:id="11"/>
      <w:bookmarkEnd w:id="12"/>
      <w:bookmarkEnd w:id="13"/>
      <w:bookmarkEnd w:id="14"/>
      <w:r w:rsidR="00F013D3">
        <w:rPr>
          <w:lang w:val="nl-NL"/>
        </w:rPr>
        <w:t>!?</w:t>
      </w:r>
      <w:bookmarkEnd w:id="15"/>
      <w:bookmarkEnd w:id="16"/>
      <w:r w:rsidRPr="00C140A8">
        <w:rPr>
          <w:lang w:val="nl-NL"/>
        </w:rPr>
        <w:t xml:space="preserve"> </w:t>
      </w:r>
    </w:p>
    <w:p w14:paraId="1425A032" w14:textId="77777777" w:rsidR="00347160" w:rsidRPr="00C140A8" w:rsidRDefault="00347160" w:rsidP="00BB06BE">
      <w:pPr>
        <w:pStyle w:val="ThesisSubheading"/>
        <w:spacing w:before="0"/>
        <w:ind w:left="1134" w:hanging="1134"/>
        <w:rPr>
          <w:lang w:val="nl-NL"/>
        </w:rPr>
      </w:pPr>
      <w:bookmarkStart w:id="17" w:name="_Toc230118013"/>
      <w:bookmarkStart w:id="18" w:name="_Toc230358682"/>
      <w:bookmarkStart w:id="19" w:name="_Toc231153749"/>
      <w:bookmarkStart w:id="20" w:name="_Toc231329824"/>
      <w:bookmarkStart w:id="21" w:name="_Toc231330431"/>
      <w:bookmarkStart w:id="22" w:name="_Toc231428025"/>
      <w:bookmarkEnd w:id="8"/>
      <w:bookmarkEnd w:id="9"/>
      <w:bookmarkEnd w:id="10"/>
      <w:proofErr w:type="spellStart"/>
      <w:r w:rsidRPr="00C140A8">
        <w:rPr>
          <w:lang w:val="nl-NL"/>
        </w:rPr>
        <w:t>Queenship</w:t>
      </w:r>
      <w:proofErr w:type="spellEnd"/>
      <w:r w:rsidRPr="00C140A8">
        <w:rPr>
          <w:lang w:val="nl-NL"/>
        </w:rPr>
        <w:t>-</w:t>
      </w:r>
      <w:r w:rsidRPr="00BB06BE">
        <w:t>studies</w:t>
      </w:r>
      <w:r w:rsidRPr="00C140A8">
        <w:rPr>
          <w:lang w:val="nl-NL"/>
        </w:rPr>
        <w:t xml:space="preserve"> en de uitzondering op de regel</w:t>
      </w:r>
      <w:bookmarkEnd w:id="17"/>
      <w:bookmarkEnd w:id="18"/>
      <w:bookmarkEnd w:id="19"/>
      <w:bookmarkEnd w:id="20"/>
      <w:bookmarkEnd w:id="21"/>
      <w:bookmarkEnd w:id="22"/>
    </w:p>
    <w:p w14:paraId="027F64C0" w14:textId="77777777" w:rsidR="00347160" w:rsidRPr="00C140A8" w:rsidRDefault="0034716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Om Johanna's beleidsbijdrage te bestuderen, moet haar positie eerst binnen een bredere context van vorstinnenonderzoek geplaatst worden. Vragen rond macht, gender en agency houden onderzoekers intens bezig sinds de grote doorbraak van de </w:t>
      </w:r>
      <w:proofErr w:type="spellStart"/>
      <w:r w:rsidRPr="00C140A8">
        <w:rPr>
          <w:rFonts w:ascii="Georgia" w:hAnsi="Georgia" w:cs="Calibri"/>
          <w:i/>
          <w:iCs/>
          <w:sz w:val="22"/>
          <w:szCs w:val="22"/>
          <w:lang w:val="nl-NL"/>
        </w:rPr>
        <w:t>queenship</w:t>
      </w:r>
      <w:proofErr w:type="spellEnd"/>
      <w:r w:rsidRPr="00C140A8">
        <w:rPr>
          <w:rFonts w:ascii="Georgia" w:hAnsi="Georgia" w:cs="Calibri"/>
          <w:sz w:val="22"/>
          <w:szCs w:val="22"/>
          <w:lang w:val="nl-NL"/>
        </w:rPr>
        <w:t>-studies aan het einde van de jaren tachtig. Het onderzoek naar de rol van middeleeuwse vorstinnen heeft daarmee een lange weg afgelegd. De traditionele politieke en diplomatieke geschiedschrijving van de negentiende en twintigste eeuw liet vrouwelijke actoren grotendeels buiten beschouwing.</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8"/>
      </w:r>
      <w:r w:rsidRPr="00C140A8">
        <w:rPr>
          <w:rFonts w:ascii="Georgia" w:hAnsi="Georgia" w:cs="Calibri"/>
          <w:sz w:val="22"/>
          <w:szCs w:val="22"/>
          <w:lang w:val="nl-NL"/>
        </w:rPr>
        <w:t xml:space="preserve"> De opkomst van de vrouwengeschiedenis bracht daarin vanaf de jaren zestig verandering, maar schoot op haar beurt tekort. Door de focus van het onderzoek uitsluitend op vrouwen te leggen, dreigde men hen opnieuw te isoleren van de bredere machtsstructuren waarin zij opereerden.</w:t>
      </w:r>
      <w:r w:rsidRPr="00C140A8">
        <w:rPr>
          <w:rStyle w:val="FootnoteReference"/>
          <w:rFonts w:ascii="Georgia" w:hAnsi="Georgia" w:cs="Calibri"/>
          <w:sz w:val="22"/>
          <w:szCs w:val="22"/>
          <w:lang w:val="nl-NL"/>
        </w:rPr>
        <w:footnoteReference w:id="9"/>
      </w:r>
    </w:p>
    <w:p w14:paraId="6C48D145" w14:textId="205AC6D3" w:rsidR="00347160" w:rsidRPr="00C140A8" w:rsidRDefault="0034716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lastRenderedPageBreak/>
        <w:t>Het baanbrekend artikel van Joan W. Scott</w:t>
      </w:r>
      <w:r w:rsidR="00220B14">
        <w:rPr>
          <w:rFonts w:ascii="Georgia" w:hAnsi="Georgia" w:cs="Calibri"/>
          <w:sz w:val="22"/>
          <w:szCs w:val="22"/>
          <w:lang w:val="nl-NL"/>
        </w:rPr>
        <w:t>,</w:t>
      </w:r>
      <w:r w:rsidRPr="00C140A8">
        <w:rPr>
          <w:rFonts w:ascii="Georgia" w:hAnsi="Georgia" w:cs="Calibri"/>
          <w:sz w:val="22"/>
          <w:szCs w:val="22"/>
          <w:lang w:val="nl-NL"/>
        </w:rPr>
        <w:t xml:space="preserve"> </w:t>
      </w:r>
      <w:r w:rsidR="00220B14">
        <w:rPr>
          <w:rFonts w:ascii="Georgia" w:hAnsi="Georgia" w:cs="Calibri"/>
          <w:i/>
          <w:iCs/>
          <w:sz w:val="22"/>
          <w:szCs w:val="22"/>
          <w:lang w:val="nl-NL"/>
        </w:rPr>
        <w:t xml:space="preserve">Gender: A </w:t>
      </w:r>
      <w:proofErr w:type="spellStart"/>
      <w:r w:rsidR="00220B14">
        <w:rPr>
          <w:rFonts w:ascii="Georgia" w:hAnsi="Georgia" w:cs="Calibri"/>
          <w:i/>
          <w:iCs/>
          <w:sz w:val="22"/>
          <w:szCs w:val="22"/>
          <w:lang w:val="nl-NL"/>
        </w:rPr>
        <w:t>Useful</w:t>
      </w:r>
      <w:proofErr w:type="spellEnd"/>
      <w:r w:rsidR="00220B14">
        <w:rPr>
          <w:rFonts w:ascii="Georgia" w:hAnsi="Georgia" w:cs="Calibri"/>
          <w:i/>
          <w:iCs/>
          <w:sz w:val="22"/>
          <w:szCs w:val="22"/>
          <w:lang w:val="nl-NL"/>
        </w:rPr>
        <w:t xml:space="preserve"> </w:t>
      </w:r>
      <w:proofErr w:type="spellStart"/>
      <w:r w:rsidR="00220B14">
        <w:rPr>
          <w:rFonts w:ascii="Georgia" w:hAnsi="Georgia" w:cs="Calibri"/>
          <w:i/>
          <w:iCs/>
          <w:sz w:val="22"/>
          <w:szCs w:val="22"/>
          <w:lang w:val="nl-NL"/>
        </w:rPr>
        <w:t>Category</w:t>
      </w:r>
      <w:proofErr w:type="spellEnd"/>
      <w:r w:rsidR="00220B14">
        <w:rPr>
          <w:rFonts w:ascii="Georgia" w:hAnsi="Georgia" w:cs="Calibri"/>
          <w:i/>
          <w:iCs/>
          <w:sz w:val="22"/>
          <w:szCs w:val="22"/>
          <w:lang w:val="nl-NL"/>
        </w:rPr>
        <w:t>,</w:t>
      </w:r>
      <w:r w:rsidRPr="00C140A8">
        <w:rPr>
          <w:rFonts w:ascii="Georgia" w:hAnsi="Georgia" w:cs="Calibri"/>
          <w:sz w:val="22"/>
          <w:szCs w:val="22"/>
          <w:lang w:val="nl-NL"/>
        </w:rPr>
        <w:t xml:space="preserve"> luidde een fundamentele verandering in. Haar kritiek trof zowel de traditionele politieke geschiedschrijving als de vroege vrouwengeschiedenis. Gender is geen descriptieve categorie maar een analytisch instrument.</w:t>
      </w:r>
      <w:r w:rsidRPr="00C140A8">
        <w:rPr>
          <w:rStyle w:val="FootnoteReference"/>
          <w:rFonts w:ascii="Georgia" w:hAnsi="Georgia" w:cs="Calibri"/>
          <w:sz w:val="22"/>
          <w:szCs w:val="22"/>
          <w:lang w:val="nl-NL"/>
        </w:rPr>
        <w:footnoteReference w:id="10"/>
      </w:r>
      <w:r w:rsidRPr="00C140A8">
        <w:rPr>
          <w:rFonts w:ascii="Georgia" w:hAnsi="Georgia" w:cs="Calibri"/>
          <w:sz w:val="22"/>
          <w:szCs w:val="22"/>
          <w:lang w:val="nl-NL"/>
        </w:rPr>
        <w:t xml:space="preserve">  Mannen en vrouwen opereren immers niet in een vacuüm. Pas wanneer hun wederzijdse dynamiek centraal staat, worden de onderliggende machtsstructuren zichtbaar en </w:t>
      </w:r>
      <w:r w:rsidR="00463EFF" w:rsidRPr="00463EFF">
        <w:rPr>
          <w:rFonts w:ascii="Georgia" w:hAnsi="Georgia" w:cs="Calibri"/>
          <w:sz w:val="22"/>
          <w:szCs w:val="22"/>
          <w:lang w:val="nl-NL"/>
        </w:rPr>
        <w:t>toont</w:t>
      </w:r>
      <w:r w:rsidRPr="00C140A8">
        <w:rPr>
          <w:rFonts w:ascii="Georgia" w:hAnsi="Georgia" w:cs="Calibri"/>
          <w:sz w:val="22"/>
          <w:szCs w:val="22"/>
          <w:lang w:val="nl-NL"/>
        </w:rPr>
        <w:t xml:space="preserve"> </w:t>
      </w:r>
      <w:r w:rsidR="006C7D39">
        <w:rPr>
          <w:rFonts w:ascii="Georgia" w:hAnsi="Georgia" w:cs="Calibri"/>
          <w:sz w:val="22"/>
          <w:szCs w:val="22"/>
          <w:lang w:val="nl-NL"/>
        </w:rPr>
        <w:t xml:space="preserve">het hoe </w:t>
      </w:r>
      <w:r w:rsidRPr="00C140A8">
        <w:rPr>
          <w:rFonts w:ascii="Georgia" w:hAnsi="Georgia" w:cs="Calibri"/>
          <w:sz w:val="22"/>
          <w:szCs w:val="22"/>
          <w:lang w:val="nl-NL"/>
        </w:rPr>
        <w:t>gender macht uitdrukt en legitimeert.</w:t>
      </w:r>
      <w:r w:rsidRPr="00C140A8">
        <w:rPr>
          <w:rStyle w:val="FootnoteReference"/>
          <w:rFonts w:ascii="Georgia" w:hAnsi="Georgia" w:cs="Calibri"/>
          <w:sz w:val="22"/>
          <w:szCs w:val="22"/>
          <w:lang w:val="nl-NL"/>
        </w:rPr>
        <w:footnoteReference w:id="11"/>
      </w:r>
      <w:r w:rsidRPr="00C140A8">
        <w:rPr>
          <w:rFonts w:ascii="Georgia" w:hAnsi="Georgia" w:cs="Calibri"/>
          <w:sz w:val="22"/>
          <w:szCs w:val="22"/>
          <w:lang w:val="nl-NL"/>
        </w:rPr>
        <w:t xml:space="preserve"> In navolging van dit artikel groeide op het einde van de jaren tachtig de interesse voor vorstinnen en kenden de </w:t>
      </w:r>
      <w:proofErr w:type="spellStart"/>
      <w:r w:rsidRPr="00C140A8">
        <w:rPr>
          <w:rFonts w:ascii="Georgia" w:hAnsi="Georgia" w:cs="Calibri"/>
          <w:i/>
          <w:iCs/>
          <w:sz w:val="22"/>
          <w:szCs w:val="22"/>
          <w:lang w:val="nl-NL"/>
        </w:rPr>
        <w:t>queenship</w:t>
      </w:r>
      <w:proofErr w:type="spellEnd"/>
      <w:r w:rsidRPr="00C140A8">
        <w:rPr>
          <w:rFonts w:ascii="Georgia" w:hAnsi="Georgia" w:cs="Calibri"/>
          <w:sz w:val="22"/>
          <w:szCs w:val="22"/>
          <w:lang w:val="nl-NL"/>
        </w:rPr>
        <w:t>-studies in de jaren negentig een ware explosie.</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12"/>
      </w:r>
    </w:p>
    <w:p w14:paraId="409134C3" w14:textId="1A9EE7CD" w:rsidR="00347160" w:rsidRPr="00C140A8" w:rsidRDefault="0034716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Steeds meer </w:t>
      </w:r>
      <w:proofErr w:type="spellStart"/>
      <w:r w:rsidRPr="00C140A8">
        <w:rPr>
          <w:rFonts w:ascii="Georgia" w:hAnsi="Georgia" w:cs="Calibri"/>
          <w:i/>
          <w:iCs/>
          <w:sz w:val="22"/>
          <w:szCs w:val="22"/>
          <w:lang w:val="nl-NL"/>
        </w:rPr>
        <w:t>queenship</w:t>
      </w:r>
      <w:proofErr w:type="spellEnd"/>
      <w:r w:rsidRPr="00C140A8">
        <w:rPr>
          <w:rFonts w:ascii="Georgia" w:hAnsi="Georgia" w:cs="Calibri"/>
          <w:sz w:val="22"/>
          <w:szCs w:val="22"/>
          <w:lang w:val="nl-NL"/>
        </w:rPr>
        <w:t>-onderzoekers hebben de afgelopen jaren gebroken met de gedachte dat machtige vrouwen in de late middeleeuwen ‘uitzonderlijk’ waren.</w:t>
      </w:r>
      <w:r w:rsidRPr="00C140A8">
        <w:rPr>
          <w:rStyle w:val="FootnoteReference"/>
          <w:rFonts w:ascii="Georgia" w:hAnsi="Georgia" w:cs="Calibri"/>
          <w:sz w:val="22"/>
          <w:szCs w:val="22"/>
          <w:lang w:val="nl-NL"/>
        </w:rPr>
        <w:footnoteReference w:id="13"/>
      </w:r>
      <w:r w:rsidRPr="00C140A8">
        <w:rPr>
          <w:rFonts w:ascii="Georgia" w:hAnsi="Georgia" w:cs="Calibri"/>
          <w:sz w:val="22"/>
          <w:szCs w:val="22"/>
          <w:lang w:val="nl-NL"/>
        </w:rPr>
        <w:t xml:space="preserve"> Dat beeld gaat terug op Jo Ann </w:t>
      </w:r>
      <w:proofErr w:type="spellStart"/>
      <w:r w:rsidRPr="00C140A8">
        <w:rPr>
          <w:rFonts w:ascii="Georgia" w:hAnsi="Georgia" w:cs="Calibri"/>
          <w:sz w:val="22"/>
          <w:szCs w:val="22"/>
          <w:lang w:val="nl-NL"/>
        </w:rPr>
        <w:t>McNamara</w:t>
      </w:r>
      <w:proofErr w:type="spellEnd"/>
      <w:r w:rsidRPr="00C140A8">
        <w:rPr>
          <w:rFonts w:ascii="Georgia" w:hAnsi="Georgia" w:cs="Calibri"/>
          <w:sz w:val="22"/>
          <w:szCs w:val="22"/>
          <w:lang w:val="nl-NL"/>
        </w:rPr>
        <w:t xml:space="preserve"> en Suzanne </w:t>
      </w:r>
      <w:proofErr w:type="spellStart"/>
      <w:r w:rsidRPr="00C140A8">
        <w:rPr>
          <w:rFonts w:ascii="Georgia" w:hAnsi="Georgia" w:cs="Calibri"/>
          <w:sz w:val="22"/>
          <w:szCs w:val="22"/>
          <w:lang w:val="nl-NL"/>
        </w:rPr>
        <w:t>Fonay</w:t>
      </w:r>
      <w:proofErr w:type="spellEnd"/>
      <w:r w:rsidRPr="00C140A8">
        <w:rPr>
          <w:rFonts w:ascii="Georgia" w:hAnsi="Georgia" w:cs="Calibri"/>
          <w:sz w:val="22"/>
          <w:szCs w:val="22"/>
          <w:lang w:val="nl-NL"/>
        </w:rPr>
        <w:t xml:space="preserve"> </w:t>
      </w:r>
      <w:proofErr w:type="spellStart"/>
      <w:r w:rsidRPr="00C140A8">
        <w:rPr>
          <w:rFonts w:ascii="Georgia" w:hAnsi="Georgia" w:cs="Calibri"/>
          <w:sz w:val="22"/>
          <w:szCs w:val="22"/>
          <w:lang w:val="nl-NL"/>
        </w:rPr>
        <w:t>Wemple</w:t>
      </w:r>
      <w:proofErr w:type="spellEnd"/>
      <w:r w:rsidRPr="00C140A8">
        <w:rPr>
          <w:rFonts w:ascii="Georgia" w:hAnsi="Georgia" w:cs="Calibri"/>
          <w:sz w:val="22"/>
          <w:szCs w:val="22"/>
          <w:lang w:val="nl-NL"/>
        </w:rPr>
        <w:t xml:space="preserve"> die rond 1050 een keerpunt situeerden in de politieke beweegruimte van elitevrouwen.</w:t>
      </w:r>
      <w:r w:rsidRPr="00C140A8">
        <w:rPr>
          <w:rStyle w:val="FootnoteReference"/>
          <w:rFonts w:ascii="Georgia" w:hAnsi="Georgia" w:cs="Calibri"/>
          <w:sz w:val="22"/>
          <w:szCs w:val="22"/>
          <w:lang w:val="nl-NL"/>
        </w:rPr>
        <w:footnoteReference w:id="14"/>
      </w:r>
      <w:r w:rsidRPr="00C140A8">
        <w:rPr>
          <w:rFonts w:ascii="Georgia" w:hAnsi="Georgia" w:cs="Calibri"/>
          <w:sz w:val="22"/>
          <w:szCs w:val="22"/>
          <w:lang w:val="nl-NL"/>
        </w:rPr>
        <w:t xml:space="preserve">  Oefenden zij in de vroege middeleeuwen nog aanzienlijke invloed uit binnen familiale netwerken, dan drongen de centralisering van het gezag, kerkelijke hervormingen en een toenemende voorkeur voor mannelijke opvolging hen vanaf de elfde eeuw stelselmatig terug.</w:t>
      </w:r>
      <w:r w:rsidRPr="00C140A8">
        <w:rPr>
          <w:rStyle w:val="FootnoteReference"/>
          <w:rFonts w:ascii="Georgia" w:hAnsi="Georgia" w:cs="Calibri"/>
          <w:sz w:val="22"/>
          <w:szCs w:val="22"/>
          <w:lang w:val="nl-NL"/>
        </w:rPr>
        <w:footnoteReference w:id="15"/>
      </w:r>
      <w:r w:rsidRPr="00C140A8">
        <w:rPr>
          <w:rFonts w:ascii="Georgia" w:hAnsi="Georgia" w:cs="Calibri"/>
          <w:sz w:val="22"/>
          <w:szCs w:val="22"/>
          <w:lang w:val="nl-NL"/>
        </w:rPr>
        <w:t xml:space="preserve">  De private kring maakte plaats voor een publiek bestuur dat een exclusief mannelijk domein werd. Machtige vrouwen die nadien toch opdoken, golden als uitzonderingen op de regel.</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16"/>
      </w:r>
      <w:r w:rsidRPr="00C140A8">
        <w:rPr>
          <w:rFonts w:ascii="Georgia" w:hAnsi="Georgia" w:cs="Calibri"/>
          <w:sz w:val="22"/>
          <w:szCs w:val="22"/>
          <w:lang w:val="nl-NL"/>
        </w:rPr>
        <w:t xml:space="preserve">  Deze these bleef tot ver in de jaren tachtig </w:t>
      </w:r>
      <w:r w:rsidR="006C7D39">
        <w:rPr>
          <w:rFonts w:ascii="Georgia" w:hAnsi="Georgia" w:cs="Calibri"/>
          <w:sz w:val="22"/>
          <w:szCs w:val="22"/>
          <w:lang w:val="nl-NL"/>
        </w:rPr>
        <w:t xml:space="preserve">en negentig </w:t>
      </w:r>
      <w:r w:rsidRPr="00C140A8">
        <w:rPr>
          <w:rFonts w:ascii="Georgia" w:hAnsi="Georgia" w:cs="Calibri"/>
          <w:sz w:val="22"/>
          <w:szCs w:val="22"/>
          <w:lang w:val="nl-NL"/>
        </w:rPr>
        <w:t>dominant.</w:t>
      </w:r>
    </w:p>
    <w:p w14:paraId="1DA1EE70" w14:textId="0D687286" w:rsidR="00347160" w:rsidRPr="00C140A8" w:rsidRDefault="0034716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De recente historiografie stelt die uitzonderingsregel in vraag. Met een thematische bundel van studies over de rol van de vrouwelijke elite in de middeleeuwen willen historici onder leiding van Heather Tanner het debat een nieuwe wending geven.</w:t>
      </w:r>
      <w:r w:rsidRPr="00C140A8">
        <w:rPr>
          <w:rStyle w:val="FootnoteReference"/>
          <w:rFonts w:ascii="Georgia" w:hAnsi="Georgia" w:cs="Calibri"/>
          <w:sz w:val="22"/>
          <w:szCs w:val="22"/>
          <w:lang w:val="nl-NL"/>
        </w:rPr>
        <w:footnoteReference w:id="17"/>
      </w:r>
      <w:r w:rsidRPr="00C140A8">
        <w:rPr>
          <w:rFonts w:ascii="Georgia" w:hAnsi="Georgia" w:cs="Calibri"/>
          <w:sz w:val="22"/>
          <w:szCs w:val="22"/>
          <w:lang w:val="nl-NL"/>
        </w:rPr>
        <w:t xml:space="preserve"> Niet door misogynie in middeleeuws Europa te ontkennen, maar door te tonen dat tijdgenoten elitevrouwen met autoriteit accepteerden en dat hun aanwezigheid eerder normaal dan uitzonderlijk was.</w:t>
      </w:r>
      <w:r w:rsidRPr="00C140A8">
        <w:rPr>
          <w:rStyle w:val="FootnoteReference"/>
          <w:rFonts w:ascii="Georgia" w:hAnsi="Georgia" w:cs="Calibri"/>
          <w:sz w:val="22"/>
          <w:szCs w:val="22"/>
          <w:lang w:val="nl-NL"/>
        </w:rPr>
        <w:footnoteReference w:id="18"/>
      </w:r>
      <w:r w:rsidRPr="00C140A8">
        <w:rPr>
          <w:rFonts w:ascii="Georgia" w:hAnsi="Georgia" w:cs="Calibri"/>
          <w:sz w:val="22"/>
          <w:szCs w:val="22"/>
          <w:lang w:val="nl-NL"/>
        </w:rPr>
        <w:t xml:space="preserve"> </w:t>
      </w:r>
      <w:r w:rsidR="00315870" w:rsidRPr="00C140A8">
        <w:rPr>
          <w:rFonts w:ascii="Georgia" w:hAnsi="Georgia" w:cs="Calibri"/>
          <w:sz w:val="22"/>
          <w:szCs w:val="22"/>
          <w:lang w:val="nl-NL"/>
        </w:rPr>
        <w:t>H</w:t>
      </w:r>
      <w:r w:rsidRPr="00C140A8">
        <w:rPr>
          <w:rFonts w:ascii="Georgia" w:hAnsi="Georgia" w:cs="Calibri"/>
          <w:sz w:val="22"/>
          <w:szCs w:val="22"/>
          <w:lang w:val="nl-NL"/>
        </w:rPr>
        <w:t>un plek in de familie en de daarbij behorende rol, zoals vorstin in eigen recht, regentes, koningin-gemalin of moeder, dochter, weduwe, bepaalden mee hun handelingsruimte en zij gebruikten die rol om een eigen politieke identiteit uit te bouwen.</w:t>
      </w:r>
      <w:r w:rsidRPr="00C140A8">
        <w:rPr>
          <w:rStyle w:val="FootnoteReference"/>
          <w:rFonts w:ascii="Georgia" w:hAnsi="Georgia" w:cs="Calibri"/>
          <w:sz w:val="22"/>
          <w:szCs w:val="22"/>
          <w:lang w:val="nl-NL"/>
        </w:rPr>
        <w:footnoteReference w:id="19"/>
      </w:r>
      <w:r w:rsidRPr="00C140A8">
        <w:rPr>
          <w:rFonts w:ascii="Georgia" w:hAnsi="Georgia" w:cs="Calibri"/>
          <w:sz w:val="22"/>
          <w:szCs w:val="22"/>
          <w:lang w:val="nl-NL"/>
        </w:rPr>
        <w:t xml:space="preserve"> Zij beoefenden en reproduceerden die positie dagelijks, terwijl nieuwe politieke omstandigheden hen evengoed uitdaagden. De manier waarop een vorstin haar autoriteit vormgaf bepaalde mede hoe standvastig die was.</w:t>
      </w:r>
      <w:r w:rsidRPr="00C140A8">
        <w:rPr>
          <w:rStyle w:val="FootnoteReference"/>
          <w:rFonts w:ascii="Georgia" w:hAnsi="Georgia" w:cs="Calibri"/>
          <w:sz w:val="22"/>
          <w:szCs w:val="22"/>
          <w:lang w:val="nl-NL"/>
        </w:rPr>
        <w:footnoteReference w:id="20"/>
      </w:r>
    </w:p>
    <w:p w14:paraId="6845111B" w14:textId="1A235DEF" w:rsidR="00347160" w:rsidRDefault="00347160" w:rsidP="00C140A8">
      <w:pPr>
        <w:spacing w:afterLines="80" w:after="192" w:line="360" w:lineRule="auto"/>
        <w:jc w:val="both"/>
        <w:rPr>
          <w:rFonts w:ascii="Georgia" w:hAnsi="Georgia" w:cs="Calibri"/>
          <w:sz w:val="22"/>
          <w:szCs w:val="22"/>
          <w:lang w:val="nl-NL"/>
        </w:rPr>
      </w:pPr>
      <w:proofErr w:type="spellStart"/>
      <w:r w:rsidRPr="00C140A8">
        <w:rPr>
          <w:rFonts w:ascii="Georgia" w:hAnsi="Georgia" w:cs="Calibri"/>
          <w:sz w:val="22"/>
          <w:szCs w:val="22"/>
          <w:lang w:val="nl-NL"/>
        </w:rPr>
        <w:lastRenderedPageBreak/>
        <w:t>Fößel</w:t>
      </w:r>
      <w:proofErr w:type="spellEnd"/>
      <w:r w:rsidRPr="00C140A8">
        <w:rPr>
          <w:rFonts w:ascii="Georgia" w:hAnsi="Georgia" w:cs="Calibri"/>
          <w:sz w:val="22"/>
          <w:szCs w:val="22"/>
          <w:lang w:val="nl-NL"/>
        </w:rPr>
        <w:t xml:space="preserve"> signaleert daarnaast een belangrijke verschuiving vanaf de dertiende eeuw. Waar men vrouwelijke macht voorheen voorstelde via het theologisch gefundeerde model van het </w:t>
      </w:r>
      <w:r w:rsidRPr="00C140A8">
        <w:rPr>
          <w:rFonts w:ascii="Georgia" w:hAnsi="Georgia" w:cs="Calibri"/>
          <w:i/>
          <w:iCs/>
          <w:sz w:val="22"/>
          <w:szCs w:val="22"/>
          <w:lang w:val="nl-NL"/>
        </w:rPr>
        <w:t>consortium</w:t>
      </w:r>
      <w:r w:rsidRPr="00C140A8">
        <w:rPr>
          <w:rFonts w:ascii="Georgia" w:hAnsi="Georgia" w:cs="Calibri"/>
          <w:sz w:val="22"/>
          <w:szCs w:val="22"/>
          <w:lang w:val="nl-NL"/>
        </w:rPr>
        <w:t>, een idee van politiek partnerschap gebaseerd op Bijbelse modellen,  kreeg het in de late middeleeuwen een nieuwe dimensie die steeds nadrukkelijker steunde op juridische criteria zoals erfrecht en dynastieke aanspraak.</w:t>
      </w:r>
      <w:r w:rsidRPr="00C140A8">
        <w:rPr>
          <w:rStyle w:val="FootnoteReference"/>
          <w:rFonts w:ascii="Georgia" w:hAnsi="Georgia" w:cs="Calibri"/>
          <w:sz w:val="22"/>
          <w:szCs w:val="22"/>
          <w:lang w:val="nl-NL"/>
        </w:rPr>
        <w:footnoteReference w:id="21"/>
      </w:r>
      <w:r w:rsidRPr="00C140A8">
        <w:rPr>
          <w:rFonts w:ascii="Georgia" w:hAnsi="Georgia" w:cs="Calibri"/>
          <w:sz w:val="22"/>
          <w:szCs w:val="22"/>
          <w:lang w:val="nl-NL"/>
        </w:rPr>
        <w:t xml:space="preserve"> Een gelijktijdig opkomend biologisch discours, dat teruggreep op Aristoteles' idee van de ‘onvolledige vrouw,’ doorkruiste echter dit juridisch-politieke argument voor vrouwelijke heerschappij.</w:t>
      </w:r>
      <w:r w:rsidRPr="00C140A8">
        <w:rPr>
          <w:rStyle w:val="FootnoteReference"/>
          <w:rFonts w:ascii="Georgia" w:hAnsi="Georgia" w:cs="Calibri"/>
          <w:sz w:val="22"/>
          <w:szCs w:val="22"/>
          <w:lang w:val="nl-NL"/>
        </w:rPr>
        <w:footnoteReference w:id="22"/>
      </w:r>
      <w:r w:rsidRPr="00C140A8">
        <w:rPr>
          <w:rFonts w:ascii="Georgia" w:hAnsi="Georgia" w:cs="Calibri"/>
          <w:sz w:val="22"/>
          <w:szCs w:val="22"/>
          <w:lang w:val="nl-NL"/>
        </w:rPr>
        <w:t xml:space="preserve"> </w:t>
      </w:r>
      <w:r w:rsidR="009F4FC5" w:rsidRPr="009F4FC5">
        <w:rPr>
          <w:rFonts w:ascii="Georgia" w:hAnsi="Georgia" w:cs="Calibri"/>
          <w:sz w:val="22"/>
          <w:szCs w:val="22"/>
          <w:lang w:val="nl-NL"/>
        </w:rPr>
        <w:t>De beeldvorming rond regerende vrouwen situeert zich dan ook</w:t>
      </w:r>
      <w:r w:rsidRPr="00C140A8">
        <w:rPr>
          <w:rFonts w:ascii="Georgia" w:hAnsi="Georgia" w:cs="Calibri"/>
          <w:sz w:val="22"/>
          <w:szCs w:val="22"/>
          <w:lang w:val="nl-NL"/>
        </w:rPr>
        <w:t xml:space="preserve"> tegen de achtergrond van deze spanning tussen hun juridische rechten en de </w:t>
      </w:r>
      <w:proofErr w:type="spellStart"/>
      <w:r w:rsidRPr="00C140A8">
        <w:rPr>
          <w:rFonts w:ascii="Georgia" w:hAnsi="Georgia" w:cs="Calibri"/>
          <w:sz w:val="22"/>
          <w:szCs w:val="22"/>
          <w:lang w:val="nl-NL"/>
        </w:rPr>
        <w:t>delegitimatie</w:t>
      </w:r>
      <w:proofErr w:type="spellEnd"/>
      <w:r w:rsidRPr="00C140A8">
        <w:rPr>
          <w:rFonts w:ascii="Georgia" w:hAnsi="Georgia" w:cs="Calibri"/>
          <w:sz w:val="22"/>
          <w:szCs w:val="22"/>
          <w:lang w:val="nl-NL"/>
        </w:rPr>
        <w:t xml:space="preserve"> via bijbels-biologische verschillen.</w:t>
      </w:r>
      <w:r w:rsidRPr="00C140A8">
        <w:rPr>
          <w:rStyle w:val="FootnoteReference"/>
          <w:rFonts w:ascii="Georgia" w:hAnsi="Georgia" w:cs="Calibri"/>
          <w:sz w:val="22"/>
          <w:szCs w:val="22"/>
          <w:lang w:val="nl-NL"/>
        </w:rPr>
        <w:footnoteReference w:id="23"/>
      </w:r>
      <w:r w:rsidRPr="00C140A8">
        <w:rPr>
          <w:rFonts w:ascii="Georgia" w:hAnsi="Georgia" w:cs="Calibri"/>
          <w:sz w:val="22"/>
          <w:szCs w:val="22"/>
          <w:lang w:val="nl-NL"/>
        </w:rPr>
        <w:t xml:space="preserve"> Tanner wijst er daarbij op dat middeleeuwse commentatoren, ondanks diepgewortelde misogyne percepties, geloofden dat God individuele vrouwen in machtsposities kon plaatsen. Die erkenning ging echter gepaard met een voortdurende toeschrijving van zwakte, wellust en instabiliteit als wezenlijk vrouwelijke eigenschappen.</w:t>
      </w:r>
      <w:r w:rsidRPr="00C140A8">
        <w:rPr>
          <w:rStyle w:val="FootnoteReference"/>
          <w:rFonts w:ascii="Georgia" w:hAnsi="Georgia" w:cs="Calibri"/>
          <w:sz w:val="22"/>
          <w:szCs w:val="22"/>
          <w:lang w:val="nl-NL"/>
        </w:rPr>
        <w:footnoteReference w:id="24"/>
      </w:r>
      <w:r w:rsidRPr="00C140A8">
        <w:rPr>
          <w:rFonts w:ascii="Georgia" w:hAnsi="Georgia" w:cs="Calibri"/>
          <w:sz w:val="22"/>
          <w:szCs w:val="22"/>
          <w:lang w:val="nl-NL"/>
        </w:rPr>
        <w:t xml:space="preserve"> </w:t>
      </w:r>
    </w:p>
    <w:p w14:paraId="5CDDF450" w14:textId="298E68E8" w:rsidR="00130195" w:rsidRDefault="008D7FD9" w:rsidP="00C140A8">
      <w:pPr>
        <w:spacing w:afterLines="80" w:after="192" w:line="360" w:lineRule="auto"/>
        <w:jc w:val="both"/>
        <w:rPr>
          <w:rFonts w:ascii="Georgia" w:hAnsi="Georgia" w:cs="Calibri"/>
          <w:sz w:val="22"/>
          <w:szCs w:val="22"/>
          <w:lang w:val="nl-NL"/>
        </w:rPr>
      </w:pPr>
      <w:r w:rsidRPr="008D7FD9">
        <w:rPr>
          <w:rFonts w:ascii="Georgia" w:hAnsi="Georgia" w:cs="Calibri"/>
          <w:sz w:val="22"/>
          <w:szCs w:val="22"/>
        </w:rPr>
        <w:t>Janna Bianchini stelt dat dergelijke beeldvorming deels is toe te schrijven aan opvattingen over dynastieke legitimiteit, eerder dan aan gender. De negatieve beeldvorming over een vorstin diende vaak als legitimatie van het gezag van haar mannelijke opvolgers, veeleer dan als depreciatie van vrouwelijk bestuur op zich. In de lijn van Tanners these argumenteert ook Bianchini dat tijdgenoten vrouwelijke machtsuitoefening accepteerden.</w:t>
      </w:r>
      <w:r w:rsidRPr="008D7FD9">
        <w:rPr>
          <w:rStyle w:val="FootnoteReference"/>
          <w:rFonts w:ascii="Georgia" w:hAnsi="Georgia" w:cs="Calibri"/>
          <w:sz w:val="22"/>
          <w:szCs w:val="22"/>
          <w:lang w:val="nl-NL"/>
        </w:rPr>
        <w:t xml:space="preserve"> </w:t>
      </w:r>
      <w:r w:rsidRPr="008D7FD9">
        <w:rPr>
          <w:rStyle w:val="FootnoteReference"/>
          <w:rFonts w:ascii="Georgia" w:hAnsi="Georgia" w:cs="Calibri"/>
          <w:sz w:val="22"/>
          <w:szCs w:val="22"/>
          <w:lang w:val="nl-NL"/>
        </w:rPr>
        <w:footnoteReference w:id="25"/>
      </w:r>
    </w:p>
    <w:p w14:paraId="1F722A2A" w14:textId="066A11A8" w:rsidR="00347160" w:rsidRPr="00C140A8" w:rsidRDefault="0034716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Omdat acceptatie nog geen succes garandeert, verschuift de analyse naar de vraag hoe een vorstin haar macht uitoefende. Theresa Earenfight pleit er allereerst voor de binaire kaders te doorbreken waarbinnen onderzoekers werken.</w:t>
      </w:r>
      <w:r w:rsidRPr="2D0D95AE">
        <w:rPr>
          <w:rStyle w:val="FootnoteReference"/>
          <w:rFonts w:ascii="Georgia" w:hAnsi="Georgia" w:cs="Calibri"/>
          <w:sz w:val="22"/>
          <w:szCs w:val="22"/>
          <w:lang w:val="nl-NL"/>
        </w:rPr>
        <w:footnoteReference w:id="26"/>
      </w:r>
      <w:r w:rsidRPr="00C140A8">
        <w:rPr>
          <w:rFonts w:ascii="Georgia" w:hAnsi="Georgia" w:cs="Calibri"/>
          <w:sz w:val="22"/>
          <w:szCs w:val="22"/>
          <w:lang w:val="nl-NL"/>
        </w:rPr>
        <w:t xml:space="preserve"> Zij maakt komaf met het simpele idee dat een vrouw macht </w:t>
      </w:r>
      <w:r w:rsidR="009F4FC5" w:rsidRPr="00C140A8">
        <w:rPr>
          <w:rFonts w:ascii="Georgia" w:hAnsi="Georgia" w:cs="Calibri"/>
          <w:sz w:val="22"/>
          <w:szCs w:val="22"/>
          <w:lang w:val="nl-NL"/>
        </w:rPr>
        <w:t>had, of</w:t>
      </w:r>
      <w:r w:rsidRPr="00C140A8">
        <w:rPr>
          <w:rFonts w:ascii="Georgia" w:hAnsi="Georgia" w:cs="Calibri"/>
          <w:sz w:val="22"/>
          <w:szCs w:val="22"/>
          <w:lang w:val="nl-NL"/>
        </w:rPr>
        <w:t xml:space="preserve"> die niet had. Erkende men haar macht wél, dan werd die getoetst aan gegenderde categorieën. Zo zouden vrouwen </w:t>
      </w:r>
      <w:r w:rsidR="009F4FC5">
        <w:rPr>
          <w:rFonts w:ascii="Georgia" w:hAnsi="Georgia" w:cs="Calibri"/>
          <w:sz w:val="22"/>
          <w:szCs w:val="22"/>
          <w:lang w:val="nl-NL"/>
        </w:rPr>
        <w:t>‘</w:t>
      </w:r>
      <w:r w:rsidRPr="00C140A8">
        <w:rPr>
          <w:rFonts w:ascii="Georgia" w:hAnsi="Georgia" w:cs="Calibri"/>
          <w:sz w:val="22"/>
          <w:szCs w:val="22"/>
          <w:lang w:val="nl-NL"/>
        </w:rPr>
        <w:t>soft power</w:t>
      </w:r>
      <w:r w:rsidR="009F4FC5">
        <w:rPr>
          <w:rFonts w:ascii="Georgia" w:hAnsi="Georgia" w:cs="Calibri"/>
          <w:sz w:val="22"/>
          <w:szCs w:val="22"/>
          <w:lang w:val="nl-NL"/>
        </w:rPr>
        <w:t>’</w:t>
      </w:r>
      <w:r w:rsidRPr="00C140A8">
        <w:rPr>
          <w:rFonts w:ascii="Georgia" w:hAnsi="Georgia" w:cs="Calibri"/>
          <w:sz w:val="22"/>
          <w:szCs w:val="22"/>
          <w:lang w:val="nl-NL"/>
        </w:rPr>
        <w:t xml:space="preserve"> uitoefenen en mannen </w:t>
      </w:r>
      <w:r w:rsidR="009F4FC5">
        <w:rPr>
          <w:rFonts w:ascii="Georgia" w:hAnsi="Georgia" w:cs="Calibri"/>
          <w:sz w:val="22"/>
          <w:szCs w:val="22"/>
          <w:lang w:val="nl-NL"/>
        </w:rPr>
        <w:t>‘</w:t>
      </w:r>
      <w:r w:rsidRPr="00C140A8">
        <w:rPr>
          <w:rFonts w:ascii="Georgia" w:hAnsi="Georgia" w:cs="Calibri"/>
          <w:sz w:val="22"/>
          <w:szCs w:val="22"/>
          <w:lang w:val="nl-NL"/>
        </w:rPr>
        <w:t>hard power</w:t>
      </w:r>
      <w:r w:rsidR="009F4FC5" w:rsidRPr="00C140A8">
        <w:rPr>
          <w:rFonts w:ascii="Georgia" w:hAnsi="Georgia" w:cs="Calibri"/>
          <w:sz w:val="22"/>
          <w:szCs w:val="22"/>
          <w:lang w:val="nl-NL"/>
        </w:rPr>
        <w:t>’, mannen</w:t>
      </w:r>
      <w:r w:rsidRPr="00C140A8">
        <w:rPr>
          <w:rFonts w:ascii="Georgia" w:hAnsi="Georgia" w:cs="Calibri"/>
          <w:sz w:val="22"/>
          <w:szCs w:val="22"/>
          <w:lang w:val="nl-NL"/>
        </w:rPr>
        <w:t xml:space="preserve"> hebben macht en vrouwen hebben </w:t>
      </w:r>
      <w:r w:rsidR="009F4FC5">
        <w:rPr>
          <w:rFonts w:ascii="Georgia" w:hAnsi="Georgia" w:cs="Calibri"/>
          <w:sz w:val="22"/>
          <w:szCs w:val="22"/>
          <w:lang w:val="nl-NL"/>
        </w:rPr>
        <w:t>‘</w:t>
      </w:r>
      <w:r w:rsidRPr="00C140A8">
        <w:rPr>
          <w:rFonts w:ascii="Georgia" w:hAnsi="Georgia" w:cs="Calibri"/>
          <w:sz w:val="22"/>
          <w:szCs w:val="22"/>
          <w:lang w:val="nl-NL"/>
        </w:rPr>
        <w:t>invloed</w:t>
      </w:r>
      <w:r w:rsidR="009F4FC5">
        <w:rPr>
          <w:rFonts w:ascii="Georgia" w:hAnsi="Georgia" w:cs="Calibri"/>
          <w:sz w:val="22"/>
          <w:szCs w:val="22"/>
          <w:lang w:val="nl-NL"/>
        </w:rPr>
        <w:t>’</w:t>
      </w:r>
      <w:r w:rsidRPr="00C140A8">
        <w:rPr>
          <w:rFonts w:ascii="Georgia" w:hAnsi="Georgia" w:cs="Calibri"/>
          <w:sz w:val="22"/>
          <w:szCs w:val="22"/>
          <w:lang w:val="nl-NL"/>
        </w:rPr>
        <w:t xml:space="preserve"> of </w:t>
      </w:r>
      <w:r w:rsidR="009F4FC5">
        <w:rPr>
          <w:rFonts w:ascii="Georgia" w:hAnsi="Georgia" w:cs="Calibri"/>
          <w:sz w:val="22"/>
          <w:szCs w:val="22"/>
          <w:lang w:val="nl-NL"/>
        </w:rPr>
        <w:t>‘</w:t>
      </w:r>
      <w:r w:rsidRPr="00C140A8">
        <w:rPr>
          <w:rFonts w:ascii="Georgia" w:hAnsi="Georgia" w:cs="Calibri"/>
          <w:sz w:val="22"/>
          <w:szCs w:val="22"/>
          <w:lang w:val="nl-NL"/>
        </w:rPr>
        <w:t>agency</w:t>
      </w:r>
      <w:r w:rsidR="009F4FC5">
        <w:rPr>
          <w:rFonts w:ascii="Georgia" w:hAnsi="Georgia" w:cs="Calibri"/>
          <w:sz w:val="22"/>
          <w:szCs w:val="22"/>
          <w:lang w:val="nl-NL"/>
        </w:rPr>
        <w:t>’</w:t>
      </w:r>
      <w:r w:rsidRPr="00C140A8">
        <w:rPr>
          <w:rFonts w:ascii="Georgia" w:hAnsi="Georgia" w:cs="Calibri"/>
          <w:sz w:val="22"/>
          <w:szCs w:val="22"/>
          <w:lang w:val="nl-NL"/>
        </w:rPr>
        <w:t>.</w:t>
      </w:r>
      <w:r w:rsidRPr="2D0D95AE">
        <w:rPr>
          <w:rStyle w:val="FootnoteReference"/>
          <w:rFonts w:ascii="Georgia" w:hAnsi="Georgia" w:cs="Calibri"/>
          <w:sz w:val="22"/>
          <w:szCs w:val="22"/>
          <w:lang w:val="nl-NL"/>
        </w:rPr>
        <w:footnoteReference w:id="27"/>
      </w:r>
      <w:r w:rsidRPr="00C140A8">
        <w:rPr>
          <w:rFonts w:ascii="Georgia" w:hAnsi="Georgia" w:cs="Calibri"/>
          <w:sz w:val="22"/>
          <w:szCs w:val="22"/>
          <w:lang w:val="nl-NL"/>
        </w:rPr>
        <w:t xml:space="preserve">  Dergelijke woordkeuze plaatst het handelen van de vorstin steevast in relatie tot dat van de koning en stelt het als minderwaardig voor, waardoor machtige vrouwen alsnog als uitzondering op een patriarchale regel verschijnen. Earenfight wil gender niet buiten beschouwing laten, maar verlegt de focus naar de functieomschrijving. Het gaat om de bronnen van macht en wat vorstinnen daadwerkelijk dóén: geschenken geven en patronage uitoefenen, diplomatieke onderhandelingen voeren, netwerken onderhouden, troepen leiden enzovoort.</w:t>
      </w:r>
      <w:r w:rsidRPr="00C140A8">
        <w:rPr>
          <w:rStyle w:val="FootnoteReference"/>
          <w:rFonts w:ascii="Georgia" w:hAnsi="Georgia" w:cs="Calibri"/>
          <w:sz w:val="22"/>
          <w:szCs w:val="22"/>
          <w:lang w:val="nl-NL"/>
        </w:rPr>
        <w:t xml:space="preserve"> </w:t>
      </w:r>
      <w:r w:rsidRPr="2D0D95AE">
        <w:rPr>
          <w:rStyle w:val="FootnoteReference"/>
          <w:rFonts w:ascii="Georgia" w:hAnsi="Georgia" w:cs="Calibri"/>
          <w:sz w:val="22"/>
          <w:szCs w:val="22"/>
          <w:lang w:val="nl-NL"/>
        </w:rPr>
        <w:footnoteReference w:id="28"/>
      </w:r>
    </w:p>
    <w:p w14:paraId="79C85C62" w14:textId="77777777" w:rsidR="00347160" w:rsidRPr="00BB06BE" w:rsidRDefault="00347160" w:rsidP="00BB06BE">
      <w:pPr>
        <w:pStyle w:val="ThesisSubheading"/>
        <w:ind w:left="993" w:hanging="993"/>
      </w:pPr>
      <w:bookmarkStart w:id="23" w:name="_Toc230118014"/>
      <w:bookmarkStart w:id="24" w:name="_Toc230358683"/>
      <w:bookmarkStart w:id="25" w:name="_Toc231153750"/>
      <w:bookmarkStart w:id="26" w:name="_Toc231329825"/>
      <w:bookmarkStart w:id="27" w:name="_Toc231330432"/>
      <w:bookmarkStart w:id="28" w:name="_Toc231428026"/>
      <w:r w:rsidRPr="00BB06BE">
        <w:lastRenderedPageBreak/>
        <w:t xml:space="preserve">Agency, gender </w:t>
      </w:r>
      <w:proofErr w:type="spellStart"/>
      <w:r w:rsidRPr="00BB06BE">
        <w:t>en</w:t>
      </w:r>
      <w:proofErr w:type="spellEnd"/>
      <w:r w:rsidRPr="00BB06BE">
        <w:t xml:space="preserve"> </w:t>
      </w:r>
      <w:proofErr w:type="spellStart"/>
      <w:r w:rsidRPr="00BB06BE">
        <w:t>macht</w:t>
      </w:r>
      <w:bookmarkEnd w:id="23"/>
      <w:bookmarkEnd w:id="24"/>
      <w:bookmarkEnd w:id="25"/>
      <w:bookmarkEnd w:id="26"/>
      <w:bookmarkEnd w:id="27"/>
      <w:bookmarkEnd w:id="28"/>
      <w:proofErr w:type="spellEnd"/>
    </w:p>
    <w:p w14:paraId="168D0541" w14:textId="7726DC7F" w:rsidR="00347160" w:rsidRPr="00C140A8" w:rsidRDefault="0034716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De term agency, die in het </w:t>
      </w:r>
      <w:proofErr w:type="spellStart"/>
      <w:r w:rsidRPr="00C140A8">
        <w:rPr>
          <w:rFonts w:ascii="Georgia" w:hAnsi="Georgia" w:cs="Calibri"/>
          <w:i/>
          <w:iCs/>
          <w:sz w:val="22"/>
          <w:szCs w:val="22"/>
          <w:lang w:val="nl-NL"/>
        </w:rPr>
        <w:t>queenship</w:t>
      </w:r>
      <w:proofErr w:type="spellEnd"/>
      <w:r w:rsidRPr="00C140A8">
        <w:rPr>
          <w:rFonts w:ascii="Georgia" w:hAnsi="Georgia" w:cs="Calibri"/>
          <w:sz w:val="22"/>
          <w:szCs w:val="22"/>
          <w:lang w:val="nl-NL"/>
        </w:rPr>
        <w:t>-onderzoek een prominente maar problematische plaats inneemt, blijft in dit onderzoek bruikbaar, mits duidelijk omschreven. De term roept in de eerste plaats veel discussie op vanwege zijn vaagheid en het gebrek aan consensus over de invulling ervan. Lynn Thomas problematiseert de term.</w:t>
      </w:r>
      <w:r w:rsidRPr="00C140A8">
        <w:rPr>
          <w:rStyle w:val="FootnoteReference"/>
          <w:rFonts w:ascii="Georgia" w:hAnsi="Georgia" w:cs="Calibri"/>
          <w:sz w:val="22"/>
          <w:szCs w:val="22"/>
          <w:lang w:val="nl-NL"/>
        </w:rPr>
        <w:footnoteReference w:id="29"/>
      </w:r>
      <w:r w:rsidRPr="00C140A8">
        <w:rPr>
          <w:rFonts w:ascii="Georgia" w:hAnsi="Georgia" w:cs="Calibri"/>
          <w:sz w:val="22"/>
          <w:szCs w:val="22"/>
          <w:lang w:val="nl-NL"/>
        </w:rPr>
        <w:t xml:space="preserve"> Zij stelt dat agency te vaak op een descriptief oppervlak blijft drijven. Het argument </w:t>
      </w:r>
      <w:r w:rsidR="00FA267D">
        <w:rPr>
          <w:rFonts w:ascii="Georgia" w:hAnsi="Georgia" w:cs="Calibri"/>
          <w:sz w:val="22"/>
          <w:szCs w:val="22"/>
          <w:lang w:val="nl-NL"/>
        </w:rPr>
        <w:t>“</w:t>
      </w:r>
      <w:r w:rsidRPr="00C140A8">
        <w:rPr>
          <w:rFonts w:ascii="Georgia" w:hAnsi="Georgia" w:cs="Calibri"/>
          <w:sz w:val="22"/>
          <w:szCs w:val="22"/>
          <w:lang w:val="nl-NL"/>
        </w:rPr>
        <w:t>x heeft agency</w:t>
      </w:r>
      <w:r w:rsidR="00FA267D">
        <w:rPr>
          <w:rFonts w:ascii="Georgia" w:hAnsi="Georgia" w:cs="Calibri"/>
          <w:sz w:val="22"/>
          <w:szCs w:val="22"/>
          <w:lang w:val="nl-NL"/>
        </w:rPr>
        <w:t>”</w:t>
      </w:r>
      <w:r w:rsidRPr="00C140A8">
        <w:rPr>
          <w:rFonts w:ascii="Georgia" w:hAnsi="Georgia" w:cs="Calibri"/>
          <w:sz w:val="22"/>
          <w:szCs w:val="22"/>
          <w:lang w:val="nl-NL"/>
        </w:rPr>
        <w:t xml:space="preserve"> fungeert dan als eindconclusie, terwijl het juist het startschot van een bredere analyse zou moeten zijn. Bovendien omschrijven onderzoekers agency nog te vaak als iets dat voortkomt uit het rebelleren tegen bestaande sociale normen, wat opnieuw het beeld van de vorstin als uitzondering op de regel versterkt.</w:t>
      </w:r>
      <w:r w:rsidRPr="00C140A8">
        <w:rPr>
          <w:rStyle w:val="FootnoteReference"/>
          <w:rFonts w:ascii="Georgia" w:hAnsi="Georgia" w:cs="Calibri"/>
          <w:sz w:val="22"/>
          <w:szCs w:val="22"/>
          <w:lang w:val="nl-NL"/>
        </w:rPr>
        <w:footnoteReference w:id="30"/>
      </w:r>
    </w:p>
    <w:p w14:paraId="3B0F466F" w14:textId="35F9ED2D" w:rsidR="00347160" w:rsidRPr="00C140A8" w:rsidRDefault="00347160" w:rsidP="00913F16">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Toch </w:t>
      </w:r>
      <w:r w:rsidR="00640B99">
        <w:rPr>
          <w:rFonts w:ascii="Georgia" w:hAnsi="Georgia" w:cs="Calibri"/>
          <w:sz w:val="22"/>
          <w:szCs w:val="22"/>
          <w:lang w:val="nl-NL"/>
        </w:rPr>
        <w:t>is de term bruikbaar, mits een duidelijke afbakening</w:t>
      </w:r>
      <w:r w:rsidRPr="00C140A8">
        <w:rPr>
          <w:rFonts w:ascii="Georgia" w:hAnsi="Georgia" w:cs="Calibri"/>
          <w:sz w:val="22"/>
          <w:szCs w:val="22"/>
          <w:lang w:val="nl-NL"/>
        </w:rPr>
        <w:t xml:space="preserve">. </w:t>
      </w:r>
      <w:r w:rsidR="00C42314">
        <w:rPr>
          <w:rFonts w:ascii="Georgia" w:hAnsi="Georgia" w:cs="Calibri"/>
          <w:sz w:val="22"/>
          <w:szCs w:val="22"/>
          <w:lang w:val="nl-NL"/>
        </w:rPr>
        <w:t xml:space="preserve">Zo </w:t>
      </w:r>
      <w:r w:rsidR="00913F16">
        <w:rPr>
          <w:rFonts w:ascii="Georgia" w:hAnsi="Georgia" w:cs="Calibri"/>
          <w:sz w:val="22"/>
          <w:szCs w:val="22"/>
          <w:lang w:val="nl-NL"/>
        </w:rPr>
        <w:t>biedt</w:t>
      </w:r>
      <w:r w:rsidR="00C42314">
        <w:rPr>
          <w:rFonts w:ascii="Georgia" w:hAnsi="Georgia" w:cs="Calibri"/>
          <w:sz w:val="22"/>
          <w:szCs w:val="22"/>
          <w:lang w:val="nl-NL"/>
        </w:rPr>
        <w:t xml:space="preserve"> Martha Howell </w:t>
      </w:r>
      <w:r w:rsidR="00913F16">
        <w:rPr>
          <w:rFonts w:ascii="Georgia" w:hAnsi="Georgia" w:cs="Calibri"/>
          <w:sz w:val="22"/>
          <w:szCs w:val="22"/>
          <w:lang w:val="nl-NL"/>
        </w:rPr>
        <w:t>een sterke alternatieve invulling. Ze stelt dat</w:t>
      </w:r>
      <w:r w:rsidR="00C42314">
        <w:rPr>
          <w:rFonts w:ascii="Georgia" w:hAnsi="Georgia" w:cs="Calibri"/>
          <w:sz w:val="22"/>
          <w:szCs w:val="22"/>
          <w:lang w:val="nl-NL"/>
        </w:rPr>
        <w:t xml:space="preserve"> een vrouw vormgeeft aan en navigeert binnen bestaande machtsstructuren, </w:t>
      </w:r>
      <w:r w:rsidR="00913F16">
        <w:rPr>
          <w:rFonts w:ascii="Georgia" w:hAnsi="Georgia" w:cs="Calibri"/>
          <w:sz w:val="22"/>
          <w:szCs w:val="22"/>
          <w:lang w:val="nl-NL"/>
        </w:rPr>
        <w:t>waarbij ze deze kan omzeilen zonder ze omver te werpen.</w:t>
      </w:r>
      <w:r w:rsidR="00913F16" w:rsidRPr="00C140A8">
        <w:rPr>
          <w:rStyle w:val="FootnoteReference"/>
          <w:rFonts w:ascii="Georgia" w:hAnsi="Georgia" w:cs="Calibri"/>
          <w:sz w:val="22"/>
          <w:szCs w:val="22"/>
          <w:lang w:val="nl-NL"/>
        </w:rPr>
        <w:footnoteReference w:id="31"/>
      </w:r>
      <w:r w:rsidR="00913F16">
        <w:rPr>
          <w:rFonts w:ascii="Georgia" w:hAnsi="Georgia" w:cs="Calibri"/>
          <w:sz w:val="22"/>
          <w:szCs w:val="22"/>
          <w:lang w:val="nl-NL"/>
        </w:rPr>
        <w:t xml:space="preserve"> </w:t>
      </w:r>
      <w:r w:rsidRPr="00C140A8">
        <w:rPr>
          <w:rFonts w:ascii="Georgia" w:hAnsi="Georgia" w:cs="Calibri"/>
          <w:sz w:val="22"/>
          <w:szCs w:val="22"/>
          <w:lang w:val="nl-NL"/>
        </w:rPr>
        <w:t xml:space="preserve">Vrouwen functioneerden binnen een patriarchale structuur, en het is binnen die structuur dat zij onderhandelden en manoeuvreerden. Een dergelijke invulling van agency is minder gevoelig voor binaire denkbeelden en voor het idee van de vorstin als uitzondering.  Zij erkent de machtsstructuren waarbinnen vrouwen leefden, zonder hun handelen tot een louter descriptieve vaststelling te reduceren. Dit laat ruimte voor nuance, namelijk voor een vrouwelijke aanwezigheid binnen de macht die noch marginaal noch uitzonderlijk is, maar die pas volledig begrepen </w:t>
      </w:r>
      <w:r w:rsidR="00913F16">
        <w:rPr>
          <w:rFonts w:ascii="Georgia" w:hAnsi="Georgia" w:cs="Calibri"/>
          <w:sz w:val="22"/>
          <w:szCs w:val="22"/>
          <w:lang w:val="nl-NL"/>
        </w:rPr>
        <w:t>wordt</w:t>
      </w:r>
      <w:r w:rsidRPr="00C140A8">
        <w:rPr>
          <w:rFonts w:ascii="Georgia" w:hAnsi="Georgia" w:cs="Calibri"/>
          <w:sz w:val="22"/>
          <w:szCs w:val="22"/>
          <w:lang w:val="nl-NL"/>
        </w:rPr>
        <w:t xml:space="preserve"> vanuit de context waarin zij opereerde en de middelen waarover zij beschikte.</w:t>
      </w:r>
      <w:r w:rsidRPr="00C140A8">
        <w:rPr>
          <w:rStyle w:val="FootnoteReference"/>
          <w:rFonts w:ascii="Georgia" w:hAnsi="Georgia" w:cs="Calibri"/>
          <w:sz w:val="22"/>
          <w:szCs w:val="22"/>
          <w:lang w:val="nl-NL"/>
        </w:rPr>
        <w:footnoteReference w:id="32"/>
      </w:r>
      <w:r w:rsidRPr="00C140A8">
        <w:rPr>
          <w:rFonts w:ascii="Georgia" w:hAnsi="Georgia" w:cs="Calibri"/>
          <w:sz w:val="22"/>
          <w:szCs w:val="22"/>
          <w:lang w:val="nl-NL"/>
        </w:rPr>
        <w:t xml:space="preserve"> </w:t>
      </w:r>
    </w:p>
    <w:p w14:paraId="1BBA146F" w14:textId="132142AA" w:rsidR="008D7FD9" w:rsidRPr="00C140A8" w:rsidRDefault="0034716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Christopher </w:t>
      </w:r>
      <w:proofErr w:type="spellStart"/>
      <w:r w:rsidRPr="00C140A8">
        <w:rPr>
          <w:rFonts w:ascii="Georgia" w:hAnsi="Georgia" w:cs="Calibri"/>
          <w:sz w:val="22"/>
          <w:szCs w:val="22"/>
          <w:lang w:val="nl-NL"/>
        </w:rPr>
        <w:t>Fletcher</w:t>
      </w:r>
      <w:proofErr w:type="spellEnd"/>
      <w:r w:rsidRPr="00C140A8">
        <w:rPr>
          <w:rFonts w:ascii="Georgia" w:hAnsi="Georgia" w:cs="Calibri"/>
          <w:sz w:val="22"/>
          <w:szCs w:val="22"/>
          <w:lang w:val="nl-NL"/>
        </w:rPr>
        <w:t xml:space="preserve"> merkt daarnaast op dat de </w:t>
      </w:r>
      <w:proofErr w:type="spellStart"/>
      <w:r w:rsidRPr="00C140A8">
        <w:rPr>
          <w:rFonts w:ascii="Georgia" w:hAnsi="Georgia" w:cs="Calibri"/>
          <w:i/>
          <w:iCs/>
          <w:sz w:val="22"/>
          <w:szCs w:val="22"/>
          <w:lang w:val="nl-NL"/>
        </w:rPr>
        <w:t>queenship</w:t>
      </w:r>
      <w:proofErr w:type="spellEnd"/>
      <w:r w:rsidRPr="00C140A8">
        <w:rPr>
          <w:rFonts w:ascii="Georgia" w:hAnsi="Georgia" w:cs="Calibri"/>
          <w:sz w:val="22"/>
          <w:szCs w:val="22"/>
          <w:lang w:val="nl-NL"/>
        </w:rPr>
        <w:t>-studies nog te vaak tekortschieten in het betrekken van alle politieke machtsstructuren en instellingen. De aandacht gaat onevenredig uit naar de centrale monarchale instelling, de dynamiek tussen vorst en vorstin.</w:t>
      </w:r>
      <w:r w:rsidRPr="00C140A8">
        <w:rPr>
          <w:rStyle w:val="FootnoteReference"/>
          <w:rFonts w:ascii="Georgia" w:hAnsi="Georgia" w:cs="Calibri"/>
          <w:sz w:val="22"/>
          <w:szCs w:val="22"/>
          <w:lang w:val="nl-NL"/>
        </w:rPr>
        <w:footnoteReference w:id="33"/>
      </w:r>
      <w:r w:rsidRPr="00C140A8">
        <w:rPr>
          <w:rFonts w:ascii="Georgia" w:hAnsi="Georgia" w:cs="Calibri"/>
          <w:sz w:val="22"/>
          <w:szCs w:val="22"/>
          <w:lang w:val="nl-NL"/>
        </w:rPr>
        <w:t xml:space="preserve"> Sinds de jaren zestig kwam er met het succes van de </w:t>
      </w:r>
      <w:proofErr w:type="spellStart"/>
      <w:r w:rsidRPr="00C140A8">
        <w:rPr>
          <w:rFonts w:ascii="Georgia" w:hAnsi="Georgia" w:cs="Calibri"/>
          <w:i/>
          <w:iCs/>
          <w:sz w:val="22"/>
          <w:szCs w:val="22"/>
          <w:lang w:val="nl-NL"/>
        </w:rPr>
        <w:t>history</w:t>
      </w:r>
      <w:proofErr w:type="spellEnd"/>
      <w:r w:rsidRPr="00C140A8">
        <w:rPr>
          <w:rFonts w:ascii="Georgia" w:hAnsi="Georgia" w:cs="Calibri"/>
          <w:i/>
          <w:iCs/>
          <w:sz w:val="22"/>
          <w:szCs w:val="22"/>
          <w:lang w:val="nl-NL"/>
        </w:rPr>
        <w:t xml:space="preserve"> </w:t>
      </w:r>
      <w:proofErr w:type="spellStart"/>
      <w:r w:rsidRPr="00C140A8">
        <w:rPr>
          <w:rFonts w:ascii="Georgia" w:hAnsi="Georgia" w:cs="Calibri"/>
          <w:i/>
          <w:iCs/>
          <w:sz w:val="22"/>
          <w:szCs w:val="22"/>
          <w:lang w:val="nl-NL"/>
        </w:rPr>
        <w:t>from</w:t>
      </w:r>
      <w:proofErr w:type="spellEnd"/>
      <w:r w:rsidRPr="00C140A8">
        <w:rPr>
          <w:rFonts w:ascii="Georgia" w:hAnsi="Georgia" w:cs="Calibri"/>
          <w:i/>
          <w:iCs/>
          <w:sz w:val="22"/>
          <w:szCs w:val="22"/>
          <w:lang w:val="nl-NL"/>
        </w:rPr>
        <w:t xml:space="preserve"> below</w:t>
      </w:r>
      <w:r w:rsidRPr="00C140A8">
        <w:rPr>
          <w:rFonts w:ascii="Georgia" w:hAnsi="Georgia" w:cs="Calibri"/>
          <w:sz w:val="22"/>
          <w:szCs w:val="22"/>
          <w:lang w:val="nl-NL"/>
        </w:rPr>
        <w:t xml:space="preserve"> echter kritiek op het idee van een god-gegeven, hiërarchische ordening van monarchale macht. Middeleeuwse macht omvatte een brede waaier aan belangengroepen, wier gehoorzaamheid aan hun vorst in zekere zin contractueel was bepaald. Het ging dus niet om een eenvoudige hiërarchische piramide, maar om een breed en complex netwerk van sterk verweven relaties van afhankelijkheid, wederkerigheid en vertrouwen.</w:t>
      </w:r>
      <w:r w:rsidRPr="00C140A8">
        <w:rPr>
          <w:rStyle w:val="FootnoteReference"/>
          <w:rFonts w:ascii="Georgia" w:hAnsi="Georgia" w:cs="Calibri"/>
          <w:sz w:val="22"/>
          <w:szCs w:val="22"/>
          <w:lang w:val="nl-NL"/>
        </w:rPr>
        <w:footnoteReference w:id="34"/>
      </w:r>
      <w:r w:rsidRPr="00C140A8">
        <w:rPr>
          <w:rFonts w:ascii="Georgia" w:hAnsi="Georgia" w:cs="Calibri"/>
          <w:sz w:val="22"/>
          <w:szCs w:val="22"/>
          <w:lang w:val="nl-NL"/>
        </w:rPr>
        <w:t xml:space="preserve"> </w:t>
      </w:r>
      <w:proofErr w:type="spellStart"/>
      <w:r w:rsidRPr="00C140A8">
        <w:rPr>
          <w:rFonts w:ascii="Georgia" w:hAnsi="Georgia" w:cs="Calibri"/>
          <w:sz w:val="22"/>
          <w:szCs w:val="22"/>
          <w:lang w:val="nl-NL"/>
        </w:rPr>
        <w:t>Fletcher</w:t>
      </w:r>
      <w:proofErr w:type="spellEnd"/>
      <w:r w:rsidRPr="00C140A8">
        <w:rPr>
          <w:rFonts w:ascii="Georgia" w:hAnsi="Georgia" w:cs="Calibri"/>
          <w:sz w:val="22"/>
          <w:szCs w:val="22"/>
          <w:lang w:val="nl-NL"/>
        </w:rPr>
        <w:t xml:space="preserve"> pleit er dan ook voor om het </w:t>
      </w:r>
      <w:r w:rsidRPr="00C140A8">
        <w:rPr>
          <w:rFonts w:ascii="Georgia" w:hAnsi="Georgia" w:cs="Calibri"/>
          <w:sz w:val="22"/>
          <w:szCs w:val="22"/>
          <w:lang w:val="nl-NL"/>
        </w:rPr>
        <w:lastRenderedPageBreak/>
        <w:t xml:space="preserve">onderzoek naar vorstinnen binnen een bredere en </w:t>
      </w:r>
      <w:proofErr w:type="spellStart"/>
      <w:r w:rsidRPr="00C140A8">
        <w:rPr>
          <w:rFonts w:ascii="Georgia" w:hAnsi="Georgia" w:cs="Calibri"/>
          <w:sz w:val="22"/>
          <w:szCs w:val="22"/>
          <w:lang w:val="nl-NL"/>
        </w:rPr>
        <w:t>polycentrische</w:t>
      </w:r>
      <w:proofErr w:type="spellEnd"/>
      <w:r w:rsidRPr="00C140A8">
        <w:rPr>
          <w:rFonts w:ascii="Georgia" w:hAnsi="Georgia" w:cs="Calibri"/>
          <w:sz w:val="22"/>
          <w:szCs w:val="22"/>
          <w:lang w:val="nl-NL"/>
        </w:rPr>
        <w:t xml:space="preserve"> politieke wereld te plaatsen.</w:t>
      </w:r>
      <w:r w:rsidRPr="00C140A8">
        <w:rPr>
          <w:rStyle w:val="FootnoteReference"/>
          <w:rFonts w:ascii="Georgia" w:hAnsi="Georgia" w:cs="Calibri"/>
          <w:sz w:val="22"/>
          <w:szCs w:val="22"/>
          <w:lang w:val="nl-NL"/>
        </w:rPr>
        <w:footnoteReference w:id="35"/>
      </w:r>
      <w:r w:rsidRPr="00C140A8">
        <w:rPr>
          <w:rFonts w:ascii="Georgia" w:hAnsi="Georgia" w:cs="Calibri"/>
          <w:sz w:val="22"/>
          <w:szCs w:val="22"/>
          <w:lang w:val="nl-NL"/>
        </w:rPr>
        <w:t xml:space="preserve"> </w:t>
      </w:r>
      <w:r w:rsidR="008D7FD9">
        <w:rPr>
          <w:rFonts w:ascii="Georgia" w:hAnsi="Georgia" w:cs="Calibri"/>
          <w:sz w:val="22"/>
          <w:szCs w:val="22"/>
          <w:lang w:val="nl-NL"/>
        </w:rPr>
        <w:t>Ook dit onderzoek toont aan dat de handelingsruimte van Johanna maar te bepalen is door middel van onderzoek naar meerdere belangengroepen.</w:t>
      </w:r>
    </w:p>
    <w:p w14:paraId="36B76997" w14:textId="17C05A3B" w:rsidR="00347160" w:rsidRPr="00C140A8" w:rsidRDefault="00347160" w:rsidP="00BB06BE">
      <w:pPr>
        <w:pStyle w:val="ThesisSubheading"/>
        <w:ind w:left="1134"/>
        <w:rPr>
          <w:lang w:val="nl-NL"/>
        </w:rPr>
      </w:pPr>
      <w:bookmarkStart w:id="29" w:name="_Toc230118015"/>
      <w:bookmarkStart w:id="30" w:name="_Toc230358684"/>
      <w:bookmarkStart w:id="31" w:name="_Toc231153751"/>
      <w:bookmarkStart w:id="32" w:name="_Toc231329826"/>
      <w:bookmarkStart w:id="33" w:name="_Toc231330433"/>
      <w:bookmarkStart w:id="34" w:name="_Toc231428027"/>
      <w:r w:rsidRPr="00C140A8">
        <w:rPr>
          <w:lang w:val="nl-NL"/>
        </w:rPr>
        <w:t>Johanna en de historiografie</w:t>
      </w:r>
      <w:bookmarkEnd w:id="29"/>
      <w:bookmarkEnd w:id="30"/>
      <w:bookmarkEnd w:id="31"/>
      <w:bookmarkEnd w:id="32"/>
      <w:bookmarkEnd w:id="33"/>
      <w:bookmarkEnd w:id="34"/>
    </w:p>
    <w:p w14:paraId="5CE157E2" w14:textId="0550C5B4" w:rsidR="006E419D" w:rsidRDefault="0034716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Tegen deze achtergrond is het opvallend dat het onderzoek naar Johanna van Brabant deze theoretische ontwikkelingen amper heeft geïntegreerd. Gedurende de negentiende en twintigste eeuw bestudeerden historici haar </w:t>
      </w:r>
      <w:r w:rsidR="000A4326">
        <w:rPr>
          <w:rFonts w:ascii="Georgia" w:hAnsi="Georgia" w:cs="Calibri"/>
          <w:sz w:val="22"/>
          <w:szCs w:val="22"/>
          <w:lang w:val="nl-NL"/>
        </w:rPr>
        <w:t>bestuur</w:t>
      </w:r>
      <w:r w:rsidRPr="00C140A8">
        <w:rPr>
          <w:rFonts w:ascii="Georgia" w:hAnsi="Georgia" w:cs="Calibri"/>
          <w:sz w:val="22"/>
          <w:szCs w:val="22"/>
          <w:lang w:val="nl-NL"/>
        </w:rPr>
        <w:t xml:space="preserve"> met een nationalistische ondertoon</w:t>
      </w:r>
      <w:r w:rsidR="00623C8D">
        <w:rPr>
          <w:rFonts w:ascii="Georgia" w:hAnsi="Georgia" w:cs="Calibri"/>
          <w:sz w:val="22"/>
          <w:szCs w:val="22"/>
          <w:lang w:val="nl-NL"/>
        </w:rPr>
        <w:t>.</w:t>
      </w:r>
      <w:r w:rsidR="006E419D">
        <w:rPr>
          <w:rFonts w:ascii="Georgia" w:hAnsi="Georgia" w:cs="Calibri"/>
          <w:sz w:val="22"/>
          <w:szCs w:val="22"/>
          <w:lang w:val="nl-NL"/>
        </w:rPr>
        <w:t xml:space="preserve"> </w:t>
      </w:r>
      <w:r w:rsidR="00D777DA" w:rsidRPr="00350CF3">
        <w:rPr>
          <w:rFonts w:ascii="Georgia" w:hAnsi="Georgia" w:cs="Calibri"/>
          <w:sz w:val="22"/>
          <w:szCs w:val="22"/>
        </w:rPr>
        <w:t xml:space="preserve">Zij presenteerden de Bourgondische machtsovername als een eerste aanzet tot de territoriale eenheid die later België zou vormen, en reduceerden </w:t>
      </w:r>
      <w:r w:rsidR="000A4326">
        <w:rPr>
          <w:rFonts w:ascii="Georgia" w:hAnsi="Georgia" w:cs="Calibri"/>
          <w:sz w:val="22"/>
          <w:szCs w:val="22"/>
        </w:rPr>
        <w:t>de periode</w:t>
      </w:r>
      <w:r w:rsidR="00D777DA" w:rsidRPr="00350CF3">
        <w:rPr>
          <w:rFonts w:ascii="Georgia" w:hAnsi="Georgia" w:cs="Calibri"/>
          <w:sz w:val="22"/>
          <w:szCs w:val="22"/>
        </w:rPr>
        <w:t xml:space="preserve"> van Johanna en Wenceslas binnen dat kader tot een fase van wanorde, mismanagement en chaos, die pas met de komst van de Bourgondiërs weer op orde kwam. In dat teleologische plaatje paste een zelfstandig opererende vorstin niet</w:t>
      </w:r>
      <w:r w:rsidR="00350CF3">
        <w:rPr>
          <w:rFonts w:ascii="Georgia" w:hAnsi="Georgia" w:cs="Calibri"/>
          <w:sz w:val="22"/>
          <w:szCs w:val="22"/>
        </w:rPr>
        <w:t xml:space="preserve">. </w:t>
      </w:r>
      <w:r w:rsidR="00350CF3" w:rsidRPr="00350CF3">
        <w:rPr>
          <w:rFonts w:ascii="Georgia" w:hAnsi="Georgia" w:cs="Calibri"/>
          <w:sz w:val="22"/>
          <w:szCs w:val="22"/>
        </w:rPr>
        <w:t>Door de focus te leggen op de grote, traditionele politieke narratieven bleef Johanna als actieve medebestuurder buiten beeld, en wanneer historici haar wél opmerkten, kreeg haar optreden een negatieve connotatie, ondergeschikt aan een breder Belgisch verhaal.</w:t>
      </w:r>
    </w:p>
    <w:p w14:paraId="50568254" w14:textId="41F25C44" w:rsidR="00DA1C88" w:rsidRPr="000A2A96" w:rsidRDefault="00350CF3" w:rsidP="00C140A8">
      <w:pPr>
        <w:spacing w:afterLines="80" w:after="192" w:line="360" w:lineRule="auto"/>
        <w:jc w:val="both"/>
        <w:rPr>
          <w:rFonts w:ascii="Georgia" w:hAnsi="Georgia" w:cs="Calibri"/>
          <w:sz w:val="22"/>
          <w:szCs w:val="22"/>
          <w:lang w:val="nl-NL"/>
        </w:rPr>
      </w:pPr>
      <w:r>
        <w:rPr>
          <w:rFonts w:ascii="Georgia" w:hAnsi="Georgia" w:cs="Calibri"/>
          <w:sz w:val="22"/>
          <w:szCs w:val="22"/>
          <w:lang w:val="nl-NL"/>
        </w:rPr>
        <w:t xml:space="preserve">Zo erkent </w:t>
      </w:r>
      <w:proofErr w:type="spellStart"/>
      <w:r w:rsidR="00347160" w:rsidRPr="00C140A8">
        <w:rPr>
          <w:rFonts w:ascii="Georgia" w:hAnsi="Georgia" w:cs="Calibri"/>
          <w:sz w:val="22"/>
          <w:szCs w:val="22"/>
          <w:lang w:val="nl-NL"/>
        </w:rPr>
        <w:t>Edmond</w:t>
      </w:r>
      <w:proofErr w:type="spellEnd"/>
      <w:r w:rsidR="00347160" w:rsidRPr="00C140A8">
        <w:rPr>
          <w:rFonts w:ascii="Georgia" w:hAnsi="Georgia" w:cs="Calibri"/>
          <w:sz w:val="22"/>
          <w:szCs w:val="22"/>
          <w:lang w:val="nl-NL"/>
        </w:rPr>
        <w:t xml:space="preserve"> </w:t>
      </w:r>
      <w:proofErr w:type="spellStart"/>
      <w:r w:rsidR="00347160" w:rsidRPr="00C140A8">
        <w:rPr>
          <w:rFonts w:ascii="Georgia" w:hAnsi="Georgia" w:cs="Calibri"/>
          <w:sz w:val="22"/>
          <w:szCs w:val="22"/>
          <w:lang w:val="nl-NL"/>
        </w:rPr>
        <w:t>Poullet</w:t>
      </w:r>
      <w:proofErr w:type="spellEnd"/>
      <w:r w:rsidR="00347160" w:rsidRPr="00C140A8">
        <w:rPr>
          <w:rFonts w:ascii="Georgia" w:hAnsi="Georgia" w:cs="Calibri"/>
          <w:sz w:val="22"/>
          <w:szCs w:val="22"/>
          <w:lang w:val="nl-NL"/>
        </w:rPr>
        <w:t xml:space="preserve"> Johanna's bijdrage aan de Blijde Inkomst van 1356 niet. In zijn hoofdstuk </w:t>
      </w:r>
      <w:r w:rsidR="00347160" w:rsidRPr="000A4326">
        <w:rPr>
          <w:rFonts w:ascii="Georgia" w:hAnsi="Georgia" w:cs="Calibri"/>
          <w:i/>
          <w:iCs/>
          <w:sz w:val="22"/>
          <w:szCs w:val="22"/>
          <w:lang w:val="nl-NL"/>
        </w:rPr>
        <w:t xml:space="preserve">La </w:t>
      </w:r>
      <w:proofErr w:type="spellStart"/>
      <w:r w:rsidR="00347160" w:rsidRPr="000A4326">
        <w:rPr>
          <w:rFonts w:ascii="Georgia" w:hAnsi="Georgia" w:cs="Calibri"/>
          <w:i/>
          <w:iCs/>
          <w:sz w:val="22"/>
          <w:szCs w:val="22"/>
          <w:lang w:val="nl-NL"/>
        </w:rPr>
        <w:t>Joyeuse</w:t>
      </w:r>
      <w:proofErr w:type="spellEnd"/>
      <w:r w:rsidR="00347160" w:rsidRPr="000A4326">
        <w:rPr>
          <w:rFonts w:ascii="Georgia" w:hAnsi="Georgia" w:cs="Calibri"/>
          <w:i/>
          <w:iCs/>
          <w:sz w:val="22"/>
          <w:szCs w:val="22"/>
          <w:lang w:val="nl-NL"/>
        </w:rPr>
        <w:t xml:space="preserve">-Entrée de </w:t>
      </w:r>
      <w:proofErr w:type="spellStart"/>
      <w:r w:rsidR="00347160" w:rsidRPr="000A4326">
        <w:rPr>
          <w:rFonts w:ascii="Georgia" w:hAnsi="Georgia" w:cs="Calibri"/>
          <w:i/>
          <w:iCs/>
          <w:sz w:val="22"/>
          <w:szCs w:val="22"/>
          <w:lang w:val="nl-NL"/>
        </w:rPr>
        <w:t>Wenceslas</w:t>
      </w:r>
      <w:proofErr w:type="spellEnd"/>
      <w:r w:rsidR="00347160" w:rsidRPr="00C140A8">
        <w:rPr>
          <w:rFonts w:ascii="Georgia" w:hAnsi="Georgia" w:cs="Calibri"/>
          <w:sz w:val="22"/>
          <w:szCs w:val="22"/>
          <w:lang w:val="nl-NL"/>
        </w:rPr>
        <w:t xml:space="preserve"> stelt hij haar overwegend passief voor. Het charter verschijnt als een uitvaardiging van </w:t>
      </w:r>
      <w:proofErr w:type="spellStart"/>
      <w:r w:rsidR="00347160" w:rsidRPr="00C140A8">
        <w:rPr>
          <w:rFonts w:ascii="Georgia" w:hAnsi="Georgia" w:cs="Calibri"/>
          <w:sz w:val="22"/>
          <w:szCs w:val="22"/>
          <w:lang w:val="nl-NL"/>
        </w:rPr>
        <w:t>Wenceslas</w:t>
      </w:r>
      <w:proofErr w:type="spellEnd"/>
      <w:r w:rsidR="00347160" w:rsidRPr="00C140A8">
        <w:rPr>
          <w:rFonts w:ascii="Georgia" w:hAnsi="Georgia" w:cs="Calibri"/>
          <w:sz w:val="22"/>
          <w:szCs w:val="22"/>
          <w:lang w:val="nl-NL"/>
        </w:rPr>
        <w:t xml:space="preserve"> waaraan zij enkel haar naam heeft toegevoegd.</w:t>
      </w:r>
      <w:r w:rsidR="00347160" w:rsidRPr="00C140A8">
        <w:rPr>
          <w:rStyle w:val="FootnoteReference"/>
          <w:rFonts w:ascii="Georgia" w:hAnsi="Georgia" w:cs="Calibri"/>
          <w:sz w:val="22"/>
          <w:szCs w:val="22"/>
          <w:lang w:val="nl-NL"/>
        </w:rPr>
        <w:footnoteReference w:id="36"/>
      </w:r>
      <w:r w:rsidR="00347160" w:rsidRPr="00C140A8">
        <w:rPr>
          <w:rFonts w:ascii="Georgia" w:hAnsi="Georgia" w:cs="Calibri"/>
          <w:sz w:val="22"/>
          <w:szCs w:val="22"/>
          <w:lang w:val="nl-NL"/>
        </w:rPr>
        <w:t xml:space="preserve"> Henri </w:t>
      </w:r>
      <w:proofErr w:type="spellStart"/>
      <w:r w:rsidR="00347160" w:rsidRPr="00C140A8">
        <w:rPr>
          <w:rFonts w:ascii="Georgia" w:hAnsi="Georgia" w:cs="Calibri"/>
          <w:sz w:val="22"/>
          <w:szCs w:val="22"/>
          <w:lang w:val="nl-NL"/>
        </w:rPr>
        <w:t>Pirenne</w:t>
      </w:r>
      <w:proofErr w:type="spellEnd"/>
      <w:r w:rsidR="00347160" w:rsidRPr="00C140A8">
        <w:rPr>
          <w:rFonts w:ascii="Georgia" w:hAnsi="Georgia" w:cs="Calibri"/>
          <w:sz w:val="22"/>
          <w:szCs w:val="22"/>
          <w:lang w:val="nl-NL"/>
        </w:rPr>
        <w:t xml:space="preserve"> oordeelt dat Johanna </w:t>
      </w:r>
      <w:r w:rsidR="00001FCD">
        <w:rPr>
          <w:rFonts w:ascii="Georgia" w:hAnsi="Georgia" w:cs="Calibri"/>
          <w:sz w:val="22"/>
          <w:szCs w:val="22"/>
          <w:lang w:val="nl-NL"/>
        </w:rPr>
        <w:t>“</w:t>
      </w:r>
      <w:proofErr w:type="spellStart"/>
      <w:r w:rsidR="00347160" w:rsidRPr="00001FCD">
        <w:rPr>
          <w:rFonts w:ascii="Georgia" w:hAnsi="Georgia" w:cs="Calibri"/>
          <w:sz w:val="22"/>
          <w:szCs w:val="22"/>
          <w:lang w:val="nl-NL"/>
        </w:rPr>
        <w:t>médiocrement</w:t>
      </w:r>
      <w:proofErr w:type="spellEnd"/>
      <w:r w:rsidR="00347160" w:rsidRPr="00001FCD">
        <w:rPr>
          <w:rFonts w:ascii="Georgia" w:hAnsi="Georgia" w:cs="Calibri"/>
          <w:sz w:val="22"/>
          <w:szCs w:val="22"/>
          <w:lang w:val="nl-NL"/>
        </w:rPr>
        <w:t xml:space="preserve"> </w:t>
      </w:r>
      <w:proofErr w:type="spellStart"/>
      <w:r w:rsidR="00347160" w:rsidRPr="00001FCD">
        <w:rPr>
          <w:rFonts w:ascii="Georgia" w:hAnsi="Georgia" w:cs="Calibri"/>
          <w:sz w:val="22"/>
          <w:szCs w:val="22"/>
          <w:lang w:val="nl-NL"/>
        </w:rPr>
        <w:t>douée</w:t>
      </w:r>
      <w:proofErr w:type="spellEnd"/>
      <w:r w:rsidR="00347160" w:rsidRPr="00001FCD">
        <w:rPr>
          <w:rFonts w:ascii="Georgia" w:hAnsi="Georgia" w:cs="Calibri"/>
          <w:sz w:val="22"/>
          <w:szCs w:val="22"/>
          <w:lang w:val="nl-NL"/>
        </w:rPr>
        <w:t xml:space="preserve"> de </w:t>
      </w:r>
      <w:proofErr w:type="spellStart"/>
      <w:r w:rsidR="00347160" w:rsidRPr="00001FCD">
        <w:rPr>
          <w:rFonts w:ascii="Georgia" w:hAnsi="Georgia" w:cs="Calibri"/>
          <w:sz w:val="22"/>
          <w:szCs w:val="22"/>
          <w:lang w:val="nl-NL"/>
        </w:rPr>
        <w:t>qualités</w:t>
      </w:r>
      <w:proofErr w:type="spellEnd"/>
      <w:r w:rsidR="00347160" w:rsidRPr="00001FCD">
        <w:rPr>
          <w:rFonts w:ascii="Georgia" w:hAnsi="Georgia" w:cs="Calibri"/>
          <w:sz w:val="22"/>
          <w:szCs w:val="22"/>
          <w:lang w:val="nl-NL"/>
        </w:rPr>
        <w:t xml:space="preserve"> </w:t>
      </w:r>
      <w:proofErr w:type="spellStart"/>
      <w:r w:rsidR="00347160" w:rsidRPr="00001FCD">
        <w:rPr>
          <w:rFonts w:ascii="Georgia" w:hAnsi="Georgia" w:cs="Calibri"/>
          <w:sz w:val="22"/>
          <w:szCs w:val="22"/>
          <w:lang w:val="nl-NL"/>
        </w:rPr>
        <w:t>politiques</w:t>
      </w:r>
      <w:proofErr w:type="spellEnd"/>
      <w:r w:rsidR="00001FCD">
        <w:rPr>
          <w:rFonts w:ascii="Georgia" w:hAnsi="Georgia" w:cs="Calibri"/>
          <w:sz w:val="22"/>
          <w:szCs w:val="22"/>
          <w:lang w:val="nl-NL"/>
        </w:rPr>
        <w:t xml:space="preserve">” </w:t>
      </w:r>
      <w:r w:rsidR="00347160" w:rsidRPr="00C140A8">
        <w:rPr>
          <w:rFonts w:ascii="Georgia" w:hAnsi="Georgia" w:cs="Calibri"/>
          <w:sz w:val="22"/>
          <w:szCs w:val="22"/>
          <w:lang w:val="nl-NL"/>
        </w:rPr>
        <w:t>was.</w:t>
      </w:r>
      <w:r w:rsidR="00347160" w:rsidRPr="00C140A8">
        <w:rPr>
          <w:rStyle w:val="FootnoteReference"/>
          <w:rFonts w:ascii="Georgia" w:hAnsi="Georgia" w:cs="Calibri"/>
          <w:sz w:val="22"/>
          <w:szCs w:val="22"/>
          <w:lang w:val="nl-NL"/>
        </w:rPr>
        <w:footnoteReference w:id="37"/>
      </w:r>
      <w:r w:rsidR="00347160" w:rsidRPr="00C140A8">
        <w:rPr>
          <w:rFonts w:ascii="Georgia" w:hAnsi="Georgia" w:cs="Calibri"/>
          <w:sz w:val="22"/>
          <w:szCs w:val="22"/>
          <w:lang w:val="nl-NL"/>
        </w:rPr>
        <w:t xml:space="preserve"> </w:t>
      </w:r>
      <w:r w:rsidR="00EB497B" w:rsidRPr="000A2A96">
        <w:rPr>
          <w:rFonts w:ascii="Georgia" w:hAnsi="Georgia" w:cs="Calibri"/>
          <w:sz w:val="22"/>
          <w:szCs w:val="22"/>
        </w:rPr>
        <w:t xml:space="preserve">Zijn oordeel berust vooral op het bredere historische narratief dat hij voor ogen heeft. Hij beschouwt de Bourgondische machtsovername als de eerste stap </w:t>
      </w:r>
      <w:r w:rsidR="00001FCD">
        <w:rPr>
          <w:rFonts w:ascii="Georgia" w:hAnsi="Georgia" w:cs="Calibri"/>
          <w:sz w:val="22"/>
          <w:szCs w:val="22"/>
        </w:rPr>
        <w:t>richting een Belgische territoriale eenheid.</w:t>
      </w:r>
      <w:r w:rsidR="00EB497B" w:rsidRPr="000A2A96">
        <w:rPr>
          <w:rFonts w:ascii="Georgia" w:hAnsi="Georgia" w:cs="Calibri"/>
          <w:sz w:val="22"/>
          <w:szCs w:val="22"/>
        </w:rPr>
        <w:t xml:space="preserve"> Binnen die teleologische </w:t>
      </w:r>
      <w:r w:rsidR="000A2A96" w:rsidRPr="000A2A96">
        <w:rPr>
          <w:rFonts w:ascii="Georgia" w:hAnsi="Georgia" w:cs="Calibri"/>
          <w:sz w:val="22"/>
          <w:szCs w:val="22"/>
        </w:rPr>
        <w:t>visie</w:t>
      </w:r>
      <w:r w:rsidR="00EB497B" w:rsidRPr="000A2A96">
        <w:rPr>
          <w:rFonts w:ascii="Georgia" w:hAnsi="Georgia" w:cs="Calibri"/>
          <w:sz w:val="22"/>
          <w:szCs w:val="22"/>
        </w:rPr>
        <w:t xml:space="preserve"> ziet Pirenne Johanna als een belangrijke schakel in de Belgische geschiedenis, juist omdat haar veronderstelde bestuurlijke zwakte de Bourgondische overname in Brabant mogelijk maakte</w:t>
      </w:r>
      <w:r w:rsidR="000A2A96">
        <w:rPr>
          <w:rFonts w:ascii="Georgia" w:hAnsi="Georgia" w:cs="Calibri"/>
          <w:sz w:val="22"/>
          <w:szCs w:val="22"/>
        </w:rPr>
        <w:t>.</w:t>
      </w:r>
      <w:r w:rsidR="000A2A96" w:rsidRPr="000A2A96">
        <w:rPr>
          <w:rStyle w:val="FootnoteReference"/>
          <w:rFonts w:ascii="Georgia" w:hAnsi="Georgia" w:cs="Calibri"/>
          <w:sz w:val="22"/>
          <w:szCs w:val="22"/>
          <w:lang w:val="nl-NL"/>
        </w:rPr>
        <w:t xml:space="preserve"> </w:t>
      </w:r>
      <w:r w:rsidR="000A2A96" w:rsidRPr="00C140A8">
        <w:rPr>
          <w:rStyle w:val="FootnoteReference"/>
          <w:rFonts w:ascii="Georgia" w:hAnsi="Georgia" w:cs="Calibri"/>
          <w:sz w:val="22"/>
          <w:szCs w:val="22"/>
          <w:lang w:val="nl-NL"/>
        </w:rPr>
        <w:footnoteReference w:id="38"/>
      </w:r>
      <w:r w:rsidR="00760E9C">
        <w:rPr>
          <w:rFonts w:ascii="Georgia" w:hAnsi="Georgia" w:cs="Calibri"/>
          <w:sz w:val="22"/>
          <w:szCs w:val="22"/>
          <w:lang w:val="nl-NL"/>
        </w:rPr>
        <w:t xml:space="preserve"> </w:t>
      </w:r>
    </w:p>
    <w:p w14:paraId="68D230DE" w14:textId="715981B3" w:rsidR="00347160" w:rsidRPr="00C140A8" w:rsidRDefault="0034716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Op cultureel-religieus vlak erkent Alexandre Pinchard Johanna's brede vrijgevigheid en vroomheid tijdens het leven van Wenceslas. Zij was geliefd bij haar volk en onderhield een aanzienlijk religieus patronage.</w:t>
      </w:r>
      <w:r w:rsidRPr="00C140A8">
        <w:rPr>
          <w:rStyle w:val="FootnoteReference"/>
          <w:rFonts w:ascii="Georgia" w:hAnsi="Georgia" w:cs="Calibri"/>
          <w:sz w:val="22"/>
          <w:szCs w:val="22"/>
          <w:lang w:val="nl-NL"/>
        </w:rPr>
        <w:t xml:space="preserve"> </w:t>
      </w:r>
      <w:r w:rsidRPr="2D0D95AE">
        <w:rPr>
          <w:rStyle w:val="FootnoteReference"/>
          <w:rFonts w:ascii="Georgia" w:hAnsi="Georgia" w:cs="Calibri"/>
          <w:sz w:val="22"/>
          <w:szCs w:val="22"/>
          <w:lang w:val="nl-NL"/>
        </w:rPr>
        <w:footnoteReference w:id="39"/>
      </w:r>
      <w:r w:rsidRPr="00C140A8">
        <w:rPr>
          <w:rFonts w:ascii="Georgia" w:hAnsi="Georgia" w:cs="Calibri"/>
          <w:sz w:val="22"/>
          <w:szCs w:val="22"/>
          <w:lang w:val="nl-NL"/>
        </w:rPr>
        <w:t xml:space="preserve"> Toch plaatst ook hij haar op wereldlijk vlak in de schaduw van haar echtgenoot. De bloei van de hofcultuur en het mecenaat schrijft hij volledig aan Wenceslas toe en betreurt dat die met zijn dood volledig vervalt:</w:t>
      </w:r>
      <w:r w:rsidR="00001FCD">
        <w:rPr>
          <w:rFonts w:ascii="Georgia" w:hAnsi="Georgia" w:cs="Calibri"/>
          <w:sz w:val="22"/>
          <w:szCs w:val="22"/>
          <w:lang w:val="nl-NL"/>
        </w:rPr>
        <w:t xml:space="preserve"> “</w:t>
      </w:r>
      <w:r w:rsidRPr="00001FCD">
        <w:rPr>
          <w:rFonts w:ascii="Georgia" w:hAnsi="Georgia" w:cs="Calibri"/>
          <w:sz w:val="22"/>
          <w:szCs w:val="22"/>
          <w:lang w:val="nl-NL"/>
        </w:rPr>
        <w:t xml:space="preserve">Adieu le beau temps des </w:t>
      </w:r>
      <w:r w:rsidRPr="00001FCD">
        <w:rPr>
          <w:rFonts w:ascii="Georgia" w:hAnsi="Georgia" w:cs="Calibri"/>
          <w:sz w:val="22"/>
          <w:szCs w:val="22"/>
          <w:lang w:val="nl-NL"/>
        </w:rPr>
        <w:lastRenderedPageBreak/>
        <w:t>plaisirs, c'est à peine si pendant tout le cours du veuvage de la duchesse […]</w:t>
      </w:r>
      <w:r w:rsidR="00001FCD" w:rsidRPr="2D0D95AE">
        <w:rPr>
          <w:rFonts w:ascii="Georgia" w:hAnsi="Georgia" w:cs="Calibri"/>
          <w:i/>
          <w:iCs/>
          <w:sz w:val="22"/>
          <w:szCs w:val="22"/>
          <w:lang w:val="nl-NL"/>
        </w:rPr>
        <w:t>”</w:t>
      </w:r>
      <w:r w:rsidRPr="2D0D95AE">
        <w:rPr>
          <w:rFonts w:ascii="Georgia" w:hAnsi="Georgia" w:cs="Calibri"/>
          <w:i/>
          <w:iCs/>
          <w:sz w:val="22"/>
          <w:szCs w:val="22"/>
          <w:lang w:val="nl-NL"/>
        </w:rPr>
        <w:t>.</w:t>
      </w:r>
      <w:r w:rsidRPr="2D0D95AE">
        <w:rPr>
          <w:rStyle w:val="FootnoteReference"/>
          <w:rFonts w:ascii="Georgia" w:hAnsi="Georgia" w:cs="Calibri"/>
          <w:i/>
          <w:iCs/>
          <w:sz w:val="22"/>
          <w:szCs w:val="22"/>
          <w:lang w:val="nl-NL"/>
        </w:rPr>
        <w:footnoteReference w:id="40"/>
      </w:r>
      <w:r w:rsidRPr="00C140A8">
        <w:rPr>
          <w:rFonts w:ascii="Georgia" w:hAnsi="Georgia" w:cs="Calibri"/>
          <w:sz w:val="22"/>
          <w:szCs w:val="22"/>
          <w:lang w:val="nl-NL"/>
        </w:rPr>
        <w:t xml:space="preserve"> Wenceslas verschijnt op die manier als de eigenlijke culturele motor van het hof, waardoor Johanna's mecenaat naast dat van haar echtgenoot helemaal vervaagt.</w:t>
      </w:r>
    </w:p>
    <w:p w14:paraId="23A2DFD6" w14:textId="76B8B8DE" w:rsidR="00347160" w:rsidRPr="00846C51" w:rsidRDefault="00347160" w:rsidP="00C140A8">
      <w:pPr>
        <w:spacing w:afterLines="80" w:after="192" w:line="360" w:lineRule="auto"/>
        <w:jc w:val="both"/>
        <w:rPr>
          <w:rFonts w:ascii="Georgia" w:hAnsi="Georgia" w:cs="Calibri"/>
          <w:i/>
          <w:iCs/>
          <w:sz w:val="22"/>
          <w:szCs w:val="22"/>
          <w:lang w:val="nl-NL"/>
        </w:rPr>
      </w:pPr>
      <w:r w:rsidRPr="00C140A8">
        <w:rPr>
          <w:rFonts w:ascii="Georgia" w:hAnsi="Georgia" w:cs="Calibri"/>
          <w:sz w:val="22"/>
          <w:szCs w:val="22"/>
          <w:lang w:val="nl-NL"/>
        </w:rPr>
        <w:t xml:space="preserve">Johanna verschijnt in deze literatuur als een zwakke, passieve vorstin die zich niet met bestuurszaken inliet en zich toelegde op een rigide vroomheid. Dit beeld is in het begin van de twintigste eeuw nog niet verdwenen. Fritz </w:t>
      </w:r>
      <w:proofErr w:type="spellStart"/>
      <w:r w:rsidRPr="00C140A8">
        <w:rPr>
          <w:rFonts w:ascii="Georgia" w:hAnsi="Georgia" w:cs="Calibri"/>
          <w:sz w:val="22"/>
          <w:szCs w:val="22"/>
          <w:lang w:val="nl-NL"/>
        </w:rPr>
        <w:t>Quicke</w:t>
      </w:r>
      <w:proofErr w:type="spellEnd"/>
      <w:r w:rsidRPr="00C140A8">
        <w:rPr>
          <w:rFonts w:ascii="Georgia" w:hAnsi="Georgia" w:cs="Calibri"/>
          <w:sz w:val="22"/>
          <w:szCs w:val="22"/>
          <w:lang w:val="nl-NL"/>
        </w:rPr>
        <w:t xml:space="preserve"> en Henri Laurent vellen wellicht het meest vergaande oordeel in </w:t>
      </w:r>
      <w:r w:rsidRPr="00C140A8">
        <w:rPr>
          <w:rFonts w:ascii="Georgia" w:hAnsi="Georgia" w:cs="Calibri"/>
          <w:i/>
          <w:iCs/>
          <w:sz w:val="22"/>
          <w:szCs w:val="22"/>
          <w:lang w:val="nl-NL"/>
        </w:rPr>
        <w:t xml:space="preserve">Les </w:t>
      </w:r>
      <w:proofErr w:type="spellStart"/>
      <w:r w:rsidRPr="00C140A8">
        <w:rPr>
          <w:rFonts w:ascii="Georgia" w:hAnsi="Georgia" w:cs="Calibri"/>
          <w:i/>
          <w:iCs/>
          <w:sz w:val="22"/>
          <w:szCs w:val="22"/>
          <w:lang w:val="nl-NL"/>
        </w:rPr>
        <w:t>origines</w:t>
      </w:r>
      <w:proofErr w:type="spellEnd"/>
      <w:r w:rsidRPr="00C140A8">
        <w:rPr>
          <w:rFonts w:ascii="Georgia" w:hAnsi="Georgia" w:cs="Calibri"/>
          <w:i/>
          <w:iCs/>
          <w:sz w:val="22"/>
          <w:szCs w:val="22"/>
          <w:lang w:val="nl-NL"/>
        </w:rPr>
        <w:t xml:space="preserve"> de </w:t>
      </w:r>
      <w:proofErr w:type="spellStart"/>
      <w:r w:rsidRPr="00C140A8">
        <w:rPr>
          <w:rFonts w:ascii="Georgia" w:hAnsi="Georgia" w:cs="Calibri"/>
          <w:i/>
          <w:iCs/>
          <w:sz w:val="22"/>
          <w:szCs w:val="22"/>
          <w:lang w:val="nl-NL"/>
        </w:rPr>
        <w:t>l'État</w:t>
      </w:r>
      <w:proofErr w:type="spellEnd"/>
      <w:r w:rsidRPr="00C140A8">
        <w:rPr>
          <w:rFonts w:ascii="Georgia" w:hAnsi="Georgia" w:cs="Calibri"/>
          <w:i/>
          <w:iCs/>
          <w:sz w:val="22"/>
          <w:szCs w:val="22"/>
          <w:lang w:val="nl-NL"/>
        </w:rPr>
        <w:t xml:space="preserve"> </w:t>
      </w:r>
      <w:proofErr w:type="spellStart"/>
      <w:r w:rsidRPr="00C140A8">
        <w:rPr>
          <w:rFonts w:ascii="Georgia" w:hAnsi="Georgia" w:cs="Calibri"/>
          <w:i/>
          <w:iCs/>
          <w:sz w:val="22"/>
          <w:szCs w:val="22"/>
          <w:lang w:val="nl-NL"/>
        </w:rPr>
        <w:t>bourguignon</w:t>
      </w:r>
      <w:proofErr w:type="spellEnd"/>
      <w:r w:rsidRPr="00C140A8">
        <w:rPr>
          <w:rFonts w:ascii="Georgia" w:hAnsi="Georgia" w:cs="Calibri"/>
          <w:sz w:val="22"/>
          <w:szCs w:val="22"/>
          <w:lang w:val="nl-NL"/>
        </w:rPr>
        <w:t xml:space="preserve"> (1939). Zij stellen dat Johanna bij de dood van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geen enkele bestuurservaring had en alles aan hem </w:t>
      </w:r>
      <w:r w:rsidR="00760E9C">
        <w:rPr>
          <w:rFonts w:ascii="Georgia" w:hAnsi="Georgia" w:cs="Calibri"/>
          <w:sz w:val="22"/>
          <w:szCs w:val="22"/>
          <w:lang w:val="nl-NL"/>
        </w:rPr>
        <w:t>overliet.</w:t>
      </w:r>
      <w:r w:rsidR="00146E3C" w:rsidRPr="00146E3C">
        <w:rPr>
          <w:rStyle w:val="FootnoteReference"/>
          <w:rFonts w:ascii="Georgia" w:hAnsi="Georgia" w:cs="Calibri"/>
          <w:sz w:val="22"/>
          <w:szCs w:val="22"/>
          <w:lang w:val="nl-NL"/>
        </w:rPr>
        <w:t xml:space="preserve"> </w:t>
      </w:r>
      <w:r w:rsidR="00146E3C" w:rsidRPr="00C140A8">
        <w:rPr>
          <w:rStyle w:val="FootnoteReference"/>
          <w:rFonts w:ascii="Georgia" w:hAnsi="Georgia" w:cs="Calibri"/>
          <w:sz w:val="22"/>
          <w:szCs w:val="22"/>
          <w:lang w:val="nl-NL"/>
        </w:rPr>
        <w:footnoteReference w:id="41"/>
      </w:r>
      <w:r w:rsidR="00523D80">
        <w:rPr>
          <w:rFonts w:ascii="Georgia" w:hAnsi="Georgia" w:cs="Calibri"/>
          <w:sz w:val="22"/>
          <w:szCs w:val="22"/>
          <w:lang w:val="nl-NL"/>
        </w:rPr>
        <w:t xml:space="preserve"> </w:t>
      </w:r>
      <w:r w:rsidRPr="00C140A8">
        <w:rPr>
          <w:rFonts w:ascii="Georgia" w:hAnsi="Georgia" w:cs="Calibri"/>
          <w:sz w:val="22"/>
          <w:szCs w:val="22"/>
          <w:lang w:val="nl-NL"/>
        </w:rPr>
        <w:t xml:space="preserve">In diezelfde periode publiceerde Christiane </w:t>
      </w:r>
      <w:proofErr w:type="spellStart"/>
      <w:r w:rsidRPr="00C140A8">
        <w:rPr>
          <w:rFonts w:ascii="Georgia" w:hAnsi="Georgia" w:cs="Calibri"/>
          <w:sz w:val="22"/>
          <w:szCs w:val="22"/>
          <w:lang w:val="nl-NL"/>
        </w:rPr>
        <w:t>Piérard</w:t>
      </w:r>
      <w:proofErr w:type="spellEnd"/>
      <w:r w:rsidRPr="00C140A8">
        <w:rPr>
          <w:rFonts w:ascii="Georgia" w:hAnsi="Georgia" w:cs="Calibri"/>
          <w:sz w:val="22"/>
          <w:szCs w:val="22"/>
          <w:lang w:val="nl-NL"/>
        </w:rPr>
        <w:t xml:space="preserve"> een uitgebreide studie over het weduwegoed van Johanna in Binche. Op het eerste gezicht lijkt de vorstin hier centraal te staan, maar schijn bedriegt. </w:t>
      </w:r>
      <w:proofErr w:type="spellStart"/>
      <w:r w:rsidRPr="00C140A8">
        <w:rPr>
          <w:rFonts w:ascii="Georgia" w:hAnsi="Georgia" w:cs="Calibri"/>
          <w:sz w:val="22"/>
          <w:szCs w:val="22"/>
          <w:lang w:val="nl-NL"/>
        </w:rPr>
        <w:t>Piérard</w:t>
      </w:r>
      <w:proofErr w:type="spellEnd"/>
      <w:r w:rsidRPr="00C140A8">
        <w:rPr>
          <w:rFonts w:ascii="Georgia" w:hAnsi="Georgia" w:cs="Calibri"/>
          <w:sz w:val="22"/>
          <w:szCs w:val="22"/>
          <w:lang w:val="nl-NL"/>
        </w:rPr>
        <w:t xml:space="preserve"> opent met een uiteenzetting over de eerdere douairières van deze gebieden en stelt dat </w:t>
      </w:r>
      <w:proofErr w:type="spellStart"/>
      <w:r w:rsidRPr="00C140A8">
        <w:rPr>
          <w:rFonts w:ascii="Georgia" w:hAnsi="Georgia" w:cs="Calibri"/>
          <w:sz w:val="22"/>
          <w:szCs w:val="22"/>
          <w:lang w:val="nl-NL"/>
        </w:rPr>
        <w:t>Richilde</w:t>
      </w:r>
      <w:proofErr w:type="spellEnd"/>
      <w:r w:rsidRPr="00C140A8">
        <w:rPr>
          <w:rFonts w:ascii="Georgia" w:hAnsi="Georgia" w:cs="Calibri"/>
          <w:sz w:val="22"/>
          <w:szCs w:val="22"/>
          <w:lang w:val="nl-NL"/>
        </w:rPr>
        <w:t xml:space="preserve"> van Henegouwen, Yolanda van Gelre en Johanna van </w:t>
      </w:r>
      <w:proofErr w:type="spellStart"/>
      <w:r w:rsidRPr="00C140A8">
        <w:rPr>
          <w:rFonts w:ascii="Georgia" w:hAnsi="Georgia" w:cs="Calibri"/>
          <w:sz w:val="22"/>
          <w:szCs w:val="22"/>
          <w:lang w:val="nl-NL"/>
        </w:rPr>
        <w:t>Valois</w:t>
      </w:r>
      <w:proofErr w:type="spellEnd"/>
      <w:r w:rsidRPr="00C140A8">
        <w:rPr>
          <w:rFonts w:ascii="Georgia" w:hAnsi="Georgia" w:cs="Calibri"/>
          <w:sz w:val="22"/>
          <w:szCs w:val="22"/>
          <w:lang w:val="nl-NL"/>
        </w:rPr>
        <w:t>, sterk betrokken waren bij de staatszaken van het gehele graafschap Henegouwen, in tegenstelling tot Johanna van Brabant.</w:t>
      </w:r>
      <w:r w:rsidRPr="00C140A8">
        <w:rPr>
          <w:rStyle w:val="FootnoteReference"/>
          <w:rFonts w:ascii="Georgia" w:hAnsi="Georgia" w:cs="Calibri"/>
          <w:sz w:val="22"/>
          <w:szCs w:val="22"/>
          <w:lang w:val="nl-NL"/>
        </w:rPr>
        <w:footnoteReference w:id="42"/>
      </w:r>
      <w:r w:rsidRPr="00C140A8">
        <w:rPr>
          <w:rFonts w:ascii="Georgia" w:hAnsi="Georgia" w:cs="Calibri"/>
          <w:sz w:val="22"/>
          <w:szCs w:val="22"/>
          <w:lang w:val="nl-NL"/>
        </w:rPr>
        <w:t xml:space="preserve">  De rest van haar analyse blijft sterk descriptief en stelt Johanna voor als een passieve speler. </w:t>
      </w:r>
      <w:proofErr w:type="spellStart"/>
      <w:r w:rsidRPr="00C140A8">
        <w:rPr>
          <w:rFonts w:ascii="Georgia" w:hAnsi="Georgia" w:cs="Calibri"/>
          <w:sz w:val="22"/>
          <w:szCs w:val="22"/>
          <w:lang w:val="nl-NL"/>
        </w:rPr>
        <w:t>Piérard</w:t>
      </w:r>
      <w:proofErr w:type="spellEnd"/>
      <w:r w:rsidRPr="00C140A8">
        <w:rPr>
          <w:rFonts w:ascii="Georgia" w:hAnsi="Georgia" w:cs="Calibri"/>
          <w:sz w:val="22"/>
          <w:szCs w:val="22"/>
          <w:lang w:val="nl-NL"/>
        </w:rPr>
        <w:t xml:space="preserve"> onderbouwt dit beeld met de akte van 1366, waarin Albrecht van Beieren het weduwegoed van Johanna in Binche wegens schulden als onderpand aan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overdraagt.</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43"/>
      </w:r>
      <w:r w:rsidR="00523D80">
        <w:rPr>
          <w:rFonts w:ascii="Georgia" w:hAnsi="Georgia" w:cs="Calibri"/>
          <w:sz w:val="22"/>
          <w:szCs w:val="22"/>
          <w:lang w:val="nl-NL"/>
        </w:rPr>
        <w:t xml:space="preserve"> </w:t>
      </w:r>
    </w:p>
    <w:p w14:paraId="67BD0A5E" w14:textId="77777777" w:rsidR="00AC5DDE" w:rsidRDefault="006A5128" w:rsidP="009E035F">
      <w:pPr>
        <w:spacing w:afterLines="80" w:after="192" w:line="360" w:lineRule="auto"/>
        <w:jc w:val="both"/>
        <w:rPr>
          <w:rFonts w:ascii="Georgia" w:hAnsi="Georgia" w:cs="Calibri"/>
          <w:sz w:val="22"/>
          <w:szCs w:val="22"/>
          <w:lang w:val="nl-NL"/>
        </w:rPr>
      </w:pPr>
      <w:r w:rsidRPr="006A5128">
        <w:rPr>
          <w:rFonts w:ascii="Georgia" w:hAnsi="Georgia" w:cs="Calibri"/>
          <w:sz w:val="22"/>
          <w:szCs w:val="22"/>
        </w:rPr>
        <w:t>Het negatieve beeld van Johanna's bestuur is voor een belangrijk deel te wijten aan de positivistische traditie van de negentiende en vroege twintigste eeuw. Historici uit die periode namen hun bronnen, en met name de kronieken, vrij letterlijk over, wat leid</w:t>
      </w:r>
      <w:r>
        <w:rPr>
          <w:rFonts w:ascii="Georgia" w:hAnsi="Georgia" w:cs="Calibri"/>
          <w:sz w:val="22"/>
          <w:szCs w:val="22"/>
        </w:rPr>
        <w:t>de</w:t>
      </w:r>
      <w:r w:rsidRPr="006A5128">
        <w:rPr>
          <w:rFonts w:ascii="Georgia" w:hAnsi="Georgia" w:cs="Calibri"/>
          <w:sz w:val="22"/>
          <w:szCs w:val="22"/>
        </w:rPr>
        <w:t xml:space="preserve"> tot een zeer vertekend beeld van Johanna’s daadwerkelijke bijdrage</w:t>
      </w:r>
      <w:r>
        <w:rPr>
          <w:rFonts w:ascii="Georgia" w:hAnsi="Georgia" w:cs="Calibri"/>
          <w:i/>
          <w:iCs/>
          <w:sz w:val="22"/>
          <w:szCs w:val="22"/>
        </w:rPr>
        <w:t xml:space="preserve">. </w:t>
      </w:r>
      <w:r w:rsidR="00347160" w:rsidRPr="00C140A8">
        <w:rPr>
          <w:rFonts w:ascii="Georgia" w:hAnsi="Georgia" w:cs="Calibri"/>
          <w:sz w:val="22"/>
          <w:szCs w:val="22"/>
          <w:lang w:val="nl-NL"/>
        </w:rPr>
        <w:t xml:space="preserve">Brengt de tweede helft van de twintigste eeuw verandering? Heeft het opkomen van de sociale en de vrouwengeschiedenis de interpretatie van Johanna en </w:t>
      </w:r>
      <w:proofErr w:type="spellStart"/>
      <w:r w:rsidR="00347160" w:rsidRPr="00C140A8">
        <w:rPr>
          <w:rFonts w:ascii="Georgia" w:hAnsi="Georgia" w:cs="Calibri"/>
          <w:sz w:val="22"/>
          <w:szCs w:val="22"/>
          <w:lang w:val="nl-NL"/>
        </w:rPr>
        <w:t>Wenceslas</w:t>
      </w:r>
      <w:proofErr w:type="spellEnd"/>
      <w:r w:rsidR="00347160" w:rsidRPr="00C140A8">
        <w:rPr>
          <w:rFonts w:ascii="Georgia" w:hAnsi="Georgia" w:cs="Calibri"/>
          <w:sz w:val="22"/>
          <w:szCs w:val="22"/>
          <w:lang w:val="nl-NL"/>
        </w:rPr>
        <w:t xml:space="preserve"> beïnvloed? </w:t>
      </w:r>
    </w:p>
    <w:p w14:paraId="3A71CD2A" w14:textId="34663CC8" w:rsidR="00347160" w:rsidRPr="006A5128" w:rsidRDefault="00347160" w:rsidP="009E035F">
      <w:pPr>
        <w:spacing w:afterLines="80" w:after="192" w:line="360" w:lineRule="auto"/>
        <w:jc w:val="both"/>
        <w:rPr>
          <w:rFonts w:ascii="Georgia" w:hAnsi="Georgia" w:cs="Calibri"/>
          <w:i/>
          <w:iCs/>
          <w:sz w:val="22"/>
          <w:szCs w:val="22"/>
        </w:rPr>
      </w:pPr>
      <w:r w:rsidRPr="00C140A8">
        <w:rPr>
          <w:rFonts w:ascii="Georgia" w:hAnsi="Georgia" w:cs="Calibri"/>
          <w:sz w:val="22"/>
          <w:szCs w:val="22"/>
          <w:lang w:val="nl-NL"/>
        </w:rPr>
        <w:t xml:space="preserve">In 1975 </w:t>
      </w:r>
      <w:r w:rsidR="006A5128">
        <w:rPr>
          <w:rFonts w:ascii="Georgia" w:hAnsi="Georgia" w:cs="Calibri"/>
          <w:sz w:val="22"/>
          <w:szCs w:val="22"/>
          <w:lang w:val="nl-NL"/>
        </w:rPr>
        <w:t>opperde</w:t>
      </w:r>
      <w:r w:rsidRPr="00C140A8">
        <w:rPr>
          <w:rFonts w:ascii="Georgia" w:hAnsi="Georgia" w:cs="Calibri"/>
          <w:sz w:val="22"/>
          <w:szCs w:val="22"/>
          <w:lang w:val="nl-NL"/>
        </w:rPr>
        <w:t xml:space="preserve"> André </w:t>
      </w:r>
      <w:proofErr w:type="spellStart"/>
      <w:r w:rsidRPr="00C140A8">
        <w:rPr>
          <w:rFonts w:ascii="Georgia" w:hAnsi="Georgia" w:cs="Calibri"/>
          <w:sz w:val="22"/>
          <w:szCs w:val="22"/>
          <w:lang w:val="nl-NL"/>
        </w:rPr>
        <w:t>Uyttebrouck</w:t>
      </w:r>
      <w:proofErr w:type="spellEnd"/>
      <w:r w:rsidRPr="00C140A8">
        <w:rPr>
          <w:rFonts w:ascii="Georgia" w:hAnsi="Georgia" w:cs="Calibri"/>
          <w:sz w:val="22"/>
          <w:szCs w:val="22"/>
          <w:lang w:val="nl-NL"/>
        </w:rPr>
        <w:t xml:space="preserve"> voor het eerst dat </w:t>
      </w:r>
      <w:r w:rsidR="006A5128">
        <w:rPr>
          <w:rFonts w:ascii="Georgia" w:hAnsi="Georgia" w:cs="Calibri"/>
          <w:sz w:val="22"/>
          <w:szCs w:val="22"/>
          <w:lang w:val="nl-NL"/>
        </w:rPr>
        <w:t xml:space="preserve">er </w:t>
      </w:r>
      <w:r w:rsidRPr="00C140A8">
        <w:rPr>
          <w:rFonts w:ascii="Georgia" w:hAnsi="Georgia" w:cs="Calibri"/>
          <w:sz w:val="22"/>
          <w:szCs w:val="22"/>
          <w:lang w:val="nl-NL"/>
        </w:rPr>
        <w:t xml:space="preserve">van een </w:t>
      </w:r>
      <w:r w:rsidR="006A5128">
        <w:rPr>
          <w:rFonts w:ascii="Georgia" w:hAnsi="Georgia" w:cs="Calibri"/>
          <w:sz w:val="22"/>
          <w:szCs w:val="22"/>
          <w:lang w:val="nl-NL"/>
        </w:rPr>
        <w:t>“</w:t>
      </w:r>
      <w:r w:rsidRPr="00C140A8">
        <w:rPr>
          <w:rFonts w:ascii="Georgia" w:hAnsi="Georgia" w:cs="Calibri"/>
          <w:sz w:val="22"/>
          <w:szCs w:val="22"/>
          <w:lang w:val="nl-NL"/>
        </w:rPr>
        <w:t>tweekoppig bestuur</w:t>
      </w:r>
      <w:r w:rsidR="006A5128">
        <w:rPr>
          <w:rFonts w:ascii="Georgia" w:hAnsi="Georgia" w:cs="Calibri"/>
          <w:sz w:val="22"/>
          <w:szCs w:val="22"/>
          <w:lang w:val="nl-NL"/>
        </w:rPr>
        <w:t>”</w:t>
      </w:r>
      <w:r w:rsidRPr="00C140A8">
        <w:rPr>
          <w:rFonts w:ascii="Georgia" w:hAnsi="Georgia" w:cs="Calibri"/>
          <w:sz w:val="22"/>
          <w:szCs w:val="22"/>
          <w:lang w:val="nl-NL"/>
        </w:rPr>
        <w:t xml:space="preserve"> </w:t>
      </w:r>
      <w:r w:rsidR="00AC5DDE">
        <w:rPr>
          <w:rFonts w:ascii="Georgia" w:hAnsi="Georgia" w:cs="Calibri"/>
          <w:sz w:val="22"/>
          <w:szCs w:val="22"/>
          <w:lang w:val="nl-NL"/>
        </w:rPr>
        <w:t>sprake was</w:t>
      </w:r>
      <w:r w:rsidRPr="00C140A8">
        <w:rPr>
          <w:rFonts w:ascii="Georgia" w:hAnsi="Georgia" w:cs="Calibri"/>
          <w:sz w:val="22"/>
          <w:szCs w:val="22"/>
          <w:lang w:val="nl-NL"/>
        </w:rPr>
        <w:t>.</w:t>
      </w:r>
      <w:r w:rsidRPr="00C140A8">
        <w:rPr>
          <w:rStyle w:val="FootnoteReference"/>
          <w:rFonts w:ascii="Georgia" w:hAnsi="Georgia" w:cs="Calibri"/>
          <w:sz w:val="22"/>
          <w:szCs w:val="22"/>
          <w:lang w:val="nl-NL"/>
        </w:rPr>
        <w:footnoteReference w:id="44"/>
      </w:r>
      <w:r w:rsidRPr="00C140A8">
        <w:rPr>
          <w:rFonts w:ascii="Georgia" w:hAnsi="Georgia" w:cs="Calibri"/>
          <w:sz w:val="22"/>
          <w:szCs w:val="22"/>
          <w:lang w:val="nl-NL"/>
        </w:rPr>
        <w:t xml:space="preserve"> De uitwerking van die gedachte blijft bij hem echter beperkt. Hoewel </w:t>
      </w:r>
      <w:proofErr w:type="spellStart"/>
      <w:r w:rsidRPr="00C140A8">
        <w:rPr>
          <w:rFonts w:ascii="Georgia" w:hAnsi="Georgia" w:cs="Calibri"/>
          <w:sz w:val="22"/>
          <w:szCs w:val="22"/>
          <w:lang w:val="nl-NL"/>
        </w:rPr>
        <w:t>Uyttebrouck</w:t>
      </w:r>
      <w:proofErr w:type="spellEnd"/>
      <w:r w:rsidRPr="00C140A8">
        <w:rPr>
          <w:rFonts w:ascii="Georgia" w:hAnsi="Georgia" w:cs="Calibri"/>
          <w:sz w:val="22"/>
          <w:szCs w:val="22"/>
          <w:lang w:val="nl-NL"/>
        </w:rPr>
        <w:t xml:space="preserve"> de instellingen van het Brabantse bestuur onder Johanna 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grondig in kaart brengt, besteedt hij weinig aandacht aan de praktijk van een heersende vorstin. </w:t>
      </w:r>
      <w:r w:rsidR="00010781">
        <w:rPr>
          <w:rFonts w:ascii="Georgia" w:hAnsi="Georgia" w:cs="Calibri"/>
          <w:sz w:val="22"/>
          <w:szCs w:val="22"/>
        </w:rPr>
        <w:t>En ondanks dat</w:t>
      </w:r>
      <w:r w:rsidR="009E035F" w:rsidRPr="009E035F">
        <w:rPr>
          <w:rFonts w:ascii="Georgia" w:hAnsi="Georgia" w:cs="Calibri"/>
          <w:sz w:val="22"/>
          <w:szCs w:val="22"/>
        </w:rPr>
        <w:t xml:space="preserve"> hij de rekeningen bestudeerde, richtte hij zich vooral op de posten over Johanna's voorliefde voor gokspelen en feesten, waardoor zij in zijn ogen niet als een bekwame leidster overkwam</w:t>
      </w:r>
      <w:r w:rsidRPr="00C140A8">
        <w:rPr>
          <w:rFonts w:ascii="Georgia" w:hAnsi="Georgia" w:cs="Calibri"/>
          <w:sz w:val="22"/>
          <w:szCs w:val="22"/>
          <w:lang w:val="nl-NL"/>
        </w:rPr>
        <w:t>.</w:t>
      </w:r>
      <w:r w:rsidR="009E035F">
        <w:rPr>
          <w:rStyle w:val="FootnoteReference"/>
          <w:rFonts w:ascii="Georgia" w:hAnsi="Georgia" w:cs="Calibri"/>
          <w:sz w:val="22"/>
          <w:szCs w:val="22"/>
          <w:lang w:val="nl-NL"/>
        </w:rPr>
        <w:footnoteReference w:id="45"/>
      </w:r>
      <w:r w:rsidRPr="00C140A8">
        <w:rPr>
          <w:rFonts w:ascii="Georgia" w:hAnsi="Georgia" w:cs="Calibri"/>
          <w:sz w:val="22"/>
          <w:szCs w:val="22"/>
          <w:lang w:val="nl-NL"/>
        </w:rPr>
        <w:t xml:space="preserve"> </w:t>
      </w:r>
      <w:proofErr w:type="spellStart"/>
      <w:r w:rsidRPr="00C140A8">
        <w:rPr>
          <w:rFonts w:ascii="Georgia" w:hAnsi="Georgia" w:cs="Calibri"/>
          <w:sz w:val="22"/>
          <w:szCs w:val="22"/>
          <w:lang w:val="nl-NL"/>
        </w:rPr>
        <w:t>Uyttebrouck</w:t>
      </w:r>
      <w:proofErr w:type="spellEnd"/>
      <w:r w:rsidRPr="00C140A8">
        <w:rPr>
          <w:rFonts w:ascii="Georgia" w:hAnsi="Georgia" w:cs="Calibri"/>
          <w:sz w:val="22"/>
          <w:szCs w:val="22"/>
          <w:lang w:val="nl-NL"/>
        </w:rPr>
        <w:t xml:space="preserve"> benadrukt dat zij juridisch de hertogin was, </w:t>
      </w:r>
      <w:r w:rsidR="00010781">
        <w:rPr>
          <w:rFonts w:ascii="Georgia" w:hAnsi="Georgia" w:cs="Calibri"/>
          <w:sz w:val="22"/>
          <w:szCs w:val="22"/>
          <w:lang w:val="nl-NL"/>
        </w:rPr>
        <w:t xml:space="preserve">maar dat </w:t>
      </w:r>
      <w:r w:rsidRPr="00C140A8">
        <w:rPr>
          <w:rFonts w:ascii="Georgia" w:hAnsi="Georgia" w:cs="Calibri"/>
          <w:sz w:val="22"/>
          <w:szCs w:val="22"/>
          <w:lang w:val="nl-NL"/>
        </w:rPr>
        <w:t xml:space="preserve">zij in de praktijk een groot </w:t>
      </w:r>
      <w:r w:rsidRPr="00C140A8">
        <w:rPr>
          <w:rFonts w:ascii="Georgia" w:hAnsi="Georgia" w:cs="Calibri"/>
          <w:sz w:val="22"/>
          <w:szCs w:val="22"/>
          <w:lang w:val="nl-NL"/>
        </w:rPr>
        <w:lastRenderedPageBreak/>
        <w:t>deel van haar bevoegdheden aan haar echtgenoot delegeerde</w:t>
      </w:r>
      <w:r w:rsidR="00FE4228">
        <w:rPr>
          <w:rFonts w:ascii="Georgia" w:hAnsi="Georgia" w:cs="Calibri"/>
          <w:sz w:val="22"/>
          <w:szCs w:val="22"/>
          <w:lang w:val="nl-NL"/>
        </w:rPr>
        <w:t xml:space="preserve"> en hij gaat verder nauwelijks in op de politieke rol van de vorstin.</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46"/>
      </w:r>
      <w:r w:rsidRPr="00C140A8">
        <w:rPr>
          <w:rFonts w:ascii="Georgia" w:hAnsi="Georgia" w:cs="Calibri"/>
          <w:sz w:val="22"/>
          <w:szCs w:val="22"/>
          <w:lang w:val="nl-NL"/>
        </w:rPr>
        <w:t xml:space="preserve">  </w:t>
      </w:r>
    </w:p>
    <w:p w14:paraId="3171227C" w14:textId="77777777" w:rsidR="002F634B" w:rsidRDefault="00347160" w:rsidP="00BD3B94">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Het idee dat Johanna op papier deel uitmaakte van een koppel met eigen taken, is voor </w:t>
      </w:r>
      <w:proofErr w:type="spellStart"/>
      <w:r w:rsidRPr="00C140A8">
        <w:rPr>
          <w:rFonts w:ascii="Georgia" w:hAnsi="Georgia" w:cs="Calibri"/>
          <w:sz w:val="22"/>
          <w:szCs w:val="22"/>
          <w:lang w:val="nl-NL"/>
        </w:rPr>
        <w:t>Uyttebrouck</w:t>
      </w:r>
      <w:proofErr w:type="spellEnd"/>
      <w:r w:rsidRPr="00C140A8">
        <w:rPr>
          <w:rFonts w:ascii="Georgia" w:hAnsi="Georgia" w:cs="Calibri"/>
          <w:sz w:val="22"/>
          <w:szCs w:val="22"/>
          <w:lang w:val="nl-NL"/>
        </w:rPr>
        <w:t xml:space="preserve"> een formaliteit. Zij was nu eenmaal de wettelijke erfdochter van Brabant. Karin van 't Lands studie over de representatie van Johanna in de </w:t>
      </w:r>
      <w:r w:rsidRPr="00C140A8">
        <w:rPr>
          <w:rFonts w:ascii="Georgia" w:hAnsi="Georgia" w:cs="Calibri"/>
          <w:i/>
          <w:iCs/>
          <w:sz w:val="22"/>
          <w:szCs w:val="22"/>
          <w:lang w:val="nl-NL"/>
        </w:rPr>
        <w:t xml:space="preserve">Brabantse </w:t>
      </w:r>
      <w:proofErr w:type="spellStart"/>
      <w:r w:rsidRPr="00C140A8">
        <w:rPr>
          <w:rFonts w:ascii="Georgia" w:hAnsi="Georgia" w:cs="Calibri"/>
          <w:i/>
          <w:iCs/>
          <w:sz w:val="22"/>
          <w:szCs w:val="22"/>
          <w:lang w:val="nl-NL"/>
        </w:rPr>
        <w:t>Yeesten</w:t>
      </w:r>
      <w:proofErr w:type="spellEnd"/>
      <w:r w:rsidRPr="00C140A8">
        <w:rPr>
          <w:rFonts w:ascii="Georgia" w:hAnsi="Georgia" w:cs="Calibri"/>
          <w:sz w:val="22"/>
          <w:szCs w:val="22"/>
          <w:lang w:val="nl-NL"/>
        </w:rPr>
        <w:t xml:space="preserve"> stelt eveneens dat Johanna louter een adviserende functie vervulde en dat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de feitelijke bestuurlijke macht in handen had.</w:t>
      </w:r>
      <w:r w:rsidRPr="00C140A8">
        <w:rPr>
          <w:rStyle w:val="FootnoteReference"/>
          <w:rFonts w:ascii="Georgia" w:hAnsi="Georgia" w:cs="Calibri"/>
          <w:sz w:val="22"/>
          <w:szCs w:val="22"/>
          <w:lang w:val="nl-NL"/>
        </w:rPr>
        <w:footnoteReference w:id="47"/>
      </w:r>
      <w:r w:rsidRPr="00C140A8">
        <w:rPr>
          <w:rFonts w:ascii="Georgia" w:hAnsi="Georgia" w:cs="Calibri"/>
          <w:sz w:val="22"/>
          <w:szCs w:val="22"/>
          <w:lang w:val="nl-NL"/>
        </w:rPr>
        <w:t xml:space="preserve"> Die conclusie steunt echter op één narratieve bron, de </w:t>
      </w:r>
      <w:r w:rsidRPr="00C140A8">
        <w:rPr>
          <w:rFonts w:ascii="Georgia" w:hAnsi="Georgia" w:cs="Calibri"/>
          <w:i/>
          <w:iCs/>
          <w:sz w:val="22"/>
          <w:szCs w:val="22"/>
          <w:lang w:val="nl-NL"/>
        </w:rPr>
        <w:t xml:space="preserve">Brabantse </w:t>
      </w:r>
      <w:proofErr w:type="spellStart"/>
      <w:r w:rsidRPr="00C140A8">
        <w:rPr>
          <w:rFonts w:ascii="Georgia" w:hAnsi="Georgia" w:cs="Calibri"/>
          <w:i/>
          <w:iCs/>
          <w:sz w:val="22"/>
          <w:szCs w:val="22"/>
          <w:lang w:val="nl-NL"/>
        </w:rPr>
        <w:t>Yeesten</w:t>
      </w:r>
      <w:proofErr w:type="spellEnd"/>
      <w:r w:rsidRPr="00C140A8">
        <w:rPr>
          <w:rFonts w:ascii="Georgia" w:hAnsi="Georgia" w:cs="Calibri"/>
          <w:sz w:val="22"/>
          <w:szCs w:val="22"/>
          <w:lang w:val="nl-NL"/>
        </w:rPr>
        <w:t xml:space="preserve"> zoals eerder vermeld</w:t>
      </w:r>
      <w:r w:rsidR="00B12D8F">
        <w:rPr>
          <w:rFonts w:ascii="Georgia" w:hAnsi="Georgia" w:cs="Calibri"/>
          <w:sz w:val="22"/>
          <w:szCs w:val="22"/>
          <w:lang w:val="nl-NL"/>
        </w:rPr>
        <w:t xml:space="preserve">. </w:t>
      </w:r>
      <w:r w:rsidR="00B12D8F" w:rsidRPr="00B12D8F">
        <w:rPr>
          <w:rFonts w:ascii="Georgia" w:hAnsi="Georgia" w:cs="Calibri"/>
          <w:sz w:val="22"/>
          <w:szCs w:val="22"/>
        </w:rPr>
        <w:t>Recent onderzoek heeft aangetoond dat deze kroniek functioneerde als een didactisch pamflet voor toekomstige vorsten, waarin de auteur niet zozeer beschreef hoe het bestuur was, maar voorhield hoe het zou moeten zijn</w:t>
      </w:r>
      <w:r w:rsidR="00B12D8F">
        <w:rPr>
          <w:rFonts w:ascii="Georgia" w:hAnsi="Georgia" w:cs="Calibri"/>
          <w:i/>
          <w:iCs/>
          <w:sz w:val="22"/>
          <w:szCs w:val="22"/>
        </w:rPr>
        <w:t>.</w:t>
      </w:r>
      <w:r w:rsidR="00B12D8F">
        <w:rPr>
          <w:rStyle w:val="FootnoteReference"/>
          <w:rFonts w:ascii="Georgia" w:hAnsi="Georgia" w:cs="Calibri"/>
          <w:i/>
          <w:iCs/>
          <w:sz w:val="22"/>
          <w:szCs w:val="22"/>
        </w:rPr>
        <w:footnoteReference w:id="48"/>
      </w:r>
      <w:r w:rsidR="00B12D8F" w:rsidRPr="00427CEE">
        <w:rPr>
          <w:rFonts w:ascii="Georgia" w:hAnsi="Georgia" w:cs="Calibri"/>
          <w:sz w:val="22"/>
          <w:szCs w:val="22"/>
        </w:rPr>
        <w:t xml:space="preserve"> Het beeld van de 'bemiddelende' en 'adviserende' vorstin is dan ook geen weergave van Johanna's praktijk, maar een </w:t>
      </w:r>
      <w:r w:rsidR="00427CEE" w:rsidRPr="00427CEE">
        <w:rPr>
          <w:rFonts w:ascii="Georgia" w:hAnsi="Georgia" w:cs="Calibri"/>
          <w:sz w:val="22"/>
          <w:szCs w:val="22"/>
        </w:rPr>
        <w:t>ideaalbeeld. De praktijkbronnen tonen duidelijk aan dat Johanna meer was dan een gefluister in Wenceslas' oor.</w:t>
      </w:r>
      <w:r w:rsidRPr="00C140A8">
        <w:rPr>
          <w:rFonts w:ascii="Georgia" w:hAnsi="Georgia" w:cs="Calibri"/>
          <w:sz w:val="22"/>
          <w:szCs w:val="22"/>
          <w:lang w:val="nl-NL"/>
        </w:rPr>
        <w:t xml:space="preserve"> </w:t>
      </w:r>
    </w:p>
    <w:p w14:paraId="206F1F5F" w14:textId="46315F6F" w:rsidR="008F6EE8" w:rsidRPr="00140E3A" w:rsidRDefault="00846C51" w:rsidP="00BD3B94">
      <w:pPr>
        <w:spacing w:afterLines="80" w:after="192" w:line="360" w:lineRule="auto"/>
        <w:jc w:val="both"/>
        <w:rPr>
          <w:rFonts w:ascii="Georgia" w:hAnsi="Georgia" w:cs="Calibri"/>
          <w:i/>
          <w:iCs/>
          <w:sz w:val="22"/>
          <w:szCs w:val="22"/>
        </w:rPr>
      </w:pPr>
      <w:r>
        <w:rPr>
          <w:rFonts w:ascii="Georgia" w:hAnsi="Georgia" w:cs="Calibri"/>
          <w:sz w:val="22"/>
          <w:szCs w:val="22"/>
        </w:rPr>
        <w:t>Toch heeft</w:t>
      </w:r>
      <w:r w:rsidR="00BD3B94" w:rsidRPr="00913BFD">
        <w:rPr>
          <w:rFonts w:ascii="Georgia" w:hAnsi="Georgia" w:cs="Calibri"/>
          <w:sz w:val="22"/>
          <w:szCs w:val="22"/>
        </w:rPr>
        <w:t xml:space="preserve"> </w:t>
      </w:r>
      <w:r>
        <w:rPr>
          <w:rFonts w:ascii="Georgia" w:hAnsi="Georgia" w:cs="Calibri"/>
          <w:sz w:val="22"/>
          <w:szCs w:val="22"/>
        </w:rPr>
        <w:t xml:space="preserve">de </w:t>
      </w:r>
      <w:r w:rsidR="00BD3B94" w:rsidRPr="00913BFD">
        <w:rPr>
          <w:rFonts w:ascii="Georgia" w:hAnsi="Georgia" w:cs="Calibri"/>
          <w:sz w:val="22"/>
          <w:szCs w:val="22"/>
        </w:rPr>
        <w:t xml:space="preserve">historiografie van de laatste decennia van de twintigste eeuw dit beeld nauwelijks bijgesteld. Auteurs vallen vooral terug op de vroegere standaardwerken en bevestigen daarmee het beeld van de </w:t>
      </w:r>
      <w:r>
        <w:rPr>
          <w:rFonts w:ascii="Georgia" w:hAnsi="Georgia" w:cs="Calibri"/>
          <w:sz w:val="22"/>
          <w:szCs w:val="22"/>
        </w:rPr>
        <w:t>‘</w:t>
      </w:r>
      <w:r w:rsidR="00BD3B94" w:rsidRPr="00913BFD">
        <w:rPr>
          <w:rFonts w:ascii="Georgia" w:hAnsi="Georgia" w:cs="Calibri"/>
          <w:sz w:val="22"/>
          <w:szCs w:val="22"/>
        </w:rPr>
        <w:t>zwakke Johann</w:t>
      </w:r>
      <w:r>
        <w:rPr>
          <w:rFonts w:ascii="Georgia" w:hAnsi="Georgia" w:cs="Calibri"/>
          <w:sz w:val="22"/>
          <w:szCs w:val="22"/>
        </w:rPr>
        <w:t>a’</w:t>
      </w:r>
      <w:r w:rsidR="00BD3B94" w:rsidRPr="00BD3B94">
        <w:rPr>
          <w:rFonts w:ascii="Georgia" w:hAnsi="Georgia" w:cs="Calibri"/>
          <w:i/>
          <w:iCs/>
          <w:sz w:val="22"/>
          <w:szCs w:val="22"/>
        </w:rPr>
        <w:t>.</w:t>
      </w:r>
      <w:r w:rsidR="00BD3B94" w:rsidRPr="00C140A8">
        <w:rPr>
          <w:rStyle w:val="FootnoteReference"/>
          <w:rFonts w:ascii="Georgia" w:hAnsi="Georgia" w:cs="Calibri"/>
          <w:sz w:val="22"/>
          <w:szCs w:val="22"/>
          <w:lang w:val="nl-NL"/>
        </w:rPr>
        <w:footnoteReference w:id="49"/>
      </w:r>
      <w:r w:rsidR="00BD3B94">
        <w:rPr>
          <w:rFonts w:ascii="Georgia" w:hAnsi="Georgia" w:cs="Calibri"/>
          <w:i/>
          <w:iCs/>
          <w:sz w:val="22"/>
          <w:szCs w:val="22"/>
        </w:rPr>
        <w:t xml:space="preserve"> </w:t>
      </w:r>
      <w:r w:rsidR="008F6EE8" w:rsidRPr="004A06B7">
        <w:rPr>
          <w:rFonts w:ascii="Georgia" w:hAnsi="Georgia" w:cs="Calibri"/>
          <w:sz w:val="22"/>
          <w:szCs w:val="22"/>
        </w:rPr>
        <w:t xml:space="preserve">Zo </w:t>
      </w:r>
      <w:r w:rsidR="00140E3A" w:rsidRPr="004A06B7">
        <w:rPr>
          <w:rFonts w:ascii="Georgia" w:hAnsi="Georgia" w:cs="Calibri"/>
          <w:sz w:val="22"/>
          <w:szCs w:val="22"/>
        </w:rPr>
        <w:t>bevestigt</w:t>
      </w:r>
      <w:r w:rsidR="008F6EE8" w:rsidRPr="004A06B7">
        <w:rPr>
          <w:rFonts w:ascii="Georgia" w:hAnsi="Georgia" w:cs="Calibri"/>
          <w:sz w:val="22"/>
          <w:szCs w:val="22"/>
        </w:rPr>
        <w:t xml:space="preserve"> Remco Sleiderink het narratief van cultureel verval na 1383</w:t>
      </w:r>
      <w:r w:rsidR="00140E3A" w:rsidRPr="004A06B7">
        <w:rPr>
          <w:rFonts w:ascii="Georgia" w:hAnsi="Georgia" w:cs="Calibri"/>
          <w:sz w:val="22"/>
          <w:szCs w:val="22"/>
        </w:rPr>
        <w:t xml:space="preserve"> gedeeltelijk</w:t>
      </w:r>
      <w:r w:rsidR="008F6EE8" w:rsidRPr="004A06B7">
        <w:rPr>
          <w:rFonts w:ascii="Georgia" w:hAnsi="Georgia" w:cs="Calibri"/>
          <w:sz w:val="22"/>
          <w:szCs w:val="22"/>
        </w:rPr>
        <w:t>. Ondanks dat hij erkent dat er nog dichters aan het hof verschenen, concludeert hij dat het literaire leven “binnen de kortste keren zijn glans verloor”.</w:t>
      </w:r>
      <w:r w:rsidR="00140E3A" w:rsidRPr="004A06B7">
        <w:rPr>
          <w:rStyle w:val="FootnoteReference"/>
          <w:rFonts w:ascii="Georgia" w:hAnsi="Georgia" w:cs="Calibri"/>
          <w:sz w:val="22"/>
          <w:szCs w:val="22"/>
          <w:lang w:val="nl-NL"/>
        </w:rPr>
        <w:footnoteReference w:id="50"/>
      </w:r>
      <w:r w:rsidR="00140E3A" w:rsidRPr="004A06B7">
        <w:rPr>
          <w:rFonts w:ascii="Georgia" w:hAnsi="Georgia" w:cs="Calibri"/>
          <w:sz w:val="22"/>
          <w:szCs w:val="22"/>
          <w:lang w:val="nl-NL"/>
        </w:rPr>
        <w:t xml:space="preserve"> </w:t>
      </w:r>
      <w:r w:rsidR="00C52B2E" w:rsidRPr="004A06B7">
        <w:rPr>
          <w:rFonts w:ascii="Georgia" w:hAnsi="Georgia" w:cs="Calibri"/>
          <w:sz w:val="22"/>
          <w:szCs w:val="22"/>
        </w:rPr>
        <w:t>De Brabantse financieel-politieke context blijft daarbij buiten beeld. Wenceslas liet Johanna bij zijn overlijden een zware financiële erfenis na, en de verklaring voor het terugvallende mecenaat ligt eerder daar dan in een vermeende desinteresse van de hertogin</w:t>
      </w:r>
      <w:r w:rsidR="00C52B2E">
        <w:rPr>
          <w:rFonts w:ascii="Georgia" w:hAnsi="Georgia" w:cs="Calibri"/>
          <w:i/>
          <w:iCs/>
          <w:sz w:val="22"/>
          <w:szCs w:val="22"/>
        </w:rPr>
        <w:t>.</w:t>
      </w:r>
    </w:p>
    <w:p w14:paraId="031FA1D7" w14:textId="0CF58C06" w:rsidR="001E10FD" w:rsidRPr="001E10FD" w:rsidRDefault="00A74705"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Een ander voorbeeld binnen deze </w:t>
      </w:r>
      <w:r w:rsidR="001E10FD" w:rsidRPr="2D0D95AE">
        <w:rPr>
          <w:rFonts w:ascii="Georgia" w:hAnsi="Georgia" w:cs="Calibri"/>
          <w:sz w:val="22"/>
          <w:szCs w:val="22"/>
          <w:lang w:val="en-US"/>
        </w:rPr>
        <w:t xml:space="preserve">nieuwere historici is </w:t>
      </w:r>
      <w:r w:rsidR="004A06B7" w:rsidRPr="2D0D95AE">
        <w:rPr>
          <w:rFonts w:ascii="Georgia" w:hAnsi="Georgia" w:cs="Calibri"/>
          <w:sz w:val="22"/>
          <w:szCs w:val="22"/>
          <w:lang w:val="en-US"/>
        </w:rPr>
        <w:t>Jana Fantysová-Matějková</w:t>
      </w:r>
      <w:r w:rsidR="001E10FD" w:rsidRPr="2D0D95AE">
        <w:rPr>
          <w:rFonts w:ascii="Georgia" w:hAnsi="Georgia" w:cs="Calibri"/>
          <w:sz w:val="22"/>
          <w:szCs w:val="22"/>
          <w:lang w:val="en-US"/>
        </w:rPr>
        <w:t xml:space="preserve">. </w:t>
      </w:r>
      <w:r w:rsidR="006A6C2D" w:rsidRPr="2D0D95AE">
        <w:rPr>
          <w:rFonts w:ascii="Georgia" w:hAnsi="Georgia" w:cs="Calibri"/>
          <w:sz w:val="22"/>
          <w:szCs w:val="22"/>
          <w:lang w:val="en-US"/>
        </w:rPr>
        <w:t xml:space="preserve">In 2013 beloofde ze in haar studie naar Wenceslas </w:t>
      </w:r>
      <w:r w:rsidR="000514B0" w:rsidRPr="2D0D95AE">
        <w:rPr>
          <w:rFonts w:ascii="Georgia" w:hAnsi="Georgia" w:cs="Calibri"/>
          <w:sz w:val="22"/>
          <w:szCs w:val="22"/>
          <w:lang w:val="en-US"/>
        </w:rPr>
        <w:t>de vooroordelen uit de eerdere historiografie over de hertog te herzien door hem binnen een breder geopolitieke context te plaatsen.</w:t>
      </w:r>
      <w:r w:rsidR="001E10FD" w:rsidRPr="2D0D95AE">
        <w:rPr>
          <w:rFonts w:ascii="Georgia" w:hAnsi="Georgia" w:cs="Calibri"/>
          <w:sz w:val="22"/>
          <w:szCs w:val="22"/>
          <w:lang w:val="en-US"/>
        </w:rPr>
        <w:t xml:space="preserve"> Voor Johanna brengt deze biografie echter een weinig vernieuwend beeld. Ter illustratie, wanneer Johanna's religieuze interesse en bijdragen ter sprake komen, stelt Fantysová-Matějková dat haar giften aan de clerus aanzienlijk kleiner waren dan de grote bedragen die Johanna uitgaf aan gokspelen, waardoor </w:t>
      </w:r>
      <w:r w:rsidR="000D495E" w:rsidRPr="2D0D95AE">
        <w:rPr>
          <w:rFonts w:ascii="Georgia" w:hAnsi="Georgia" w:cs="Calibri"/>
          <w:sz w:val="22"/>
          <w:szCs w:val="22"/>
          <w:lang w:val="en-US"/>
        </w:rPr>
        <w:t xml:space="preserve">Fantysová-Matějková </w:t>
      </w:r>
      <w:r w:rsidR="001E10FD" w:rsidRPr="2D0D95AE">
        <w:rPr>
          <w:rFonts w:ascii="Georgia" w:hAnsi="Georgia" w:cs="Calibri"/>
          <w:sz w:val="22"/>
          <w:szCs w:val="22"/>
          <w:lang w:val="en-US"/>
        </w:rPr>
        <w:t xml:space="preserve">Johanna's positie opnieuw </w:t>
      </w:r>
      <w:r w:rsidR="000D495E" w:rsidRPr="2D0D95AE">
        <w:rPr>
          <w:rFonts w:ascii="Georgia" w:hAnsi="Georgia" w:cs="Calibri"/>
          <w:sz w:val="22"/>
          <w:szCs w:val="22"/>
          <w:lang w:val="en-US"/>
        </w:rPr>
        <w:t>reduceert</w:t>
      </w:r>
      <w:r w:rsidR="001E10FD" w:rsidRPr="2D0D95AE">
        <w:rPr>
          <w:rFonts w:ascii="Georgia" w:hAnsi="Georgia" w:cs="Calibri"/>
          <w:sz w:val="22"/>
          <w:szCs w:val="22"/>
          <w:lang w:val="en-US"/>
        </w:rPr>
        <w:t xml:space="preserve"> tot haar </w:t>
      </w:r>
      <w:r w:rsidR="001E10FD" w:rsidRPr="2D0D95AE">
        <w:rPr>
          <w:rFonts w:ascii="Georgia" w:hAnsi="Georgia" w:cs="Calibri"/>
          <w:sz w:val="22"/>
          <w:szCs w:val="22"/>
          <w:lang w:val="en-US"/>
        </w:rPr>
        <w:lastRenderedPageBreak/>
        <w:t>voorliefde voor amusement.</w:t>
      </w:r>
      <w:r w:rsidR="001E10FD" w:rsidRPr="2D0D95AE">
        <w:rPr>
          <w:rStyle w:val="FootnoteReference"/>
          <w:rFonts w:ascii="Georgia" w:hAnsi="Georgia" w:cs="Calibri"/>
          <w:sz w:val="22"/>
          <w:szCs w:val="22"/>
          <w:lang w:val="en-US"/>
        </w:rPr>
        <w:t xml:space="preserve"> </w:t>
      </w:r>
      <w:r w:rsidRPr="2D0D95AE">
        <w:rPr>
          <w:rStyle w:val="FootnoteReference"/>
          <w:rFonts w:ascii="Georgia" w:hAnsi="Georgia" w:cs="Calibri"/>
          <w:sz w:val="22"/>
          <w:szCs w:val="22"/>
          <w:lang w:val="en-US"/>
        </w:rPr>
        <w:footnoteReference w:id="51"/>
      </w:r>
      <w:r w:rsidR="001E10FD" w:rsidRPr="2D0D95AE">
        <w:rPr>
          <w:rFonts w:ascii="Georgia" w:hAnsi="Georgia" w:cs="Calibri"/>
          <w:sz w:val="22"/>
          <w:szCs w:val="22"/>
          <w:lang w:val="en-US"/>
        </w:rPr>
        <w:t xml:space="preserve">  Daarmee bevestigt ook deze biografie de selectieve leeswijze die de hertogin als bestuurder buiten beeld laat.</w:t>
      </w:r>
    </w:p>
    <w:p w14:paraId="5644F55D" w14:textId="749A874C" w:rsidR="004242A5" w:rsidRDefault="0034716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Een kantelmoment in de historiografie kwam wellicht met de publicatie van </w:t>
      </w:r>
      <w:proofErr w:type="spellStart"/>
      <w:r w:rsidRPr="00C140A8">
        <w:rPr>
          <w:rFonts w:ascii="Georgia" w:hAnsi="Georgia" w:cs="Calibri"/>
          <w:i/>
          <w:iCs/>
          <w:sz w:val="22"/>
          <w:szCs w:val="22"/>
          <w:lang w:val="nl-NL"/>
        </w:rPr>
        <w:t>Warfare</w:t>
      </w:r>
      <w:proofErr w:type="spellEnd"/>
      <w:r w:rsidRPr="00C140A8">
        <w:rPr>
          <w:rFonts w:ascii="Georgia" w:hAnsi="Georgia" w:cs="Calibri"/>
          <w:i/>
          <w:iCs/>
          <w:sz w:val="22"/>
          <w:szCs w:val="22"/>
          <w:lang w:val="nl-NL"/>
        </w:rPr>
        <w:t xml:space="preserve"> in </w:t>
      </w:r>
      <w:proofErr w:type="spellStart"/>
      <w:r w:rsidRPr="00C140A8">
        <w:rPr>
          <w:rFonts w:ascii="Georgia" w:hAnsi="Georgia" w:cs="Calibri"/>
          <w:i/>
          <w:iCs/>
          <w:sz w:val="22"/>
          <w:szCs w:val="22"/>
          <w:lang w:val="nl-NL"/>
        </w:rPr>
        <w:t>Medieval</w:t>
      </w:r>
      <w:proofErr w:type="spellEnd"/>
      <w:r w:rsidRPr="00C140A8">
        <w:rPr>
          <w:rFonts w:ascii="Georgia" w:hAnsi="Georgia" w:cs="Calibri"/>
          <w:i/>
          <w:iCs/>
          <w:sz w:val="22"/>
          <w:szCs w:val="22"/>
          <w:lang w:val="nl-NL"/>
        </w:rPr>
        <w:t xml:space="preserve"> Brabant</w:t>
      </w:r>
      <w:r w:rsidRPr="00C140A8">
        <w:rPr>
          <w:rFonts w:ascii="Georgia" w:hAnsi="Georgia" w:cs="Calibri"/>
          <w:sz w:val="22"/>
          <w:szCs w:val="22"/>
          <w:lang w:val="nl-NL"/>
        </w:rPr>
        <w:t xml:space="preserve"> door Sergio </w:t>
      </w:r>
      <w:proofErr w:type="spellStart"/>
      <w:r w:rsidRPr="00C140A8">
        <w:rPr>
          <w:rFonts w:ascii="Georgia" w:hAnsi="Georgia" w:cs="Calibri"/>
          <w:sz w:val="22"/>
          <w:szCs w:val="22"/>
          <w:lang w:val="nl-NL"/>
        </w:rPr>
        <w:t>Boffa</w:t>
      </w:r>
      <w:proofErr w:type="spellEnd"/>
      <w:r w:rsidRPr="00C140A8">
        <w:rPr>
          <w:rFonts w:ascii="Georgia" w:hAnsi="Georgia" w:cs="Calibri"/>
          <w:sz w:val="22"/>
          <w:szCs w:val="22"/>
          <w:lang w:val="nl-NL"/>
        </w:rPr>
        <w:t>.</w:t>
      </w:r>
      <w:r w:rsidRPr="00C140A8">
        <w:rPr>
          <w:rStyle w:val="FootnoteReference"/>
          <w:rFonts w:ascii="Georgia" w:hAnsi="Georgia" w:cs="Calibri"/>
          <w:sz w:val="22"/>
          <w:szCs w:val="22"/>
          <w:lang w:val="nl-NL"/>
        </w:rPr>
        <w:footnoteReference w:id="52"/>
      </w:r>
      <w:r w:rsidRPr="00C140A8">
        <w:rPr>
          <w:rFonts w:ascii="Georgia" w:hAnsi="Georgia" w:cs="Calibri"/>
          <w:sz w:val="22"/>
          <w:szCs w:val="22"/>
          <w:lang w:val="nl-NL"/>
        </w:rPr>
        <w:t xml:space="preserve"> Op subtiele wijze toont hij aan dat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jaarlijks op veldtocht of militaire missie ging, waardoor Johanna geregeld alleen in Brabant achterbleef en het binnenlandse bestuur op zich nam.</w:t>
      </w:r>
      <w:r w:rsidRPr="00C140A8">
        <w:rPr>
          <w:rStyle w:val="FootnoteReference"/>
          <w:rFonts w:ascii="Georgia" w:hAnsi="Georgia" w:cs="Calibri"/>
          <w:sz w:val="22"/>
          <w:szCs w:val="22"/>
          <w:lang w:val="nl-NL"/>
        </w:rPr>
        <w:footnoteReference w:id="53"/>
      </w:r>
      <w:r w:rsidRPr="00C140A8">
        <w:rPr>
          <w:rFonts w:ascii="Georgia" w:hAnsi="Georgia" w:cs="Calibri"/>
          <w:sz w:val="22"/>
          <w:szCs w:val="22"/>
          <w:lang w:val="nl-NL"/>
        </w:rPr>
        <w:t xml:space="preserve"> </w:t>
      </w:r>
      <w:proofErr w:type="spellStart"/>
      <w:r w:rsidRPr="00C140A8">
        <w:rPr>
          <w:rFonts w:ascii="Georgia" w:hAnsi="Georgia" w:cs="Calibri"/>
          <w:sz w:val="22"/>
          <w:szCs w:val="22"/>
          <w:lang w:val="nl-NL"/>
        </w:rPr>
        <w:t>Boffa</w:t>
      </w:r>
      <w:proofErr w:type="spellEnd"/>
      <w:r w:rsidRPr="00C140A8">
        <w:rPr>
          <w:rFonts w:ascii="Georgia" w:hAnsi="Georgia" w:cs="Calibri"/>
          <w:sz w:val="22"/>
          <w:szCs w:val="22"/>
          <w:lang w:val="nl-NL"/>
        </w:rPr>
        <w:t xml:space="preserve"> illustreert dit met een treffend voorbeeld: na de slag bij </w:t>
      </w:r>
      <w:proofErr w:type="spellStart"/>
      <w:r w:rsidRPr="00C140A8">
        <w:rPr>
          <w:rFonts w:ascii="Georgia" w:hAnsi="Georgia" w:cs="Calibri"/>
          <w:sz w:val="22"/>
          <w:szCs w:val="22"/>
          <w:lang w:val="nl-NL"/>
        </w:rPr>
        <w:t>Baesweiler</w:t>
      </w:r>
      <w:proofErr w:type="spellEnd"/>
      <w:r w:rsidRPr="00C140A8">
        <w:rPr>
          <w:rFonts w:ascii="Georgia" w:hAnsi="Georgia" w:cs="Calibri"/>
          <w:sz w:val="22"/>
          <w:szCs w:val="22"/>
          <w:lang w:val="nl-NL"/>
        </w:rPr>
        <w:t xml:space="preserve">, een oorlog tussen Brabant en de hertogen van Gelre en Gulik, hielden zijn tegenstanders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een jaar gevangen. Johanna bleef in die periode alleen achter in Brabant. Zij hield het bestuur draaiende en lobbyde bij externe vorsten om de aanzienlijke som losgeld bijeen te krijgen.</w:t>
      </w:r>
      <w:r w:rsidRPr="00C140A8">
        <w:rPr>
          <w:rStyle w:val="FootnoteReference"/>
          <w:rFonts w:ascii="Georgia" w:hAnsi="Georgia" w:cs="Calibri"/>
          <w:sz w:val="22"/>
          <w:szCs w:val="22"/>
          <w:lang w:val="nl-NL"/>
        </w:rPr>
        <w:footnoteReference w:id="54"/>
      </w:r>
      <w:r w:rsidRPr="00C140A8">
        <w:rPr>
          <w:rFonts w:ascii="Georgia" w:hAnsi="Georgia" w:cs="Calibri"/>
          <w:sz w:val="22"/>
          <w:szCs w:val="22"/>
          <w:lang w:val="nl-NL"/>
        </w:rPr>
        <w:t xml:space="preserve"> </w:t>
      </w:r>
      <w:proofErr w:type="spellStart"/>
      <w:r w:rsidRPr="00C140A8">
        <w:rPr>
          <w:rFonts w:ascii="Georgia" w:hAnsi="Georgia" w:cs="Calibri"/>
          <w:sz w:val="22"/>
          <w:szCs w:val="22"/>
          <w:lang w:val="nl-NL"/>
        </w:rPr>
        <w:t>Boffa</w:t>
      </w:r>
      <w:proofErr w:type="spellEnd"/>
      <w:r w:rsidRPr="00C140A8">
        <w:rPr>
          <w:rFonts w:ascii="Georgia" w:hAnsi="Georgia" w:cs="Calibri"/>
          <w:sz w:val="22"/>
          <w:szCs w:val="22"/>
          <w:lang w:val="nl-NL"/>
        </w:rPr>
        <w:t xml:space="preserve"> stelt dat in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afwezigheid sprake was van een co-bestuur.</w:t>
      </w:r>
      <w:r w:rsidRPr="00C140A8">
        <w:rPr>
          <w:rStyle w:val="FootnoteReference"/>
          <w:rFonts w:ascii="Georgia" w:hAnsi="Georgia" w:cs="Calibri"/>
          <w:sz w:val="22"/>
          <w:szCs w:val="22"/>
          <w:lang w:val="nl-NL"/>
        </w:rPr>
        <w:footnoteReference w:id="55"/>
      </w:r>
      <w:r w:rsidRPr="00C140A8">
        <w:rPr>
          <w:rFonts w:ascii="Georgia" w:hAnsi="Georgia" w:cs="Calibri"/>
          <w:sz w:val="22"/>
          <w:szCs w:val="22"/>
          <w:lang w:val="nl-NL"/>
        </w:rPr>
        <w:t xml:space="preserve"> </w:t>
      </w:r>
      <w:r w:rsidR="004242A5" w:rsidRPr="004242A5">
        <w:rPr>
          <w:rFonts w:ascii="Georgia" w:hAnsi="Georgia" w:cs="Calibri"/>
          <w:sz w:val="22"/>
          <w:szCs w:val="22"/>
        </w:rPr>
        <w:t xml:space="preserve">Waar hij Johanna's bestuur dus zichtbaar maakt op momenten dat haar echtgenoot afwezig is, onderzoekt </w:t>
      </w:r>
      <w:r w:rsidR="004242A5">
        <w:rPr>
          <w:rFonts w:ascii="Georgia" w:hAnsi="Georgia" w:cs="Calibri"/>
          <w:sz w:val="22"/>
          <w:szCs w:val="22"/>
        </w:rPr>
        <w:t>deze</w:t>
      </w:r>
      <w:r w:rsidR="004242A5" w:rsidRPr="004242A5">
        <w:rPr>
          <w:rFonts w:ascii="Georgia" w:hAnsi="Georgia" w:cs="Calibri"/>
          <w:sz w:val="22"/>
          <w:szCs w:val="22"/>
        </w:rPr>
        <w:t xml:space="preserve"> scriptie of dit patroon ook tijdens zijn aanwezighei</w:t>
      </w:r>
      <w:r w:rsidR="004242A5">
        <w:rPr>
          <w:rFonts w:ascii="Georgia" w:hAnsi="Georgia" w:cs="Calibri"/>
          <w:sz w:val="22"/>
          <w:szCs w:val="22"/>
        </w:rPr>
        <w:t>d traceerbaar is.</w:t>
      </w:r>
    </w:p>
    <w:p w14:paraId="04A24AF5" w14:textId="56750D90" w:rsidR="00BB06BE" w:rsidRDefault="0034716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De vraag is dus of dit co-bestuur verdergezet wordt buiten een militaire context.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erfland was Luxemburg, waarmee Johanna met haar huwelijk in een personele unie zat. De hypothese is dan ook dat het door </w:t>
      </w:r>
      <w:proofErr w:type="spellStart"/>
      <w:r w:rsidRPr="00C140A8">
        <w:rPr>
          <w:rFonts w:ascii="Georgia" w:hAnsi="Georgia" w:cs="Calibri"/>
          <w:sz w:val="22"/>
          <w:szCs w:val="22"/>
          <w:lang w:val="nl-NL"/>
        </w:rPr>
        <w:t>Boffa</w:t>
      </w:r>
      <w:proofErr w:type="spellEnd"/>
      <w:r w:rsidRPr="00C140A8">
        <w:rPr>
          <w:rFonts w:ascii="Georgia" w:hAnsi="Georgia" w:cs="Calibri"/>
          <w:sz w:val="22"/>
          <w:szCs w:val="22"/>
          <w:lang w:val="nl-NL"/>
        </w:rPr>
        <w:t xml:space="preserve"> geschetste co-bestuur niet beperkt blijft tot momenten van afwezigheid, maar een kenmerk vormt van het Brabantse bestuur onder Johanna 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Kan de relationele benadering die Joan Scott voorstelt hier een duidelijker beeld geven van de machtsdynamiek tussen beide vorsten</w:t>
      </w:r>
      <w:r w:rsidR="006C52BB">
        <w:rPr>
          <w:rFonts w:ascii="Georgia" w:hAnsi="Georgia" w:cs="Calibri"/>
          <w:sz w:val="22"/>
          <w:szCs w:val="22"/>
          <w:lang w:val="nl-NL"/>
        </w:rPr>
        <w:t>?</w:t>
      </w:r>
      <w:r w:rsidR="006C52BB">
        <w:rPr>
          <w:rFonts w:ascii="Georgia" w:hAnsi="Georgia" w:cs="Calibri"/>
          <w:i/>
          <w:iCs/>
          <w:sz w:val="22"/>
          <w:szCs w:val="22"/>
        </w:rPr>
        <w:t xml:space="preserve"> </w:t>
      </w:r>
      <w:r w:rsidR="006C52BB" w:rsidRPr="007429CE">
        <w:rPr>
          <w:rFonts w:ascii="Georgia" w:hAnsi="Georgia" w:cs="Calibri"/>
          <w:sz w:val="22"/>
          <w:szCs w:val="22"/>
        </w:rPr>
        <w:t>Joh</w:t>
      </w:r>
      <w:r w:rsidR="007429CE" w:rsidRPr="007429CE">
        <w:rPr>
          <w:rFonts w:ascii="Georgia" w:hAnsi="Georgia" w:cs="Calibri"/>
          <w:sz w:val="22"/>
          <w:szCs w:val="22"/>
        </w:rPr>
        <w:t>a</w:t>
      </w:r>
      <w:r w:rsidR="006C52BB" w:rsidRPr="007429CE">
        <w:rPr>
          <w:rFonts w:ascii="Georgia" w:hAnsi="Georgia" w:cs="Calibri"/>
          <w:sz w:val="22"/>
          <w:szCs w:val="22"/>
        </w:rPr>
        <w:t>nna verdient bestudeerd te worden als deel van dit politieke koppel, en niet als geïsoleerd individu</w:t>
      </w:r>
      <w:r w:rsidR="007429CE">
        <w:rPr>
          <w:rFonts w:ascii="Georgia" w:hAnsi="Georgia" w:cs="Calibri"/>
          <w:sz w:val="22"/>
          <w:szCs w:val="22"/>
          <w:lang w:val="nl-NL"/>
        </w:rPr>
        <w:t xml:space="preserve">. </w:t>
      </w:r>
      <w:r w:rsidRPr="00C140A8">
        <w:rPr>
          <w:rFonts w:ascii="Georgia" w:hAnsi="Georgia" w:cs="Calibri"/>
          <w:sz w:val="22"/>
          <w:szCs w:val="22"/>
          <w:lang w:val="nl-NL"/>
        </w:rPr>
        <w:t xml:space="preserve">Het centrale argument van deze scriptie is dan ook dat van complementariteit. Johanna 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vulden elkaar aan en functioneerden als een eenheid waarin beiden eigen taken vervulden. Johanna is geen bijfiguur naast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maar de helft van een </w:t>
      </w:r>
      <w:proofErr w:type="spellStart"/>
      <w:r w:rsidRPr="00C140A8">
        <w:rPr>
          <w:rFonts w:ascii="Georgia" w:hAnsi="Georgia" w:cs="Calibri"/>
          <w:sz w:val="22"/>
          <w:szCs w:val="22"/>
          <w:lang w:val="nl-NL"/>
        </w:rPr>
        <w:t>machtsduo</w:t>
      </w:r>
      <w:proofErr w:type="spellEnd"/>
      <w:r w:rsidRPr="00C140A8">
        <w:rPr>
          <w:rFonts w:ascii="Georgia" w:hAnsi="Georgia" w:cs="Calibri"/>
          <w:sz w:val="22"/>
          <w:szCs w:val="22"/>
          <w:lang w:val="nl-NL"/>
        </w:rPr>
        <w:t xml:space="preserve"> waarin individuele en gezamenlijke handelingen voortdurend in elkaar overlopen, </w:t>
      </w:r>
      <w:r w:rsidR="00183734">
        <w:rPr>
          <w:rFonts w:ascii="Georgia" w:hAnsi="Georgia" w:cs="Calibri"/>
          <w:sz w:val="22"/>
          <w:szCs w:val="22"/>
          <w:lang w:val="nl-NL"/>
        </w:rPr>
        <w:t>een echtpaar</w:t>
      </w:r>
      <w:r w:rsidRPr="00C140A8">
        <w:rPr>
          <w:rFonts w:ascii="Georgia" w:hAnsi="Georgia" w:cs="Calibri"/>
          <w:sz w:val="22"/>
          <w:szCs w:val="22"/>
          <w:lang w:val="nl-NL"/>
        </w:rPr>
        <w:t xml:space="preserve"> waarin de historiografie gezamenlijke akten lange tijd vanzelfsprekend aan de man heeft toegeschreven. Pas wanneer het paar als bestuurlijke </w:t>
      </w:r>
      <w:r w:rsidR="00183734">
        <w:rPr>
          <w:rFonts w:ascii="Georgia" w:hAnsi="Georgia" w:cs="Calibri"/>
          <w:sz w:val="22"/>
          <w:szCs w:val="22"/>
          <w:lang w:val="nl-NL"/>
        </w:rPr>
        <w:t>duo</w:t>
      </w:r>
      <w:r w:rsidRPr="00C140A8">
        <w:rPr>
          <w:rFonts w:ascii="Georgia" w:hAnsi="Georgia" w:cs="Calibri"/>
          <w:sz w:val="22"/>
          <w:szCs w:val="22"/>
          <w:lang w:val="nl-NL"/>
        </w:rPr>
        <w:t xml:space="preserve"> ernstig wordt genomen, kan de vraag naar Johanna's beleidsbijdrage zinvol worden gesteld.</w:t>
      </w:r>
    </w:p>
    <w:p w14:paraId="0A00B8C2" w14:textId="77777777" w:rsidR="00DA41B7" w:rsidRDefault="00DA41B7" w:rsidP="00C140A8">
      <w:pPr>
        <w:spacing w:afterLines="80" w:after="192" w:line="360" w:lineRule="auto"/>
        <w:jc w:val="both"/>
        <w:rPr>
          <w:rFonts w:ascii="Georgia" w:hAnsi="Georgia" w:cs="Calibri"/>
          <w:sz w:val="22"/>
          <w:szCs w:val="22"/>
          <w:lang w:val="nl-NL"/>
        </w:rPr>
      </w:pPr>
    </w:p>
    <w:p w14:paraId="57AB23CF" w14:textId="77777777" w:rsidR="00DA41B7" w:rsidRDefault="00DA41B7" w:rsidP="00C140A8">
      <w:pPr>
        <w:spacing w:afterLines="80" w:after="192" w:line="360" w:lineRule="auto"/>
        <w:jc w:val="both"/>
        <w:rPr>
          <w:rFonts w:ascii="Georgia" w:hAnsi="Georgia" w:cs="Calibri"/>
          <w:sz w:val="22"/>
          <w:szCs w:val="22"/>
          <w:lang w:val="nl-NL"/>
        </w:rPr>
      </w:pPr>
    </w:p>
    <w:p w14:paraId="26FCE821" w14:textId="29CAC70A" w:rsidR="00BB06BE" w:rsidRPr="00BB06BE" w:rsidRDefault="00347160" w:rsidP="00BB06BE">
      <w:pPr>
        <w:pStyle w:val="ThesisHeading"/>
        <w:spacing w:after="0"/>
        <w:rPr>
          <w:sz w:val="34"/>
          <w:szCs w:val="34"/>
          <w:lang w:val="nl-NL"/>
        </w:rPr>
      </w:pPr>
      <w:bookmarkStart w:id="35" w:name="_Toc230118016"/>
      <w:bookmarkStart w:id="36" w:name="_Toc230358685"/>
      <w:bookmarkStart w:id="37" w:name="_Toc231153752"/>
      <w:bookmarkStart w:id="38" w:name="_Toc231329827"/>
      <w:bookmarkStart w:id="39" w:name="_Toc231330434"/>
      <w:bookmarkStart w:id="40" w:name="_Toc231428028"/>
      <w:bookmarkStart w:id="41" w:name="_Toc231463599"/>
      <w:r w:rsidRPr="00BB06BE">
        <w:rPr>
          <w:sz w:val="34"/>
          <w:szCs w:val="34"/>
          <w:lang w:val="nl-NL"/>
        </w:rPr>
        <w:lastRenderedPageBreak/>
        <w:t xml:space="preserve">Bewogen Brabant: het </w:t>
      </w:r>
      <w:proofErr w:type="spellStart"/>
      <w:r w:rsidRPr="00BB06BE">
        <w:rPr>
          <w:sz w:val="34"/>
          <w:szCs w:val="34"/>
        </w:rPr>
        <w:t>politieke</w:t>
      </w:r>
      <w:proofErr w:type="spellEnd"/>
      <w:r w:rsidRPr="00BB06BE">
        <w:rPr>
          <w:sz w:val="34"/>
          <w:szCs w:val="34"/>
          <w:lang w:val="nl-NL"/>
        </w:rPr>
        <w:t xml:space="preserve"> landschap</w:t>
      </w:r>
      <w:bookmarkEnd w:id="35"/>
      <w:bookmarkEnd w:id="36"/>
      <w:bookmarkEnd w:id="37"/>
      <w:bookmarkEnd w:id="38"/>
      <w:bookmarkEnd w:id="39"/>
      <w:bookmarkEnd w:id="40"/>
      <w:bookmarkEnd w:id="41"/>
    </w:p>
    <w:p w14:paraId="301976ED" w14:textId="77777777" w:rsidR="00347160" w:rsidRPr="00C140A8" w:rsidRDefault="00347160" w:rsidP="00BB06BE">
      <w:pPr>
        <w:pStyle w:val="ThesisSubheading"/>
        <w:spacing w:before="0"/>
        <w:ind w:left="1134"/>
        <w:rPr>
          <w:lang w:val="nl-NL"/>
        </w:rPr>
      </w:pPr>
      <w:bookmarkStart w:id="42" w:name="_Toc230014138"/>
      <w:bookmarkStart w:id="43" w:name="_Toc230014220"/>
      <w:bookmarkStart w:id="44" w:name="_Toc230118017"/>
      <w:bookmarkStart w:id="45" w:name="_Toc230358686"/>
      <w:bookmarkStart w:id="46" w:name="_Toc231153753"/>
      <w:bookmarkStart w:id="47" w:name="_Toc231329828"/>
      <w:bookmarkStart w:id="48" w:name="_Toc231330435"/>
      <w:bookmarkStart w:id="49" w:name="_Toc231428029"/>
      <w:r w:rsidRPr="00C140A8">
        <w:rPr>
          <w:lang w:val="nl-NL"/>
        </w:rPr>
        <w:t>De Staten van Brabant en de Blijde Inkomst (1356)</w:t>
      </w:r>
      <w:bookmarkEnd w:id="42"/>
      <w:bookmarkEnd w:id="43"/>
      <w:bookmarkEnd w:id="44"/>
      <w:bookmarkEnd w:id="45"/>
      <w:bookmarkEnd w:id="46"/>
      <w:bookmarkEnd w:id="47"/>
      <w:bookmarkEnd w:id="48"/>
      <w:bookmarkEnd w:id="49"/>
    </w:p>
    <w:p w14:paraId="5BCF90C2" w14:textId="77777777" w:rsidR="004F2260" w:rsidRDefault="0034716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Alvorens dit te analyseren valt, loont het de moeite om kort te schetsen binnen welke politieke en economische constellatie Johanna 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moesten manoeuvreren. Toen Jan III in 1355 stierf, kon Johanna haar vader opvolgen omdat erfopvolging in vrouwelijke lijn in Brabant, een leen van de Duitse keizer, was toegelaten. Reeds in 1204 had Hertog Hendrik I van keizer Filips van Zwaben verkregen dat vrouwelijke opvolging in het hertogdom voortaan mogelijk was</w:t>
      </w:r>
      <w:r w:rsidRPr="00183734">
        <w:rPr>
          <w:rFonts w:ascii="Georgia" w:hAnsi="Georgia" w:cs="Calibri"/>
          <w:sz w:val="22"/>
          <w:szCs w:val="22"/>
          <w:lang w:val="nl-NL"/>
        </w:rPr>
        <w:t>.</w:t>
      </w:r>
      <w:r w:rsidRPr="00183734">
        <w:rPr>
          <w:rStyle w:val="FootnoteReference"/>
          <w:rFonts w:ascii="Georgia" w:hAnsi="Georgia" w:cs="Calibri"/>
          <w:sz w:val="22"/>
          <w:szCs w:val="22"/>
          <w:lang w:val="nl-NL"/>
        </w:rPr>
        <w:t xml:space="preserve"> </w:t>
      </w:r>
      <w:r w:rsidRPr="00183734">
        <w:rPr>
          <w:rStyle w:val="FootnoteReference"/>
          <w:rFonts w:ascii="Georgia" w:hAnsi="Georgia" w:cs="Calibri"/>
          <w:sz w:val="22"/>
          <w:szCs w:val="22"/>
          <w:lang w:val="nl-NL"/>
        </w:rPr>
        <w:footnoteReference w:id="56"/>
      </w:r>
      <w:r w:rsidRPr="00C140A8">
        <w:rPr>
          <w:rFonts w:ascii="Georgia" w:hAnsi="Georgia" w:cs="Calibri"/>
          <w:sz w:val="22"/>
          <w:szCs w:val="22"/>
          <w:lang w:val="nl-NL"/>
        </w:rPr>
        <w:t xml:space="preserve">  Opeenvolgende keizers herbevestigden dit privilege herhaaldelijk, onder meer in 1349, zes jaar voor de dood van Jan III.</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57"/>
      </w:r>
      <w:r w:rsidRPr="00C140A8">
        <w:rPr>
          <w:rFonts w:ascii="Georgia" w:hAnsi="Georgia" w:cs="Calibri"/>
          <w:sz w:val="22"/>
          <w:szCs w:val="22"/>
          <w:lang w:val="nl-NL"/>
        </w:rPr>
        <w:t xml:space="preserve">  Het privilege kende echter geen voorrang toe aan de oudste dochter, waardoor Johanna's aanstelling op weerstand stuitte van haar twee zussen Margaretha en Maria en hun respectieve echtgenoten, Lodewijk van Male, graaf van Vlaanderen, en Reinoud III, hertog van Gelre.</w:t>
      </w:r>
      <w:r w:rsidRPr="00C140A8">
        <w:rPr>
          <w:rStyle w:val="FootnoteReference"/>
          <w:rFonts w:ascii="Georgia" w:hAnsi="Georgia" w:cs="Calibri"/>
          <w:sz w:val="22"/>
          <w:szCs w:val="22"/>
          <w:lang w:val="nl-NL"/>
        </w:rPr>
        <w:footnoteReference w:id="58"/>
      </w:r>
      <w:r w:rsidRPr="00C140A8">
        <w:rPr>
          <w:rFonts w:ascii="Georgia" w:hAnsi="Georgia" w:cs="Calibri"/>
          <w:sz w:val="22"/>
          <w:szCs w:val="22"/>
          <w:lang w:val="nl-NL"/>
        </w:rPr>
        <w:t xml:space="preserve">  Hoewel Jan III bij Johanna's geboorte de belofte van troonopvolging had vastgelegd, trok hij die successieregeling onder druk van de Vlaamse graaf later weer in.</w:t>
      </w:r>
      <w:r w:rsidRPr="00C140A8">
        <w:rPr>
          <w:rStyle w:val="FootnoteReference"/>
          <w:rFonts w:ascii="Georgia" w:hAnsi="Georgia" w:cs="Calibri"/>
          <w:sz w:val="22"/>
          <w:szCs w:val="22"/>
          <w:lang w:val="nl-NL"/>
        </w:rPr>
        <w:footnoteReference w:id="59"/>
      </w:r>
      <w:r w:rsidRPr="00C140A8">
        <w:rPr>
          <w:rFonts w:ascii="Georgia" w:hAnsi="Georgia" w:cs="Calibri"/>
          <w:sz w:val="22"/>
          <w:szCs w:val="22"/>
          <w:lang w:val="nl-NL"/>
        </w:rPr>
        <w:t xml:space="preserve"> De keuze voor Johanna was uiteindelijk een beslissing van de drie standen van Brabant: de geestelijkheid, de edelen en de steden. </w:t>
      </w:r>
    </w:p>
    <w:p w14:paraId="43C8F691" w14:textId="10DD8A06" w:rsidR="00347160" w:rsidRPr="00C140A8" w:rsidRDefault="0034716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De standen vormden een representatieve instelling die volgens André </w:t>
      </w:r>
      <w:proofErr w:type="spellStart"/>
      <w:r w:rsidRPr="00C140A8">
        <w:rPr>
          <w:rFonts w:ascii="Georgia" w:hAnsi="Georgia" w:cs="Calibri"/>
          <w:sz w:val="22"/>
          <w:szCs w:val="22"/>
          <w:lang w:val="nl-NL"/>
        </w:rPr>
        <w:t>Uyttebrouck</w:t>
      </w:r>
      <w:proofErr w:type="spellEnd"/>
      <w:r w:rsidRPr="00C140A8">
        <w:rPr>
          <w:rFonts w:ascii="Georgia" w:hAnsi="Georgia" w:cs="Calibri"/>
          <w:sz w:val="22"/>
          <w:szCs w:val="22"/>
          <w:lang w:val="nl-NL"/>
        </w:rPr>
        <w:t xml:space="preserve"> tussen 1356 en 1430 maar liefst 1610 keer samenkwam.</w:t>
      </w:r>
      <w:r w:rsidRPr="00C140A8">
        <w:rPr>
          <w:rStyle w:val="FootnoteReference"/>
          <w:rFonts w:ascii="Georgia" w:hAnsi="Georgia" w:cs="Calibri"/>
          <w:sz w:val="22"/>
          <w:szCs w:val="22"/>
          <w:lang w:val="nl-NL"/>
        </w:rPr>
        <w:footnoteReference w:id="60"/>
      </w:r>
      <w:r w:rsidRPr="00C140A8">
        <w:rPr>
          <w:rFonts w:ascii="Georgia" w:hAnsi="Georgia" w:cs="Calibri"/>
          <w:sz w:val="22"/>
          <w:szCs w:val="22"/>
          <w:lang w:val="nl-NL"/>
        </w:rPr>
        <w:t xml:space="preserve"> De </w:t>
      </w:r>
      <w:proofErr w:type="spellStart"/>
      <w:r w:rsidRPr="00C140A8">
        <w:rPr>
          <w:rFonts w:ascii="Georgia" w:hAnsi="Georgia" w:cs="Calibri"/>
          <w:sz w:val="22"/>
          <w:szCs w:val="22"/>
          <w:lang w:val="nl-NL"/>
        </w:rPr>
        <w:t>statenvergadering</w:t>
      </w:r>
      <w:proofErr w:type="spellEnd"/>
      <w:r w:rsidRPr="00C140A8">
        <w:rPr>
          <w:rFonts w:ascii="Georgia" w:hAnsi="Georgia" w:cs="Calibri"/>
          <w:sz w:val="22"/>
          <w:szCs w:val="22"/>
          <w:lang w:val="nl-NL"/>
        </w:rPr>
        <w:t xml:space="preserve"> vormde het representatieve orgaan waarin het contract tussen vorst en onderdanen gestalte kreeg. De relatie van de hertog tot de standen was al langer in ontwikkeling. Onder hertog Jan I (1267–1294) kregen de drie afzonderlijke standen al privileges in ruil voor een buitengewone bede.</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61"/>
      </w:r>
      <w:r w:rsidRPr="00C140A8">
        <w:rPr>
          <w:rFonts w:ascii="Georgia" w:hAnsi="Georgia" w:cs="Calibri"/>
          <w:sz w:val="22"/>
          <w:szCs w:val="22"/>
          <w:lang w:val="nl-NL"/>
        </w:rPr>
        <w:t xml:space="preserve"> De standen zouden belangrijke politieke (tegen)spelers worden voor Johanna 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en voor hun opvolgers, en het hertogelijk vorstenpaar moest met hen rekening houden.</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62"/>
      </w:r>
      <w:r w:rsidRPr="00C140A8">
        <w:rPr>
          <w:rFonts w:ascii="Georgia" w:hAnsi="Georgia" w:cs="Calibri"/>
          <w:sz w:val="22"/>
          <w:szCs w:val="22"/>
          <w:lang w:val="nl-NL"/>
        </w:rPr>
        <w:t xml:space="preserve"> Deze notie van wederkerigheid en contractuele loyaliteit ligt duidelijk mee aan de basis </w:t>
      </w:r>
      <w:r w:rsidR="006F6E59">
        <w:rPr>
          <w:rFonts w:ascii="Georgia" w:hAnsi="Georgia" w:cs="Calibri"/>
          <w:sz w:val="22"/>
          <w:szCs w:val="22"/>
          <w:lang w:val="nl-NL"/>
        </w:rPr>
        <w:t>van de</w:t>
      </w:r>
      <w:r w:rsidRPr="00C140A8">
        <w:rPr>
          <w:rFonts w:ascii="Georgia" w:hAnsi="Georgia" w:cs="Calibri"/>
          <w:sz w:val="22"/>
          <w:szCs w:val="22"/>
          <w:lang w:val="nl-NL"/>
        </w:rPr>
        <w:t xml:space="preserve"> Blijde Inkomst</w:t>
      </w:r>
      <w:r w:rsidR="006F6E59">
        <w:rPr>
          <w:rFonts w:ascii="Georgia" w:hAnsi="Georgia" w:cs="Calibri"/>
          <w:sz w:val="22"/>
          <w:szCs w:val="22"/>
          <w:lang w:val="nl-NL"/>
        </w:rPr>
        <w:t xml:space="preserve"> van 1356.</w:t>
      </w:r>
    </w:p>
    <w:p w14:paraId="0FA7EF39" w14:textId="77777777" w:rsidR="00347160" w:rsidRPr="00C140A8" w:rsidRDefault="0034716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In 1355 probeerden 44 steden een mogelijke successiestrijd te voorkomen door een verbond te sluiten om het hertogdom veilig te stellen tegen opsplitsing. Vanaf dan zouden zij "</w:t>
      </w:r>
      <w:proofErr w:type="spellStart"/>
      <w:r w:rsidRPr="00C140A8">
        <w:rPr>
          <w:rFonts w:ascii="Georgia" w:hAnsi="Georgia" w:cs="Calibri"/>
          <w:i/>
          <w:iCs/>
          <w:sz w:val="22"/>
          <w:szCs w:val="22"/>
          <w:lang w:val="nl-NL"/>
        </w:rPr>
        <w:t>eendrachtich</w:t>
      </w:r>
      <w:proofErr w:type="spellEnd"/>
      <w:r w:rsidRPr="00C140A8">
        <w:rPr>
          <w:rFonts w:ascii="Georgia" w:hAnsi="Georgia" w:cs="Calibri"/>
          <w:i/>
          <w:iCs/>
          <w:sz w:val="22"/>
          <w:szCs w:val="22"/>
          <w:lang w:val="nl-NL"/>
        </w:rPr>
        <w:t xml:space="preserve"> bi </w:t>
      </w:r>
      <w:proofErr w:type="spellStart"/>
      <w:r w:rsidRPr="00C140A8">
        <w:rPr>
          <w:rFonts w:ascii="Georgia" w:hAnsi="Georgia" w:cs="Calibri"/>
          <w:i/>
          <w:iCs/>
          <w:sz w:val="22"/>
          <w:szCs w:val="22"/>
          <w:lang w:val="nl-NL"/>
        </w:rPr>
        <w:t>eenen</w:t>
      </w:r>
      <w:proofErr w:type="spellEnd"/>
      <w:r w:rsidRPr="00C140A8">
        <w:rPr>
          <w:rFonts w:ascii="Georgia" w:hAnsi="Georgia" w:cs="Calibri"/>
          <w:i/>
          <w:iCs/>
          <w:sz w:val="22"/>
          <w:szCs w:val="22"/>
          <w:lang w:val="nl-NL"/>
        </w:rPr>
        <w:t xml:space="preserve"> </w:t>
      </w:r>
      <w:proofErr w:type="spellStart"/>
      <w:r w:rsidRPr="00C140A8">
        <w:rPr>
          <w:rFonts w:ascii="Georgia" w:hAnsi="Georgia" w:cs="Calibri"/>
          <w:i/>
          <w:iCs/>
          <w:sz w:val="22"/>
          <w:szCs w:val="22"/>
          <w:lang w:val="nl-NL"/>
        </w:rPr>
        <w:t>heere</w:t>
      </w:r>
      <w:proofErr w:type="spellEnd"/>
      <w:r w:rsidRPr="00C140A8">
        <w:rPr>
          <w:rFonts w:ascii="Georgia" w:hAnsi="Georgia" w:cs="Calibri"/>
          <w:sz w:val="22"/>
          <w:szCs w:val="22"/>
          <w:lang w:val="nl-NL"/>
        </w:rPr>
        <w:t>" staan.</w:t>
      </w:r>
      <w:r w:rsidRPr="00C140A8">
        <w:rPr>
          <w:rStyle w:val="FootnoteReference"/>
          <w:rFonts w:ascii="Georgia" w:hAnsi="Georgia" w:cs="Calibri"/>
          <w:sz w:val="22"/>
          <w:szCs w:val="22"/>
          <w:lang w:val="nl-NL"/>
        </w:rPr>
        <w:footnoteReference w:id="63"/>
      </w:r>
      <w:r w:rsidRPr="00C140A8">
        <w:rPr>
          <w:rFonts w:ascii="Georgia" w:hAnsi="Georgia" w:cs="Calibri"/>
          <w:sz w:val="22"/>
          <w:szCs w:val="22"/>
          <w:lang w:val="nl-NL"/>
        </w:rPr>
        <w:t xml:space="preserve"> Een maand later schaarden ook 139 edelen zich achter het stedenverbond om "</w:t>
      </w:r>
      <w:r w:rsidRPr="004F2260">
        <w:rPr>
          <w:rFonts w:ascii="Georgia" w:hAnsi="Georgia" w:cs="Calibri"/>
          <w:i/>
          <w:iCs/>
          <w:sz w:val="22"/>
          <w:szCs w:val="22"/>
          <w:lang w:val="nl-NL"/>
        </w:rPr>
        <w:t xml:space="preserve">goede twist, </w:t>
      </w:r>
      <w:proofErr w:type="spellStart"/>
      <w:r w:rsidRPr="004F2260">
        <w:rPr>
          <w:rFonts w:ascii="Georgia" w:hAnsi="Georgia" w:cs="Calibri"/>
          <w:i/>
          <w:iCs/>
          <w:sz w:val="22"/>
          <w:szCs w:val="22"/>
          <w:lang w:val="nl-NL"/>
        </w:rPr>
        <w:t>discoerd</w:t>
      </w:r>
      <w:proofErr w:type="spellEnd"/>
      <w:r w:rsidRPr="004F2260">
        <w:rPr>
          <w:rFonts w:ascii="Georgia" w:hAnsi="Georgia" w:cs="Calibri"/>
          <w:i/>
          <w:iCs/>
          <w:sz w:val="22"/>
          <w:szCs w:val="22"/>
          <w:lang w:val="nl-NL"/>
        </w:rPr>
        <w:t xml:space="preserve"> ende debat</w:t>
      </w:r>
      <w:r w:rsidRPr="00C140A8">
        <w:rPr>
          <w:rFonts w:ascii="Georgia" w:hAnsi="Georgia" w:cs="Calibri"/>
          <w:sz w:val="22"/>
          <w:szCs w:val="22"/>
          <w:lang w:val="nl-NL"/>
        </w:rPr>
        <w:t>" te voorkomen "</w:t>
      </w:r>
      <w:proofErr w:type="spellStart"/>
      <w:r w:rsidRPr="00C140A8">
        <w:rPr>
          <w:rFonts w:ascii="Georgia" w:hAnsi="Georgia" w:cs="Calibri"/>
          <w:i/>
          <w:iCs/>
          <w:sz w:val="22"/>
          <w:szCs w:val="22"/>
          <w:lang w:val="nl-NL"/>
        </w:rPr>
        <w:t>nae</w:t>
      </w:r>
      <w:proofErr w:type="spellEnd"/>
      <w:r w:rsidRPr="00C140A8">
        <w:rPr>
          <w:rFonts w:ascii="Georgia" w:hAnsi="Georgia" w:cs="Calibri"/>
          <w:i/>
          <w:iCs/>
          <w:sz w:val="22"/>
          <w:szCs w:val="22"/>
          <w:lang w:val="nl-NL"/>
        </w:rPr>
        <w:t xml:space="preserve"> de </w:t>
      </w:r>
      <w:proofErr w:type="spellStart"/>
      <w:r w:rsidRPr="00C140A8">
        <w:rPr>
          <w:rFonts w:ascii="Georgia" w:hAnsi="Georgia" w:cs="Calibri"/>
          <w:i/>
          <w:iCs/>
          <w:sz w:val="22"/>
          <w:szCs w:val="22"/>
          <w:lang w:val="nl-NL"/>
        </w:rPr>
        <w:t>doot</w:t>
      </w:r>
      <w:proofErr w:type="spellEnd"/>
      <w:r w:rsidRPr="00C140A8">
        <w:rPr>
          <w:rFonts w:ascii="Georgia" w:hAnsi="Georgia" w:cs="Calibri"/>
          <w:i/>
          <w:iCs/>
          <w:sz w:val="22"/>
          <w:szCs w:val="22"/>
          <w:lang w:val="nl-NL"/>
        </w:rPr>
        <w:t xml:space="preserve"> hun liefs </w:t>
      </w:r>
      <w:proofErr w:type="spellStart"/>
      <w:r w:rsidRPr="00C140A8">
        <w:rPr>
          <w:rFonts w:ascii="Georgia" w:hAnsi="Georgia" w:cs="Calibri"/>
          <w:i/>
          <w:iCs/>
          <w:sz w:val="22"/>
          <w:szCs w:val="22"/>
          <w:lang w:val="nl-NL"/>
        </w:rPr>
        <w:lastRenderedPageBreak/>
        <w:t>heren's</w:t>
      </w:r>
      <w:proofErr w:type="spellEnd"/>
      <w:r w:rsidRPr="00C140A8">
        <w:rPr>
          <w:rFonts w:ascii="Georgia" w:hAnsi="Georgia" w:cs="Calibri"/>
          <w:i/>
          <w:iCs/>
          <w:sz w:val="22"/>
          <w:szCs w:val="22"/>
          <w:lang w:val="nl-NL"/>
        </w:rPr>
        <w:t xml:space="preserve"> hertogen […] </w:t>
      </w:r>
      <w:proofErr w:type="spellStart"/>
      <w:r w:rsidRPr="00C140A8">
        <w:rPr>
          <w:rFonts w:ascii="Georgia" w:hAnsi="Georgia" w:cs="Calibri"/>
          <w:i/>
          <w:iCs/>
          <w:sz w:val="22"/>
          <w:szCs w:val="22"/>
          <w:lang w:val="nl-NL"/>
        </w:rPr>
        <w:t>waert</w:t>
      </w:r>
      <w:proofErr w:type="spellEnd"/>
      <w:r w:rsidRPr="00C140A8">
        <w:rPr>
          <w:rFonts w:ascii="Georgia" w:hAnsi="Georgia" w:cs="Calibri"/>
          <w:i/>
          <w:iCs/>
          <w:sz w:val="22"/>
          <w:szCs w:val="22"/>
          <w:lang w:val="nl-NL"/>
        </w:rPr>
        <w:t xml:space="preserve"> dat sine </w:t>
      </w:r>
      <w:proofErr w:type="spellStart"/>
      <w:r w:rsidRPr="00C140A8">
        <w:rPr>
          <w:rFonts w:ascii="Georgia" w:hAnsi="Georgia" w:cs="Calibri"/>
          <w:i/>
          <w:iCs/>
          <w:sz w:val="22"/>
          <w:szCs w:val="22"/>
          <w:lang w:val="nl-NL"/>
        </w:rPr>
        <w:t>vorscreven</w:t>
      </w:r>
      <w:proofErr w:type="spellEnd"/>
      <w:r w:rsidRPr="00C140A8">
        <w:rPr>
          <w:rFonts w:ascii="Georgia" w:hAnsi="Georgia" w:cs="Calibri"/>
          <w:i/>
          <w:iCs/>
          <w:sz w:val="22"/>
          <w:szCs w:val="22"/>
          <w:lang w:val="nl-NL"/>
        </w:rPr>
        <w:t xml:space="preserve"> lande </w:t>
      </w:r>
      <w:proofErr w:type="spellStart"/>
      <w:r w:rsidRPr="00C140A8">
        <w:rPr>
          <w:rFonts w:ascii="Georgia" w:hAnsi="Georgia" w:cs="Calibri"/>
          <w:i/>
          <w:iCs/>
          <w:sz w:val="22"/>
          <w:szCs w:val="22"/>
          <w:lang w:val="nl-NL"/>
        </w:rPr>
        <w:t>gesceden</w:t>
      </w:r>
      <w:proofErr w:type="spellEnd"/>
      <w:r w:rsidRPr="00C140A8">
        <w:rPr>
          <w:rFonts w:ascii="Georgia" w:hAnsi="Georgia" w:cs="Calibri"/>
          <w:i/>
          <w:iCs/>
          <w:sz w:val="22"/>
          <w:szCs w:val="22"/>
          <w:lang w:val="nl-NL"/>
        </w:rPr>
        <w:t xml:space="preserve"> worden </w:t>
      </w:r>
      <w:proofErr w:type="spellStart"/>
      <w:r w:rsidRPr="00C140A8">
        <w:rPr>
          <w:rFonts w:ascii="Georgia" w:hAnsi="Georgia" w:cs="Calibri"/>
          <w:i/>
          <w:iCs/>
          <w:sz w:val="22"/>
          <w:szCs w:val="22"/>
          <w:lang w:val="nl-NL"/>
        </w:rPr>
        <w:t>ane</w:t>
      </w:r>
      <w:proofErr w:type="spellEnd"/>
      <w:r w:rsidRPr="00C140A8">
        <w:rPr>
          <w:rFonts w:ascii="Georgia" w:hAnsi="Georgia" w:cs="Calibri"/>
          <w:i/>
          <w:iCs/>
          <w:sz w:val="22"/>
          <w:szCs w:val="22"/>
          <w:lang w:val="nl-NL"/>
        </w:rPr>
        <w:t xml:space="preserve"> die </w:t>
      </w:r>
      <w:proofErr w:type="spellStart"/>
      <w:r w:rsidRPr="00C140A8">
        <w:rPr>
          <w:rFonts w:ascii="Georgia" w:hAnsi="Georgia" w:cs="Calibri"/>
          <w:i/>
          <w:iCs/>
          <w:sz w:val="22"/>
          <w:szCs w:val="22"/>
          <w:lang w:val="nl-NL"/>
        </w:rPr>
        <w:t>doo</w:t>
      </w:r>
      <w:r w:rsidRPr="00C140A8">
        <w:rPr>
          <w:rFonts w:ascii="Georgia" w:hAnsi="Georgia" w:cs="Calibri"/>
          <w:sz w:val="22"/>
          <w:szCs w:val="22"/>
          <w:lang w:val="nl-NL"/>
        </w:rPr>
        <w:t>t</w:t>
      </w:r>
      <w:proofErr w:type="spellEnd"/>
      <w:r w:rsidRPr="00C140A8">
        <w:rPr>
          <w:rFonts w:ascii="Georgia" w:hAnsi="Georgia" w:cs="Calibri"/>
          <w:sz w:val="22"/>
          <w:szCs w:val="22"/>
          <w:lang w:val="nl-NL"/>
        </w:rPr>
        <w:t>."</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64"/>
      </w:r>
      <w:r w:rsidRPr="00C140A8">
        <w:rPr>
          <w:rFonts w:ascii="Georgia" w:hAnsi="Georgia" w:cs="Calibri"/>
          <w:sz w:val="22"/>
          <w:szCs w:val="22"/>
          <w:lang w:val="nl-NL"/>
        </w:rPr>
        <w:t xml:space="preserve"> Ook de geestelijkheid was aanwezig op die vergaderingen stelt Ria van </w:t>
      </w:r>
      <w:proofErr w:type="spellStart"/>
      <w:r w:rsidRPr="00C140A8">
        <w:rPr>
          <w:rFonts w:ascii="Georgia" w:hAnsi="Georgia" w:cs="Calibri"/>
          <w:sz w:val="22"/>
          <w:szCs w:val="22"/>
          <w:lang w:val="nl-NL"/>
        </w:rPr>
        <w:t>Braght</w:t>
      </w:r>
      <w:proofErr w:type="spellEnd"/>
      <w:r w:rsidRPr="00C140A8">
        <w:rPr>
          <w:rFonts w:ascii="Georgia" w:hAnsi="Georgia" w:cs="Calibri"/>
          <w:sz w:val="22"/>
          <w:szCs w:val="22"/>
          <w:lang w:val="nl-NL"/>
        </w:rPr>
        <w:t>, maar formuleerde geen afzonderlijk standpunt en schaarde zich achter de akkoorden van de andere twee standen.</w:t>
      </w:r>
      <w:r w:rsidRPr="00C140A8">
        <w:rPr>
          <w:rStyle w:val="FootnoteReference"/>
          <w:rFonts w:ascii="Georgia" w:hAnsi="Georgia" w:cs="Calibri"/>
          <w:sz w:val="22"/>
          <w:szCs w:val="22"/>
          <w:lang w:val="nl-NL"/>
        </w:rPr>
        <w:footnoteReference w:id="65"/>
      </w:r>
      <w:r w:rsidRPr="00C140A8">
        <w:rPr>
          <w:rFonts w:ascii="Georgia" w:hAnsi="Georgia" w:cs="Calibri"/>
          <w:sz w:val="22"/>
          <w:szCs w:val="22"/>
          <w:lang w:val="nl-NL"/>
        </w:rPr>
        <w:t xml:space="preserve"> De keuze viel uiteindelijk op Johanna als logische opvolging, ook omdat de connectie met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broer van de Duitse keizer, ook diens steun kon opleveren.</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66"/>
      </w:r>
      <w:r w:rsidRPr="00C140A8">
        <w:rPr>
          <w:rFonts w:ascii="Georgia" w:hAnsi="Georgia" w:cs="Calibri"/>
          <w:sz w:val="22"/>
          <w:szCs w:val="22"/>
          <w:lang w:val="nl-NL"/>
        </w:rPr>
        <w:t xml:space="preserve">  </w:t>
      </w:r>
    </w:p>
    <w:p w14:paraId="38910951" w14:textId="29C5BE62" w:rsidR="00347160" w:rsidRPr="00C140A8" w:rsidRDefault="0034716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Toch verdween de dreiging van een successiestrijd niet en Johanna 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bevonden zich aan het begin van hun aanstelling in een precaire situatie. Voor de standen was het hét moment om een nieuwe overeenkomst te </w:t>
      </w:r>
      <w:r w:rsidR="006425DC">
        <w:rPr>
          <w:rFonts w:ascii="Georgia" w:hAnsi="Georgia" w:cs="Calibri"/>
          <w:sz w:val="22"/>
          <w:szCs w:val="22"/>
          <w:lang w:val="nl-NL"/>
        </w:rPr>
        <w:t>onderhandelen</w:t>
      </w:r>
      <w:r w:rsidRPr="00C140A8">
        <w:rPr>
          <w:rFonts w:ascii="Georgia" w:hAnsi="Georgia" w:cs="Calibri"/>
          <w:sz w:val="22"/>
          <w:szCs w:val="22"/>
          <w:lang w:val="nl-NL"/>
        </w:rPr>
        <w:t xml:space="preserve"> in ruil voor politieke en militaire steun.</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67"/>
      </w:r>
      <w:r w:rsidRPr="00C140A8">
        <w:rPr>
          <w:rFonts w:ascii="Georgia" w:hAnsi="Georgia" w:cs="Calibri"/>
          <w:sz w:val="22"/>
          <w:szCs w:val="22"/>
          <w:lang w:val="nl-NL"/>
        </w:rPr>
        <w:t xml:space="preserve"> </w:t>
      </w:r>
      <w:r w:rsidR="00A373C0" w:rsidRPr="00A373C0">
        <w:rPr>
          <w:rFonts w:ascii="Georgia" w:hAnsi="Georgia" w:cs="Calibri"/>
          <w:sz w:val="22"/>
          <w:szCs w:val="22"/>
        </w:rPr>
        <w:t xml:space="preserve">Zo kwam er een </w:t>
      </w:r>
      <w:r w:rsidR="00AA75E1">
        <w:rPr>
          <w:rFonts w:ascii="Georgia" w:hAnsi="Georgia" w:cs="Calibri"/>
          <w:sz w:val="22"/>
          <w:szCs w:val="22"/>
        </w:rPr>
        <w:t>inhuldigings</w:t>
      </w:r>
      <w:r w:rsidR="00A373C0" w:rsidRPr="00A373C0">
        <w:rPr>
          <w:rFonts w:ascii="Georgia" w:hAnsi="Georgia" w:cs="Calibri"/>
          <w:sz w:val="22"/>
          <w:szCs w:val="22"/>
        </w:rPr>
        <w:t>charter</w:t>
      </w:r>
      <w:r w:rsidR="00A373C0">
        <w:rPr>
          <w:rFonts w:ascii="Georgia" w:hAnsi="Georgia" w:cs="Calibri"/>
          <w:sz w:val="22"/>
          <w:szCs w:val="22"/>
        </w:rPr>
        <w:t xml:space="preserve"> </w:t>
      </w:r>
      <w:r w:rsidR="00A373C0" w:rsidRPr="00A373C0">
        <w:rPr>
          <w:rFonts w:ascii="Georgia" w:hAnsi="Georgia" w:cs="Calibri"/>
          <w:sz w:val="22"/>
          <w:szCs w:val="22"/>
        </w:rPr>
        <w:t>tot stand dat een neerslag vormt van deze politieke discussie. Het bevat de richtlijnen voor de vorst bij het uitoefenen van zijn of haar functies</w:t>
      </w:r>
      <w:r w:rsidR="00AA75E1">
        <w:rPr>
          <w:rFonts w:ascii="Georgia" w:hAnsi="Georgia" w:cs="Calibri"/>
          <w:sz w:val="22"/>
          <w:szCs w:val="22"/>
        </w:rPr>
        <w:t>.</w:t>
      </w:r>
      <w:r w:rsidR="00AA75E1">
        <w:rPr>
          <w:rStyle w:val="FootnoteReference"/>
          <w:rFonts w:ascii="Georgia" w:hAnsi="Georgia" w:cs="Calibri"/>
          <w:sz w:val="22"/>
          <w:szCs w:val="22"/>
        </w:rPr>
        <w:footnoteReference w:id="68"/>
      </w:r>
      <w:r w:rsidR="00A373C0" w:rsidRPr="00A373C0">
        <w:rPr>
          <w:rFonts w:ascii="Georgia" w:hAnsi="Georgia" w:cs="Calibri"/>
          <w:sz w:val="22"/>
          <w:szCs w:val="22"/>
        </w:rPr>
        <w:t xml:space="preserve"> </w:t>
      </w:r>
      <w:r w:rsidR="00AA75E1">
        <w:rPr>
          <w:rFonts w:ascii="Georgia" w:hAnsi="Georgia" w:cs="Calibri"/>
          <w:sz w:val="22"/>
          <w:szCs w:val="22"/>
        </w:rPr>
        <w:t>I</w:t>
      </w:r>
      <w:r w:rsidR="00A373C0" w:rsidRPr="00A373C0">
        <w:rPr>
          <w:rFonts w:ascii="Georgia" w:hAnsi="Georgia" w:cs="Calibri"/>
          <w:sz w:val="22"/>
          <w:szCs w:val="22"/>
        </w:rPr>
        <w:t>n ruil daarvoor beloven de Brabanders trouw zolang de vorst zich houdt aan de overeengekomen bepalingen, zo niet mogen zij tijdelijk hun gehoorzaamheid opzeggen.</w:t>
      </w:r>
      <w:r w:rsidR="003C61DE" w:rsidRPr="003C61DE">
        <w:rPr>
          <w:rStyle w:val="FootnoteReference"/>
          <w:rFonts w:ascii="Georgia" w:hAnsi="Georgia" w:cs="Calibri"/>
          <w:sz w:val="22"/>
          <w:szCs w:val="22"/>
        </w:rPr>
        <w:t xml:space="preserve"> </w:t>
      </w:r>
      <w:r w:rsidR="003C61DE">
        <w:rPr>
          <w:rStyle w:val="FootnoteReference"/>
          <w:rFonts w:ascii="Georgia" w:hAnsi="Georgia" w:cs="Calibri"/>
          <w:sz w:val="22"/>
          <w:szCs w:val="22"/>
        </w:rPr>
        <w:footnoteReference w:id="69"/>
      </w:r>
      <w:r w:rsidR="003C61DE" w:rsidRPr="00A373C0">
        <w:rPr>
          <w:rFonts w:ascii="Georgia" w:hAnsi="Georgia" w:cs="Calibri"/>
          <w:sz w:val="22"/>
          <w:szCs w:val="22"/>
        </w:rPr>
        <w:t xml:space="preserve"> </w:t>
      </w:r>
      <w:r w:rsidR="003C61DE">
        <w:rPr>
          <w:rFonts w:ascii="Georgia" w:hAnsi="Georgia" w:cs="Calibri"/>
          <w:sz w:val="22"/>
          <w:szCs w:val="22"/>
          <w:lang w:val="nl-NL"/>
        </w:rPr>
        <w:t xml:space="preserve"> </w:t>
      </w:r>
      <w:r w:rsidRPr="00C140A8">
        <w:rPr>
          <w:rFonts w:ascii="Georgia" w:hAnsi="Georgia" w:cs="Calibri"/>
          <w:sz w:val="22"/>
          <w:szCs w:val="22"/>
          <w:lang w:val="nl-NL"/>
        </w:rPr>
        <w:t xml:space="preserve">De Blijde Inkomst van 1356 bouwde voort op eerdere charters zoals het Charter van Kortenberg (1312) het Vlaams Charter (1314) en het </w:t>
      </w:r>
      <w:proofErr w:type="spellStart"/>
      <w:r w:rsidRPr="00C140A8">
        <w:rPr>
          <w:rFonts w:ascii="Georgia" w:hAnsi="Georgia" w:cs="Calibri"/>
          <w:sz w:val="22"/>
          <w:szCs w:val="22"/>
          <w:lang w:val="nl-NL"/>
        </w:rPr>
        <w:t>Vlaams-Brabants</w:t>
      </w:r>
      <w:proofErr w:type="spellEnd"/>
      <w:r w:rsidRPr="00C140A8">
        <w:rPr>
          <w:rFonts w:ascii="Georgia" w:hAnsi="Georgia" w:cs="Calibri"/>
          <w:sz w:val="22"/>
          <w:szCs w:val="22"/>
          <w:lang w:val="nl-NL"/>
        </w:rPr>
        <w:t xml:space="preserve"> verdrag (1339) maar reikte thematisch aanzienlijk veel verder dan die voorgangers. Bovendien was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de eerste buitenlandse vorst op de Brabantse troon. De standen achtten het daarom noodzakelijk om hun rechten, hun privileges en de Brabantse belangen scherp af te bakenen en te verdedigen.</w:t>
      </w:r>
      <w:r w:rsidRPr="00C140A8">
        <w:rPr>
          <w:rStyle w:val="FootnoteReference"/>
          <w:rFonts w:ascii="Georgia" w:hAnsi="Georgia" w:cs="Calibri"/>
          <w:sz w:val="22"/>
          <w:szCs w:val="22"/>
          <w:lang w:val="nl-NL"/>
        </w:rPr>
        <w:footnoteReference w:id="70"/>
      </w:r>
    </w:p>
    <w:p w14:paraId="2F1F3754" w14:textId="25B81999" w:rsidR="00347160" w:rsidRPr="00C140A8" w:rsidRDefault="000203C8" w:rsidP="00454F3D">
      <w:pPr>
        <w:spacing w:afterLines="80" w:after="192" w:line="360" w:lineRule="auto"/>
        <w:jc w:val="both"/>
        <w:rPr>
          <w:rFonts w:ascii="Georgia" w:hAnsi="Georgia" w:cs="Calibri"/>
          <w:sz w:val="22"/>
          <w:szCs w:val="22"/>
          <w:lang w:val="nl-NL"/>
        </w:rPr>
      </w:pPr>
      <w:r w:rsidRPr="000203C8">
        <w:rPr>
          <w:rFonts w:ascii="Georgia" w:hAnsi="Georgia" w:cs="Calibri"/>
          <w:sz w:val="22"/>
          <w:szCs w:val="22"/>
        </w:rPr>
        <w:t>De eerste Blijde Inkomst bleef formeel rechtsgeldig, maar werd in de praktijk al snel niet meer nageleefd</w:t>
      </w:r>
      <w:r w:rsidR="00347160" w:rsidRPr="00C140A8">
        <w:rPr>
          <w:rFonts w:ascii="Georgia" w:hAnsi="Georgia" w:cs="Calibri"/>
          <w:sz w:val="22"/>
          <w:szCs w:val="22"/>
          <w:lang w:val="nl-NL"/>
        </w:rPr>
        <w:t>. In 1356</w:t>
      </w:r>
      <w:r w:rsidR="006F6E59">
        <w:rPr>
          <w:rFonts w:ascii="Georgia" w:hAnsi="Georgia" w:cs="Calibri"/>
          <w:sz w:val="22"/>
          <w:szCs w:val="22"/>
          <w:lang w:val="nl-NL"/>
        </w:rPr>
        <w:t>-</w:t>
      </w:r>
      <w:r w:rsidR="00347160" w:rsidRPr="00C140A8">
        <w:rPr>
          <w:rFonts w:ascii="Georgia" w:hAnsi="Georgia" w:cs="Calibri"/>
          <w:sz w:val="22"/>
          <w:szCs w:val="22"/>
          <w:lang w:val="nl-NL"/>
        </w:rPr>
        <w:t>57 brak alsnog een successieoorlog uit toen Lodewijk van Male zich niet neerlegde bij Johanna's aanspraak op de troon. Hij wist grote delen van Brabant te veroveren waaronder Brussel, Leuven, Mechelen en Antwerpen. De houding van de steden was hierin dubbelzinni</w:t>
      </w:r>
      <w:r w:rsidR="00E53F36">
        <w:rPr>
          <w:rFonts w:ascii="Georgia" w:hAnsi="Georgia" w:cs="Calibri"/>
          <w:sz w:val="22"/>
          <w:szCs w:val="22"/>
          <w:lang w:val="nl-NL"/>
        </w:rPr>
        <w:t>g. U</w:t>
      </w:r>
      <w:r w:rsidR="00347160" w:rsidRPr="00C140A8">
        <w:rPr>
          <w:rFonts w:ascii="Georgia" w:hAnsi="Georgia" w:cs="Calibri"/>
          <w:sz w:val="22"/>
          <w:szCs w:val="22"/>
          <w:lang w:val="nl-NL"/>
        </w:rPr>
        <w:t>it pragmatisme schaarden zij zich aan Lodewijks zijde zodra een Vlaamse overwinning onafwendbaar leek.</w:t>
      </w:r>
      <w:r w:rsidR="00347160" w:rsidRPr="00C140A8">
        <w:rPr>
          <w:rStyle w:val="FootnoteReference"/>
          <w:rFonts w:ascii="Georgia" w:hAnsi="Georgia" w:cs="Calibri"/>
          <w:sz w:val="22"/>
          <w:szCs w:val="22"/>
          <w:lang w:val="nl-NL"/>
        </w:rPr>
        <w:footnoteReference w:id="71"/>
      </w:r>
      <w:r w:rsidR="00347160" w:rsidRPr="00C140A8">
        <w:rPr>
          <w:rFonts w:ascii="Georgia" w:hAnsi="Georgia" w:cs="Calibri"/>
          <w:sz w:val="22"/>
          <w:szCs w:val="22"/>
          <w:lang w:val="nl-NL"/>
        </w:rPr>
        <w:t xml:space="preserve"> </w:t>
      </w:r>
      <w:r w:rsidR="00454F3D" w:rsidRPr="00454F3D">
        <w:rPr>
          <w:rFonts w:ascii="Georgia" w:hAnsi="Georgia" w:cs="Calibri"/>
          <w:sz w:val="22"/>
          <w:szCs w:val="22"/>
        </w:rPr>
        <w:t>De eedbreuk van Brussel en Leuven ontsloeg de vorst bovendien van de plichten die in het charter waren opgetekend</w:t>
      </w:r>
      <w:r w:rsidR="00A82913" w:rsidRPr="00454F3D">
        <w:rPr>
          <w:rFonts w:ascii="Georgia" w:hAnsi="Georgia" w:cs="Calibri"/>
          <w:sz w:val="22"/>
          <w:szCs w:val="22"/>
          <w:lang w:val="nl-NL"/>
        </w:rPr>
        <w:t>.</w:t>
      </w:r>
      <w:r w:rsidR="00347160" w:rsidRPr="00C140A8">
        <w:rPr>
          <w:rFonts w:ascii="Georgia" w:hAnsi="Georgia" w:cs="Calibri"/>
          <w:sz w:val="22"/>
          <w:szCs w:val="22"/>
          <w:lang w:val="nl-NL"/>
        </w:rPr>
        <w:t xml:space="preserve"> Toen Johanna en </w:t>
      </w:r>
      <w:proofErr w:type="spellStart"/>
      <w:r w:rsidR="00347160" w:rsidRPr="00C140A8">
        <w:rPr>
          <w:rFonts w:ascii="Georgia" w:hAnsi="Georgia" w:cs="Calibri"/>
          <w:sz w:val="22"/>
          <w:szCs w:val="22"/>
          <w:lang w:val="nl-NL"/>
        </w:rPr>
        <w:t>Wenceslas</w:t>
      </w:r>
      <w:proofErr w:type="spellEnd"/>
      <w:r w:rsidR="00347160" w:rsidRPr="00C140A8">
        <w:rPr>
          <w:rFonts w:ascii="Georgia" w:hAnsi="Georgia" w:cs="Calibri"/>
          <w:sz w:val="22"/>
          <w:szCs w:val="22"/>
          <w:lang w:val="nl-NL"/>
        </w:rPr>
        <w:t xml:space="preserve"> in 1357 met steun van de Duitse keizer grote delen van Brabant heroverden, gingen Mechelen en Antwerpen alsnog naar de Vlaamse graaf over.</w:t>
      </w:r>
      <w:r w:rsidR="00347160" w:rsidRPr="00C140A8">
        <w:rPr>
          <w:rStyle w:val="FootnoteReference"/>
          <w:rFonts w:ascii="Georgia" w:hAnsi="Georgia" w:cs="Calibri"/>
          <w:sz w:val="22"/>
          <w:szCs w:val="22"/>
          <w:lang w:val="nl-NL"/>
        </w:rPr>
        <w:footnoteReference w:id="72"/>
      </w:r>
      <w:r w:rsidR="00347160" w:rsidRPr="00C140A8">
        <w:rPr>
          <w:rFonts w:ascii="Georgia" w:hAnsi="Georgia" w:cs="Calibri"/>
          <w:sz w:val="22"/>
          <w:szCs w:val="22"/>
          <w:lang w:val="nl-NL"/>
        </w:rPr>
        <w:t xml:space="preserve"> De Vrede van Ath bekrachtigde dit en erkende Johanna na een jaar strijd als wettige hertogin van Brabant.</w:t>
      </w:r>
      <w:r w:rsidR="00347160" w:rsidRPr="00C140A8">
        <w:rPr>
          <w:rStyle w:val="FootnoteReference"/>
          <w:rFonts w:ascii="Georgia" w:hAnsi="Georgia" w:cs="Calibri"/>
          <w:sz w:val="22"/>
          <w:szCs w:val="22"/>
          <w:lang w:val="nl-NL"/>
        </w:rPr>
        <w:footnoteReference w:id="73"/>
      </w:r>
    </w:p>
    <w:p w14:paraId="5B9A4F41" w14:textId="77777777" w:rsidR="00347160" w:rsidRPr="00C140A8" w:rsidRDefault="00347160" w:rsidP="00BB06BE">
      <w:pPr>
        <w:pStyle w:val="ThesisSubheading"/>
        <w:ind w:left="1134"/>
        <w:rPr>
          <w:lang w:val="nl-NL"/>
        </w:rPr>
      </w:pPr>
      <w:bookmarkStart w:id="50" w:name="_Toc230118018"/>
      <w:bookmarkStart w:id="51" w:name="_Toc230358687"/>
      <w:bookmarkStart w:id="52" w:name="_Toc231153754"/>
      <w:bookmarkStart w:id="53" w:name="_Toc231329829"/>
      <w:bookmarkStart w:id="54" w:name="_Toc231330436"/>
      <w:bookmarkStart w:id="55" w:name="_Toc231428030"/>
      <w:r w:rsidRPr="00C140A8">
        <w:rPr>
          <w:lang w:val="nl-NL"/>
        </w:rPr>
        <w:lastRenderedPageBreak/>
        <w:t xml:space="preserve">Confrontaties met Gelre, </w:t>
      </w:r>
      <w:proofErr w:type="spellStart"/>
      <w:r w:rsidRPr="00BB06BE">
        <w:t>Gulik</w:t>
      </w:r>
      <w:proofErr w:type="spellEnd"/>
      <w:r w:rsidRPr="00C140A8">
        <w:rPr>
          <w:lang w:val="nl-NL"/>
        </w:rPr>
        <w:t xml:space="preserve"> en Luik</w:t>
      </w:r>
      <w:bookmarkEnd w:id="50"/>
      <w:bookmarkEnd w:id="51"/>
      <w:bookmarkEnd w:id="52"/>
      <w:bookmarkEnd w:id="53"/>
      <w:bookmarkEnd w:id="54"/>
      <w:bookmarkEnd w:id="55"/>
    </w:p>
    <w:p w14:paraId="49DF643A" w14:textId="5381E34C" w:rsidR="00347160" w:rsidRPr="00C140A8" w:rsidRDefault="0034716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De successiestrijd van 1356</w:t>
      </w:r>
      <w:r w:rsidR="00E53F36">
        <w:rPr>
          <w:rFonts w:ascii="Georgia" w:hAnsi="Georgia" w:cs="Calibri"/>
          <w:sz w:val="22"/>
          <w:szCs w:val="22"/>
          <w:lang w:val="nl-NL"/>
        </w:rPr>
        <w:t>-</w:t>
      </w:r>
      <w:r w:rsidRPr="00C140A8">
        <w:rPr>
          <w:rFonts w:ascii="Georgia" w:hAnsi="Georgia" w:cs="Calibri"/>
          <w:sz w:val="22"/>
          <w:szCs w:val="22"/>
          <w:lang w:val="nl-NL"/>
        </w:rPr>
        <w:t>57 was een zware klap, maar het zou niet de laatste slag zijn die Brabant moest leveren. Niet alleen Margaretha, ook Johanna's andere zus Maria was getrouwd met een ambitieuze buur die haar aanspraak nooit echt had erkend. In 1356 had Johanna de betwisting van Reinoud III, de hertog van Gelre, nog kunnen afkopen met een jaarlijkse rente van 7.000 gulden en de stad Turnhout als onderpand.</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74"/>
      </w:r>
      <w:r w:rsidRPr="00C140A8">
        <w:rPr>
          <w:rFonts w:ascii="Georgia" w:hAnsi="Georgia" w:cs="Calibri"/>
          <w:sz w:val="22"/>
          <w:szCs w:val="22"/>
          <w:lang w:val="nl-NL"/>
        </w:rPr>
        <w:t xml:space="preserve">  In 1361 had de jonge Eduard in Gelre de macht gegrepen en zijn oudere broer Reinoud III </w:t>
      </w:r>
      <w:proofErr w:type="gramStart"/>
      <w:r w:rsidRPr="00C140A8">
        <w:rPr>
          <w:rFonts w:ascii="Georgia" w:hAnsi="Georgia" w:cs="Calibri"/>
          <w:sz w:val="22"/>
          <w:szCs w:val="22"/>
          <w:lang w:val="nl-NL"/>
        </w:rPr>
        <w:t>gevangen genomen</w:t>
      </w:r>
      <w:proofErr w:type="gramEnd"/>
      <w:r w:rsidRPr="00C140A8">
        <w:rPr>
          <w:rFonts w:ascii="Georgia" w:hAnsi="Georgia" w:cs="Calibri"/>
          <w:sz w:val="22"/>
          <w:szCs w:val="22"/>
          <w:lang w:val="nl-NL"/>
        </w:rPr>
        <w:t xml:space="preserve">. Maria vluchtte naar Brabant en vroeg haar zus om hulp bij de bevrijding van haar man. Dit mondde uit in een kortstondige oorlog tussen Brabant en de nieuwe troonpretendent, dezelfde Eduard die later, bij de slag bij </w:t>
      </w:r>
      <w:proofErr w:type="spellStart"/>
      <w:r w:rsidRPr="00C140A8">
        <w:rPr>
          <w:rFonts w:ascii="Georgia" w:hAnsi="Georgia" w:cs="Calibri"/>
          <w:sz w:val="22"/>
          <w:szCs w:val="22"/>
          <w:lang w:val="nl-NL"/>
        </w:rPr>
        <w:t>Baesweiler</w:t>
      </w:r>
      <w:proofErr w:type="spellEnd"/>
      <w:r w:rsidRPr="00C140A8">
        <w:rPr>
          <w:rFonts w:ascii="Georgia" w:hAnsi="Georgia" w:cs="Calibri"/>
          <w:sz w:val="22"/>
          <w:szCs w:val="22"/>
          <w:lang w:val="nl-NL"/>
        </w:rPr>
        <w:t xml:space="preserve">, opnieuw tegenover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en Johanna zou staan.</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75"/>
      </w:r>
    </w:p>
    <w:p w14:paraId="1A14E954" w14:textId="38E95242" w:rsidR="00347160" w:rsidRPr="00C140A8" w:rsidRDefault="0034716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In navolging van zijn voorgangers had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een grote ambitie tot uitbreiding, voornamelijk richting zijn eigen erfgebieden in Luxemburg. Hij erfde een langere traditie van Brabantse hertogen die zich actief profileerden binnen het Heilig Roomse Rijk, onder meer als hertog van (Neder-)Lotharingen of als markgraaf van het Rijk.</w:t>
      </w:r>
      <w:r w:rsidRPr="00C140A8">
        <w:rPr>
          <w:rStyle w:val="FootnoteReference"/>
          <w:rFonts w:ascii="Georgia" w:hAnsi="Georgia" w:cs="Calibri"/>
          <w:sz w:val="22"/>
          <w:szCs w:val="22"/>
          <w:lang w:val="nl-NL"/>
        </w:rPr>
        <w:footnoteReference w:id="76"/>
      </w:r>
      <w:r w:rsidR="001B1DC7">
        <w:rPr>
          <w:rFonts w:ascii="Georgia" w:hAnsi="Georgia" w:cs="Calibri"/>
          <w:sz w:val="22"/>
          <w:szCs w:val="22"/>
          <w:lang w:val="nl-NL"/>
        </w:rPr>
        <w:t xml:space="preserve">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wilde een uitgesproken </w:t>
      </w:r>
      <w:proofErr w:type="spellStart"/>
      <w:r w:rsidRPr="00C140A8">
        <w:rPr>
          <w:rFonts w:ascii="Georgia" w:hAnsi="Georgia" w:cs="Calibri"/>
          <w:sz w:val="22"/>
          <w:szCs w:val="22"/>
          <w:lang w:val="nl-NL"/>
        </w:rPr>
        <w:t>rijkspolitiek</w:t>
      </w:r>
      <w:proofErr w:type="spellEnd"/>
      <w:r w:rsidRPr="00C140A8">
        <w:rPr>
          <w:rFonts w:ascii="Georgia" w:hAnsi="Georgia" w:cs="Calibri"/>
          <w:sz w:val="22"/>
          <w:szCs w:val="22"/>
          <w:lang w:val="nl-NL"/>
        </w:rPr>
        <w:t xml:space="preserve"> voeren en beschouwde de banden met de Duitse keizer, zijn broer, als cruciaal. Deze politiek botste echter met de Brabantse steden</w:t>
      </w:r>
      <w:r w:rsidR="00994636">
        <w:rPr>
          <w:rFonts w:ascii="Georgia" w:hAnsi="Georgia" w:cs="Calibri"/>
          <w:sz w:val="22"/>
          <w:szCs w:val="22"/>
          <w:lang w:val="nl-NL"/>
        </w:rPr>
        <w:t>. Zij</w:t>
      </w:r>
      <w:r w:rsidRPr="00C140A8">
        <w:rPr>
          <w:rFonts w:ascii="Georgia" w:hAnsi="Georgia" w:cs="Calibri"/>
          <w:sz w:val="22"/>
          <w:szCs w:val="22"/>
          <w:lang w:val="nl-NL"/>
        </w:rPr>
        <w:t xml:space="preserve"> weigerden zijn buitenlandse politiek mee te financieren, omdat die niet strookte met hun eigen handelsbelangen en met het opkomende 'Brabantse nationalisme' dat zich steeds nadrukkelijker als onafhankelijk en autonoom profileerde tegenover het Duitse Rijk.</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77"/>
      </w:r>
    </w:p>
    <w:p w14:paraId="2F47F057" w14:textId="22953F04" w:rsidR="00347160" w:rsidRPr="00C140A8" w:rsidRDefault="00994636"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 </w:t>
      </w:r>
      <w:r w:rsidR="00347160" w:rsidRPr="00C140A8">
        <w:rPr>
          <w:rFonts w:ascii="Georgia" w:hAnsi="Georgia" w:cs="Calibri"/>
          <w:sz w:val="22"/>
          <w:szCs w:val="22"/>
          <w:lang w:val="nl-NL"/>
        </w:rPr>
        <w:t>Ook de hertog van Gulik was niet gediend van de Brabantse machtsuitbreiding in het oosten en van de sterke Brabantse aanwezigheid in de regio, wat tot zware spanningen leidde.</w:t>
      </w:r>
      <w:r w:rsidR="00347160" w:rsidRPr="00C140A8">
        <w:rPr>
          <w:rStyle w:val="FootnoteReference"/>
          <w:rFonts w:ascii="Georgia" w:hAnsi="Georgia" w:cs="Calibri"/>
          <w:sz w:val="22"/>
          <w:szCs w:val="22"/>
          <w:lang w:val="nl-NL"/>
        </w:rPr>
        <w:footnoteReference w:id="78"/>
      </w:r>
      <w:r w:rsidR="00347160" w:rsidRPr="00C140A8">
        <w:rPr>
          <w:rFonts w:ascii="Georgia" w:hAnsi="Georgia" w:cs="Calibri"/>
          <w:sz w:val="22"/>
          <w:szCs w:val="22"/>
          <w:lang w:val="nl-NL"/>
        </w:rPr>
        <w:t xml:space="preserve"> </w:t>
      </w:r>
      <w:r w:rsidR="00616515" w:rsidRPr="00616515">
        <w:rPr>
          <w:rFonts w:ascii="Georgia" w:hAnsi="Georgia" w:cs="Calibri"/>
          <w:sz w:val="22"/>
          <w:szCs w:val="22"/>
        </w:rPr>
        <w:t>Een van de aanleidingen van de slag bij Baesweiler in 1371 situeert zich binnen de bredere context van de Honderdjarige Oorlog</w:t>
      </w:r>
      <w:r w:rsidR="0046554E">
        <w:rPr>
          <w:rFonts w:ascii="Georgia" w:hAnsi="Georgia" w:cs="Calibri"/>
          <w:sz w:val="22"/>
          <w:szCs w:val="22"/>
          <w:lang w:val="nl-NL"/>
        </w:rPr>
        <w:t>. R</w:t>
      </w:r>
      <w:r w:rsidR="00347160" w:rsidRPr="00C140A8">
        <w:rPr>
          <w:rFonts w:ascii="Georgia" w:hAnsi="Georgia" w:cs="Calibri"/>
          <w:sz w:val="22"/>
          <w:szCs w:val="22"/>
          <w:lang w:val="nl-NL"/>
        </w:rPr>
        <w:t>ondtrekkende bendes vielen Brabantse kooplieden op weg naar Keulen lastig en vonden in Gulik onderdak</w:t>
      </w:r>
      <w:r w:rsidR="00347160" w:rsidRPr="00C140A8">
        <w:rPr>
          <w:rFonts w:ascii="Georgia" w:hAnsi="Georgia" w:cs="Calibri"/>
          <w:i/>
          <w:iCs/>
          <w:sz w:val="22"/>
          <w:szCs w:val="22"/>
          <w:lang w:val="nl-NL"/>
        </w:rPr>
        <w:t>.</w:t>
      </w:r>
      <w:r w:rsidR="00347160" w:rsidRPr="00C140A8">
        <w:rPr>
          <w:rStyle w:val="FootnoteReference"/>
          <w:rFonts w:ascii="Georgia" w:hAnsi="Georgia" w:cs="Calibri"/>
          <w:sz w:val="22"/>
          <w:szCs w:val="22"/>
          <w:lang w:val="nl-NL"/>
        </w:rPr>
        <w:footnoteReference w:id="79"/>
      </w:r>
      <w:r w:rsidR="00347160" w:rsidRPr="00C140A8">
        <w:rPr>
          <w:rFonts w:ascii="Georgia" w:hAnsi="Georgia" w:cs="Calibri"/>
          <w:sz w:val="22"/>
          <w:szCs w:val="22"/>
          <w:lang w:val="nl-NL"/>
        </w:rPr>
        <w:t xml:space="preserve">  De overwegend Franse oriëntatie van </w:t>
      </w:r>
      <w:proofErr w:type="spellStart"/>
      <w:r w:rsidR="00347160" w:rsidRPr="00C140A8">
        <w:rPr>
          <w:rFonts w:ascii="Georgia" w:hAnsi="Georgia" w:cs="Calibri"/>
          <w:sz w:val="22"/>
          <w:szCs w:val="22"/>
          <w:lang w:val="nl-NL"/>
        </w:rPr>
        <w:t>Wenceslas</w:t>
      </w:r>
      <w:proofErr w:type="spellEnd"/>
      <w:r w:rsidR="00347160" w:rsidRPr="00C140A8">
        <w:rPr>
          <w:rFonts w:ascii="Georgia" w:hAnsi="Georgia" w:cs="Calibri"/>
          <w:sz w:val="22"/>
          <w:szCs w:val="22"/>
          <w:lang w:val="nl-NL"/>
        </w:rPr>
        <w:t xml:space="preserve"> en Johanna in deze periode </w:t>
      </w:r>
      <w:r w:rsidR="0046554E">
        <w:rPr>
          <w:rFonts w:ascii="Georgia" w:hAnsi="Georgia" w:cs="Calibri"/>
          <w:sz w:val="22"/>
          <w:szCs w:val="22"/>
          <w:lang w:val="nl-NL"/>
        </w:rPr>
        <w:t xml:space="preserve">maakte </w:t>
      </w:r>
      <w:r w:rsidR="00347160" w:rsidRPr="00C140A8">
        <w:rPr>
          <w:rFonts w:ascii="Georgia" w:hAnsi="Georgia" w:cs="Calibri"/>
          <w:sz w:val="22"/>
          <w:szCs w:val="22"/>
          <w:lang w:val="nl-NL"/>
        </w:rPr>
        <w:t>dat Brabant in dit conflict werd gesteund door Namen, Henegouwen, Luik en Frankrijk zelf.</w:t>
      </w:r>
      <w:r w:rsidR="003B0304">
        <w:rPr>
          <w:rStyle w:val="FootnoteReference"/>
          <w:rFonts w:ascii="Georgia" w:hAnsi="Georgia" w:cs="Calibri"/>
          <w:sz w:val="22"/>
          <w:szCs w:val="22"/>
          <w:lang w:val="nl-NL"/>
        </w:rPr>
        <w:footnoteReference w:id="80"/>
      </w:r>
      <w:r w:rsidR="00347160" w:rsidRPr="00C140A8">
        <w:rPr>
          <w:rFonts w:ascii="Georgia" w:hAnsi="Georgia" w:cs="Calibri"/>
          <w:sz w:val="22"/>
          <w:szCs w:val="22"/>
          <w:lang w:val="nl-NL"/>
        </w:rPr>
        <w:t xml:space="preserve"> Daartegenover stonden Gulik en Gelre, nauw verwant met de Engelse koning.</w:t>
      </w:r>
      <w:r w:rsidR="00347160" w:rsidRPr="00C140A8">
        <w:rPr>
          <w:rStyle w:val="FootnoteReference"/>
          <w:rFonts w:ascii="Georgia" w:hAnsi="Georgia" w:cs="Calibri"/>
          <w:sz w:val="22"/>
          <w:szCs w:val="22"/>
          <w:lang w:val="nl-NL"/>
        </w:rPr>
        <w:footnoteReference w:id="81"/>
      </w:r>
      <w:r w:rsidR="00347160" w:rsidRPr="00C140A8">
        <w:rPr>
          <w:rFonts w:ascii="Georgia" w:hAnsi="Georgia" w:cs="Calibri"/>
          <w:sz w:val="22"/>
          <w:szCs w:val="22"/>
          <w:lang w:val="nl-NL"/>
        </w:rPr>
        <w:t xml:space="preserve"> </w:t>
      </w:r>
    </w:p>
    <w:p w14:paraId="1BFFB691" w14:textId="3EEB62AE" w:rsidR="00347160" w:rsidRPr="00C140A8" w:rsidRDefault="00A83076" w:rsidP="00C140A8">
      <w:pPr>
        <w:spacing w:afterLines="80" w:after="192" w:line="360" w:lineRule="auto"/>
        <w:jc w:val="both"/>
        <w:rPr>
          <w:rFonts w:ascii="Georgia" w:hAnsi="Georgia" w:cs="Calibri"/>
          <w:sz w:val="22"/>
          <w:szCs w:val="22"/>
          <w:lang w:val="nl-NL"/>
        </w:rPr>
      </w:pPr>
      <w:r>
        <w:rPr>
          <w:noProof/>
        </w:rPr>
        <w:lastRenderedPageBreak/>
        <mc:AlternateContent>
          <mc:Choice Requires="wps">
            <w:drawing>
              <wp:anchor distT="0" distB="0" distL="114300" distR="114300" simplePos="0" relativeHeight="251721215" behindDoc="0" locked="0" layoutInCell="1" allowOverlap="1" wp14:anchorId="4CD4A404" wp14:editId="14528CD5">
                <wp:simplePos x="0" y="0"/>
                <wp:positionH relativeFrom="column">
                  <wp:posOffset>3357880</wp:posOffset>
                </wp:positionH>
                <wp:positionV relativeFrom="paragraph">
                  <wp:posOffset>2409825</wp:posOffset>
                </wp:positionV>
                <wp:extent cx="2438400" cy="358775"/>
                <wp:effectExtent l="0" t="0" r="0" b="0"/>
                <wp:wrapSquare wrapText="bothSides"/>
                <wp:docPr id="164841212" name="Text Box 1"/>
                <wp:cNvGraphicFramePr/>
                <a:graphic xmlns:a="http://schemas.openxmlformats.org/drawingml/2006/main">
                  <a:graphicData uri="http://schemas.microsoft.com/office/word/2010/wordprocessingShape">
                    <wps:wsp>
                      <wps:cNvSpPr txBox="1"/>
                      <wps:spPr>
                        <a:xfrm>
                          <a:off x="0" y="0"/>
                          <a:ext cx="2438400" cy="358775"/>
                        </a:xfrm>
                        <a:prstGeom prst="rect">
                          <a:avLst/>
                        </a:prstGeom>
                        <a:solidFill>
                          <a:prstClr val="white"/>
                        </a:solidFill>
                        <a:ln>
                          <a:noFill/>
                        </a:ln>
                      </wps:spPr>
                      <wps:txbx>
                        <w:txbxContent>
                          <w:p w14:paraId="6A6A6500" w14:textId="6BB1175A" w:rsidR="00A83076" w:rsidRPr="00F72EE1" w:rsidRDefault="00A83076" w:rsidP="00A83076">
                            <w:pPr>
                              <w:pStyle w:val="Caption"/>
                              <w:rPr>
                                <w:noProof/>
                              </w:rPr>
                            </w:pPr>
                            <w:bookmarkStart w:id="56" w:name="_Toc231462062"/>
                            <w:r w:rsidRPr="00A83076">
                              <w:rPr>
                                <w:b/>
                                <w:bCs/>
                              </w:rPr>
                              <w:t xml:space="preserve">Tabel </w:t>
                            </w:r>
                            <w:r w:rsidRPr="00A83076">
                              <w:rPr>
                                <w:b/>
                                <w:bCs/>
                              </w:rPr>
                              <w:fldChar w:fldCharType="begin"/>
                            </w:r>
                            <w:r w:rsidRPr="00A83076">
                              <w:rPr>
                                <w:b/>
                                <w:bCs/>
                              </w:rPr>
                              <w:instrText xml:space="preserve"> SEQ Tabel \* ARABIC </w:instrText>
                            </w:r>
                            <w:r w:rsidRPr="00A83076">
                              <w:rPr>
                                <w:b/>
                                <w:bCs/>
                              </w:rPr>
                              <w:fldChar w:fldCharType="separate"/>
                            </w:r>
                            <w:r w:rsidR="00F83A3D">
                              <w:rPr>
                                <w:b/>
                                <w:bCs/>
                                <w:noProof/>
                              </w:rPr>
                              <w:t>1</w:t>
                            </w:r>
                            <w:r w:rsidRPr="00A83076">
                              <w:rPr>
                                <w:b/>
                                <w:bCs/>
                              </w:rPr>
                              <w:fldChar w:fldCharType="end"/>
                            </w:r>
                            <w:r>
                              <w:t xml:space="preserve">: </w:t>
                            </w:r>
                            <w:r w:rsidRPr="00581D6B">
                              <w:t>Aantal Baesweiler-schadevergoedingen in de vidimi per jaar (1376–1380)</w:t>
                            </w:r>
                            <w:bookmarkEnd w:id="5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D4A404" id="_x0000_t202" coordsize="21600,21600" o:spt="202" path="m,l,21600r21600,l21600,xe">
                <v:stroke joinstyle="miter"/>
                <v:path gradientshapeok="t" o:connecttype="rect"/>
              </v:shapetype>
              <v:shape id="Text Box 1" o:spid="_x0000_s1026" type="#_x0000_t202" style="position:absolute;left:0;text-align:left;margin-left:264.4pt;margin-top:189.75pt;width:192pt;height:28.25pt;z-index:25172121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" stroked="f">
                <v:textbox inset="0,0,0,0">
                  <w:txbxContent>
                    <w:p w14:paraId="6A6A6500" w14:textId="6BB1175A" w:rsidR="00A83076" w:rsidRPr="00F72EE1" w:rsidRDefault="00A83076" w:rsidP="00A83076">
                      <w:pPr>
                        <w:pStyle w:val="Caption"/>
                        <w:rPr>
                          <w:noProof/>
                        </w:rPr>
                      </w:pPr>
                      <w:bookmarkStart w:id="57" w:name="_Toc231462062"/>
                      <w:r w:rsidRPr="00A83076">
                        <w:rPr>
                          <w:b/>
                          <w:bCs/>
                        </w:rPr>
                        <w:t xml:space="preserve">Tabel </w:t>
                      </w:r>
                      <w:r w:rsidRPr="00A83076">
                        <w:rPr>
                          <w:b/>
                          <w:bCs/>
                        </w:rPr>
                        <w:fldChar w:fldCharType="begin"/>
                      </w:r>
                      <w:r w:rsidRPr="00A83076">
                        <w:rPr>
                          <w:b/>
                          <w:bCs/>
                        </w:rPr>
                        <w:instrText xml:space="preserve"> SEQ Tabel \* ARABIC </w:instrText>
                      </w:r>
                      <w:r w:rsidRPr="00A83076">
                        <w:rPr>
                          <w:b/>
                          <w:bCs/>
                        </w:rPr>
                        <w:fldChar w:fldCharType="separate"/>
                      </w:r>
                      <w:r w:rsidR="00F83A3D">
                        <w:rPr>
                          <w:b/>
                          <w:bCs/>
                          <w:noProof/>
                        </w:rPr>
                        <w:t>1</w:t>
                      </w:r>
                      <w:r w:rsidRPr="00A83076">
                        <w:rPr>
                          <w:b/>
                          <w:bCs/>
                        </w:rPr>
                        <w:fldChar w:fldCharType="end"/>
                      </w:r>
                      <w:r>
                        <w:t xml:space="preserve">: </w:t>
                      </w:r>
                      <w:r w:rsidRPr="00581D6B">
                        <w:t>Aantal Baesweiler-schadevergoedingen in de vidimi per jaar (1376–1380)</w:t>
                      </w:r>
                      <w:bookmarkEnd w:id="57"/>
                    </w:p>
                  </w:txbxContent>
                </v:textbox>
                <w10:wrap type="square"/>
              </v:shape>
            </w:pict>
          </mc:Fallback>
        </mc:AlternateContent>
      </w:r>
      <w:r w:rsidR="00042B49">
        <w:rPr>
          <w:rFonts w:ascii="Georgia" w:hAnsi="Georgia" w:cs="Calibri"/>
          <w:noProof/>
          <w:sz w:val="22"/>
          <w:szCs w:val="22"/>
          <w:lang w:val="nl-NL"/>
          <w14:ligatures w14:val="standardContextual"/>
        </w:rPr>
        <w:drawing>
          <wp:anchor distT="0" distB="0" distL="114300" distR="114300" simplePos="0" relativeHeight="251711999" behindDoc="0" locked="0" layoutInCell="1" allowOverlap="1" wp14:anchorId="3663E0D2" wp14:editId="43EF81BD">
            <wp:simplePos x="0" y="0"/>
            <wp:positionH relativeFrom="column">
              <wp:posOffset>3308985</wp:posOffset>
            </wp:positionH>
            <wp:positionV relativeFrom="paragraph">
              <wp:posOffset>29754</wp:posOffset>
            </wp:positionV>
            <wp:extent cx="2438400" cy="2386330"/>
            <wp:effectExtent l="0" t="0" r="0" b="1270"/>
            <wp:wrapSquare wrapText="bothSides"/>
            <wp:docPr id="1294808908" name="Picture 14"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808908" name="Picture 14" descr="A table with numbers and tex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38400" cy="2386330"/>
                    </a:xfrm>
                    <a:prstGeom prst="rect">
                      <a:avLst/>
                    </a:prstGeom>
                  </pic:spPr>
                </pic:pic>
              </a:graphicData>
            </a:graphic>
            <wp14:sizeRelH relativeFrom="page">
              <wp14:pctWidth>0</wp14:pctWidth>
            </wp14:sizeRelH>
            <wp14:sizeRelV relativeFrom="page">
              <wp14:pctHeight>0</wp14:pctHeight>
            </wp14:sizeRelV>
          </wp:anchor>
        </w:drawing>
      </w:r>
      <w:r w:rsidR="00347160" w:rsidRPr="00C140A8">
        <w:rPr>
          <w:rFonts w:ascii="Georgia" w:hAnsi="Georgia" w:cs="Calibri"/>
          <w:sz w:val="22"/>
          <w:szCs w:val="22"/>
          <w:lang w:val="nl-NL"/>
        </w:rPr>
        <w:t xml:space="preserve"> De slag bij </w:t>
      </w:r>
      <w:proofErr w:type="spellStart"/>
      <w:r w:rsidR="00347160" w:rsidRPr="00C140A8">
        <w:rPr>
          <w:rFonts w:ascii="Georgia" w:hAnsi="Georgia" w:cs="Calibri"/>
          <w:sz w:val="22"/>
          <w:szCs w:val="22"/>
          <w:lang w:val="nl-NL"/>
        </w:rPr>
        <w:t>Baesweiler</w:t>
      </w:r>
      <w:proofErr w:type="spellEnd"/>
      <w:r w:rsidR="00347160" w:rsidRPr="00C140A8">
        <w:rPr>
          <w:rFonts w:ascii="Georgia" w:hAnsi="Georgia" w:cs="Calibri"/>
          <w:sz w:val="22"/>
          <w:szCs w:val="22"/>
          <w:lang w:val="nl-NL"/>
        </w:rPr>
        <w:t xml:space="preserve"> in 1371 was wellicht de meest desastreuze episode voor Johanna en </w:t>
      </w:r>
      <w:proofErr w:type="spellStart"/>
      <w:r w:rsidR="00347160" w:rsidRPr="00C140A8">
        <w:rPr>
          <w:rFonts w:ascii="Georgia" w:hAnsi="Georgia" w:cs="Calibri"/>
          <w:sz w:val="22"/>
          <w:szCs w:val="22"/>
          <w:lang w:val="nl-NL"/>
        </w:rPr>
        <w:t>Wenceslas</w:t>
      </w:r>
      <w:proofErr w:type="spellEnd"/>
      <w:r w:rsidR="00347160" w:rsidRPr="00C140A8">
        <w:rPr>
          <w:rFonts w:ascii="Georgia" w:hAnsi="Georgia" w:cs="Calibri"/>
          <w:sz w:val="22"/>
          <w:szCs w:val="22"/>
          <w:lang w:val="nl-NL"/>
        </w:rPr>
        <w:t xml:space="preserve">. Gulik en Gelre versloegen Brabant en namen </w:t>
      </w:r>
      <w:proofErr w:type="spellStart"/>
      <w:r w:rsidR="00347160" w:rsidRPr="00C140A8">
        <w:rPr>
          <w:rFonts w:ascii="Georgia" w:hAnsi="Georgia" w:cs="Calibri"/>
          <w:sz w:val="22"/>
          <w:szCs w:val="22"/>
          <w:lang w:val="nl-NL"/>
        </w:rPr>
        <w:t>Wenceslas</w:t>
      </w:r>
      <w:proofErr w:type="spellEnd"/>
      <w:r w:rsidR="00347160" w:rsidRPr="00C140A8">
        <w:rPr>
          <w:rFonts w:ascii="Georgia" w:hAnsi="Georgia" w:cs="Calibri"/>
          <w:sz w:val="22"/>
          <w:szCs w:val="22"/>
          <w:lang w:val="nl-NL"/>
        </w:rPr>
        <w:t>, samen met honderd anderen, gevangen.</w:t>
      </w:r>
      <w:r w:rsidR="00347160" w:rsidRPr="00C140A8">
        <w:rPr>
          <w:rStyle w:val="FootnoteReference"/>
          <w:rFonts w:ascii="Georgia" w:hAnsi="Georgia" w:cs="Calibri"/>
          <w:sz w:val="22"/>
          <w:szCs w:val="22"/>
          <w:lang w:val="nl-NL"/>
        </w:rPr>
        <w:footnoteReference w:id="82"/>
      </w:r>
      <w:r w:rsidR="00347160" w:rsidRPr="00C140A8">
        <w:rPr>
          <w:rFonts w:ascii="Georgia" w:hAnsi="Georgia" w:cs="Calibri"/>
          <w:sz w:val="22"/>
          <w:szCs w:val="22"/>
          <w:lang w:val="nl-NL"/>
        </w:rPr>
        <w:t xml:space="preserve"> De afkoopsommen voor de gevangenen en de terugbetalingen aan de families van gesneuvelden en gewonden zouden</w:t>
      </w:r>
      <w:r w:rsidR="00347160" w:rsidRPr="00C140A8">
        <w:rPr>
          <w:rFonts w:ascii="Georgia" w:hAnsi="Georgia" w:cs="Calibri"/>
          <w:i/>
          <w:iCs/>
          <w:sz w:val="22"/>
          <w:szCs w:val="22"/>
          <w:lang w:val="nl-NL"/>
        </w:rPr>
        <w:t xml:space="preserve"> </w:t>
      </w:r>
      <w:r w:rsidR="00347160" w:rsidRPr="00C140A8">
        <w:rPr>
          <w:rFonts w:ascii="Georgia" w:hAnsi="Georgia" w:cs="Calibri"/>
          <w:sz w:val="22"/>
          <w:szCs w:val="22"/>
          <w:lang w:val="nl-NL"/>
        </w:rPr>
        <w:t>tot ver in de jaren zeventig de bronnen domineren</w:t>
      </w:r>
      <w:r w:rsidR="000850C3">
        <w:rPr>
          <w:rFonts w:ascii="Georgia" w:hAnsi="Georgia" w:cs="Calibri"/>
          <w:sz w:val="22"/>
          <w:szCs w:val="22"/>
          <w:lang w:val="nl-NL"/>
        </w:rPr>
        <w:t xml:space="preserve"> (zie </w:t>
      </w:r>
      <w:r w:rsidR="00296420">
        <w:rPr>
          <w:rFonts w:ascii="Georgia" w:hAnsi="Georgia" w:cs="Calibri"/>
          <w:sz w:val="22"/>
          <w:szCs w:val="22"/>
          <w:lang w:val="nl-NL"/>
        </w:rPr>
        <w:t>tabel 1</w:t>
      </w:r>
      <w:r w:rsidR="00991F8D">
        <w:rPr>
          <w:rFonts w:ascii="Georgia" w:hAnsi="Georgia" w:cs="Calibri"/>
          <w:sz w:val="22"/>
          <w:szCs w:val="22"/>
          <w:lang w:val="nl-NL"/>
        </w:rPr>
        <w:t>)</w:t>
      </w:r>
      <w:r w:rsidR="00347160" w:rsidRPr="00C140A8">
        <w:rPr>
          <w:rFonts w:ascii="Georgia" w:hAnsi="Georgia" w:cs="Calibri"/>
          <w:sz w:val="22"/>
          <w:szCs w:val="22"/>
          <w:lang w:val="nl-NL"/>
        </w:rPr>
        <w:t xml:space="preserve">. Bij de Duitse keizer wist Johanna uiteindelijk een regeling te treffen om </w:t>
      </w:r>
      <w:proofErr w:type="spellStart"/>
      <w:r w:rsidR="00347160" w:rsidRPr="00C140A8">
        <w:rPr>
          <w:rFonts w:ascii="Georgia" w:hAnsi="Georgia" w:cs="Calibri"/>
          <w:sz w:val="22"/>
          <w:szCs w:val="22"/>
          <w:lang w:val="nl-NL"/>
        </w:rPr>
        <w:t>Wenceslas</w:t>
      </w:r>
      <w:proofErr w:type="spellEnd"/>
      <w:r w:rsidR="00347160" w:rsidRPr="00C140A8">
        <w:rPr>
          <w:rFonts w:ascii="Georgia" w:hAnsi="Georgia" w:cs="Calibri"/>
          <w:sz w:val="22"/>
          <w:szCs w:val="22"/>
          <w:lang w:val="nl-NL"/>
        </w:rPr>
        <w:t xml:space="preserve"> zonder losgeld vrij te krijgen, maar voor de overige kosten moest zij aankloppen bij de drie standen, met een buitengewone bede van 940.000 </w:t>
      </w:r>
      <w:proofErr w:type="spellStart"/>
      <w:r w:rsidR="00347160" w:rsidRPr="00C140A8">
        <w:rPr>
          <w:rFonts w:ascii="Georgia" w:hAnsi="Georgia" w:cs="Calibri"/>
          <w:sz w:val="22"/>
          <w:szCs w:val="22"/>
          <w:lang w:val="nl-NL"/>
        </w:rPr>
        <w:t>mouttoenen</w:t>
      </w:r>
      <w:proofErr w:type="spellEnd"/>
      <w:r w:rsidR="00347160" w:rsidRPr="00C140A8">
        <w:rPr>
          <w:rFonts w:ascii="Georgia" w:hAnsi="Georgia" w:cs="Calibri"/>
          <w:sz w:val="22"/>
          <w:szCs w:val="22"/>
          <w:lang w:val="nl-NL"/>
        </w:rPr>
        <w:t xml:space="preserve">, gevolgd door een tweede van 40.000 </w:t>
      </w:r>
      <w:proofErr w:type="spellStart"/>
      <w:r w:rsidR="00347160" w:rsidRPr="00C140A8">
        <w:rPr>
          <w:rFonts w:ascii="Georgia" w:hAnsi="Georgia" w:cs="Calibri"/>
          <w:sz w:val="22"/>
          <w:szCs w:val="22"/>
          <w:lang w:val="nl-NL"/>
        </w:rPr>
        <w:t>mouttoenen</w:t>
      </w:r>
      <w:proofErr w:type="spellEnd"/>
      <w:r w:rsidR="00347160" w:rsidRPr="00C140A8">
        <w:rPr>
          <w:rFonts w:ascii="Georgia" w:hAnsi="Georgia" w:cs="Calibri"/>
          <w:sz w:val="22"/>
          <w:szCs w:val="22"/>
          <w:lang w:val="nl-NL"/>
        </w:rPr>
        <w:t>.</w:t>
      </w:r>
      <w:r w:rsidR="00347160" w:rsidRPr="00C140A8">
        <w:rPr>
          <w:rStyle w:val="FootnoteReference"/>
          <w:rFonts w:ascii="Georgia" w:hAnsi="Georgia" w:cs="Calibri"/>
          <w:sz w:val="22"/>
          <w:szCs w:val="22"/>
          <w:lang w:val="nl-NL"/>
        </w:rPr>
        <w:t xml:space="preserve"> </w:t>
      </w:r>
      <w:r w:rsidR="00347160" w:rsidRPr="00C140A8">
        <w:rPr>
          <w:rStyle w:val="FootnoteReference"/>
          <w:rFonts w:ascii="Georgia" w:hAnsi="Georgia" w:cs="Calibri"/>
          <w:sz w:val="22"/>
          <w:szCs w:val="22"/>
          <w:lang w:val="nl-NL"/>
        </w:rPr>
        <w:footnoteReference w:id="83"/>
      </w:r>
      <w:r w:rsidR="00347160" w:rsidRPr="00C140A8">
        <w:rPr>
          <w:rFonts w:ascii="Georgia" w:hAnsi="Georgia" w:cs="Calibri"/>
          <w:i/>
          <w:iCs/>
          <w:sz w:val="22"/>
          <w:szCs w:val="22"/>
          <w:lang w:val="nl-NL"/>
        </w:rPr>
        <w:t xml:space="preserve"> </w:t>
      </w:r>
      <w:r w:rsidR="00347160" w:rsidRPr="00C140A8">
        <w:rPr>
          <w:rFonts w:ascii="Georgia" w:hAnsi="Georgia" w:cs="Calibri"/>
          <w:sz w:val="22"/>
          <w:szCs w:val="22"/>
          <w:lang w:val="nl-NL"/>
        </w:rPr>
        <w:t xml:space="preserve"> De omvang van deze beden schoot velen in het verkeerde keelgat, en al snel kwam de eerste stand, de geestelijkheid, in opstand.</w:t>
      </w:r>
      <w:r w:rsidR="00347160" w:rsidRPr="00C140A8">
        <w:rPr>
          <w:rFonts w:ascii="Georgia" w:hAnsi="Georgia" w:cs="Calibri"/>
          <w:i/>
          <w:iCs/>
          <w:sz w:val="22"/>
          <w:szCs w:val="22"/>
          <w:lang w:val="nl-NL"/>
        </w:rPr>
        <w:t xml:space="preserve"> </w:t>
      </w:r>
      <w:r w:rsidR="00347160" w:rsidRPr="00C140A8">
        <w:rPr>
          <w:rFonts w:ascii="Georgia" w:hAnsi="Georgia" w:cs="Calibri"/>
          <w:sz w:val="22"/>
          <w:szCs w:val="22"/>
          <w:lang w:val="nl-NL"/>
        </w:rPr>
        <w:t>Tussen 1375 en 1377 lag Brabant zelfs onder interdict.</w:t>
      </w:r>
      <w:r w:rsidR="00347160" w:rsidRPr="00C140A8">
        <w:rPr>
          <w:rStyle w:val="FootnoteReference"/>
          <w:rFonts w:ascii="Georgia" w:hAnsi="Georgia" w:cs="Calibri"/>
          <w:sz w:val="22"/>
          <w:szCs w:val="22"/>
          <w:lang w:val="nl-NL"/>
        </w:rPr>
        <w:footnoteReference w:id="84"/>
      </w:r>
    </w:p>
    <w:p w14:paraId="3C0BA0D5" w14:textId="6AAB4B80" w:rsidR="00347160" w:rsidRPr="00C140A8" w:rsidRDefault="0034716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Ook de steden waren er allerminst van gediend dat een fortuin wegstroomde om de kost te dekken van de gevolgen van een oorlog waarmee enkel Brussel en Leuven hadden ingestemd.</w:t>
      </w:r>
      <w:r w:rsidRPr="00C140A8">
        <w:rPr>
          <w:rStyle w:val="FootnoteReference"/>
          <w:rFonts w:ascii="Georgia" w:hAnsi="Georgia" w:cs="Calibri"/>
          <w:sz w:val="22"/>
          <w:szCs w:val="22"/>
          <w:lang w:val="nl-NL"/>
        </w:rPr>
        <w:footnoteReference w:id="85"/>
      </w:r>
      <w:r w:rsidRPr="00C140A8">
        <w:rPr>
          <w:rFonts w:ascii="Georgia" w:hAnsi="Georgia" w:cs="Calibri"/>
          <w:sz w:val="22"/>
          <w:szCs w:val="22"/>
          <w:lang w:val="nl-NL"/>
        </w:rPr>
        <w:t xml:space="preserve"> Zij eisten vertegenwoordiging in de vorm van eigen, door hen aangestelde ontvangers. Het groeiende wantrouwen tegenover hun vreemde vorst, die nu al twee oorlogen desastreus had verloren, maakte hen argwanend tegenover de hertogelijke ontvangers</w:t>
      </w:r>
      <w:r w:rsidR="00C36474">
        <w:rPr>
          <w:rFonts w:ascii="Georgia" w:hAnsi="Georgia" w:cs="Calibri"/>
          <w:sz w:val="22"/>
          <w:szCs w:val="22"/>
          <w:lang w:val="nl-NL"/>
        </w:rPr>
        <w:t>.</w:t>
      </w:r>
      <w:r w:rsidRPr="00C140A8">
        <w:rPr>
          <w:rFonts w:ascii="Georgia" w:hAnsi="Georgia" w:cs="Calibri"/>
          <w:sz w:val="22"/>
          <w:szCs w:val="22"/>
          <w:lang w:val="nl-NL"/>
        </w:rPr>
        <w:t xml:space="preserve"> Ze wilden zekerheid dat het geïnde geld daadwerkelijk naar het losgeld ging.</w:t>
      </w:r>
      <w:r w:rsidRPr="00C140A8">
        <w:rPr>
          <w:rStyle w:val="FootnoteReference"/>
          <w:rFonts w:ascii="Georgia" w:hAnsi="Georgia" w:cs="Calibri"/>
          <w:sz w:val="22"/>
          <w:szCs w:val="22"/>
          <w:lang w:val="nl-NL"/>
        </w:rPr>
        <w:footnoteReference w:id="86"/>
      </w:r>
      <w:r w:rsidRPr="00C140A8">
        <w:rPr>
          <w:rFonts w:ascii="Georgia" w:hAnsi="Georgia" w:cs="Calibri"/>
          <w:sz w:val="22"/>
          <w:szCs w:val="22"/>
          <w:lang w:val="nl-NL"/>
        </w:rPr>
        <w:t xml:space="preserve">  Het kwam bijna tot een gewapend conflict toen Leuven weigerde te betalen en Brussel de verplichte volkstelling voor de bede niet wilde organiseren. Uit woede zette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de Leuvense ambachtslieden, die na de opstand van Pieter </w:t>
      </w:r>
      <w:proofErr w:type="spellStart"/>
      <w:r w:rsidRPr="00C140A8">
        <w:rPr>
          <w:rFonts w:ascii="Georgia" w:hAnsi="Georgia" w:cs="Calibri"/>
          <w:sz w:val="22"/>
          <w:szCs w:val="22"/>
          <w:lang w:val="nl-NL"/>
        </w:rPr>
        <w:t>Couthereel</w:t>
      </w:r>
      <w:proofErr w:type="spellEnd"/>
      <w:r w:rsidRPr="00C140A8">
        <w:rPr>
          <w:rFonts w:ascii="Georgia" w:hAnsi="Georgia" w:cs="Calibri"/>
          <w:sz w:val="22"/>
          <w:szCs w:val="22"/>
          <w:lang w:val="nl-NL"/>
        </w:rPr>
        <w:t xml:space="preserve"> in 1360 een plaats in het bestuur hadden verworven, opnieuw aan de kant en herstelde hij de adellijke geslachten in hun functies.</w:t>
      </w:r>
      <w:r w:rsidRPr="00C140A8">
        <w:rPr>
          <w:rStyle w:val="FootnoteReference"/>
          <w:rFonts w:ascii="Georgia" w:hAnsi="Georgia" w:cs="Calibri"/>
          <w:sz w:val="22"/>
          <w:szCs w:val="22"/>
          <w:lang w:val="nl-NL"/>
        </w:rPr>
        <w:footnoteReference w:id="87"/>
      </w:r>
    </w:p>
    <w:p w14:paraId="2525E226" w14:textId="3E72D7CB" w:rsidR="00347160" w:rsidRPr="00C140A8" w:rsidRDefault="0034716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Die uitsluiting van de ambachten zou niet lang onbeantwoord blijven. Ondertussen liep de relatie met het Prinsbisdom Luik al langere tijd stroef</w:t>
      </w:r>
      <w:r w:rsidR="00C36474">
        <w:rPr>
          <w:rFonts w:ascii="Georgia" w:hAnsi="Georgia" w:cs="Calibri"/>
          <w:sz w:val="22"/>
          <w:szCs w:val="22"/>
          <w:lang w:val="nl-NL"/>
        </w:rPr>
        <w:t xml:space="preserve">. </w:t>
      </w:r>
      <w:r w:rsidR="006667AE">
        <w:rPr>
          <w:rFonts w:ascii="Georgia" w:hAnsi="Georgia" w:cs="Calibri"/>
          <w:sz w:val="22"/>
          <w:szCs w:val="22"/>
          <w:lang w:val="nl-NL"/>
        </w:rPr>
        <w:t>D</w:t>
      </w:r>
      <w:r w:rsidRPr="00C140A8">
        <w:rPr>
          <w:rFonts w:ascii="Georgia" w:hAnsi="Georgia" w:cs="Calibri"/>
          <w:sz w:val="22"/>
          <w:szCs w:val="22"/>
          <w:lang w:val="nl-NL"/>
        </w:rPr>
        <w:t xml:space="preserve">e dubbele jurisdictie over Maastricht,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territoriale politiek in het Maas- en Rijngebied en aanhoudende grensspanningen voedden een diepgeworteld wantrouwen.</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88"/>
      </w:r>
      <w:r w:rsidRPr="00C140A8">
        <w:rPr>
          <w:rFonts w:ascii="Georgia" w:hAnsi="Georgia" w:cs="Calibri"/>
          <w:sz w:val="22"/>
          <w:szCs w:val="22"/>
          <w:lang w:val="nl-NL"/>
        </w:rPr>
        <w:t xml:space="preserve"> De dood van bisschop Jan van Arkel op 1 juli 1378 en het kort daarop afgekondigde Westers Schisma zetten het conflict op scherp.</w:t>
      </w:r>
      <w:r w:rsidRPr="00C140A8">
        <w:rPr>
          <w:rStyle w:val="FootnoteReference"/>
          <w:rFonts w:ascii="Georgia" w:hAnsi="Georgia" w:cs="Calibri"/>
          <w:sz w:val="22"/>
          <w:szCs w:val="22"/>
          <w:lang w:val="nl-NL"/>
        </w:rPr>
        <w:footnoteReference w:id="89"/>
      </w:r>
      <w:r w:rsidRPr="00C140A8">
        <w:rPr>
          <w:rFonts w:ascii="Georgia" w:hAnsi="Georgia" w:cs="Calibri"/>
          <w:sz w:val="22"/>
          <w:szCs w:val="22"/>
          <w:lang w:val="nl-NL"/>
        </w:rPr>
        <w:t xml:space="preserve">  Rome </w:t>
      </w:r>
      <w:r w:rsidRPr="00C140A8">
        <w:rPr>
          <w:rFonts w:ascii="Georgia" w:hAnsi="Georgia" w:cs="Calibri"/>
          <w:sz w:val="22"/>
          <w:szCs w:val="22"/>
          <w:lang w:val="nl-NL"/>
        </w:rPr>
        <w:lastRenderedPageBreak/>
        <w:t xml:space="preserve">benoemde Arnold van Horne, Avignon koos Eustachius </w:t>
      </w:r>
      <w:proofErr w:type="spellStart"/>
      <w:r w:rsidRPr="00C140A8">
        <w:rPr>
          <w:rFonts w:ascii="Georgia" w:hAnsi="Georgia" w:cs="Calibri"/>
          <w:sz w:val="22"/>
          <w:szCs w:val="22"/>
          <w:lang w:val="nl-NL"/>
        </w:rPr>
        <w:t>Persand</w:t>
      </w:r>
      <w:proofErr w:type="spellEnd"/>
      <w:r w:rsidRPr="00C140A8">
        <w:rPr>
          <w:rFonts w:ascii="Georgia" w:hAnsi="Georgia" w:cs="Calibri"/>
          <w:sz w:val="22"/>
          <w:szCs w:val="22"/>
          <w:lang w:val="nl-NL"/>
        </w:rPr>
        <w:t xml:space="preserve"> van Rochefort, 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schaarde zich achter deze laatste, tegen de zin van een groot deel van de Luikse geestelijkheid en burgerij.</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90"/>
      </w:r>
      <w:r w:rsidRPr="00C140A8">
        <w:rPr>
          <w:rFonts w:ascii="Georgia" w:hAnsi="Georgia" w:cs="Calibri"/>
          <w:sz w:val="22"/>
          <w:szCs w:val="22"/>
          <w:lang w:val="nl-NL"/>
        </w:rPr>
        <w:t xml:space="preserve"> In juni 1379 legden Vlaamse bemiddelaars dit conflict bij. Het conflict werd echter overschaduwd door interne spanningen. In Leuven wierpen de ambachten in 1379, onder leiding van Wouter van der </w:t>
      </w:r>
      <w:proofErr w:type="spellStart"/>
      <w:r w:rsidRPr="00C140A8">
        <w:rPr>
          <w:rFonts w:ascii="Georgia" w:hAnsi="Georgia" w:cs="Calibri"/>
          <w:sz w:val="22"/>
          <w:szCs w:val="22"/>
          <w:lang w:val="nl-NL"/>
        </w:rPr>
        <w:t>Leyden</w:t>
      </w:r>
      <w:proofErr w:type="spellEnd"/>
      <w:r w:rsidRPr="00C140A8">
        <w:rPr>
          <w:rFonts w:ascii="Georgia" w:hAnsi="Georgia" w:cs="Calibri"/>
          <w:sz w:val="22"/>
          <w:szCs w:val="22"/>
          <w:lang w:val="nl-NL"/>
        </w:rPr>
        <w:t>, de schepenen uit de ramen nadat hun verzoekschrift om meer representatie was afgewezen.</w:t>
      </w:r>
      <w:r w:rsidRPr="00C140A8">
        <w:rPr>
          <w:rStyle w:val="FootnoteReference"/>
          <w:rFonts w:ascii="Georgia" w:hAnsi="Georgia" w:cs="Calibri"/>
          <w:sz w:val="22"/>
          <w:szCs w:val="22"/>
          <w:lang w:val="nl-NL"/>
        </w:rPr>
        <w:footnoteReference w:id="91"/>
      </w:r>
      <w:r w:rsidRPr="00C140A8">
        <w:rPr>
          <w:rFonts w:ascii="Georgia" w:hAnsi="Georgia" w:cs="Calibri"/>
          <w:sz w:val="22"/>
          <w:szCs w:val="22"/>
          <w:lang w:val="nl-NL"/>
        </w:rPr>
        <w:t xml:space="preserve"> Vlaamse bemiddelaars legden het Luikse conflict in juni 1379 bij, al bleven de spanningen met Leuven aanhouden tot een vredesbestand in 1382.</w:t>
      </w:r>
      <w:r w:rsidRPr="00C140A8">
        <w:rPr>
          <w:rStyle w:val="FootnoteReference"/>
          <w:rFonts w:ascii="Georgia" w:hAnsi="Georgia" w:cs="Calibri"/>
          <w:sz w:val="22"/>
          <w:szCs w:val="22"/>
          <w:lang w:val="nl-NL"/>
        </w:rPr>
        <w:footnoteReference w:id="92"/>
      </w:r>
    </w:p>
    <w:p w14:paraId="39618C52" w14:textId="38E4ED01" w:rsidR="00347160" w:rsidRPr="00C140A8" w:rsidRDefault="0034716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De situatie na </w:t>
      </w:r>
      <w:proofErr w:type="spellStart"/>
      <w:r w:rsidRPr="00C140A8">
        <w:rPr>
          <w:rFonts w:ascii="Georgia" w:hAnsi="Georgia" w:cs="Calibri"/>
          <w:sz w:val="22"/>
          <w:szCs w:val="22"/>
          <w:lang w:val="nl-NL"/>
        </w:rPr>
        <w:t>Baesweiler</w:t>
      </w:r>
      <w:proofErr w:type="spellEnd"/>
      <w:r w:rsidRPr="00C140A8">
        <w:rPr>
          <w:rFonts w:ascii="Georgia" w:hAnsi="Georgia" w:cs="Calibri"/>
          <w:sz w:val="22"/>
          <w:szCs w:val="22"/>
          <w:lang w:val="nl-NL"/>
        </w:rPr>
        <w:t xml:space="preserve"> is van direct belang voor dit onderzoek. Zij riep allereerst een halt toe aan de noordoostelijke uitbreidingen van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Tegelijk legt zij iets bloot in de bestuurlijke verhoudingen tussen beide echtgenoten.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oriëntatie bleef onverminderd gericht op het Heilig Roomse Rijk en Frankrijk. Het waren de lege schatkist, gevolg van de vele oorlogen met Gelre, Gulik en Luik, en zijn vertroebelde relatie met de drie standen die zijn beleid in de weg stonden. Johanna daarentegen was sterker op Brabant zelf georiënteerd, een h</w:t>
      </w:r>
      <w:r w:rsidR="00506613">
        <w:rPr>
          <w:rFonts w:ascii="Georgia" w:hAnsi="Georgia" w:cs="Calibri"/>
          <w:sz w:val="22"/>
          <w:szCs w:val="22"/>
          <w:lang w:val="nl-NL"/>
        </w:rPr>
        <w:t>ouding die in deze oorlogssituaties zichtbaar werd</w:t>
      </w:r>
      <w:r w:rsidRPr="00C140A8">
        <w:rPr>
          <w:rFonts w:ascii="Georgia" w:hAnsi="Georgia" w:cs="Calibri"/>
          <w:sz w:val="22"/>
          <w:szCs w:val="22"/>
          <w:lang w:val="nl-NL"/>
        </w:rPr>
        <w:t>.</w:t>
      </w:r>
      <w:r w:rsidR="00506613">
        <w:rPr>
          <w:rStyle w:val="FootnoteReference"/>
          <w:rFonts w:ascii="Georgia" w:hAnsi="Georgia" w:cs="Calibri"/>
          <w:sz w:val="22"/>
          <w:szCs w:val="22"/>
          <w:lang w:val="nl-NL"/>
        </w:rPr>
        <w:footnoteReference w:id="93"/>
      </w:r>
      <w:r w:rsidRPr="00C140A8">
        <w:rPr>
          <w:rFonts w:ascii="Georgia" w:hAnsi="Georgia" w:cs="Calibri"/>
          <w:sz w:val="22"/>
          <w:szCs w:val="22"/>
          <w:lang w:val="nl-NL"/>
        </w:rPr>
        <w:t xml:space="preserve"> Zij stelde zich proactief op en lobbyde zelf voor hulp en steun op de momenten dat de situatie in het nadeel van Brabant keerde.</w:t>
      </w:r>
      <w:r w:rsidRPr="00C140A8">
        <w:rPr>
          <w:rStyle w:val="FootnoteReference"/>
          <w:rFonts w:ascii="Georgia" w:hAnsi="Georgia" w:cs="Calibri"/>
          <w:sz w:val="22"/>
          <w:szCs w:val="22"/>
          <w:lang w:val="nl-NL"/>
        </w:rPr>
        <w:footnoteReference w:id="94"/>
      </w:r>
      <w:r w:rsidRPr="00C140A8">
        <w:rPr>
          <w:rFonts w:ascii="Georgia" w:hAnsi="Georgia" w:cs="Calibri"/>
          <w:sz w:val="22"/>
          <w:szCs w:val="22"/>
          <w:lang w:val="nl-NL"/>
        </w:rPr>
        <w:t xml:space="preserve"> Juist in dat samenspel tussen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w:t>
      </w:r>
      <w:proofErr w:type="spellStart"/>
      <w:r w:rsidRPr="00C140A8">
        <w:rPr>
          <w:rFonts w:ascii="Georgia" w:hAnsi="Georgia" w:cs="Calibri"/>
          <w:sz w:val="22"/>
          <w:szCs w:val="22"/>
          <w:lang w:val="nl-NL"/>
        </w:rPr>
        <w:t>rijksgerichte</w:t>
      </w:r>
      <w:proofErr w:type="spellEnd"/>
      <w:r w:rsidRPr="00C140A8">
        <w:rPr>
          <w:rFonts w:ascii="Georgia" w:hAnsi="Georgia" w:cs="Calibri"/>
          <w:sz w:val="22"/>
          <w:szCs w:val="22"/>
          <w:lang w:val="nl-NL"/>
        </w:rPr>
        <w:t xml:space="preserve"> ambities en Johanna's Brabantse betrokkenheid, wat zeker niet uitsluit dat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ook intern betrokken was en Johanna extern, situeert zich het onderzoek van deze scriptie. </w:t>
      </w:r>
    </w:p>
    <w:p w14:paraId="6E50E853" w14:textId="77777777" w:rsidR="00347160" w:rsidRPr="00C140A8" w:rsidRDefault="00347160" w:rsidP="00F013D3">
      <w:pPr>
        <w:pStyle w:val="ThesisHeading"/>
        <w:rPr>
          <w:lang w:val="nl-NL"/>
        </w:rPr>
      </w:pPr>
      <w:bookmarkStart w:id="58" w:name="_Toc230118019"/>
      <w:bookmarkStart w:id="59" w:name="_Toc230358688"/>
      <w:bookmarkStart w:id="60" w:name="_Toc231153755"/>
      <w:bookmarkStart w:id="61" w:name="_Toc231329830"/>
      <w:bookmarkStart w:id="62" w:name="_Toc231330437"/>
      <w:bookmarkStart w:id="63" w:name="_Toc231428031"/>
      <w:bookmarkStart w:id="64" w:name="_Toc231463600"/>
      <w:r w:rsidRPr="00C140A8">
        <w:rPr>
          <w:lang w:val="nl-NL"/>
        </w:rPr>
        <w:t xml:space="preserve">Bronnen en </w:t>
      </w:r>
      <w:proofErr w:type="spellStart"/>
      <w:r w:rsidRPr="00BB06BE">
        <w:t>Methodologie</w:t>
      </w:r>
      <w:bookmarkEnd w:id="58"/>
      <w:bookmarkEnd w:id="59"/>
      <w:bookmarkEnd w:id="60"/>
      <w:bookmarkEnd w:id="61"/>
      <w:bookmarkEnd w:id="62"/>
      <w:bookmarkEnd w:id="63"/>
      <w:bookmarkEnd w:id="64"/>
      <w:proofErr w:type="spellEnd"/>
    </w:p>
    <w:p w14:paraId="794B38B5" w14:textId="7C890987" w:rsidR="00F47DF1" w:rsidRPr="00F47DF1" w:rsidRDefault="00F47DF1" w:rsidP="00C140A8">
      <w:pPr>
        <w:spacing w:afterLines="80" w:after="192" w:line="360" w:lineRule="auto"/>
        <w:jc w:val="both"/>
        <w:rPr>
          <w:rFonts w:ascii="Georgia" w:hAnsi="Georgia" w:cs="Calibri"/>
          <w:sz w:val="22"/>
          <w:szCs w:val="22"/>
          <w:lang w:val="nl-NL"/>
        </w:rPr>
      </w:pPr>
      <w:r w:rsidRPr="00F47DF1">
        <w:rPr>
          <w:rFonts w:ascii="Georgia" w:hAnsi="Georgia" w:cs="Calibri"/>
          <w:sz w:val="22"/>
          <w:szCs w:val="22"/>
        </w:rPr>
        <w:t>In navolging van Joan Scotts opvattingen over de relationele benadering van macht, zal deze scriptie Johanna's bestuursbijdrage dan ook niet afzonderlijk bestuderen, maar in samenhang met die van Wenceslas. Concreet onderzoekt deze scriptie niet óf Johanna over macht beschikte, maar hóé zij die uitoefende: welke middelen zij inzette om haar bestuur vorm te geven, uit welke bronnen zij haar gezag putte, en welke omstandigheden haar machtsuitoefening belemmerden of juist mogelijk maakten. Deze vraagstelling vereist brontypen die het alledaagse bestuur documenteren, zoals rekeningen en oorkonden, eerder dan narratieve bronnen die een geïdealiseerd beeld van vorstelijke macht construeren</w:t>
      </w:r>
      <w:r w:rsidR="00506613">
        <w:rPr>
          <w:rFonts w:ascii="Georgia" w:hAnsi="Georgia" w:cs="Calibri"/>
          <w:sz w:val="22"/>
          <w:szCs w:val="22"/>
        </w:rPr>
        <w:t>.</w:t>
      </w:r>
    </w:p>
    <w:p w14:paraId="04CF8E47" w14:textId="77777777" w:rsidR="00347160" w:rsidRPr="00C140A8" w:rsidRDefault="00347160" w:rsidP="00BB06BE">
      <w:pPr>
        <w:pStyle w:val="ThesisSubheading"/>
        <w:ind w:left="1134"/>
        <w:rPr>
          <w:lang w:val="nl-NL"/>
        </w:rPr>
      </w:pPr>
      <w:bookmarkStart w:id="65" w:name="_Toc230014226"/>
      <w:bookmarkStart w:id="66" w:name="_Toc230118021"/>
      <w:bookmarkStart w:id="67" w:name="_Toc230358690"/>
      <w:bookmarkStart w:id="68" w:name="_Toc231153757"/>
      <w:bookmarkStart w:id="69" w:name="_Toc231329831"/>
      <w:bookmarkStart w:id="70" w:name="_Toc231330438"/>
      <w:bookmarkStart w:id="71" w:name="_Toc231428032"/>
      <w:r w:rsidRPr="00C140A8">
        <w:rPr>
          <w:lang w:val="nl-NL"/>
        </w:rPr>
        <w:lastRenderedPageBreak/>
        <w:t xml:space="preserve">Chronologische en </w:t>
      </w:r>
      <w:proofErr w:type="spellStart"/>
      <w:r w:rsidRPr="00BB06BE">
        <w:t>geografische</w:t>
      </w:r>
      <w:proofErr w:type="spellEnd"/>
      <w:r w:rsidRPr="00C140A8">
        <w:rPr>
          <w:lang w:val="nl-NL"/>
        </w:rPr>
        <w:t xml:space="preserve"> afbakening</w:t>
      </w:r>
      <w:bookmarkEnd w:id="65"/>
      <w:bookmarkEnd w:id="66"/>
      <w:bookmarkEnd w:id="67"/>
      <w:bookmarkEnd w:id="68"/>
      <w:bookmarkEnd w:id="69"/>
      <w:bookmarkEnd w:id="70"/>
      <w:bookmarkEnd w:id="71"/>
    </w:p>
    <w:p w14:paraId="2991E15C" w14:textId="4B6AAEF7" w:rsidR="00347160" w:rsidRPr="00C140A8" w:rsidRDefault="0034716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Het onderzoek concentreert zich op de periode 1376</w:t>
      </w:r>
      <w:r w:rsidR="00F47DF1">
        <w:rPr>
          <w:rFonts w:ascii="Georgia" w:hAnsi="Georgia" w:cs="Calibri"/>
          <w:sz w:val="22"/>
          <w:szCs w:val="22"/>
          <w:lang w:val="nl-NL"/>
        </w:rPr>
        <w:t>-</w:t>
      </w:r>
      <w:r w:rsidRPr="00C140A8">
        <w:rPr>
          <w:rFonts w:ascii="Georgia" w:hAnsi="Georgia" w:cs="Calibri"/>
          <w:sz w:val="22"/>
          <w:szCs w:val="22"/>
          <w:lang w:val="nl-NL"/>
        </w:rPr>
        <w:t xml:space="preserve">1380, de jaren waarin Johanna 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gezamenlijk regeerden. Voor de weduweperiode (na 1383) is bewust niet gekozen. Hoewel Johanna in die jaren als enige soevereine vorstin handelde, vormt deze periode een fundamenteel ander type bestuur. In de weduweperiode ontbreekt immers het co-bestuur dat in dit onderzoek centraal staat, waardoor het niet mogelijk is Johanna's handelen te bestuderen in verhouding tot dat van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Het beoogt de historiografische tendens te corrigeren die het Brabantse bestuur primair leest vanuit het perspectief van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als buitenlandse vorst en in plaats daarvan het gezamenlijke handelen van beide echtgenoten centraal te stellen. </w:t>
      </w:r>
    </w:p>
    <w:p w14:paraId="5C7F41CD" w14:textId="48017302" w:rsidR="00347160" w:rsidRPr="00C140A8" w:rsidRDefault="0034716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De keuze voor de periode 1376</w:t>
      </w:r>
      <w:r w:rsidR="00F47DF1">
        <w:rPr>
          <w:rFonts w:ascii="Georgia" w:hAnsi="Georgia" w:cs="Calibri"/>
          <w:sz w:val="22"/>
          <w:szCs w:val="22"/>
          <w:lang w:val="nl-NL"/>
        </w:rPr>
        <w:t>-</w:t>
      </w:r>
      <w:r w:rsidRPr="00C140A8">
        <w:rPr>
          <w:rFonts w:ascii="Georgia" w:hAnsi="Georgia" w:cs="Calibri"/>
          <w:sz w:val="22"/>
          <w:szCs w:val="22"/>
          <w:lang w:val="nl-NL"/>
        </w:rPr>
        <w:t>1380 kent zowel contextuele als praktische overwegingen. Voor de rekeningen gaat het om het begin van de Middelnederlandse reeks na de lacune van 1374</w:t>
      </w:r>
      <w:r w:rsidR="00F47DF1">
        <w:rPr>
          <w:rFonts w:ascii="Georgia" w:hAnsi="Georgia" w:cs="Calibri"/>
          <w:sz w:val="22"/>
          <w:szCs w:val="22"/>
          <w:lang w:val="nl-NL"/>
        </w:rPr>
        <w:t>-</w:t>
      </w:r>
      <w:r w:rsidRPr="00C140A8">
        <w:rPr>
          <w:rFonts w:ascii="Georgia" w:hAnsi="Georgia" w:cs="Calibri"/>
          <w:sz w:val="22"/>
          <w:szCs w:val="22"/>
          <w:lang w:val="nl-NL"/>
        </w:rPr>
        <w:t xml:space="preserve">1376. De oorkonden, opgesteld door Alphonse </w:t>
      </w:r>
      <w:proofErr w:type="spellStart"/>
      <w:r w:rsidRPr="00C140A8">
        <w:rPr>
          <w:rFonts w:ascii="Georgia" w:hAnsi="Georgia" w:cs="Calibri"/>
          <w:sz w:val="22"/>
          <w:szCs w:val="22"/>
          <w:lang w:val="nl-NL"/>
        </w:rPr>
        <w:t>Verkooren</w:t>
      </w:r>
      <w:proofErr w:type="spellEnd"/>
      <w:r w:rsidRPr="00C140A8">
        <w:rPr>
          <w:rFonts w:ascii="Georgia" w:hAnsi="Georgia" w:cs="Calibri"/>
          <w:sz w:val="22"/>
          <w:szCs w:val="22"/>
          <w:lang w:val="nl-NL"/>
        </w:rPr>
        <w:t>, bestrijken een ruimere periode, maar worden hier parallel getrokken met de rekeningen.</w:t>
      </w:r>
      <w:r w:rsidR="00506613">
        <w:rPr>
          <w:rStyle w:val="FootnoteReference"/>
          <w:rFonts w:ascii="Georgia" w:hAnsi="Georgia" w:cs="Calibri"/>
          <w:sz w:val="22"/>
          <w:szCs w:val="22"/>
          <w:lang w:val="nl-NL"/>
        </w:rPr>
        <w:footnoteReference w:id="95"/>
      </w:r>
      <w:r w:rsidRPr="00C140A8">
        <w:rPr>
          <w:rFonts w:ascii="Georgia" w:hAnsi="Georgia" w:cs="Calibri"/>
          <w:sz w:val="22"/>
          <w:szCs w:val="22"/>
          <w:lang w:val="nl-NL"/>
        </w:rPr>
        <w:t xml:space="preserve"> De steekproef van vier jaar is dus praktisch gekozen voor het tijdsbestek van deze masterproef, maar volstaat om een beeld te schetsen van de </w:t>
      </w:r>
      <w:proofErr w:type="spellStart"/>
      <w:r w:rsidR="006D52FB">
        <w:rPr>
          <w:rFonts w:ascii="Georgia" w:hAnsi="Georgia" w:cs="Calibri"/>
          <w:sz w:val="22"/>
          <w:szCs w:val="22"/>
          <w:lang w:val="nl-NL"/>
        </w:rPr>
        <w:t>bestuursbijdrage</w:t>
      </w:r>
      <w:proofErr w:type="spellEnd"/>
      <w:r w:rsidRPr="00C140A8">
        <w:rPr>
          <w:rFonts w:ascii="Georgia" w:hAnsi="Georgia" w:cs="Calibri"/>
          <w:sz w:val="22"/>
          <w:szCs w:val="22"/>
          <w:lang w:val="nl-NL"/>
        </w:rPr>
        <w:t xml:space="preserve"> van het koppel. Bovendien is dit een periode waarin beide vorsten groeiden in hun politiek handelen en assertiever optraden, wat een interessante analyse mogelijk maakt.</w:t>
      </w:r>
    </w:p>
    <w:p w14:paraId="22189B1A" w14:textId="5669954C" w:rsidR="00BB06BE" w:rsidRDefault="00347160" w:rsidP="00736911">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Geografisch beperkt deze scriptie zich tot het hertogdom </w:t>
      </w:r>
      <w:r w:rsidR="001607AB">
        <w:rPr>
          <w:rFonts w:ascii="Georgia" w:hAnsi="Georgia" w:cs="Calibri"/>
          <w:sz w:val="22"/>
          <w:szCs w:val="22"/>
          <w:lang w:val="nl-NL"/>
        </w:rPr>
        <w:t>Brabant</w:t>
      </w:r>
      <w:r w:rsidRPr="00C140A8">
        <w:rPr>
          <w:rFonts w:ascii="Georgia" w:hAnsi="Georgia" w:cs="Calibri"/>
          <w:sz w:val="22"/>
          <w:szCs w:val="22"/>
          <w:lang w:val="nl-NL"/>
        </w:rPr>
        <w:t xml:space="preserve">. Luxemburg, het erfgebied van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blijft buiten </w:t>
      </w:r>
      <w:r w:rsidR="00AD4ED5">
        <w:rPr>
          <w:rFonts w:ascii="Georgia" w:hAnsi="Georgia" w:cs="Calibri"/>
          <w:sz w:val="22"/>
          <w:szCs w:val="22"/>
          <w:lang w:val="nl-NL"/>
        </w:rPr>
        <w:t xml:space="preserve">beschouwing. </w:t>
      </w:r>
      <w:r w:rsidR="00AD4ED5" w:rsidRPr="00AD4ED5">
        <w:rPr>
          <w:rFonts w:ascii="Georgia" w:hAnsi="Georgia" w:cs="Calibri"/>
          <w:sz w:val="22"/>
          <w:szCs w:val="22"/>
        </w:rPr>
        <w:t>Ook het hertogdom Limburg, dat sinds de slag bij Woeringen (1288) onder de Brabantse hertog viel, valt buiten de scope van dit onderzoek</w:t>
      </w:r>
      <w:r w:rsidR="00AD4ED5">
        <w:rPr>
          <w:rFonts w:ascii="Georgia" w:hAnsi="Georgia" w:cs="Calibri"/>
          <w:i/>
          <w:iCs/>
          <w:sz w:val="22"/>
          <w:szCs w:val="22"/>
        </w:rPr>
        <w:t>.</w:t>
      </w:r>
      <w:r w:rsidR="00AD4ED5">
        <w:rPr>
          <w:rFonts w:ascii="Georgia" w:hAnsi="Georgia" w:cs="Calibri"/>
          <w:sz w:val="22"/>
          <w:szCs w:val="22"/>
          <w:lang w:val="nl-NL"/>
        </w:rPr>
        <w:t xml:space="preserve"> </w:t>
      </w:r>
      <w:r w:rsidRPr="00C140A8">
        <w:rPr>
          <w:rFonts w:ascii="Georgia" w:hAnsi="Georgia" w:cs="Calibri"/>
          <w:sz w:val="22"/>
          <w:szCs w:val="22"/>
          <w:lang w:val="nl-NL"/>
        </w:rPr>
        <w:t xml:space="preserve">Deze afbakening is zowel praktisch als inhoudelijk gemotiveerd. Een volwaardige analyse van de Luxemburgse </w:t>
      </w:r>
      <w:r w:rsidR="00AD4ED5">
        <w:rPr>
          <w:rFonts w:ascii="Georgia" w:hAnsi="Georgia" w:cs="Calibri"/>
          <w:sz w:val="22"/>
          <w:szCs w:val="22"/>
          <w:lang w:val="nl-NL"/>
        </w:rPr>
        <w:t xml:space="preserve">en Limburgse </w:t>
      </w:r>
      <w:r w:rsidRPr="00C140A8">
        <w:rPr>
          <w:rFonts w:ascii="Georgia" w:hAnsi="Georgia" w:cs="Calibri"/>
          <w:sz w:val="22"/>
          <w:szCs w:val="22"/>
          <w:lang w:val="nl-NL"/>
        </w:rPr>
        <w:t xml:space="preserve">bronnen valt buiten het </w:t>
      </w:r>
      <w:r w:rsidR="00A35D0F">
        <w:rPr>
          <w:rFonts w:ascii="Georgia" w:hAnsi="Georgia" w:cs="Calibri"/>
          <w:sz w:val="22"/>
          <w:szCs w:val="22"/>
          <w:lang w:val="nl-NL"/>
        </w:rPr>
        <w:t>tijds</w:t>
      </w:r>
      <w:r w:rsidRPr="00C140A8">
        <w:rPr>
          <w:rFonts w:ascii="Georgia" w:hAnsi="Georgia" w:cs="Calibri"/>
          <w:sz w:val="22"/>
          <w:szCs w:val="22"/>
          <w:lang w:val="nl-NL"/>
        </w:rPr>
        <w:t xml:space="preserve">bestek van </w:t>
      </w:r>
      <w:r w:rsidR="00A35D0F">
        <w:rPr>
          <w:rFonts w:ascii="Georgia" w:hAnsi="Georgia" w:cs="Calibri"/>
          <w:sz w:val="22"/>
          <w:szCs w:val="22"/>
          <w:lang w:val="nl-NL"/>
        </w:rPr>
        <w:t>de</w:t>
      </w:r>
      <w:r w:rsidRPr="00C140A8">
        <w:rPr>
          <w:rFonts w:ascii="Georgia" w:hAnsi="Georgia" w:cs="Calibri"/>
          <w:sz w:val="22"/>
          <w:szCs w:val="22"/>
          <w:lang w:val="nl-NL"/>
        </w:rPr>
        <w:t xml:space="preserve"> masterproef en bovendien manifesteert Johanna's bestuurlijke aanwezigheid zich voornamelijk in de Brabantse context. </w:t>
      </w:r>
      <w:r w:rsidR="00736911">
        <w:rPr>
          <w:rFonts w:ascii="Georgia" w:hAnsi="Georgia" w:cs="Calibri"/>
          <w:sz w:val="22"/>
          <w:szCs w:val="22"/>
          <w:lang w:val="nl-NL"/>
        </w:rPr>
        <w:t xml:space="preserve"> Het is eveneens niet mogelijk om elke regio binnen Brabant in detail onder de loep te nemen.</w:t>
      </w:r>
      <w:r w:rsidRPr="00C140A8">
        <w:rPr>
          <w:rFonts w:ascii="Georgia" w:hAnsi="Georgia" w:cs="Calibri"/>
          <w:sz w:val="22"/>
          <w:szCs w:val="22"/>
          <w:lang w:val="nl-NL"/>
        </w:rPr>
        <w:t xml:space="preserve"> </w:t>
      </w:r>
      <w:r w:rsidR="00736911">
        <w:rPr>
          <w:rFonts w:ascii="Georgia" w:hAnsi="Georgia" w:cs="Calibri"/>
          <w:sz w:val="22"/>
          <w:szCs w:val="22"/>
          <w:lang w:val="nl-NL"/>
        </w:rPr>
        <w:t>Daarom zal deze</w:t>
      </w:r>
      <w:r w:rsidRPr="00C140A8">
        <w:rPr>
          <w:rFonts w:ascii="Georgia" w:hAnsi="Georgia" w:cs="Calibri"/>
          <w:sz w:val="22"/>
          <w:szCs w:val="22"/>
          <w:lang w:val="nl-NL"/>
        </w:rPr>
        <w:t xml:space="preserve"> scriptie zich voornamelijk focussen op twee </w:t>
      </w:r>
      <w:r w:rsidR="006D52FB">
        <w:rPr>
          <w:rFonts w:ascii="Georgia" w:hAnsi="Georgia" w:cs="Calibri"/>
          <w:sz w:val="22"/>
          <w:szCs w:val="22"/>
          <w:lang w:val="nl-NL"/>
        </w:rPr>
        <w:t xml:space="preserve">geografische </w:t>
      </w:r>
      <w:r w:rsidRPr="00C140A8">
        <w:rPr>
          <w:rFonts w:ascii="Georgia" w:hAnsi="Georgia" w:cs="Calibri"/>
          <w:sz w:val="22"/>
          <w:szCs w:val="22"/>
          <w:lang w:val="nl-NL"/>
        </w:rPr>
        <w:t xml:space="preserve">aspecten: Johanna’s weduwegoederen en plaatsen die relevant zijn voor haar netwerken en patronage. </w:t>
      </w:r>
    </w:p>
    <w:p w14:paraId="790C3E07" w14:textId="77777777" w:rsidR="00DA41B7" w:rsidRDefault="00DA41B7" w:rsidP="00736911">
      <w:pPr>
        <w:spacing w:afterLines="80" w:after="192" w:line="360" w:lineRule="auto"/>
        <w:jc w:val="both"/>
        <w:rPr>
          <w:rFonts w:ascii="Georgia" w:hAnsi="Georgia" w:cs="Calibri"/>
          <w:sz w:val="22"/>
          <w:szCs w:val="22"/>
          <w:lang w:val="nl-NL"/>
        </w:rPr>
      </w:pPr>
    </w:p>
    <w:p w14:paraId="1E727005" w14:textId="77777777" w:rsidR="00DA41B7" w:rsidRPr="00C140A8" w:rsidRDefault="00DA41B7" w:rsidP="00736911">
      <w:pPr>
        <w:spacing w:afterLines="80" w:after="192" w:line="360" w:lineRule="auto"/>
        <w:jc w:val="both"/>
        <w:rPr>
          <w:rFonts w:ascii="Georgia" w:hAnsi="Georgia" w:cs="Calibri"/>
          <w:sz w:val="22"/>
          <w:szCs w:val="22"/>
          <w:lang w:val="nl-NL"/>
        </w:rPr>
      </w:pPr>
    </w:p>
    <w:p w14:paraId="67A92546" w14:textId="1DF6522A" w:rsidR="00714C0A" w:rsidRPr="00C140A8" w:rsidRDefault="00347160" w:rsidP="00BB06BE">
      <w:pPr>
        <w:pStyle w:val="ThesisSubheading"/>
        <w:ind w:left="1134"/>
        <w:rPr>
          <w:lang w:val="nl-NL"/>
        </w:rPr>
      </w:pPr>
      <w:bookmarkStart w:id="72" w:name="_Toc230014227"/>
      <w:bookmarkStart w:id="73" w:name="_Toc230118022"/>
      <w:bookmarkStart w:id="74" w:name="_Toc230358691"/>
      <w:bookmarkStart w:id="75" w:name="_Toc231153758"/>
      <w:bookmarkStart w:id="76" w:name="_Toc231329832"/>
      <w:bookmarkStart w:id="77" w:name="_Toc231330439"/>
      <w:bookmarkStart w:id="78" w:name="_Toc231428033"/>
      <w:proofErr w:type="spellStart"/>
      <w:r w:rsidRPr="00BB06BE">
        <w:lastRenderedPageBreak/>
        <w:t>Bronnencorpus</w:t>
      </w:r>
      <w:bookmarkEnd w:id="72"/>
      <w:bookmarkEnd w:id="73"/>
      <w:bookmarkEnd w:id="74"/>
      <w:bookmarkEnd w:id="75"/>
      <w:bookmarkEnd w:id="76"/>
      <w:bookmarkEnd w:id="77"/>
      <w:bookmarkEnd w:id="78"/>
      <w:proofErr w:type="spellEnd"/>
    </w:p>
    <w:p w14:paraId="4DD3749A" w14:textId="1BBFD13B" w:rsidR="00714C0A" w:rsidRPr="00BB06BE" w:rsidRDefault="00714C0A" w:rsidP="00192268">
      <w:pPr>
        <w:pStyle w:val="ThesisSub-subheading"/>
        <w:spacing w:before="0"/>
        <w:rPr>
          <w:sz w:val="24"/>
          <w:szCs w:val="24"/>
        </w:rPr>
      </w:pPr>
      <w:bookmarkStart w:id="79" w:name="_Toc231153759"/>
      <w:r w:rsidRPr="00BB06BE">
        <w:rPr>
          <w:rStyle w:val="Emphasis"/>
          <w:rFonts w:ascii="Georgia" w:hAnsi="Georgia" w:cs="Calibri"/>
          <w:sz w:val="24"/>
          <w:szCs w:val="24"/>
          <w:lang w:val="nl-NL"/>
        </w:rPr>
        <w:t>De hertogelijke rekeningen</w:t>
      </w:r>
      <w:bookmarkEnd w:id="79"/>
    </w:p>
    <w:p w14:paraId="60CDE2C7" w14:textId="4CC7B27D" w:rsidR="00E6460A" w:rsidRDefault="0034716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Het onderzoek steunt in hoofdzaak op praktijkbronnen bestaande uit de rekeningen</w:t>
      </w:r>
      <w:r w:rsidR="00A34891">
        <w:rPr>
          <w:rFonts w:ascii="Georgia" w:hAnsi="Georgia" w:cs="Calibri"/>
          <w:sz w:val="22"/>
          <w:szCs w:val="22"/>
          <w:lang w:val="nl-NL"/>
        </w:rPr>
        <w:t xml:space="preserve"> van de algemene ontvanger van Brabant</w:t>
      </w:r>
      <w:r w:rsidRPr="00C140A8">
        <w:rPr>
          <w:rFonts w:ascii="Georgia" w:hAnsi="Georgia" w:cs="Calibri"/>
          <w:sz w:val="22"/>
          <w:szCs w:val="22"/>
          <w:lang w:val="nl-NL"/>
        </w:rPr>
        <w:t xml:space="preserve">, oorkonden en diplomatieke akten uit het Brabantse bestuursapparaat. De rekeningen </w:t>
      </w:r>
      <w:r w:rsidR="00455312">
        <w:rPr>
          <w:rFonts w:ascii="Georgia" w:hAnsi="Georgia" w:cs="Calibri"/>
          <w:sz w:val="22"/>
          <w:szCs w:val="22"/>
          <w:lang w:val="nl-NL"/>
        </w:rPr>
        <w:t>zijn</w:t>
      </w:r>
      <w:r w:rsidRPr="00C140A8">
        <w:rPr>
          <w:rFonts w:ascii="Georgia" w:hAnsi="Georgia" w:cs="Calibri"/>
          <w:sz w:val="22"/>
          <w:szCs w:val="22"/>
          <w:lang w:val="nl-NL"/>
        </w:rPr>
        <w:t xml:space="preserve"> bewaard in het Algemeen Rijksarchief van België te Brussel, in de verzameling van de Rekenkamer van Brabant.</w:t>
      </w:r>
      <w:r w:rsidRPr="00C140A8">
        <w:rPr>
          <w:rStyle w:val="FootnoteReference"/>
          <w:rFonts w:ascii="Georgia" w:hAnsi="Georgia" w:cs="Calibri"/>
          <w:sz w:val="22"/>
          <w:szCs w:val="22"/>
          <w:lang w:val="nl-NL"/>
        </w:rPr>
        <w:footnoteReference w:id="96"/>
      </w:r>
      <w:r w:rsidRPr="00C140A8">
        <w:rPr>
          <w:rFonts w:ascii="Georgia" w:hAnsi="Georgia" w:cs="Calibri"/>
          <w:sz w:val="22"/>
          <w:szCs w:val="22"/>
          <w:lang w:val="nl-NL"/>
        </w:rPr>
        <w:t xml:space="preserve"> </w:t>
      </w:r>
      <w:r w:rsidR="00E61928">
        <w:rPr>
          <w:rFonts w:ascii="Georgia" w:hAnsi="Georgia" w:cs="Calibri"/>
          <w:sz w:val="22"/>
          <w:szCs w:val="22"/>
          <w:lang w:val="nl-NL"/>
        </w:rPr>
        <w:t xml:space="preserve"> </w:t>
      </w:r>
      <w:r w:rsidRPr="00C140A8">
        <w:rPr>
          <w:rFonts w:ascii="Georgia" w:hAnsi="Georgia" w:cs="Calibri"/>
          <w:sz w:val="22"/>
          <w:szCs w:val="22"/>
          <w:lang w:val="nl-NL"/>
        </w:rPr>
        <w:t>Zij registreerden de inkomsten en uitgaven van de hertogen van Brabant en werden jaarlijks opgesteld door de algemene ontvanger van Brabant</w:t>
      </w:r>
      <w:r w:rsidR="00E51CC4">
        <w:rPr>
          <w:rFonts w:ascii="Georgia" w:hAnsi="Georgia" w:cs="Calibri"/>
          <w:sz w:val="22"/>
          <w:szCs w:val="22"/>
          <w:lang w:val="nl-NL"/>
        </w:rPr>
        <w:t xml:space="preserve">, </w:t>
      </w:r>
      <w:r w:rsidR="00D83362">
        <w:rPr>
          <w:rFonts w:ascii="Georgia" w:hAnsi="Georgia" w:cs="Calibri"/>
          <w:sz w:val="22"/>
          <w:szCs w:val="22"/>
          <w:lang w:val="nl-NL"/>
        </w:rPr>
        <w:t xml:space="preserve">Renier </w:t>
      </w:r>
      <w:proofErr w:type="spellStart"/>
      <w:r w:rsidR="00D83362">
        <w:rPr>
          <w:rFonts w:ascii="Georgia" w:hAnsi="Georgia" w:cs="Calibri"/>
          <w:sz w:val="22"/>
          <w:szCs w:val="22"/>
          <w:lang w:val="nl-NL"/>
        </w:rPr>
        <w:t>Hollant</w:t>
      </w:r>
      <w:proofErr w:type="spellEnd"/>
      <w:r w:rsidRPr="00C140A8">
        <w:rPr>
          <w:rStyle w:val="FootnoteReference"/>
          <w:rFonts w:ascii="Georgia" w:hAnsi="Georgia" w:cs="Calibri"/>
          <w:sz w:val="22"/>
          <w:szCs w:val="22"/>
          <w:lang w:val="nl-NL"/>
        </w:rPr>
        <w:t xml:space="preserve"> </w:t>
      </w:r>
      <w:r w:rsidR="00E51CC4">
        <w:rPr>
          <w:rFonts w:ascii="Georgia" w:hAnsi="Georgia" w:cs="Calibri"/>
          <w:sz w:val="22"/>
          <w:szCs w:val="22"/>
          <w:lang w:val="nl-NL"/>
        </w:rPr>
        <w:t>.</w:t>
      </w:r>
      <w:r w:rsidRPr="00C140A8">
        <w:rPr>
          <w:rStyle w:val="FootnoteReference"/>
          <w:rFonts w:ascii="Georgia" w:hAnsi="Georgia" w:cs="Calibri"/>
          <w:sz w:val="22"/>
          <w:szCs w:val="22"/>
          <w:lang w:val="nl-NL"/>
        </w:rPr>
        <w:footnoteReference w:id="97"/>
      </w:r>
      <w:r w:rsidR="00E51CC4">
        <w:rPr>
          <w:rFonts w:ascii="Georgia" w:hAnsi="Georgia" w:cs="Calibri"/>
          <w:sz w:val="22"/>
          <w:szCs w:val="22"/>
          <w:lang w:val="nl-NL"/>
        </w:rPr>
        <w:t xml:space="preserve"> </w:t>
      </w:r>
      <w:r w:rsidR="00F923B9" w:rsidRPr="00F923B9">
        <w:rPr>
          <w:rFonts w:ascii="Georgia" w:hAnsi="Georgia" w:cs="Calibri"/>
          <w:sz w:val="22"/>
          <w:szCs w:val="22"/>
        </w:rPr>
        <w:t xml:space="preserve">Dit onderzoek licht uit de vier jaarrekeningen van 1376-1380 telkens de sectie van de </w:t>
      </w:r>
      <w:r w:rsidR="00F923B9" w:rsidRPr="00F923B9">
        <w:rPr>
          <w:rFonts w:ascii="Georgia" w:hAnsi="Georgia" w:cs="Calibri"/>
          <w:i/>
          <w:iCs/>
          <w:sz w:val="22"/>
          <w:szCs w:val="22"/>
        </w:rPr>
        <w:t>foreine partieën</w:t>
      </w:r>
      <w:r w:rsidR="00F923B9" w:rsidRPr="00F923B9">
        <w:rPr>
          <w:rFonts w:ascii="Georgia" w:hAnsi="Georgia" w:cs="Calibri"/>
          <w:sz w:val="22"/>
          <w:szCs w:val="22"/>
        </w:rPr>
        <w:t xml:space="preserve"> uit</w:t>
      </w:r>
      <w:r w:rsidRPr="00C140A8">
        <w:rPr>
          <w:rFonts w:ascii="Georgia" w:hAnsi="Georgia" w:cs="Calibri"/>
          <w:sz w:val="22"/>
          <w:szCs w:val="22"/>
          <w:lang w:val="nl-NL"/>
        </w:rPr>
        <w:t xml:space="preserve">.  Dit zijn de ‘buitengewone’ of ‘vreemde’ posten. Ze bevatten de bijzondere uitgaven van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en Johanna, zoals fooien voor boden, geschenken, reizen, feesten en bestellingen van uiteenlopende aard, gaande van glasramen tot het herstellen van een bed in het paleis. </w:t>
      </w:r>
      <w:r w:rsidR="00E6460A" w:rsidRPr="00E6460A">
        <w:rPr>
          <w:rFonts w:ascii="Georgia" w:hAnsi="Georgia" w:cs="Calibri"/>
          <w:sz w:val="22"/>
          <w:szCs w:val="22"/>
        </w:rPr>
        <w:t>Geregeld verschaffen deze posten ook informatie over brieven die Johanna en Wenceslas op politieke scharniermomenten verzonden, en bieden zij zo een blik op het diplomatieke verkeer waarin de hertogin actief was</w:t>
      </w:r>
      <w:r w:rsidRPr="00E6460A">
        <w:rPr>
          <w:rFonts w:ascii="Georgia" w:hAnsi="Georgia" w:cs="Calibri"/>
          <w:sz w:val="22"/>
          <w:szCs w:val="22"/>
          <w:lang w:val="nl-NL"/>
        </w:rPr>
        <w:t xml:space="preserve">. </w:t>
      </w:r>
      <w:r w:rsidR="00E6460A">
        <w:rPr>
          <w:rFonts w:ascii="Georgia" w:hAnsi="Georgia" w:cs="Calibri"/>
          <w:sz w:val="22"/>
          <w:szCs w:val="22"/>
          <w:lang w:val="nl-NL"/>
        </w:rPr>
        <w:t>De twee reisrekeningen (1377-1378 en 1379-1380) vullen deze selectie verder aan en geven inzicht in Johanna’s verplaatsingen binnen en buiten het hertogdom.</w:t>
      </w:r>
      <w:r w:rsidR="00E6460A" w:rsidRPr="00E6460A">
        <w:rPr>
          <w:rStyle w:val="FootnoteReference"/>
          <w:rFonts w:ascii="Georgia" w:hAnsi="Georgia" w:cs="Calibri"/>
          <w:sz w:val="22"/>
          <w:szCs w:val="22"/>
          <w:lang w:val="nl-NL"/>
        </w:rPr>
        <w:t xml:space="preserve"> </w:t>
      </w:r>
      <w:r w:rsidR="00E6460A">
        <w:rPr>
          <w:rStyle w:val="FootnoteReference"/>
          <w:rFonts w:ascii="Georgia" w:hAnsi="Georgia" w:cs="Calibri"/>
          <w:sz w:val="22"/>
          <w:szCs w:val="22"/>
          <w:lang w:val="nl-NL"/>
        </w:rPr>
        <w:footnoteReference w:id="98"/>
      </w:r>
    </w:p>
    <w:p w14:paraId="45C831AA" w14:textId="74687134" w:rsidR="00347160" w:rsidRPr="00C140A8" w:rsidRDefault="00347160" w:rsidP="00CA1B6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De voornaamste uitdaging bij deze bron is dat de context van afzonderlijke posten vaak ontbreekt, wat de interpretatie moeilijk maakt. De financiële praktijk van middeleeuwse instellingen werd bovendien gekenmerkt door structurele geldschaarste en het gelijktijdige gebruik van uiteenlopende muntsoorten, wat zowel de werking van deze instellingen als de interpretatie van hun rekeningen complex maakt.</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99"/>
      </w:r>
      <w:r w:rsidRPr="00C140A8">
        <w:rPr>
          <w:rFonts w:ascii="Georgia" w:hAnsi="Georgia" w:cs="Calibri"/>
          <w:sz w:val="22"/>
          <w:szCs w:val="22"/>
          <w:lang w:val="nl-NL"/>
        </w:rPr>
        <w:t xml:space="preserve"> Daarbij komt dat de registratie van de algemene ontvangsten slechts een fractie van de totale geldstromen weergeeft. In Brabant droegen de plaatselijke ontvangers slechts een beperkt deel van hun inkomsten af aan de algemene ontvanger in Brussel, terwijl het overige direct op lokaal niveau werd uitgegeven.</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100"/>
      </w:r>
      <w:r w:rsidRPr="00C140A8">
        <w:rPr>
          <w:rFonts w:ascii="Georgia" w:hAnsi="Georgia" w:cs="Calibri"/>
          <w:sz w:val="22"/>
          <w:szCs w:val="22"/>
          <w:lang w:val="nl-NL"/>
        </w:rPr>
        <w:t xml:space="preserve"> De algemene rekeningen schetsen dus allesbehalve een volledig beeld van de hertogelijke financiën, maar dit onderzoek is niet gericht op een kwantitatief overzicht daarvan. Het gaat om de kwalitatieve analyse van afzonderlijke posten en is geïnteresseerd in welke betalingen Johanna deed, in welke contexten zij optrad en welke middelen zij daarvoor inzette.</w:t>
      </w:r>
      <w:r w:rsidRPr="00C140A8">
        <w:rPr>
          <w:rStyle w:val="FootnoteReference"/>
          <w:rFonts w:ascii="Georgia" w:hAnsi="Georgia" w:cs="Calibri"/>
          <w:sz w:val="22"/>
          <w:szCs w:val="22"/>
          <w:lang w:val="nl-NL"/>
        </w:rPr>
        <w:footnoteReference w:id="101"/>
      </w:r>
      <w:r w:rsidRPr="00C140A8">
        <w:rPr>
          <w:rFonts w:ascii="Georgia" w:hAnsi="Georgia" w:cs="Calibri"/>
          <w:sz w:val="22"/>
          <w:szCs w:val="22"/>
          <w:lang w:val="nl-NL"/>
        </w:rPr>
        <w:t xml:space="preserve">  De rekeningen vormen evenmin de enige administratie van het hertogelijke beheer. </w:t>
      </w:r>
      <w:r w:rsidR="00CA1B68" w:rsidRPr="00CA1B68">
        <w:rPr>
          <w:rFonts w:ascii="Georgia" w:hAnsi="Georgia" w:cs="Calibri"/>
          <w:sz w:val="22"/>
          <w:szCs w:val="22"/>
        </w:rPr>
        <w:t xml:space="preserve">Zo had het </w:t>
      </w:r>
      <w:r w:rsidR="00CA1B68" w:rsidRPr="00CA1B68">
        <w:rPr>
          <w:rFonts w:ascii="Georgia" w:hAnsi="Georgia" w:cs="Calibri"/>
          <w:sz w:val="22"/>
          <w:szCs w:val="22"/>
        </w:rPr>
        <w:lastRenderedPageBreak/>
        <w:t>domein van Binche, zoals in het volgende hoofdstuk aan bod komt, een afzonderlijke administratie die pas tegen het einde van de veertiende eeuw in de algemene administratie te Brussel opging</w:t>
      </w:r>
      <w:r w:rsidR="00CA1B68">
        <w:rPr>
          <w:rFonts w:ascii="Georgia" w:hAnsi="Georgia" w:cs="Calibri"/>
          <w:sz w:val="22"/>
          <w:szCs w:val="22"/>
          <w:lang w:val="nl-NL"/>
        </w:rPr>
        <w:t>. Het</w:t>
      </w:r>
      <w:r w:rsidRPr="00C140A8">
        <w:rPr>
          <w:rFonts w:ascii="Georgia" w:hAnsi="Georgia" w:cs="Calibri"/>
          <w:sz w:val="22"/>
          <w:szCs w:val="22"/>
          <w:lang w:val="nl-NL"/>
        </w:rPr>
        <w:t xml:space="preserve"> tijdsbestek van deze scriptie laat echter enkel toe om de algemene uitgaven te bestuderen.</w:t>
      </w:r>
    </w:p>
    <w:p w14:paraId="1215D42F" w14:textId="2B6ABE2C" w:rsidR="00714C0A" w:rsidRPr="00C140A8" w:rsidRDefault="0034716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Opvallend is de lacune in de Brabantse rekeningen tussen 1374 en augustus 1376. Vanaf de hervatting zijn de rekeningen niet langer in het </w:t>
      </w:r>
      <w:r w:rsidR="00CA1B68">
        <w:rPr>
          <w:rFonts w:ascii="Georgia" w:hAnsi="Georgia" w:cs="Calibri"/>
          <w:sz w:val="22"/>
          <w:szCs w:val="22"/>
          <w:lang w:val="nl-NL"/>
        </w:rPr>
        <w:t>Frans</w:t>
      </w:r>
      <w:r w:rsidRPr="00C140A8">
        <w:rPr>
          <w:rFonts w:ascii="Georgia" w:hAnsi="Georgia" w:cs="Calibri"/>
          <w:sz w:val="22"/>
          <w:szCs w:val="22"/>
          <w:lang w:val="nl-NL"/>
        </w:rPr>
        <w:t xml:space="preserve">, maar in het </w:t>
      </w:r>
      <w:r w:rsidR="00CA1B68">
        <w:rPr>
          <w:rFonts w:ascii="Georgia" w:hAnsi="Georgia" w:cs="Calibri"/>
          <w:sz w:val="22"/>
          <w:szCs w:val="22"/>
          <w:lang w:val="nl-NL"/>
        </w:rPr>
        <w:t>Nederlands</w:t>
      </w:r>
      <w:r w:rsidRPr="00C140A8">
        <w:rPr>
          <w:rFonts w:ascii="Georgia" w:hAnsi="Georgia" w:cs="Calibri"/>
          <w:sz w:val="22"/>
          <w:szCs w:val="22"/>
          <w:lang w:val="nl-NL"/>
        </w:rPr>
        <w:t xml:space="preserve"> opgesteld.</w:t>
      </w:r>
      <w:r w:rsidRPr="00C140A8">
        <w:rPr>
          <w:rStyle w:val="FootnoteReference"/>
          <w:rFonts w:ascii="Georgia" w:hAnsi="Georgia" w:cs="Calibri"/>
          <w:sz w:val="22"/>
          <w:szCs w:val="22"/>
          <w:lang w:val="nl-NL"/>
        </w:rPr>
        <w:footnoteReference w:id="102"/>
      </w:r>
      <w:r w:rsidRPr="00C140A8">
        <w:rPr>
          <w:rFonts w:ascii="Georgia" w:hAnsi="Georgia" w:cs="Calibri"/>
          <w:sz w:val="22"/>
          <w:szCs w:val="22"/>
          <w:lang w:val="nl-NL"/>
        </w:rPr>
        <w:t xml:space="preserve"> Het is plausibel dat deze taalwissel verband houdt met Johanna's actieve betrokkenheid bij de financiële controle van het hertogdom.</w:t>
      </w:r>
      <w:r w:rsidRPr="00C140A8">
        <w:rPr>
          <w:rStyle w:val="FootnoteReference"/>
          <w:rFonts w:ascii="Georgia" w:hAnsi="Georgia" w:cs="Calibri"/>
          <w:sz w:val="22"/>
          <w:szCs w:val="22"/>
          <w:lang w:val="nl-NL"/>
        </w:rPr>
        <w:footnoteReference w:id="103"/>
      </w:r>
      <w:r w:rsidRPr="00C140A8">
        <w:rPr>
          <w:rFonts w:ascii="Georgia" w:hAnsi="Georgia" w:cs="Calibri"/>
          <w:sz w:val="22"/>
          <w:szCs w:val="22"/>
          <w:lang w:val="nl-NL"/>
        </w:rPr>
        <w:t xml:space="preserve"> </w:t>
      </w:r>
      <w:r w:rsidR="00CA1B68">
        <w:rPr>
          <w:rFonts w:ascii="Georgia" w:hAnsi="Georgia" w:cs="Calibri"/>
          <w:sz w:val="22"/>
          <w:szCs w:val="22"/>
          <w:lang w:val="nl-NL"/>
        </w:rPr>
        <w:t xml:space="preserve">Remco </w:t>
      </w:r>
      <w:proofErr w:type="spellStart"/>
      <w:r w:rsidR="00590E6B" w:rsidRPr="00CA1B68">
        <w:rPr>
          <w:rFonts w:ascii="Georgia" w:hAnsi="Georgia" w:cs="Calibri"/>
          <w:sz w:val="22"/>
          <w:szCs w:val="22"/>
          <w:lang w:val="nl-NL"/>
        </w:rPr>
        <w:t>Sleiderink</w:t>
      </w:r>
      <w:proofErr w:type="spellEnd"/>
      <w:r w:rsidR="00590E6B" w:rsidRPr="00CA1B68">
        <w:rPr>
          <w:rFonts w:ascii="Georgia" w:hAnsi="Georgia" w:cs="Calibri"/>
          <w:sz w:val="22"/>
          <w:szCs w:val="22"/>
          <w:lang w:val="nl-NL"/>
        </w:rPr>
        <w:t xml:space="preserve"> stelt dat Peter </w:t>
      </w:r>
      <w:proofErr w:type="spellStart"/>
      <w:r w:rsidR="00590E6B" w:rsidRPr="00CA1B68">
        <w:rPr>
          <w:rFonts w:ascii="Georgia" w:hAnsi="Georgia" w:cs="Calibri"/>
          <w:sz w:val="22"/>
          <w:szCs w:val="22"/>
          <w:lang w:val="nl-NL"/>
        </w:rPr>
        <w:t>Braeu</w:t>
      </w:r>
      <w:proofErr w:type="spellEnd"/>
      <w:r w:rsidR="00A84DB4" w:rsidRPr="00CA1B68">
        <w:rPr>
          <w:rFonts w:ascii="Georgia" w:hAnsi="Georgia" w:cs="Calibri"/>
          <w:sz w:val="22"/>
          <w:szCs w:val="22"/>
          <w:lang w:val="nl-NL"/>
        </w:rPr>
        <w:t>, een hertogelijke ambtenaar en latere secretaris,</w:t>
      </w:r>
      <w:r w:rsidR="0028774E" w:rsidRPr="00CA1B68">
        <w:rPr>
          <w:rFonts w:ascii="Georgia" w:hAnsi="Georgia" w:cs="Calibri"/>
          <w:sz w:val="22"/>
          <w:szCs w:val="22"/>
          <w:lang w:val="nl-NL"/>
        </w:rPr>
        <w:t xml:space="preserve"> dit in haar opdracht deed zodat ze de rekeningen zelf kon nalezen.</w:t>
      </w:r>
      <w:r w:rsidR="00A110E9" w:rsidRPr="00CA1B68">
        <w:rPr>
          <w:rStyle w:val="FootnoteReference"/>
          <w:rFonts w:ascii="Georgia" w:hAnsi="Georgia" w:cs="Calibri"/>
          <w:sz w:val="22"/>
          <w:szCs w:val="22"/>
          <w:lang w:val="nl-NL"/>
        </w:rPr>
        <w:footnoteReference w:id="104"/>
      </w:r>
      <w:r w:rsidR="00A84DB4">
        <w:rPr>
          <w:rFonts w:ascii="Georgia" w:hAnsi="Georgia" w:cs="Calibri"/>
          <w:sz w:val="22"/>
          <w:szCs w:val="22"/>
          <w:lang w:val="nl-NL"/>
        </w:rPr>
        <w:t xml:space="preserve"> </w:t>
      </w:r>
      <w:r w:rsidRPr="00C140A8">
        <w:rPr>
          <w:rFonts w:ascii="Georgia" w:hAnsi="Georgia" w:cs="Calibri"/>
          <w:sz w:val="22"/>
          <w:szCs w:val="22"/>
          <w:lang w:val="nl-NL"/>
        </w:rPr>
        <w:t xml:space="preserve">Een aanvullende aanwijzing in die richting biedt het opschrift </w:t>
      </w:r>
      <w:r w:rsidR="00CA1B68">
        <w:rPr>
          <w:rFonts w:ascii="Georgia" w:hAnsi="Georgia" w:cs="Calibri"/>
          <w:sz w:val="22"/>
          <w:szCs w:val="22"/>
          <w:lang w:val="nl-NL"/>
        </w:rPr>
        <w:t>“</w:t>
      </w:r>
      <w:r w:rsidRPr="00C140A8">
        <w:rPr>
          <w:rFonts w:ascii="Georgia" w:hAnsi="Georgia" w:cs="Calibri"/>
          <w:i/>
          <w:iCs/>
          <w:sz w:val="22"/>
          <w:szCs w:val="22"/>
          <w:lang w:val="nl-NL"/>
        </w:rPr>
        <w:t xml:space="preserve">pro </w:t>
      </w:r>
      <w:proofErr w:type="spellStart"/>
      <w:r w:rsidRPr="00C140A8">
        <w:rPr>
          <w:rFonts w:ascii="Georgia" w:hAnsi="Georgia" w:cs="Calibri"/>
          <w:i/>
          <w:iCs/>
          <w:sz w:val="22"/>
          <w:szCs w:val="22"/>
          <w:lang w:val="nl-NL"/>
        </w:rPr>
        <w:t>ducissa</w:t>
      </w:r>
      <w:proofErr w:type="spellEnd"/>
      <w:r w:rsidRPr="00C140A8">
        <w:rPr>
          <w:rFonts w:ascii="Georgia" w:hAnsi="Georgia" w:cs="Calibri"/>
          <w:i/>
          <w:iCs/>
          <w:sz w:val="22"/>
          <w:szCs w:val="22"/>
          <w:lang w:val="nl-NL"/>
        </w:rPr>
        <w:t>’</w:t>
      </w:r>
      <w:r w:rsidR="00CA1B68">
        <w:rPr>
          <w:rFonts w:ascii="Georgia" w:hAnsi="Georgia" w:cs="Calibri"/>
          <w:sz w:val="22"/>
          <w:szCs w:val="22"/>
          <w:lang w:val="nl-NL"/>
        </w:rPr>
        <w:t>”</w:t>
      </w:r>
      <w:r w:rsidRPr="00C140A8">
        <w:rPr>
          <w:rFonts w:ascii="Georgia" w:hAnsi="Georgia" w:cs="Calibri"/>
          <w:sz w:val="22"/>
          <w:szCs w:val="22"/>
          <w:lang w:val="nl-NL"/>
        </w:rPr>
        <w:t>op de kaft van de rekening, een indicatie dat een kopiist een exemplaar specifiek voor de hertogin vervaardigde.</w:t>
      </w:r>
      <w:r w:rsidRPr="00C140A8">
        <w:rPr>
          <w:rStyle w:val="FootnoteReference"/>
          <w:rFonts w:ascii="Georgia" w:hAnsi="Georgia" w:cs="Calibri"/>
          <w:sz w:val="22"/>
          <w:szCs w:val="22"/>
          <w:lang w:val="nl-NL"/>
        </w:rPr>
        <w:footnoteReference w:id="105"/>
      </w:r>
      <w:r w:rsidRPr="00C140A8">
        <w:rPr>
          <w:rFonts w:ascii="Georgia" w:hAnsi="Georgia" w:cs="Calibri"/>
          <w:sz w:val="22"/>
          <w:szCs w:val="22"/>
          <w:lang w:val="nl-NL"/>
        </w:rPr>
        <w:t xml:space="preserve"> Dit suggereert dat Johanna toezicht hield op en betrokken was bij het financiële beheer van haar hertogdom. </w:t>
      </w:r>
    </w:p>
    <w:p w14:paraId="38FB3B8B" w14:textId="66315C7F" w:rsidR="00F013D3" w:rsidRPr="00BB06BE" w:rsidRDefault="00F013D3" w:rsidP="00192268">
      <w:pPr>
        <w:pStyle w:val="ThesisSub-subheading"/>
        <w:spacing w:before="0"/>
        <w:rPr>
          <w:sz w:val="24"/>
          <w:szCs w:val="24"/>
        </w:rPr>
      </w:pPr>
      <w:r>
        <w:rPr>
          <w:rStyle w:val="Emphasis"/>
          <w:rFonts w:ascii="Georgia" w:hAnsi="Georgia" w:cs="Calibri"/>
          <w:sz w:val="24"/>
          <w:szCs w:val="24"/>
          <w:lang w:val="nl-NL"/>
        </w:rPr>
        <w:t>Oorkonden en akten</w:t>
      </w:r>
    </w:p>
    <w:p w14:paraId="35B151D2" w14:textId="280AEAED" w:rsidR="00347160" w:rsidRPr="00C140A8" w:rsidRDefault="00347160" w:rsidP="00C140A8">
      <w:pPr>
        <w:spacing w:afterLines="80" w:after="192" w:line="360" w:lineRule="auto"/>
        <w:jc w:val="both"/>
        <w:rPr>
          <w:rFonts w:ascii="Georgia" w:hAnsi="Georgia" w:cs="Calibri"/>
          <w:i/>
          <w:iCs/>
          <w:sz w:val="22"/>
          <w:szCs w:val="22"/>
          <w:lang w:val="nl-NL"/>
        </w:rPr>
      </w:pPr>
      <w:r w:rsidRPr="00C140A8">
        <w:rPr>
          <w:rFonts w:ascii="Georgia" w:hAnsi="Georgia" w:cs="Calibri"/>
          <w:sz w:val="22"/>
          <w:szCs w:val="22"/>
          <w:lang w:val="nl-NL"/>
        </w:rPr>
        <w:t xml:space="preserve">Naast de rekeningen maakt dit onderzoek gebruik van twee reeksen oorkonden en officiële akten. Alphonse </w:t>
      </w:r>
      <w:proofErr w:type="spellStart"/>
      <w:r w:rsidRPr="00C140A8">
        <w:rPr>
          <w:rFonts w:ascii="Georgia" w:hAnsi="Georgia" w:cs="Calibri"/>
          <w:sz w:val="22"/>
          <w:szCs w:val="22"/>
          <w:lang w:val="nl-NL"/>
        </w:rPr>
        <w:t>Verkooren</w:t>
      </w:r>
      <w:proofErr w:type="spellEnd"/>
      <w:r w:rsidRPr="00C140A8">
        <w:rPr>
          <w:rFonts w:ascii="Georgia" w:hAnsi="Georgia" w:cs="Calibri"/>
          <w:sz w:val="22"/>
          <w:szCs w:val="22"/>
          <w:lang w:val="nl-NL"/>
        </w:rPr>
        <w:t xml:space="preserve"> bundelde twee reeksen oorkonden van Brabant en Limburg, die van Luxemburg blijven hier buiten beschouwing.</w:t>
      </w:r>
      <w:r w:rsidRPr="00C140A8">
        <w:rPr>
          <w:rStyle w:val="FootnoteReference"/>
          <w:rFonts w:ascii="Georgia" w:hAnsi="Georgia" w:cs="Calibri"/>
          <w:sz w:val="22"/>
          <w:szCs w:val="22"/>
          <w:lang w:val="nl-NL"/>
        </w:rPr>
        <w:footnoteReference w:id="106"/>
      </w:r>
      <w:r w:rsidRPr="00C140A8">
        <w:rPr>
          <w:rFonts w:ascii="Georgia" w:hAnsi="Georgia" w:cs="Calibri"/>
          <w:sz w:val="22"/>
          <w:szCs w:val="22"/>
          <w:lang w:val="nl-NL"/>
        </w:rPr>
        <w:t xml:space="preserve"> De eerste reeks betreft de </w:t>
      </w:r>
      <w:proofErr w:type="spellStart"/>
      <w:r w:rsidRPr="00C140A8">
        <w:rPr>
          <w:rFonts w:ascii="Georgia" w:hAnsi="Georgia" w:cs="Calibri"/>
          <w:i/>
          <w:iCs/>
          <w:sz w:val="22"/>
          <w:szCs w:val="22"/>
          <w:lang w:val="nl-NL"/>
        </w:rPr>
        <w:t>cartularia</w:t>
      </w:r>
      <w:proofErr w:type="spellEnd"/>
      <w:r w:rsidRPr="00C140A8">
        <w:rPr>
          <w:rFonts w:ascii="Georgia" w:hAnsi="Georgia" w:cs="Calibri"/>
          <w:sz w:val="22"/>
          <w:szCs w:val="22"/>
          <w:lang w:val="nl-NL"/>
        </w:rPr>
        <w:t xml:space="preserve">. Een </w:t>
      </w:r>
      <w:proofErr w:type="spellStart"/>
      <w:r w:rsidRPr="00C140A8">
        <w:rPr>
          <w:rFonts w:ascii="Georgia" w:hAnsi="Georgia" w:cs="Calibri"/>
          <w:i/>
          <w:iCs/>
          <w:sz w:val="22"/>
          <w:szCs w:val="22"/>
          <w:lang w:val="nl-NL"/>
        </w:rPr>
        <w:t>cartularium</w:t>
      </w:r>
      <w:proofErr w:type="spellEnd"/>
      <w:r w:rsidRPr="00C140A8">
        <w:rPr>
          <w:rFonts w:ascii="Georgia" w:hAnsi="Georgia" w:cs="Calibri"/>
          <w:sz w:val="22"/>
          <w:szCs w:val="22"/>
          <w:lang w:val="nl-NL"/>
        </w:rPr>
        <w:t xml:space="preserve"> is een chronologisch of geordende verzameling oorkonden, getranscribeerd op perkament of papier en samengebonden tot een codex.</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107"/>
      </w:r>
      <w:r w:rsidRPr="00C140A8">
        <w:rPr>
          <w:rFonts w:ascii="Georgia" w:hAnsi="Georgia" w:cs="Calibri"/>
          <w:sz w:val="22"/>
          <w:szCs w:val="22"/>
          <w:lang w:val="nl-NL"/>
        </w:rPr>
        <w:t xml:space="preserve"> Doorgaans benaderen </w:t>
      </w:r>
      <w:proofErr w:type="spellStart"/>
      <w:r w:rsidRPr="001E08FF">
        <w:rPr>
          <w:rFonts w:ascii="Georgia" w:hAnsi="Georgia" w:cs="Calibri"/>
          <w:i/>
          <w:iCs/>
          <w:sz w:val="22"/>
          <w:szCs w:val="22"/>
          <w:lang w:val="nl-NL"/>
        </w:rPr>
        <w:t>cartularia</w:t>
      </w:r>
      <w:proofErr w:type="spellEnd"/>
      <w:r w:rsidRPr="00C140A8">
        <w:rPr>
          <w:rFonts w:ascii="Georgia" w:hAnsi="Georgia" w:cs="Calibri"/>
          <w:sz w:val="22"/>
          <w:szCs w:val="22"/>
          <w:lang w:val="nl-NL"/>
        </w:rPr>
        <w:t xml:space="preserve"> het opschrift vanuit het perspectief van de begunstigde. Zij brengen de oorkonden samen die aan één bepaalde persoon of instelling werden verleend.</w:t>
      </w:r>
      <w:r w:rsidRPr="00C140A8">
        <w:rPr>
          <w:rStyle w:val="FootnoteReference"/>
          <w:rFonts w:ascii="Georgia" w:hAnsi="Georgia" w:cs="Calibri"/>
          <w:sz w:val="22"/>
          <w:szCs w:val="22"/>
          <w:lang w:val="nl-NL"/>
        </w:rPr>
        <w:footnoteReference w:id="108"/>
      </w:r>
      <w:r w:rsidRPr="00C140A8">
        <w:rPr>
          <w:rFonts w:ascii="Georgia" w:hAnsi="Georgia" w:cs="Calibri"/>
          <w:sz w:val="22"/>
          <w:szCs w:val="22"/>
          <w:lang w:val="nl-NL"/>
        </w:rPr>
        <w:t xml:space="preserve"> De door </w:t>
      </w:r>
      <w:proofErr w:type="spellStart"/>
      <w:r w:rsidRPr="00C140A8">
        <w:rPr>
          <w:rFonts w:ascii="Georgia" w:hAnsi="Georgia" w:cs="Calibri"/>
          <w:sz w:val="22"/>
          <w:szCs w:val="22"/>
          <w:lang w:val="nl-NL"/>
        </w:rPr>
        <w:t>Verkooren</w:t>
      </w:r>
      <w:proofErr w:type="spellEnd"/>
      <w:r w:rsidRPr="00C140A8">
        <w:rPr>
          <w:rFonts w:ascii="Georgia" w:hAnsi="Georgia" w:cs="Calibri"/>
          <w:sz w:val="22"/>
          <w:szCs w:val="22"/>
          <w:lang w:val="nl-NL"/>
        </w:rPr>
        <w:t xml:space="preserve"> samengestelde reeks volgt echter een breder, territoriaal Brabants perspectief.</w:t>
      </w:r>
      <w:r w:rsidRPr="00C140A8">
        <w:rPr>
          <w:rStyle w:val="FootnoteReference"/>
          <w:rFonts w:ascii="Georgia" w:hAnsi="Georgia" w:cs="Calibri"/>
          <w:sz w:val="22"/>
          <w:szCs w:val="22"/>
          <w:lang w:val="nl-NL"/>
        </w:rPr>
        <w:footnoteReference w:id="109"/>
      </w:r>
      <w:r w:rsidRPr="00C140A8">
        <w:rPr>
          <w:rFonts w:ascii="Georgia" w:hAnsi="Georgia" w:cs="Calibri"/>
          <w:sz w:val="22"/>
          <w:szCs w:val="22"/>
          <w:lang w:val="nl-NL"/>
        </w:rPr>
        <w:t xml:space="preserve"> Zij bevat niet uitsluitend oorkonden uitgevaardigd door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en Johanna, maar ook akten van bijvoorbeeld de Vlaamse graaf en de Duitse keizer, telkens met betrekking tot Brabant of Brabantse aangelegenheden. Toch is een kritische omgang met deze bronnen noodzakelijk. De selectie van </w:t>
      </w:r>
      <w:proofErr w:type="spellStart"/>
      <w:r w:rsidRPr="00C140A8">
        <w:rPr>
          <w:rFonts w:ascii="Georgia" w:hAnsi="Georgia" w:cs="Calibri"/>
          <w:sz w:val="22"/>
          <w:szCs w:val="22"/>
          <w:lang w:val="nl-NL"/>
        </w:rPr>
        <w:t>Verkooren</w:t>
      </w:r>
      <w:proofErr w:type="spellEnd"/>
      <w:r w:rsidRPr="00C140A8">
        <w:rPr>
          <w:rFonts w:ascii="Georgia" w:hAnsi="Georgia" w:cs="Calibri"/>
          <w:sz w:val="22"/>
          <w:szCs w:val="22"/>
          <w:lang w:val="nl-NL"/>
        </w:rPr>
        <w:t xml:space="preserve"> is thematisch en bestrijkt geen aaneengesloten periode, maar weerspiegelt veeleer de criteria die de samensteller zelf relevant vond, met in het achterhoofd de negentiende- en vroeg twintigste-eeuwse historiografische conventies.</w:t>
      </w:r>
    </w:p>
    <w:p w14:paraId="2A2936BA" w14:textId="17BA6617" w:rsidR="00714C0A" w:rsidRPr="00C140A8" w:rsidRDefault="00347160" w:rsidP="00F122AC">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lastRenderedPageBreak/>
        <w:t xml:space="preserve">De tweede reeks die </w:t>
      </w:r>
      <w:proofErr w:type="spellStart"/>
      <w:r w:rsidRPr="00C140A8">
        <w:rPr>
          <w:rFonts w:ascii="Georgia" w:hAnsi="Georgia" w:cs="Calibri"/>
          <w:sz w:val="22"/>
          <w:szCs w:val="22"/>
          <w:lang w:val="nl-NL"/>
        </w:rPr>
        <w:t>Verkooren</w:t>
      </w:r>
      <w:proofErr w:type="spellEnd"/>
      <w:r w:rsidRPr="00C140A8">
        <w:rPr>
          <w:rFonts w:ascii="Georgia" w:hAnsi="Georgia" w:cs="Calibri"/>
          <w:sz w:val="22"/>
          <w:szCs w:val="22"/>
          <w:lang w:val="nl-NL"/>
        </w:rPr>
        <w:t xml:space="preserve"> uitgaf, bestaat uit </w:t>
      </w:r>
      <w:proofErr w:type="spellStart"/>
      <w:r w:rsidRPr="00C140A8">
        <w:rPr>
          <w:rFonts w:ascii="Georgia" w:hAnsi="Georgia" w:cs="Calibri"/>
          <w:i/>
          <w:iCs/>
          <w:sz w:val="22"/>
          <w:szCs w:val="22"/>
          <w:lang w:val="nl-NL"/>
        </w:rPr>
        <w:t>vidimi</w:t>
      </w:r>
      <w:proofErr w:type="spellEnd"/>
      <w:r w:rsidRPr="00C140A8">
        <w:rPr>
          <w:rFonts w:ascii="Georgia" w:hAnsi="Georgia" w:cs="Calibri"/>
          <w:sz w:val="22"/>
          <w:szCs w:val="22"/>
          <w:lang w:val="nl-NL"/>
        </w:rPr>
        <w:t xml:space="preserve">. Een </w:t>
      </w:r>
      <w:proofErr w:type="spellStart"/>
      <w:r w:rsidRPr="00C140A8">
        <w:rPr>
          <w:rFonts w:ascii="Georgia" w:hAnsi="Georgia" w:cs="Calibri"/>
          <w:i/>
          <w:iCs/>
          <w:sz w:val="22"/>
          <w:szCs w:val="22"/>
          <w:lang w:val="nl-NL"/>
        </w:rPr>
        <w:t>vidimus</w:t>
      </w:r>
      <w:proofErr w:type="spellEnd"/>
      <w:r w:rsidRPr="00C140A8">
        <w:rPr>
          <w:rFonts w:ascii="Georgia" w:hAnsi="Georgia" w:cs="Calibri"/>
          <w:sz w:val="22"/>
          <w:szCs w:val="22"/>
          <w:lang w:val="nl-NL"/>
        </w:rPr>
        <w:t xml:space="preserve"> is een door een gemachtigde autoriteit getranscribeerde kopie van een eerdere oorkonde, waarin de bevestigende instantie verklaart het origineel te hebben gezien.</w:t>
      </w:r>
      <w:r w:rsidRPr="00C140A8">
        <w:rPr>
          <w:rStyle w:val="FootnoteReference"/>
          <w:rFonts w:ascii="Georgia" w:hAnsi="Georgia" w:cs="Calibri"/>
          <w:sz w:val="22"/>
          <w:szCs w:val="22"/>
          <w:lang w:val="nl-NL"/>
        </w:rPr>
        <w:footnoteReference w:id="110"/>
      </w:r>
      <w:r w:rsidRPr="00C140A8">
        <w:rPr>
          <w:rFonts w:ascii="Georgia" w:hAnsi="Georgia" w:cs="Calibri"/>
          <w:sz w:val="22"/>
          <w:szCs w:val="22"/>
          <w:lang w:val="nl-NL"/>
        </w:rPr>
        <w:t xml:space="preserve">  De door </w:t>
      </w:r>
      <w:proofErr w:type="spellStart"/>
      <w:r w:rsidRPr="00C140A8">
        <w:rPr>
          <w:rFonts w:ascii="Georgia" w:hAnsi="Georgia" w:cs="Calibri"/>
          <w:sz w:val="22"/>
          <w:szCs w:val="22"/>
          <w:lang w:val="nl-NL"/>
        </w:rPr>
        <w:t>Verkooren</w:t>
      </w:r>
      <w:proofErr w:type="spellEnd"/>
      <w:r w:rsidRPr="00C140A8">
        <w:rPr>
          <w:rFonts w:ascii="Georgia" w:hAnsi="Georgia" w:cs="Calibri"/>
          <w:sz w:val="22"/>
          <w:szCs w:val="22"/>
          <w:lang w:val="nl-NL"/>
        </w:rPr>
        <w:t xml:space="preserve"> gebundelde </w:t>
      </w:r>
      <w:proofErr w:type="spellStart"/>
      <w:r w:rsidRPr="00C140A8">
        <w:rPr>
          <w:rFonts w:ascii="Georgia" w:hAnsi="Georgia" w:cs="Calibri"/>
          <w:i/>
          <w:iCs/>
          <w:sz w:val="22"/>
          <w:szCs w:val="22"/>
          <w:lang w:val="nl-NL"/>
        </w:rPr>
        <w:t>vidimi</w:t>
      </w:r>
      <w:proofErr w:type="spellEnd"/>
      <w:r w:rsidRPr="00C140A8">
        <w:rPr>
          <w:rFonts w:ascii="Georgia" w:hAnsi="Georgia" w:cs="Calibri"/>
          <w:sz w:val="22"/>
          <w:szCs w:val="22"/>
          <w:lang w:val="nl-NL"/>
        </w:rPr>
        <w:t xml:space="preserve"> zijn overwegend financieel en </w:t>
      </w:r>
      <w:proofErr w:type="spellStart"/>
      <w:r w:rsidRPr="00C140A8">
        <w:rPr>
          <w:rFonts w:ascii="Georgia" w:hAnsi="Georgia" w:cs="Calibri"/>
          <w:sz w:val="22"/>
          <w:szCs w:val="22"/>
          <w:lang w:val="nl-NL"/>
        </w:rPr>
        <w:t>transactioneel</w:t>
      </w:r>
      <w:proofErr w:type="spellEnd"/>
      <w:r w:rsidRPr="00C140A8">
        <w:rPr>
          <w:rFonts w:ascii="Georgia" w:hAnsi="Georgia" w:cs="Calibri"/>
          <w:sz w:val="22"/>
          <w:szCs w:val="22"/>
          <w:lang w:val="nl-NL"/>
        </w:rPr>
        <w:t xml:space="preserve"> van aard.</w:t>
      </w:r>
      <w:r w:rsidRPr="00C140A8">
        <w:rPr>
          <w:rStyle w:val="FootnoteReference"/>
          <w:rFonts w:ascii="Georgia" w:hAnsi="Georgia" w:cs="Calibri"/>
          <w:sz w:val="22"/>
          <w:szCs w:val="22"/>
          <w:lang w:val="nl-NL"/>
        </w:rPr>
        <w:footnoteReference w:id="111"/>
      </w:r>
      <w:r w:rsidRPr="00C140A8">
        <w:rPr>
          <w:rFonts w:ascii="Georgia" w:hAnsi="Georgia" w:cs="Calibri"/>
          <w:sz w:val="22"/>
          <w:szCs w:val="22"/>
          <w:lang w:val="nl-NL"/>
        </w:rPr>
        <w:t xml:space="preserve"> Het gaat vrijwel uitsluitend om betalingen aan instellingen en personen of om de vereffening van schulden. Ze gaan ook buiten de grenzen van Brabant, en geven vele transacties </w:t>
      </w:r>
      <w:proofErr w:type="gramStart"/>
      <w:r w:rsidRPr="00C140A8">
        <w:rPr>
          <w:rFonts w:ascii="Georgia" w:hAnsi="Georgia" w:cs="Calibri"/>
          <w:sz w:val="22"/>
          <w:szCs w:val="22"/>
          <w:lang w:val="nl-NL"/>
        </w:rPr>
        <w:t>betreffende</w:t>
      </w:r>
      <w:proofErr w:type="gramEnd"/>
      <w:r w:rsidRPr="00C140A8">
        <w:rPr>
          <w:rFonts w:ascii="Georgia" w:hAnsi="Georgia" w:cs="Calibri"/>
          <w:sz w:val="22"/>
          <w:szCs w:val="22"/>
          <w:lang w:val="nl-NL"/>
        </w:rPr>
        <w:t xml:space="preserve"> Johanna’s weduwegoederen in Holland en Henegouwen weer. Deze reeks geeft echter geen totaalbeeld weer. Bepaalde transacties zijn enkel in de rekeningen terug te vinden, andere uitsluitend in de oorkonden, en geen van beide reeksen geeft op zichzelf een volledig overzicht. Toch kan een combinatie van beide bronreeksen een genuanceerder beeld bieden van Johanna's concrete bijdrage aan het bestuur.</w:t>
      </w:r>
    </w:p>
    <w:p w14:paraId="11F20EE3" w14:textId="4C39C25F" w:rsidR="00F013D3" w:rsidRPr="00BB06BE" w:rsidRDefault="00F013D3" w:rsidP="00192268">
      <w:pPr>
        <w:pStyle w:val="ThesisSub-subheading"/>
        <w:rPr>
          <w:sz w:val="24"/>
          <w:szCs w:val="24"/>
        </w:rPr>
      </w:pPr>
      <w:r>
        <w:rPr>
          <w:rStyle w:val="Emphasis"/>
          <w:rFonts w:ascii="Georgia" w:hAnsi="Georgia" w:cs="Calibri"/>
          <w:sz w:val="24"/>
          <w:szCs w:val="24"/>
          <w:lang w:val="nl-NL"/>
        </w:rPr>
        <w:t>Notities over geld</w:t>
      </w:r>
    </w:p>
    <w:p w14:paraId="18B52CE1" w14:textId="3B776F38" w:rsidR="00347160" w:rsidRPr="00C140A8" w:rsidRDefault="0034716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Het werken met administratieve en financiële bronnen vereist tot slot een kleine opmerking over geld. Hoewel de </w:t>
      </w:r>
      <w:r w:rsidR="001E08FF">
        <w:rPr>
          <w:rFonts w:ascii="Georgia" w:hAnsi="Georgia" w:cs="Calibri"/>
          <w:sz w:val="22"/>
          <w:szCs w:val="22"/>
          <w:lang w:val="nl-NL"/>
        </w:rPr>
        <w:t>Nederlanden</w:t>
      </w:r>
      <w:r w:rsidRPr="00C140A8">
        <w:rPr>
          <w:rFonts w:ascii="Georgia" w:hAnsi="Georgia" w:cs="Calibri"/>
          <w:sz w:val="22"/>
          <w:szCs w:val="22"/>
          <w:lang w:val="nl-NL"/>
        </w:rPr>
        <w:t xml:space="preserve"> in de late veertiende eeuw sterk </w:t>
      </w:r>
      <w:proofErr w:type="spellStart"/>
      <w:r w:rsidRPr="00C140A8">
        <w:rPr>
          <w:rFonts w:ascii="Georgia" w:hAnsi="Georgia" w:cs="Calibri"/>
          <w:sz w:val="22"/>
          <w:szCs w:val="22"/>
          <w:lang w:val="nl-NL"/>
        </w:rPr>
        <w:t>gemonetariseerd</w:t>
      </w:r>
      <w:proofErr w:type="spellEnd"/>
      <w:r w:rsidRPr="00C140A8">
        <w:rPr>
          <w:rFonts w:ascii="Georgia" w:hAnsi="Georgia" w:cs="Calibri"/>
          <w:sz w:val="22"/>
          <w:szCs w:val="22"/>
          <w:lang w:val="nl-NL"/>
        </w:rPr>
        <w:t xml:space="preserve"> waren, blijven betalingen in natura veelvuldig voorkomen.</w:t>
      </w:r>
      <w:r w:rsidRPr="00C140A8">
        <w:rPr>
          <w:rStyle w:val="FootnoteReference"/>
          <w:rFonts w:ascii="Georgia" w:hAnsi="Georgia" w:cs="Calibri"/>
          <w:sz w:val="22"/>
          <w:szCs w:val="22"/>
          <w:lang w:val="nl-NL"/>
        </w:rPr>
        <w:footnoteReference w:id="112"/>
      </w:r>
      <w:r w:rsidRPr="00C140A8">
        <w:rPr>
          <w:rFonts w:ascii="Georgia" w:hAnsi="Georgia" w:cs="Calibri"/>
          <w:sz w:val="22"/>
          <w:szCs w:val="22"/>
          <w:lang w:val="nl-NL"/>
        </w:rPr>
        <w:t xml:space="preserve"> Zowel in de algemene ontvangsten als in de </w:t>
      </w:r>
      <w:proofErr w:type="spellStart"/>
      <w:r w:rsidRPr="00C140A8">
        <w:rPr>
          <w:rFonts w:ascii="Georgia" w:hAnsi="Georgia" w:cs="Calibri"/>
          <w:i/>
          <w:iCs/>
          <w:sz w:val="22"/>
          <w:szCs w:val="22"/>
          <w:lang w:val="nl-NL"/>
        </w:rPr>
        <w:t>vidimi</w:t>
      </w:r>
      <w:proofErr w:type="spellEnd"/>
      <w:r w:rsidRPr="00C140A8">
        <w:rPr>
          <w:rFonts w:ascii="Georgia" w:hAnsi="Georgia" w:cs="Calibri"/>
          <w:sz w:val="22"/>
          <w:szCs w:val="22"/>
          <w:lang w:val="nl-NL"/>
        </w:rPr>
        <w:t xml:space="preserve"> zijn posten terug te vinden waarvoor geen fysiek geld werd ingezet, maar kwamen veelal betalingen in mudden tarwe, haver of brandhout voort. Zo werd in 1379 een groot deel van de uitbetalingen verbonden aan de slag bij </w:t>
      </w:r>
      <w:proofErr w:type="spellStart"/>
      <w:r w:rsidRPr="00C140A8">
        <w:rPr>
          <w:rFonts w:ascii="Georgia" w:hAnsi="Georgia" w:cs="Calibri"/>
          <w:sz w:val="22"/>
          <w:szCs w:val="22"/>
          <w:lang w:val="nl-NL"/>
        </w:rPr>
        <w:t>Baesweiler</w:t>
      </w:r>
      <w:proofErr w:type="spellEnd"/>
      <w:r w:rsidRPr="00C140A8">
        <w:rPr>
          <w:rFonts w:ascii="Georgia" w:hAnsi="Georgia" w:cs="Calibri"/>
          <w:sz w:val="22"/>
          <w:szCs w:val="22"/>
          <w:lang w:val="nl-NL"/>
        </w:rPr>
        <w:t xml:space="preserve"> in schapen voldaan.</w:t>
      </w:r>
      <w:r w:rsidRPr="00C140A8">
        <w:rPr>
          <w:rStyle w:val="FootnoteReference"/>
          <w:rFonts w:ascii="Georgia" w:hAnsi="Georgia" w:cs="Calibri"/>
          <w:sz w:val="22"/>
          <w:szCs w:val="22"/>
          <w:lang w:val="nl-NL"/>
        </w:rPr>
        <w:footnoteReference w:id="113"/>
      </w:r>
    </w:p>
    <w:p w14:paraId="4B3BC4E1" w14:textId="5C772D3D" w:rsidR="005D670D" w:rsidRPr="00C140A8" w:rsidRDefault="00635768" w:rsidP="00C140A8">
      <w:pPr>
        <w:spacing w:afterLines="80" w:after="192" w:line="360" w:lineRule="auto"/>
        <w:jc w:val="both"/>
        <w:rPr>
          <w:rFonts w:ascii="Georgia" w:hAnsi="Georgia" w:cs="Calibri"/>
          <w:sz w:val="22"/>
          <w:szCs w:val="22"/>
          <w:lang w:val="nl-NL"/>
        </w:rPr>
      </w:pPr>
      <w:r w:rsidRPr="00635768">
        <w:rPr>
          <w:rFonts w:ascii="Georgia" w:hAnsi="Georgia" w:cs="Calibri"/>
          <w:sz w:val="22"/>
          <w:szCs w:val="22"/>
        </w:rPr>
        <w:t xml:space="preserve">Wanneer contante betalingen dan wel plaatsvonden, </w:t>
      </w:r>
      <w:r>
        <w:rPr>
          <w:rFonts w:ascii="Georgia" w:hAnsi="Georgia" w:cs="Calibri"/>
          <w:sz w:val="22"/>
          <w:szCs w:val="22"/>
        </w:rPr>
        <w:t>handelde</w:t>
      </w:r>
      <w:r w:rsidRPr="00635768">
        <w:rPr>
          <w:rFonts w:ascii="Georgia" w:hAnsi="Georgia" w:cs="Calibri"/>
          <w:sz w:val="22"/>
          <w:szCs w:val="22"/>
        </w:rPr>
        <w:t xml:space="preserve"> men </w:t>
      </w:r>
      <w:r>
        <w:rPr>
          <w:rFonts w:ascii="Georgia" w:hAnsi="Georgia" w:cs="Calibri"/>
          <w:sz w:val="22"/>
          <w:szCs w:val="22"/>
        </w:rPr>
        <w:t>met een</w:t>
      </w:r>
      <w:r w:rsidRPr="00635768">
        <w:rPr>
          <w:rFonts w:ascii="Georgia" w:hAnsi="Georgia" w:cs="Calibri"/>
          <w:sz w:val="22"/>
          <w:szCs w:val="22"/>
        </w:rPr>
        <w:t xml:space="preserve"> allesbehalve uniform muntstelsel</w:t>
      </w:r>
      <w:r>
        <w:rPr>
          <w:rFonts w:ascii="Georgia" w:hAnsi="Georgia" w:cs="Calibri"/>
          <w:i/>
          <w:iCs/>
          <w:sz w:val="22"/>
          <w:szCs w:val="22"/>
        </w:rPr>
        <w:t>.</w:t>
      </w:r>
      <w:r w:rsidRPr="00635768">
        <w:rPr>
          <w:rFonts w:ascii="Georgia" w:hAnsi="Georgia" w:cs="Calibri"/>
          <w:sz w:val="22"/>
          <w:szCs w:val="22"/>
          <w:lang w:val="nl-NL"/>
        </w:rPr>
        <w:t xml:space="preserve"> </w:t>
      </w:r>
      <w:r w:rsidR="00347160" w:rsidRPr="00C140A8">
        <w:rPr>
          <w:rFonts w:ascii="Georgia" w:hAnsi="Georgia" w:cs="Calibri"/>
          <w:sz w:val="22"/>
          <w:szCs w:val="22"/>
          <w:lang w:val="nl-NL"/>
        </w:rPr>
        <w:t>Daarbij moet een goed onderscheid gemaakt worden tussen de reële munten en de rekenmunten.</w:t>
      </w:r>
      <w:r w:rsidR="00347160" w:rsidRPr="00C140A8">
        <w:rPr>
          <w:rStyle w:val="FootnoteReference"/>
          <w:rFonts w:ascii="Georgia" w:hAnsi="Georgia" w:cs="Calibri"/>
          <w:sz w:val="22"/>
          <w:szCs w:val="22"/>
          <w:lang w:val="nl-NL"/>
        </w:rPr>
        <w:footnoteReference w:id="114"/>
      </w:r>
      <w:r w:rsidR="00347160" w:rsidRPr="00C140A8">
        <w:rPr>
          <w:rFonts w:ascii="Georgia" w:hAnsi="Georgia" w:cs="Calibri"/>
          <w:sz w:val="22"/>
          <w:szCs w:val="22"/>
          <w:lang w:val="nl-NL"/>
        </w:rPr>
        <w:t xml:space="preserve"> In de </w:t>
      </w:r>
      <w:proofErr w:type="spellStart"/>
      <w:r w:rsidR="00347160" w:rsidRPr="00C140A8">
        <w:rPr>
          <w:rFonts w:ascii="Georgia" w:hAnsi="Georgia" w:cs="Calibri"/>
          <w:i/>
          <w:iCs/>
          <w:sz w:val="22"/>
          <w:szCs w:val="22"/>
          <w:lang w:val="nl-NL"/>
        </w:rPr>
        <w:t>vidimi</w:t>
      </w:r>
      <w:proofErr w:type="spellEnd"/>
      <w:r w:rsidR="00347160" w:rsidRPr="00C140A8">
        <w:rPr>
          <w:rFonts w:ascii="Georgia" w:hAnsi="Georgia" w:cs="Calibri"/>
          <w:sz w:val="22"/>
          <w:szCs w:val="22"/>
          <w:lang w:val="nl-NL"/>
        </w:rPr>
        <w:t xml:space="preserve"> komen quasi alle muntsoorten voor die in omgang waren in Brabant op dat moment. Van oude schilden tot </w:t>
      </w:r>
      <w:proofErr w:type="spellStart"/>
      <w:r w:rsidR="00347160" w:rsidRPr="00C140A8">
        <w:rPr>
          <w:rFonts w:ascii="Georgia" w:hAnsi="Georgia" w:cs="Calibri"/>
          <w:sz w:val="22"/>
          <w:szCs w:val="22"/>
          <w:lang w:val="nl-NL"/>
        </w:rPr>
        <w:t>écus</w:t>
      </w:r>
      <w:proofErr w:type="spellEnd"/>
      <w:r w:rsidR="00347160" w:rsidRPr="00C140A8">
        <w:rPr>
          <w:rFonts w:ascii="Georgia" w:hAnsi="Georgia" w:cs="Calibri"/>
          <w:sz w:val="22"/>
          <w:szCs w:val="22"/>
          <w:lang w:val="nl-NL"/>
        </w:rPr>
        <w:t xml:space="preserve">, gulden en ponden, etc. De rekeningen zijn ook </w:t>
      </w:r>
      <w:r w:rsidR="00787569" w:rsidRPr="00C140A8">
        <w:rPr>
          <w:rFonts w:ascii="Georgia" w:hAnsi="Georgia" w:cs="Calibri"/>
          <w:sz w:val="22"/>
          <w:szCs w:val="22"/>
          <w:lang w:val="nl-NL"/>
        </w:rPr>
        <w:t>alles</w:t>
      </w:r>
      <w:r w:rsidR="00787569">
        <w:rPr>
          <w:rFonts w:ascii="Georgia" w:hAnsi="Georgia" w:cs="Calibri"/>
          <w:sz w:val="22"/>
          <w:szCs w:val="22"/>
          <w:lang w:val="nl-NL"/>
        </w:rPr>
        <w:t>behalve</w:t>
      </w:r>
      <w:r w:rsidR="00347160" w:rsidRPr="00C140A8">
        <w:rPr>
          <w:rFonts w:ascii="Georgia" w:hAnsi="Georgia" w:cs="Calibri"/>
          <w:sz w:val="22"/>
          <w:szCs w:val="22"/>
          <w:lang w:val="nl-NL"/>
        </w:rPr>
        <w:t xml:space="preserve"> uniform. </w:t>
      </w:r>
      <w:r w:rsidR="00787569" w:rsidRPr="00787569">
        <w:rPr>
          <w:rFonts w:ascii="Georgia" w:hAnsi="Georgia" w:cs="Calibri"/>
          <w:sz w:val="22"/>
          <w:szCs w:val="22"/>
        </w:rPr>
        <w:t>Voor de jaren 1376</w:t>
      </w:r>
      <w:r w:rsidR="00787569">
        <w:rPr>
          <w:rFonts w:ascii="Georgia" w:hAnsi="Georgia" w:cs="Calibri"/>
          <w:sz w:val="22"/>
          <w:szCs w:val="22"/>
        </w:rPr>
        <w:t>-</w:t>
      </w:r>
      <w:r w:rsidR="00787569" w:rsidRPr="00787569">
        <w:rPr>
          <w:rFonts w:ascii="Georgia" w:hAnsi="Georgia" w:cs="Calibri"/>
          <w:sz w:val="22"/>
          <w:szCs w:val="22"/>
        </w:rPr>
        <w:t>1378 noteren de rekeningen de bedragen overwegend in mouttoenen en Vlaamse groten, met sporadisch een omrekening naar de waarde in gouden pieters</w:t>
      </w:r>
      <w:r w:rsidR="00347160" w:rsidRPr="00787569">
        <w:rPr>
          <w:rFonts w:ascii="Georgia" w:hAnsi="Georgia" w:cs="Calibri"/>
          <w:sz w:val="22"/>
          <w:szCs w:val="22"/>
          <w:lang w:val="nl-NL"/>
        </w:rPr>
        <w:t>.</w:t>
      </w:r>
      <w:r w:rsidR="00347160" w:rsidRPr="00C140A8">
        <w:rPr>
          <w:rFonts w:ascii="Georgia" w:hAnsi="Georgia" w:cs="Calibri"/>
          <w:sz w:val="22"/>
          <w:szCs w:val="22"/>
          <w:lang w:val="nl-NL"/>
        </w:rPr>
        <w:t xml:space="preserve"> Deze munten waren al in omloop sinds de Vrede van Ath, waarmee de Brabantse successieoorlog eindigde en Johanna's regeerperiode begon.</w:t>
      </w:r>
      <w:r w:rsidR="00347160" w:rsidRPr="00C140A8">
        <w:rPr>
          <w:rStyle w:val="FootnoteReference"/>
          <w:rFonts w:ascii="Georgia" w:hAnsi="Georgia" w:cs="Calibri"/>
          <w:sz w:val="22"/>
          <w:szCs w:val="22"/>
          <w:lang w:val="nl-NL"/>
        </w:rPr>
        <w:footnoteReference w:id="115"/>
      </w:r>
      <w:r w:rsidR="00347160" w:rsidRPr="00C140A8">
        <w:rPr>
          <w:rFonts w:ascii="Georgia" w:hAnsi="Georgia" w:cs="Calibri"/>
          <w:sz w:val="22"/>
          <w:szCs w:val="22"/>
          <w:lang w:val="nl-NL"/>
        </w:rPr>
        <w:t xml:space="preserve"> Een kantelmoment was de ordonnantie van 21 november 1380. Johanna en </w:t>
      </w:r>
      <w:proofErr w:type="spellStart"/>
      <w:r w:rsidR="00347160" w:rsidRPr="00C140A8">
        <w:rPr>
          <w:rFonts w:ascii="Georgia" w:hAnsi="Georgia" w:cs="Calibri"/>
          <w:sz w:val="22"/>
          <w:szCs w:val="22"/>
          <w:lang w:val="nl-NL"/>
        </w:rPr>
        <w:t>Wenceslas</w:t>
      </w:r>
      <w:proofErr w:type="spellEnd"/>
      <w:r w:rsidR="00347160" w:rsidRPr="00C140A8">
        <w:rPr>
          <w:rFonts w:ascii="Georgia" w:hAnsi="Georgia" w:cs="Calibri"/>
          <w:sz w:val="22"/>
          <w:szCs w:val="22"/>
          <w:lang w:val="nl-NL"/>
        </w:rPr>
        <w:t xml:space="preserve"> stelden vast dat er te veel Vlaamse munten met een lage waarde circuleerden in Brabant en besloten in samenspraak met de </w:t>
      </w:r>
      <w:r w:rsidR="002045A1">
        <w:rPr>
          <w:rFonts w:ascii="Georgia" w:hAnsi="Georgia" w:cs="Calibri"/>
          <w:sz w:val="22"/>
          <w:szCs w:val="22"/>
          <w:lang w:val="nl-NL"/>
        </w:rPr>
        <w:t>steden</w:t>
      </w:r>
      <w:r w:rsidR="00347160" w:rsidRPr="00C140A8">
        <w:rPr>
          <w:rFonts w:ascii="Georgia" w:hAnsi="Georgia" w:cs="Calibri"/>
          <w:sz w:val="22"/>
          <w:szCs w:val="22"/>
          <w:lang w:val="nl-NL"/>
        </w:rPr>
        <w:t xml:space="preserve"> de productie van gouden </w:t>
      </w:r>
      <w:proofErr w:type="spellStart"/>
      <w:r w:rsidR="00347160" w:rsidRPr="00C140A8">
        <w:rPr>
          <w:rFonts w:ascii="Georgia" w:hAnsi="Georgia" w:cs="Calibri"/>
          <w:sz w:val="22"/>
          <w:szCs w:val="22"/>
          <w:lang w:val="nl-NL"/>
        </w:rPr>
        <w:t>pieters</w:t>
      </w:r>
      <w:proofErr w:type="spellEnd"/>
      <w:r w:rsidR="00347160" w:rsidRPr="00C140A8">
        <w:rPr>
          <w:rFonts w:ascii="Georgia" w:hAnsi="Georgia" w:cs="Calibri"/>
          <w:sz w:val="22"/>
          <w:szCs w:val="22"/>
          <w:lang w:val="nl-NL"/>
        </w:rPr>
        <w:t xml:space="preserve"> op te voeren.</w:t>
      </w:r>
      <w:r w:rsidR="00787569" w:rsidRPr="00787569">
        <w:rPr>
          <w:rStyle w:val="FootnoteReference"/>
          <w:rFonts w:ascii="Georgia" w:hAnsi="Georgia" w:cs="Calibri"/>
          <w:sz w:val="22"/>
          <w:szCs w:val="22"/>
          <w:lang w:val="nl-NL"/>
        </w:rPr>
        <w:t xml:space="preserve"> </w:t>
      </w:r>
      <w:r w:rsidR="00787569" w:rsidRPr="00C140A8">
        <w:rPr>
          <w:rStyle w:val="FootnoteReference"/>
          <w:rFonts w:ascii="Georgia" w:hAnsi="Georgia" w:cs="Calibri"/>
          <w:sz w:val="22"/>
          <w:szCs w:val="22"/>
          <w:lang w:val="nl-NL"/>
        </w:rPr>
        <w:footnoteReference w:id="116"/>
      </w:r>
      <w:r w:rsidR="00347160" w:rsidRPr="00C140A8">
        <w:rPr>
          <w:rFonts w:ascii="Georgia" w:hAnsi="Georgia" w:cs="Calibri"/>
          <w:sz w:val="22"/>
          <w:szCs w:val="22"/>
          <w:lang w:val="nl-NL"/>
        </w:rPr>
        <w:t xml:space="preserve"> Het gewicht en </w:t>
      </w:r>
      <w:r w:rsidR="00347160" w:rsidRPr="00C140A8">
        <w:rPr>
          <w:rFonts w:ascii="Georgia" w:hAnsi="Georgia" w:cs="Calibri"/>
          <w:sz w:val="22"/>
          <w:szCs w:val="22"/>
          <w:lang w:val="nl-NL"/>
        </w:rPr>
        <w:lastRenderedPageBreak/>
        <w:t>het gehalte van die munten mochten evenwel niet worden gewijzigd zonder instemming van de steden en Staten.</w:t>
      </w:r>
      <w:r w:rsidR="00347160" w:rsidRPr="00C140A8">
        <w:rPr>
          <w:rStyle w:val="FootnoteReference"/>
          <w:rFonts w:ascii="Georgia" w:hAnsi="Georgia" w:cs="Calibri"/>
          <w:sz w:val="22"/>
          <w:szCs w:val="22"/>
          <w:lang w:val="nl-NL"/>
        </w:rPr>
        <w:footnoteReference w:id="117"/>
      </w:r>
      <w:r w:rsidR="00347160" w:rsidRPr="00C140A8">
        <w:rPr>
          <w:rFonts w:ascii="Georgia" w:hAnsi="Georgia" w:cs="Calibri"/>
          <w:sz w:val="22"/>
          <w:szCs w:val="22"/>
          <w:lang w:val="nl-NL"/>
        </w:rPr>
        <w:t xml:space="preserve"> De rekeningen </w:t>
      </w:r>
      <w:r w:rsidR="0004012A">
        <w:rPr>
          <w:rFonts w:ascii="Georgia" w:hAnsi="Georgia" w:cs="Calibri"/>
          <w:sz w:val="22"/>
          <w:szCs w:val="22"/>
          <w:lang w:val="nl-NL"/>
        </w:rPr>
        <w:t>boekten</w:t>
      </w:r>
      <w:r w:rsidR="00347160" w:rsidRPr="00C140A8">
        <w:rPr>
          <w:rFonts w:ascii="Georgia" w:hAnsi="Georgia" w:cs="Calibri"/>
          <w:sz w:val="22"/>
          <w:szCs w:val="22"/>
          <w:lang w:val="nl-NL"/>
        </w:rPr>
        <w:t xml:space="preserve"> vanaf 1379-80 </w:t>
      </w:r>
      <w:r w:rsidR="0004012A">
        <w:rPr>
          <w:rFonts w:ascii="Georgia" w:hAnsi="Georgia" w:cs="Calibri"/>
          <w:sz w:val="22"/>
          <w:szCs w:val="22"/>
          <w:lang w:val="nl-NL"/>
        </w:rPr>
        <w:t xml:space="preserve">de posten </w:t>
      </w:r>
      <w:r w:rsidR="00347160" w:rsidRPr="00C140A8">
        <w:rPr>
          <w:rFonts w:ascii="Georgia" w:hAnsi="Georgia" w:cs="Calibri"/>
          <w:sz w:val="22"/>
          <w:szCs w:val="22"/>
          <w:lang w:val="nl-NL"/>
        </w:rPr>
        <w:t>systematisch in gouden peters en Vlaamse groten.</w:t>
      </w:r>
      <w:r w:rsidR="00347160" w:rsidRPr="00C140A8">
        <w:rPr>
          <w:rStyle w:val="FootnoteReference"/>
          <w:rFonts w:ascii="Georgia" w:hAnsi="Georgia" w:cs="Calibri"/>
          <w:sz w:val="22"/>
          <w:szCs w:val="22"/>
          <w:lang w:val="nl-NL"/>
        </w:rPr>
        <w:footnoteReference w:id="118"/>
      </w:r>
      <w:r w:rsidR="00347160" w:rsidRPr="00C140A8">
        <w:rPr>
          <w:rFonts w:ascii="Georgia" w:hAnsi="Georgia" w:cs="Calibri"/>
          <w:sz w:val="22"/>
          <w:szCs w:val="22"/>
          <w:lang w:val="nl-NL"/>
        </w:rPr>
        <w:t xml:space="preserve"> Toch stond deze muntsoort niet vast.  In de rekeningen van 1380-81 verschenen er opnieuw bedragen in </w:t>
      </w:r>
      <w:proofErr w:type="spellStart"/>
      <w:r w:rsidR="00347160" w:rsidRPr="00C140A8">
        <w:rPr>
          <w:rFonts w:ascii="Georgia" w:hAnsi="Georgia" w:cs="Calibri"/>
          <w:sz w:val="22"/>
          <w:szCs w:val="22"/>
          <w:lang w:val="nl-NL"/>
        </w:rPr>
        <w:t>mou</w:t>
      </w:r>
      <w:r w:rsidR="0004012A">
        <w:rPr>
          <w:rFonts w:ascii="Georgia" w:hAnsi="Georgia" w:cs="Calibri"/>
          <w:sz w:val="22"/>
          <w:szCs w:val="22"/>
          <w:lang w:val="nl-NL"/>
        </w:rPr>
        <w:t>t</w:t>
      </w:r>
      <w:r w:rsidR="00347160" w:rsidRPr="00C140A8">
        <w:rPr>
          <w:rFonts w:ascii="Georgia" w:hAnsi="Georgia" w:cs="Calibri"/>
          <w:sz w:val="22"/>
          <w:szCs w:val="22"/>
          <w:lang w:val="nl-NL"/>
        </w:rPr>
        <w:t>toenen</w:t>
      </w:r>
      <w:proofErr w:type="spellEnd"/>
      <w:r w:rsidR="00347160" w:rsidRPr="00C140A8">
        <w:rPr>
          <w:rFonts w:ascii="Georgia" w:hAnsi="Georgia" w:cs="Calibri"/>
          <w:sz w:val="22"/>
          <w:szCs w:val="22"/>
          <w:lang w:val="nl-NL"/>
        </w:rPr>
        <w:t xml:space="preserve">, om vervolgens opnieuw te schuiven naar </w:t>
      </w:r>
      <w:proofErr w:type="spellStart"/>
      <w:r w:rsidR="00347160" w:rsidRPr="00C140A8">
        <w:rPr>
          <w:rFonts w:ascii="Georgia" w:hAnsi="Georgia" w:cs="Calibri"/>
          <w:sz w:val="22"/>
          <w:szCs w:val="22"/>
          <w:lang w:val="nl-NL"/>
        </w:rPr>
        <w:t>pieters</w:t>
      </w:r>
      <w:proofErr w:type="spellEnd"/>
      <w:r w:rsidR="00347160" w:rsidRPr="00C140A8">
        <w:rPr>
          <w:rFonts w:ascii="Georgia" w:hAnsi="Georgia" w:cs="Calibri"/>
          <w:sz w:val="22"/>
          <w:szCs w:val="22"/>
          <w:lang w:val="nl-NL"/>
        </w:rPr>
        <w:t>.</w:t>
      </w:r>
      <w:r w:rsidR="00347160" w:rsidRPr="00C140A8">
        <w:rPr>
          <w:rStyle w:val="FootnoteReference"/>
          <w:rFonts w:ascii="Georgia" w:hAnsi="Georgia" w:cs="Calibri"/>
          <w:sz w:val="22"/>
          <w:szCs w:val="22"/>
          <w:lang w:val="nl-NL"/>
        </w:rPr>
        <w:t xml:space="preserve"> </w:t>
      </w:r>
      <w:r w:rsidR="00347160" w:rsidRPr="00C140A8">
        <w:rPr>
          <w:rStyle w:val="FootnoteReference"/>
          <w:rFonts w:ascii="Georgia" w:hAnsi="Georgia" w:cs="Calibri"/>
          <w:sz w:val="22"/>
          <w:szCs w:val="22"/>
          <w:lang w:val="nl-NL"/>
        </w:rPr>
        <w:footnoteReference w:id="119"/>
      </w:r>
      <w:r w:rsidR="00347160" w:rsidRPr="00C140A8">
        <w:rPr>
          <w:rFonts w:ascii="Georgia" w:hAnsi="Georgia" w:cs="Calibri"/>
          <w:sz w:val="22"/>
          <w:szCs w:val="22"/>
          <w:lang w:val="nl-NL"/>
        </w:rPr>
        <w:t xml:space="preserve"> De rekeningen zijn per boekjaar wel vrij consistent in de gebruikte muntsoort, maar vertonen over meerdere jaren dus aanzienlijke wisselingen. Wegens het tijdsbestek van dit onderzoek en de onoverzichtelijkheid en complexiteit van het muntsysteem gaat deze scriptie de munteenheden niet voortdurend omrekenen. </w:t>
      </w:r>
      <w:r w:rsidR="005D670D" w:rsidRPr="005D670D">
        <w:rPr>
          <w:rFonts w:ascii="Georgia" w:hAnsi="Georgia" w:cs="Calibri"/>
          <w:sz w:val="22"/>
          <w:szCs w:val="22"/>
        </w:rPr>
        <w:t>Enkel wanneer dit noodzakelijk is en de aangegeven waarde doorslaggevend is voor de interpretatie, volgt een expliciete omrekening</w:t>
      </w:r>
      <w:r w:rsidR="00347160" w:rsidRPr="005D670D">
        <w:rPr>
          <w:rFonts w:ascii="Georgia" w:hAnsi="Georgia" w:cs="Calibri"/>
          <w:sz w:val="22"/>
          <w:szCs w:val="22"/>
          <w:lang w:val="nl-NL"/>
        </w:rPr>
        <w:t xml:space="preserve">. </w:t>
      </w:r>
    </w:p>
    <w:p w14:paraId="5DF67377" w14:textId="77777777" w:rsidR="00347160" w:rsidRPr="00F013D3" w:rsidRDefault="00347160" w:rsidP="00192268">
      <w:pPr>
        <w:pStyle w:val="ThesisSubheading"/>
        <w:ind w:left="1134" w:hanging="1134"/>
      </w:pPr>
      <w:bookmarkStart w:id="80" w:name="_Toc230014230"/>
      <w:bookmarkStart w:id="81" w:name="_Toc230118023"/>
      <w:bookmarkStart w:id="82" w:name="_Toc230358692"/>
      <w:bookmarkStart w:id="83" w:name="_Toc231153762"/>
      <w:bookmarkStart w:id="84" w:name="_Toc231329833"/>
      <w:bookmarkStart w:id="85" w:name="_Toc231330440"/>
      <w:bookmarkStart w:id="86" w:name="_Toc231428034"/>
      <w:r w:rsidRPr="00F013D3">
        <w:t>Analyse</w:t>
      </w:r>
      <w:bookmarkEnd w:id="80"/>
      <w:bookmarkEnd w:id="81"/>
      <w:bookmarkEnd w:id="82"/>
      <w:bookmarkEnd w:id="83"/>
      <w:bookmarkEnd w:id="84"/>
      <w:bookmarkEnd w:id="85"/>
      <w:bookmarkEnd w:id="86"/>
    </w:p>
    <w:p w14:paraId="52B88701" w14:textId="2AF47CE8" w:rsidR="00347160" w:rsidRPr="00C140A8" w:rsidRDefault="008A57C7" w:rsidP="00C140A8">
      <w:pPr>
        <w:spacing w:afterLines="80" w:after="192" w:line="360" w:lineRule="auto"/>
        <w:jc w:val="both"/>
        <w:rPr>
          <w:rFonts w:ascii="Georgia" w:hAnsi="Georgia" w:cs="Calibri"/>
          <w:sz w:val="22"/>
          <w:szCs w:val="22"/>
          <w:lang w:val="nl-NL"/>
        </w:rPr>
      </w:pPr>
      <w:r w:rsidRPr="008A57C7">
        <w:rPr>
          <w:rFonts w:ascii="Georgia" w:hAnsi="Georgia" w:cs="Calibri"/>
          <w:sz w:val="22"/>
          <w:szCs w:val="22"/>
        </w:rPr>
        <w:t>Voor elk van de drie bronreeksen kregen de gegevens een aparte databank in Excel, telkens verder opgedeeld per jaar en geordend in tabellen</w:t>
      </w:r>
      <w:r w:rsidR="00347160" w:rsidRPr="00C140A8">
        <w:rPr>
          <w:rFonts w:ascii="Georgia" w:hAnsi="Georgia" w:cs="Calibri"/>
          <w:sz w:val="22"/>
          <w:szCs w:val="22"/>
          <w:lang w:val="nl-NL"/>
        </w:rPr>
        <w:t xml:space="preserve">. De gehanteerde categorieën hebben daarbij deels een artificieel karakter. Elke post kreeg op basis van zijn inhoud een noemer toegewezen: hofhouding, entertainment, diplomatie, communicatie, patronage, enzovoort. Sommige posten passen onder meerdere categorieën. De analyse houdt daar rekening mee, maar dit betekent dat de gegevens in grafieken afhankelijk zijn van interpretatie, en dus geen absolute cijfers opleveren. Verder is dit onderzoek voornamelijk kwalitatief van aard. </w:t>
      </w:r>
      <w:r>
        <w:rPr>
          <w:rFonts w:ascii="Georgia" w:hAnsi="Georgia" w:cs="Calibri"/>
          <w:sz w:val="22"/>
          <w:szCs w:val="22"/>
          <w:lang w:val="nl-NL"/>
        </w:rPr>
        <w:t xml:space="preserve">Het </w:t>
      </w:r>
      <w:r w:rsidR="00347160" w:rsidRPr="00C140A8">
        <w:rPr>
          <w:rFonts w:ascii="Georgia" w:hAnsi="Georgia" w:cs="Calibri"/>
          <w:sz w:val="22"/>
          <w:szCs w:val="22"/>
          <w:lang w:val="nl-NL"/>
        </w:rPr>
        <w:t>weegt de gegevens inhoudelijk af en de muntsommen zijn enkel relevant in relatie tot de aard van de post. Een geschenk van uitzonderlijk hoge waarde wint juist daardoor aan betekenis. Kwantitatieve gegevens worden enkel ingezet om de frequentie van een bepaalde categorie te duiden, niet om er zelfstandige conclusies uit te trekken.</w:t>
      </w:r>
    </w:p>
    <w:p w14:paraId="0C2004FD" w14:textId="1D205020" w:rsidR="00347160" w:rsidRPr="00C140A8" w:rsidRDefault="00347160" w:rsidP="00192268">
      <w:pPr>
        <w:pStyle w:val="ThesisHeading"/>
        <w:rPr>
          <w:lang w:val="nl-NL"/>
        </w:rPr>
      </w:pPr>
      <w:bookmarkStart w:id="87" w:name="_Toc230118024"/>
      <w:bookmarkStart w:id="88" w:name="_Toc230358693"/>
      <w:bookmarkStart w:id="89" w:name="_Toc231153763"/>
      <w:bookmarkStart w:id="90" w:name="_Toc231329834"/>
      <w:bookmarkStart w:id="91" w:name="_Toc231330441"/>
      <w:bookmarkStart w:id="92" w:name="_Toc231428035"/>
      <w:bookmarkStart w:id="93" w:name="_Toc231463601"/>
      <w:proofErr w:type="spellStart"/>
      <w:r w:rsidRPr="00192268">
        <w:t>O</w:t>
      </w:r>
      <w:bookmarkEnd w:id="87"/>
      <w:bookmarkEnd w:id="88"/>
      <w:bookmarkEnd w:id="89"/>
      <w:bookmarkEnd w:id="90"/>
      <w:bookmarkEnd w:id="91"/>
      <w:r w:rsidR="00F013D3" w:rsidRPr="00192268">
        <w:t>nderzoeksopzet</w:t>
      </w:r>
      <w:bookmarkEnd w:id="92"/>
      <w:bookmarkEnd w:id="93"/>
      <w:proofErr w:type="spellEnd"/>
    </w:p>
    <w:p w14:paraId="436C064C" w14:textId="3B895086" w:rsidR="00347160" w:rsidRPr="00C140A8" w:rsidRDefault="0034716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Concreet betekent dit dat de centrale vraag in dit onderzoek niet luidt of Johanna macht had, maar hoe zij die macht uitoefende. Welke middelen zette zij in om haar beleid vorm te geven, uit welke bronnen putte zij haar gezag, en welke omstandigheden belemmerden of activeerden haar machtsuitoefening? En op welke manier deze </w:t>
      </w:r>
      <w:proofErr w:type="spellStart"/>
      <w:r w:rsidR="008A57C7">
        <w:rPr>
          <w:rFonts w:ascii="Georgia" w:hAnsi="Georgia" w:cs="Calibri"/>
          <w:sz w:val="22"/>
          <w:szCs w:val="22"/>
          <w:lang w:val="nl-NL"/>
        </w:rPr>
        <w:t>bestuursbijdrage</w:t>
      </w:r>
      <w:proofErr w:type="spellEnd"/>
      <w:r w:rsidRPr="00C140A8">
        <w:rPr>
          <w:rFonts w:ascii="Georgia" w:hAnsi="Georgia" w:cs="Calibri"/>
          <w:sz w:val="22"/>
          <w:szCs w:val="22"/>
          <w:lang w:val="nl-NL"/>
        </w:rPr>
        <w:t xml:space="preserve"> zich verhield tot die van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w:t>
      </w:r>
    </w:p>
    <w:p w14:paraId="223A67C7" w14:textId="77777777" w:rsidR="00347160" w:rsidRDefault="0034716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lastRenderedPageBreak/>
        <w:t xml:space="preserve">Het eerste hoofdstuk gaat dieper in op de financiële middelen waarover Johanna beschikte, met een specifieke focus op de inkomsten uit haar weduwegoederen na de dood van haar eerste echtgenoot, Willem IV van Henegouwen, Holland en Zeeland. Op kleinere schaal verkent dit hoofdstuk wat die inkomsten precies waren en hoe Johanna ze in de praktijk gebruikte. Het tweede hoofdstuk verruimt de blik naar de Brabantse context en stelt Johanna's diplomatieke bijdrage centraal. Aan de hand van de praktijkbronnen nuanceert dit hoofdstuk het beeld van de geïdealiseerde bemiddelaarster door de routineuze praktijk ervan te belichten. Die bemiddeling vormt bovendien slechts één onderdeel van een bredere selectie aan middelen die Johanna inzet om netwerken op te bouwen en te onderhouden. De analyse richt zich daarom op vier elementen: haar reizen, haar communicatie, haar geschenkpraktijk en het rondtrekkende entertainment aan het hof. Ten slotte behandelt het derde hoofdstuk de religieuze en culturele patronage van Johanna en haar verhouding tot die van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en wordt nagegaan of de eerdere claims van cultureel verval standhouden.</w:t>
      </w:r>
    </w:p>
    <w:p w14:paraId="32194EC1" w14:textId="103231E0" w:rsidR="005E3FD7" w:rsidRDefault="005E3FD7">
      <w:pPr>
        <w:spacing w:after="160" w:line="278" w:lineRule="auto"/>
        <w:rPr>
          <w:rFonts w:ascii="Georgia" w:hAnsi="Georgia" w:cs="Calibri"/>
          <w:sz w:val="22"/>
          <w:szCs w:val="22"/>
          <w:lang w:val="nl-NL"/>
        </w:rPr>
      </w:pPr>
      <w:r>
        <w:rPr>
          <w:rFonts w:ascii="Georgia" w:hAnsi="Georgia" w:cs="Calibri"/>
          <w:sz w:val="22"/>
          <w:szCs w:val="22"/>
          <w:lang w:val="nl-NL"/>
        </w:rPr>
        <w:br w:type="page"/>
      </w:r>
    </w:p>
    <w:p w14:paraId="70B01FC9" w14:textId="44DEF2D7" w:rsidR="005E3FD7" w:rsidRPr="00C140A8" w:rsidRDefault="00A83076" w:rsidP="00C140A8">
      <w:pPr>
        <w:spacing w:afterLines="80" w:after="192" w:line="360" w:lineRule="auto"/>
        <w:jc w:val="both"/>
        <w:rPr>
          <w:rFonts w:ascii="Georgia" w:hAnsi="Georgia" w:cs="Calibri"/>
          <w:sz w:val="22"/>
          <w:szCs w:val="22"/>
          <w:lang w:val="nl-NL"/>
        </w:rPr>
      </w:pPr>
      <w:r>
        <w:rPr>
          <w:noProof/>
        </w:rPr>
        <w:lastRenderedPageBreak/>
        <mc:AlternateContent>
          <mc:Choice Requires="wps">
            <w:drawing>
              <wp:anchor distT="0" distB="0" distL="114300" distR="114300" simplePos="0" relativeHeight="251723263" behindDoc="0" locked="0" layoutInCell="1" allowOverlap="1" wp14:anchorId="1FD20FD9" wp14:editId="33101ADC">
                <wp:simplePos x="0" y="0"/>
                <wp:positionH relativeFrom="column">
                  <wp:posOffset>283210</wp:posOffset>
                </wp:positionH>
                <wp:positionV relativeFrom="paragraph">
                  <wp:posOffset>7831016</wp:posOffset>
                </wp:positionV>
                <wp:extent cx="5067300" cy="635"/>
                <wp:effectExtent l="0" t="0" r="0" b="12065"/>
                <wp:wrapTopAndBottom/>
                <wp:docPr id="978090666" name="Text Box 1"/>
                <wp:cNvGraphicFramePr/>
                <a:graphic xmlns:a="http://schemas.openxmlformats.org/drawingml/2006/main">
                  <a:graphicData uri="http://schemas.microsoft.com/office/word/2010/wordprocessingShape">
                    <wps:wsp>
                      <wps:cNvSpPr txBox="1"/>
                      <wps:spPr>
                        <a:xfrm>
                          <a:off x="0" y="0"/>
                          <a:ext cx="5067300" cy="635"/>
                        </a:xfrm>
                        <a:prstGeom prst="rect">
                          <a:avLst/>
                        </a:prstGeom>
                        <a:solidFill>
                          <a:prstClr val="white"/>
                        </a:solidFill>
                        <a:ln>
                          <a:noFill/>
                        </a:ln>
                      </wps:spPr>
                      <wps:txbx>
                        <w:txbxContent>
                          <w:p w14:paraId="72BD0A96" w14:textId="4DA2EE29" w:rsidR="00A83076" w:rsidRPr="00A83076" w:rsidRDefault="00A83076" w:rsidP="00A83076">
                            <w:pPr>
                              <w:pStyle w:val="Caption"/>
                              <w:spacing w:after="0"/>
                              <w:jc w:val="center"/>
                              <w:rPr>
                                <w:b/>
                                <w:bCs/>
                              </w:rPr>
                            </w:pPr>
                            <w:bookmarkStart w:id="94" w:name="_Toc231462582"/>
                            <w:r w:rsidRPr="00A83076">
                              <w:rPr>
                                <w:b/>
                                <w:bCs/>
                              </w:rPr>
                              <w:t xml:space="preserve">Figuur </w:t>
                            </w:r>
                            <w:r w:rsidRPr="00A83076">
                              <w:rPr>
                                <w:b/>
                                <w:bCs/>
                              </w:rPr>
                              <w:fldChar w:fldCharType="begin"/>
                            </w:r>
                            <w:r w:rsidRPr="00A83076">
                              <w:rPr>
                                <w:b/>
                                <w:bCs/>
                              </w:rPr>
                              <w:instrText xml:space="preserve"> SEQ Figuur \* ARABIC </w:instrText>
                            </w:r>
                            <w:r w:rsidRPr="00A83076">
                              <w:rPr>
                                <w:b/>
                                <w:bCs/>
                              </w:rPr>
                              <w:fldChar w:fldCharType="separate"/>
                            </w:r>
                            <w:r w:rsidR="00F83A3D">
                              <w:rPr>
                                <w:b/>
                                <w:bCs/>
                                <w:noProof/>
                              </w:rPr>
                              <w:t>2</w:t>
                            </w:r>
                            <w:r w:rsidRPr="00A83076">
                              <w:rPr>
                                <w:b/>
                                <w:bCs/>
                              </w:rPr>
                              <w:fldChar w:fldCharType="end"/>
                            </w:r>
                            <w:r w:rsidRPr="00A83076">
                              <w:rPr>
                                <w:b/>
                                <w:bCs/>
                              </w:rPr>
                              <w:t>: Portret van Johanna van Brabant</w:t>
                            </w:r>
                            <w:r>
                              <w:rPr>
                                <w:b/>
                                <w:bCs/>
                              </w:rPr>
                              <w:t xml:space="preserve"> (1322-1406)</w:t>
                            </w:r>
                            <w:bookmarkEnd w:id="94"/>
                          </w:p>
                          <w:p w14:paraId="795B08EC" w14:textId="0ABF94D3" w:rsidR="00A83076" w:rsidRPr="00233298" w:rsidRDefault="00A83076" w:rsidP="00A83076">
                            <w:pPr>
                              <w:pStyle w:val="Caption"/>
                              <w:jc w:val="center"/>
                              <w:rPr>
                                <w:rFonts w:ascii="Georgia" w:eastAsiaTheme="minorHAnsi" w:hAnsi="Georgia" w:cs="Calibri"/>
                                <w:noProof/>
                                <w:sz w:val="22"/>
                                <w:szCs w:val="22"/>
                                <w:lang w:val="nl-NL" w:eastAsia="en-US"/>
                              </w:rPr>
                            </w:pPr>
                            <w:r w:rsidRPr="00F66970">
                              <w:t>Pieter de Jode II, Johanna van Brabant, na 1661–1663. Gravure op papier, blad 172 × 115 mm. Prent uit: Joannes Meyssens, Les portraits de tous les souverains, princes et ducs de Brabant, recueillis de divers cabinets et originaux antiques dessinés par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FD20FD9" id="_x0000_s1027" type="#_x0000_t202" style="position:absolute;left:0;text-align:left;margin-left:22.3pt;margin-top:616.6pt;width:399pt;height:.05pt;z-index:25172326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" stroked="f">
                <v:textbox style="mso-fit-shape-to-text:t" inset="0,0,0,0">
                  <w:txbxContent>
                    <w:p w14:paraId="72BD0A96" w14:textId="4DA2EE29" w:rsidR="00A83076" w:rsidRPr="00A83076" w:rsidRDefault="00A83076" w:rsidP="00A83076">
                      <w:pPr>
                        <w:pStyle w:val="Caption"/>
                        <w:spacing w:after="0"/>
                        <w:jc w:val="center"/>
                        <w:rPr>
                          <w:b/>
                          <w:bCs/>
                        </w:rPr>
                      </w:pPr>
                      <w:bookmarkStart w:id="95" w:name="_Toc231462582"/>
                      <w:r w:rsidRPr="00A83076">
                        <w:rPr>
                          <w:b/>
                          <w:bCs/>
                        </w:rPr>
                        <w:t xml:space="preserve">Figuur </w:t>
                      </w:r>
                      <w:r w:rsidRPr="00A83076">
                        <w:rPr>
                          <w:b/>
                          <w:bCs/>
                        </w:rPr>
                        <w:fldChar w:fldCharType="begin"/>
                      </w:r>
                      <w:r w:rsidRPr="00A83076">
                        <w:rPr>
                          <w:b/>
                          <w:bCs/>
                        </w:rPr>
                        <w:instrText xml:space="preserve"> SEQ Figuur \* ARABIC </w:instrText>
                      </w:r>
                      <w:r w:rsidRPr="00A83076">
                        <w:rPr>
                          <w:b/>
                          <w:bCs/>
                        </w:rPr>
                        <w:fldChar w:fldCharType="separate"/>
                      </w:r>
                      <w:r w:rsidR="00F83A3D">
                        <w:rPr>
                          <w:b/>
                          <w:bCs/>
                          <w:noProof/>
                        </w:rPr>
                        <w:t>2</w:t>
                      </w:r>
                      <w:r w:rsidRPr="00A83076">
                        <w:rPr>
                          <w:b/>
                          <w:bCs/>
                        </w:rPr>
                        <w:fldChar w:fldCharType="end"/>
                      </w:r>
                      <w:r w:rsidRPr="00A83076">
                        <w:rPr>
                          <w:b/>
                          <w:bCs/>
                        </w:rPr>
                        <w:t>: Portret van Johanna van Brabant</w:t>
                      </w:r>
                      <w:r>
                        <w:rPr>
                          <w:b/>
                          <w:bCs/>
                        </w:rPr>
                        <w:t xml:space="preserve"> (1322-1406)</w:t>
                      </w:r>
                      <w:bookmarkEnd w:id="95"/>
                    </w:p>
                    <w:p w14:paraId="795B08EC" w14:textId="0ABF94D3" w:rsidR="00A83076" w:rsidRPr="00233298" w:rsidRDefault="00A83076" w:rsidP="00A83076">
                      <w:pPr>
                        <w:pStyle w:val="Caption"/>
                        <w:jc w:val="center"/>
                        <w:rPr>
                          <w:rFonts w:ascii="Georgia" w:eastAsiaTheme="minorHAnsi" w:hAnsi="Georgia" w:cs="Calibri"/>
                          <w:noProof/>
                          <w:sz w:val="22"/>
                          <w:szCs w:val="22"/>
                          <w:lang w:val="nl-NL" w:eastAsia="en-US"/>
                        </w:rPr>
                      </w:pPr>
                      <w:r w:rsidRPr="00F66970">
                        <w:t>Pieter de Jode II, Johanna van Brabant, na 1661–1663. Gravure op papier, blad 172 × 115 mm. Prent uit: Joannes Meyssens, Les portraits de tous les souverains, princes et ducs de Brabant, recueillis de divers cabinets et originaux antiques dessinés par</w:t>
                      </w:r>
                    </w:p>
                  </w:txbxContent>
                </v:textbox>
                <w10:wrap type="topAndBottom"/>
              </v:shape>
            </w:pict>
          </mc:Fallback>
        </mc:AlternateContent>
      </w:r>
    </w:p>
    <w:p w14:paraId="79302496" w14:textId="27B0CE16" w:rsidR="008832DE" w:rsidRPr="00F2361E" w:rsidRDefault="00F2361E" w:rsidP="00F2361E">
      <w:pPr>
        <w:spacing w:afterLines="80" w:after="192" w:line="360" w:lineRule="auto"/>
        <w:jc w:val="both"/>
        <w:rPr>
          <w:rFonts w:ascii="Georgia" w:hAnsi="Georgia" w:cs="Calibri"/>
          <w:sz w:val="22"/>
          <w:szCs w:val="22"/>
          <w:lang w:val="nl-NL"/>
        </w:rPr>
      </w:pPr>
      <w:r>
        <w:rPr>
          <w:rFonts w:ascii="Georgia" w:eastAsiaTheme="minorHAnsi" w:hAnsi="Georgia" w:cs="Calibri"/>
          <w:noProof/>
          <w:sz w:val="22"/>
          <w:szCs w:val="22"/>
          <w:lang w:val="nl-NL" w:eastAsia="en-US"/>
          <w14:ligatures w14:val="standardContextual"/>
        </w:rPr>
        <w:drawing>
          <wp:anchor distT="0" distB="0" distL="114300" distR="114300" simplePos="0" relativeHeight="251689471" behindDoc="0" locked="0" layoutInCell="1" allowOverlap="1" wp14:anchorId="17ABB135" wp14:editId="50D4E12D">
            <wp:simplePos x="0" y="0"/>
            <wp:positionH relativeFrom="column">
              <wp:posOffset>283210</wp:posOffset>
            </wp:positionH>
            <wp:positionV relativeFrom="paragraph">
              <wp:posOffset>145441</wp:posOffset>
            </wp:positionV>
            <wp:extent cx="5067300" cy="7251700"/>
            <wp:effectExtent l="0" t="0" r="0" b="0"/>
            <wp:wrapTopAndBottom/>
            <wp:docPr id="1068602079" name="Picture 11" descr="A portrait of a person in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602079" name="Picture 11" descr="A portrait of a person in a crown&#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067300" cy="7251700"/>
                    </a:xfrm>
                    <a:prstGeom prst="rect">
                      <a:avLst/>
                    </a:prstGeom>
                  </pic:spPr>
                </pic:pic>
              </a:graphicData>
            </a:graphic>
            <wp14:sizeRelH relativeFrom="page">
              <wp14:pctWidth>0</wp14:pctWidth>
            </wp14:sizeRelH>
            <wp14:sizeRelV relativeFrom="page">
              <wp14:pctHeight>0</wp14:pctHeight>
            </wp14:sizeRelV>
          </wp:anchor>
        </w:drawing>
      </w:r>
    </w:p>
    <w:p w14:paraId="6C4BD144" w14:textId="5FD8183E" w:rsidR="000F2E12" w:rsidRPr="00F013D3" w:rsidRDefault="00D82A74" w:rsidP="00F013D3">
      <w:pPr>
        <w:pStyle w:val="ThesisSection"/>
        <w:pBdr>
          <w:bottom w:val="single" w:sz="4" w:space="1" w:color="auto"/>
        </w:pBdr>
        <w:spacing w:before="0" w:after="0"/>
        <w:rPr>
          <w:lang w:val="nl-NL"/>
        </w:rPr>
      </w:pPr>
      <w:bookmarkStart w:id="96" w:name="_Toc231463602"/>
      <w:proofErr w:type="spellStart"/>
      <w:r>
        <w:rPr>
          <w:lang w:val="nl-NL"/>
        </w:rPr>
        <w:lastRenderedPageBreak/>
        <w:t>Weduwegoeden</w:t>
      </w:r>
      <w:proofErr w:type="spellEnd"/>
      <w:r>
        <w:rPr>
          <w:lang w:val="nl-NL"/>
        </w:rPr>
        <w:t xml:space="preserve"> en inkomsten</w:t>
      </w:r>
      <w:bookmarkEnd w:id="96"/>
    </w:p>
    <w:p w14:paraId="7D8DC6FD" w14:textId="1E70A375" w:rsidR="000D6E89" w:rsidRPr="00F013D3" w:rsidRDefault="000D6E89" w:rsidP="00F013D3">
      <w:pPr>
        <w:spacing w:before="240" w:afterLines="80" w:after="192" w:line="360" w:lineRule="auto"/>
        <w:jc w:val="both"/>
        <w:rPr>
          <w:rFonts w:ascii="Georgia" w:hAnsi="Georgia" w:cs="Calibri"/>
          <w:sz w:val="22"/>
          <w:szCs w:val="22"/>
          <w:lang w:val="nl-NL"/>
        </w:rPr>
      </w:pPr>
      <w:r w:rsidRPr="00F013D3">
        <w:rPr>
          <w:rFonts w:ascii="Georgia" w:hAnsi="Georgia" w:cs="Calibri"/>
          <w:sz w:val="22"/>
          <w:szCs w:val="22"/>
          <w:lang w:val="nl-NL"/>
        </w:rPr>
        <w:t xml:space="preserve">Om een inzage te krijgen in Johanna’s beleidsbijdrage is een analyse van haar financiële middelen essentieel. </w:t>
      </w:r>
      <w:r w:rsidRPr="00F013D3">
        <w:rPr>
          <w:rFonts w:ascii="Georgia" w:eastAsiaTheme="majorEastAsia" w:hAnsi="Georgia" w:cs="Calibri"/>
          <w:sz w:val="22"/>
          <w:szCs w:val="22"/>
          <w:lang w:val="nl-NL"/>
        </w:rPr>
        <w:t xml:space="preserve">Zij </w:t>
      </w:r>
      <w:r w:rsidR="00C91110" w:rsidRPr="00F013D3">
        <w:rPr>
          <w:rFonts w:ascii="Georgia" w:eastAsiaTheme="majorEastAsia" w:hAnsi="Georgia" w:cs="Calibri"/>
          <w:sz w:val="22"/>
          <w:szCs w:val="22"/>
          <w:lang w:val="nl-NL"/>
        </w:rPr>
        <w:t>reflecteren</w:t>
      </w:r>
      <w:r w:rsidRPr="00F013D3">
        <w:rPr>
          <w:rFonts w:ascii="Georgia" w:eastAsiaTheme="majorEastAsia" w:hAnsi="Georgia" w:cs="Calibri"/>
          <w:sz w:val="22"/>
          <w:szCs w:val="22"/>
          <w:lang w:val="nl-NL"/>
        </w:rPr>
        <w:t xml:space="preserve"> haar politieke, culturele en religieuze </w:t>
      </w:r>
      <w:r w:rsidRPr="00F013D3">
        <w:rPr>
          <w:rFonts w:ascii="Georgia" w:hAnsi="Georgia" w:cs="Calibri"/>
          <w:sz w:val="22"/>
          <w:szCs w:val="22"/>
          <w:lang w:val="nl-NL"/>
        </w:rPr>
        <w:t>bijdrage</w:t>
      </w:r>
      <w:r w:rsidRPr="00F013D3">
        <w:rPr>
          <w:rFonts w:ascii="Georgia" w:eastAsiaTheme="majorEastAsia" w:hAnsi="Georgia" w:cs="Calibri"/>
          <w:sz w:val="22"/>
          <w:szCs w:val="22"/>
          <w:lang w:val="nl-NL"/>
        </w:rPr>
        <w:t xml:space="preserve"> </w:t>
      </w:r>
      <w:r w:rsidRPr="00F013D3">
        <w:rPr>
          <w:rFonts w:ascii="Georgia" w:hAnsi="Georgia" w:cs="Calibri"/>
          <w:sz w:val="22"/>
          <w:szCs w:val="22"/>
          <w:lang w:val="nl-NL"/>
        </w:rPr>
        <w:t>aa</w:t>
      </w:r>
      <w:r w:rsidRPr="00F013D3">
        <w:rPr>
          <w:rFonts w:ascii="Georgia" w:eastAsiaTheme="majorEastAsia" w:hAnsi="Georgia" w:cs="Calibri"/>
          <w:sz w:val="22"/>
          <w:szCs w:val="22"/>
          <w:lang w:val="nl-NL"/>
        </w:rPr>
        <w:t>n het toenmalige beleid en de bredere samenleving</w:t>
      </w:r>
      <w:r w:rsidRPr="00F013D3">
        <w:rPr>
          <w:rFonts w:ascii="Georgia" w:hAnsi="Georgia" w:cs="Calibri"/>
          <w:sz w:val="22"/>
          <w:szCs w:val="22"/>
          <w:lang w:val="nl-NL"/>
        </w:rPr>
        <w:t>. Historici bestuderen de status van middeleeuwse vorstinnen, hun bijdrage aan het publieke leven en hun participatie in politieke aangelegenheden steeds vaker vanuit een financieel en economisch perspectief.</w:t>
      </w:r>
      <w:r w:rsidRPr="00F013D3">
        <w:rPr>
          <w:rStyle w:val="FootnoteReference"/>
          <w:rFonts w:ascii="Georgia" w:hAnsi="Georgia" w:cs="Calibri"/>
          <w:sz w:val="22"/>
          <w:szCs w:val="22"/>
          <w:lang w:val="nl-NL"/>
        </w:rPr>
        <w:footnoteReference w:id="120"/>
      </w:r>
      <w:r w:rsidR="00C074D8" w:rsidRPr="00F013D3">
        <w:rPr>
          <w:rFonts w:ascii="Georgia" w:hAnsi="Georgia" w:cs="Calibri"/>
          <w:sz w:val="22"/>
          <w:szCs w:val="22"/>
          <w:lang w:val="nl-NL"/>
        </w:rPr>
        <w:t xml:space="preserve"> </w:t>
      </w:r>
      <w:r w:rsidRPr="00F013D3">
        <w:rPr>
          <w:rFonts w:ascii="Georgia" w:hAnsi="Georgia" w:cs="Calibri"/>
          <w:sz w:val="22"/>
          <w:szCs w:val="22"/>
          <w:lang w:val="nl-NL"/>
        </w:rPr>
        <w:t>Hun controle over geld gold immers als een cruciale pijler van hun bestuur.</w:t>
      </w:r>
      <w:r w:rsidRPr="00F013D3">
        <w:rPr>
          <w:rStyle w:val="FootnoteReference"/>
          <w:rFonts w:ascii="Georgia" w:hAnsi="Georgia" w:cs="Calibri"/>
          <w:sz w:val="22"/>
          <w:szCs w:val="22"/>
          <w:lang w:val="nl-NL"/>
        </w:rPr>
        <w:footnoteReference w:id="121"/>
      </w:r>
      <w:r w:rsidR="00C91110" w:rsidRPr="00F013D3">
        <w:rPr>
          <w:rFonts w:ascii="Georgia" w:hAnsi="Georgia" w:cs="Calibri"/>
          <w:sz w:val="22"/>
          <w:szCs w:val="22"/>
          <w:lang w:val="nl-NL"/>
        </w:rPr>
        <w:t xml:space="preserve"> </w:t>
      </w:r>
      <w:r w:rsidRPr="00F013D3">
        <w:rPr>
          <w:rFonts w:ascii="Georgia" w:hAnsi="Georgia" w:cs="Calibri"/>
          <w:sz w:val="22"/>
          <w:szCs w:val="22"/>
          <w:lang w:val="nl-NL"/>
        </w:rPr>
        <w:t xml:space="preserve">De financiële inkomsten van een vorstin vormden een belangrijk fundament voor het uitoefenen van haar autoriteit. Ze creëerden een ruimte </w:t>
      </w:r>
      <w:r w:rsidR="00C91110" w:rsidRPr="00F013D3">
        <w:rPr>
          <w:rFonts w:ascii="Georgia" w:hAnsi="Georgia" w:cs="Calibri"/>
          <w:sz w:val="22"/>
          <w:szCs w:val="22"/>
          <w:lang w:val="nl-NL"/>
        </w:rPr>
        <w:t>van waaruit</w:t>
      </w:r>
      <w:r w:rsidRPr="00F013D3">
        <w:rPr>
          <w:rFonts w:ascii="Georgia" w:hAnsi="Georgia" w:cs="Calibri"/>
          <w:sz w:val="22"/>
          <w:szCs w:val="22"/>
          <w:lang w:val="nl-NL"/>
        </w:rPr>
        <w:t xml:space="preserve"> zij politiek kon handelen via het geven van schenkingen, het investeren in een mecenaat, het onderhouden van netwerken en het voeren van een bewuste representatiepolitiek.</w:t>
      </w:r>
      <w:r w:rsidRPr="00F013D3">
        <w:rPr>
          <w:rStyle w:val="FootnoteReference"/>
          <w:rFonts w:ascii="Georgia" w:hAnsi="Georgia" w:cs="Calibri"/>
          <w:sz w:val="22"/>
          <w:szCs w:val="22"/>
          <w:lang w:val="nl-NL"/>
        </w:rPr>
        <w:footnoteReference w:id="122"/>
      </w:r>
    </w:p>
    <w:p w14:paraId="19174C2A" w14:textId="4A62486C" w:rsidR="002D7E7C" w:rsidRDefault="00A83076" w:rsidP="00C140A8">
      <w:pPr>
        <w:spacing w:afterLines="80" w:after="192" w:line="360" w:lineRule="auto"/>
        <w:jc w:val="both"/>
        <w:rPr>
          <w:rFonts w:ascii="Georgia" w:hAnsi="Georgia" w:cs="Calibri"/>
          <w:sz w:val="22"/>
          <w:szCs w:val="22"/>
          <w:lang w:val="nl-NL"/>
        </w:rPr>
      </w:pPr>
      <w:r>
        <w:rPr>
          <w:noProof/>
        </w:rPr>
        <mc:AlternateContent>
          <mc:Choice Requires="wps">
            <w:drawing>
              <wp:anchor distT="0" distB="0" distL="114300" distR="114300" simplePos="0" relativeHeight="251725311" behindDoc="0" locked="0" layoutInCell="1" allowOverlap="1" wp14:anchorId="5DF86B77" wp14:editId="753D3C8E">
                <wp:simplePos x="0" y="0"/>
                <wp:positionH relativeFrom="column">
                  <wp:posOffset>64135</wp:posOffset>
                </wp:positionH>
                <wp:positionV relativeFrom="paragraph">
                  <wp:posOffset>4059728</wp:posOffset>
                </wp:positionV>
                <wp:extent cx="5731510" cy="213995"/>
                <wp:effectExtent l="0" t="0" r="0" b="1905"/>
                <wp:wrapTopAndBottom/>
                <wp:docPr id="89481728" name="Text Box 1"/>
                <wp:cNvGraphicFramePr/>
                <a:graphic xmlns:a="http://schemas.openxmlformats.org/drawingml/2006/main">
                  <a:graphicData uri="http://schemas.microsoft.com/office/word/2010/wordprocessingShape">
                    <wps:wsp>
                      <wps:cNvSpPr txBox="1"/>
                      <wps:spPr>
                        <a:xfrm>
                          <a:off x="0" y="0"/>
                          <a:ext cx="5731510" cy="213995"/>
                        </a:xfrm>
                        <a:prstGeom prst="rect">
                          <a:avLst/>
                        </a:prstGeom>
                        <a:solidFill>
                          <a:prstClr val="white"/>
                        </a:solidFill>
                        <a:ln>
                          <a:noFill/>
                        </a:ln>
                      </wps:spPr>
                      <wps:txbx>
                        <w:txbxContent>
                          <w:p w14:paraId="3934FF21" w14:textId="1737D0FD" w:rsidR="00A83076" w:rsidRPr="00630011" w:rsidRDefault="00A83076" w:rsidP="00A83076">
                            <w:pPr>
                              <w:pStyle w:val="Caption"/>
                              <w:rPr>
                                <w:noProof/>
                              </w:rPr>
                            </w:pPr>
                            <w:bookmarkStart w:id="97" w:name="_Toc231462063"/>
                            <w:r w:rsidRPr="00A83076">
                              <w:rPr>
                                <w:b/>
                                <w:bCs/>
                              </w:rPr>
                              <w:t xml:space="preserve">Tabel </w:t>
                            </w:r>
                            <w:r w:rsidRPr="00A83076">
                              <w:rPr>
                                <w:b/>
                                <w:bCs/>
                              </w:rPr>
                              <w:fldChar w:fldCharType="begin"/>
                            </w:r>
                            <w:r w:rsidRPr="00A83076">
                              <w:rPr>
                                <w:b/>
                                <w:bCs/>
                              </w:rPr>
                              <w:instrText xml:space="preserve"> SEQ Tabel \* ARABIC </w:instrText>
                            </w:r>
                            <w:r w:rsidRPr="00A83076">
                              <w:rPr>
                                <w:b/>
                                <w:bCs/>
                              </w:rPr>
                              <w:fldChar w:fldCharType="separate"/>
                            </w:r>
                            <w:r w:rsidR="00F83A3D">
                              <w:rPr>
                                <w:b/>
                                <w:bCs/>
                                <w:noProof/>
                              </w:rPr>
                              <w:t>2</w:t>
                            </w:r>
                            <w:r w:rsidRPr="00A83076">
                              <w:rPr>
                                <w:b/>
                                <w:bCs/>
                              </w:rPr>
                              <w:fldChar w:fldCharType="end"/>
                            </w:r>
                            <w:r>
                              <w:t>: Aantal vermeldingen van Johanna en Wenceslas in de posten van de ‘foreine partieen’.</w:t>
                            </w:r>
                            <w:bookmarkEnd w:id="9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F86B77" id="_x0000_s1028" type="#_x0000_t202" style="position:absolute;left:0;text-align:left;margin-left:5.05pt;margin-top:319.65pt;width:451.3pt;height:16.85pt;z-index:25172531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" stroked="f">
                <v:textbox inset="0,0,0,0">
                  <w:txbxContent>
                    <w:p w14:paraId="3934FF21" w14:textId="1737D0FD" w:rsidR="00A83076" w:rsidRPr="00630011" w:rsidRDefault="00A83076" w:rsidP="00A83076">
                      <w:pPr>
                        <w:pStyle w:val="Caption"/>
                        <w:rPr>
                          <w:noProof/>
                        </w:rPr>
                      </w:pPr>
                      <w:bookmarkStart w:id="98" w:name="_Toc231462063"/>
                      <w:r w:rsidRPr="00A83076">
                        <w:rPr>
                          <w:b/>
                          <w:bCs/>
                        </w:rPr>
                        <w:t xml:space="preserve">Tabel </w:t>
                      </w:r>
                      <w:r w:rsidRPr="00A83076">
                        <w:rPr>
                          <w:b/>
                          <w:bCs/>
                        </w:rPr>
                        <w:fldChar w:fldCharType="begin"/>
                      </w:r>
                      <w:r w:rsidRPr="00A83076">
                        <w:rPr>
                          <w:b/>
                          <w:bCs/>
                        </w:rPr>
                        <w:instrText xml:space="preserve"> SEQ Tabel \* ARABIC </w:instrText>
                      </w:r>
                      <w:r w:rsidRPr="00A83076">
                        <w:rPr>
                          <w:b/>
                          <w:bCs/>
                        </w:rPr>
                        <w:fldChar w:fldCharType="separate"/>
                      </w:r>
                      <w:r w:rsidR="00F83A3D">
                        <w:rPr>
                          <w:b/>
                          <w:bCs/>
                          <w:noProof/>
                        </w:rPr>
                        <w:t>2</w:t>
                      </w:r>
                      <w:r w:rsidRPr="00A83076">
                        <w:rPr>
                          <w:b/>
                          <w:bCs/>
                        </w:rPr>
                        <w:fldChar w:fldCharType="end"/>
                      </w:r>
                      <w:r>
                        <w:t>: Aantal vermeldingen van Johanna en Wenceslas in de posten van de ‘foreine partieen’.</w:t>
                      </w:r>
                      <w:bookmarkEnd w:id="98"/>
                    </w:p>
                  </w:txbxContent>
                </v:textbox>
                <w10:wrap type="topAndBottom"/>
              </v:shape>
            </w:pict>
          </mc:Fallback>
        </mc:AlternateContent>
      </w:r>
      <w:r w:rsidR="007A4AC0" w:rsidRPr="00C140A8">
        <w:rPr>
          <w:rFonts w:ascii="Georgia" w:hAnsi="Georgia" w:cs="Calibri"/>
          <w:sz w:val="22"/>
          <w:szCs w:val="22"/>
          <w:lang w:val="nl-NL"/>
        </w:rPr>
        <w:t xml:space="preserve">Johanna erfde na de dood van haar drie broers het hertogdom Brabant en Limburg, maar de Brabantse inkomsten kwamen na haar aantreden als hertogin ook op naam van Wenceslas te staan. Dit betekende geenszins dat zij hier niet langer over kon beschikken. Dit blijkt </w:t>
      </w:r>
      <w:r w:rsidR="00C91110">
        <w:rPr>
          <w:rFonts w:ascii="Georgia" w:hAnsi="Georgia" w:cs="Calibri"/>
          <w:sz w:val="22"/>
          <w:szCs w:val="22"/>
          <w:lang w:val="nl-NL"/>
        </w:rPr>
        <w:t>al</w:t>
      </w:r>
      <w:r w:rsidR="007A4AC0" w:rsidRPr="00C140A8">
        <w:rPr>
          <w:rFonts w:ascii="Georgia" w:hAnsi="Georgia" w:cs="Calibri"/>
          <w:sz w:val="22"/>
          <w:szCs w:val="22"/>
          <w:lang w:val="nl-NL"/>
        </w:rPr>
        <w:t xml:space="preserve"> uit de </w:t>
      </w:r>
      <w:r w:rsidR="00A04FEC" w:rsidRPr="00C140A8">
        <w:rPr>
          <w:rFonts w:ascii="Georgia" w:hAnsi="Georgia" w:cs="Calibri"/>
          <w:sz w:val="22"/>
          <w:szCs w:val="22"/>
          <w:lang w:val="nl-NL"/>
        </w:rPr>
        <w:t>hertogelijke</w:t>
      </w:r>
      <w:r w:rsidR="007A4AC0" w:rsidRPr="00C140A8">
        <w:rPr>
          <w:rFonts w:ascii="Georgia" w:hAnsi="Georgia" w:cs="Calibri"/>
          <w:sz w:val="22"/>
          <w:szCs w:val="22"/>
          <w:lang w:val="nl-NL"/>
        </w:rPr>
        <w:t xml:space="preserve"> rekeningen</w:t>
      </w:r>
      <w:r w:rsidR="00CD2B4A" w:rsidRPr="00C140A8">
        <w:rPr>
          <w:rFonts w:ascii="Georgia" w:hAnsi="Georgia" w:cs="Calibri"/>
          <w:sz w:val="22"/>
          <w:szCs w:val="22"/>
          <w:lang w:val="nl-NL"/>
        </w:rPr>
        <w:t xml:space="preserve"> </w:t>
      </w:r>
      <w:r w:rsidR="007A4AC0" w:rsidRPr="00C140A8">
        <w:rPr>
          <w:rFonts w:ascii="Georgia" w:hAnsi="Georgia" w:cs="Calibri"/>
          <w:sz w:val="22"/>
          <w:szCs w:val="22"/>
          <w:lang w:val="nl-NL"/>
        </w:rPr>
        <w:t xml:space="preserve">waarin </w:t>
      </w:r>
      <w:r w:rsidR="00C074D8">
        <w:rPr>
          <w:rFonts w:ascii="Georgia" w:hAnsi="Georgia" w:cs="Calibri"/>
          <w:sz w:val="22"/>
          <w:szCs w:val="22"/>
          <w:lang w:val="nl-NL"/>
        </w:rPr>
        <w:t xml:space="preserve">een klerk </w:t>
      </w:r>
      <w:r w:rsidR="007A4AC0" w:rsidRPr="00C140A8">
        <w:rPr>
          <w:rFonts w:ascii="Georgia" w:hAnsi="Georgia" w:cs="Calibri"/>
          <w:sz w:val="22"/>
          <w:szCs w:val="22"/>
          <w:lang w:val="nl-NL"/>
        </w:rPr>
        <w:t>de inkomsten en uitgaven van Brabant en Limburg systematisch</w:t>
      </w:r>
      <w:r w:rsidR="005B7F3C" w:rsidRPr="00C140A8">
        <w:rPr>
          <w:rFonts w:ascii="Georgia" w:hAnsi="Georgia" w:cs="Calibri"/>
          <w:sz w:val="22"/>
          <w:szCs w:val="22"/>
          <w:lang w:val="nl-NL"/>
        </w:rPr>
        <w:t xml:space="preserve"> </w:t>
      </w:r>
      <w:r w:rsidR="00C074D8">
        <w:rPr>
          <w:rFonts w:ascii="Georgia" w:hAnsi="Georgia" w:cs="Calibri"/>
          <w:sz w:val="22"/>
          <w:szCs w:val="22"/>
          <w:lang w:val="nl-NL"/>
        </w:rPr>
        <w:t>noteerde</w:t>
      </w:r>
      <w:r w:rsidR="00CD2B4A" w:rsidRPr="00C140A8">
        <w:rPr>
          <w:rFonts w:ascii="Georgia" w:hAnsi="Georgia" w:cs="Calibri"/>
          <w:sz w:val="22"/>
          <w:szCs w:val="22"/>
          <w:lang w:val="nl-NL"/>
        </w:rPr>
        <w:t xml:space="preserve"> </w:t>
      </w:r>
      <w:r w:rsidR="007A4AC0" w:rsidRPr="00C140A8">
        <w:rPr>
          <w:rFonts w:ascii="Georgia" w:hAnsi="Georgia" w:cs="Calibri"/>
          <w:sz w:val="22"/>
          <w:szCs w:val="22"/>
          <w:lang w:val="nl-NL"/>
        </w:rPr>
        <w:t xml:space="preserve">en waarin Johanna aanzienlijk vaker </w:t>
      </w:r>
      <w:r w:rsidR="004A09F6" w:rsidRPr="00C140A8">
        <w:rPr>
          <w:rFonts w:ascii="Georgia" w:hAnsi="Georgia" w:cs="Calibri"/>
          <w:sz w:val="22"/>
          <w:szCs w:val="22"/>
          <w:lang w:val="nl-NL"/>
        </w:rPr>
        <w:t>verschijnt</w:t>
      </w:r>
      <w:r w:rsidR="007A4AC0" w:rsidRPr="00C140A8">
        <w:rPr>
          <w:rFonts w:ascii="Georgia" w:hAnsi="Georgia" w:cs="Calibri"/>
          <w:sz w:val="22"/>
          <w:szCs w:val="22"/>
          <w:lang w:val="nl-NL"/>
        </w:rPr>
        <w:t xml:space="preserve"> dan haar echtgenoot</w:t>
      </w:r>
      <w:r w:rsidR="00EC59DE" w:rsidRPr="00C140A8">
        <w:rPr>
          <w:rFonts w:ascii="Georgia" w:hAnsi="Georgia" w:cs="Calibri"/>
          <w:sz w:val="22"/>
          <w:szCs w:val="22"/>
          <w:lang w:val="nl-NL"/>
        </w:rPr>
        <w:t xml:space="preserve"> (</w:t>
      </w:r>
      <w:r w:rsidR="006F20DA">
        <w:rPr>
          <w:rFonts w:ascii="Georgia" w:hAnsi="Georgia" w:cs="Calibri"/>
          <w:sz w:val="22"/>
          <w:szCs w:val="22"/>
          <w:lang w:val="nl-NL"/>
        </w:rPr>
        <w:t>Zie tabel 2</w:t>
      </w:r>
      <w:r w:rsidR="00EC59DE" w:rsidRPr="00C140A8">
        <w:rPr>
          <w:rFonts w:ascii="Georgia" w:hAnsi="Georgia" w:cs="Calibri"/>
          <w:sz w:val="22"/>
          <w:szCs w:val="22"/>
          <w:lang w:val="nl-NL"/>
        </w:rPr>
        <w:t>)</w:t>
      </w:r>
      <w:r w:rsidR="002D7E7C">
        <w:rPr>
          <w:rFonts w:ascii="Georgia" w:hAnsi="Georgia" w:cs="Calibri"/>
          <w:sz w:val="22"/>
          <w:szCs w:val="22"/>
          <w:lang w:val="nl-NL"/>
        </w:rPr>
        <w:t>.</w:t>
      </w:r>
      <w:r w:rsidRPr="2D0D95AE">
        <w:rPr>
          <w:rStyle w:val="FootnoteReference"/>
          <w:rFonts w:ascii="Georgia" w:hAnsi="Georgia" w:cs="Calibri"/>
          <w:sz w:val="22"/>
          <w:szCs w:val="22"/>
          <w:lang w:val="nl-NL"/>
        </w:rPr>
        <w:footnoteReference w:id="123"/>
      </w:r>
      <w:r w:rsidR="00EC59DE" w:rsidRPr="00C140A8">
        <w:rPr>
          <w:rFonts w:ascii="Georgia" w:hAnsi="Georgia" w:cs="Calibri"/>
          <w:sz w:val="22"/>
          <w:szCs w:val="22"/>
          <w:lang w:val="nl-NL"/>
        </w:rPr>
        <w:t xml:space="preserve"> </w:t>
      </w:r>
      <w:r w:rsidR="007A4AC0" w:rsidRPr="00C140A8">
        <w:rPr>
          <w:rFonts w:ascii="Georgia" w:hAnsi="Georgia" w:cs="Calibri"/>
          <w:sz w:val="22"/>
          <w:szCs w:val="22"/>
          <w:lang w:val="nl-NL"/>
        </w:rPr>
        <w:t xml:space="preserve">De uitgaven in de </w:t>
      </w:r>
      <w:r w:rsidR="007A4AC0" w:rsidRPr="2D0D95AE">
        <w:rPr>
          <w:rFonts w:ascii="Georgia" w:hAnsi="Georgia" w:cs="Calibri"/>
          <w:i/>
          <w:iCs/>
          <w:sz w:val="22"/>
          <w:szCs w:val="22"/>
          <w:lang w:val="nl-NL"/>
        </w:rPr>
        <w:t>foreine partieën</w:t>
      </w:r>
      <w:r w:rsidR="007A4AC0" w:rsidRPr="00C140A8">
        <w:rPr>
          <w:rFonts w:ascii="Georgia" w:hAnsi="Georgia" w:cs="Calibri"/>
          <w:sz w:val="22"/>
          <w:szCs w:val="22"/>
          <w:lang w:val="nl-NL"/>
        </w:rPr>
        <w:t xml:space="preserve"> bestrijken een brede waaier </w:t>
      </w:r>
      <w:r w:rsidR="002D7E7C">
        <w:rPr>
          <w:rFonts w:ascii="Georgia" w:hAnsi="Georgia" w:cs="Calibri"/>
          <w:sz w:val="22"/>
          <w:szCs w:val="22"/>
          <w:lang w:val="nl-NL"/>
        </w:rPr>
        <w:t>aan</w:t>
      </w:r>
      <w:r w:rsidR="007A4AC0" w:rsidRPr="00C140A8">
        <w:rPr>
          <w:rFonts w:ascii="Georgia" w:hAnsi="Georgia" w:cs="Calibri"/>
          <w:sz w:val="22"/>
          <w:szCs w:val="22"/>
          <w:lang w:val="nl-NL"/>
        </w:rPr>
        <w:t xml:space="preserve"> posten: van diplomatieke geschenken, speelgelden en betalingen voor entertainment tot het uitbetalen van personeel, het onderhoud van haar kasteel in Tervuren en kosten voor reizen en communicatie.</w:t>
      </w:r>
      <w:r w:rsidR="007A4AC0" w:rsidRPr="00C140A8">
        <w:rPr>
          <w:rStyle w:val="FootnoteReference"/>
          <w:rFonts w:ascii="Georgia" w:hAnsi="Georgia" w:cs="Calibri"/>
          <w:sz w:val="22"/>
          <w:szCs w:val="22"/>
          <w:lang w:val="nl-NL"/>
        </w:rPr>
        <w:t xml:space="preserve"> </w:t>
      </w:r>
      <w:r w:rsidRPr="2D0D95AE">
        <w:rPr>
          <w:rStyle w:val="FootnoteReference"/>
          <w:rFonts w:ascii="Georgia" w:hAnsi="Georgia" w:cs="Calibri"/>
          <w:sz w:val="22"/>
          <w:szCs w:val="22"/>
          <w:lang w:val="nl-NL"/>
        </w:rPr>
        <w:footnoteReference w:id="124"/>
      </w:r>
      <w:r w:rsidR="002D7E7C">
        <w:rPr>
          <w:rFonts w:ascii="Georgia" w:hAnsi="Georgia" w:cs="Calibri"/>
          <w:noProof/>
          <w:sz w:val="22"/>
          <w:szCs w:val="22"/>
          <w:lang w:val="nl-NL"/>
          <w14:ligatures w14:val="standardContextual"/>
        </w:rPr>
        <w:drawing>
          <wp:anchor distT="0" distB="0" distL="114300" distR="114300" simplePos="0" relativeHeight="251691519" behindDoc="0" locked="0" layoutInCell="1" allowOverlap="1" wp14:anchorId="0BD5BC65" wp14:editId="0EAD5F84">
            <wp:simplePos x="0" y="0"/>
            <wp:positionH relativeFrom="column">
              <wp:posOffset>0</wp:posOffset>
            </wp:positionH>
            <wp:positionV relativeFrom="paragraph">
              <wp:posOffset>2140585</wp:posOffset>
            </wp:positionV>
            <wp:extent cx="5731510" cy="1920875"/>
            <wp:effectExtent l="0" t="0" r="0" b="0"/>
            <wp:wrapTopAndBottom/>
            <wp:docPr id="1066878727" name="Picture 12" descr="A tabl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878727" name="Picture 12" descr="A table with numbers and letters&#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1920875"/>
                    </a:xfrm>
                    <a:prstGeom prst="rect">
                      <a:avLst/>
                    </a:prstGeom>
                  </pic:spPr>
                </pic:pic>
              </a:graphicData>
            </a:graphic>
            <wp14:sizeRelH relativeFrom="page">
              <wp14:pctWidth>0</wp14:pctWidth>
            </wp14:sizeRelH>
            <wp14:sizeRelV relativeFrom="page">
              <wp14:pctHeight>0</wp14:pctHeight>
            </wp14:sizeRelV>
          </wp:anchor>
        </w:drawing>
      </w:r>
    </w:p>
    <w:p w14:paraId="06DA03A1" w14:textId="1FA30D5E" w:rsidR="0029025F" w:rsidRPr="00C140A8" w:rsidRDefault="007A4AC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lastRenderedPageBreak/>
        <w:t xml:space="preserve">Deze diverse uitgavenposten zullen in de volgende hoofdstukken uitgebreid aan bod komen. Dit hoofdstuk richt zich vooral op een tweede inkomstenbron, meer bepaald de persoonlijke </w:t>
      </w:r>
      <w:proofErr w:type="spellStart"/>
      <w:r w:rsidRPr="00C140A8">
        <w:rPr>
          <w:rFonts w:ascii="Georgia" w:hAnsi="Georgia" w:cs="Calibri"/>
          <w:sz w:val="22"/>
          <w:szCs w:val="22"/>
          <w:lang w:val="nl-NL"/>
        </w:rPr>
        <w:t>financiële</w:t>
      </w:r>
      <w:proofErr w:type="spellEnd"/>
      <w:r w:rsidRPr="00C140A8">
        <w:rPr>
          <w:rFonts w:ascii="Georgia" w:hAnsi="Georgia" w:cs="Calibri"/>
          <w:sz w:val="22"/>
          <w:szCs w:val="22"/>
          <w:lang w:val="nl-NL"/>
        </w:rPr>
        <w:t xml:space="preserve"> middelen die Johanna verkreeg uit haar twee huwelijken: haar weduwegoed en huwelijksgift van Willem IV, en </w:t>
      </w:r>
      <w:r w:rsidR="00F579AD">
        <w:rPr>
          <w:rFonts w:ascii="Georgia" w:hAnsi="Georgia" w:cs="Calibri"/>
          <w:sz w:val="22"/>
          <w:szCs w:val="22"/>
          <w:lang w:val="nl-NL"/>
        </w:rPr>
        <w:t>de</w:t>
      </w:r>
      <w:r w:rsidRPr="00C140A8">
        <w:rPr>
          <w:rFonts w:ascii="Georgia" w:hAnsi="Georgia" w:cs="Calibri"/>
          <w:sz w:val="22"/>
          <w:szCs w:val="22"/>
          <w:lang w:val="nl-NL"/>
        </w:rPr>
        <w:t xml:space="preserve"> </w:t>
      </w:r>
      <w:proofErr w:type="spellStart"/>
      <w:r w:rsidRPr="00C140A8">
        <w:rPr>
          <w:rFonts w:ascii="Georgia" w:hAnsi="Georgia" w:cs="Calibri"/>
          <w:sz w:val="22"/>
          <w:szCs w:val="22"/>
          <w:lang w:val="nl-NL"/>
        </w:rPr>
        <w:t>weduwegoed</w:t>
      </w:r>
      <w:r w:rsidR="00F579AD">
        <w:rPr>
          <w:rFonts w:ascii="Georgia" w:hAnsi="Georgia" w:cs="Calibri"/>
          <w:sz w:val="22"/>
          <w:szCs w:val="22"/>
          <w:lang w:val="nl-NL"/>
        </w:rPr>
        <w:t>en</w:t>
      </w:r>
      <w:proofErr w:type="spellEnd"/>
      <w:r w:rsidRPr="00C140A8">
        <w:rPr>
          <w:rFonts w:ascii="Georgia" w:hAnsi="Georgia" w:cs="Calibri"/>
          <w:sz w:val="22"/>
          <w:szCs w:val="22"/>
          <w:lang w:val="nl-NL"/>
        </w:rPr>
        <w:t xml:space="preserve"> van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De studie van deze inkomsten kan een interessant overzicht geven, passend binnen het tijdsbestek van deze masterproef. </w:t>
      </w:r>
      <w:r w:rsidR="00E31D1E" w:rsidRPr="00C140A8">
        <w:rPr>
          <w:rFonts w:ascii="Georgia" w:hAnsi="Georgia" w:cs="Calibri"/>
          <w:sz w:val="22"/>
          <w:szCs w:val="22"/>
          <w:lang w:val="nl-NL"/>
        </w:rPr>
        <w:t xml:space="preserve">J.A.M.Y. Bos-Rops bracht de Hollandse </w:t>
      </w:r>
      <w:r w:rsidR="00134061" w:rsidRPr="00C140A8">
        <w:rPr>
          <w:rFonts w:ascii="Georgia" w:hAnsi="Georgia" w:cs="Calibri"/>
          <w:sz w:val="22"/>
          <w:szCs w:val="22"/>
          <w:lang w:val="nl-NL"/>
        </w:rPr>
        <w:t>som</w:t>
      </w:r>
      <w:r w:rsidR="00E31D1E" w:rsidRPr="00C140A8">
        <w:rPr>
          <w:rFonts w:ascii="Georgia" w:hAnsi="Georgia" w:cs="Calibri"/>
          <w:sz w:val="22"/>
          <w:szCs w:val="22"/>
          <w:lang w:val="nl-NL"/>
        </w:rPr>
        <w:t xml:space="preserve"> eerder al goed in kaart</w:t>
      </w:r>
      <w:r w:rsidR="007954AA" w:rsidRPr="00C140A8">
        <w:rPr>
          <w:rFonts w:ascii="Georgia" w:hAnsi="Georgia" w:cs="Calibri"/>
          <w:sz w:val="22"/>
          <w:szCs w:val="22"/>
          <w:lang w:val="nl-NL"/>
        </w:rPr>
        <w:t xml:space="preserve"> en de inkomsten van de Henegouwse </w:t>
      </w:r>
      <w:proofErr w:type="spellStart"/>
      <w:r w:rsidR="00134061" w:rsidRPr="00C140A8">
        <w:rPr>
          <w:rFonts w:ascii="Georgia" w:hAnsi="Georgia" w:cs="Calibri"/>
          <w:sz w:val="22"/>
          <w:szCs w:val="22"/>
          <w:lang w:val="nl-NL"/>
        </w:rPr>
        <w:t>weduwegoeden</w:t>
      </w:r>
      <w:proofErr w:type="spellEnd"/>
      <w:r w:rsidR="007954AA" w:rsidRPr="00C140A8">
        <w:rPr>
          <w:rFonts w:ascii="Georgia" w:hAnsi="Georgia" w:cs="Calibri"/>
          <w:sz w:val="22"/>
          <w:szCs w:val="22"/>
          <w:lang w:val="nl-NL"/>
        </w:rPr>
        <w:t xml:space="preserve"> </w:t>
      </w:r>
      <w:r w:rsidR="00F90109" w:rsidRPr="00C140A8">
        <w:rPr>
          <w:rFonts w:ascii="Georgia" w:hAnsi="Georgia" w:cs="Calibri"/>
          <w:sz w:val="22"/>
          <w:szCs w:val="22"/>
          <w:lang w:val="nl-NL"/>
        </w:rPr>
        <w:t xml:space="preserve">bestudeerde Christiane </w:t>
      </w:r>
      <w:proofErr w:type="spellStart"/>
      <w:r w:rsidR="00F90109" w:rsidRPr="00C140A8">
        <w:rPr>
          <w:rFonts w:ascii="Georgia" w:hAnsi="Georgia" w:cs="Calibri"/>
          <w:sz w:val="22"/>
          <w:szCs w:val="22"/>
          <w:lang w:val="nl-NL"/>
        </w:rPr>
        <w:t>Piérard</w:t>
      </w:r>
      <w:proofErr w:type="spellEnd"/>
      <w:r w:rsidR="00134061" w:rsidRPr="00C140A8">
        <w:rPr>
          <w:rFonts w:ascii="Georgia" w:hAnsi="Georgia" w:cs="Calibri"/>
          <w:sz w:val="22"/>
          <w:szCs w:val="22"/>
          <w:lang w:val="nl-NL"/>
        </w:rPr>
        <w:t xml:space="preserve"> </w:t>
      </w:r>
      <w:r w:rsidR="00F579AD">
        <w:rPr>
          <w:rFonts w:ascii="Georgia" w:hAnsi="Georgia" w:cs="Calibri"/>
          <w:sz w:val="22"/>
          <w:szCs w:val="22"/>
          <w:lang w:val="nl-NL"/>
        </w:rPr>
        <w:t>al</w:t>
      </w:r>
      <w:r w:rsidR="00134061" w:rsidRPr="00C140A8">
        <w:rPr>
          <w:rFonts w:ascii="Georgia" w:hAnsi="Georgia" w:cs="Calibri"/>
          <w:sz w:val="22"/>
          <w:szCs w:val="22"/>
          <w:lang w:val="nl-NL"/>
        </w:rPr>
        <w:t xml:space="preserve"> uitgebreid</w:t>
      </w:r>
      <w:r w:rsidR="007954AA" w:rsidRPr="00C140A8">
        <w:rPr>
          <w:rFonts w:ascii="Georgia" w:hAnsi="Georgia" w:cs="Calibri"/>
          <w:sz w:val="22"/>
          <w:szCs w:val="22"/>
          <w:lang w:val="nl-NL"/>
        </w:rPr>
        <w:t>.</w:t>
      </w:r>
      <w:r w:rsidR="007954AA" w:rsidRPr="00C140A8">
        <w:rPr>
          <w:rStyle w:val="FootnoteReference"/>
          <w:rFonts w:ascii="Georgia" w:hAnsi="Georgia" w:cs="Calibri"/>
          <w:sz w:val="22"/>
          <w:szCs w:val="22"/>
          <w:lang w:val="nl-NL"/>
        </w:rPr>
        <w:footnoteReference w:id="125"/>
      </w:r>
      <w:r w:rsidR="007954AA" w:rsidRPr="00C140A8">
        <w:rPr>
          <w:rFonts w:ascii="Georgia" w:hAnsi="Georgia" w:cs="Calibri"/>
          <w:sz w:val="22"/>
          <w:szCs w:val="22"/>
          <w:lang w:val="nl-NL"/>
        </w:rPr>
        <w:t xml:space="preserve"> Deze omvangrijke studies geven een goed beeld weer </w:t>
      </w:r>
      <w:r w:rsidR="00F579AD">
        <w:rPr>
          <w:rFonts w:ascii="Georgia" w:hAnsi="Georgia" w:cs="Calibri"/>
          <w:sz w:val="22"/>
          <w:szCs w:val="22"/>
          <w:lang w:val="nl-NL"/>
        </w:rPr>
        <w:t>waaruit</w:t>
      </w:r>
      <w:r w:rsidR="007954AA" w:rsidRPr="00C140A8">
        <w:rPr>
          <w:rFonts w:ascii="Georgia" w:hAnsi="Georgia" w:cs="Calibri"/>
          <w:sz w:val="22"/>
          <w:szCs w:val="22"/>
          <w:lang w:val="nl-NL"/>
        </w:rPr>
        <w:t xml:space="preserve"> Johanna’s weduwegoederen bestonden, maar blijven beschrijvend van aard. </w:t>
      </w:r>
      <w:r w:rsidR="007954AA" w:rsidRPr="00C140A8">
        <w:rPr>
          <w:rFonts w:ascii="Georgia" w:eastAsiaTheme="majorEastAsia" w:hAnsi="Georgia" w:cs="Calibri"/>
          <w:sz w:val="22"/>
          <w:szCs w:val="22"/>
          <w:lang w:val="nl-NL"/>
        </w:rPr>
        <w:t xml:space="preserve">Dit hoofdstuk beoogt daarentegen te tonen hoe Johanna die inkomsten actief inzette als instrument van haar bestuur. Eerst </w:t>
      </w:r>
      <w:r w:rsidR="007954AA" w:rsidRPr="00C140A8">
        <w:rPr>
          <w:rFonts w:ascii="Georgia" w:hAnsi="Georgia" w:cs="Calibri"/>
          <w:sz w:val="22"/>
          <w:szCs w:val="22"/>
          <w:lang w:val="nl-NL"/>
        </w:rPr>
        <w:t xml:space="preserve">volgt een korte duiding bij de terminologie, waarna </w:t>
      </w:r>
      <w:r w:rsidR="007954AA" w:rsidRPr="00C140A8">
        <w:rPr>
          <w:rFonts w:ascii="Georgia" w:eastAsiaTheme="majorEastAsia" w:hAnsi="Georgia" w:cs="Calibri"/>
          <w:sz w:val="22"/>
          <w:szCs w:val="22"/>
          <w:lang w:val="nl-NL"/>
        </w:rPr>
        <w:t>een overzicht van de weduwegoederen uit Johanna's beide huwelijken</w:t>
      </w:r>
      <w:r w:rsidR="007954AA" w:rsidRPr="00C140A8">
        <w:rPr>
          <w:rFonts w:ascii="Georgia" w:hAnsi="Georgia" w:cs="Calibri"/>
          <w:sz w:val="22"/>
          <w:szCs w:val="22"/>
          <w:lang w:val="nl-NL"/>
        </w:rPr>
        <w:t xml:space="preserve"> volgt</w:t>
      </w:r>
      <w:r w:rsidR="007954AA" w:rsidRPr="00C140A8">
        <w:rPr>
          <w:rFonts w:ascii="Georgia" w:eastAsiaTheme="majorEastAsia" w:hAnsi="Georgia" w:cs="Calibri"/>
          <w:sz w:val="22"/>
          <w:szCs w:val="22"/>
          <w:lang w:val="nl-NL"/>
        </w:rPr>
        <w:t xml:space="preserve">. Vervolgens </w:t>
      </w:r>
      <w:r w:rsidR="00E214ED" w:rsidRPr="00C140A8">
        <w:rPr>
          <w:rFonts w:ascii="Georgia" w:hAnsi="Georgia" w:cs="Calibri"/>
          <w:sz w:val="22"/>
          <w:szCs w:val="22"/>
          <w:lang w:val="nl-NL"/>
        </w:rPr>
        <w:t>bespreekt dit hoofdstuk</w:t>
      </w:r>
      <w:r w:rsidR="007954AA" w:rsidRPr="00C140A8">
        <w:rPr>
          <w:rFonts w:ascii="Georgia" w:eastAsiaTheme="majorEastAsia" w:hAnsi="Georgia" w:cs="Calibri"/>
          <w:sz w:val="22"/>
          <w:szCs w:val="22"/>
          <w:lang w:val="nl-NL"/>
        </w:rPr>
        <w:t xml:space="preserve"> de inkomsten uit die bezittingen. Tot slot analyseer</w:t>
      </w:r>
      <w:r w:rsidR="00E734A6">
        <w:rPr>
          <w:rFonts w:ascii="Georgia" w:eastAsiaTheme="majorEastAsia" w:hAnsi="Georgia" w:cs="Calibri"/>
          <w:sz w:val="22"/>
          <w:szCs w:val="22"/>
          <w:lang w:val="nl-NL"/>
        </w:rPr>
        <w:t>t</w:t>
      </w:r>
      <w:r w:rsidR="007954AA" w:rsidRPr="00C140A8">
        <w:rPr>
          <w:rFonts w:ascii="Georgia" w:eastAsiaTheme="majorEastAsia" w:hAnsi="Georgia" w:cs="Calibri"/>
          <w:sz w:val="22"/>
          <w:szCs w:val="22"/>
          <w:lang w:val="nl-NL"/>
        </w:rPr>
        <w:t xml:space="preserve"> </w:t>
      </w:r>
      <w:r w:rsidR="00E734A6">
        <w:rPr>
          <w:rFonts w:ascii="Georgia" w:eastAsiaTheme="majorEastAsia" w:hAnsi="Georgia" w:cs="Calibri"/>
          <w:sz w:val="22"/>
          <w:szCs w:val="22"/>
          <w:lang w:val="nl-NL"/>
        </w:rPr>
        <w:t>het</w:t>
      </w:r>
      <w:r w:rsidR="007954AA" w:rsidRPr="00C140A8">
        <w:rPr>
          <w:rFonts w:ascii="Georgia" w:eastAsiaTheme="majorEastAsia" w:hAnsi="Georgia" w:cs="Calibri"/>
          <w:sz w:val="22"/>
          <w:szCs w:val="22"/>
          <w:lang w:val="nl-NL"/>
        </w:rPr>
        <w:t xml:space="preserve"> aan de hand van de proosdij Binche hoe </w:t>
      </w:r>
      <w:r w:rsidR="00F16B94" w:rsidRPr="00C140A8">
        <w:rPr>
          <w:rFonts w:ascii="Georgia" w:hAnsi="Georgia" w:cs="Calibri"/>
          <w:sz w:val="22"/>
          <w:szCs w:val="22"/>
          <w:lang w:val="nl-NL"/>
        </w:rPr>
        <w:t xml:space="preserve">Johanna </w:t>
      </w:r>
      <w:r w:rsidR="007954AA" w:rsidRPr="00C140A8">
        <w:rPr>
          <w:rFonts w:ascii="Georgia" w:eastAsiaTheme="majorEastAsia" w:hAnsi="Georgia" w:cs="Calibri"/>
          <w:sz w:val="22"/>
          <w:szCs w:val="22"/>
          <w:lang w:val="nl-NL"/>
        </w:rPr>
        <w:t xml:space="preserve">die inkomsten in de praktijk </w:t>
      </w:r>
      <w:r w:rsidR="00F16B94" w:rsidRPr="00C140A8">
        <w:rPr>
          <w:rFonts w:ascii="Georgia" w:hAnsi="Georgia" w:cs="Calibri"/>
          <w:sz w:val="22"/>
          <w:szCs w:val="22"/>
          <w:lang w:val="nl-NL"/>
        </w:rPr>
        <w:t>aanwendde</w:t>
      </w:r>
      <w:r w:rsidR="007954AA" w:rsidRPr="00C140A8">
        <w:rPr>
          <w:rFonts w:ascii="Georgia" w:eastAsiaTheme="majorEastAsia" w:hAnsi="Georgia" w:cs="Calibri"/>
          <w:sz w:val="22"/>
          <w:szCs w:val="22"/>
          <w:lang w:val="nl-NL"/>
        </w:rPr>
        <w:t>, en hoe ze bijdroegen aan Johanna's eigen bestuurspraktijk</w:t>
      </w:r>
      <w:r w:rsidR="00F16B94" w:rsidRPr="00C140A8">
        <w:rPr>
          <w:rFonts w:ascii="Georgia" w:hAnsi="Georgia" w:cs="Calibri"/>
          <w:i/>
          <w:iCs/>
          <w:sz w:val="22"/>
          <w:szCs w:val="22"/>
          <w:lang w:val="nl-NL"/>
        </w:rPr>
        <w:t>.</w:t>
      </w:r>
      <w:r w:rsidR="007954AA" w:rsidRPr="00C140A8">
        <w:rPr>
          <w:rStyle w:val="FootnoteReference"/>
          <w:rFonts w:ascii="Georgia" w:hAnsi="Georgia" w:cs="Calibri"/>
          <w:sz w:val="22"/>
          <w:szCs w:val="22"/>
          <w:lang w:val="nl-NL"/>
        </w:rPr>
        <w:footnoteReference w:id="126"/>
      </w:r>
    </w:p>
    <w:p w14:paraId="65E1816D" w14:textId="77777777" w:rsidR="001426E4" w:rsidRPr="00C140A8" w:rsidRDefault="001426E4" w:rsidP="00192268">
      <w:pPr>
        <w:pStyle w:val="ThesisHeading"/>
        <w:rPr>
          <w:lang w:val="nl-NL"/>
        </w:rPr>
      </w:pPr>
      <w:bookmarkStart w:id="99" w:name="_Toc231153765"/>
      <w:bookmarkStart w:id="100" w:name="_Toc231329836"/>
      <w:bookmarkStart w:id="101" w:name="_Toc231330443"/>
      <w:bookmarkStart w:id="102" w:name="_Toc231428037"/>
      <w:bookmarkStart w:id="103" w:name="_Toc231463603"/>
      <w:r w:rsidRPr="00C140A8">
        <w:rPr>
          <w:lang w:val="nl-NL"/>
        </w:rPr>
        <w:t>Huwelijk met Willem IV</w:t>
      </w:r>
      <w:bookmarkEnd w:id="99"/>
      <w:bookmarkEnd w:id="100"/>
      <w:bookmarkEnd w:id="101"/>
      <w:bookmarkEnd w:id="102"/>
      <w:bookmarkEnd w:id="103"/>
      <w:r w:rsidRPr="00C140A8">
        <w:rPr>
          <w:lang w:val="nl-NL"/>
        </w:rPr>
        <w:t xml:space="preserve"> </w:t>
      </w:r>
    </w:p>
    <w:p w14:paraId="7650187B" w14:textId="4D448C84" w:rsidR="00CC5671" w:rsidRPr="00C140A8" w:rsidRDefault="001426E4"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In 1336 was Johanna van Brabant voor een eerste maal gehuwd met Willem IV, graaf van Zeeland, Holland, en Henegouwen. </w:t>
      </w:r>
      <w:r w:rsidR="004A09F6" w:rsidRPr="00C140A8">
        <w:rPr>
          <w:rFonts w:ascii="Georgia" w:hAnsi="Georgia" w:cs="Calibri"/>
          <w:sz w:val="22"/>
          <w:szCs w:val="22"/>
          <w:lang w:val="nl-NL"/>
        </w:rPr>
        <w:t>Beide families sloten deze huwelijksovereenkomst al</w:t>
      </w:r>
      <w:r w:rsidRPr="00C140A8">
        <w:rPr>
          <w:rFonts w:ascii="Georgia" w:hAnsi="Georgia" w:cs="Calibri"/>
          <w:sz w:val="22"/>
          <w:szCs w:val="22"/>
          <w:lang w:val="nl-NL"/>
        </w:rPr>
        <w:t xml:space="preserve"> in 1322, vlak na Johanna’s geboorte, na een lange periode van politieke spanningen tussen de Brabantse hertog Jan III en de Hollandse en Henegouwse graaf Willem III. Een belangrijk twistpunt in hun relatie in de eerste twintig jaar van de veertiende eeuw was de controle over de heerlijkheid en de stad Heusden.</w:t>
      </w:r>
      <w:r w:rsidRPr="00C140A8">
        <w:rPr>
          <w:rStyle w:val="FootnoteReference"/>
          <w:rFonts w:ascii="Georgia" w:hAnsi="Georgia" w:cs="Calibri"/>
          <w:sz w:val="22"/>
          <w:szCs w:val="22"/>
          <w:lang w:val="nl-NL"/>
        </w:rPr>
        <w:footnoteReference w:id="127"/>
      </w:r>
      <w:r w:rsidRPr="00C140A8">
        <w:rPr>
          <w:rFonts w:ascii="Georgia" w:hAnsi="Georgia" w:cs="Calibri"/>
          <w:sz w:val="22"/>
          <w:szCs w:val="22"/>
          <w:lang w:val="nl-NL"/>
        </w:rPr>
        <w:t xml:space="preserve">  In 1318 had dit zelfs tot een kortstondige oorlog tussen beide vorsten geleid.</w:t>
      </w:r>
      <w:r w:rsidRPr="00C140A8">
        <w:rPr>
          <w:rStyle w:val="FootnoteReference"/>
          <w:rFonts w:ascii="Georgia" w:hAnsi="Georgia" w:cs="Calibri"/>
          <w:sz w:val="22"/>
          <w:szCs w:val="22"/>
          <w:lang w:val="nl-NL"/>
        </w:rPr>
        <w:footnoteReference w:id="128"/>
      </w:r>
      <w:r w:rsidRPr="00C140A8">
        <w:rPr>
          <w:rFonts w:ascii="Georgia" w:hAnsi="Georgia" w:cs="Calibri"/>
          <w:sz w:val="22"/>
          <w:szCs w:val="22"/>
          <w:lang w:val="nl-NL"/>
        </w:rPr>
        <w:t xml:space="preserve"> Vanuit het Hollandse perspectief was Brabant cruciaal, aangezien het geografisch precies tussen de eigen gebieden Henegouwen en Holland in lag. Het was dan ook van groot strategisch belang om Brabant te vriend te houden.</w:t>
      </w:r>
      <w:r w:rsidRPr="00C140A8">
        <w:rPr>
          <w:rStyle w:val="FootnoteReference"/>
          <w:rFonts w:ascii="Georgia" w:hAnsi="Georgia" w:cs="Calibri"/>
          <w:sz w:val="22"/>
          <w:szCs w:val="22"/>
          <w:lang w:val="nl-NL"/>
        </w:rPr>
        <w:footnoteReference w:id="129"/>
      </w:r>
      <w:r w:rsidRPr="00C140A8">
        <w:rPr>
          <w:rFonts w:ascii="Georgia" w:hAnsi="Georgia" w:cs="Calibri"/>
          <w:sz w:val="22"/>
          <w:szCs w:val="22"/>
          <w:lang w:val="nl-NL"/>
        </w:rPr>
        <w:t xml:space="preserve"> Een huwelijksalliantie bood hiervoor de oplossing. Johanna was nog maar net geboren toen er al een huwelijksregeling met de jonge Willem IV werd opgesteld. Daarin </w:t>
      </w:r>
      <w:r w:rsidR="004A09F6" w:rsidRPr="00C140A8">
        <w:rPr>
          <w:rFonts w:ascii="Georgia" w:hAnsi="Georgia" w:cs="Calibri"/>
          <w:sz w:val="22"/>
          <w:szCs w:val="22"/>
          <w:lang w:val="nl-NL"/>
        </w:rPr>
        <w:t>legt</w:t>
      </w:r>
      <w:r w:rsidRPr="00C140A8">
        <w:rPr>
          <w:rFonts w:ascii="Georgia" w:hAnsi="Georgia" w:cs="Calibri"/>
          <w:sz w:val="22"/>
          <w:szCs w:val="22"/>
          <w:lang w:val="nl-NL"/>
        </w:rPr>
        <w:t xml:space="preserve"> het huwelijkscontract </w:t>
      </w:r>
      <w:r w:rsidR="004A09F6" w:rsidRPr="00C140A8">
        <w:rPr>
          <w:rFonts w:ascii="Georgia" w:hAnsi="Georgia" w:cs="Calibri"/>
          <w:sz w:val="22"/>
          <w:szCs w:val="22"/>
          <w:lang w:val="nl-NL"/>
        </w:rPr>
        <w:t xml:space="preserve">twee zaken </w:t>
      </w:r>
      <w:r w:rsidRPr="00C140A8">
        <w:rPr>
          <w:rFonts w:ascii="Georgia" w:hAnsi="Georgia" w:cs="Calibri"/>
          <w:sz w:val="22"/>
          <w:szCs w:val="22"/>
          <w:lang w:val="nl-NL"/>
        </w:rPr>
        <w:t xml:space="preserve">al vast: de huwelijksgift en </w:t>
      </w:r>
      <w:r w:rsidR="00075E95">
        <w:rPr>
          <w:rFonts w:ascii="Georgia" w:hAnsi="Georgia" w:cs="Calibri"/>
          <w:sz w:val="22"/>
          <w:szCs w:val="22"/>
          <w:lang w:val="nl-NL"/>
        </w:rPr>
        <w:t>het weduwegoed</w:t>
      </w:r>
      <w:r w:rsidRPr="00C140A8">
        <w:rPr>
          <w:rFonts w:ascii="Georgia" w:hAnsi="Georgia" w:cs="Calibri"/>
          <w:sz w:val="22"/>
          <w:szCs w:val="22"/>
          <w:lang w:val="nl-NL"/>
        </w:rPr>
        <w:t xml:space="preserve">. </w:t>
      </w:r>
    </w:p>
    <w:p w14:paraId="1A0AE7C6" w14:textId="340C7F21" w:rsidR="0069129D" w:rsidRPr="00C140A8" w:rsidRDefault="001426E4" w:rsidP="00192268">
      <w:pPr>
        <w:pStyle w:val="ThesisSubheading"/>
        <w:rPr>
          <w:lang w:val="nl-NL"/>
        </w:rPr>
      </w:pPr>
      <w:bookmarkStart w:id="104" w:name="_Toc227399937"/>
      <w:bookmarkStart w:id="105" w:name="_Toc227674070"/>
      <w:bookmarkStart w:id="106" w:name="_Toc231153766"/>
      <w:bookmarkStart w:id="107" w:name="_Toc231329837"/>
      <w:bookmarkStart w:id="108" w:name="_Toc231330444"/>
      <w:bookmarkStart w:id="109" w:name="_Toc231428038"/>
      <w:r w:rsidRPr="00C140A8">
        <w:rPr>
          <w:lang w:val="nl-NL"/>
        </w:rPr>
        <w:lastRenderedPageBreak/>
        <w:t xml:space="preserve">De </w:t>
      </w:r>
      <w:bookmarkEnd w:id="104"/>
      <w:bookmarkEnd w:id="105"/>
      <w:proofErr w:type="spellStart"/>
      <w:r w:rsidR="00F5749A" w:rsidRPr="00192268">
        <w:t>huwelijksgift</w:t>
      </w:r>
      <w:bookmarkEnd w:id="106"/>
      <w:bookmarkEnd w:id="107"/>
      <w:bookmarkEnd w:id="108"/>
      <w:bookmarkEnd w:id="109"/>
      <w:proofErr w:type="spellEnd"/>
    </w:p>
    <w:p w14:paraId="0274A516" w14:textId="443094DB" w:rsidR="0069129D" w:rsidRPr="00C140A8" w:rsidRDefault="0069129D"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Johanna </w:t>
      </w:r>
      <w:r w:rsidR="00E734A6">
        <w:rPr>
          <w:rFonts w:ascii="Georgia" w:hAnsi="Georgia" w:cs="Calibri"/>
          <w:sz w:val="22"/>
          <w:szCs w:val="22"/>
          <w:lang w:val="nl-NL"/>
        </w:rPr>
        <w:t>verkreeg</w:t>
      </w:r>
      <w:r w:rsidRPr="00C140A8">
        <w:rPr>
          <w:rFonts w:ascii="Georgia" w:hAnsi="Georgia" w:cs="Calibri"/>
          <w:sz w:val="22"/>
          <w:szCs w:val="22"/>
          <w:lang w:val="nl-NL"/>
        </w:rPr>
        <w:t xml:space="preserve"> bij haar huwelijk allereerst een grote som van haar vader als 'huwelijksgift'.</w:t>
      </w:r>
      <w:r w:rsidRPr="00C140A8">
        <w:rPr>
          <w:rFonts w:ascii="Georgia" w:eastAsiaTheme="majorEastAsia" w:hAnsi="Georgia" w:cs="Calibri"/>
          <w:sz w:val="22"/>
          <w:szCs w:val="22"/>
          <w:lang w:val="nl-NL"/>
        </w:rPr>
        <w:t> </w:t>
      </w:r>
      <w:r w:rsidRPr="00C140A8">
        <w:rPr>
          <w:rFonts w:ascii="Georgia" w:hAnsi="Georgia" w:cs="Calibri"/>
          <w:sz w:val="22"/>
          <w:szCs w:val="22"/>
          <w:lang w:val="nl-NL"/>
        </w:rPr>
        <w:t xml:space="preserve">Deze gift past in een breder systeem binnen het adellijke erfrecht. Volgens Frederik </w:t>
      </w:r>
      <w:proofErr w:type="spellStart"/>
      <w:r w:rsidRPr="00C140A8">
        <w:rPr>
          <w:rFonts w:ascii="Georgia" w:hAnsi="Georgia" w:cs="Calibri"/>
          <w:sz w:val="22"/>
          <w:szCs w:val="22"/>
          <w:lang w:val="nl-NL"/>
        </w:rPr>
        <w:t>Buylaert</w:t>
      </w:r>
      <w:proofErr w:type="spellEnd"/>
      <w:r w:rsidRPr="00C140A8">
        <w:rPr>
          <w:rFonts w:ascii="Georgia" w:hAnsi="Georgia" w:cs="Calibri"/>
          <w:sz w:val="22"/>
          <w:szCs w:val="22"/>
          <w:lang w:val="nl-NL"/>
        </w:rPr>
        <w:t xml:space="preserve"> hadden adellijke families twee opties binnen het erfrecht</w:t>
      </w:r>
      <w:r w:rsidR="00E734A6">
        <w:rPr>
          <w:rFonts w:ascii="Georgia" w:hAnsi="Georgia" w:cs="Calibri"/>
          <w:sz w:val="22"/>
          <w:szCs w:val="22"/>
          <w:lang w:val="nl-NL"/>
        </w:rPr>
        <w:t>. O</w:t>
      </w:r>
      <w:r w:rsidRPr="00C140A8">
        <w:rPr>
          <w:rFonts w:ascii="Georgia" w:hAnsi="Georgia" w:cs="Calibri"/>
          <w:sz w:val="22"/>
          <w:szCs w:val="22"/>
          <w:lang w:val="nl-NL"/>
        </w:rPr>
        <w:t>fwel erfde de oudste zoon de volledige nalatenschap (primogenituur), ofwel was er een gelijkberechtiging van alle kinderen, wat in stedelijke kerngezinnen veelal voorkwam.</w:t>
      </w:r>
      <w:r w:rsidRPr="00C140A8">
        <w:rPr>
          <w:rStyle w:val="FootnoteReference"/>
          <w:rFonts w:ascii="Georgia" w:hAnsi="Georgia" w:cs="Calibri"/>
          <w:sz w:val="22"/>
          <w:szCs w:val="22"/>
          <w:lang w:val="nl-NL"/>
        </w:rPr>
        <w:footnoteReference w:id="130"/>
      </w:r>
      <w:r w:rsidRPr="00C140A8">
        <w:rPr>
          <w:rFonts w:ascii="Georgia" w:hAnsi="Georgia" w:cs="Calibri"/>
          <w:sz w:val="22"/>
          <w:szCs w:val="22"/>
          <w:lang w:val="nl-NL"/>
        </w:rPr>
        <w:t xml:space="preserve"> Het erfrecht en het huwelijk moesten in eerste instantie de rijkdom binnen de familie houden.</w:t>
      </w:r>
      <w:r w:rsidRPr="00C140A8">
        <w:rPr>
          <w:rStyle w:val="FootnoteReference"/>
          <w:rFonts w:ascii="Georgia" w:hAnsi="Georgia" w:cs="Calibri"/>
          <w:sz w:val="22"/>
          <w:szCs w:val="22"/>
          <w:lang w:val="nl-NL"/>
        </w:rPr>
        <w:footnoteReference w:id="131"/>
      </w:r>
      <w:r w:rsidRPr="00C140A8">
        <w:rPr>
          <w:rFonts w:ascii="Georgia" w:hAnsi="Georgia" w:cs="Calibri"/>
          <w:sz w:val="22"/>
          <w:szCs w:val="22"/>
          <w:lang w:val="nl-NL"/>
        </w:rPr>
        <w:t xml:space="preserve"> Die laatste optie bood weinig bescherming aan het patrimonium van de elite, waardoor de voorkeur doorgaans naar de oudste zoon ging, en indien er geen zonen waren, kon de dochter erven.</w:t>
      </w:r>
      <w:r w:rsidRPr="00C140A8">
        <w:rPr>
          <w:rStyle w:val="FootnoteReference"/>
          <w:rFonts w:ascii="Georgia" w:hAnsi="Georgia" w:cs="Calibri"/>
          <w:sz w:val="22"/>
          <w:szCs w:val="22"/>
          <w:lang w:val="nl-NL"/>
        </w:rPr>
        <w:footnoteReference w:id="132"/>
      </w:r>
      <w:r w:rsidRPr="00C140A8">
        <w:rPr>
          <w:rFonts w:ascii="Georgia" w:hAnsi="Georgia" w:cs="Calibri"/>
          <w:sz w:val="22"/>
          <w:szCs w:val="22"/>
          <w:lang w:val="nl-NL"/>
        </w:rPr>
        <w:t xml:space="preserve"> Toch </w:t>
      </w:r>
      <w:r w:rsidR="005040B7" w:rsidRPr="00C140A8">
        <w:rPr>
          <w:rFonts w:ascii="Georgia" w:hAnsi="Georgia" w:cs="Calibri"/>
          <w:sz w:val="22"/>
          <w:szCs w:val="22"/>
          <w:lang w:val="nl-NL"/>
        </w:rPr>
        <w:t>hielden de families</w:t>
      </w:r>
      <w:r w:rsidRPr="00C140A8">
        <w:rPr>
          <w:rFonts w:ascii="Georgia" w:hAnsi="Georgia" w:cs="Calibri"/>
          <w:sz w:val="22"/>
          <w:szCs w:val="22"/>
          <w:lang w:val="nl-NL"/>
        </w:rPr>
        <w:t xml:space="preserve"> ook rekening met de andere kinderen. Naast de leengoederen waren er ook een heleboel andere goederen die </w:t>
      </w:r>
      <w:r w:rsidR="005040B7" w:rsidRPr="00C140A8">
        <w:rPr>
          <w:rFonts w:ascii="Georgia" w:hAnsi="Georgia" w:cs="Calibri"/>
          <w:sz w:val="22"/>
          <w:szCs w:val="22"/>
          <w:lang w:val="nl-NL"/>
        </w:rPr>
        <w:t xml:space="preserve">ze </w:t>
      </w:r>
      <w:r w:rsidRPr="00C140A8">
        <w:rPr>
          <w:rFonts w:ascii="Georgia" w:hAnsi="Georgia" w:cs="Calibri"/>
          <w:sz w:val="22"/>
          <w:szCs w:val="22"/>
          <w:lang w:val="nl-NL"/>
        </w:rPr>
        <w:t>veel gelijkmatiger verdeelden over de nakomelingen.</w:t>
      </w:r>
      <w:r w:rsidRPr="00C140A8">
        <w:rPr>
          <w:rStyle w:val="FootnoteReference"/>
          <w:rFonts w:ascii="Georgia" w:hAnsi="Georgia" w:cs="Calibri"/>
          <w:sz w:val="22"/>
          <w:szCs w:val="22"/>
          <w:lang w:val="nl-NL"/>
        </w:rPr>
        <w:footnoteReference w:id="133"/>
      </w:r>
      <w:r w:rsidRPr="00C140A8">
        <w:rPr>
          <w:rFonts w:ascii="Georgia" w:hAnsi="Georgia" w:cs="Calibri"/>
          <w:sz w:val="22"/>
          <w:szCs w:val="22"/>
          <w:lang w:val="nl-NL"/>
        </w:rPr>
        <w:t xml:space="preserve"> De huwelijksgift die Johanna van Brabant ontving, vormt hiervan een concreet voorbeeld.</w:t>
      </w:r>
    </w:p>
    <w:p w14:paraId="4EFF5CB5" w14:textId="14AAD5BD" w:rsidR="001426E4" w:rsidRPr="00C140A8" w:rsidRDefault="001426E4"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Hertog Jan III beloofde zijn oudste dochter een huwelijksgift bestaande uit 3.000</w:t>
      </w:r>
      <w:r w:rsidR="00F85910" w:rsidRPr="00C140A8">
        <w:rPr>
          <w:rFonts w:ascii="Georgia" w:hAnsi="Georgia" w:cs="Calibri"/>
          <w:sz w:val="22"/>
          <w:szCs w:val="22"/>
          <w:lang w:val="nl-NL"/>
        </w:rPr>
        <w:t xml:space="preserve"> </w:t>
      </w:r>
      <w:proofErr w:type="spellStart"/>
      <w:r w:rsidR="00F85910" w:rsidRPr="00C140A8">
        <w:rPr>
          <w:rFonts w:ascii="Georgia" w:hAnsi="Georgia" w:cs="Calibri"/>
          <w:sz w:val="22"/>
          <w:szCs w:val="22"/>
          <w:lang w:val="nl-NL"/>
        </w:rPr>
        <w:t>tournooise</w:t>
      </w:r>
      <w:proofErr w:type="spellEnd"/>
      <w:r w:rsidRPr="00C140A8">
        <w:rPr>
          <w:rFonts w:ascii="Georgia" w:hAnsi="Georgia" w:cs="Calibri"/>
          <w:sz w:val="22"/>
          <w:szCs w:val="22"/>
          <w:lang w:val="nl-NL"/>
        </w:rPr>
        <w:t xml:space="preserve"> pond</w:t>
      </w:r>
      <w:r w:rsidR="00F85910" w:rsidRPr="00C140A8">
        <w:rPr>
          <w:rFonts w:ascii="Georgia" w:hAnsi="Georgia" w:cs="Calibri"/>
          <w:sz w:val="22"/>
          <w:szCs w:val="22"/>
          <w:lang w:val="nl-NL"/>
        </w:rPr>
        <w:t xml:space="preserve"> </w:t>
      </w:r>
      <w:r w:rsidRPr="00C140A8">
        <w:rPr>
          <w:rFonts w:ascii="Georgia" w:hAnsi="Georgia" w:cs="Calibri"/>
          <w:sz w:val="22"/>
          <w:szCs w:val="22"/>
          <w:lang w:val="nl-NL"/>
        </w:rPr>
        <w:t>landrente per jaar, aangevuld met een bedrag van 30.000 pond.</w:t>
      </w:r>
      <w:r w:rsidRPr="00C140A8">
        <w:rPr>
          <w:rStyle w:val="FootnoteReference"/>
          <w:rFonts w:ascii="Georgia" w:hAnsi="Georgia" w:cs="Calibri"/>
          <w:sz w:val="22"/>
          <w:szCs w:val="22"/>
          <w:lang w:val="nl-NL"/>
        </w:rPr>
        <w:footnoteReference w:id="134"/>
      </w:r>
      <w:r w:rsidRPr="00C140A8">
        <w:rPr>
          <w:rFonts w:ascii="Georgia" w:hAnsi="Georgia" w:cs="Calibri"/>
          <w:sz w:val="22"/>
          <w:szCs w:val="22"/>
          <w:lang w:val="nl-NL"/>
        </w:rPr>
        <w:t xml:space="preserve"> Dit bedrag zou ongewijzigd blijven, zelfs als Johanna de titel van hertogin zou verkrijgen. En al was in 1322 een dergelijke opvolging nog helemaal niet aan de orde, toch werd er wel al veiligheidshalve op geanticipeerd. Johanna was op dat moment het oudste en enige kind van Jan III. </w:t>
      </w:r>
      <w:r w:rsidR="00524D5C">
        <w:rPr>
          <w:rFonts w:ascii="Georgia" w:hAnsi="Georgia" w:cs="Calibri"/>
          <w:sz w:val="22"/>
          <w:szCs w:val="22"/>
          <w:lang w:val="nl-NL"/>
        </w:rPr>
        <w:t>Het</w:t>
      </w:r>
      <w:r w:rsidRPr="00C140A8">
        <w:rPr>
          <w:rFonts w:ascii="Georgia" w:hAnsi="Georgia" w:cs="Calibri"/>
          <w:sz w:val="22"/>
          <w:szCs w:val="22"/>
          <w:lang w:val="nl-NL"/>
        </w:rPr>
        <w:t xml:space="preserve"> contract </w:t>
      </w:r>
      <w:r w:rsidR="00524D5C">
        <w:rPr>
          <w:rFonts w:ascii="Georgia" w:hAnsi="Georgia" w:cs="Calibri"/>
          <w:sz w:val="22"/>
          <w:szCs w:val="22"/>
          <w:lang w:val="nl-NL"/>
        </w:rPr>
        <w:t>legde</w:t>
      </w:r>
      <w:r w:rsidRPr="00C140A8">
        <w:rPr>
          <w:rFonts w:ascii="Georgia" w:hAnsi="Georgia" w:cs="Calibri"/>
          <w:sz w:val="22"/>
          <w:szCs w:val="22"/>
          <w:lang w:val="nl-NL"/>
        </w:rPr>
        <w:t xml:space="preserve"> daarom specifiek </w:t>
      </w:r>
      <w:r w:rsidR="00524D5C">
        <w:rPr>
          <w:rFonts w:ascii="Georgia" w:hAnsi="Georgia" w:cs="Calibri"/>
          <w:sz w:val="22"/>
          <w:szCs w:val="22"/>
          <w:lang w:val="nl-NL"/>
        </w:rPr>
        <w:t>vast</w:t>
      </w:r>
      <w:r w:rsidRPr="00C140A8">
        <w:rPr>
          <w:rFonts w:ascii="Georgia" w:hAnsi="Georgia" w:cs="Calibri"/>
          <w:sz w:val="22"/>
          <w:szCs w:val="22"/>
          <w:lang w:val="nl-NL"/>
        </w:rPr>
        <w:t xml:space="preserve"> dat de hertog Johanna erkende als de wettige opvolgster van Brabant, mochten er definitief geen mannelijke erfgenamen meer komen.</w:t>
      </w:r>
      <w:r w:rsidRPr="00C140A8">
        <w:rPr>
          <w:rStyle w:val="FootnoteReference"/>
          <w:rFonts w:ascii="Georgia" w:hAnsi="Georgia" w:cs="Calibri"/>
          <w:sz w:val="22"/>
          <w:szCs w:val="22"/>
          <w:lang w:val="nl-NL"/>
        </w:rPr>
        <w:footnoteReference w:id="135"/>
      </w:r>
      <w:r w:rsidRPr="00C140A8">
        <w:rPr>
          <w:rFonts w:ascii="Georgia" w:hAnsi="Georgia" w:cs="Calibri"/>
          <w:sz w:val="22"/>
          <w:szCs w:val="22"/>
          <w:lang w:val="nl-NL"/>
        </w:rPr>
        <w:t xml:space="preserve">  Daarnaast bevatte het contract een bepaling dat indien Willem III van Holland en Henegouwen zou overlijden, zijn zoon hem zou opvolgen en Johanna gravin van Henegouwen zou worden. In dat scenario zou het bedrag </w:t>
      </w:r>
      <w:r w:rsidR="00524D5C">
        <w:rPr>
          <w:rFonts w:ascii="Georgia" w:hAnsi="Georgia" w:cs="Calibri"/>
          <w:sz w:val="22"/>
          <w:szCs w:val="22"/>
          <w:lang w:val="nl-NL"/>
        </w:rPr>
        <w:t xml:space="preserve">verhogen </w:t>
      </w:r>
      <w:r w:rsidRPr="00C140A8">
        <w:rPr>
          <w:rFonts w:ascii="Georgia" w:hAnsi="Georgia" w:cs="Calibri"/>
          <w:sz w:val="22"/>
          <w:szCs w:val="22"/>
          <w:lang w:val="nl-NL"/>
        </w:rPr>
        <w:t>naar 4.000 pond landrente per jaar en een eenmalige som van 40.000 pond.</w:t>
      </w:r>
      <w:r w:rsidRPr="00C140A8">
        <w:rPr>
          <w:rStyle w:val="FootnoteReference"/>
          <w:rFonts w:ascii="Georgia" w:hAnsi="Georgia" w:cs="Calibri"/>
          <w:sz w:val="22"/>
          <w:szCs w:val="22"/>
          <w:lang w:val="nl-NL"/>
        </w:rPr>
        <w:footnoteReference w:id="136"/>
      </w:r>
      <w:r w:rsidRPr="00C140A8">
        <w:rPr>
          <w:rFonts w:ascii="Georgia" w:hAnsi="Georgia" w:cs="Calibri"/>
          <w:sz w:val="22"/>
          <w:szCs w:val="22"/>
          <w:lang w:val="nl-NL"/>
        </w:rPr>
        <w:t xml:space="preserve">  De kans dat ze daadwerkelijk hertogin van Brabant zou worden, nam later echter aanzienlijk af door de geboorte van haar drie broers. </w:t>
      </w:r>
      <w:r w:rsidR="009020E0">
        <w:rPr>
          <w:rFonts w:ascii="Georgia" w:hAnsi="Georgia" w:cs="Calibri"/>
          <w:sz w:val="22"/>
          <w:szCs w:val="22"/>
          <w:lang w:val="nl-NL"/>
        </w:rPr>
        <w:t>Mee</w:t>
      </w:r>
      <w:r w:rsidRPr="00C140A8">
        <w:rPr>
          <w:rFonts w:ascii="Georgia" w:hAnsi="Georgia" w:cs="Calibri"/>
          <w:sz w:val="22"/>
          <w:szCs w:val="22"/>
          <w:lang w:val="nl-NL"/>
        </w:rPr>
        <w:t xml:space="preserve"> hierdoor en ter gelegenheid van enkele formele herbevestigingen van het huwelijk in de daaropvolgende tien jaar, </w:t>
      </w:r>
      <w:r w:rsidR="008B33B2" w:rsidRPr="00C140A8">
        <w:rPr>
          <w:rFonts w:ascii="Georgia" w:hAnsi="Georgia" w:cs="Calibri"/>
          <w:sz w:val="22"/>
          <w:szCs w:val="22"/>
          <w:lang w:val="nl-NL"/>
        </w:rPr>
        <w:t>steeg</w:t>
      </w:r>
      <w:r w:rsidRPr="00C140A8">
        <w:rPr>
          <w:rFonts w:ascii="Georgia" w:hAnsi="Georgia" w:cs="Calibri"/>
          <w:sz w:val="22"/>
          <w:szCs w:val="22"/>
          <w:lang w:val="nl-NL"/>
        </w:rPr>
        <w:t xml:space="preserve"> de totale som van de huwelijksgift uiteindelijk naar 80.000 gouden </w:t>
      </w:r>
      <w:r w:rsidR="009020E0">
        <w:rPr>
          <w:rFonts w:ascii="Georgia" w:hAnsi="Georgia" w:cs="Calibri"/>
          <w:sz w:val="22"/>
          <w:szCs w:val="22"/>
          <w:lang w:val="nl-NL"/>
        </w:rPr>
        <w:t>realen</w:t>
      </w:r>
      <w:r w:rsidRPr="00C140A8">
        <w:rPr>
          <w:rFonts w:ascii="Georgia" w:hAnsi="Georgia" w:cs="Calibri"/>
          <w:sz w:val="22"/>
          <w:szCs w:val="22"/>
          <w:lang w:val="nl-NL"/>
        </w:rPr>
        <w:t>.</w:t>
      </w:r>
      <w:r w:rsidRPr="00C140A8">
        <w:rPr>
          <w:rStyle w:val="FootnoteReference"/>
          <w:rFonts w:ascii="Georgia" w:hAnsi="Georgia" w:cs="Calibri"/>
          <w:sz w:val="22"/>
          <w:szCs w:val="22"/>
          <w:lang w:val="nl-NL"/>
        </w:rPr>
        <w:footnoteReference w:id="137"/>
      </w:r>
    </w:p>
    <w:p w14:paraId="33DCC7BA" w14:textId="78D669AE" w:rsidR="0069129D" w:rsidRPr="00C140A8" w:rsidRDefault="001426E4"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De huwelijksgift was echter niet vanzelfsprekend verworven. De regeling stuitte op aanzienlijke kritiek van de Brabantse steden die garant moesten staan voor de uitbetaling van het bedrag. Dit ongenoegen had overigens niet uitsluitend betrekking op het huwelijk van </w:t>
      </w:r>
      <w:r w:rsidRPr="00C140A8">
        <w:rPr>
          <w:rFonts w:ascii="Georgia" w:hAnsi="Georgia" w:cs="Calibri"/>
          <w:sz w:val="22"/>
          <w:szCs w:val="22"/>
          <w:lang w:val="nl-NL"/>
        </w:rPr>
        <w:lastRenderedPageBreak/>
        <w:t xml:space="preserve">Johanna. Bij de geboorte van Jan, de eerste zoon en troonopvolger van </w:t>
      </w:r>
      <w:r w:rsidR="00B811A1">
        <w:rPr>
          <w:rFonts w:ascii="Georgia" w:hAnsi="Georgia" w:cs="Calibri"/>
          <w:sz w:val="22"/>
          <w:szCs w:val="22"/>
          <w:lang w:val="nl-NL"/>
        </w:rPr>
        <w:t>Jan III</w:t>
      </w:r>
      <w:r w:rsidRPr="00C140A8">
        <w:rPr>
          <w:rFonts w:ascii="Georgia" w:hAnsi="Georgia" w:cs="Calibri"/>
          <w:sz w:val="22"/>
          <w:szCs w:val="22"/>
          <w:lang w:val="nl-NL"/>
        </w:rPr>
        <w:t xml:space="preserve"> in 1327, </w:t>
      </w:r>
      <w:r w:rsidR="005040B7" w:rsidRPr="00C140A8">
        <w:rPr>
          <w:rFonts w:ascii="Georgia" w:hAnsi="Georgia" w:cs="Calibri"/>
          <w:sz w:val="22"/>
          <w:szCs w:val="22"/>
          <w:lang w:val="nl-NL"/>
        </w:rPr>
        <w:t>stelde</w:t>
      </w:r>
      <w:r w:rsidR="009A365D">
        <w:rPr>
          <w:rFonts w:ascii="Georgia" w:hAnsi="Georgia" w:cs="Calibri"/>
          <w:sz w:val="22"/>
          <w:szCs w:val="22"/>
          <w:lang w:val="nl-NL"/>
        </w:rPr>
        <w:t xml:space="preserve"> </w:t>
      </w:r>
      <w:r w:rsidR="00B811A1">
        <w:rPr>
          <w:rFonts w:ascii="Georgia" w:hAnsi="Georgia" w:cs="Calibri"/>
          <w:sz w:val="22"/>
          <w:szCs w:val="22"/>
          <w:lang w:val="nl-NL"/>
        </w:rPr>
        <w:t>de hertog</w:t>
      </w:r>
      <w:r w:rsidRPr="00C140A8">
        <w:rPr>
          <w:rFonts w:ascii="Georgia" w:hAnsi="Georgia" w:cs="Calibri"/>
          <w:sz w:val="22"/>
          <w:szCs w:val="22"/>
          <w:lang w:val="nl-NL"/>
        </w:rPr>
        <w:t xml:space="preserve"> namelijk eveneens een overeenkomst op om hem uit te huwelijken aan Isabella van Henegouwen, de dochter van Willem III. Hoewel een dergelijke dubbele huwelijksalliantie (of reserve-alliantie) wel vaker voorkwam in de middeleeuwse politiek, waren de drie standen allerminst gediend met de zware </w:t>
      </w:r>
      <w:r w:rsidR="00926FD4" w:rsidRPr="00C140A8">
        <w:rPr>
          <w:rFonts w:ascii="Georgia" w:hAnsi="Georgia" w:cs="Calibri"/>
          <w:sz w:val="22"/>
          <w:szCs w:val="22"/>
          <w:lang w:val="nl-NL"/>
        </w:rPr>
        <w:t>financiële</w:t>
      </w:r>
      <w:r w:rsidRPr="00C140A8">
        <w:rPr>
          <w:rFonts w:ascii="Georgia" w:hAnsi="Georgia" w:cs="Calibri"/>
          <w:sz w:val="22"/>
          <w:szCs w:val="22"/>
          <w:lang w:val="nl-NL"/>
        </w:rPr>
        <w:t xml:space="preserve"> lasten die hiermee op hun schouders kwamen te rusten. De omvang van de huwelijksgiften vereiste grote sommen geld en aangezien de Brabantse schatkist onder Jan III toch al niet ruim gespijsd was, </w:t>
      </w:r>
      <w:r w:rsidR="00977582" w:rsidRPr="00C140A8">
        <w:rPr>
          <w:rFonts w:ascii="Georgia" w:hAnsi="Georgia" w:cs="Calibri"/>
          <w:sz w:val="22"/>
          <w:szCs w:val="22"/>
          <w:lang w:val="nl-NL"/>
        </w:rPr>
        <w:t>zag men zich genoodzaakt</w:t>
      </w:r>
      <w:r w:rsidRPr="00C140A8">
        <w:rPr>
          <w:rFonts w:ascii="Georgia" w:hAnsi="Georgia" w:cs="Calibri"/>
          <w:sz w:val="22"/>
          <w:szCs w:val="22"/>
          <w:lang w:val="nl-NL"/>
        </w:rPr>
        <w:t xml:space="preserve"> de belastingen </w:t>
      </w:r>
      <w:r w:rsidR="00977582" w:rsidRPr="00C140A8">
        <w:rPr>
          <w:rFonts w:ascii="Georgia" w:hAnsi="Georgia" w:cs="Calibri"/>
          <w:sz w:val="22"/>
          <w:szCs w:val="22"/>
          <w:lang w:val="nl-NL"/>
        </w:rPr>
        <w:t>te verhogen</w:t>
      </w:r>
      <w:r w:rsidRPr="00C140A8">
        <w:rPr>
          <w:rFonts w:ascii="Georgia" w:hAnsi="Georgia" w:cs="Calibri"/>
          <w:sz w:val="22"/>
          <w:szCs w:val="22"/>
          <w:lang w:val="nl-NL"/>
        </w:rPr>
        <w:t>.</w:t>
      </w:r>
      <w:r w:rsidRPr="00C140A8">
        <w:rPr>
          <w:rStyle w:val="FootnoteReference"/>
          <w:rFonts w:ascii="Georgia" w:hAnsi="Georgia" w:cs="Calibri"/>
          <w:sz w:val="22"/>
          <w:szCs w:val="22"/>
          <w:lang w:val="nl-NL"/>
        </w:rPr>
        <w:footnoteReference w:id="138"/>
      </w:r>
      <w:r w:rsidRPr="00C140A8">
        <w:rPr>
          <w:rFonts w:ascii="Georgia" w:hAnsi="Georgia" w:cs="Calibri"/>
          <w:sz w:val="22"/>
          <w:szCs w:val="22"/>
          <w:lang w:val="nl-NL"/>
        </w:rPr>
        <w:t xml:space="preserve"> In 1338 </w:t>
      </w:r>
      <w:r w:rsidR="00977582" w:rsidRPr="00C140A8">
        <w:rPr>
          <w:rFonts w:ascii="Georgia" w:hAnsi="Georgia" w:cs="Calibri"/>
          <w:sz w:val="22"/>
          <w:szCs w:val="22"/>
          <w:lang w:val="nl-NL"/>
        </w:rPr>
        <w:t>diende de geestelijkheid een formeel klaagschrift in</w:t>
      </w:r>
      <w:r w:rsidRPr="00C140A8">
        <w:rPr>
          <w:rFonts w:ascii="Georgia" w:hAnsi="Georgia" w:cs="Calibri"/>
          <w:sz w:val="22"/>
          <w:szCs w:val="22"/>
          <w:lang w:val="nl-NL"/>
        </w:rPr>
        <w:t xml:space="preserve"> bij zowel de hertog van Brabant als de graaf van Henegouwen. In dit document uitte de geestelijkheid felle kritiek op de zware financiële bijdragen die zij noodgedwongen moest leveren voor onder meer de huwelijken van de hertogelijke kinderen.</w:t>
      </w:r>
      <w:r w:rsidRPr="00C140A8">
        <w:rPr>
          <w:rStyle w:val="FootnoteReference"/>
          <w:rFonts w:ascii="Georgia" w:hAnsi="Georgia" w:cs="Calibri"/>
          <w:sz w:val="22"/>
          <w:szCs w:val="22"/>
          <w:lang w:val="nl-NL"/>
        </w:rPr>
        <w:footnoteReference w:id="139"/>
      </w:r>
      <w:r w:rsidRPr="00C140A8">
        <w:rPr>
          <w:rFonts w:ascii="Georgia" w:hAnsi="Georgia" w:cs="Calibri"/>
          <w:sz w:val="22"/>
          <w:szCs w:val="22"/>
          <w:lang w:val="nl-NL"/>
        </w:rPr>
        <w:t xml:space="preserve"> Daar stond juridisch gezien wel tegenover dat het Charter van Kortenberg (1312) </w:t>
      </w:r>
      <w:r w:rsidR="00977582" w:rsidRPr="00C140A8">
        <w:rPr>
          <w:rFonts w:ascii="Georgia" w:hAnsi="Georgia" w:cs="Calibri"/>
          <w:sz w:val="22"/>
          <w:szCs w:val="22"/>
          <w:lang w:val="nl-NL"/>
        </w:rPr>
        <w:t xml:space="preserve">eerder </w:t>
      </w:r>
      <w:r w:rsidR="00E91F41" w:rsidRPr="00C140A8">
        <w:rPr>
          <w:rFonts w:ascii="Georgia" w:hAnsi="Georgia" w:cs="Calibri"/>
          <w:sz w:val="22"/>
          <w:szCs w:val="22"/>
          <w:lang w:val="nl-NL"/>
        </w:rPr>
        <w:t xml:space="preserve">had </w:t>
      </w:r>
      <w:r w:rsidRPr="00C140A8">
        <w:rPr>
          <w:rFonts w:ascii="Georgia" w:hAnsi="Georgia" w:cs="Calibri"/>
          <w:sz w:val="22"/>
          <w:szCs w:val="22"/>
          <w:lang w:val="nl-NL"/>
        </w:rPr>
        <w:t>vastgelegd dat het huwelijk van een zoon of dochter van de hertog een legitieme reden vormde voor de inning van een bede.</w:t>
      </w:r>
      <w:r w:rsidRPr="00C140A8">
        <w:rPr>
          <w:rStyle w:val="FootnoteReference"/>
          <w:rFonts w:ascii="Georgia" w:hAnsi="Georgia" w:cs="Calibri"/>
          <w:sz w:val="22"/>
          <w:szCs w:val="22"/>
          <w:lang w:val="nl-NL"/>
        </w:rPr>
        <w:footnoteReference w:id="140"/>
      </w:r>
      <w:r w:rsidR="003511A7">
        <w:rPr>
          <w:rFonts w:ascii="Georgia" w:hAnsi="Georgia" w:cs="Calibri"/>
          <w:sz w:val="22"/>
          <w:szCs w:val="22"/>
          <w:lang w:val="nl-NL"/>
        </w:rPr>
        <w:t xml:space="preserve"> </w:t>
      </w:r>
      <w:r w:rsidRPr="00C140A8">
        <w:rPr>
          <w:rFonts w:ascii="Georgia" w:hAnsi="Georgia" w:cs="Calibri"/>
          <w:sz w:val="22"/>
          <w:szCs w:val="22"/>
          <w:lang w:val="nl-NL"/>
        </w:rPr>
        <w:t xml:space="preserve">In april 1334 </w:t>
      </w:r>
      <w:r w:rsidR="005040B7" w:rsidRPr="00C140A8">
        <w:rPr>
          <w:rFonts w:ascii="Georgia" w:hAnsi="Georgia" w:cs="Calibri"/>
          <w:sz w:val="22"/>
          <w:szCs w:val="22"/>
          <w:lang w:val="nl-NL"/>
        </w:rPr>
        <w:t>voltrokken zij uiteindelijk</w:t>
      </w:r>
      <w:r w:rsidRPr="00C140A8">
        <w:rPr>
          <w:rFonts w:ascii="Georgia" w:hAnsi="Georgia" w:cs="Calibri"/>
          <w:sz w:val="22"/>
          <w:szCs w:val="22"/>
          <w:lang w:val="nl-NL"/>
        </w:rPr>
        <w:t xml:space="preserve"> het huwelijk. De vier belangrijkste steden van het hertogdom, Leuven, Brussel, Antwerpen en 's-Hertogenbosch, namen hierbij de grootste </w:t>
      </w:r>
      <w:r w:rsidR="00826870" w:rsidRPr="00C140A8">
        <w:rPr>
          <w:rFonts w:ascii="Georgia" w:hAnsi="Georgia" w:cs="Calibri"/>
          <w:sz w:val="22"/>
          <w:szCs w:val="22"/>
          <w:lang w:val="nl-NL"/>
        </w:rPr>
        <w:t>financiële</w:t>
      </w:r>
      <w:r w:rsidRPr="00C140A8">
        <w:rPr>
          <w:rFonts w:ascii="Georgia" w:hAnsi="Georgia" w:cs="Calibri"/>
          <w:sz w:val="22"/>
          <w:szCs w:val="22"/>
          <w:lang w:val="nl-NL"/>
        </w:rPr>
        <w:t xml:space="preserve"> lasten voor hun rekening. Ook diverse middelgrote steden droegen echter bij aan de bekostiging van de festiviteiten en de huwelijksgift, die in maandelijkse rentes moest worden afbetaald.</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141"/>
      </w:r>
      <w:r w:rsidRPr="00C140A8">
        <w:rPr>
          <w:rFonts w:ascii="Georgia" w:hAnsi="Georgia" w:cs="Calibri"/>
          <w:sz w:val="22"/>
          <w:szCs w:val="22"/>
          <w:lang w:val="nl-NL"/>
        </w:rPr>
        <w:t xml:space="preserve"> </w:t>
      </w:r>
      <w:r w:rsidR="008D5293">
        <w:rPr>
          <w:rFonts w:ascii="Georgia" w:hAnsi="Georgia" w:cs="Calibri"/>
          <w:sz w:val="22"/>
          <w:szCs w:val="22"/>
          <w:lang w:val="nl-NL"/>
        </w:rPr>
        <w:t>Daarnaast</w:t>
      </w:r>
      <w:r w:rsidRPr="00C140A8">
        <w:rPr>
          <w:rFonts w:ascii="Georgia" w:hAnsi="Georgia" w:cs="Calibri"/>
          <w:sz w:val="22"/>
          <w:szCs w:val="22"/>
          <w:lang w:val="nl-NL"/>
        </w:rPr>
        <w:t xml:space="preserve"> moesten de steden in Henegouwen </w:t>
      </w:r>
      <w:r w:rsidR="008D5293">
        <w:rPr>
          <w:rFonts w:ascii="Georgia" w:hAnsi="Georgia" w:cs="Calibri"/>
          <w:sz w:val="22"/>
          <w:szCs w:val="22"/>
          <w:lang w:val="nl-NL"/>
        </w:rPr>
        <w:t xml:space="preserve">eveneens </w:t>
      </w:r>
      <w:r w:rsidRPr="00C140A8">
        <w:rPr>
          <w:rFonts w:ascii="Georgia" w:hAnsi="Georgia" w:cs="Calibri"/>
          <w:sz w:val="22"/>
          <w:szCs w:val="22"/>
          <w:lang w:val="nl-NL"/>
        </w:rPr>
        <w:t xml:space="preserve">bereid zijn om een </w:t>
      </w:r>
      <w:r w:rsidR="00826870" w:rsidRPr="00C140A8">
        <w:rPr>
          <w:rFonts w:ascii="Georgia" w:hAnsi="Georgia" w:cs="Calibri"/>
          <w:sz w:val="22"/>
          <w:szCs w:val="22"/>
          <w:lang w:val="nl-NL"/>
        </w:rPr>
        <w:t>financiële</w:t>
      </w:r>
      <w:r w:rsidRPr="00C140A8">
        <w:rPr>
          <w:rFonts w:ascii="Georgia" w:hAnsi="Georgia" w:cs="Calibri"/>
          <w:sz w:val="22"/>
          <w:szCs w:val="22"/>
          <w:lang w:val="nl-NL"/>
        </w:rPr>
        <w:t xml:space="preserve"> bijdrage te leveren aan deze overeenkomst.</w:t>
      </w:r>
      <w:r w:rsidRPr="00C140A8">
        <w:rPr>
          <w:rStyle w:val="FootnoteReference"/>
          <w:rFonts w:ascii="Georgia" w:hAnsi="Georgia" w:cs="Calibri"/>
          <w:sz w:val="22"/>
          <w:szCs w:val="22"/>
          <w:lang w:val="nl-NL"/>
        </w:rPr>
        <w:footnoteReference w:id="142"/>
      </w:r>
      <w:r w:rsidR="00F94A35" w:rsidRPr="00C140A8">
        <w:rPr>
          <w:rFonts w:ascii="Georgia" w:hAnsi="Georgia" w:cs="Calibri"/>
          <w:sz w:val="22"/>
          <w:szCs w:val="22"/>
          <w:lang w:val="nl-NL"/>
        </w:rPr>
        <w:t xml:space="preserve"> </w:t>
      </w:r>
      <w:r w:rsidRPr="00C140A8">
        <w:rPr>
          <w:rFonts w:ascii="Georgia" w:hAnsi="Georgia" w:cs="Calibri"/>
          <w:sz w:val="22"/>
          <w:szCs w:val="22"/>
          <w:lang w:val="nl-NL"/>
        </w:rPr>
        <w:t xml:space="preserve">Wanneer Willem IV in 1345 sneuvelde tijdens een expeditie tegen de Friezen, was nog maar de helft van Johanna's huwelijksgift uitbetaald. Er stond nog een bedrag van 40.000 gouden realen open. Jan III wees zijn dochter daarom een jaarlijkse rente toe van 4.000 gouden </w:t>
      </w:r>
      <w:r w:rsidR="00826870" w:rsidRPr="00C140A8">
        <w:rPr>
          <w:rFonts w:ascii="Georgia" w:hAnsi="Georgia" w:cs="Calibri"/>
          <w:sz w:val="22"/>
          <w:szCs w:val="22"/>
          <w:lang w:val="nl-NL"/>
        </w:rPr>
        <w:t>realen</w:t>
      </w:r>
      <w:r w:rsidRPr="00C140A8">
        <w:rPr>
          <w:rFonts w:ascii="Georgia" w:hAnsi="Georgia" w:cs="Calibri"/>
          <w:sz w:val="22"/>
          <w:szCs w:val="22"/>
          <w:lang w:val="nl-NL"/>
        </w:rPr>
        <w:t>, die gefinancierd moest worden uit de inkomsten van de steden Leuven, Tienen, 's-Hertogenbosch en Herentals.</w:t>
      </w:r>
      <w:r w:rsidRPr="00C140A8">
        <w:rPr>
          <w:rStyle w:val="FootnoteReference"/>
          <w:rFonts w:ascii="Georgia" w:hAnsi="Georgia" w:cs="Calibri"/>
          <w:sz w:val="22"/>
          <w:szCs w:val="22"/>
          <w:lang w:val="nl-NL"/>
        </w:rPr>
        <w:footnoteReference w:id="143"/>
      </w:r>
      <w:r w:rsidRPr="00C140A8">
        <w:rPr>
          <w:rFonts w:ascii="Georgia" w:hAnsi="Georgia" w:cs="Calibri"/>
          <w:sz w:val="22"/>
          <w:szCs w:val="22"/>
          <w:lang w:val="nl-NL"/>
        </w:rPr>
        <w:t xml:space="preserve"> Johanna verleende uiteindelijk haar vader een formele kwijting voor de totale som van 80.000 gouden </w:t>
      </w:r>
      <w:r w:rsidR="00826870" w:rsidRPr="00C140A8">
        <w:rPr>
          <w:rFonts w:ascii="Georgia" w:hAnsi="Georgia" w:cs="Calibri"/>
          <w:sz w:val="22"/>
          <w:szCs w:val="22"/>
          <w:lang w:val="nl-NL"/>
        </w:rPr>
        <w:t>realen</w:t>
      </w:r>
      <w:r w:rsidRPr="00C140A8">
        <w:rPr>
          <w:rFonts w:ascii="Georgia" w:hAnsi="Georgia" w:cs="Calibri"/>
          <w:sz w:val="22"/>
          <w:szCs w:val="22"/>
          <w:lang w:val="nl-NL"/>
        </w:rPr>
        <w:t>. Hierbij ging zij akkoord dat de resterende schuld via deze renteconstructie zou worden afgelost.</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144"/>
      </w:r>
      <w:r w:rsidRPr="00C140A8">
        <w:rPr>
          <w:rFonts w:ascii="Georgia" w:hAnsi="Georgia" w:cs="Calibri"/>
          <w:sz w:val="22"/>
          <w:szCs w:val="22"/>
          <w:lang w:val="nl-NL"/>
        </w:rPr>
        <w:t xml:space="preserve"> </w:t>
      </w:r>
    </w:p>
    <w:p w14:paraId="331A1368" w14:textId="08203F58" w:rsidR="0069129D" w:rsidRPr="00C140A8" w:rsidRDefault="0069129D" w:rsidP="00192268">
      <w:pPr>
        <w:pStyle w:val="ThesisSubheading"/>
        <w:rPr>
          <w:lang w:val="nl-NL"/>
        </w:rPr>
      </w:pPr>
      <w:bookmarkStart w:id="110" w:name="_Toc231153767"/>
      <w:bookmarkStart w:id="111" w:name="_Toc231329838"/>
      <w:bookmarkStart w:id="112" w:name="_Toc231330445"/>
      <w:bookmarkStart w:id="113" w:name="_Toc231428039"/>
      <w:r w:rsidRPr="00C140A8">
        <w:rPr>
          <w:lang w:val="nl-NL"/>
        </w:rPr>
        <w:t xml:space="preserve">Het </w:t>
      </w:r>
      <w:proofErr w:type="spellStart"/>
      <w:r w:rsidRPr="00192268">
        <w:t>weduwegoed</w:t>
      </w:r>
      <w:bookmarkEnd w:id="110"/>
      <w:bookmarkEnd w:id="111"/>
      <w:bookmarkEnd w:id="112"/>
      <w:bookmarkEnd w:id="113"/>
      <w:proofErr w:type="spellEnd"/>
    </w:p>
    <w:p w14:paraId="141305BC" w14:textId="37C14640" w:rsidR="0069129D" w:rsidRPr="00C140A8" w:rsidRDefault="0069129D" w:rsidP="00C140A8">
      <w:pPr>
        <w:spacing w:afterLines="80" w:after="192" w:line="360" w:lineRule="auto"/>
        <w:jc w:val="both"/>
        <w:rPr>
          <w:rFonts w:ascii="Georgia" w:hAnsi="Georgia" w:cs="Calibri"/>
          <w:i/>
          <w:iCs/>
          <w:sz w:val="22"/>
          <w:szCs w:val="22"/>
          <w:lang w:val="nl-NL"/>
        </w:rPr>
      </w:pPr>
      <w:r w:rsidRPr="00C140A8">
        <w:rPr>
          <w:rFonts w:ascii="Georgia" w:hAnsi="Georgia" w:cs="Calibri"/>
          <w:sz w:val="22"/>
          <w:szCs w:val="22"/>
          <w:lang w:val="nl-NL"/>
        </w:rPr>
        <w:t>Een weduwegoed diende specifiek als voorziening voor het weduwschap.</w:t>
      </w:r>
      <w:r w:rsidRPr="00C140A8">
        <w:rPr>
          <w:rStyle w:val="FootnoteReference"/>
          <w:rFonts w:ascii="Georgia" w:hAnsi="Georgia" w:cs="Calibri"/>
          <w:sz w:val="22"/>
          <w:szCs w:val="22"/>
          <w:lang w:val="nl-NL"/>
        </w:rPr>
        <w:footnoteReference w:id="145"/>
      </w:r>
      <w:r w:rsidRPr="00C140A8">
        <w:rPr>
          <w:rStyle w:val="FootnoteReference"/>
          <w:rFonts w:ascii="Georgia" w:hAnsi="Georgia" w:cs="Calibri"/>
          <w:sz w:val="22"/>
          <w:szCs w:val="22"/>
          <w:lang w:val="nl-NL"/>
        </w:rPr>
        <w:t xml:space="preserve"> </w:t>
      </w:r>
      <w:r w:rsidRPr="00C140A8">
        <w:rPr>
          <w:rFonts w:ascii="Georgia" w:hAnsi="Georgia" w:cs="Calibri"/>
          <w:sz w:val="22"/>
          <w:szCs w:val="22"/>
          <w:lang w:val="nl-NL"/>
        </w:rPr>
        <w:t>In principe kende de veertiende-eeuwse opvatting vier centrale kenmerken:</w:t>
      </w:r>
      <w:r w:rsidR="00110653">
        <w:rPr>
          <w:rFonts w:ascii="Georgia" w:hAnsi="Georgia" w:cs="Calibri"/>
          <w:sz w:val="22"/>
          <w:szCs w:val="22"/>
          <w:lang w:val="nl-NL"/>
        </w:rPr>
        <w:t xml:space="preserve"> (1) </w:t>
      </w:r>
      <w:r w:rsidR="00D159E3" w:rsidRPr="00C140A8">
        <w:rPr>
          <w:rFonts w:ascii="Georgia" w:hAnsi="Georgia" w:cs="Calibri"/>
          <w:sz w:val="22"/>
          <w:szCs w:val="22"/>
          <w:lang w:val="nl-NL"/>
        </w:rPr>
        <w:t xml:space="preserve">partijen bepaalden het </w:t>
      </w:r>
      <w:r w:rsidR="00D159E3" w:rsidRPr="00C140A8">
        <w:rPr>
          <w:rFonts w:ascii="Georgia" w:hAnsi="Georgia" w:cs="Calibri"/>
          <w:sz w:val="22"/>
          <w:szCs w:val="22"/>
          <w:lang w:val="nl-NL"/>
        </w:rPr>
        <w:lastRenderedPageBreak/>
        <w:t xml:space="preserve">weduwegoed vóór het huwelijk, </w:t>
      </w:r>
      <w:r w:rsidR="00110653">
        <w:rPr>
          <w:rFonts w:ascii="Georgia" w:hAnsi="Georgia" w:cs="Calibri"/>
          <w:sz w:val="22"/>
          <w:szCs w:val="22"/>
          <w:lang w:val="nl-NL"/>
        </w:rPr>
        <w:t xml:space="preserve">(2) </w:t>
      </w:r>
      <w:r w:rsidR="00D159E3" w:rsidRPr="00C140A8">
        <w:rPr>
          <w:rFonts w:ascii="Georgia" w:hAnsi="Georgia" w:cs="Calibri"/>
          <w:sz w:val="22"/>
          <w:szCs w:val="22"/>
          <w:lang w:val="nl-NL"/>
        </w:rPr>
        <w:t>de weduwe verwierf het na de huwelijksnacht en</w:t>
      </w:r>
      <w:r w:rsidR="00110653">
        <w:rPr>
          <w:rFonts w:ascii="Georgia" w:hAnsi="Georgia" w:cs="Calibri"/>
          <w:sz w:val="22"/>
          <w:szCs w:val="22"/>
          <w:lang w:val="nl-NL"/>
        </w:rPr>
        <w:t xml:space="preserve"> (3)</w:t>
      </w:r>
      <w:r w:rsidR="00D159E3" w:rsidRPr="00C140A8">
        <w:rPr>
          <w:rFonts w:ascii="Georgia" w:hAnsi="Georgia" w:cs="Calibri"/>
          <w:sz w:val="22"/>
          <w:szCs w:val="22"/>
          <w:lang w:val="nl-NL"/>
        </w:rPr>
        <w:t xml:space="preserve"> kon het pas opnemen</w:t>
      </w:r>
      <w:r w:rsidRPr="00C140A8">
        <w:rPr>
          <w:rFonts w:ascii="Georgia" w:hAnsi="Georgia" w:cs="Calibri"/>
          <w:sz w:val="22"/>
          <w:szCs w:val="22"/>
          <w:lang w:val="nl-NL"/>
        </w:rPr>
        <w:t xml:space="preserve"> bij het overlijden van de echtgenoot, waarbij </w:t>
      </w:r>
      <w:r w:rsidR="00BD60BF">
        <w:rPr>
          <w:rFonts w:ascii="Georgia" w:hAnsi="Georgia" w:cs="Calibri"/>
          <w:sz w:val="22"/>
          <w:szCs w:val="22"/>
          <w:lang w:val="nl-NL"/>
        </w:rPr>
        <w:t xml:space="preserve">(4) </w:t>
      </w:r>
      <w:r w:rsidRPr="00C140A8">
        <w:rPr>
          <w:rFonts w:ascii="Georgia" w:hAnsi="Georgia" w:cs="Calibri"/>
          <w:sz w:val="22"/>
          <w:szCs w:val="22"/>
          <w:lang w:val="nl-NL"/>
        </w:rPr>
        <w:t xml:space="preserve">de weduwe enkel het vruchtgebruik van de domeinen verkreeg. Volledige eigenares werd zij </w:t>
      </w:r>
      <w:r w:rsidR="00BD60BF">
        <w:rPr>
          <w:rFonts w:ascii="Georgia" w:hAnsi="Georgia" w:cs="Calibri"/>
          <w:sz w:val="22"/>
          <w:szCs w:val="22"/>
          <w:lang w:val="nl-NL"/>
        </w:rPr>
        <w:t>dus</w:t>
      </w:r>
      <w:r w:rsidRPr="00C140A8">
        <w:rPr>
          <w:rFonts w:ascii="Georgia" w:hAnsi="Georgia" w:cs="Calibri"/>
          <w:sz w:val="22"/>
          <w:szCs w:val="22"/>
          <w:lang w:val="nl-NL"/>
        </w:rPr>
        <w:t xml:space="preserve"> nooit. Na haar dood keerden de goederen terug naar de erfgenamen van haar man.</w:t>
      </w:r>
      <w:r w:rsidRPr="00C140A8">
        <w:rPr>
          <w:rStyle w:val="FootnoteReference"/>
          <w:rFonts w:ascii="Georgia" w:hAnsi="Georgia" w:cs="Calibri"/>
          <w:sz w:val="22"/>
          <w:szCs w:val="22"/>
          <w:lang w:val="nl-NL"/>
        </w:rPr>
        <w:footnoteReference w:id="146"/>
      </w:r>
      <w:r w:rsidRPr="00C140A8">
        <w:rPr>
          <w:rFonts w:ascii="Georgia" w:hAnsi="Georgia" w:cs="Calibri"/>
          <w:sz w:val="22"/>
          <w:szCs w:val="22"/>
          <w:lang w:val="nl-NL"/>
        </w:rPr>
        <w:t xml:space="preserve"> Deze stipulaties werden pas vanaf de late middeleeuwen vastge</w:t>
      </w:r>
      <w:r w:rsidR="00A877EB" w:rsidRPr="00C140A8">
        <w:rPr>
          <w:rFonts w:ascii="Georgia" w:hAnsi="Georgia" w:cs="Calibri"/>
          <w:sz w:val="22"/>
          <w:szCs w:val="22"/>
          <w:lang w:val="nl-NL"/>
        </w:rPr>
        <w:t>leg</w:t>
      </w:r>
      <w:r w:rsidRPr="00C140A8">
        <w:rPr>
          <w:rFonts w:ascii="Georgia" w:hAnsi="Georgia" w:cs="Calibri"/>
          <w:sz w:val="22"/>
          <w:szCs w:val="22"/>
          <w:lang w:val="nl-NL"/>
        </w:rPr>
        <w:t xml:space="preserve">d in de juridische bronnen van het Heilig Roomse Rijk, </w:t>
      </w:r>
      <w:r w:rsidR="00A877EB" w:rsidRPr="00C140A8">
        <w:rPr>
          <w:rFonts w:ascii="Georgia" w:hAnsi="Georgia" w:cs="Calibri"/>
          <w:sz w:val="22"/>
          <w:szCs w:val="22"/>
          <w:lang w:val="nl-NL"/>
        </w:rPr>
        <w:t>waartoe</w:t>
      </w:r>
      <w:r w:rsidRPr="00C140A8">
        <w:rPr>
          <w:rFonts w:ascii="Georgia" w:hAnsi="Georgia" w:cs="Calibri"/>
          <w:sz w:val="22"/>
          <w:szCs w:val="22"/>
          <w:lang w:val="nl-NL"/>
        </w:rPr>
        <w:t xml:space="preserve"> Brabant behoorde.</w:t>
      </w:r>
      <w:r w:rsidRPr="00C140A8">
        <w:rPr>
          <w:rStyle w:val="FootnoteReference"/>
          <w:rFonts w:ascii="Georgia" w:hAnsi="Georgia" w:cs="Calibri"/>
          <w:sz w:val="22"/>
          <w:szCs w:val="22"/>
          <w:lang w:val="nl-NL"/>
        </w:rPr>
        <w:footnoteReference w:id="147"/>
      </w:r>
      <w:r w:rsidRPr="00C140A8">
        <w:rPr>
          <w:rFonts w:ascii="Georgia" w:hAnsi="Georgia" w:cs="Calibri"/>
          <w:sz w:val="22"/>
          <w:szCs w:val="22"/>
          <w:lang w:val="nl-NL"/>
        </w:rPr>
        <w:t xml:space="preserve"> Binnen dit rijk konden vorstinnen genieten van de inkomsten van deze domeinen.</w:t>
      </w:r>
      <w:r w:rsidRPr="00C140A8">
        <w:rPr>
          <w:rStyle w:val="FootnoteReference"/>
          <w:rFonts w:ascii="Georgia" w:hAnsi="Georgia" w:cs="Calibri"/>
          <w:sz w:val="22"/>
          <w:szCs w:val="22"/>
          <w:lang w:val="nl-NL"/>
        </w:rPr>
        <w:footnoteReference w:id="148"/>
      </w:r>
      <w:r w:rsidRPr="00C140A8">
        <w:rPr>
          <w:rFonts w:ascii="Georgia" w:hAnsi="Georgia" w:cs="Calibri"/>
          <w:i/>
          <w:iCs/>
          <w:sz w:val="22"/>
          <w:szCs w:val="22"/>
          <w:lang w:val="nl-NL"/>
        </w:rPr>
        <w:t xml:space="preserve"> </w:t>
      </w:r>
    </w:p>
    <w:p w14:paraId="38CFAD40" w14:textId="7F9EDEE6" w:rsidR="0069129D" w:rsidRPr="00C140A8" w:rsidRDefault="0069129D" w:rsidP="00C140A8">
      <w:pPr>
        <w:spacing w:afterLines="80" w:after="192" w:line="360" w:lineRule="auto"/>
        <w:jc w:val="both"/>
        <w:rPr>
          <w:rFonts w:ascii="Georgia" w:hAnsi="Georgia" w:cs="Calibri"/>
          <w:strike/>
          <w:sz w:val="22"/>
          <w:szCs w:val="22"/>
          <w:lang w:val="nl-NL"/>
        </w:rPr>
      </w:pPr>
      <w:r w:rsidRPr="00C140A8">
        <w:rPr>
          <w:rFonts w:ascii="Georgia" w:hAnsi="Georgia" w:cs="Calibri"/>
          <w:sz w:val="22"/>
          <w:szCs w:val="22"/>
          <w:lang w:val="nl-NL"/>
        </w:rPr>
        <w:t xml:space="preserve">Daarnaast hing de toewijzing van </w:t>
      </w:r>
      <w:r w:rsidR="006755AA">
        <w:rPr>
          <w:rFonts w:ascii="Georgia" w:hAnsi="Georgia" w:cs="Calibri"/>
          <w:sz w:val="22"/>
          <w:szCs w:val="22"/>
          <w:lang w:val="nl-NL"/>
        </w:rPr>
        <w:t xml:space="preserve">een weduwegoed </w:t>
      </w:r>
      <w:r w:rsidRPr="00C140A8">
        <w:rPr>
          <w:rFonts w:ascii="Georgia" w:hAnsi="Georgia" w:cs="Calibri"/>
          <w:sz w:val="22"/>
          <w:szCs w:val="22"/>
          <w:lang w:val="nl-NL"/>
        </w:rPr>
        <w:t xml:space="preserve">af van een samenloop van omstandigheden, bijvoorbeeld omdat bepaalde domeinen gewoon nog niet vrij waren op het ogenblik van het huwelijk. Dit leidde vaak tot ketens van toezeggingen, waarbij men een </w:t>
      </w:r>
      <w:proofErr w:type="gramStart"/>
      <w:r w:rsidRPr="00C140A8">
        <w:rPr>
          <w:rFonts w:ascii="Georgia" w:hAnsi="Georgia" w:cs="Calibri"/>
          <w:sz w:val="22"/>
          <w:szCs w:val="22"/>
          <w:lang w:val="nl-NL"/>
        </w:rPr>
        <w:t>reeds</w:t>
      </w:r>
      <w:proofErr w:type="gramEnd"/>
      <w:r w:rsidRPr="00C140A8">
        <w:rPr>
          <w:rFonts w:ascii="Georgia" w:hAnsi="Georgia" w:cs="Calibri"/>
          <w:sz w:val="22"/>
          <w:szCs w:val="22"/>
          <w:lang w:val="nl-NL"/>
        </w:rPr>
        <w:t xml:space="preserve"> toegekende douarie alvast beloofde aan een nieuwe vorstin, nog voordat de huidige was overleden.</w:t>
      </w:r>
      <w:r w:rsidRPr="00C140A8">
        <w:rPr>
          <w:rStyle w:val="FootnoteReference"/>
          <w:rFonts w:ascii="Georgia" w:hAnsi="Georgia" w:cs="Calibri"/>
          <w:sz w:val="22"/>
          <w:szCs w:val="22"/>
          <w:lang w:val="nl-NL"/>
        </w:rPr>
        <w:footnoteReference w:id="149"/>
      </w:r>
      <w:r w:rsidRPr="00C140A8">
        <w:rPr>
          <w:rFonts w:ascii="Georgia" w:hAnsi="Georgia" w:cs="Calibri"/>
          <w:sz w:val="22"/>
          <w:szCs w:val="22"/>
          <w:lang w:val="nl-NL"/>
        </w:rPr>
        <w:t xml:space="preserve"> Bijvoorbeeld, in het geval van Margaretha van Bourgondië bepaalde het weduwegoed van Johanna van Brabant </w:t>
      </w:r>
      <w:r w:rsidR="00BD60BF">
        <w:rPr>
          <w:rFonts w:ascii="Georgia" w:hAnsi="Georgia" w:cs="Calibri"/>
          <w:sz w:val="22"/>
          <w:szCs w:val="22"/>
          <w:lang w:val="nl-NL"/>
        </w:rPr>
        <w:t>mee</w:t>
      </w:r>
      <w:r w:rsidRPr="00C140A8">
        <w:rPr>
          <w:rFonts w:ascii="Georgia" w:hAnsi="Georgia" w:cs="Calibri"/>
          <w:sz w:val="22"/>
          <w:szCs w:val="22"/>
          <w:lang w:val="nl-NL"/>
        </w:rPr>
        <w:t xml:space="preserve"> over welke domeinen zij in 1385 kon beschikken. Vele gebieden in Henegouwen maakten immers al zo'n vijfentwintig jaar deel uit van Johanna's douarie.</w:t>
      </w:r>
      <w:r w:rsidRPr="00C140A8">
        <w:rPr>
          <w:rStyle w:val="FootnoteReference"/>
          <w:rFonts w:ascii="Georgia" w:hAnsi="Georgia" w:cs="Calibri"/>
          <w:sz w:val="22"/>
          <w:szCs w:val="22"/>
          <w:lang w:val="nl-NL"/>
        </w:rPr>
        <w:footnoteReference w:id="150"/>
      </w:r>
      <w:r w:rsidRPr="00C140A8">
        <w:rPr>
          <w:rFonts w:ascii="Georgia" w:hAnsi="Georgia" w:cs="Calibri"/>
          <w:sz w:val="22"/>
          <w:szCs w:val="22"/>
          <w:lang w:val="nl-NL"/>
        </w:rPr>
        <w:t xml:space="preserve">  </w:t>
      </w:r>
    </w:p>
    <w:p w14:paraId="2A582F15" w14:textId="2CC35FC0" w:rsidR="0069129D" w:rsidRPr="00C140A8" w:rsidRDefault="0069129D"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Daarnaast stond de financiële onafhankelijkheid die een weduwegoed bood, bovendien allerminst vast. Er ontstonden regelmatig conflicten met familieleden of concurrenten die, vanuit een bredere politieke context, evenzeer aanspraak maakten op de betreffende gebieden.</w:t>
      </w:r>
      <w:r w:rsidRPr="00C140A8">
        <w:rPr>
          <w:rStyle w:val="FootnoteReference"/>
          <w:rFonts w:ascii="Georgia" w:hAnsi="Georgia" w:cs="Calibri"/>
          <w:sz w:val="22"/>
          <w:szCs w:val="22"/>
          <w:lang w:val="nl-NL"/>
        </w:rPr>
        <w:footnoteReference w:id="151"/>
      </w:r>
      <w:r w:rsidRPr="00C140A8">
        <w:rPr>
          <w:rFonts w:ascii="Georgia" w:hAnsi="Georgia" w:cs="Calibri"/>
          <w:sz w:val="22"/>
          <w:szCs w:val="22"/>
          <w:lang w:val="nl-NL"/>
        </w:rPr>
        <w:t xml:space="preserve">  Een goed voorbeeld </w:t>
      </w:r>
      <w:r w:rsidR="00FA5B92">
        <w:rPr>
          <w:rFonts w:ascii="Georgia" w:hAnsi="Georgia" w:cs="Calibri"/>
          <w:sz w:val="22"/>
          <w:szCs w:val="22"/>
          <w:lang w:val="nl-NL"/>
        </w:rPr>
        <w:t>was</w:t>
      </w:r>
      <w:r w:rsidRPr="00C140A8">
        <w:rPr>
          <w:rFonts w:ascii="Georgia" w:hAnsi="Georgia" w:cs="Calibri"/>
          <w:sz w:val="22"/>
          <w:szCs w:val="22"/>
          <w:lang w:val="nl-NL"/>
        </w:rPr>
        <w:t xml:space="preserve"> de betwisting van de weduwegoederen van Margaretha van York die ze had verkregen na de dood van Karel de Stoute. Margaretha’s aanspraak op haar weduwegoederen ging </w:t>
      </w:r>
      <w:proofErr w:type="gramStart"/>
      <w:r w:rsidRPr="00C140A8">
        <w:rPr>
          <w:rFonts w:ascii="Georgia" w:hAnsi="Georgia" w:cs="Calibri"/>
          <w:sz w:val="22"/>
          <w:szCs w:val="22"/>
          <w:lang w:val="nl-NL"/>
        </w:rPr>
        <w:t>aanvankelijk</w:t>
      </w:r>
      <w:proofErr w:type="gramEnd"/>
      <w:r w:rsidRPr="00C140A8">
        <w:rPr>
          <w:rFonts w:ascii="Georgia" w:hAnsi="Georgia" w:cs="Calibri"/>
          <w:sz w:val="22"/>
          <w:szCs w:val="22"/>
          <w:lang w:val="nl-NL"/>
        </w:rPr>
        <w:t xml:space="preserve"> onbetwist en werd herbevestigd en aangevuld door Maria van Bourgondië en Maximiliaan van Oostenrijk. Wanneer Maria in 1482 sterft en de Vlaamse steden Maximiliaan niet als regent erkennen, werden ook Margaretha’s weduwegoederen aangevallen en betwist, wat uiteindelijk zou leiden tot een rechtszaak waarbij Margaretha als aanklager opdraaft om haar bezittingen terug te krijgen</w:t>
      </w:r>
      <w:r w:rsidR="00FA5B92">
        <w:rPr>
          <w:rFonts w:ascii="Georgia" w:hAnsi="Georgia" w:cs="Calibri"/>
          <w:sz w:val="22"/>
          <w:szCs w:val="22"/>
          <w:lang w:val="nl-NL"/>
        </w:rPr>
        <w:t>.</w:t>
      </w:r>
      <w:r w:rsidRPr="00C140A8">
        <w:rPr>
          <w:rStyle w:val="FootnoteReference"/>
          <w:rFonts w:ascii="Georgia" w:hAnsi="Georgia" w:cs="Calibri"/>
          <w:sz w:val="22"/>
          <w:szCs w:val="22"/>
          <w:lang w:val="nl-NL"/>
        </w:rPr>
        <w:footnoteReference w:id="152"/>
      </w:r>
      <w:r w:rsidRPr="00C140A8">
        <w:rPr>
          <w:rFonts w:ascii="Georgia" w:eastAsiaTheme="majorEastAsia" w:hAnsi="Georgia" w:cs="Calibri"/>
          <w:sz w:val="22"/>
          <w:szCs w:val="22"/>
          <w:lang w:val="nl-NL"/>
        </w:rPr>
        <w:t> </w:t>
      </w:r>
      <w:r w:rsidRPr="00C140A8">
        <w:rPr>
          <w:rFonts w:ascii="Georgia" w:hAnsi="Georgia" w:cs="Calibri"/>
          <w:sz w:val="22"/>
          <w:szCs w:val="22"/>
          <w:lang w:val="nl-NL"/>
        </w:rPr>
        <w:t>In Johanna</w:t>
      </w:r>
      <w:r w:rsidR="00FA5B92">
        <w:rPr>
          <w:rFonts w:ascii="Georgia" w:hAnsi="Georgia" w:cs="Calibri"/>
          <w:sz w:val="22"/>
          <w:szCs w:val="22"/>
          <w:lang w:val="nl-NL"/>
        </w:rPr>
        <w:t xml:space="preserve">’s </w:t>
      </w:r>
      <w:r w:rsidRPr="00C140A8">
        <w:rPr>
          <w:rFonts w:ascii="Georgia" w:hAnsi="Georgia" w:cs="Calibri"/>
          <w:sz w:val="22"/>
          <w:szCs w:val="22"/>
          <w:lang w:val="nl-NL"/>
        </w:rPr>
        <w:t xml:space="preserve">geval </w:t>
      </w:r>
      <w:r w:rsidR="00FA5B92">
        <w:rPr>
          <w:rFonts w:ascii="Georgia" w:hAnsi="Georgia" w:cs="Calibri"/>
          <w:sz w:val="22"/>
          <w:szCs w:val="22"/>
          <w:lang w:val="nl-NL"/>
        </w:rPr>
        <w:t>betwistte men haar weduwegoed nooit</w:t>
      </w:r>
      <w:r w:rsidRPr="00C140A8">
        <w:rPr>
          <w:rFonts w:ascii="Georgia" w:hAnsi="Georgia" w:cs="Calibri"/>
          <w:sz w:val="22"/>
          <w:szCs w:val="22"/>
          <w:lang w:val="nl-NL"/>
        </w:rPr>
        <w:t xml:space="preserve">, zelfs niet na haar tweede huwelijk met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en haar aantreden als hertogin. Toch verliep de uitbetaling van haar weduwegoederen niet zonder problemen. Enerzijds verliep de jaarlijkse som die Johanna uit Holland verkreeg moeizaam doordat het een aanzienlijk deel van de totale inkomsten van </w:t>
      </w:r>
      <w:r w:rsidRPr="00C140A8">
        <w:rPr>
          <w:rFonts w:ascii="Georgia" w:hAnsi="Georgia" w:cs="Calibri"/>
          <w:sz w:val="22"/>
          <w:szCs w:val="22"/>
          <w:lang w:val="nl-NL"/>
        </w:rPr>
        <w:lastRenderedPageBreak/>
        <w:t>Noord-Holland bestreek. Dit stond in combinatie met de heersende wanorde binnen de Brabantse financiën.</w:t>
      </w:r>
      <w:r w:rsidRPr="00C140A8">
        <w:rPr>
          <w:rStyle w:val="FootnoteReference"/>
          <w:rFonts w:ascii="Georgia" w:hAnsi="Georgia" w:cs="Calibri"/>
          <w:sz w:val="22"/>
          <w:szCs w:val="22"/>
          <w:lang w:val="nl-NL"/>
        </w:rPr>
        <w:footnoteReference w:id="153"/>
      </w:r>
    </w:p>
    <w:p w14:paraId="7F990739" w14:textId="01C40FBF" w:rsidR="00192268" w:rsidRPr="00192268" w:rsidRDefault="00192268" w:rsidP="00192268">
      <w:pPr>
        <w:pStyle w:val="ThesisSub-subheading"/>
        <w:rPr>
          <w:sz w:val="24"/>
          <w:szCs w:val="24"/>
        </w:rPr>
      </w:pPr>
      <w:r>
        <w:rPr>
          <w:rStyle w:val="Emphasis"/>
          <w:rFonts w:ascii="Georgia" w:hAnsi="Georgia" w:cs="Calibri"/>
          <w:sz w:val="24"/>
          <w:szCs w:val="24"/>
          <w:lang w:val="nl-NL"/>
        </w:rPr>
        <w:t>De Hollandse som</w:t>
      </w:r>
    </w:p>
    <w:p w14:paraId="2491D005" w14:textId="651531AB" w:rsidR="00211EC6" w:rsidRPr="00C140A8" w:rsidRDefault="00211EC6"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Het Hollandse deel van </w:t>
      </w:r>
      <w:r w:rsidR="00FA5B92">
        <w:rPr>
          <w:rFonts w:ascii="Georgia" w:hAnsi="Georgia" w:cs="Calibri"/>
          <w:sz w:val="22"/>
          <w:szCs w:val="22"/>
          <w:lang w:val="nl-NL"/>
        </w:rPr>
        <w:t xml:space="preserve">het weduwegoed </w:t>
      </w:r>
      <w:r w:rsidRPr="00C140A8">
        <w:rPr>
          <w:rFonts w:ascii="Georgia" w:hAnsi="Georgia" w:cs="Calibri"/>
          <w:sz w:val="22"/>
          <w:szCs w:val="22"/>
          <w:lang w:val="nl-NL"/>
        </w:rPr>
        <w:t>uit Johanna’s huwelijk met Willem IV bestond uit een jaarlijkse rente in contanten. De</w:t>
      </w:r>
      <w:r w:rsidR="00E91F41" w:rsidRPr="00C140A8">
        <w:rPr>
          <w:rFonts w:ascii="Georgia" w:hAnsi="Georgia" w:cs="Calibri"/>
          <w:sz w:val="22"/>
          <w:szCs w:val="22"/>
          <w:lang w:val="nl-NL"/>
        </w:rPr>
        <w:t xml:space="preserve"> ontvanger inde deze rente uit de inkomsten van Noord-Holland en vulde haar indien nodig aan</w:t>
      </w:r>
      <w:r w:rsidRPr="00C140A8">
        <w:rPr>
          <w:rFonts w:ascii="Georgia" w:hAnsi="Georgia" w:cs="Calibri"/>
          <w:sz w:val="22"/>
          <w:szCs w:val="22"/>
          <w:lang w:val="nl-NL"/>
        </w:rPr>
        <w:t xml:space="preserve"> vanuit Kennemerland en West-Friesland.</w:t>
      </w:r>
      <w:r w:rsidRPr="00C140A8">
        <w:rPr>
          <w:rStyle w:val="FootnoteReference"/>
          <w:rFonts w:ascii="Georgia" w:hAnsi="Georgia" w:cs="Calibri"/>
          <w:sz w:val="22"/>
          <w:szCs w:val="22"/>
          <w:lang w:val="nl-NL"/>
        </w:rPr>
        <w:footnoteReference w:id="154"/>
      </w:r>
      <w:r w:rsidRPr="00C140A8">
        <w:rPr>
          <w:rFonts w:ascii="Georgia" w:hAnsi="Georgia" w:cs="Calibri"/>
          <w:sz w:val="22"/>
          <w:szCs w:val="22"/>
          <w:lang w:val="nl-NL"/>
        </w:rPr>
        <w:t xml:space="preserve"> </w:t>
      </w:r>
      <w:r w:rsidR="00802176" w:rsidRPr="00802176">
        <w:rPr>
          <w:rFonts w:ascii="Georgia" w:hAnsi="Georgia" w:cs="Calibri"/>
          <w:sz w:val="22"/>
          <w:szCs w:val="22"/>
        </w:rPr>
        <w:t>De jaarlijkse uitkering vanuit Noord-Holland bedroeg 8.000 tournooise pond, mocht Johanna daadwerkelijk hertogin worden</w:t>
      </w:r>
      <w:r w:rsidRPr="00802176">
        <w:rPr>
          <w:rFonts w:ascii="Georgia" w:hAnsi="Georgia" w:cs="Calibri"/>
          <w:sz w:val="22"/>
          <w:szCs w:val="22"/>
          <w:lang w:val="nl-NL"/>
        </w:rPr>
        <w:t>.</w:t>
      </w:r>
      <w:r w:rsidRPr="00C140A8">
        <w:rPr>
          <w:rFonts w:ascii="Georgia" w:hAnsi="Georgia" w:cs="Calibri"/>
          <w:sz w:val="22"/>
          <w:szCs w:val="22"/>
          <w:lang w:val="nl-NL"/>
        </w:rPr>
        <w:t xml:space="preserve"> Aangezien die kans klein was, verhoogd</w:t>
      </w:r>
      <w:r w:rsidR="00350561" w:rsidRPr="00C140A8">
        <w:rPr>
          <w:rFonts w:ascii="Georgia" w:hAnsi="Georgia" w:cs="Calibri"/>
          <w:sz w:val="22"/>
          <w:szCs w:val="22"/>
          <w:lang w:val="nl-NL"/>
        </w:rPr>
        <w:t>e dit bedrag</w:t>
      </w:r>
      <w:r w:rsidRPr="00C140A8">
        <w:rPr>
          <w:rFonts w:ascii="Georgia" w:hAnsi="Georgia" w:cs="Calibri"/>
          <w:sz w:val="22"/>
          <w:szCs w:val="22"/>
          <w:lang w:val="nl-NL"/>
        </w:rPr>
        <w:t xml:space="preserve"> naar 10.000 per jaar, om uiteindelijk toch weer terug te vallen op 8.000 </w:t>
      </w:r>
      <w:proofErr w:type="spellStart"/>
      <w:r w:rsidR="00F85910" w:rsidRPr="00C140A8">
        <w:rPr>
          <w:rFonts w:ascii="Georgia" w:hAnsi="Georgia" w:cs="Calibri"/>
          <w:sz w:val="22"/>
          <w:szCs w:val="22"/>
          <w:lang w:val="nl-NL"/>
        </w:rPr>
        <w:t>tournooise</w:t>
      </w:r>
      <w:proofErr w:type="spellEnd"/>
      <w:r w:rsidR="00F85910" w:rsidRPr="00C140A8">
        <w:rPr>
          <w:rFonts w:ascii="Georgia" w:hAnsi="Georgia" w:cs="Calibri"/>
          <w:sz w:val="22"/>
          <w:szCs w:val="22"/>
          <w:lang w:val="nl-NL"/>
        </w:rPr>
        <w:t xml:space="preserve"> </w:t>
      </w:r>
      <w:r w:rsidRPr="00C140A8">
        <w:rPr>
          <w:rFonts w:ascii="Georgia" w:hAnsi="Georgia" w:cs="Calibri"/>
          <w:sz w:val="22"/>
          <w:szCs w:val="22"/>
          <w:lang w:val="nl-NL"/>
        </w:rPr>
        <w:t>pond.</w:t>
      </w:r>
      <w:r w:rsidRPr="00C140A8">
        <w:rPr>
          <w:rStyle w:val="FootnoteReference"/>
          <w:rFonts w:ascii="Georgia" w:hAnsi="Georgia" w:cs="Calibri"/>
          <w:sz w:val="22"/>
          <w:szCs w:val="22"/>
          <w:lang w:val="nl-NL"/>
        </w:rPr>
        <w:footnoteReference w:id="155"/>
      </w:r>
      <w:r w:rsidRPr="00C140A8">
        <w:rPr>
          <w:rFonts w:ascii="Georgia" w:hAnsi="Georgia" w:cs="Calibri"/>
          <w:sz w:val="22"/>
          <w:szCs w:val="22"/>
          <w:lang w:val="nl-NL"/>
        </w:rPr>
        <w:t xml:space="preserve"> In de praktijk verliep de uitbetaling van deze som gedurende haar hele leven uiterst stroef. De uitkeringen gebeurden niet consistent en leidden tot veel conflict.</w:t>
      </w:r>
      <w:r w:rsidRPr="00C140A8">
        <w:rPr>
          <w:rStyle w:val="FootnoteReference"/>
          <w:rFonts w:ascii="Georgia" w:hAnsi="Georgia" w:cs="Calibri"/>
          <w:sz w:val="22"/>
          <w:szCs w:val="22"/>
          <w:lang w:val="nl-NL"/>
        </w:rPr>
        <w:footnoteReference w:id="156"/>
      </w:r>
      <w:r w:rsidRPr="00C140A8">
        <w:rPr>
          <w:rFonts w:ascii="Georgia" w:hAnsi="Georgia" w:cs="Calibri"/>
          <w:sz w:val="22"/>
          <w:szCs w:val="22"/>
          <w:lang w:val="nl-NL"/>
        </w:rPr>
        <w:t xml:space="preserve">  Dit had meerdere oorzaken. Allereerst ging het om een aanzienlijk bedrag dat een zware druk legde op de Hollandse financiën. Bovendien leidde dit tot </w:t>
      </w:r>
      <w:r w:rsidR="00560460" w:rsidRPr="00C140A8">
        <w:rPr>
          <w:rFonts w:ascii="Georgia" w:hAnsi="Georgia" w:cs="Calibri"/>
          <w:sz w:val="22"/>
          <w:szCs w:val="22"/>
          <w:lang w:val="nl-NL"/>
        </w:rPr>
        <w:t>grot</w:t>
      </w:r>
      <w:r w:rsidRPr="00C140A8">
        <w:rPr>
          <w:rFonts w:ascii="Georgia" w:hAnsi="Georgia" w:cs="Calibri"/>
          <w:sz w:val="22"/>
          <w:szCs w:val="22"/>
          <w:lang w:val="nl-NL"/>
        </w:rPr>
        <w:t xml:space="preserve">e politieke spanningen tussen de twee gebieden, aangezien Johanna niet zomaar een weduwe was, maar ook de hertogin van het naburige Brabant. Voor Johanna zelf vormde </w:t>
      </w:r>
      <w:r w:rsidR="00AD18AA">
        <w:rPr>
          <w:rFonts w:ascii="Georgia" w:hAnsi="Georgia" w:cs="Calibri"/>
          <w:sz w:val="22"/>
          <w:szCs w:val="22"/>
          <w:lang w:val="nl-NL"/>
        </w:rPr>
        <w:t>dit deel van haar</w:t>
      </w:r>
      <w:r w:rsidRPr="00C140A8">
        <w:rPr>
          <w:rFonts w:ascii="Georgia" w:hAnsi="Georgia" w:cs="Calibri"/>
          <w:sz w:val="22"/>
          <w:szCs w:val="22"/>
          <w:lang w:val="nl-NL"/>
        </w:rPr>
        <w:t xml:space="preserve"> </w:t>
      </w:r>
      <w:r w:rsidR="00AD18AA">
        <w:rPr>
          <w:rFonts w:ascii="Georgia" w:hAnsi="Georgia" w:cs="Calibri"/>
          <w:sz w:val="22"/>
          <w:szCs w:val="22"/>
          <w:lang w:val="nl-NL"/>
        </w:rPr>
        <w:t>douarie</w:t>
      </w:r>
      <w:r w:rsidRPr="00C140A8">
        <w:rPr>
          <w:rFonts w:ascii="Georgia" w:hAnsi="Georgia" w:cs="Calibri"/>
          <w:sz w:val="22"/>
          <w:szCs w:val="22"/>
          <w:lang w:val="nl-NL"/>
        </w:rPr>
        <w:t>, die garant stond voor een vaste stroom aan contanten, een cruciale bron van inkomsten.</w:t>
      </w:r>
    </w:p>
    <w:p w14:paraId="08E61F2B" w14:textId="53DB43B2" w:rsidR="00211EC6" w:rsidRPr="00C140A8" w:rsidRDefault="00211EC6"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De betalingsproblemen begonnen vrijwel onmiddellijk na het overlijden van Willem. In 1351 liepen de achterstallige betalingen zo hoog op dat Johanna in Dordrecht, een stad die borg stond voor haar </w:t>
      </w:r>
      <w:r w:rsidR="00AD18AA">
        <w:rPr>
          <w:rFonts w:ascii="Georgia" w:hAnsi="Georgia" w:cs="Calibri"/>
          <w:sz w:val="22"/>
          <w:szCs w:val="22"/>
          <w:lang w:val="nl-NL"/>
        </w:rPr>
        <w:t>weduwegoed</w:t>
      </w:r>
      <w:r w:rsidRPr="00C140A8">
        <w:rPr>
          <w:rFonts w:ascii="Georgia" w:hAnsi="Georgia" w:cs="Calibri"/>
          <w:sz w:val="22"/>
          <w:szCs w:val="22"/>
          <w:lang w:val="nl-NL"/>
        </w:rPr>
        <w:t>, burgers liet gevangennemen om zo betalingen af te dwingen.</w:t>
      </w:r>
      <w:r w:rsidRPr="00C140A8">
        <w:rPr>
          <w:rStyle w:val="FootnoteReference"/>
          <w:rFonts w:ascii="Georgia" w:hAnsi="Georgia" w:cs="Calibri"/>
          <w:sz w:val="22"/>
          <w:szCs w:val="22"/>
          <w:lang w:val="nl-NL"/>
        </w:rPr>
        <w:footnoteReference w:id="157"/>
      </w:r>
      <w:r w:rsidRPr="00C140A8">
        <w:rPr>
          <w:rFonts w:ascii="Georgia" w:hAnsi="Georgia" w:cs="Calibri"/>
          <w:sz w:val="22"/>
          <w:szCs w:val="22"/>
          <w:lang w:val="nl-NL"/>
        </w:rPr>
        <w:t xml:space="preserve"> Uiteindelijk leidde dit tot een akkoord, waarna</w:t>
      </w:r>
      <w:r w:rsidR="00BF4C64">
        <w:rPr>
          <w:rFonts w:ascii="Georgia" w:hAnsi="Georgia" w:cs="Calibri"/>
          <w:sz w:val="22"/>
          <w:szCs w:val="22"/>
          <w:lang w:val="nl-NL"/>
        </w:rPr>
        <w:t xml:space="preserve"> ze</w:t>
      </w:r>
      <w:r w:rsidRPr="00C140A8">
        <w:rPr>
          <w:rFonts w:ascii="Georgia" w:hAnsi="Georgia" w:cs="Calibri"/>
          <w:sz w:val="22"/>
          <w:szCs w:val="22"/>
          <w:lang w:val="nl-NL"/>
        </w:rPr>
        <w:t xml:space="preserve"> de gijzelaars </w:t>
      </w:r>
      <w:r w:rsidR="00AD18AA">
        <w:rPr>
          <w:rFonts w:ascii="Georgia" w:hAnsi="Georgia" w:cs="Calibri"/>
          <w:sz w:val="22"/>
          <w:szCs w:val="22"/>
          <w:lang w:val="nl-NL"/>
        </w:rPr>
        <w:t>vrijliet</w:t>
      </w:r>
      <w:r w:rsidRPr="00C140A8">
        <w:rPr>
          <w:rFonts w:ascii="Georgia" w:hAnsi="Georgia" w:cs="Calibri"/>
          <w:sz w:val="22"/>
          <w:szCs w:val="22"/>
          <w:lang w:val="nl-NL"/>
        </w:rPr>
        <w:t xml:space="preserve"> en </w:t>
      </w:r>
      <w:r w:rsidR="00AD18AA">
        <w:rPr>
          <w:rFonts w:ascii="Georgia" w:hAnsi="Georgia" w:cs="Calibri"/>
          <w:sz w:val="22"/>
          <w:szCs w:val="22"/>
          <w:lang w:val="nl-NL"/>
        </w:rPr>
        <w:t>zij een</w:t>
      </w:r>
      <w:r w:rsidRPr="00C140A8">
        <w:rPr>
          <w:rFonts w:ascii="Georgia" w:hAnsi="Georgia" w:cs="Calibri"/>
          <w:sz w:val="22"/>
          <w:szCs w:val="22"/>
          <w:lang w:val="nl-NL"/>
        </w:rPr>
        <w:t xml:space="preserve"> schadevergoeding van </w:t>
      </w:r>
      <w:r w:rsidR="00AD18AA">
        <w:rPr>
          <w:rFonts w:ascii="Georgia" w:hAnsi="Georgia" w:cs="Calibri"/>
          <w:sz w:val="22"/>
          <w:szCs w:val="22"/>
          <w:lang w:val="nl-NL"/>
        </w:rPr>
        <w:t>vijfhonderd</w:t>
      </w:r>
      <w:r w:rsidRPr="00C140A8">
        <w:rPr>
          <w:rFonts w:ascii="Georgia" w:hAnsi="Georgia" w:cs="Calibri"/>
          <w:sz w:val="22"/>
          <w:szCs w:val="22"/>
          <w:lang w:val="nl-NL"/>
        </w:rPr>
        <w:t xml:space="preserve"> schilden ontvingen.</w:t>
      </w:r>
      <w:r w:rsidRPr="00C140A8">
        <w:rPr>
          <w:rStyle w:val="FootnoteReference"/>
          <w:rFonts w:ascii="Georgia" w:hAnsi="Georgia" w:cs="Calibri"/>
          <w:sz w:val="22"/>
          <w:szCs w:val="22"/>
          <w:lang w:val="nl-NL"/>
        </w:rPr>
        <w:footnoteReference w:id="158"/>
      </w:r>
      <w:r w:rsidRPr="00C140A8">
        <w:rPr>
          <w:rFonts w:ascii="Georgia" w:hAnsi="Georgia" w:cs="Calibri"/>
          <w:sz w:val="22"/>
          <w:szCs w:val="22"/>
          <w:lang w:val="nl-NL"/>
        </w:rPr>
        <w:t xml:space="preserve"> Deze vergaande maatregel illustreert hoe acuut de situatie rondom de Hollandse schulden was geworden. Na verloop van tijd verslechterden de betalingen opnieuw en moest Johanna </w:t>
      </w:r>
      <w:r w:rsidR="00BF4C64">
        <w:rPr>
          <w:rFonts w:ascii="Georgia" w:hAnsi="Georgia" w:cs="Calibri"/>
          <w:sz w:val="22"/>
          <w:szCs w:val="22"/>
          <w:lang w:val="nl-NL"/>
        </w:rPr>
        <w:t>opnieuw</w:t>
      </w:r>
      <w:r w:rsidRPr="00C140A8">
        <w:rPr>
          <w:rFonts w:ascii="Georgia" w:hAnsi="Georgia" w:cs="Calibri"/>
          <w:sz w:val="22"/>
          <w:szCs w:val="22"/>
          <w:lang w:val="nl-NL"/>
        </w:rPr>
        <w:t xml:space="preserve"> op grote delen van haar geld wachten. </w:t>
      </w:r>
      <w:r w:rsidR="00BF4C64">
        <w:rPr>
          <w:rFonts w:ascii="Georgia" w:hAnsi="Georgia" w:cs="Calibri"/>
          <w:sz w:val="22"/>
          <w:szCs w:val="22"/>
          <w:lang w:val="nl-NL"/>
        </w:rPr>
        <w:t>Hertog Albrecht hervormde</w:t>
      </w:r>
      <w:r w:rsidRPr="00C140A8">
        <w:rPr>
          <w:rFonts w:ascii="Georgia" w:hAnsi="Georgia" w:cs="Calibri"/>
          <w:sz w:val="22"/>
          <w:szCs w:val="22"/>
          <w:lang w:val="nl-NL"/>
        </w:rPr>
        <w:t xml:space="preserve"> het betalingssysteem </w:t>
      </w:r>
      <w:r w:rsidR="00BF4C64">
        <w:rPr>
          <w:rFonts w:ascii="Georgia" w:hAnsi="Georgia" w:cs="Calibri"/>
          <w:sz w:val="22"/>
          <w:szCs w:val="22"/>
          <w:lang w:val="nl-NL"/>
        </w:rPr>
        <w:t xml:space="preserve">uiteindelijk </w:t>
      </w:r>
      <w:r w:rsidRPr="00C140A8">
        <w:rPr>
          <w:rFonts w:ascii="Georgia" w:hAnsi="Georgia" w:cs="Calibri"/>
          <w:sz w:val="22"/>
          <w:szCs w:val="22"/>
          <w:lang w:val="nl-NL"/>
        </w:rPr>
        <w:t xml:space="preserve">in 1359.  Vanaf dat moment </w:t>
      </w:r>
      <w:r w:rsidR="002E5E7C">
        <w:rPr>
          <w:rFonts w:ascii="Georgia" w:hAnsi="Georgia" w:cs="Calibri"/>
          <w:sz w:val="22"/>
          <w:szCs w:val="22"/>
          <w:lang w:val="nl-NL"/>
        </w:rPr>
        <w:t>reserveerde men</w:t>
      </w:r>
      <w:r w:rsidR="00E843B6" w:rsidRPr="00C140A8">
        <w:rPr>
          <w:rFonts w:ascii="Georgia" w:hAnsi="Georgia" w:cs="Calibri"/>
          <w:sz w:val="22"/>
          <w:szCs w:val="22"/>
          <w:lang w:val="nl-NL"/>
        </w:rPr>
        <w:t xml:space="preserve"> </w:t>
      </w:r>
      <w:r w:rsidRPr="00C140A8">
        <w:rPr>
          <w:rFonts w:ascii="Georgia" w:hAnsi="Georgia" w:cs="Calibri"/>
          <w:sz w:val="22"/>
          <w:szCs w:val="22"/>
          <w:lang w:val="nl-NL"/>
        </w:rPr>
        <w:t>specifieke, vaste inkomsten uit Noord-Holland, waaronder tienden, renten, visserijen en pachtinkomsten, voor de uitbetaling van Johanna's douarie.</w:t>
      </w:r>
      <w:r w:rsidRPr="00C140A8">
        <w:rPr>
          <w:rStyle w:val="FootnoteReference"/>
          <w:rFonts w:ascii="Georgia" w:hAnsi="Georgia" w:cs="Calibri"/>
          <w:sz w:val="22"/>
          <w:szCs w:val="22"/>
          <w:lang w:val="nl-NL"/>
        </w:rPr>
        <w:footnoteReference w:id="159"/>
      </w:r>
      <w:r w:rsidRPr="00C140A8">
        <w:rPr>
          <w:rFonts w:ascii="Georgia" w:hAnsi="Georgia" w:cs="Calibri"/>
          <w:sz w:val="22"/>
          <w:szCs w:val="22"/>
          <w:lang w:val="nl-NL"/>
        </w:rPr>
        <w:t xml:space="preserve">  </w:t>
      </w:r>
      <w:r w:rsidR="006C4E60" w:rsidRPr="00C140A8">
        <w:rPr>
          <w:rFonts w:ascii="Georgia" w:hAnsi="Georgia" w:cs="Calibri"/>
          <w:sz w:val="22"/>
          <w:szCs w:val="22"/>
          <w:lang w:val="nl-NL"/>
        </w:rPr>
        <w:t>Men stelde</w:t>
      </w:r>
      <w:r w:rsidRPr="00C140A8">
        <w:rPr>
          <w:rFonts w:ascii="Georgia" w:hAnsi="Georgia" w:cs="Calibri"/>
          <w:sz w:val="22"/>
          <w:szCs w:val="22"/>
          <w:lang w:val="nl-NL"/>
        </w:rPr>
        <w:t xml:space="preserve"> </w:t>
      </w:r>
      <w:r w:rsidR="002E5E7C">
        <w:rPr>
          <w:rFonts w:ascii="Georgia" w:hAnsi="Georgia" w:cs="Calibri"/>
          <w:sz w:val="22"/>
          <w:szCs w:val="22"/>
          <w:lang w:val="nl-NL"/>
        </w:rPr>
        <w:t>daarnaast ook</w:t>
      </w:r>
      <w:r w:rsidRPr="00C140A8">
        <w:rPr>
          <w:rFonts w:ascii="Georgia" w:hAnsi="Georgia" w:cs="Calibri"/>
          <w:sz w:val="22"/>
          <w:szCs w:val="22"/>
          <w:lang w:val="nl-NL"/>
        </w:rPr>
        <w:t xml:space="preserve"> een vaste ontvanger aan om deze gelden te innen, een taak die voorheen versnipperd verliep via diverse directe betalingen aan Johanna's schuldeisers.</w:t>
      </w:r>
      <w:r w:rsidRPr="00C140A8">
        <w:rPr>
          <w:rStyle w:val="FootnoteReference"/>
          <w:rFonts w:ascii="Georgia" w:hAnsi="Georgia" w:cs="Calibri"/>
          <w:sz w:val="22"/>
          <w:szCs w:val="22"/>
          <w:lang w:val="nl-NL"/>
        </w:rPr>
        <w:footnoteReference w:id="160"/>
      </w:r>
      <w:r w:rsidRPr="00C140A8">
        <w:rPr>
          <w:rFonts w:ascii="Georgia" w:hAnsi="Georgia" w:cs="Calibri"/>
          <w:sz w:val="22"/>
          <w:szCs w:val="22"/>
          <w:lang w:val="nl-NL"/>
        </w:rPr>
        <w:t xml:space="preserve"> </w:t>
      </w:r>
      <w:r w:rsidR="006C4E60" w:rsidRPr="00C140A8">
        <w:rPr>
          <w:rFonts w:ascii="Georgia" w:hAnsi="Georgia" w:cs="Calibri"/>
          <w:sz w:val="22"/>
          <w:szCs w:val="22"/>
          <w:lang w:val="nl-NL"/>
        </w:rPr>
        <w:lastRenderedPageBreak/>
        <w:t>Belangrijk hierbij is</w:t>
      </w:r>
      <w:r w:rsidRPr="00C140A8">
        <w:rPr>
          <w:rFonts w:ascii="Georgia" w:hAnsi="Georgia" w:cs="Calibri"/>
          <w:sz w:val="22"/>
          <w:szCs w:val="22"/>
          <w:lang w:val="nl-NL"/>
        </w:rPr>
        <w:t xml:space="preserve"> dat deze inkomsten Johanna niet altijd rechtstreeks bereikten. De rentmeester gebruikte deze opbrengsten, in overleg met de hertogin, om haar openstaande schulden af te lossen.</w:t>
      </w:r>
      <w:r w:rsidRPr="00C140A8">
        <w:rPr>
          <w:rStyle w:val="FootnoteReference"/>
          <w:rFonts w:ascii="Georgia" w:hAnsi="Georgia" w:cs="Calibri"/>
          <w:sz w:val="22"/>
          <w:szCs w:val="22"/>
          <w:lang w:val="nl-NL"/>
        </w:rPr>
        <w:footnoteReference w:id="161"/>
      </w:r>
      <w:r w:rsidRPr="00C140A8">
        <w:rPr>
          <w:rFonts w:ascii="Georgia" w:hAnsi="Georgia" w:cs="Calibri"/>
          <w:sz w:val="22"/>
          <w:szCs w:val="22"/>
          <w:lang w:val="nl-NL"/>
        </w:rPr>
        <w:t xml:space="preserve"> Zo is er een post in de </w:t>
      </w:r>
      <w:proofErr w:type="spellStart"/>
      <w:r w:rsidRPr="00C140A8">
        <w:rPr>
          <w:rFonts w:ascii="Georgia" w:hAnsi="Georgia" w:cs="Calibri"/>
          <w:i/>
          <w:iCs/>
          <w:sz w:val="22"/>
          <w:szCs w:val="22"/>
          <w:lang w:val="nl-NL"/>
        </w:rPr>
        <w:t>vidimi</w:t>
      </w:r>
      <w:proofErr w:type="spellEnd"/>
      <w:r w:rsidRPr="00C140A8">
        <w:rPr>
          <w:rFonts w:ascii="Georgia" w:hAnsi="Georgia" w:cs="Calibri"/>
          <w:sz w:val="22"/>
          <w:szCs w:val="22"/>
          <w:lang w:val="nl-NL"/>
        </w:rPr>
        <w:t xml:space="preserve"> van 1379 waarbij de ontvanger van Holland met Johanna’s goedkeuring aan een dame de som van dertig oude ecu’s uitbetaalt met geld </w:t>
      </w:r>
      <w:r w:rsidR="006A190F" w:rsidRPr="00C140A8">
        <w:rPr>
          <w:rFonts w:ascii="Georgia" w:hAnsi="Georgia" w:cs="Calibri"/>
          <w:sz w:val="22"/>
          <w:szCs w:val="22"/>
          <w:lang w:val="nl-NL"/>
        </w:rPr>
        <w:t>geïnd</w:t>
      </w:r>
      <w:r w:rsidRPr="00C140A8">
        <w:rPr>
          <w:rFonts w:ascii="Georgia" w:hAnsi="Georgia" w:cs="Calibri"/>
          <w:sz w:val="22"/>
          <w:szCs w:val="22"/>
          <w:lang w:val="nl-NL"/>
        </w:rPr>
        <w:t xml:space="preserve"> uit </w:t>
      </w:r>
      <w:r w:rsidR="006A190F" w:rsidRPr="00C140A8">
        <w:rPr>
          <w:rFonts w:ascii="Georgia" w:hAnsi="Georgia" w:cs="Calibri"/>
          <w:sz w:val="22"/>
          <w:szCs w:val="22"/>
          <w:lang w:val="nl-NL"/>
        </w:rPr>
        <w:t>de</w:t>
      </w:r>
      <w:r w:rsidRPr="00C140A8">
        <w:rPr>
          <w:rFonts w:ascii="Georgia" w:hAnsi="Georgia" w:cs="Calibri"/>
          <w:sz w:val="22"/>
          <w:szCs w:val="22"/>
          <w:lang w:val="nl-NL"/>
        </w:rPr>
        <w:t xml:space="preserve"> Hollandse</w:t>
      </w:r>
      <w:r w:rsidR="006A190F" w:rsidRPr="00C140A8">
        <w:rPr>
          <w:rFonts w:ascii="Georgia" w:hAnsi="Georgia" w:cs="Calibri"/>
          <w:sz w:val="22"/>
          <w:szCs w:val="22"/>
          <w:lang w:val="nl-NL"/>
        </w:rPr>
        <w:t xml:space="preserve"> som</w:t>
      </w:r>
      <w:r w:rsidRPr="00C140A8">
        <w:rPr>
          <w:rFonts w:ascii="Georgia" w:hAnsi="Georgia" w:cs="Calibri"/>
          <w:sz w:val="22"/>
          <w:szCs w:val="22"/>
          <w:lang w:val="nl-NL"/>
        </w:rPr>
        <w:t>.</w:t>
      </w:r>
      <w:r w:rsidRPr="00C140A8">
        <w:rPr>
          <w:rStyle w:val="FootnoteReference"/>
          <w:rFonts w:ascii="Georgia" w:hAnsi="Georgia" w:cs="Calibri"/>
          <w:sz w:val="22"/>
          <w:szCs w:val="22"/>
          <w:lang w:val="nl-NL"/>
        </w:rPr>
        <w:footnoteReference w:id="162"/>
      </w:r>
    </w:p>
    <w:p w14:paraId="7F4675CE" w14:textId="77777777" w:rsidR="00211EC6" w:rsidRPr="00C140A8" w:rsidRDefault="00211EC6"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Dat die betalingen slechts sporadisch in de overgeleverde bronnen opduiken, valt onder meer op te maken uit de bewaarde reeks </w:t>
      </w:r>
      <w:proofErr w:type="spellStart"/>
      <w:r w:rsidRPr="00C140A8">
        <w:rPr>
          <w:rFonts w:ascii="Georgia" w:hAnsi="Georgia" w:cs="Calibri"/>
          <w:i/>
          <w:iCs/>
          <w:sz w:val="22"/>
          <w:szCs w:val="22"/>
          <w:lang w:val="nl-NL"/>
        </w:rPr>
        <w:t>vidimi</w:t>
      </w:r>
      <w:proofErr w:type="spellEnd"/>
      <w:r w:rsidRPr="00C140A8">
        <w:rPr>
          <w:rFonts w:ascii="Georgia" w:hAnsi="Georgia" w:cs="Calibri"/>
          <w:sz w:val="22"/>
          <w:szCs w:val="22"/>
          <w:lang w:val="nl-NL"/>
        </w:rPr>
        <w:t>. In de periode die deze masterproef bestudeert, zijn slechts twee registraties over de Hollandse som terug te vinden: de bovengenoemde betaling en een bevelschrift van Johanna. Op 17 oktober 1376 informeert ze zich naar de uitbetaling van haar inkomsten uit Holland en moet de ontvanger, Florent van Alphen, verantwoording afleggen over de achterstallige schulden.</w:t>
      </w:r>
      <w:r w:rsidRPr="00C140A8">
        <w:rPr>
          <w:rStyle w:val="FootnoteReference"/>
          <w:rFonts w:ascii="Georgia" w:hAnsi="Georgia" w:cs="Calibri"/>
          <w:sz w:val="22"/>
          <w:szCs w:val="22"/>
          <w:lang w:val="nl-NL"/>
        </w:rPr>
        <w:footnoteReference w:id="163"/>
      </w:r>
      <w:r w:rsidRPr="00C140A8">
        <w:rPr>
          <w:rFonts w:ascii="Georgia" w:hAnsi="Georgia" w:cs="Calibri"/>
          <w:sz w:val="22"/>
          <w:szCs w:val="22"/>
          <w:lang w:val="nl-NL"/>
        </w:rPr>
        <w:t xml:space="preserve"> Uit deze post blijkt ook dat er nog steeds schulden openstonden van 1373.</w:t>
      </w:r>
      <w:r w:rsidRPr="00C140A8">
        <w:rPr>
          <w:rStyle w:val="FootnoteReference"/>
          <w:rFonts w:ascii="Georgia" w:hAnsi="Georgia" w:cs="Calibri"/>
          <w:sz w:val="22"/>
          <w:szCs w:val="22"/>
          <w:lang w:val="nl-NL"/>
        </w:rPr>
        <w:footnoteReference w:id="164"/>
      </w:r>
      <w:r w:rsidRPr="00C140A8">
        <w:rPr>
          <w:rFonts w:ascii="Georgia" w:hAnsi="Georgia" w:cs="Calibri"/>
          <w:sz w:val="22"/>
          <w:szCs w:val="22"/>
          <w:lang w:val="nl-NL"/>
        </w:rPr>
        <w:t xml:space="preserve"> </w:t>
      </w:r>
    </w:p>
    <w:p w14:paraId="6C711733" w14:textId="2FDD31AB" w:rsidR="00192268" w:rsidRPr="00192268" w:rsidRDefault="00192268" w:rsidP="00192268">
      <w:pPr>
        <w:pStyle w:val="ThesisSub-subheading"/>
        <w:rPr>
          <w:sz w:val="24"/>
          <w:szCs w:val="24"/>
        </w:rPr>
      </w:pPr>
      <w:r>
        <w:rPr>
          <w:rStyle w:val="Emphasis"/>
          <w:rFonts w:ascii="Georgia" w:hAnsi="Georgia" w:cs="Calibri"/>
          <w:sz w:val="24"/>
          <w:szCs w:val="24"/>
          <w:lang w:val="nl-NL"/>
        </w:rPr>
        <w:t>De Henegouwse domeinen</w:t>
      </w:r>
    </w:p>
    <w:p w14:paraId="3AF36F92" w14:textId="0C45C172" w:rsidR="00211EC6" w:rsidRPr="00C140A8" w:rsidRDefault="00211EC6"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Johanna’s huwelijk met Willem omvatte ook een Henegouws deel. Bij het opstellen van de huwelijksovereenkomst werd besloten dat Johanna, naast haar jaarlijkse Hollandse rente, een landhuis in Mont-</w:t>
      </w:r>
      <w:proofErr w:type="spellStart"/>
      <w:r w:rsidRPr="00C140A8">
        <w:rPr>
          <w:rFonts w:ascii="Georgia" w:hAnsi="Georgia" w:cs="Calibri"/>
          <w:sz w:val="22"/>
          <w:szCs w:val="22"/>
          <w:lang w:val="nl-NL"/>
        </w:rPr>
        <w:t>Aubert</w:t>
      </w:r>
      <w:proofErr w:type="spellEnd"/>
      <w:r w:rsidRPr="00C140A8">
        <w:rPr>
          <w:rFonts w:ascii="Georgia" w:hAnsi="Georgia" w:cs="Calibri"/>
          <w:sz w:val="22"/>
          <w:szCs w:val="22"/>
          <w:lang w:val="nl-NL"/>
        </w:rPr>
        <w:t xml:space="preserve"> zou krijgen. Daarbovenop kreeg zij twee overlevingsgoederen toegewezen: in Dordrecht, de stad die garant stond voor de Hollandse rente, en in Binche, het vaste weduwengoed dat de graven van Henegouwen ter beschikking hadden.  Toen Willem III in 1337 stierf en haar echtgenoot Willem IV de nieuwe graaf van Henegouwen, Holland, Zeeland en Friesland werd, breidde Johanna's douarie nog verder uit. Als gravin kreeg zij er een reeks landerijen bij. Ze verkreeg een uitbreiding in Binche, de volledige proosdij. Dit hield in dat ze </w:t>
      </w:r>
      <w:proofErr w:type="gramStart"/>
      <w:r w:rsidR="00EC200B" w:rsidRPr="00C140A8">
        <w:rPr>
          <w:rFonts w:ascii="Georgia" w:hAnsi="Georgia" w:cs="Calibri"/>
          <w:sz w:val="22"/>
          <w:szCs w:val="22"/>
          <w:lang w:val="nl-NL"/>
        </w:rPr>
        <w:t>bove</w:t>
      </w:r>
      <w:r w:rsidR="00EC200B">
        <w:rPr>
          <w:rFonts w:ascii="Georgia" w:hAnsi="Georgia" w:cs="Calibri"/>
          <w:sz w:val="22"/>
          <w:szCs w:val="22"/>
          <w:lang w:val="nl-NL"/>
        </w:rPr>
        <w:t>nop</w:t>
      </w:r>
      <w:proofErr w:type="gramEnd"/>
      <w:r w:rsidR="00EC200B">
        <w:rPr>
          <w:rFonts w:ascii="Georgia" w:hAnsi="Georgia" w:cs="Calibri"/>
          <w:sz w:val="22"/>
          <w:szCs w:val="22"/>
          <w:lang w:val="nl-NL"/>
        </w:rPr>
        <w:t xml:space="preserve"> </w:t>
      </w:r>
      <w:r w:rsidRPr="00C140A8">
        <w:rPr>
          <w:rFonts w:ascii="Georgia" w:hAnsi="Georgia" w:cs="Calibri"/>
          <w:sz w:val="22"/>
          <w:szCs w:val="22"/>
          <w:lang w:val="nl-NL"/>
        </w:rPr>
        <w:t xml:space="preserve">de stad ook de omliggende domeinen verkreeg: </w:t>
      </w:r>
      <w:proofErr w:type="spellStart"/>
      <w:r w:rsidRPr="00C140A8">
        <w:rPr>
          <w:rFonts w:ascii="Georgia" w:hAnsi="Georgia" w:cs="Calibri"/>
          <w:sz w:val="22"/>
          <w:szCs w:val="22"/>
          <w:lang w:val="nl-NL"/>
        </w:rPr>
        <w:t>Boussoit</w:t>
      </w:r>
      <w:proofErr w:type="spellEnd"/>
      <w:r w:rsidRPr="00C140A8">
        <w:rPr>
          <w:rFonts w:ascii="Georgia" w:hAnsi="Georgia" w:cs="Calibri"/>
          <w:sz w:val="22"/>
          <w:szCs w:val="22"/>
          <w:lang w:val="nl-NL"/>
        </w:rPr>
        <w:t xml:space="preserve">, </w:t>
      </w:r>
      <w:proofErr w:type="spellStart"/>
      <w:r w:rsidRPr="00C140A8">
        <w:rPr>
          <w:rFonts w:ascii="Georgia" w:hAnsi="Georgia" w:cs="Calibri"/>
          <w:sz w:val="22"/>
          <w:szCs w:val="22"/>
          <w:lang w:val="nl-NL"/>
        </w:rPr>
        <w:t>Marche-lez-Écaussines</w:t>
      </w:r>
      <w:proofErr w:type="spellEnd"/>
      <w:r w:rsidRPr="00C140A8">
        <w:rPr>
          <w:rFonts w:ascii="Georgia" w:hAnsi="Georgia" w:cs="Calibri"/>
          <w:sz w:val="22"/>
          <w:szCs w:val="22"/>
          <w:lang w:val="nl-NL"/>
        </w:rPr>
        <w:t>, Bois-</w:t>
      </w:r>
      <w:proofErr w:type="spellStart"/>
      <w:r w:rsidRPr="00C140A8">
        <w:rPr>
          <w:rFonts w:ascii="Georgia" w:hAnsi="Georgia" w:cs="Calibri"/>
          <w:sz w:val="22"/>
          <w:szCs w:val="22"/>
          <w:lang w:val="nl-NL"/>
        </w:rPr>
        <w:t>d’Haine</w:t>
      </w:r>
      <w:proofErr w:type="spellEnd"/>
      <w:r w:rsidRPr="00C140A8">
        <w:rPr>
          <w:rFonts w:ascii="Georgia" w:hAnsi="Georgia" w:cs="Calibri"/>
          <w:sz w:val="22"/>
          <w:szCs w:val="22"/>
          <w:lang w:val="nl-NL"/>
        </w:rPr>
        <w:t>, en het kasteel en de heerlijkheid Morlanwelz.</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165"/>
      </w:r>
      <w:r w:rsidRPr="00C140A8">
        <w:rPr>
          <w:rFonts w:ascii="Georgia" w:hAnsi="Georgia" w:cs="Calibri"/>
          <w:sz w:val="22"/>
          <w:szCs w:val="22"/>
          <w:lang w:val="nl-NL"/>
        </w:rPr>
        <w:t xml:space="preserve"> Tot aan Willems dood zou Jan van Henegouwen-Beaumont borg staan voor d</w:t>
      </w:r>
      <w:r w:rsidR="00EC200B">
        <w:rPr>
          <w:rFonts w:ascii="Georgia" w:hAnsi="Georgia" w:cs="Calibri"/>
          <w:sz w:val="22"/>
          <w:szCs w:val="22"/>
          <w:lang w:val="nl-NL"/>
        </w:rPr>
        <w:t xml:space="preserve">it weduwegoed </w:t>
      </w:r>
      <w:r w:rsidRPr="00C140A8">
        <w:rPr>
          <w:rFonts w:ascii="Georgia" w:hAnsi="Georgia" w:cs="Calibri"/>
          <w:sz w:val="22"/>
          <w:szCs w:val="22"/>
          <w:lang w:val="nl-NL"/>
        </w:rPr>
        <w:t xml:space="preserve">ten gunste van de </w:t>
      </w:r>
      <w:r w:rsidR="00EC200B">
        <w:rPr>
          <w:rFonts w:ascii="Georgia" w:hAnsi="Georgia" w:cs="Calibri"/>
          <w:sz w:val="22"/>
          <w:szCs w:val="22"/>
          <w:lang w:val="nl-NL"/>
        </w:rPr>
        <w:t>hertogin</w:t>
      </w:r>
      <w:r w:rsidRPr="00C140A8">
        <w:rPr>
          <w:rFonts w:ascii="Georgia" w:hAnsi="Georgia" w:cs="Calibri"/>
          <w:sz w:val="22"/>
          <w:szCs w:val="22"/>
          <w:lang w:val="nl-NL"/>
        </w:rPr>
        <w:t>.</w:t>
      </w:r>
      <w:r w:rsidRPr="00C140A8">
        <w:rPr>
          <w:rStyle w:val="FootnoteReference"/>
          <w:rFonts w:ascii="Georgia" w:hAnsi="Georgia" w:cs="Calibri"/>
          <w:sz w:val="22"/>
          <w:szCs w:val="22"/>
          <w:lang w:val="nl-NL"/>
        </w:rPr>
        <w:footnoteReference w:id="166"/>
      </w:r>
    </w:p>
    <w:p w14:paraId="280C0111" w14:textId="4959C71C" w:rsidR="00211EC6" w:rsidRPr="00C140A8" w:rsidRDefault="00211EC6"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Na het overlijden van Willem in 1345 nam Johanna onmiddellijk bezit van haar </w:t>
      </w:r>
      <w:r w:rsidR="00EC200B">
        <w:rPr>
          <w:rFonts w:ascii="Georgia" w:hAnsi="Georgia" w:cs="Calibri"/>
          <w:sz w:val="22"/>
          <w:szCs w:val="22"/>
          <w:lang w:val="nl-NL"/>
        </w:rPr>
        <w:t>weduwegoed</w:t>
      </w:r>
      <w:r w:rsidRPr="00C140A8">
        <w:rPr>
          <w:rFonts w:ascii="Georgia" w:hAnsi="Georgia" w:cs="Calibri"/>
          <w:sz w:val="22"/>
          <w:szCs w:val="22"/>
          <w:lang w:val="nl-NL"/>
        </w:rPr>
        <w:t xml:space="preserve">. Op 21 oktober 1345 reisde zij eerst naar Den Haag waar zij, zoals de Hollandse gewoonte voorschreef, formeel afstand deed van de grafelijke erfenis en genoegen nam met de eerder </w:t>
      </w:r>
      <w:r w:rsidRPr="00C140A8">
        <w:rPr>
          <w:rFonts w:ascii="Georgia" w:hAnsi="Georgia" w:cs="Calibri"/>
          <w:sz w:val="22"/>
          <w:szCs w:val="22"/>
          <w:lang w:val="nl-NL"/>
        </w:rPr>
        <w:lastRenderedPageBreak/>
        <w:t>vastgelegde douarie.</w:t>
      </w:r>
      <w:r w:rsidRPr="00C140A8">
        <w:rPr>
          <w:rStyle w:val="FootnoteReference"/>
          <w:rFonts w:ascii="Georgia" w:hAnsi="Georgia" w:cs="Calibri"/>
          <w:sz w:val="22"/>
          <w:szCs w:val="22"/>
          <w:lang w:val="nl-NL"/>
        </w:rPr>
        <w:footnoteReference w:id="167"/>
      </w:r>
      <w:r w:rsidRPr="00C140A8">
        <w:rPr>
          <w:rFonts w:ascii="Georgia" w:hAnsi="Georgia" w:cs="Calibri"/>
          <w:sz w:val="22"/>
          <w:szCs w:val="22"/>
          <w:lang w:val="nl-NL"/>
        </w:rPr>
        <w:t xml:space="preserve">  Na de bevestiging en inwerkingtreding van de jaarlijkse Hollandse rente en het noordelijke deel van haar </w:t>
      </w:r>
      <w:r w:rsidR="00EC200B">
        <w:rPr>
          <w:rFonts w:ascii="Georgia" w:hAnsi="Georgia" w:cs="Calibri"/>
          <w:sz w:val="22"/>
          <w:szCs w:val="22"/>
          <w:lang w:val="nl-NL"/>
        </w:rPr>
        <w:t>weduwegoed</w:t>
      </w:r>
      <w:r w:rsidRPr="00C140A8">
        <w:rPr>
          <w:rFonts w:ascii="Georgia" w:hAnsi="Georgia" w:cs="Calibri"/>
          <w:sz w:val="22"/>
          <w:szCs w:val="22"/>
          <w:lang w:val="nl-NL"/>
        </w:rPr>
        <w:t xml:space="preserve">, reisde </w:t>
      </w:r>
      <w:r w:rsidR="00F86901">
        <w:rPr>
          <w:rFonts w:ascii="Georgia" w:hAnsi="Georgia" w:cs="Calibri"/>
          <w:sz w:val="22"/>
          <w:szCs w:val="22"/>
          <w:lang w:val="nl-NL"/>
        </w:rPr>
        <w:t>ze</w:t>
      </w:r>
      <w:r w:rsidRPr="00C140A8">
        <w:rPr>
          <w:rFonts w:ascii="Georgia" w:hAnsi="Georgia" w:cs="Calibri"/>
          <w:sz w:val="22"/>
          <w:szCs w:val="22"/>
          <w:lang w:val="nl-NL"/>
        </w:rPr>
        <w:t xml:space="preserve"> door om op 1 december 1345 ook het Henegouwse deel in ontvangst te nemen.</w:t>
      </w:r>
      <w:r w:rsidRPr="00C140A8">
        <w:rPr>
          <w:rStyle w:val="FootnoteReference"/>
          <w:rFonts w:ascii="Georgia" w:hAnsi="Georgia" w:cs="Calibri"/>
          <w:sz w:val="22"/>
          <w:szCs w:val="22"/>
          <w:lang w:val="nl-NL"/>
        </w:rPr>
        <w:footnoteReference w:id="168"/>
      </w:r>
      <w:r w:rsidRPr="00C140A8">
        <w:rPr>
          <w:rFonts w:ascii="Georgia" w:hAnsi="Georgia" w:cs="Calibri"/>
          <w:sz w:val="22"/>
          <w:szCs w:val="22"/>
          <w:lang w:val="nl-NL"/>
        </w:rPr>
        <w:t xml:space="preserve"> Jan van Henegouwen en Gerard van Edingen, die tot dat moment als borg hadden gefungeerd voor de Henegouwse domeinen, droegen deze direct aan haar over.</w:t>
      </w:r>
      <w:r w:rsidRPr="00C140A8">
        <w:rPr>
          <w:rStyle w:val="FootnoteReference"/>
          <w:rFonts w:ascii="Georgia" w:hAnsi="Georgia" w:cs="Calibri"/>
          <w:sz w:val="22"/>
          <w:szCs w:val="22"/>
          <w:lang w:val="nl-NL"/>
        </w:rPr>
        <w:footnoteReference w:id="169"/>
      </w:r>
      <w:r w:rsidRPr="00C140A8">
        <w:rPr>
          <w:rFonts w:ascii="Georgia" w:hAnsi="Georgia" w:cs="Calibri"/>
          <w:sz w:val="22"/>
          <w:szCs w:val="22"/>
          <w:lang w:val="nl-NL"/>
        </w:rPr>
        <w:t xml:space="preserve"> Johanna nam onmiddellijk haar intrek in haar weduwegoed te Binche en zou daar verblijven tot aan haar tweede huwelijk met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w:t>
      </w:r>
    </w:p>
    <w:p w14:paraId="6F91B886" w14:textId="289F9200" w:rsidR="00211EC6" w:rsidRPr="00C140A8" w:rsidRDefault="00211EC6"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In tegenstelling tot haar voorgangsters, </w:t>
      </w:r>
      <w:proofErr w:type="spellStart"/>
      <w:r w:rsidRPr="00C140A8">
        <w:rPr>
          <w:rFonts w:ascii="Georgia" w:hAnsi="Georgia" w:cs="Calibri"/>
          <w:sz w:val="22"/>
          <w:szCs w:val="22"/>
          <w:lang w:val="nl-NL"/>
        </w:rPr>
        <w:t>Filippa</w:t>
      </w:r>
      <w:proofErr w:type="spellEnd"/>
      <w:r w:rsidRPr="00C140A8">
        <w:rPr>
          <w:rFonts w:ascii="Georgia" w:hAnsi="Georgia" w:cs="Calibri"/>
          <w:sz w:val="22"/>
          <w:szCs w:val="22"/>
          <w:lang w:val="nl-NL"/>
        </w:rPr>
        <w:t xml:space="preserve"> en Johanna van </w:t>
      </w:r>
      <w:proofErr w:type="spellStart"/>
      <w:r w:rsidRPr="00C140A8">
        <w:rPr>
          <w:rFonts w:ascii="Georgia" w:hAnsi="Georgia" w:cs="Calibri"/>
          <w:sz w:val="22"/>
          <w:szCs w:val="22"/>
          <w:lang w:val="nl-NL"/>
        </w:rPr>
        <w:t>Valois</w:t>
      </w:r>
      <w:proofErr w:type="spellEnd"/>
      <w:r w:rsidRPr="00C140A8">
        <w:rPr>
          <w:rFonts w:ascii="Georgia" w:hAnsi="Georgia" w:cs="Calibri"/>
          <w:sz w:val="22"/>
          <w:szCs w:val="22"/>
          <w:lang w:val="nl-NL"/>
        </w:rPr>
        <w:t>, die als weduwen eveneens Henegouwse bezittingen hadden verkregen, mengde Johanna zich niet in de staatszaken van het graafschap.</w:t>
      </w:r>
      <w:r w:rsidRPr="00C140A8">
        <w:rPr>
          <w:rStyle w:val="FootnoteReference"/>
          <w:rFonts w:ascii="Georgia" w:hAnsi="Georgia" w:cs="Calibri"/>
          <w:sz w:val="22"/>
          <w:szCs w:val="22"/>
          <w:lang w:val="nl-NL"/>
        </w:rPr>
        <w:footnoteReference w:id="170"/>
      </w:r>
      <w:r w:rsidRPr="00C140A8">
        <w:rPr>
          <w:rFonts w:ascii="Georgia" w:hAnsi="Georgia" w:cs="Calibri"/>
          <w:sz w:val="22"/>
          <w:szCs w:val="22"/>
          <w:lang w:val="nl-NL"/>
        </w:rPr>
        <w:t xml:space="preserve"> </w:t>
      </w:r>
      <w:r w:rsidR="00510CCA">
        <w:rPr>
          <w:rFonts w:ascii="Georgia" w:hAnsi="Georgia" w:cs="Calibri"/>
          <w:sz w:val="22"/>
          <w:szCs w:val="22"/>
          <w:lang w:val="nl-NL"/>
        </w:rPr>
        <w:t>Ze</w:t>
      </w:r>
      <w:r w:rsidRPr="00C140A8">
        <w:rPr>
          <w:rFonts w:ascii="Georgia" w:hAnsi="Georgia" w:cs="Calibri"/>
          <w:sz w:val="22"/>
          <w:szCs w:val="22"/>
          <w:lang w:val="nl-NL"/>
        </w:rPr>
        <w:t xml:space="preserve"> leidde een teruggetrokken bestaan en richtte zich uitsluitend op het beheer van haar eigen bezittingen. Hiervoor zijn twee verklaringen mogelijk. Allereerst is het goed mogelijk dat Johanna gewoonweg geen politieke ambities had in de regio. Op dat moment was </w:t>
      </w:r>
      <w:r w:rsidR="00510CCA">
        <w:rPr>
          <w:rFonts w:ascii="Georgia" w:hAnsi="Georgia" w:cs="Calibri"/>
          <w:sz w:val="22"/>
          <w:szCs w:val="22"/>
          <w:lang w:val="nl-NL"/>
        </w:rPr>
        <w:t>ze</w:t>
      </w:r>
      <w:r w:rsidRPr="00C140A8">
        <w:rPr>
          <w:rFonts w:ascii="Georgia" w:hAnsi="Georgia" w:cs="Calibri"/>
          <w:sz w:val="22"/>
          <w:szCs w:val="22"/>
          <w:lang w:val="nl-NL"/>
        </w:rPr>
        <w:t xml:space="preserve"> er nog zeker van dat zij nooit een hertogelijke bestuursfunctie in Brabant zou moeten bekleden. Waarom zou </w:t>
      </w:r>
      <w:r w:rsidR="00510CCA">
        <w:rPr>
          <w:rFonts w:ascii="Georgia" w:hAnsi="Georgia" w:cs="Calibri"/>
          <w:sz w:val="22"/>
          <w:szCs w:val="22"/>
          <w:lang w:val="nl-NL"/>
        </w:rPr>
        <w:t>ze</w:t>
      </w:r>
      <w:r w:rsidRPr="00C140A8">
        <w:rPr>
          <w:rFonts w:ascii="Georgia" w:hAnsi="Georgia" w:cs="Calibri"/>
          <w:sz w:val="22"/>
          <w:szCs w:val="22"/>
          <w:lang w:val="nl-NL"/>
        </w:rPr>
        <w:t xml:space="preserve"> zich dan intensief bezighouden met Henegouwen, tenzij haar vader dit nadrukkelijk van haar verwachtte om de relaties met het graafschap te onderhouden? Bovendien was zij op dat moment met haar 23 jaar nog een jonge weduwe. </w:t>
      </w:r>
      <w:r w:rsidR="00894186">
        <w:rPr>
          <w:rFonts w:ascii="Georgia" w:hAnsi="Georgia" w:cs="Calibri"/>
          <w:sz w:val="22"/>
          <w:szCs w:val="22"/>
          <w:lang w:val="nl-NL"/>
        </w:rPr>
        <w:t>E</w:t>
      </w:r>
      <w:r w:rsidR="00894186" w:rsidRPr="00894186">
        <w:rPr>
          <w:rFonts w:ascii="Georgia" w:hAnsi="Georgia" w:cs="Calibri"/>
          <w:sz w:val="22"/>
          <w:szCs w:val="22"/>
        </w:rPr>
        <w:t>en tweede mogelijke verklaring haalt Piérard aan</w:t>
      </w:r>
      <w:r w:rsidRPr="00C140A8">
        <w:rPr>
          <w:rFonts w:ascii="Georgia" w:hAnsi="Georgia" w:cs="Calibri"/>
          <w:sz w:val="22"/>
          <w:szCs w:val="22"/>
          <w:lang w:val="nl-NL"/>
        </w:rPr>
        <w:t xml:space="preserve">. </w:t>
      </w:r>
      <w:r w:rsidR="00510CCA">
        <w:rPr>
          <w:rFonts w:ascii="Georgia" w:hAnsi="Georgia" w:cs="Calibri"/>
          <w:sz w:val="22"/>
          <w:szCs w:val="22"/>
          <w:lang w:val="nl-NL"/>
        </w:rPr>
        <w:t>Ze</w:t>
      </w:r>
      <w:r w:rsidRPr="00C140A8">
        <w:rPr>
          <w:rFonts w:ascii="Georgia" w:hAnsi="Georgia" w:cs="Calibri"/>
          <w:sz w:val="22"/>
          <w:szCs w:val="22"/>
          <w:lang w:val="nl-NL"/>
        </w:rPr>
        <w:t xml:space="preserve"> stelt dat de Henegouwers Johanna wellicht bewust niet de ruimte gaven om zich te mengen in de interne staatszaken van hun graafschap.</w:t>
      </w:r>
      <w:r w:rsidRPr="00C140A8">
        <w:rPr>
          <w:rStyle w:val="FootnoteReference"/>
          <w:rFonts w:ascii="Georgia" w:hAnsi="Georgia" w:cs="Calibri"/>
          <w:sz w:val="22"/>
          <w:szCs w:val="22"/>
          <w:lang w:val="nl-NL"/>
        </w:rPr>
        <w:footnoteReference w:id="171"/>
      </w:r>
      <w:r w:rsidRPr="00C140A8">
        <w:rPr>
          <w:rFonts w:ascii="Georgia" w:hAnsi="Georgia" w:cs="Calibri"/>
          <w:sz w:val="22"/>
          <w:szCs w:val="22"/>
          <w:lang w:val="nl-NL"/>
        </w:rPr>
        <w:t xml:space="preserve">  Iets waar geleidelijk aan verandering in zou komen. </w:t>
      </w:r>
    </w:p>
    <w:p w14:paraId="4460D43B" w14:textId="54289655" w:rsidR="00211EC6" w:rsidRDefault="00211EC6"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Op papier zou Johanna dus uit haar eerste huwelijk een dubbele inkomst krijgen. Allereerst haar huwelijksgift, maar belangrijker een weduwegoed waarvan ze een jaarlijkse som verkreeg uit Holland en het vruchtgebruik van de domeinen die haar waren toegelegd in Henegouwen. </w:t>
      </w:r>
      <w:r w:rsidR="00F05802" w:rsidRPr="00C140A8">
        <w:rPr>
          <w:rFonts w:ascii="Georgia" w:hAnsi="Georgia" w:cs="Calibri"/>
          <w:sz w:val="22"/>
          <w:szCs w:val="22"/>
          <w:lang w:val="nl-NL"/>
        </w:rPr>
        <w:t>Onderzoek naar de inkomsten van vorstelijke weduwen mag echter niet enkel de toezeggingen binnen het huwelijkscontract bestuderen</w:t>
      </w:r>
      <w:r w:rsidRPr="00C140A8">
        <w:rPr>
          <w:rFonts w:ascii="Georgia" w:hAnsi="Georgia" w:cs="Calibri"/>
          <w:sz w:val="22"/>
          <w:szCs w:val="22"/>
          <w:lang w:val="nl-NL"/>
        </w:rPr>
        <w:t>.</w:t>
      </w:r>
      <w:r w:rsidRPr="00C140A8">
        <w:rPr>
          <w:rStyle w:val="FootnoteReference"/>
          <w:rFonts w:ascii="Georgia" w:hAnsi="Georgia" w:cs="Calibri"/>
          <w:sz w:val="22"/>
          <w:szCs w:val="22"/>
          <w:lang w:val="nl-NL"/>
        </w:rPr>
        <w:footnoteReference w:id="172"/>
      </w:r>
      <w:r w:rsidRPr="00C140A8">
        <w:rPr>
          <w:rFonts w:ascii="Georgia" w:hAnsi="Georgia" w:cs="Calibri"/>
          <w:sz w:val="22"/>
          <w:szCs w:val="22"/>
          <w:lang w:val="nl-NL"/>
        </w:rPr>
        <w:t xml:space="preserve"> In Johanna’s geval zal blijken dat</w:t>
      </w:r>
      <w:r w:rsidR="00F05802" w:rsidRPr="00C140A8">
        <w:rPr>
          <w:rFonts w:ascii="Georgia" w:hAnsi="Georgia" w:cs="Calibri"/>
          <w:sz w:val="22"/>
          <w:szCs w:val="22"/>
          <w:lang w:val="nl-NL"/>
        </w:rPr>
        <w:t xml:space="preserve"> </w:t>
      </w:r>
      <w:r w:rsidRPr="00C140A8">
        <w:rPr>
          <w:rFonts w:ascii="Georgia" w:hAnsi="Georgia" w:cs="Calibri"/>
          <w:sz w:val="22"/>
          <w:szCs w:val="22"/>
          <w:lang w:val="nl-NL"/>
        </w:rPr>
        <w:t xml:space="preserve">de praktijk een ander beeld geeft van wat ze allemaal kan innen. Gedurende haar hele leven zal er een spanning bestaan tussen de formele toezegging en de effectieve inning van deze inkomsten. Daarnaast rijst de vraag wat er met deze bezittingen gebeurt wanneer zij met haar tweede echtgenoot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trouwt en in 1356 hertogin van Brabant wordt. </w:t>
      </w:r>
    </w:p>
    <w:p w14:paraId="31B96A23" w14:textId="77777777" w:rsidR="00192268" w:rsidRDefault="00192268" w:rsidP="00C140A8">
      <w:pPr>
        <w:spacing w:afterLines="80" w:after="192" w:line="360" w:lineRule="auto"/>
        <w:jc w:val="both"/>
        <w:rPr>
          <w:rFonts w:ascii="Georgia" w:hAnsi="Georgia" w:cs="Calibri"/>
          <w:sz w:val="22"/>
          <w:szCs w:val="22"/>
          <w:lang w:val="nl-NL"/>
        </w:rPr>
      </w:pPr>
    </w:p>
    <w:p w14:paraId="335D6D95" w14:textId="77777777" w:rsidR="00192268" w:rsidRDefault="00192268" w:rsidP="00C140A8">
      <w:pPr>
        <w:spacing w:afterLines="80" w:after="192" w:line="360" w:lineRule="auto"/>
        <w:jc w:val="both"/>
        <w:rPr>
          <w:rFonts w:ascii="Georgia" w:hAnsi="Georgia" w:cs="Calibri"/>
          <w:sz w:val="22"/>
          <w:szCs w:val="22"/>
          <w:lang w:val="nl-NL"/>
        </w:rPr>
      </w:pPr>
    </w:p>
    <w:p w14:paraId="64D73FA7" w14:textId="77777777" w:rsidR="00192268" w:rsidRPr="00C140A8" w:rsidRDefault="00192268" w:rsidP="00C140A8">
      <w:pPr>
        <w:spacing w:afterLines="80" w:after="192" w:line="360" w:lineRule="auto"/>
        <w:jc w:val="both"/>
        <w:rPr>
          <w:rFonts w:ascii="Georgia" w:hAnsi="Georgia" w:cs="Calibri"/>
          <w:sz w:val="22"/>
          <w:szCs w:val="22"/>
          <w:lang w:val="nl-NL"/>
        </w:rPr>
      </w:pPr>
    </w:p>
    <w:p w14:paraId="1326C315" w14:textId="77777777" w:rsidR="00242E6C" w:rsidRPr="00192268" w:rsidRDefault="00242E6C" w:rsidP="00192268">
      <w:pPr>
        <w:pStyle w:val="ThesisHeading"/>
        <w:spacing w:before="0" w:after="0"/>
      </w:pPr>
      <w:bookmarkStart w:id="114" w:name="_Toc227399939"/>
      <w:bookmarkStart w:id="115" w:name="_Toc227674072"/>
      <w:bookmarkStart w:id="116" w:name="_Toc227674106"/>
      <w:bookmarkStart w:id="117" w:name="_Toc227744346"/>
      <w:bookmarkStart w:id="118" w:name="_Toc231153770"/>
      <w:bookmarkStart w:id="119" w:name="_Toc231329839"/>
      <w:bookmarkStart w:id="120" w:name="_Toc231330446"/>
      <w:bookmarkStart w:id="121" w:name="_Toc231428040"/>
      <w:bookmarkStart w:id="122" w:name="_Toc231463604"/>
      <w:proofErr w:type="spellStart"/>
      <w:r w:rsidRPr="00192268">
        <w:lastRenderedPageBreak/>
        <w:t>Huwelijk</w:t>
      </w:r>
      <w:proofErr w:type="spellEnd"/>
      <w:r w:rsidRPr="00192268">
        <w:t xml:space="preserve"> met Wenceslas</w:t>
      </w:r>
      <w:bookmarkEnd w:id="114"/>
      <w:bookmarkEnd w:id="115"/>
      <w:bookmarkEnd w:id="116"/>
      <w:bookmarkEnd w:id="117"/>
      <w:bookmarkEnd w:id="118"/>
      <w:bookmarkEnd w:id="119"/>
      <w:bookmarkEnd w:id="120"/>
      <w:bookmarkEnd w:id="121"/>
      <w:bookmarkEnd w:id="122"/>
      <w:r w:rsidRPr="00192268">
        <w:t xml:space="preserve"> </w:t>
      </w:r>
    </w:p>
    <w:p w14:paraId="5116AB9C" w14:textId="35E6B0A1" w:rsidR="00242E6C" w:rsidRPr="00192268" w:rsidRDefault="00242E6C" w:rsidP="00192268">
      <w:pPr>
        <w:pStyle w:val="ThesisSubheading"/>
        <w:spacing w:before="0"/>
        <w:ind w:left="1134" w:hanging="1134"/>
      </w:pPr>
      <w:bookmarkStart w:id="123" w:name="_Toc231153771"/>
      <w:bookmarkStart w:id="124" w:name="_Toc231329840"/>
      <w:bookmarkStart w:id="125" w:name="_Toc231330447"/>
      <w:bookmarkStart w:id="126" w:name="_Toc231428041"/>
      <w:proofErr w:type="spellStart"/>
      <w:r w:rsidRPr="00192268">
        <w:t>Nieuwe</w:t>
      </w:r>
      <w:proofErr w:type="spellEnd"/>
      <w:r w:rsidRPr="00192268">
        <w:t xml:space="preserve"> </w:t>
      </w:r>
      <w:proofErr w:type="spellStart"/>
      <w:r w:rsidRPr="00192268">
        <w:t>weduwegoede</w:t>
      </w:r>
      <w:bookmarkEnd w:id="123"/>
      <w:bookmarkEnd w:id="124"/>
      <w:bookmarkEnd w:id="125"/>
      <w:r w:rsidR="00192268">
        <w:t>n</w:t>
      </w:r>
      <w:bookmarkEnd w:id="126"/>
      <w:proofErr w:type="spellEnd"/>
    </w:p>
    <w:p w14:paraId="6DC2553D" w14:textId="1D7193F2" w:rsidR="00242E6C" w:rsidRPr="00C140A8" w:rsidRDefault="00242E6C"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Johanna zou niet lang weduwe blijven. Eind jaren veertig </w:t>
      </w:r>
      <w:r w:rsidR="00C47606" w:rsidRPr="00C140A8">
        <w:rPr>
          <w:rFonts w:ascii="Georgia" w:hAnsi="Georgia" w:cs="Calibri"/>
          <w:sz w:val="22"/>
          <w:szCs w:val="22"/>
          <w:lang w:val="nl-NL"/>
        </w:rPr>
        <w:t>stelde Jan III</w:t>
      </w:r>
      <w:r w:rsidR="00B477C3">
        <w:rPr>
          <w:rFonts w:ascii="Georgia" w:hAnsi="Georgia" w:cs="Calibri"/>
          <w:sz w:val="22"/>
          <w:szCs w:val="22"/>
          <w:lang w:val="nl-NL"/>
        </w:rPr>
        <w:t xml:space="preserve"> </w:t>
      </w:r>
      <w:r w:rsidRPr="00C140A8">
        <w:rPr>
          <w:rFonts w:ascii="Georgia" w:hAnsi="Georgia" w:cs="Calibri"/>
          <w:sz w:val="22"/>
          <w:szCs w:val="22"/>
          <w:lang w:val="nl-NL"/>
        </w:rPr>
        <w:t xml:space="preserve">nieuwe akkoorden op om haar te laten trouwen met de veel </w:t>
      </w:r>
      <w:r w:rsidR="00F05802" w:rsidRPr="00C140A8">
        <w:rPr>
          <w:rFonts w:ascii="Georgia" w:hAnsi="Georgia" w:cs="Calibri"/>
          <w:sz w:val="22"/>
          <w:szCs w:val="22"/>
          <w:lang w:val="nl-NL"/>
        </w:rPr>
        <w:t xml:space="preserve">jongere </w:t>
      </w:r>
      <w:proofErr w:type="spellStart"/>
      <w:r w:rsidR="00F05802"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van Luxemburg, uit het huis van Bohemen. Het hertogdom Brabant had lange tijd op gespannen voet geleefd met deze familie, maar na de dood van Jan de Blinde in 1346, zocht Jan III van Brabant steeds meer toenadering tot diens zoon Karel IV, de keizer van het Heilige Roomse Rijk en de broer van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w:t>
      </w:r>
      <w:r w:rsidRPr="00C140A8">
        <w:rPr>
          <w:rStyle w:val="FootnoteReference"/>
          <w:rFonts w:ascii="Georgia" w:hAnsi="Georgia" w:cs="Calibri"/>
          <w:sz w:val="22"/>
          <w:szCs w:val="22"/>
          <w:lang w:val="nl-NL"/>
        </w:rPr>
        <w:footnoteReference w:id="173"/>
      </w:r>
      <w:r w:rsidRPr="00C140A8">
        <w:rPr>
          <w:rFonts w:ascii="Georgia" w:hAnsi="Georgia" w:cs="Calibri"/>
          <w:sz w:val="22"/>
          <w:szCs w:val="22"/>
          <w:lang w:val="nl-NL"/>
        </w:rPr>
        <w:t xml:space="preserve">  In 1351 trouwde Johanna met de veertienjarige graaf.</w:t>
      </w:r>
      <w:r w:rsidRPr="00C140A8">
        <w:rPr>
          <w:rStyle w:val="FootnoteReference"/>
          <w:rFonts w:ascii="Georgia" w:hAnsi="Georgia" w:cs="Calibri"/>
          <w:sz w:val="22"/>
          <w:szCs w:val="22"/>
          <w:lang w:val="nl-NL"/>
        </w:rPr>
        <w:footnoteReference w:id="174"/>
      </w:r>
      <w:r w:rsidRPr="00C140A8">
        <w:rPr>
          <w:rFonts w:ascii="Georgia" w:hAnsi="Georgia" w:cs="Calibri"/>
          <w:sz w:val="22"/>
          <w:szCs w:val="22"/>
          <w:lang w:val="nl-NL"/>
        </w:rPr>
        <w:t xml:space="preserve"> H</w:t>
      </w:r>
      <w:r w:rsidR="00C47606" w:rsidRPr="00C140A8">
        <w:rPr>
          <w:rFonts w:ascii="Georgia" w:hAnsi="Georgia" w:cs="Calibri"/>
          <w:sz w:val="22"/>
          <w:szCs w:val="22"/>
          <w:lang w:val="nl-NL"/>
        </w:rPr>
        <w:t>et tweede weduwegoed breidde haar landerijen in Henegouwen verder uit</w:t>
      </w:r>
      <w:r w:rsidRPr="00C140A8">
        <w:rPr>
          <w:rFonts w:ascii="Georgia" w:hAnsi="Georgia" w:cs="Calibri"/>
          <w:sz w:val="22"/>
          <w:szCs w:val="22"/>
          <w:lang w:val="nl-NL"/>
        </w:rPr>
        <w:t xml:space="preserve"> en ze ontving een extra dotatie in Luxemburg.</w:t>
      </w:r>
      <w:r w:rsidRPr="00C140A8">
        <w:rPr>
          <w:rStyle w:val="FootnoteReference"/>
          <w:rFonts w:ascii="Georgia" w:hAnsi="Georgia" w:cs="Calibri"/>
          <w:sz w:val="22"/>
          <w:szCs w:val="22"/>
          <w:lang w:val="nl-NL"/>
        </w:rPr>
        <w:footnoteReference w:id="175"/>
      </w:r>
      <w:r w:rsidRPr="00C140A8">
        <w:rPr>
          <w:rFonts w:ascii="Georgia" w:hAnsi="Georgia" w:cs="Calibri"/>
          <w:sz w:val="22"/>
          <w:szCs w:val="22"/>
          <w:lang w:val="nl-NL"/>
        </w:rPr>
        <w:t xml:space="preserve"> Deze dotatie bedroeg een som van 8000 </w:t>
      </w:r>
      <w:proofErr w:type="spellStart"/>
      <w:r w:rsidR="00F85910" w:rsidRPr="00C140A8">
        <w:rPr>
          <w:rFonts w:ascii="Georgia" w:hAnsi="Georgia" w:cs="Calibri"/>
          <w:sz w:val="22"/>
          <w:szCs w:val="22"/>
          <w:lang w:val="nl-NL"/>
        </w:rPr>
        <w:t>tournooise</w:t>
      </w:r>
      <w:proofErr w:type="spellEnd"/>
      <w:r w:rsidR="00F85910" w:rsidRPr="00C140A8">
        <w:rPr>
          <w:rFonts w:ascii="Georgia" w:hAnsi="Georgia" w:cs="Calibri"/>
          <w:sz w:val="22"/>
          <w:szCs w:val="22"/>
          <w:lang w:val="nl-NL"/>
        </w:rPr>
        <w:t xml:space="preserve"> </w:t>
      </w:r>
      <w:r w:rsidRPr="00C140A8">
        <w:rPr>
          <w:rFonts w:ascii="Georgia" w:hAnsi="Georgia" w:cs="Calibri"/>
          <w:sz w:val="22"/>
          <w:szCs w:val="22"/>
          <w:lang w:val="nl-NL"/>
        </w:rPr>
        <w:t>pond per jaar, toegekend aan de steden La Roche en Durbuy.</w:t>
      </w:r>
      <w:r w:rsidRPr="00C140A8">
        <w:rPr>
          <w:rStyle w:val="FootnoteReference"/>
          <w:rFonts w:ascii="Georgia" w:hAnsi="Georgia" w:cs="Calibri"/>
          <w:sz w:val="22"/>
          <w:szCs w:val="22"/>
          <w:lang w:val="nl-NL"/>
        </w:rPr>
        <w:footnoteReference w:id="176"/>
      </w:r>
      <w:r w:rsidRPr="00C140A8">
        <w:rPr>
          <w:rFonts w:ascii="Georgia" w:hAnsi="Georgia" w:cs="Calibri"/>
          <w:sz w:val="22"/>
          <w:szCs w:val="22"/>
          <w:lang w:val="nl-NL"/>
        </w:rPr>
        <w:t xml:space="preserve"> Omdat Johanna op dat moment nog twee levende broers had, werd dit huwelijk overigens nog niet gesloten met het vooruitzicht op de Brabantse hertogstitel. </w:t>
      </w:r>
      <w:r w:rsidR="001B0799">
        <w:rPr>
          <w:rFonts w:ascii="Georgia" w:hAnsi="Georgia" w:cs="Calibri"/>
          <w:sz w:val="22"/>
          <w:szCs w:val="22"/>
          <w:lang w:val="nl-NL"/>
        </w:rPr>
        <w:t>Bij</w:t>
      </w:r>
      <w:r w:rsidRPr="00C140A8">
        <w:rPr>
          <w:rFonts w:ascii="Georgia" w:hAnsi="Georgia" w:cs="Calibri"/>
          <w:sz w:val="22"/>
          <w:szCs w:val="22"/>
          <w:lang w:val="nl-NL"/>
        </w:rPr>
        <w:t xml:space="preserve"> </w:t>
      </w:r>
      <w:r w:rsidR="001B0799">
        <w:rPr>
          <w:rFonts w:ascii="Georgia" w:hAnsi="Georgia" w:cs="Calibri"/>
          <w:sz w:val="22"/>
          <w:szCs w:val="22"/>
          <w:lang w:val="nl-NL"/>
        </w:rPr>
        <w:t>het weduwegoed</w:t>
      </w:r>
      <w:r w:rsidRPr="00C140A8">
        <w:rPr>
          <w:rFonts w:ascii="Georgia" w:hAnsi="Georgia" w:cs="Calibri"/>
          <w:sz w:val="22"/>
          <w:szCs w:val="22"/>
          <w:lang w:val="nl-NL"/>
        </w:rPr>
        <w:t xml:space="preserve"> </w:t>
      </w:r>
      <w:r w:rsidR="00E31D1E" w:rsidRPr="00C140A8">
        <w:rPr>
          <w:rFonts w:ascii="Georgia" w:hAnsi="Georgia" w:cs="Calibri"/>
          <w:sz w:val="22"/>
          <w:szCs w:val="22"/>
          <w:lang w:val="nl-NL"/>
        </w:rPr>
        <w:t>voegde het huis Bohem</w:t>
      </w:r>
      <w:r w:rsidRPr="00C140A8">
        <w:rPr>
          <w:rFonts w:ascii="Georgia" w:hAnsi="Georgia" w:cs="Calibri"/>
          <w:sz w:val="22"/>
          <w:szCs w:val="22"/>
          <w:lang w:val="nl-NL"/>
        </w:rPr>
        <w:t>en verder nog toe: landerijen</w:t>
      </w:r>
      <w:r w:rsidR="001B0799">
        <w:rPr>
          <w:rFonts w:ascii="Georgia" w:hAnsi="Georgia" w:cs="Calibri"/>
          <w:sz w:val="22"/>
          <w:szCs w:val="22"/>
          <w:lang w:val="nl-NL"/>
        </w:rPr>
        <w:t xml:space="preserve"> toe</w:t>
      </w:r>
      <w:r w:rsidRPr="00C140A8">
        <w:rPr>
          <w:rFonts w:ascii="Georgia" w:hAnsi="Georgia" w:cs="Calibri"/>
          <w:sz w:val="22"/>
          <w:szCs w:val="22"/>
          <w:lang w:val="nl-NL"/>
        </w:rPr>
        <w:t xml:space="preserve"> in </w:t>
      </w:r>
      <w:proofErr w:type="spellStart"/>
      <w:r w:rsidRPr="00C140A8">
        <w:rPr>
          <w:rFonts w:ascii="Georgia" w:hAnsi="Georgia" w:cs="Calibri"/>
          <w:sz w:val="22"/>
          <w:szCs w:val="22"/>
          <w:lang w:val="nl-NL"/>
        </w:rPr>
        <w:t>Aymeries</w:t>
      </w:r>
      <w:proofErr w:type="spellEnd"/>
      <w:r w:rsidRPr="00C140A8">
        <w:rPr>
          <w:rFonts w:ascii="Georgia" w:hAnsi="Georgia" w:cs="Calibri"/>
          <w:sz w:val="22"/>
          <w:szCs w:val="22"/>
          <w:lang w:val="nl-NL"/>
        </w:rPr>
        <w:t xml:space="preserve">, </w:t>
      </w:r>
      <w:proofErr w:type="spellStart"/>
      <w:r w:rsidRPr="00C140A8">
        <w:rPr>
          <w:rFonts w:ascii="Georgia" w:hAnsi="Georgia" w:cs="Calibri"/>
          <w:sz w:val="22"/>
          <w:szCs w:val="22"/>
          <w:lang w:val="nl-NL"/>
        </w:rPr>
        <w:t>Quarte</w:t>
      </w:r>
      <w:proofErr w:type="spellEnd"/>
      <w:r w:rsidRPr="00C140A8">
        <w:rPr>
          <w:rFonts w:ascii="Georgia" w:hAnsi="Georgia" w:cs="Calibri"/>
          <w:sz w:val="22"/>
          <w:szCs w:val="22"/>
          <w:lang w:val="nl-NL"/>
        </w:rPr>
        <w:t xml:space="preserve">, </w:t>
      </w:r>
      <w:proofErr w:type="spellStart"/>
      <w:r w:rsidRPr="00C140A8">
        <w:rPr>
          <w:rFonts w:ascii="Georgia" w:hAnsi="Georgia" w:cs="Calibri"/>
          <w:sz w:val="22"/>
          <w:szCs w:val="22"/>
          <w:lang w:val="nl-NL"/>
        </w:rPr>
        <w:t>Hargnies</w:t>
      </w:r>
      <w:proofErr w:type="spellEnd"/>
      <w:r w:rsidRPr="00C140A8">
        <w:rPr>
          <w:rFonts w:ascii="Georgia" w:hAnsi="Georgia" w:cs="Calibri"/>
          <w:sz w:val="22"/>
          <w:szCs w:val="22"/>
          <w:lang w:val="nl-NL"/>
        </w:rPr>
        <w:t xml:space="preserve">, </w:t>
      </w:r>
      <w:proofErr w:type="spellStart"/>
      <w:r w:rsidRPr="00C140A8">
        <w:rPr>
          <w:rFonts w:ascii="Georgia" w:hAnsi="Georgia" w:cs="Calibri"/>
          <w:sz w:val="22"/>
          <w:szCs w:val="22"/>
          <w:lang w:val="nl-NL"/>
        </w:rPr>
        <w:t>Pontignie</w:t>
      </w:r>
      <w:proofErr w:type="spellEnd"/>
      <w:r w:rsidRPr="00C140A8">
        <w:rPr>
          <w:rFonts w:ascii="Georgia" w:hAnsi="Georgia" w:cs="Calibri"/>
          <w:sz w:val="22"/>
          <w:szCs w:val="22"/>
          <w:lang w:val="nl-NL"/>
        </w:rPr>
        <w:t xml:space="preserve">, Sart de </w:t>
      </w:r>
      <w:proofErr w:type="spellStart"/>
      <w:r w:rsidRPr="00C140A8">
        <w:rPr>
          <w:rFonts w:ascii="Georgia" w:hAnsi="Georgia" w:cs="Calibri"/>
          <w:sz w:val="22"/>
          <w:szCs w:val="22"/>
          <w:lang w:val="nl-NL"/>
        </w:rPr>
        <w:t>Dourlers</w:t>
      </w:r>
      <w:proofErr w:type="spellEnd"/>
      <w:r w:rsidRPr="00C140A8">
        <w:rPr>
          <w:rFonts w:ascii="Georgia" w:hAnsi="Georgia" w:cs="Calibri"/>
          <w:sz w:val="22"/>
          <w:szCs w:val="22"/>
          <w:lang w:val="nl-NL"/>
        </w:rPr>
        <w:t xml:space="preserve"> en </w:t>
      </w:r>
      <w:proofErr w:type="spellStart"/>
      <w:r w:rsidRPr="00C140A8">
        <w:rPr>
          <w:rFonts w:ascii="Georgia" w:hAnsi="Georgia" w:cs="Calibri"/>
          <w:sz w:val="22"/>
          <w:szCs w:val="22"/>
          <w:lang w:val="nl-NL"/>
        </w:rPr>
        <w:t>Raismes</w:t>
      </w:r>
      <w:proofErr w:type="spellEnd"/>
      <w:r w:rsidRPr="00C140A8">
        <w:rPr>
          <w:rFonts w:ascii="Georgia" w:hAnsi="Georgia" w:cs="Calibri"/>
          <w:sz w:val="22"/>
          <w:szCs w:val="22"/>
          <w:lang w:val="nl-NL"/>
        </w:rPr>
        <w:t xml:space="preserve">, en in </w:t>
      </w:r>
      <w:proofErr w:type="spellStart"/>
      <w:r w:rsidRPr="00C140A8">
        <w:rPr>
          <w:rFonts w:ascii="Georgia" w:hAnsi="Georgia" w:cs="Calibri"/>
          <w:sz w:val="22"/>
          <w:szCs w:val="22"/>
          <w:lang w:val="nl-NL"/>
        </w:rPr>
        <w:t>Valenciennes</w:t>
      </w:r>
      <w:proofErr w:type="spellEnd"/>
      <w:r w:rsidRPr="00C140A8">
        <w:rPr>
          <w:rFonts w:ascii="Georgia" w:hAnsi="Georgia" w:cs="Calibri"/>
          <w:sz w:val="22"/>
          <w:szCs w:val="22"/>
          <w:lang w:val="nl-NL"/>
        </w:rPr>
        <w:t>.</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177"/>
      </w:r>
      <w:r w:rsidRPr="00C140A8">
        <w:rPr>
          <w:rFonts w:ascii="Georgia" w:hAnsi="Georgia" w:cs="Calibri"/>
          <w:sz w:val="22"/>
          <w:szCs w:val="22"/>
          <w:lang w:val="nl-NL"/>
        </w:rPr>
        <w:t xml:space="preserve"> </w:t>
      </w:r>
    </w:p>
    <w:p w14:paraId="534CEFA2" w14:textId="48E24E0D" w:rsidR="00242E6C" w:rsidRPr="00C140A8" w:rsidRDefault="000D7210" w:rsidP="00C140A8">
      <w:pPr>
        <w:spacing w:afterLines="80" w:after="192" w:line="360" w:lineRule="auto"/>
        <w:jc w:val="both"/>
        <w:rPr>
          <w:rFonts w:ascii="Georgia" w:hAnsi="Georgia" w:cs="Calibri"/>
          <w:sz w:val="22"/>
          <w:szCs w:val="22"/>
          <w:lang w:val="nl-NL"/>
        </w:rPr>
      </w:pPr>
      <w:r w:rsidRPr="000D7210">
        <w:rPr>
          <w:rFonts w:ascii="Georgia" w:hAnsi="Georgia" w:cs="Calibri"/>
          <w:color w:val="000000" w:themeColor="text1"/>
          <w:sz w:val="22"/>
          <w:szCs w:val="22"/>
        </w:rPr>
        <w:t>Wenceslas' moeder, Beatrix van Bourbon, stond een deel van haar eigen weduwegoeden in Henegouwen af zodat die bij de douarie van Johanna konden aansluiten</w:t>
      </w:r>
      <w:r w:rsidR="00242E6C" w:rsidRPr="00C140A8">
        <w:rPr>
          <w:rFonts w:ascii="Georgia" w:hAnsi="Georgia" w:cs="Calibri"/>
          <w:sz w:val="22"/>
          <w:szCs w:val="22"/>
          <w:lang w:val="nl-NL"/>
        </w:rPr>
        <w:t>.</w:t>
      </w:r>
      <w:r w:rsidR="00242E6C" w:rsidRPr="00C140A8">
        <w:rPr>
          <w:rStyle w:val="FootnoteReference"/>
          <w:rFonts w:ascii="Georgia" w:hAnsi="Georgia" w:cs="Calibri"/>
          <w:sz w:val="22"/>
          <w:szCs w:val="22"/>
          <w:lang w:val="nl-NL"/>
        </w:rPr>
        <w:footnoteReference w:id="178"/>
      </w:r>
      <w:r w:rsidR="00242E6C" w:rsidRPr="00C140A8">
        <w:rPr>
          <w:rFonts w:ascii="Georgia" w:hAnsi="Georgia" w:cs="Calibri"/>
          <w:sz w:val="22"/>
          <w:szCs w:val="22"/>
          <w:lang w:val="nl-NL"/>
        </w:rPr>
        <w:t xml:space="preserve"> Dit betekende wel dat </w:t>
      </w:r>
      <w:proofErr w:type="spellStart"/>
      <w:r w:rsidR="00242E6C" w:rsidRPr="00C140A8">
        <w:rPr>
          <w:rFonts w:ascii="Georgia" w:hAnsi="Georgia" w:cs="Calibri"/>
          <w:sz w:val="22"/>
          <w:szCs w:val="22"/>
          <w:lang w:val="nl-NL"/>
        </w:rPr>
        <w:t>Wenceslas</w:t>
      </w:r>
      <w:proofErr w:type="spellEnd"/>
      <w:r w:rsidR="00242E6C" w:rsidRPr="00C140A8">
        <w:rPr>
          <w:rFonts w:ascii="Georgia" w:hAnsi="Georgia" w:cs="Calibri"/>
          <w:sz w:val="22"/>
          <w:szCs w:val="22"/>
          <w:lang w:val="nl-NL"/>
        </w:rPr>
        <w:t xml:space="preserve"> vanaf dat moment medeverantwoordelijk werd voor het pensioen en levensonderhoud van zijn moeder, iets wat sporadisch in de bronnen opduikt.</w:t>
      </w:r>
      <w:r w:rsidR="00242E6C" w:rsidRPr="00C140A8">
        <w:rPr>
          <w:rStyle w:val="FootnoteReference"/>
          <w:rFonts w:ascii="Georgia" w:hAnsi="Georgia" w:cs="Calibri"/>
          <w:sz w:val="22"/>
          <w:szCs w:val="22"/>
          <w:lang w:val="nl-NL"/>
        </w:rPr>
        <w:footnoteReference w:id="179"/>
      </w:r>
      <w:r w:rsidR="00242E6C" w:rsidRPr="00C140A8">
        <w:rPr>
          <w:rFonts w:ascii="Georgia" w:hAnsi="Georgia" w:cs="Calibri"/>
          <w:sz w:val="22"/>
          <w:szCs w:val="22"/>
          <w:lang w:val="nl-NL"/>
        </w:rPr>
        <w:t xml:space="preserve">  </w:t>
      </w:r>
      <w:r w:rsidR="00035E65">
        <w:rPr>
          <w:rFonts w:ascii="Georgia" w:hAnsi="Georgia" w:cs="Calibri"/>
          <w:sz w:val="22"/>
          <w:szCs w:val="22"/>
          <w:lang w:val="nl-NL"/>
        </w:rPr>
        <w:t>I</w:t>
      </w:r>
      <w:r w:rsidR="00242E6C" w:rsidRPr="00C140A8">
        <w:rPr>
          <w:rFonts w:ascii="Georgia" w:hAnsi="Georgia" w:cs="Calibri"/>
          <w:sz w:val="22"/>
          <w:szCs w:val="22"/>
          <w:lang w:val="nl-NL"/>
        </w:rPr>
        <w:t xml:space="preserve">n de vier jaargangen van de </w:t>
      </w:r>
      <w:proofErr w:type="spellStart"/>
      <w:r w:rsidR="00242E6C" w:rsidRPr="00035E65">
        <w:rPr>
          <w:rFonts w:ascii="Georgia" w:hAnsi="Georgia" w:cs="Calibri"/>
          <w:i/>
          <w:iCs/>
          <w:sz w:val="22"/>
          <w:szCs w:val="22"/>
          <w:lang w:val="nl-NL"/>
        </w:rPr>
        <w:t>vidimi</w:t>
      </w:r>
      <w:proofErr w:type="spellEnd"/>
      <w:r w:rsidR="00242E6C" w:rsidRPr="00C140A8">
        <w:rPr>
          <w:rFonts w:ascii="Georgia" w:hAnsi="Georgia" w:cs="Calibri"/>
          <w:sz w:val="22"/>
          <w:szCs w:val="22"/>
          <w:lang w:val="nl-NL"/>
        </w:rPr>
        <w:t xml:space="preserve"> zijn betalingen terug te vinden, </w:t>
      </w:r>
      <w:r w:rsidR="009914D6" w:rsidRPr="00C140A8">
        <w:rPr>
          <w:rFonts w:ascii="Georgia" w:hAnsi="Georgia" w:cs="Calibri"/>
          <w:sz w:val="22"/>
          <w:szCs w:val="22"/>
          <w:lang w:val="nl-NL"/>
        </w:rPr>
        <w:t>variërend</w:t>
      </w:r>
      <w:r w:rsidR="00242E6C" w:rsidRPr="00C140A8">
        <w:rPr>
          <w:rFonts w:ascii="Georgia" w:hAnsi="Georgia" w:cs="Calibri"/>
          <w:sz w:val="22"/>
          <w:szCs w:val="22"/>
          <w:lang w:val="nl-NL"/>
        </w:rPr>
        <w:t xml:space="preserve"> van </w:t>
      </w:r>
      <w:r>
        <w:rPr>
          <w:rFonts w:ascii="Georgia" w:hAnsi="Georgia" w:cs="Calibri"/>
          <w:sz w:val="22"/>
          <w:szCs w:val="22"/>
          <w:lang w:val="nl-NL"/>
        </w:rPr>
        <w:t>dertig</w:t>
      </w:r>
      <w:r w:rsidR="00242E6C" w:rsidRPr="00C140A8">
        <w:rPr>
          <w:rFonts w:ascii="Georgia" w:hAnsi="Georgia" w:cs="Calibri"/>
          <w:sz w:val="22"/>
          <w:szCs w:val="22"/>
          <w:lang w:val="nl-NL"/>
        </w:rPr>
        <w:t xml:space="preserve"> tot </w:t>
      </w:r>
      <w:r>
        <w:rPr>
          <w:rFonts w:ascii="Georgia" w:hAnsi="Georgia" w:cs="Calibri"/>
          <w:sz w:val="22"/>
          <w:szCs w:val="22"/>
          <w:lang w:val="nl-NL"/>
        </w:rPr>
        <w:t>duizend</w:t>
      </w:r>
      <w:r w:rsidR="00242E6C" w:rsidRPr="00C140A8">
        <w:rPr>
          <w:rFonts w:ascii="Georgia" w:hAnsi="Georgia" w:cs="Calibri"/>
          <w:sz w:val="22"/>
          <w:szCs w:val="22"/>
          <w:lang w:val="nl-NL"/>
        </w:rPr>
        <w:t xml:space="preserve"> gouden franken, die </w:t>
      </w:r>
      <w:proofErr w:type="spellStart"/>
      <w:r w:rsidR="00242E6C" w:rsidRPr="00C140A8">
        <w:rPr>
          <w:rFonts w:ascii="Georgia" w:hAnsi="Georgia" w:cs="Calibri"/>
          <w:sz w:val="22"/>
          <w:szCs w:val="22"/>
          <w:lang w:val="nl-NL"/>
        </w:rPr>
        <w:t>Wenceslas</w:t>
      </w:r>
      <w:proofErr w:type="spellEnd"/>
      <w:r w:rsidR="00242E6C" w:rsidRPr="00C140A8">
        <w:rPr>
          <w:rFonts w:ascii="Georgia" w:hAnsi="Georgia" w:cs="Calibri"/>
          <w:sz w:val="22"/>
          <w:szCs w:val="22"/>
          <w:lang w:val="nl-NL"/>
        </w:rPr>
        <w:t xml:space="preserve"> in het kader van zijn moeders douarie moest voldoen. Opvallend is dat </w:t>
      </w:r>
      <w:r>
        <w:rPr>
          <w:rFonts w:ascii="Georgia" w:hAnsi="Georgia" w:cs="Calibri"/>
          <w:sz w:val="22"/>
          <w:szCs w:val="22"/>
          <w:lang w:val="nl-NL"/>
        </w:rPr>
        <w:t xml:space="preserve">de klerk </w:t>
      </w:r>
      <w:r w:rsidR="00242E6C" w:rsidRPr="00C140A8">
        <w:rPr>
          <w:rFonts w:ascii="Georgia" w:hAnsi="Georgia" w:cs="Calibri"/>
          <w:sz w:val="22"/>
          <w:szCs w:val="22"/>
          <w:lang w:val="nl-NL"/>
        </w:rPr>
        <w:t xml:space="preserve">deze transacties vrijwel uitsluitend </w:t>
      </w:r>
      <w:r>
        <w:rPr>
          <w:rFonts w:ascii="Georgia" w:hAnsi="Georgia" w:cs="Calibri"/>
          <w:sz w:val="22"/>
          <w:szCs w:val="22"/>
          <w:lang w:val="nl-NL"/>
        </w:rPr>
        <w:t>overmaakte</w:t>
      </w:r>
      <w:r w:rsidR="00242E6C" w:rsidRPr="00C140A8">
        <w:rPr>
          <w:rFonts w:ascii="Georgia" w:hAnsi="Georgia" w:cs="Calibri"/>
          <w:sz w:val="22"/>
          <w:szCs w:val="22"/>
          <w:lang w:val="nl-NL"/>
        </w:rPr>
        <w:t xml:space="preserve"> aan </w:t>
      </w:r>
      <w:proofErr w:type="spellStart"/>
      <w:r>
        <w:rPr>
          <w:rFonts w:ascii="Georgia" w:hAnsi="Georgia" w:cs="Calibri"/>
          <w:sz w:val="22"/>
          <w:szCs w:val="22"/>
          <w:lang w:val="nl-NL"/>
        </w:rPr>
        <w:t>Wenceslas</w:t>
      </w:r>
      <w:proofErr w:type="spellEnd"/>
      <w:r>
        <w:rPr>
          <w:rFonts w:ascii="Georgia" w:hAnsi="Georgia" w:cs="Calibri"/>
          <w:sz w:val="22"/>
          <w:szCs w:val="22"/>
          <w:lang w:val="nl-NL"/>
        </w:rPr>
        <w:t>’</w:t>
      </w:r>
      <w:r w:rsidR="00242E6C" w:rsidRPr="00C140A8">
        <w:rPr>
          <w:rFonts w:ascii="Georgia" w:hAnsi="Georgia" w:cs="Calibri"/>
          <w:sz w:val="22"/>
          <w:szCs w:val="22"/>
          <w:lang w:val="nl-NL"/>
        </w:rPr>
        <w:t xml:space="preserve"> stiefvader, </w:t>
      </w:r>
      <w:proofErr w:type="spellStart"/>
      <w:r w:rsidR="00242E6C" w:rsidRPr="00C140A8">
        <w:rPr>
          <w:rFonts w:ascii="Georgia" w:hAnsi="Georgia" w:cs="Calibri"/>
          <w:sz w:val="22"/>
          <w:szCs w:val="22"/>
          <w:lang w:val="nl-NL"/>
        </w:rPr>
        <w:t>Eudes</w:t>
      </w:r>
      <w:proofErr w:type="spellEnd"/>
      <w:r w:rsidR="00242E6C" w:rsidRPr="00C140A8">
        <w:rPr>
          <w:rFonts w:ascii="Georgia" w:hAnsi="Georgia" w:cs="Calibri"/>
          <w:sz w:val="22"/>
          <w:szCs w:val="22"/>
          <w:lang w:val="nl-NL"/>
        </w:rPr>
        <w:t xml:space="preserve">, de heer van </w:t>
      </w:r>
      <w:proofErr w:type="spellStart"/>
      <w:r w:rsidR="00242E6C" w:rsidRPr="00C140A8">
        <w:rPr>
          <w:rFonts w:ascii="Georgia" w:hAnsi="Georgia" w:cs="Calibri"/>
          <w:sz w:val="22"/>
          <w:szCs w:val="22"/>
          <w:lang w:val="nl-NL"/>
        </w:rPr>
        <w:t>Grancy</w:t>
      </w:r>
      <w:proofErr w:type="spellEnd"/>
      <w:r w:rsidR="00242E6C" w:rsidRPr="00C140A8">
        <w:rPr>
          <w:rFonts w:ascii="Georgia" w:hAnsi="Georgia" w:cs="Calibri"/>
          <w:sz w:val="22"/>
          <w:szCs w:val="22"/>
          <w:lang w:val="nl-NL"/>
        </w:rPr>
        <w:t xml:space="preserve">, met wie Beatrix was hertrouwd. Alleen in 1378 staan er drie posten genoteerd rechtstreeks aan zijn moeder, zonder vermelding van </w:t>
      </w:r>
      <w:proofErr w:type="spellStart"/>
      <w:r w:rsidR="00242E6C" w:rsidRPr="00C140A8">
        <w:rPr>
          <w:rFonts w:ascii="Georgia" w:hAnsi="Georgia" w:cs="Calibri"/>
          <w:sz w:val="22"/>
          <w:szCs w:val="22"/>
          <w:lang w:val="nl-NL"/>
        </w:rPr>
        <w:t>Eudes</w:t>
      </w:r>
      <w:proofErr w:type="spellEnd"/>
      <w:r w:rsidR="00242E6C" w:rsidRPr="00C140A8">
        <w:rPr>
          <w:rFonts w:ascii="Georgia" w:hAnsi="Georgia" w:cs="Calibri"/>
          <w:sz w:val="22"/>
          <w:szCs w:val="22"/>
          <w:lang w:val="nl-NL"/>
        </w:rPr>
        <w:t>.</w:t>
      </w:r>
      <w:r w:rsidR="00242E6C" w:rsidRPr="00C140A8">
        <w:rPr>
          <w:rStyle w:val="FootnoteReference"/>
          <w:rFonts w:ascii="Georgia" w:hAnsi="Georgia" w:cs="Calibri"/>
          <w:sz w:val="22"/>
          <w:szCs w:val="22"/>
          <w:lang w:val="nl-NL"/>
        </w:rPr>
        <w:footnoteReference w:id="180"/>
      </w:r>
      <w:r w:rsidR="00242E6C" w:rsidRPr="00C140A8">
        <w:rPr>
          <w:rStyle w:val="FootnoteReference"/>
          <w:rFonts w:ascii="Georgia" w:hAnsi="Georgia" w:cs="Calibri"/>
          <w:b/>
          <w:bCs/>
          <w:sz w:val="22"/>
          <w:szCs w:val="22"/>
          <w:lang w:val="nl-NL"/>
        </w:rPr>
        <w:t xml:space="preserve"> </w:t>
      </w:r>
      <w:r w:rsidR="00242E6C" w:rsidRPr="00C140A8">
        <w:rPr>
          <w:rFonts w:ascii="Georgia" w:hAnsi="Georgia" w:cs="Calibri"/>
          <w:b/>
          <w:bCs/>
          <w:sz w:val="22"/>
          <w:szCs w:val="22"/>
          <w:lang w:val="nl-NL"/>
        </w:rPr>
        <w:t xml:space="preserve"> </w:t>
      </w:r>
      <w:r w:rsidR="00242E6C" w:rsidRPr="00C140A8">
        <w:rPr>
          <w:rFonts w:ascii="Georgia" w:hAnsi="Georgia" w:cs="Calibri"/>
          <w:sz w:val="22"/>
          <w:szCs w:val="22"/>
          <w:lang w:val="nl-NL"/>
        </w:rPr>
        <w:t xml:space="preserve">Dit roept vragen op over wie zeggenschap had over de inkomsten van een dergelijke </w:t>
      </w:r>
      <w:r w:rsidR="00035E65">
        <w:rPr>
          <w:rFonts w:ascii="Georgia" w:hAnsi="Georgia" w:cs="Calibri"/>
          <w:sz w:val="22"/>
          <w:szCs w:val="22"/>
          <w:lang w:val="nl-NL"/>
        </w:rPr>
        <w:t>weduwegoed</w:t>
      </w:r>
      <w:r w:rsidR="00242E6C" w:rsidRPr="00C140A8">
        <w:rPr>
          <w:rFonts w:ascii="Georgia" w:hAnsi="Georgia" w:cs="Calibri"/>
          <w:sz w:val="22"/>
          <w:szCs w:val="22"/>
          <w:lang w:val="nl-NL"/>
        </w:rPr>
        <w:t xml:space="preserve"> en aan wie ze uiteindelijk echt toebehoorde.</w:t>
      </w:r>
    </w:p>
    <w:p w14:paraId="4991F809" w14:textId="12D41A1B" w:rsidR="00242E6C" w:rsidRPr="00C140A8" w:rsidRDefault="00242E6C"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Op 17 oktober 1351 beloofde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dat hij zich ertoe verplichtte om Johanna’s beide </w:t>
      </w:r>
      <w:proofErr w:type="spellStart"/>
      <w:r w:rsidRPr="00C140A8">
        <w:rPr>
          <w:rFonts w:ascii="Georgia" w:hAnsi="Georgia" w:cs="Calibri"/>
          <w:sz w:val="22"/>
          <w:szCs w:val="22"/>
          <w:lang w:val="nl-NL"/>
        </w:rPr>
        <w:t>weduwegoeden</w:t>
      </w:r>
      <w:proofErr w:type="spellEnd"/>
      <w:r w:rsidRPr="00C140A8">
        <w:rPr>
          <w:rFonts w:ascii="Georgia" w:hAnsi="Georgia" w:cs="Calibri"/>
          <w:sz w:val="22"/>
          <w:szCs w:val="22"/>
          <w:lang w:val="nl-NL"/>
        </w:rPr>
        <w:t xml:space="preserve"> niet te vervreemden in tijden van geldnood.</w:t>
      </w:r>
      <w:r w:rsidRPr="00C140A8">
        <w:rPr>
          <w:rStyle w:val="FootnoteReference"/>
          <w:rFonts w:ascii="Georgia" w:hAnsi="Georgia" w:cs="Calibri"/>
          <w:sz w:val="22"/>
          <w:szCs w:val="22"/>
          <w:lang w:val="nl-NL"/>
        </w:rPr>
        <w:footnoteReference w:id="181"/>
      </w:r>
      <w:r w:rsidRPr="00C140A8">
        <w:rPr>
          <w:rFonts w:ascii="Georgia" w:hAnsi="Georgia" w:cs="Calibri"/>
          <w:sz w:val="22"/>
          <w:szCs w:val="22"/>
          <w:lang w:val="nl-NL"/>
        </w:rPr>
        <w:t xml:space="preserve"> Dit was een reëel risico, aangezien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nagenoeg om het jaar op militaire campagne vertrok, wat aanzienlijke </w:t>
      </w:r>
      <w:r w:rsidRPr="00C140A8">
        <w:rPr>
          <w:rFonts w:ascii="Georgia" w:hAnsi="Georgia" w:cs="Calibri"/>
          <w:sz w:val="22"/>
          <w:szCs w:val="22"/>
          <w:lang w:val="nl-NL"/>
        </w:rPr>
        <w:lastRenderedPageBreak/>
        <w:t>kosten met zich meebracht.</w:t>
      </w:r>
      <w:r w:rsidRPr="00C140A8">
        <w:rPr>
          <w:rStyle w:val="FootnoteReference"/>
          <w:rFonts w:ascii="Georgia" w:hAnsi="Georgia" w:cs="Calibri"/>
          <w:sz w:val="22"/>
          <w:szCs w:val="22"/>
          <w:lang w:val="nl-NL"/>
        </w:rPr>
        <w:footnoteReference w:id="182"/>
      </w:r>
      <w:r w:rsidRPr="00C140A8">
        <w:rPr>
          <w:rFonts w:ascii="Georgia" w:hAnsi="Georgia" w:cs="Calibri"/>
          <w:sz w:val="22"/>
          <w:szCs w:val="22"/>
          <w:lang w:val="nl-NL"/>
        </w:rPr>
        <w:t xml:space="preserve"> De goederen bleven in eerste instantie dus Johanna’s exclusieve eigendom. Dit veranderde echter in 1366</w:t>
      </w:r>
      <w:r w:rsidR="009914D6">
        <w:rPr>
          <w:rFonts w:ascii="Georgia" w:hAnsi="Georgia" w:cs="Calibri"/>
          <w:sz w:val="22"/>
          <w:szCs w:val="22"/>
          <w:lang w:val="nl-NL"/>
        </w:rPr>
        <w:t>. W</w:t>
      </w:r>
      <w:r w:rsidR="00035E65">
        <w:rPr>
          <w:rFonts w:ascii="Georgia" w:hAnsi="Georgia" w:cs="Calibri"/>
          <w:sz w:val="22"/>
          <w:szCs w:val="22"/>
          <w:lang w:val="nl-NL"/>
        </w:rPr>
        <w:t>a</w:t>
      </w:r>
      <w:r w:rsidRPr="00C140A8">
        <w:rPr>
          <w:rFonts w:ascii="Georgia" w:hAnsi="Georgia" w:cs="Calibri"/>
          <w:sz w:val="22"/>
          <w:szCs w:val="22"/>
          <w:lang w:val="nl-NL"/>
        </w:rPr>
        <w:t>nneer het hertogelijk paar voor de zoveelste keer moest aankloppen bij Albrecht van Beieren, regent van Holland en Henegouwen, voor de uitbetaling van de jaarlijkse Hollandse rente, was de spanning opnieuw te snijden.</w:t>
      </w:r>
      <w:r w:rsidRPr="00C140A8">
        <w:rPr>
          <w:rStyle w:val="FootnoteReference"/>
          <w:rFonts w:ascii="Georgia" w:hAnsi="Georgia" w:cs="Calibri"/>
          <w:sz w:val="22"/>
          <w:szCs w:val="22"/>
          <w:lang w:val="nl-NL"/>
        </w:rPr>
        <w:footnoteReference w:id="183"/>
      </w:r>
      <w:r w:rsidRPr="00C140A8">
        <w:rPr>
          <w:rFonts w:ascii="Georgia" w:hAnsi="Georgia" w:cs="Calibri"/>
          <w:sz w:val="22"/>
          <w:szCs w:val="22"/>
          <w:lang w:val="nl-NL"/>
        </w:rPr>
        <w:t xml:space="preserve"> </w:t>
      </w:r>
      <w:r w:rsidR="00035E65">
        <w:rPr>
          <w:rFonts w:ascii="Georgia" w:hAnsi="Georgia" w:cs="Calibri"/>
          <w:sz w:val="22"/>
          <w:szCs w:val="22"/>
          <w:lang w:val="nl-NL"/>
        </w:rPr>
        <w:t>Ondanks</w:t>
      </w:r>
      <w:r w:rsidRPr="00C140A8">
        <w:rPr>
          <w:rFonts w:ascii="Georgia" w:hAnsi="Georgia" w:cs="Calibri"/>
          <w:sz w:val="22"/>
          <w:szCs w:val="22"/>
          <w:lang w:val="nl-NL"/>
        </w:rPr>
        <w:t xml:space="preserve"> </w:t>
      </w:r>
      <w:r w:rsidR="00F90109" w:rsidRPr="00C140A8">
        <w:rPr>
          <w:rFonts w:ascii="Georgia" w:hAnsi="Georgia" w:cs="Calibri"/>
          <w:sz w:val="22"/>
          <w:szCs w:val="22"/>
          <w:lang w:val="nl-NL"/>
        </w:rPr>
        <w:t>de aanstelling</w:t>
      </w:r>
      <w:r w:rsidRPr="00C140A8">
        <w:rPr>
          <w:rFonts w:ascii="Georgia" w:hAnsi="Georgia" w:cs="Calibri"/>
          <w:sz w:val="22"/>
          <w:szCs w:val="22"/>
          <w:lang w:val="nl-NL"/>
        </w:rPr>
        <w:t xml:space="preserve"> van een vaste ontvanger, bleek dit systeem nog steeds ontoereikend om de verschuldigde jaarlijkse sommen uitbetaald te krijgen.</w:t>
      </w:r>
    </w:p>
    <w:p w14:paraId="7FE55778" w14:textId="4DD67BE6" w:rsidR="00242E6C" w:rsidRPr="00C140A8" w:rsidRDefault="00242E6C"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Dit zoveelste conflict begon in 1364.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die zelf in een hachelijke </w:t>
      </w:r>
      <w:proofErr w:type="spellStart"/>
      <w:r w:rsidRPr="00C140A8">
        <w:rPr>
          <w:rFonts w:ascii="Georgia" w:hAnsi="Georgia" w:cs="Calibri"/>
          <w:sz w:val="22"/>
          <w:szCs w:val="22"/>
          <w:lang w:val="nl-NL"/>
        </w:rPr>
        <w:t>financiële</w:t>
      </w:r>
      <w:proofErr w:type="spellEnd"/>
      <w:r w:rsidRPr="00C140A8">
        <w:rPr>
          <w:rFonts w:ascii="Georgia" w:hAnsi="Georgia" w:cs="Calibri"/>
          <w:sz w:val="22"/>
          <w:szCs w:val="22"/>
          <w:lang w:val="nl-NL"/>
        </w:rPr>
        <w:t xml:space="preserve"> positie was beland, was de situatie kennelijk beu</w:t>
      </w:r>
      <w:r w:rsidR="00035E65">
        <w:rPr>
          <w:rFonts w:ascii="Georgia" w:hAnsi="Georgia" w:cs="Calibri"/>
          <w:sz w:val="22"/>
          <w:szCs w:val="22"/>
          <w:lang w:val="nl-NL"/>
        </w:rPr>
        <w:t>.</w:t>
      </w:r>
      <w:r w:rsidRPr="00C140A8">
        <w:rPr>
          <w:rStyle w:val="FootnoteReference"/>
          <w:rFonts w:ascii="Georgia" w:hAnsi="Georgia" w:cs="Calibri"/>
          <w:sz w:val="22"/>
          <w:szCs w:val="22"/>
          <w:lang w:val="nl-NL"/>
        </w:rPr>
        <w:footnoteReference w:id="184"/>
      </w:r>
      <w:r w:rsidRPr="00C140A8">
        <w:rPr>
          <w:rFonts w:ascii="Georgia" w:hAnsi="Georgia" w:cs="Calibri"/>
          <w:sz w:val="22"/>
          <w:szCs w:val="22"/>
          <w:lang w:val="nl-NL"/>
        </w:rPr>
        <w:t xml:space="preserve"> In dat jaar kocht hij het graafschap Valkenburg van Willem van Gulik. Dat leidde tot een oorlog met </w:t>
      </w:r>
      <w:proofErr w:type="spellStart"/>
      <w:r w:rsidRPr="00C140A8">
        <w:rPr>
          <w:rFonts w:ascii="Georgia" w:hAnsi="Georgia" w:cs="Calibri"/>
          <w:sz w:val="22"/>
          <w:szCs w:val="22"/>
          <w:lang w:val="nl-NL"/>
        </w:rPr>
        <w:t>Waleran</w:t>
      </w:r>
      <w:proofErr w:type="spellEnd"/>
      <w:r w:rsidRPr="00C140A8">
        <w:rPr>
          <w:rFonts w:ascii="Georgia" w:hAnsi="Georgia" w:cs="Calibri"/>
          <w:sz w:val="22"/>
          <w:szCs w:val="22"/>
          <w:lang w:val="nl-NL"/>
        </w:rPr>
        <w:t xml:space="preserve"> van Born, die eveneens op het graafschap aasde.</w:t>
      </w:r>
      <w:r w:rsidRPr="00C140A8">
        <w:rPr>
          <w:rStyle w:val="FootnoteReference"/>
          <w:rFonts w:ascii="Georgia" w:hAnsi="Georgia" w:cs="Calibri"/>
          <w:sz w:val="22"/>
          <w:szCs w:val="22"/>
          <w:lang w:val="nl-NL"/>
        </w:rPr>
        <w:footnoteReference w:id="185"/>
      </w:r>
      <w:r w:rsidRPr="00C140A8">
        <w:rPr>
          <w:rStyle w:val="FootnoteReference"/>
          <w:rFonts w:ascii="Georgia" w:hAnsi="Georgia" w:cs="Calibri"/>
          <w:sz w:val="22"/>
          <w:szCs w:val="22"/>
          <w:lang w:val="nl-NL"/>
        </w:rPr>
        <w:t xml:space="preserve"> </w:t>
      </w:r>
      <w:r w:rsidRPr="00C140A8">
        <w:rPr>
          <w:rFonts w:ascii="Georgia" w:hAnsi="Georgia" w:cs="Calibri"/>
          <w:sz w:val="22"/>
          <w:szCs w:val="22"/>
          <w:lang w:val="nl-NL"/>
        </w:rPr>
        <w:t xml:space="preserve"> Bovendien was hij verwikkeld in een conflict met de heren van Edingen en voerde hij strijd met Robrecht van Namen.</w:t>
      </w:r>
      <w:r w:rsidRPr="00C140A8">
        <w:rPr>
          <w:rStyle w:val="FootnoteReference"/>
          <w:rFonts w:ascii="Georgia" w:hAnsi="Georgia" w:cs="Calibri"/>
          <w:sz w:val="22"/>
          <w:szCs w:val="22"/>
          <w:lang w:val="nl-NL"/>
        </w:rPr>
        <w:footnoteReference w:id="186"/>
      </w:r>
      <w:r w:rsidRPr="00C140A8">
        <w:rPr>
          <w:rFonts w:ascii="Georgia" w:hAnsi="Georgia" w:cs="Calibri"/>
          <w:sz w:val="22"/>
          <w:szCs w:val="22"/>
          <w:lang w:val="nl-NL"/>
        </w:rPr>
        <w:t xml:space="preserve">  Door deze aaneenschakeling van conflicten had hij dringend geld nodig, waardoor </w:t>
      </w:r>
      <w:r w:rsidR="004C3949">
        <w:rPr>
          <w:rFonts w:ascii="Georgia" w:hAnsi="Georgia" w:cs="Calibri"/>
          <w:sz w:val="22"/>
          <w:szCs w:val="22"/>
          <w:lang w:val="nl-NL"/>
        </w:rPr>
        <w:t xml:space="preserve">het weduwegoed </w:t>
      </w:r>
      <w:r w:rsidRPr="00C140A8">
        <w:rPr>
          <w:rFonts w:ascii="Georgia" w:hAnsi="Georgia" w:cs="Calibri"/>
          <w:sz w:val="22"/>
          <w:szCs w:val="22"/>
          <w:lang w:val="nl-NL"/>
        </w:rPr>
        <w:t xml:space="preserve">van zijn vrouw als ideale pasmunt op de voorgrond kwam. In 1365 </w:t>
      </w:r>
      <w:r w:rsidR="00097CC6">
        <w:rPr>
          <w:rFonts w:ascii="Georgia" w:hAnsi="Georgia" w:cs="Calibri"/>
          <w:sz w:val="22"/>
          <w:szCs w:val="22"/>
          <w:lang w:val="nl-NL"/>
        </w:rPr>
        <w:t>ondernam hij</w:t>
      </w:r>
      <w:r w:rsidRPr="00C140A8">
        <w:rPr>
          <w:rFonts w:ascii="Georgia" w:hAnsi="Georgia" w:cs="Calibri"/>
          <w:sz w:val="22"/>
          <w:szCs w:val="22"/>
          <w:lang w:val="nl-NL"/>
        </w:rPr>
        <w:t xml:space="preserve"> verschillende pogingen om tot een overeenkomst te komen, maar de gesprekken leverden niets op. Toen Albrecht van Beieren door de moord op de edelman Zeger van Edingen in een verzwakte positie kwam, maakte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hiervan handig gebruik en stuurde troepen richting het graafschap Henegouwen.</w:t>
      </w:r>
      <w:r w:rsidRPr="00C140A8">
        <w:rPr>
          <w:rStyle w:val="FootnoteReference"/>
          <w:rFonts w:ascii="Georgia" w:hAnsi="Georgia" w:cs="Calibri"/>
          <w:sz w:val="22"/>
          <w:szCs w:val="22"/>
          <w:lang w:val="nl-NL"/>
        </w:rPr>
        <w:footnoteReference w:id="187"/>
      </w:r>
      <w:r w:rsidRPr="00C140A8">
        <w:rPr>
          <w:rFonts w:ascii="Georgia" w:hAnsi="Georgia" w:cs="Calibri"/>
          <w:sz w:val="22"/>
          <w:szCs w:val="22"/>
          <w:lang w:val="nl-NL"/>
        </w:rPr>
        <w:t xml:space="preserve">  Uiteindelijk, na een kortstondig conflict, </w:t>
      </w:r>
      <w:r w:rsidR="00F90109" w:rsidRPr="00C140A8">
        <w:rPr>
          <w:rFonts w:ascii="Georgia" w:hAnsi="Georgia" w:cs="Calibri"/>
          <w:sz w:val="22"/>
          <w:szCs w:val="22"/>
          <w:lang w:val="nl-NL"/>
        </w:rPr>
        <w:t>bereikten beide partijen</w:t>
      </w:r>
      <w:r w:rsidRPr="00C140A8">
        <w:rPr>
          <w:rFonts w:ascii="Georgia" w:hAnsi="Georgia" w:cs="Calibri"/>
          <w:sz w:val="22"/>
          <w:szCs w:val="22"/>
          <w:lang w:val="nl-NL"/>
        </w:rPr>
        <w:t xml:space="preserve"> een akkoord. Ter compensatie voor het verlies van het omstreden Heusden en ter vere</w:t>
      </w:r>
      <w:r w:rsidR="00E91F41" w:rsidRPr="00C140A8">
        <w:rPr>
          <w:rFonts w:ascii="Georgia" w:hAnsi="Georgia" w:cs="Calibri"/>
          <w:sz w:val="22"/>
          <w:szCs w:val="22"/>
          <w:lang w:val="nl-NL"/>
        </w:rPr>
        <w:t>ffen</w:t>
      </w:r>
      <w:r w:rsidRPr="00C140A8">
        <w:rPr>
          <w:rFonts w:ascii="Georgia" w:hAnsi="Georgia" w:cs="Calibri"/>
          <w:sz w:val="22"/>
          <w:szCs w:val="22"/>
          <w:lang w:val="nl-NL"/>
        </w:rPr>
        <w:t xml:space="preserve">ing van de achterstallige betalingen van de douarie van Johanna, betaalden de drie standen van Henegouwen aan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een bedrag van 28.000 gouden florijnen.</w:t>
      </w:r>
      <w:r w:rsidRPr="00C140A8">
        <w:rPr>
          <w:rStyle w:val="FootnoteReference"/>
          <w:rFonts w:ascii="Georgia" w:hAnsi="Georgia" w:cs="Calibri"/>
          <w:sz w:val="22"/>
          <w:szCs w:val="22"/>
          <w:lang w:val="nl-NL"/>
        </w:rPr>
        <w:footnoteReference w:id="188"/>
      </w:r>
      <w:r w:rsidRPr="00C140A8">
        <w:rPr>
          <w:rFonts w:ascii="Georgia" w:hAnsi="Georgia" w:cs="Calibri"/>
          <w:sz w:val="22"/>
          <w:szCs w:val="22"/>
          <w:lang w:val="nl-NL"/>
        </w:rPr>
        <w:t xml:space="preserve">  </w:t>
      </w:r>
      <w:r w:rsidR="00BC7C95" w:rsidRPr="00C140A8">
        <w:rPr>
          <w:rFonts w:ascii="Georgia" w:hAnsi="Georgia" w:cs="Calibri"/>
          <w:sz w:val="22"/>
          <w:szCs w:val="22"/>
          <w:lang w:val="nl-NL"/>
        </w:rPr>
        <w:t>I</w:t>
      </w:r>
      <w:r w:rsidRPr="00C140A8">
        <w:rPr>
          <w:rFonts w:ascii="Georgia" w:hAnsi="Georgia" w:cs="Calibri"/>
          <w:sz w:val="22"/>
          <w:szCs w:val="22"/>
          <w:lang w:val="nl-NL"/>
        </w:rPr>
        <w:t xml:space="preserve">n 1366 </w:t>
      </w:r>
      <w:r w:rsidR="00BC7C95" w:rsidRPr="00C140A8">
        <w:rPr>
          <w:rFonts w:ascii="Georgia" w:hAnsi="Georgia" w:cs="Calibri"/>
          <w:sz w:val="22"/>
          <w:szCs w:val="22"/>
          <w:lang w:val="nl-NL"/>
        </w:rPr>
        <w:t xml:space="preserve">sloten </w:t>
      </w:r>
      <w:proofErr w:type="spellStart"/>
      <w:r w:rsidR="00BC7C95"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en </w:t>
      </w:r>
      <w:r w:rsidR="00BC7C95" w:rsidRPr="00C140A8">
        <w:rPr>
          <w:rFonts w:ascii="Georgia" w:hAnsi="Georgia" w:cs="Calibri"/>
          <w:sz w:val="22"/>
          <w:szCs w:val="22"/>
          <w:lang w:val="nl-NL"/>
        </w:rPr>
        <w:t xml:space="preserve">Johanna vrede </w:t>
      </w:r>
      <w:r w:rsidR="00B4169F" w:rsidRPr="00C140A8">
        <w:rPr>
          <w:rFonts w:ascii="Georgia" w:hAnsi="Georgia" w:cs="Calibri"/>
          <w:sz w:val="22"/>
          <w:szCs w:val="22"/>
          <w:lang w:val="nl-NL"/>
        </w:rPr>
        <w:t xml:space="preserve">met Albrecht. Die </w:t>
      </w:r>
      <w:r w:rsidRPr="00C140A8">
        <w:rPr>
          <w:rFonts w:ascii="Georgia" w:hAnsi="Georgia" w:cs="Calibri"/>
          <w:sz w:val="22"/>
          <w:szCs w:val="22"/>
          <w:lang w:val="nl-NL"/>
        </w:rPr>
        <w:t xml:space="preserve">droeg Johanna’s landerijen en domeinen formeel over aan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w:t>
      </w:r>
      <w:r w:rsidR="00097CC6">
        <w:rPr>
          <w:rFonts w:ascii="Georgia" w:hAnsi="Georgia" w:cs="Calibri"/>
          <w:sz w:val="22"/>
          <w:szCs w:val="22"/>
          <w:lang w:val="nl-NL"/>
        </w:rPr>
        <w:t>Deze</w:t>
      </w:r>
      <w:r w:rsidRPr="00C140A8">
        <w:rPr>
          <w:rFonts w:ascii="Georgia" w:hAnsi="Georgia" w:cs="Calibri"/>
          <w:sz w:val="22"/>
          <w:szCs w:val="22"/>
          <w:lang w:val="nl-NL"/>
        </w:rPr>
        <w:t xml:space="preserve"> overdracht diende als onderpand voor de achterstallige schulden die </w:t>
      </w:r>
      <w:r w:rsidR="00E31D1E" w:rsidRPr="00C140A8">
        <w:rPr>
          <w:rFonts w:ascii="Georgia" w:hAnsi="Georgia" w:cs="Calibri"/>
          <w:sz w:val="22"/>
          <w:szCs w:val="22"/>
          <w:lang w:val="nl-NL"/>
        </w:rPr>
        <w:t>hij moest betal</w:t>
      </w:r>
      <w:r w:rsidRPr="00C140A8">
        <w:rPr>
          <w:rFonts w:ascii="Georgia" w:hAnsi="Georgia" w:cs="Calibri"/>
          <w:sz w:val="22"/>
          <w:szCs w:val="22"/>
          <w:lang w:val="nl-NL"/>
        </w:rPr>
        <w:t>en</w:t>
      </w:r>
      <w:r w:rsidR="00851926" w:rsidRPr="00C140A8">
        <w:rPr>
          <w:rFonts w:ascii="Georgia" w:hAnsi="Georgia" w:cs="Calibri"/>
          <w:sz w:val="22"/>
          <w:szCs w:val="22"/>
          <w:lang w:val="nl-NL"/>
        </w:rPr>
        <w:t xml:space="preserve"> en dekte zo een som van 50.000 oude schilden</w:t>
      </w:r>
      <w:r w:rsidRPr="00C140A8">
        <w:rPr>
          <w:rFonts w:ascii="Georgia" w:hAnsi="Georgia" w:cs="Calibri"/>
          <w:sz w:val="22"/>
          <w:szCs w:val="22"/>
          <w:lang w:val="nl-NL"/>
        </w:rPr>
        <w:t>.</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189"/>
      </w:r>
      <w:r w:rsidRPr="00C140A8">
        <w:rPr>
          <w:rFonts w:ascii="Georgia" w:hAnsi="Georgia" w:cs="Calibri"/>
          <w:sz w:val="22"/>
          <w:szCs w:val="22"/>
          <w:lang w:val="nl-NL"/>
        </w:rPr>
        <w:t xml:space="preserve">  Dit betekende concreet dat deze domeinen tot aan de dood van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op zijn naam zouden blijven staan, zelfs in het geval dat Johanna eerder zou overlijden.</w:t>
      </w:r>
      <w:r w:rsidRPr="00C140A8">
        <w:rPr>
          <w:rStyle w:val="FootnoteReference"/>
          <w:rFonts w:ascii="Georgia" w:hAnsi="Georgia" w:cs="Calibri"/>
          <w:sz w:val="22"/>
          <w:szCs w:val="22"/>
          <w:lang w:val="nl-NL"/>
        </w:rPr>
        <w:footnoteReference w:id="190"/>
      </w:r>
      <w:r w:rsidRPr="00C140A8">
        <w:rPr>
          <w:rStyle w:val="FootnoteReference"/>
          <w:rFonts w:ascii="Georgia" w:hAnsi="Georgia" w:cs="Calibri"/>
          <w:sz w:val="22"/>
          <w:szCs w:val="22"/>
          <w:lang w:val="nl-NL"/>
        </w:rPr>
        <w:t xml:space="preserve"> </w:t>
      </w:r>
      <w:r w:rsidRPr="00C140A8">
        <w:rPr>
          <w:rFonts w:ascii="Georgia" w:hAnsi="Georgia" w:cs="Calibri"/>
          <w:sz w:val="22"/>
          <w:szCs w:val="22"/>
          <w:lang w:val="nl-NL"/>
        </w:rPr>
        <w:t xml:space="preserve"> Vanaf dan </w:t>
      </w:r>
      <w:r w:rsidR="00B4169F" w:rsidRPr="00C140A8">
        <w:rPr>
          <w:rFonts w:ascii="Georgia" w:hAnsi="Georgia" w:cs="Calibri"/>
          <w:sz w:val="22"/>
          <w:szCs w:val="22"/>
          <w:lang w:val="nl-NL"/>
        </w:rPr>
        <w:t>erkende de akte van 1366</w:t>
      </w:r>
      <w:r w:rsidRPr="00C140A8">
        <w:rPr>
          <w:rFonts w:ascii="Georgia" w:hAnsi="Georgia" w:cs="Calibri"/>
          <w:sz w:val="22"/>
          <w:szCs w:val="22"/>
          <w:lang w:val="nl-NL"/>
        </w:rPr>
        <w:t xml:space="preserve">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als </w:t>
      </w:r>
      <w:proofErr w:type="spellStart"/>
      <w:r w:rsidRPr="00C140A8">
        <w:rPr>
          <w:rFonts w:ascii="Georgia" w:hAnsi="Georgia" w:cs="Calibri"/>
          <w:i/>
          <w:iCs/>
          <w:sz w:val="22"/>
          <w:szCs w:val="22"/>
          <w:lang w:val="nl-NL"/>
        </w:rPr>
        <w:t>sire</w:t>
      </w:r>
      <w:proofErr w:type="spellEnd"/>
      <w:r w:rsidRPr="00C140A8">
        <w:rPr>
          <w:rFonts w:ascii="Georgia" w:hAnsi="Georgia" w:cs="Calibri"/>
          <w:i/>
          <w:iCs/>
          <w:sz w:val="22"/>
          <w:szCs w:val="22"/>
          <w:lang w:val="nl-NL"/>
        </w:rPr>
        <w:t xml:space="preserve"> de la ditte </w:t>
      </w:r>
      <w:proofErr w:type="spellStart"/>
      <w:r w:rsidRPr="00C140A8">
        <w:rPr>
          <w:rFonts w:ascii="Georgia" w:hAnsi="Georgia" w:cs="Calibri"/>
          <w:i/>
          <w:iCs/>
          <w:sz w:val="22"/>
          <w:szCs w:val="22"/>
          <w:lang w:val="nl-NL"/>
        </w:rPr>
        <w:t>ville</w:t>
      </w:r>
      <w:proofErr w:type="spellEnd"/>
      <w:r w:rsidRPr="00C140A8">
        <w:rPr>
          <w:rFonts w:ascii="Georgia" w:hAnsi="Georgia" w:cs="Calibri"/>
          <w:sz w:val="22"/>
          <w:szCs w:val="22"/>
          <w:lang w:val="nl-NL"/>
        </w:rPr>
        <w:t xml:space="preserve"> (Binche).</w:t>
      </w:r>
      <w:r w:rsidRPr="00C140A8">
        <w:rPr>
          <w:rStyle w:val="FootnoteReference"/>
          <w:rFonts w:ascii="Georgia" w:hAnsi="Georgia" w:cs="Calibri"/>
          <w:sz w:val="22"/>
          <w:szCs w:val="22"/>
          <w:lang w:val="nl-NL"/>
        </w:rPr>
        <w:footnoteReference w:id="191"/>
      </w:r>
    </w:p>
    <w:p w14:paraId="1C598D82" w14:textId="6EE3AAA5" w:rsidR="00242E6C" w:rsidRPr="00C140A8" w:rsidRDefault="00242E6C"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lastRenderedPageBreak/>
        <w:t xml:space="preserve">Waarom is deze ontwikkeling zo relevant? Allereerst zouden de conflicten tussen Albrecht 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over Johanna's </w:t>
      </w:r>
      <w:r w:rsidR="00097CC6">
        <w:rPr>
          <w:rFonts w:ascii="Georgia" w:hAnsi="Georgia" w:cs="Calibri"/>
          <w:sz w:val="22"/>
          <w:szCs w:val="22"/>
          <w:lang w:val="nl-NL"/>
        </w:rPr>
        <w:t>weduwegoed</w:t>
      </w:r>
      <w:r w:rsidRPr="00C140A8">
        <w:rPr>
          <w:rFonts w:ascii="Georgia" w:hAnsi="Georgia" w:cs="Calibri"/>
          <w:sz w:val="22"/>
          <w:szCs w:val="22"/>
          <w:lang w:val="nl-NL"/>
        </w:rPr>
        <w:t xml:space="preserve"> nog verschillende malen oplaaien. Dit kwam niet alleen omdat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als buitenlandse heerser steevast in Brabant in een lastige positie verkeerde, </w:t>
      </w:r>
      <w:r w:rsidR="00355101" w:rsidRPr="00C140A8">
        <w:rPr>
          <w:rFonts w:ascii="Georgia" w:hAnsi="Georgia" w:cs="Calibri"/>
          <w:sz w:val="22"/>
          <w:szCs w:val="22"/>
          <w:lang w:val="nl-NL"/>
        </w:rPr>
        <w:t>en evenmin enkel</w:t>
      </w:r>
      <w:r w:rsidRPr="00C140A8">
        <w:rPr>
          <w:rFonts w:ascii="Georgia" w:hAnsi="Georgia" w:cs="Calibri"/>
          <w:sz w:val="22"/>
          <w:szCs w:val="22"/>
          <w:lang w:val="nl-NL"/>
        </w:rPr>
        <w:t xml:space="preserve"> omdat hij veelvuldig op krijgstocht trok of aanzienlijke sommen besteedde aan zijn eigen luxe en weelde.</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192"/>
      </w:r>
      <w:r w:rsidRPr="00C140A8">
        <w:rPr>
          <w:rFonts w:ascii="Georgia" w:hAnsi="Georgia" w:cs="Calibri"/>
          <w:sz w:val="22"/>
          <w:szCs w:val="22"/>
          <w:lang w:val="nl-NL"/>
        </w:rPr>
        <w:t xml:space="preserve">  Het was met name de noodlottige situatie van 1371 die het koppel financieel aan de afgrond bracht, waardoor de </w:t>
      </w:r>
      <w:r w:rsidR="00694591" w:rsidRPr="00C140A8">
        <w:rPr>
          <w:rFonts w:ascii="Georgia" w:hAnsi="Georgia" w:cs="Calibri"/>
          <w:sz w:val="22"/>
          <w:szCs w:val="22"/>
          <w:lang w:val="nl-NL"/>
        </w:rPr>
        <w:t xml:space="preserve">tijdige </w:t>
      </w:r>
      <w:r w:rsidRPr="00C140A8">
        <w:rPr>
          <w:rFonts w:ascii="Georgia" w:hAnsi="Georgia" w:cs="Calibri"/>
          <w:sz w:val="22"/>
          <w:szCs w:val="22"/>
          <w:lang w:val="nl-NL"/>
        </w:rPr>
        <w:t xml:space="preserve">uitbetalingen van het weduwegoed een absolute noodzaak </w:t>
      </w:r>
      <w:r w:rsidR="00097CC6">
        <w:rPr>
          <w:rFonts w:ascii="Georgia" w:hAnsi="Georgia" w:cs="Calibri"/>
          <w:sz w:val="22"/>
          <w:szCs w:val="22"/>
          <w:lang w:val="nl-NL"/>
        </w:rPr>
        <w:t>werden</w:t>
      </w:r>
      <w:r w:rsidRPr="00C140A8">
        <w:rPr>
          <w:rFonts w:ascii="Georgia" w:hAnsi="Georgia" w:cs="Calibri"/>
          <w:sz w:val="22"/>
          <w:szCs w:val="22"/>
          <w:lang w:val="nl-NL"/>
        </w:rPr>
        <w:t xml:space="preserve">. </w:t>
      </w:r>
      <w:r w:rsidR="00560460" w:rsidRPr="00C140A8">
        <w:rPr>
          <w:rFonts w:ascii="Georgia" w:hAnsi="Georgia" w:cs="Calibri"/>
          <w:sz w:val="22"/>
          <w:szCs w:val="22"/>
          <w:lang w:val="nl-NL"/>
        </w:rPr>
        <w:t>D</w:t>
      </w:r>
      <w:r w:rsidRPr="00C140A8">
        <w:rPr>
          <w:rFonts w:ascii="Georgia" w:hAnsi="Georgia" w:cs="Calibri"/>
          <w:sz w:val="22"/>
          <w:szCs w:val="22"/>
          <w:lang w:val="nl-NL"/>
        </w:rPr>
        <w:t xml:space="preserve">eze bezittingen </w:t>
      </w:r>
      <w:r w:rsidR="00560460" w:rsidRPr="00C140A8">
        <w:rPr>
          <w:rFonts w:ascii="Georgia" w:hAnsi="Georgia" w:cs="Calibri"/>
          <w:sz w:val="22"/>
          <w:szCs w:val="22"/>
          <w:lang w:val="nl-NL"/>
        </w:rPr>
        <w:t xml:space="preserve">kwamen </w:t>
      </w:r>
      <w:r w:rsidRPr="00C140A8">
        <w:rPr>
          <w:rFonts w:ascii="Georgia" w:hAnsi="Georgia" w:cs="Calibri"/>
          <w:sz w:val="22"/>
          <w:szCs w:val="22"/>
          <w:lang w:val="nl-NL"/>
        </w:rPr>
        <w:t xml:space="preserve">op papier vanaf nu aan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toe, in het geval dat Johanna zou overlijden. Maar hoe zag dit er in de praktijk uit? Had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daadwerkelijk de touwtjes in handen wanneer het deze domeinen betrof? </w:t>
      </w:r>
      <w:r w:rsidR="00BE3E6F" w:rsidRPr="00C140A8">
        <w:rPr>
          <w:rFonts w:ascii="Georgia" w:hAnsi="Georgia" w:cs="Calibri"/>
          <w:sz w:val="22"/>
          <w:szCs w:val="22"/>
          <w:lang w:val="nl-NL"/>
        </w:rPr>
        <w:t>De volgende secties zullen aantonen dat de inkomsten en wat er met deze inkomsten gebeurd</w:t>
      </w:r>
      <w:r w:rsidR="00886941" w:rsidRPr="00C140A8">
        <w:rPr>
          <w:rFonts w:ascii="Georgia" w:hAnsi="Georgia" w:cs="Calibri"/>
          <w:sz w:val="22"/>
          <w:szCs w:val="22"/>
          <w:lang w:val="nl-NL"/>
        </w:rPr>
        <w:t>e een ander beeld weergeven</w:t>
      </w:r>
      <w:r w:rsidR="00BE3E6F" w:rsidRPr="00C140A8">
        <w:rPr>
          <w:rFonts w:ascii="Georgia" w:hAnsi="Georgia" w:cs="Calibri"/>
          <w:sz w:val="22"/>
          <w:szCs w:val="22"/>
          <w:lang w:val="nl-NL"/>
        </w:rPr>
        <w:t xml:space="preserve">. </w:t>
      </w:r>
    </w:p>
    <w:p w14:paraId="329671E5" w14:textId="77777777" w:rsidR="00242E6C" w:rsidRPr="00C140A8" w:rsidRDefault="00242E6C" w:rsidP="00192268">
      <w:pPr>
        <w:pStyle w:val="ThesisHeading"/>
        <w:rPr>
          <w:lang w:val="nl-NL"/>
        </w:rPr>
      </w:pPr>
      <w:bookmarkStart w:id="127" w:name="_Toc227399941"/>
      <w:bookmarkStart w:id="128" w:name="_Toc227674074"/>
      <w:bookmarkStart w:id="129" w:name="_Toc227674107"/>
      <w:bookmarkStart w:id="130" w:name="_Toc227744347"/>
      <w:bookmarkStart w:id="131" w:name="_Toc231153772"/>
      <w:bookmarkStart w:id="132" w:name="_Toc231329841"/>
      <w:bookmarkStart w:id="133" w:name="_Toc231330448"/>
      <w:bookmarkStart w:id="134" w:name="_Toc231428042"/>
      <w:bookmarkStart w:id="135" w:name="_Toc231463605"/>
      <w:proofErr w:type="spellStart"/>
      <w:r w:rsidRPr="00192268">
        <w:t>Inkomsten</w:t>
      </w:r>
      <w:bookmarkEnd w:id="127"/>
      <w:proofErr w:type="spellEnd"/>
      <w:r w:rsidRPr="00C140A8">
        <w:rPr>
          <w:lang w:val="nl-NL"/>
        </w:rPr>
        <w:t xml:space="preserve"> uit de </w:t>
      </w:r>
      <w:proofErr w:type="spellStart"/>
      <w:r w:rsidRPr="00C140A8">
        <w:rPr>
          <w:lang w:val="nl-NL"/>
        </w:rPr>
        <w:t>weduwegoede</w:t>
      </w:r>
      <w:bookmarkEnd w:id="128"/>
      <w:bookmarkEnd w:id="129"/>
      <w:bookmarkEnd w:id="130"/>
      <w:r w:rsidRPr="00C140A8">
        <w:rPr>
          <w:lang w:val="nl-NL"/>
        </w:rPr>
        <w:t>n</w:t>
      </w:r>
      <w:bookmarkEnd w:id="131"/>
      <w:bookmarkEnd w:id="132"/>
      <w:bookmarkEnd w:id="133"/>
      <w:bookmarkEnd w:id="134"/>
      <w:bookmarkEnd w:id="135"/>
      <w:proofErr w:type="spellEnd"/>
    </w:p>
    <w:p w14:paraId="509C2479" w14:textId="6CAD97AB" w:rsidR="00242E6C" w:rsidRPr="00C140A8" w:rsidRDefault="00242E6C"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Ondanks het wederzijds wantrouwen tussen het graafschap en het hertogdom, hadden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en Johanna precies </w:t>
      </w:r>
      <w:r w:rsidRPr="00975FF6">
        <w:rPr>
          <w:rFonts w:ascii="Georgia" w:hAnsi="Georgia" w:cs="Calibri"/>
          <w:sz w:val="22"/>
          <w:szCs w:val="22"/>
          <w:lang w:val="nl-NL"/>
        </w:rPr>
        <w:t xml:space="preserve">door toedoen van Johanna’s </w:t>
      </w:r>
      <w:r w:rsidR="00975FF6" w:rsidRPr="00975FF6">
        <w:rPr>
          <w:rFonts w:ascii="Georgia" w:hAnsi="Georgia" w:cs="Calibri"/>
          <w:sz w:val="22"/>
          <w:szCs w:val="22"/>
          <w:lang w:val="nl-NL"/>
        </w:rPr>
        <w:t>weduwegoed</w:t>
      </w:r>
      <w:r w:rsidRPr="00975FF6">
        <w:rPr>
          <w:rFonts w:ascii="Georgia" w:hAnsi="Georgia" w:cs="Calibri"/>
          <w:sz w:val="22"/>
          <w:szCs w:val="22"/>
          <w:lang w:val="nl-NL"/>
        </w:rPr>
        <w:t xml:space="preserve"> toch nauwe betrekkingen met beide regio’s.</w:t>
      </w:r>
      <w:r w:rsidRPr="00975FF6">
        <w:rPr>
          <w:rStyle w:val="FootnoteReference"/>
          <w:rFonts w:ascii="Georgia" w:hAnsi="Georgia" w:cs="Calibri"/>
          <w:sz w:val="22"/>
          <w:szCs w:val="22"/>
          <w:lang w:val="nl-NL"/>
        </w:rPr>
        <w:footnoteReference w:id="193"/>
      </w:r>
      <w:r w:rsidRPr="00975FF6">
        <w:rPr>
          <w:rFonts w:ascii="Georgia" w:hAnsi="Georgia" w:cs="Calibri"/>
          <w:sz w:val="22"/>
          <w:szCs w:val="22"/>
          <w:lang w:val="nl-NL"/>
        </w:rPr>
        <w:t xml:space="preserve"> </w:t>
      </w:r>
      <w:r w:rsidR="00975FF6" w:rsidRPr="00975FF6">
        <w:rPr>
          <w:rFonts w:ascii="Georgia" w:hAnsi="Georgia" w:cs="Calibri"/>
          <w:sz w:val="22"/>
          <w:szCs w:val="22"/>
        </w:rPr>
        <w:t>Hoe omvangrijk de inkomsten van deze domeinen waren en hoe groot de financiële druk op Holland werkelijk was, blijkt deels uit de schattingen van Bos-Rops voor Holland en van Piérard voor Henegouwen</w:t>
      </w:r>
      <w:r w:rsidRPr="00C140A8">
        <w:rPr>
          <w:rFonts w:ascii="Georgia" w:hAnsi="Georgia" w:cs="Calibri"/>
          <w:sz w:val="22"/>
          <w:szCs w:val="22"/>
          <w:lang w:val="nl-NL"/>
        </w:rPr>
        <w:t>.</w:t>
      </w:r>
      <w:r w:rsidRPr="00C140A8">
        <w:rPr>
          <w:rStyle w:val="FootnoteReference"/>
          <w:rFonts w:ascii="Georgia" w:hAnsi="Georgia" w:cs="Calibri"/>
          <w:sz w:val="22"/>
          <w:szCs w:val="22"/>
          <w:lang w:val="nl-NL"/>
        </w:rPr>
        <w:footnoteReference w:id="194"/>
      </w:r>
      <w:r w:rsidRPr="00C140A8">
        <w:rPr>
          <w:rFonts w:ascii="Georgia" w:hAnsi="Georgia" w:cs="Calibri"/>
          <w:sz w:val="22"/>
          <w:szCs w:val="22"/>
          <w:lang w:val="nl-NL"/>
        </w:rPr>
        <w:t xml:space="preserve"> Bij de bespreking van de inkomsten is echter enige methodologische voorzichtigheid geboden. </w:t>
      </w:r>
    </w:p>
    <w:p w14:paraId="11301E56" w14:textId="7087D24B" w:rsidR="00242E6C" w:rsidRPr="00C140A8" w:rsidRDefault="00242E6C"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Allereerst </w:t>
      </w:r>
      <w:r w:rsidR="00975FF6">
        <w:rPr>
          <w:rFonts w:ascii="Georgia" w:hAnsi="Georgia" w:cs="Calibri"/>
          <w:sz w:val="22"/>
          <w:szCs w:val="22"/>
          <w:lang w:val="nl-NL"/>
        </w:rPr>
        <w:t>tekende de klerk</w:t>
      </w:r>
      <w:r w:rsidRPr="00C140A8">
        <w:rPr>
          <w:rFonts w:ascii="Georgia" w:hAnsi="Georgia" w:cs="Calibri"/>
          <w:sz w:val="22"/>
          <w:szCs w:val="22"/>
          <w:lang w:val="nl-NL"/>
        </w:rPr>
        <w:t xml:space="preserve"> niet alles </w:t>
      </w:r>
      <w:r w:rsidR="00975FF6">
        <w:rPr>
          <w:rFonts w:ascii="Georgia" w:hAnsi="Georgia" w:cs="Calibri"/>
          <w:sz w:val="22"/>
          <w:szCs w:val="22"/>
          <w:lang w:val="nl-NL"/>
        </w:rPr>
        <w:t xml:space="preserve">op </w:t>
      </w:r>
      <w:r w:rsidRPr="00C140A8">
        <w:rPr>
          <w:rFonts w:ascii="Georgia" w:hAnsi="Georgia" w:cs="Calibri"/>
          <w:sz w:val="22"/>
          <w:szCs w:val="22"/>
          <w:lang w:val="nl-NL"/>
        </w:rPr>
        <w:t>in de rekeningen</w:t>
      </w:r>
      <w:r w:rsidR="0092601D" w:rsidRPr="00C140A8">
        <w:rPr>
          <w:rFonts w:ascii="Georgia" w:hAnsi="Georgia" w:cs="Calibri"/>
          <w:sz w:val="22"/>
          <w:szCs w:val="22"/>
          <w:lang w:val="nl-NL"/>
        </w:rPr>
        <w:t xml:space="preserve">, en wat </w:t>
      </w:r>
      <w:r w:rsidR="00074D65">
        <w:rPr>
          <w:rFonts w:ascii="Georgia" w:hAnsi="Georgia" w:cs="Calibri"/>
          <w:sz w:val="22"/>
          <w:szCs w:val="22"/>
          <w:lang w:val="nl-NL"/>
        </w:rPr>
        <w:t>er wel in stond</w:t>
      </w:r>
      <w:r w:rsidR="0092601D" w:rsidRPr="00C140A8">
        <w:rPr>
          <w:rFonts w:ascii="Georgia" w:hAnsi="Georgia" w:cs="Calibri"/>
          <w:sz w:val="22"/>
          <w:szCs w:val="22"/>
          <w:lang w:val="nl-NL"/>
        </w:rPr>
        <w:t>, gebeurde</w:t>
      </w:r>
      <w:r w:rsidRPr="00C140A8">
        <w:rPr>
          <w:rFonts w:ascii="Georgia" w:hAnsi="Georgia" w:cs="Calibri"/>
          <w:sz w:val="22"/>
          <w:szCs w:val="22"/>
          <w:lang w:val="nl-NL"/>
        </w:rPr>
        <w:t xml:space="preserve"> lang niet altijd in contante bedragen. Wegens een gebrek aan fysiek geld </w:t>
      </w:r>
      <w:r w:rsidR="00101B21" w:rsidRPr="00C140A8">
        <w:rPr>
          <w:rFonts w:ascii="Georgia" w:hAnsi="Georgia" w:cs="Calibri"/>
          <w:sz w:val="22"/>
          <w:szCs w:val="22"/>
          <w:lang w:val="nl-NL"/>
        </w:rPr>
        <w:t>betaalden ontvangers en schuldenaren</w:t>
      </w:r>
      <w:r w:rsidRPr="00C140A8">
        <w:rPr>
          <w:rFonts w:ascii="Georgia" w:hAnsi="Georgia" w:cs="Calibri"/>
          <w:sz w:val="22"/>
          <w:szCs w:val="22"/>
          <w:lang w:val="nl-NL"/>
        </w:rPr>
        <w:t xml:space="preserve"> regelmatig in natura, </w:t>
      </w:r>
      <w:r w:rsidR="00D17B90" w:rsidRPr="00D17B90">
        <w:rPr>
          <w:rFonts w:ascii="Georgia" w:hAnsi="Georgia" w:cs="Calibri"/>
          <w:sz w:val="22"/>
          <w:szCs w:val="22"/>
        </w:rPr>
        <w:t xml:space="preserve">zoals blijkt uit de </w:t>
      </w:r>
      <w:r w:rsidR="00D17B90" w:rsidRPr="00D17B90">
        <w:rPr>
          <w:rFonts w:ascii="Georgia" w:hAnsi="Georgia" w:cs="Calibri"/>
          <w:i/>
          <w:iCs/>
          <w:sz w:val="22"/>
          <w:szCs w:val="22"/>
        </w:rPr>
        <w:t>vidimi</w:t>
      </w:r>
      <w:r w:rsidR="00D17B90" w:rsidRPr="00D17B90">
        <w:rPr>
          <w:rFonts w:ascii="Georgia" w:hAnsi="Georgia" w:cs="Calibri"/>
          <w:sz w:val="22"/>
          <w:szCs w:val="22"/>
        </w:rPr>
        <w:t>, waar betalingen plaatsvinden in hout, schapen, mudden graan, tarwe en haver</w:t>
      </w:r>
      <w:r w:rsidRPr="00C140A8">
        <w:rPr>
          <w:rFonts w:ascii="Georgia" w:hAnsi="Georgia" w:cs="Calibri"/>
          <w:sz w:val="22"/>
          <w:szCs w:val="22"/>
          <w:lang w:val="nl-NL"/>
        </w:rPr>
        <w:t xml:space="preserve">. Ten tweede bereikte niet al het geïnde geld Johanna rechtstreeks in Brussel. </w:t>
      </w:r>
      <w:r w:rsidR="004C42E1" w:rsidRPr="004C42E1">
        <w:rPr>
          <w:rFonts w:ascii="Georgia" w:hAnsi="Georgia" w:cs="Calibri"/>
          <w:sz w:val="22"/>
          <w:szCs w:val="22"/>
        </w:rPr>
        <w:t>Inkomsten vloeiden op lokaal niveau vaak al direct naar schuldeisers of dienden voor lokale verplichtingen</w:t>
      </w:r>
      <w:r w:rsidRPr="00C140A8">
        <w:rPr>
          <w:rFonts w:ascii="Georgia" w:hAnsi="Georgia" w:cs="Calibri"/>
          <w:sz w:val="22"/>
          <w:szCs w:val="22"/>
          <w:lang w:val="nl-NL"/>
        </w:rPr>
        <w:t xml:space="preserve">. </w:t>
      </w:r>
      <w:r w:rsidR="004C42E1" w:rsidRPr="004C42E1">
        <w:rPr>
          <w:rFonts w:ascii="Georgia" w:hAnsi="Georgia" w:cs="Calibri"/>
          <w:sz w:val="22"/>
          <w:szCs w:val="22"/>
        </w:rPr>
        <w:t>Ten derde maakten de betrokkenen, zoals eerder vermeld, de afgesproken sommen allerminst stelselmatig over, en vergde het innen van de betalingen vaak zware politieke druk</w:t>
      </w:r>
      <w:r w:rsidRPr="00C140A8">
        <w:rPr>
          <w:rFonts w:ascii="Georgia" w:hAnsi="Georgia" w:cs="Calibri"/>
          <w:sz w:val="22"/>
          <w:szCs w:val="22"/>
          <w:lang w:val="nl-NL"/>
        </w:rPr>
        <w:t>.</w:t>
      </w:r>
      <w:r w:rsidRPr="00C140A8">
        <w:rPr>
          <w:rStyle w:val="FootnoteReference"/>
          <w:rFonts w:ascii="Georgia" w:hAnsi="Georgia" w:cs="Calibri"/>
          <w:sz w:val="22"/>
          <w:szCs w:val="22"/>
          <w:lang w:val="nl-NL"/>
        </w:rPr>
        <w:footnoteReference w:id="195"/>
      </w:r>
      <w:r w:rsidRPr="00C140A8">
        <w:rPr>
          <w:rFonts w:ascii="Georgia" w:hAnsi="Georgia" w:cs="Calibri"/>
          <w:sz w:val="22"/>
          <w:szCs w:val="22"/>
          <w:lang w:val="nl-NL"/>
        </w:rPr>
        <w:t xml:space="preserve"> </w:t>
      </w:r>
      <w:r w:rsidR="00074D65">
        <w:rPr>
          <w:rFonts w:ascii="Georgia" w:hAnsi="Georgia" w:cs="Calibri"/>
          <w:sz w:val="22"/>
          <w:szCs w:val="22"/>
          <w:lang w:val="nl-NL"/>
        </w:rPr>
        <w:t>Maar a</w:t>
      </w:r>
      <w:r w:rsidRPr="00C140A8">
        <w:rPr>
          <w:rFonts w:ascii="Georgia" w:hAnsi="Georgia" w:cs="Calibri"/>
          <w:sz w:val="22"/>
          <w:szCs w:val="22"/>
          <w:lang w:val="nl-NL"/>
        </w:rPr>
        <w:t xml:space="preserve">ls hertogin van Brabant bevond Johanna zich echter bij uitstek in een positie om deze druk effectief uit te oefenen, waardoor </w:t>
      </w:r>
      <w:r w:rsidR="004C42E1">
        <w:rPr>
          <w:rFonts w:ascii="Georgia" w:hAnsi="Georgia" w:cs="Calibri"/>
          <w:sz w:val="22"/>
          <w:szCs w:val="22"/>
          <w:lang w:val="nl-NL"/>
        </w:rPr>
        <w:t xml:space="preserve">het weduwegoed </w:t>
      </w:r>
      <w:r w:rsidRPr="00C140A8">
        <w:rPr>
          <w:rFonts w:ascii="Georgia" w:hAnsi="Georgia" w:cs="Calibri"/>
          <w:sz w:val="22"/>
          <w:szCs w:val="22"/>
          <w:lang w:val="nl-NL"/>
        </w:rPr>
        <w:t>als het ware uitgroeide tot een waar financieel knelpunt voor Holland</w:t>
      </w:r>
      <w:r w:rsidR="00034FA0" w:rsidRPr="00C140A8">
        <w:rPr>
          <w:rFonts w:ascii="Georgia" w:hAnsi="Georgia" w:cs="Calibri"/>
          <w:sz w:val="22"/>
          <w:szCs w:val="22"/>
          <w:lang w:val="nl-NL"/>
        </w:rPr>
        <w:t xml:space="preserve"> </w:t>
      </w:r>
      <w:r w:rsidR="00765531" w:rsidRPr="00C140A8">
        <w:rPr>
          <w:rFonts w:ascii="Georgia" w:hAnsi="Georgia" w:cs="Calibri"/>
          <w:sz w:val="22"/>
          <w:szCs w:val="22"/>
          <w:lang w:val="nl-NL"/>
        </w:rPr>
        <w:t xml:space="preserve">en Johanna aanzienlijk veel macht had over </w:t>
      </w:r>
      <w:r w:rsidR="0069336E" w:rsidRPr="00C140A8">
        <w:rPr>
          <w:rFonts w:ascii="Georgia" w:hAnsi="Georgia" w:cs="Calibri"/>
          <w:sz w:val="22"/>
          <w:szCs w:val="22"/>
          <w:lang w:val="nl-NL"/>
        </w:rPr>
        <w:t>het graafschap.</w:t>
      </w:r>
      <w:r w:rsidR="0069336E" w:rsidRPr="00C140A8">
        <w:rPr>
          <w:rStyle w:val="FootnoteReference"/>
          <w:rFonts w:ascii="Georgia" w:hAnsi="Georgia" w:cs="Calibri"/>
          <w:sz w:val="22"/>
          <w:szCs w:val="22"/>
          <w:lang w:val="nl-NL"/>
        </w:rPr>
        <w:footnoteReference w:id="196"/>
      </w:r>
    </w:p>
    <w:p w14:paraId="7E087DB0" w14:textId="11638AC4" w:rsidR="00242E6C" w:rsidRPr="00C140A8" w:rsidRDefault="00242E6C" w:rsidP="00192268">
      <w:pPr>
        <w:pStyle w:val="ThesisSubheading"/>
        <w:ind w:left="1134" w:hanging="1134"/>
        <w:rPr>
          <w:lang w:val="nl-NL"/>
        </w:rPr>
      </w:pPr>
      <w:bookmarkStart w:id="136" w:name="_Toc227399942"/>
      <w:bookmarkStart w:id="137" w:name="_Toc227674075"/>
      <w:bookmarkStart w:id="138" w:name="_Toc231153773"/>
      <w:bookmarkStart w:id="139" w:name="_Toc231329842"/>
      <w:bookmarkStart w:id="140" w:name="_Toc231330449"/>
      <w:bookmarkStart w:id="141" w:name="_Toc231428043"/>
      <w:proofErr w:type="spellStart"/>
      <w:r w:rsidRPr="00192268">
        <w:lastRenderedPageBreak/>
        <w:t>Inkomsten</w:t>
      </w:r>
      <w:proofErr w:type="spellEnd"/>
      <w:r w:rsidRPr="00C140A8">
        <w:rPr>
          <w:lang w:val="nl-NL"/>
        </w:rPr>
        <w:t xml:space="preserve"> uit Holland</w:t>
      </w:r>
      <w:bookmarkEnd w:id="136"/>
      <w:bookmarkEnd w:id="137"/>
      <w:bookmarkEnd w:id="138"/>
      <w:bookmarkEnd w:id="139"/>
      <w:bookmarkEnd w:id="140"/>
      <w:bookmarkEnd w:id="141"/>
    </w:p>
    <w:p w14:paraId="26CACED6" w14:textId="5F8B8689" w:rsidR="00242E6C" w:rsidRPr="00C140A8" w:rsidRDefault="00242E6C"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Johanna had op jaarbasis recht op een aanzienlijke douarie van 8.000 pond. Dit legde een enorme druk op de regionale </w:t>
      </w:r>
      <w:r w:rsidR="00EB5BD0" w:rsidRPr="00C140A8">
        <w:rPr>
          <w:rFonts w:ascii="Georgia" w:hAnsi="Georgia" w:cs="Calibri"/>
          <w:sz w:val="22"/>
          <w:szCs w:val="22"/>
          <w:lang w:val="nl-NL"/>
        </w:rPr>
        <w:t>financiën</w:t>
      </w:r>
      <w:r w:rsidRPr="00C140A8">
        <w:rPr>
          <w:rFonts w:ascii="Georgia" w:hAnsi="Georgia" w:cs="Calibri"/>
          <w:sz w:val="22"/>
          <w:szCs w:val="22"/>
          <w:lang w:val="nl-NL"/>
        </w:rPr>
        <w:t xml:space="preserve"> van het graafschap Holland. Afgezet tegen de totale ontvangsten van het rentmeesterschap Noord-Holland zou dit bedrag in sommige jaren vrijwel de volledige inkomsten van dit gebied opslokken. In de praktijk betekende dit dat die sommen geld sterk afhingen van de totale jaarlijkse inkomsten van dit gebied en dat Johanna haar vastgestelde bedrag zelden volledig uitbetaald kreeg.</w:t>
      </w:r>
      <w:r w:rsidRPr="00C140A8">
        <w:rPr>
          <w:rStyle w:val="FootnoteReference"/>
          <w:rFonts w:ascii="Georgia" w:hAnsi="Georgia" w:cs="Calibri"/>
          <w:sz w:val="22"/>
          <w:szCs w:val="22"/>
          <w:lang w:val="nl-NL"/>
        </w:rPr>
        <w:footnoteReference w:id="197"/>
      </w:r>
      <w:r w:rsidRPr="00C140A8">
        <w:rPr>
          <w:rFonts w:ascii="Georgia" w:hAnsi="Georgia" w:cs="Calibri"/>
          <w:sz w:val="22"/>
          <w:szCs w:val="22"/>
          <w:lang w:val="nl-NL"/>
        </w:rPr>
        <w:t xml:space="preserve">  </w:t>
      </w:r>
      <w:r w:rsidR="004A5349" w:rsidRPr="004A5349">
        <w:rPr>
          <w:rFonts w:ascii="Georgia" w:hAnsi="Georgia" w:cs="Calibri"/>
          <w:sz w:val="22"/>
          <w:szCs w:val="22"/>
        </w:rPr>
        <w:t>Dit blijkt uit de gegevens die Bos-Rops analyseerde en waarmee zij de rechtstreekse betalingen vanuit Noord-Holland aan Johanna in kaart bracht</w:t>
      </w:r>
      <w:r w:rsidR="004A5349">
        <w:rPr>
          <w:rFonts w:ascii="Georgia" w:hAnsi="Georgia" w:cs="Calibri"/>
          <w:sz w:val="22"/>
          <w:szCs w:val="22"/>
        </w:rPr>
        <w:t>.</w:t>
      </w:r>
      <w:r w:rsidRPr="00C140A8">
        <w:rPr>
          <w:rStyle w:val="FootnoteReference"/>
          <w:rFonts w:ascii="Georgia" w:hAnsi="Georgia" w:cs="Calibri"/>
          <w:sz w:val="22"/>
          <w:szCs w:val="22"/>
          <w:lang w:val="nl-NL"/>
        </w:rPr>
        <w:footnoteReference w:id="198"/>
      </w:r>
      <w:r w:rsidRPr="00C140A8">
        <w:rPr>
          <w:rFonts w:ascii="Georgia" w:hAnsi="Georgia" w:cs="Calibri"/>
          <w:sz w:val="22"/>
          <w:szCs w:val="22"/>
          <w:lang w:val="nl-NL"/>
        </w:rPr>
        <w:t xml:space="preserve">  </w:t>
      </w:r>
      <w:r w:rsidR="00101B21" w:rsidRPr="00C140A8">
        <w:rPr>
          <w:rFonts w:ascii="Georgia" w:hAnsi="Georgia" w:cs="Calibri"/>
          <w:sz w:val="22"/>
          <w:szCs w:val="22"/>
          <w:lang w:val="nl-NL"/>
        </w:rPr>
        <w:t>Wie de vierjarige periode nader bekijkt</w:t>
      </w:r>
      <w:r w:rsidRPr="00C140A8">
        <w:rPr>
          <w:rFonts w:ascii="Georgia" w:hAnsi="Georgia" w:cs="Calibri"/>
          <w:sz w:val="22"/>
          <w:szCs w:val="22"/>
          <w:lang w:val="nl-NL"/>
        </w:rPr>
        <w:t xml:space="preserve"> </w:t>
      </w:r>
      <w:r w:rsidR="004A5349">
        <w:rPr>
          <w:rFonts w:ascii="Georgia" w:hAnsi="Georgia" w:cs="Calibri"/>
          <w:sz w:val="22"/>
          <w:szCs w:val="22"/>
          <w:lang w:val="nl-NL"/>
        </w:rPr>
        <w:t>(</w:t>
      </w:r>
      <w:r w:rsidRPr="00C140A8">
        <w:rPr>
          <w:rFonts w:ascii="Georgia" w:hAnsi="Georgia" w:cs="Calibri"/>
          <w:sz w:val="22"/>
          <w:szCs w:val="22"/>
          <w:lang w:val="nl-NL"/>
        </w:rPr>
        <w:t>1376</w:t>
      </w:r>
      <w:r w:rsidR="004A5349">
        <w:rPr>
          <w:rFonts w:ascii="Georgia" w:hAnsi="Georgia" w:cs="Calibri"/>
          <w:sz w:val="22"/>
          <w:szCs w:val="22"/>
          <w:lang w:val="nl-NL"/>
        </w:rPr>
        <w:t>-1</w:t>
      </w:r>
      <w:r w:rsidRPr="00C140A8">
        <w:rPr>
          <w:rFonts w:ascii="Georgia" w:hAnsi="Georgia" w:cs="Calibri"/>
          <w:sz w:val="22"/>
          <w:szCs w:val="22"/>
          <w:lang w:val="nl-NL"/>
        </w:rPr>
        <w:t>380</w:t>
      </w:r>
      <w:r w:rsidR="004A5349">
        <w:rPr>
          <w:rFonts w:ascii="Georgia" w:hAnsi="Georgia" w:cs="Calibri"/>
          <w:sz w:val="22"/>
          <w:szCs w:val="22"/>
          <w:lang w:val="nl-NL"/>
        </w:rPr>
        <w:t>)</w:t>
      </w:r>
      <w:r w:rsidRPr="00C140A8">
        <w:rPr>
          <w:rFonts w:ascii="Georgia" w:hAnsi="Georgia" w:cs="Calibri"/>
          <w:sz w:val="22"/>
          <w:szCs w:val="22"/>
          <w:lang w:val="nl-NL"/>
        </w:rPr>
        <w:t xml:space="preserve">, zijn er slechts twee jaren waarbij </w:t>
      </w:r>
      <w:r w:rsidR="004A5349">
        <w:rPr>
          <w:rFonts w:ascii="Georgia" w:hAnsi="Georgia" w:cs="Calibri"/>
          <w:sz w:val="22"/>
          <w:szCs w:val="22"/>
          <w:lang w:val="nl-NL"/>
        </w:rPr>
        <w:t>de klerk een</w:t>
      </w:r>
      <w:r w:rsidRPr="00C140A8">
        <w:rPr>
          <w:rFonts w:ascii="Georgia" w:hAnsi="Georgia" w:cs="Calibri"/>
          <w:sz w:val="22"/>
          <w:szCs w:val="22"/>
          <w:lang w:val="nl-NL"/>
        </w:rPr>
        <w:t xml:space="preserve"> uitbetaling</w:t>
      </w:r>
      <w:r w:rsidR="004A5349">
        <w:rPr>
          <w:rFonts w:ascii="Georgia" w:hAnsi="Georgia" w:cs="Calibri"/>
          <w:sz w:val="22"/>
          <w:szCs w:val="22"/>
          <w:lang w:val="nl-NL"/>
        </w:rPr>
        <w:t xml:space="preserve"> noteerde</w:t>
      </w:r>
      <w:r w:rsidRPr="00C140A8">
        <w:rPr>
          <w:rFonts w:ascii="Georgia" w:hAnsi="Georgia" w:cs="Calibri"/>
          <w:sz w:val="22"/>
          <w:szCs w:val="22"/>
          <w:lang w:val="nl-NL"/>
        </w:rPr>
        <w:t>.</w:t>
      </w:r>
      <w:r w:rsidRPr="00C140A8">
        <w:rPr>
          <w:rStyle w:val="FootnoteReference"/>
          <w:rFonts w:ascii="Georgia" w:hAnsi="Georgia" w:cs="Calibri"/>
          <w:sz w:val="22"/>
          <w:szCs w:val="22"/>
          <w:lang w:val="nl-NL"/>
        </w:rPr>
        <w:t xml:space="preserve"> </w:t>
      </w:r>
      <w:r w:rsidRPr="00C140A8">
        <w:rPr>
          <w:rFonts w:ascii="Georgia" w:hAnsi="Georgia" w:cs="Calibri"/>
          <w:sz w:val="22"/>
          <w:szCs w:val="22"/>
          <w:lang w:val="nl-NL"/>
        </w:rPr>
        <w:t>In 1376-77 ontving Johanna een som van 5.746 pond.</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199"/>
      </w:r>
      <w:r w:rsidRPr="00C140A8">
        <w:rPr>
          <w:rFonts w:ascii="Georgia" w:hAnsi="Georgia" w:cs="Calibri"/>
          <w:sz w:val="22"/>
          <w:szCs w:val="22"/>
          <w:lang w:val="nl-NL"/>
        </w:rPr>
        <w:t xml:space="preserve"> Dit bedroeg al 49,2 procent van de totale inkomsten van Noord-Holland. In 1378-79 ontving ze een bedrag van 5.442 pond dat 62,3 procent van de totale inkomsten besloeg.</w:t>
      </w:r>
      <w:r w:rsidRPr="00C140A8">
        <w:rPr>
          <w:rStyle w:val="FootnoteReference"/>
          <w:rFonts w:ascii="Georgia" w:hAnsi="Georgia" w:cs="Calibri"/>
          <w:sz w:val="22"/>
          <w:szCs w:val="22"/>
          <w:lang w:val="nl-NL"/>
        </w:rPr>
        <w:footnoteReference w:id="200"/>
      </w:r>
      <w:r w:rsidR="004A5349">
        <w:rPr>
          <w:rFonts w:ascii="Georgia" w:hAnsi="Georgia" w:cs="Calibri"/>
          <w:sz w:val="22"/>
          <w:szCs w:val="22"/>
          <w:lang w:val="nl-NL"/>
        </w:rPr>
        <w:t xml:space="preserve"> </w:t>
      </w:r>
      <w:r w:rsidR="00E74864" w:rsidRPr="00E74864">
        <w:rPr>
          <w:rFonts w:ascii="Georgia" w:hAnsi="Georgia" w:cs="Calibri"/>
          <w:sz w:val="22"/>
          <w:szCs w:val="22"/>
        </w:rPr>
        <w:t>Ter illustratie van de zware financiële druk op Noord-Holland dienen de theoretische inkomsten als voorbeeld</w:t>
      </w:r>
      <w:r w:rsidRPr="00C140A8">
        <w:rPr>
          <w:rFonts w:ascii="Georgia" w:hAnsi="Georgia" w:cs="Calibri"/>
          <w:sz w:val="22"/>
          <w:szCs w:val="22"/>
          <w:lang w:val="nl-NL"/>
        </w:rPr>
        <w:t xml:space="preserve">. </w:t>
      </w:r>
      <w:proofErr w:type="gramStart"/>
      <w:r w:rsidRPr="00C140A8">
        <w:rPr>
          <w:rFonts w:ascii="Georgia" w:hAnsi="Georgia" w:cs="Calibri"/>
          <w:sz w:val="22"/>
          <w:szCs w:val="22"/>
          <w:lang w:val="nl-NL"/>
        </w:rPr>
        <w:t>Indien</w:t>
      </w:r>
      <w:proofErr w:type="gramEnd"/>
      <w:r w:rsidRPr="00C140A8">
        <w:rPr>
          <w:rFonts w:ascii="Georgia" w:hAnsi="Georgia" w:cs="Calibri"/>
          <w:sz w:val="22"/>
          <w:szCs w:val="22"/>
          <w:lang w:val="nl-NL"/>
        </w:rPr>
        <w:t xml:space="preserve"> zij in dat jaar het vastgestelde bedrag van 8.000 pond had ontvangen, dan zou dit overeenkomen met 91 procent van de totale inkomsten van Noord-Holland. Voor de overige jaren binnen de periode ontbreekt een compleet beeld. Voor het jaar 1378 is weliswaar genoteerd dat er een bedrag van 4.014 pond (gerekend in munten van 40 groten) naar </w:t>
      </w:r>
      <w:r w:rsidR="00E74864">
        <w:rPr>
          <w:rFonts w:ascii="Georgia" w:hAnsi="Georgia" w:cs="Calibri"/>
          <w:sz w:val="22"/>
          <w:szCs w:val="22"/>
          <w:lang w:val="nl-NL"/>
        </w:rPr>
        <w:t xml:space="preserve">het weduwegoed </w:t>
      </w:r>
      <w:r w:rsidRPr="00C140A8">
        <w:rPr>
          <w:rFonts w:ascii="Georgia" w:hAnsi="Georgia" w:cs="Calibri"/>
          <w:sz w:val="22"/>
          <w:szCs w:val="22"/>
          <w:lang w:val="nl-NL"/>
        </w:rPr>
        <w:t>ging, maar doordat de totale inkomsten van de rentmeester niet bewaard zijn gebleven, is het exacte percentage onbekend.</w:t>
      </w:r>
      <w:r w:rsidRPr="00C140A8">
        <w:rPr>
          <w:rStyle w:val="FootnoteReference"/>
          <w:rFonts w:ascii="Georgia" w:hAnsi="Georgia" w:cs="Calibri"/>
          <w:sz w:val="22"/>
          <w:szCs w:val="22"/>
          <w:lang w:val="nl-NL"/>
        </w:rPr>
        <w:footnoteReference w:id="201"/>
      </w:r>
      <w:r w:rsidRPr="00C140A8">
        <w:rPr>
          <w:rFonts w:ascii="Georgia" w:hAnsi="Georgia" w:cs="Calibri"/>
          <w:sz w:val="22"/>
          <w:szCs w:val="22"/>
          <w:lang w:val="nl-NL"/>
        </w:rPr>
        <w:t xml:space="preserve"> Voor de jaren 1377-1378 en 1379-1380 ontbreken de gegevens, wat er sterk op wijst dat Johanna in deze jaren mogelijk helemaal niets heeft ontvangen. </w:t>
      </w:r>
    </w:p>
    <w:p w14:paraId="4D6DB1FF" w14:textId="4CEF41F9" w:rsidR="00242E6C" w:rsidRPr="00C140A8" w:rsidRDefault="00242E6C"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Deze cijfers illustreren treffend de </w:t>
      </w:r>
      <w:r w:rsidR="00A70E7B" w:rsidRPr="00C140A8">
        <w:rPr>
          <w:rFonts w:ascii="Georgia" w:hAnsi="Georgia" w:cs="Calibri"/>
          <w:sz w:val="22"/>
          <w:szCs w:val="22"/>
          <w:lang w:val="nl-NL"/>
        </w:rPr>
        <w:t>financiële</w:t>
      </w:r>
      <w:r w:rsidRPr="00C140A8">
        <w:rPr>
          <w:rFonts w:ascii="Georgia" w:hAnsi="Georgia" w:cs="Calibri"/>
          <w:sz w:val="22"/>
          <w:szCs w:val="22"/>
          <w:lang w:val="nl-NL"/>
        </w:rPr>
        <w:t xml:space="preserve"> geschillen </w:t>
      </w:r>
      <w:proofErr w:type="gramStart"/>
      <w:r w:rsidRPr="00C140A8">
        <w:rPr>
          <w:rFonts w:ascii="Georgia" w:hAnsi="Georgia" w:cs="Calibri"/>
          <w:sz w:val="22"/>
          <w:szCs w:val="22"/>
          <w:lang w:val="nl-NL"/>
        </w:rPr>
        <w:t>omtrent</w:t>
      </w:r>
      <w:proofErr w:type="gramEnd"/>
      <w:r w:rsidRPr="00C140A8">
        <w:rPr>
          <w:rFonts w:ascii="Georgia" w:hAnsi="Georgia" w:cs="Calibri"/>
          <w:sz w:val="22"/>
          <w:szCs w:val="22"/>
          <w:lang w:val="nl-NL"/>
        </w:rPr>
        <w:t xml:space="preserve"> Johanna’s Hollandse </w:t>
      </w:r>
      <w:r w:rsidR="00E74864">
        <w:rPr>
          <w:rFonts w:ascii="Georgia" w:hAnsi="Georgia" w:cs="Calibri"/>
          <w:sz w:val="22"/>
          <w:szCs w:val="22"/>
          <w:lang w:val="nl-NL"/>
        </w:rPr>
        <w:t>weduwegoed</w:t>
      </w:r>
      <w:r w:rsidRPr="00C140A8">
        <w:rPr>
          <w:rFonts w:ascii="Georgia" w:hAnsi="Georgia" w:cs="Calibri"/>
          <w:sz w:val="22"/>
          <w:szCs w:val="22"/>
          <w:lang w:val="nl-NL"/>
        </w:rPr>
        <w:t xml:space="preserve">. Het kwam erop neer dat Johanna’s </w:t>
      </w:r>
      <w:r w:rsidR="00E74864">
        <w:rPr>
          <w:rFonts w:ascii="Georgia" w:hAnsi="Georgia" w:cs="Calibri"/>
          <w:sz w:val="22"/>
          <w:szCs w:val="22"/>
          <w:lang w:val="nl-NL"/>
        </w:rPr>
        <w:t>weduwegoed</w:t>
      </w:r>
      <w:r w:rsidRPr="00C140A8">
        <w:rPr>
          <w:rFonts w:ascii="Georgia" w:hAnsi="Georgia" w:cs="Calibri"/>
          <w:sz w:val="22"/>
          <w:szCs w:val="22"/>
          <w:lang w:val="nl-NL"/>
        </w:rPr>
        <w:t xml:space="preserve"> de </w:t>
      </w:r>
      <w:r w:rsidR="00A70E7B" w:rsidRPr="00C140A8">
        <w:rPr>
          <w:rFonts w:ascii="Georgia" w:hAnsi="Georgia" w:cs="Calibri"/>
          <w:sz w:val="22"/>
          <w:szCs w:val="22"/>
          <w:lang w:val="nl-NL"/>
        </w:rPr>
        <w:t>financiële</w:t>
      </w:r>
      <w:r w:rsidRPr="00C140A8">
        <w:rPr>
          <w:rFonts w:ascii="Georgia" w:hAnsi="Georgia" w:cs="Calibri"/>
          <w:sz w:val="22"/>
          <w:szCs w:val="22"/>
          <w:lang w:val="nl-NL"/>
        </w:rPr>
        <w:t xml:space="preserve"> draagkracht van het graafschap fel overschreed. </w:t>
      </w:r>
      <w:r w:rsidR="00101B21" w:rsidRPr="00C140A8">
        <w:rPr>
          <w:rFonts w:ascii="Georgia" w:hAnsi="Georgia" w:cs="Calibri"/>
          <w:sz w:val="22"/>
          <w:szCs w:val="22"/>
          <w:lang w:val="nl-NL"/>
        </w:rPr>
        <w:t xml:space="preserve">Latere toekenningen van </w:t>
      </w:r>
      <w:proofErr w:type="spellStart"/>
      <w:r w:rsidR="00101B21" w:rsidRPr="00C140A8">
        <w:rPr>
          <w:rFonts w:ascii="Georgia" w:hAnsi="Georgia" w:cs="Calibri"/>
          <w:sz w:val="22"/>
          <w:szCs w:val="22"/>
          <w:lang w:val="nl-NL"/>
        </w:rPr>
        <w:t>weduwegoeden</w:t>
      </w:r>
      <w:proofErr w:type="spellEnd"/>
      <w:r w:rsidR="00101B21" w:rsidRPr="00C140A8">
        <w:rPr>
          <w:rFonts w:ascii="Georgia" w:hAnsi="Georgia" w:cs="Calibri"/>
          <w:sz w:val="22"/>
          <w:szCs w:val="22"/>
          <w:lang w:val="nl-NL"/>
        </w:rPr>
        <w:t xml:space="preserve"> hielden hier rekening mee</w:t>
      </w:r>
      <w:r w:rsidRPr="00C140A8">
        <w:rPr>
          <w:rFonts w:ascii="Georgia" w:hAnsi="Georgia" w:cs="Calibri"/>
          <w:sz w:val="22"/>
          <w:szCs w:val="22"/>
          <w:lang w:val="nl-NL"/>
        </w:rPr>
        <w:t>.</w:t>
      </w:r>
      <w:r w:rsidRPr="00C140A8">
        <w:rPr>
          <w:rStyle w:val="FootnoteReference"/>
          <w:rFonts w:ascii="Georgia" w:hAnsi="Georgia" w:cs="Calibri"/>
          <w:sz w:val="22"/>
          <w:szCs w:val="22"/>
          <w:lang w:val="nl-NL"/>
        </w:rPr>
        <w:footnoteReference w:id="202"/>
      </w:r>
      <w:r w:rsidRPr="00C140A8">
        <w:rPr>
          <w:rFonts w:ascii="Georgia" w:hAnsi="Georgia" w:cs="Calibri"/>
          <w:sz w:val="22"/>
          <w:szCs w:val="22"/>
          <w:lang w:val="nl-NL"/>
        </w:rPr>
        <w:t xml:space="preserve">  De cijfers bieden </w:t>
      </w:r>
      <w:r w:rsidR="00E74864">
        <w:rPr>
          <w:rFonts w:ascii="Georgia" w:hAnsi="Georgia" w:cs="Calibri"/>
          <w:sz w:val="22"/>
          <w:szCs w:val="22"/>
          <w:lang w:val="nl-NL"/>
        </w:rPr>
        <w:t>daarnaast</w:t>
      </w:r>
      <w:r w:rsidRPr="00C140A8">
        <w:rPr>
          <w:rFonts w:ascii="Georgia" w:hAnsi="Georgia" w:cs="Calibri"/>
          <w:sz w:val="22"/>
          <w:szCs w:val="22"/>
          <w:lang w:val="nl-NL"/>
        </w:rPr>
        <w:t xml:space="preserve"> een antwoord op Johanna’s bevel van oktober 1376, wanneer ze de Hollandse ontvanger Floris van Alphen bij haar roept om rekenschap af te leggen.</w:t>
      </w:r>
      <w:r w:rsidRPr="00C140A8">
        <w:rPr>
          <w:rStyle w:val="FootnoteReference"/>
          <w:rFonts w:ascii="Georgia" w:hAnsi="Georgia" w:cs="Calibri"/>
          <w:sz w:val="22"/>
          <w:szCs w:val="22"/>
          <w:lang w:val="nl-NL"/>
        </w:rPr>
        <w:footnoteReference w:id="203"/>
      </w:r>
      <w:r w:rsidRPr="00C140A8">
        <w:rPr>
          <w:rFonts w:ascii="Georgia" w:hAnsi="Georgia" w:cs="Calibri"/>
          <w:sz w:val="22"/>
          <w:szCs w:val="22"/>
          <w:lang w:val="nl-NL"/>
        </w:rPr>
        <w:t xml:space="preserve"> De interventie had enig effec</w:t>
      </w:r>
      <w:r w:rsidR="00E74864">
        <w:rPr>
          <w:rFonts w:ascii="Georgia" w:hAnsi="Georgia" w:cs="Calibri"/>
          <w:sz w:val="22"/>
          <w:szCs w:val="22"/>
          <w:lang w:val="nl-NL"/>
        </w:rPr>
        <w:t xml:space="preserve">t. </w:t>
      </w:r>
      <w:r w:rsidR="006B1E36" w:rsidRPr="006B1E36">
        <w:rPr>
          <w:rFonts w:ascii="Georgia" w:hAnsi="Georgia" w:cs="Calibri"/>
          <w:sz w:val="22"/>
          <w:szCs w:val="22"/>
        </w:rPr>
        <w:t>Dat jaar vond er inderdaad een betaling plaats (de bovengenoemde 5.746 pond), maar de volledige som van 8.000 pond werd opnieuw niet gehaald</w:t>
      </w:r>
      <w:r w:rsidRPr="00C140A8">
        <w:rPr>
          <w:rFonts w:ascii="Georgia" w:hAnsi="Georgia" w:cs="Calibri"/>
          <w:sz w:val="22"/>
          <w:szCs w:val="22"/>
          <w:lang w:val="nl-NL"/>
        </w:rPr>
        <w:t xml:space="preserve">. </w:t>
      </w:r>
    </w:p>
    <w:p w14:paraId="04525DB4" w14:textId="00F18257" w:rsidR="00242E6C" w:rsidRPr="00C140A8" w:rsidRDefault="00C01545" w:rsidP="00192268">
      <w:pPr>
        <w:pStyle w:val="ThesisSubheading"/>
        <w:ind w:left="1134" w:hanging="1134"/>
        <w:rPr>
          <w:lang w:val="nl-NL"/>
        </w:rPr>
      </w:pPr>
      <w:bookmarkStart w:id="142" w:name="_Toc227674076"/>
      <w:bookmarkStart w:id="143" w:name="_Toc231153774"/>
      <w:bookmarkStart w:id="144" w:name="_Toc231329843"/>
      <w:bookmarkStart w:id="145" w:name="_Toc231330450"/>
      <w:bookmarkStart w:id="146" w:name="_Toc231428044"/>
      <w:proofErr w:type="spellStart"/>
      <w:r w:rsidRPr="00192268">
        <w:lastRenderedPageBreak/>
        <w:t>Inkomsten</w:t>
      </w:r>
      <w:proofErr w:type="spellEnd"/>
      <w:r w:rsidRPr="00C140A8">
        <w:rPr>
          <w:lang w:val="nl-NL"/>
        </w:rPr>
        <w:t xml:space="preserve"> uit</w:t>
      </w:r>
      <w:r w:rsidR="00242E6C" w:rsidRPr="00C140A8">
        <w:rPr>
          <w:lang w:val="nl-NL"/>
        </w:rPr>
        <w:t xml:space="preserve"> Henegouwen</w:t>
      </w:r>
      <w:bookmarkEnd w:id="142"/>
      <w:bookmarkEnd w:id="143"/>
      <w:bookmarkEnd w:id="144"/>
      <w:bookmarkEnd w:id="145"/>
      <w:bookmarkEnd w:id="146"/>
    </w:p>
    <w:p w14:paraId="66E1829A" w14:textId="66ADDE99" w:rsidR="00242E6C" w:rsidRPr="00C140A8" w:rsidRDefault="00242E6C"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Waar de Hollandse inkomsten bestonden uit vaste geldsommen, was de opbrengst uit Henegouwen veeleer een complexe mix van contante uitbetalingen, het bezit van onroerende goederen en inkomsten in natura. </w:t>
      </w:r>
      <w:r w:rsidR="00843C50">
        <w:rPr>
          <w:rFonts w:ascii="Georgia" w:hAnsi="Georgia" w:cs="Calibri"/>
          <w:sz w:val="22"/>
          <w:szCs w:val="22"/>
          <w:lang w:val="nl-NL"/>
        </w:rPr>
        <w:t>De</w:t>
      </w:r>
      <w:r w:rsidRPr="00C140A8">
        <w:rPr>
          <w:rFonts w:ascii="Georgia" w:hAnsi="Georgia" w:cs="Calibri"/>
          <w:sz w:val="22"/>
          <w:szCs w:val="22"/>
          <w:lang w:val="nl-NL"/>
        </w:rPr>
        <w:t xml:space="preserve"> studie van Christiane </w:t>
      </w:r>
      <w:proofErr w:type="spellStart"/>
      <w:r w:rsidRPr="00C140A8">
        <w:rPr>
          <w:rFonts w:ascii="Georgia" w:hAnsi="Georgia" w:cs="Calibri"/>
          <w:sz w:val="22"/>
          <w:szCs w:val="22"/>
          <w:lang w:val="nl-NL"/>
        </w:rPr>
        <w:t>Piérard</w:t>
      </w:r>
      <w:proofErr w:type="spellEnd"/>
      <w:r w:rsidRPr="00C140A8">
        <w:rPr>
          <w:rFonts w:ascii="Georgia" w:hAnsi="Georgia" w:cs="Calibri"/>
          <w:sz w:val="22"/>
          <w:szCs w:val="22"/>
          <w:lang w:val="nl-NL"/>
        </w:rPr>
        <w:t xml:space="preserve"> </w:t>
      </w:r>
      <w:r w:rsidR="00843C50">
        <w:rPr>
          <w:rFonts w:ascii="Georgia" w:hAnsi="Georgia" w:cs="Calibri"/>
          <w:sz w:val="22"/>
          <w:szCs w:val="22"/>
          <w:lang w:val="nl-NL"/>
        </w:rPr>
        <w:t>brengt</w:t>
      </w:r>
      <w:r w:rsidRPr="00C140A8">
        <w:rPr>
          <w:rFonts w:ascii="Georgia" w:hAnsi="Georgia" w:cs="Calibri"/>
          <w:sz w:val="22"/>
          <w:szCs w:val="22"/>
          <w:lang w:val="nl-NL"/>
        </w:rPr>
        <w:t xml:space="preserve"> de Henegouwse inkomsten goed in kaart.</w:t>
      </w:r>
      <w:r w:rsidRPr="00C140A8">
        <w:rPr>
          <w:rStyle w:val="FootnoteReference"/>
          <w:rFonts w:ascii="Georgia" w:hAnsi="Georgia" w:cs="Calibri"/>
          <w:sz w:val="22"/>
          <w:szCs w:val="22"/>
          <w:lang w:val="nl-NL"/>
        </w:rPr>
        <w:footnoteReference w:id="204"/>
      </w:r>
      <w:r w:rsidRPr="00C140A8">
        <w:rPr>
          <w:rFonts w:ascii="Georgia" w:hAnsi="Georgia" w:cs="Calibri"/>
          <w:sz w:val="22"/>
          <w:szCs w:val="22"/>
          <w:lang w:val="nl-NL"/>
        </w:rPr>
        <w:t xml:space="preserve"> De proosdij van Binche was voornamelijk agrarisch, rijk aan tarwe en haver, en beschikte over uitgestrekte weiden voor veeteelt.</w:t>
      </w:r>
      <w:r w:rsidRPr="00C140A8">
        <w:rPr>
          <w:rStyle w:val="FootnoteReference"/>
          <w:rFonts w:ascii="Georgia" w:hAnsi="Georgia" w:cs="Calibri"/>
          <w:sz w:val="22"/>
          <w:szCs w:val="22"/>
          <w:lang w:val="nl-NL"/>
        </w:rPr>
        <w:footnoteReference w:id="205"/>
      </w:r>
      <w:r w:rsidRPr="00C140A8">
        <w:rPr>
          <w:rFonts w:ascii="Georgia" w:hAnsi="Georgia" w:cs="Calibri"/>
          <w:sz w:val="22"/>
          <w:szCs w:val="22"/>
          <w:lang w:val="nl-NL"/>
        </w:rPr>
        <w:t xml:space="preserve"> Johanna</w:t>
      </w:r>
      <w:r w:rsidR="00101B21" w:rsidRPr="00C140A8">
        <w:rPr>
          <w:rFonts w:ascii="Georgia" w:hAnsi="Georgia" w:cs="Calibri"/>
          <w:sz w:val="22"/>
          <w:szCs w:val="22"/>
          <w:lang w:val="nl-NL"/>
        </w:rPr>
        <w:t xml:space="preserve"> ontving haar</w:t>
      </w:r>
      <w:r w:rsidRPr="00C140A8">
        <w:rPr>
          <w:rFonts w:ascii="Georgia" w:hAnsi="Georgia" w:cs="Calibri"/>
          <w:sz w:val="22"/>
          <w:szCs w:val="22"/>
          <w:lang w:val="nl-NL"/>
        </w:rPr>
        <w:t xml:space="preserve"> voornaamste inkomsten in dit gebied dan ook voornamelijk in natura</w:t>
      </w:r>
      <w:r w:rsidR="00C87577">
        <w:rPr>
          <w:rFonts w:ascii="Georgia" w:hAnsi="Georgia" w:cs="Calibri"/>
          <w:sz w:val="22"/>
          <w:szCs w:val="22"/>
          <w:lang w:val="nl-NL"/>
        </w:rPr>
        <w:t xml:space="preserve"> zoals</w:t>
      </w:r>
      <w:r w:rsidRPr="00C140A8">
        <w:rPr>
          <w:rFonts w:ascii="Georgia" w:hAnsi="Georgia" w:cs="Calibri"/>
          <w:sz w:val="22"/>
          <w:szCs w:val="22"/>
          <w:lang w:val="nl-NL"/>
        </w:rPr>
        <w:t xml:space="preserve"> granen, brandhout, vis, wijn en tot op zekere hoogte ook honing.</w:t>
      </w:r>
      <w:r w:rsidRPr="00C140A8">
        <w:rPr>
          <w:rStyle w:val="FootnoteReference"/>
          <w:rFonts w:ascii="Georgia" w:hAnsi="Georgia" w:cs="Calibri"/>
          <w:sz w:val="22"/>
          <w:szCs w:val="22"/>
          <w:lang w:val="nl-NL"/>
        </w:rPr>
        <w:footnoteReference w:id="206"/>
      </w:r>
      <w:r w:rsidRPr="00C140A8">
        <w:rPr>
          <w:rFonts w:ascii="Georgia" w:hAnsi="Georgia" w:cs="Calibri"/>
          <w:sz w:val="22"/>
          <w:szCs w:val="22"/>
          <w:lang w:val="nl-NL"/>
        </w:rPr>
        <w:t xml:space="preserve"> Daarnaast deelde </w:t>
      </w:r>
      <w:r w:rsidR="00C87577">
        <w:rPr>
          <w:rFonts w:ascii="Georgia" w:hAnsi="Georgia" w:cs="Calibri"/>
          <w:sz w:val="22"/>
          <w:szCs w:val="22"/>
          <w:lang w:val="nl-NL"/>
        </w:rPr>
        <w:t>ze</w:t>
      </w:r>
      <w:r w:rsidRPr="00C140A8">
        <w:rPr>
          <w:rFonts w:ascii="Georgia" w:hAnsi="Georgia" w:cs="Calibri"/>
          <w:sz w:val="22"/>
          <w:szCs w:val="22"/>
          <w:lang w:val="nl-NL"/>
        </w:rPr>
        <w:t xml:space="preserve"> mee in de industriële opbrengsten, waarbij ze een kwart van de inkomsten uit de lokale steenkoolwinning verkreeg.</w:t>
      </w:r>
      <w:r w:rsidRPr="00C140A8">
        <w:rPr>
          <w:rStyle w:val="FootnoteReference"/>
          <w:rFonts w:ascii="Georgia" w:hAnsi="Georgia" w:cs="Calibri"/>
          <w:sz w:val="22"/>
          <w:szCs w:val="22"/>
          <w:lang w:val="nl-NL"/>
        </w:rPr>
        <w:footnoteReference w:id="207"/>
      </w:r>
      <w:r w:rsidRPr="00C140A8">
        <w:rPr>
          <w:rFonts w:ascii="Georgia" w:hAnsi="Georgia" w:cs="Calibri"/>
          <w:sz w:val="22"/>
          <w:szCs w:val="22"/>
          <w:lang w:val="nl-NL"/>
        </w:rPr>
        <w:t xml:space="preserve"> Op basis van de rekeningen van </w:t>
      </w:r>
      <w:r w:rsidR="006B1E36">
        <w:rPr>
          <w:rFonts w:ascii="Georgia" w:hAnsi="Georgia" w:cs="Calibri"/>
          <w:sz w:val="22"/>
          <w:szCs w:val="22"/>
          <w:lang w:val="nl-NL"/>
        </w:rPr>
        <w:t xml:space="preserve">het weduwegoed </w:t>
      </w:r>
      <w:r w:rsidRPr="00C140A8">
        <w:rPr>
          <w:rFonts w:ascii="Georgia" w:hAnsi="Georgia" w:cs="Calibri"/>
          <w:sz w:val="22"/>
          <w:szCs w:val="22"/>
          <w:lang w:val="nl-NL"/>
        </w:rPr>
        <w:t xml:space="preserve">heeft </w:t>
      </w:r>
      <w:proofErr w:type="spellStart"/>
      <w:r w:rsidRPr="00C140A8">
        <w:rPr>
          <w:rFonts w:ascii="Georgia" w:hAnsi="Georgia" w:cs="Calibri"/>
          <w:sz w:val="22"/>
          <w:szCs w:val="22"/>
          <w:lang w:val="nl-NL"/>
        </w:rPr>
        <w:t>Piérard</w:t>
      </w:r>
      <w:proofErr w:type="spellEnd"/>
      <w:r w:rsidRPr="00C140A8">
        <w:rPr>
          <w:rFonts w:ascii="Georgia" w:hAnsi="Georgia" w:cs="Calibri"/>
          <w:sz w:val="22"/>
          <w:szCs w:val="22"/>
          <w:lang w:val="nl-NL"/>
        </w:rPr>
        <w:t xml:space="preserve"> twee tabellen opgesteld van de inkomsten uit tarwe en haver.</w:t>
      </w:r>
      <w:r w:rsidR="00B63008">
        <w:rPr>
          <w:rStyle w:val="FootnoteReference"/>
          <w:rFonts w:ascii="Georgia" w:hAnsi="Georgia" w:cs="Calibri"/>
          <w:sz w:val="22"/>
          <w:szCs w:val="22"/>
          <w:lang w:val="nl-NL"/>
        </w:rPr>
        <w:footnoteReference w:id="208"/>
      </w:r>
      <w:r w:rsidRPr="00C140A8">
        <w:rPr>
          <w:rFonts w:ascii="Georgia" w:hAnsi="Georgia" w:cs="Calibri"/>
          <w:sz w:val="22"/>
          <w:szCs w:val="22"/>
          <w:lang w:val="nl-NL"/>
        </w:rPr>
        <w:t xml:space="preserve"> In de periode 1376-1380 verkreeg Johanna gemiddeld 509,25 mud tarwe en 326 mud haver. Op zichzelf zijn deze cijfers echter weinig veelzeggend. Om een goede indicatie te krijgen van de daadwerkelijke koopkracht, is het relevanter om na te gaan wat er precies met deze opbrengsten werd gedaan, want tarwe en haver waren in die tijd veelgebruikte betaalmiddelen. Johanna 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betaalden hun personeel bijvoorbeeld vaak in natura uit voor hun levensonderhoud. Een dergelijke toelage bedroeg doorgaans één tot drie mud haver of tarwe.</w:t>
      </w:r>
      <w:r w:rsidRPr="00C140A8">
        <w:rPr>
          <w:rStyle w:val="FootnoteReference"/>
          <w:rFonts w:ascii="Georgia" w:hAnsi="Georgia" w:cs="Calibri"/>
          <w:sz w:val="22"/>
          <w:szCs w:val="22"/>
          <w:lang w:val="nl-NL"/>
        </w:rPr>
        <w:footnoteReference w:id="209"/>
      </w:r>
      <w:r w:rsidRPr="00C140A8">
        <w:rPr>
          <w:rFonts w:ascii="Georgia" w:hAnsi="Georgia" w:cs="Calibri"/>
          <w:sz w:val="22"/>
          <w:szCs w:val="22"/>
          <w:lang w:val="nl-NL"/>
        </w:rPr>
        <w:t xml:space="preserve"> </w:t>
      </w:r>
      <w:r w:rsidR="00930E0B">
        <w:rPr>
          <w:rFonts w:ascii="Georgia" w:hAnsi="Georgia" w:cs="Calibri"/>
          <w:sz w:val="22"/>
          <w:szCs w:val="22"/>
          <w:lang w:val="nl-NL"/>
        </w:rPr>
        <w:t>Op</w:t>
      </w:r>
      <w:r w:rsidRPr="00C140A8">
        <w:rPr>
          <w:rFonts w:ascii="Georgia" w:hAnsi="Georgia" w:cs="Calibri"/>
          <w:sz w:val="22"/>
          <w:szCs w:val="22"/>
          <w:lang w:val="nl-NL"/>
        </w:rPr>
        <w:t xml:space="preserve"> 11 juli </w:t>
      </w:r>
      <w:r w:rsidR="00930E0B">
        <w:rPr>
          <w:rFonts w:ascii="Georgia" w:hAnsi="Georgia" w:cs="Calibri"/>
          <w:sz w:val="22"/>
          <w:szCs w:val="22"/>
          <w:lang w:val="nl-NL"/>
        </w:rPr>
        <w:t xml:space="preserve">bijvoorbeeld </w:t>
      </w:r>
      <w:r w:rsidRPr="00C140A8">
        <w:rPr>
          <w:rFonts w:ascii="Georgia" w:hAnsi="Georgia" w:cs="Calibri"/>
          <w:sz w:val="22"/>
          <w:szCs w:val="22"/>
          <w:lang w:val="nl-NL"/>
        </w:rPr>
        <w:t xml:space="preserve">krijgen haar twee bewakers van de jachthonden, Jean </w:t>
      </w:r>
      <w:proofErr w:type="spellStart"/>
      <w:r w:rsidRPr="00C140A8">
        <w:rPr>
          <w:rFonts w:ascii="Georgia" w:hAnsi="Georgia" w:cs="Calibri"/>
          <w:sz w:val="22"/>
          <w:szCs w:val="22"/>
          <w:lang w:val="nl-NL"/>
        </w:rPr>
        <w:t>Ratier</w:t>
      </w:r>
      <w:proofErr w:type="spellEnd"/>
      <w:r w:rsidRPr="00C140A8">
        <w:rPr>
          <w:rFonts w:ascii="Georgia" w:hAnsi="Georgia" w:cs="Calibri"/>
          <w:sz w:val="22"/>
          <w:szCs w:val="22"/>
          <w:lang w:val="nl-NL"/>
        </w:rPr>
        <w:t xml:space="preserve"> en </w:t>
      </w:r>
      <w:proofErr w:type="spellStart"/>
      <w:r w:rsidRPr="00C140A8">
        <w:rPr>
          <w:rFonts w:ascii="Georgia" w:hAnsi="Georgia" w:cs="Calibri"/>
          <w:sz w:val="22"/>
          <w:szCs w:val="22"/>
          <w:lang w:val="nl-NL"/>
        </w:rPr>
        <w:t>Arnould</w:t>
      </w:r>
      <w:proofErr w:type="spellEnd"/>
      <w:r w:rsidRPr="00C140A8">
        <w:rPr>
          <w:rFonts w:ascii="Georgia" w:hAnsi="Georgia" w:cs="Calibri"/>
          <w:sz w:val="22"/>
          <w:szCs w:val="22"/>
          <w:lang w:val="nl-NL"/>
        </w:rPr>
        <w:t xml:space="preserve">, op bevel van Johanna een jaarlijkse donatie van respectievelijk twee </w:t>
      </w:r>
      <w:r w:rsidR="009E337A">
        <w:rPr>
          <w:rFonts w:ascii="Georgia" w:hAnsi="Georgia" w:cs="Calibri"/>
          <w:sz w:val="22"/>
          <w:szCs w:val="22"/>
          <w:lang w:val="nl-NL"/>
        </w:rPr>
        <w:t>mud</w:t>
      </w:r>
      <w:r w:rsidRPr="00C140A8">
        <w:rPr>
          <w:rFonts w:ascii="Georgia" w:hAnsi="Georgia" w:cs="Calibri"/>
          <w:sz w:val="22"/>
          <w:szCs w:val="22"/>
          <w:lang w:val="nl-NL"/>
        </w:rPr>
        <w:t xml:space="preserve"> graan en een mud graan.</w:t>
      </w:r>
      <w:r w:rsidRPr="00C140A8">
        <w:rPr>
          <w:rStyle w:val="FootnoteReference"/>
          <w:rFonts w:ascii="Georgia" w:hAnsi="Georgia" w:cs="Calibri"/>
          <w:sz w:val="22"/>
          <w:szCs w:val="22"/>
          <w:lang w:val="nl-NL"/>
        </w:rPr>
        <w:footnoteReference w:id="210"/>
      </w:r>
      <w:r w:rsidRPr="00C140A8">
        <w:rPr>
          <w:rFonts w:ascii="Georgia" w:hAnsi="Georgia" w:cs="Calibri"/>
          <w:sz w:val="22"/>
          <w:szCs w:val="22"/>
          <w:lang w:val="nl-NL"/>
        </w:rPr>
        <w:t xml:space="preserve"> </w:t>
      </w:r>
      <w:r w:rsidR="002D14C1" w:rsidRPr="002D14C1">
        <w:rPr>
          <w:rFonts w:ascii="Georgia" w:hAnsi="Georgia" w:cs="Calibri"/>
          <w:sz w:val="22"/>
          <w:szCs w:val="22"/>
        </w:rPr>
        <w:t>Deze som lijkt een jaarlijkse vaste uitkering te zijn, aangezien de ontvanger ze ook op 20 juli 1377, 1 juli 1378 en 3 oktober 1379 uitbetaalde met telkens dezelfde sommen in natura</w:t>
      </w:r>
      <w:r w:rsidR="002D14C1">
        <w:rPr>
          <w:rFonts w:ascii="Georgia" w:hAnsi="Georgia" w:cs="Calibri"/>
          <w:sz w:val="22"/>
          <w:szCs w:val="22"/>
        </w:rPr>
        <w:t>.</w:t>
      </w:r>
      <w:r w:rsidRPr="00C140A8">
        <w:rPr>
          <w:rStyle w:val="FootnoteReference"/>
          <w:rFonts w:ascii="Georgia" w:hAnsi="Georgia" w:cs="Calibri"/>
          <w:sz w:val="22"/>
          <w:szCs w:val="22"/>
          <w:lang w:val="nl-NL"/>
        </w:rPr>
        <w:footnoteReference w:id="211"/>
      </w:r>
      <w:r w:rsidRPr="00C140A8">
        <w:rPr>
          <w:rFonts w:ascii="Georgia" w:hAnsi="Georgia" w:cs="Calibri"/>
          <w:sz w:val="22"/>
          <w:szCs w:val="22"/>
          <w:lang w:val="nl-NL"/>
        </w:rPr>
        <w:t xml:space="preserve"> Bij speciale gelegenheden of wanneer het grote religieuze instellingen betrof, zoals abdijen of </w:t>
      </w:r>
      <w:proofErr w:type="spellStart"/>
      <w:r w:rsidRPr="00C140A8">
        <w:rPr>
          <w:rFonts w:ascii="Georgia" w:hAnsi="Georgia" w:cs="Calibri"/>
          <w:sz w:val="22"/>
          <w:szCs w:val="22"/>
          <w:lang w:val="nl-NL"/>
        </w:rPr>
        <w:t>minderbroederskloosters</w:t>
      </w:r>
      <w:proofErr w:type="spellEnd"/>
      <w:r w:rsidRPr="00C140A8">
        <w:rPr>
          <w:rFonts w:ascii="Georgia" w:hAnsi="Georgia" w:cs="Calibri"/>
          <w:sz w:val="22"/>
          <w:szCs w:val="22"/>
          <w:lang w:val="nl-NL"/>
        </w:rPr>
        <w:t xml:space="preserve">, </w:t>
      </w:r>
      <w:r w:rsidR="00AF5D01" w:rsidRPr="00C140A8">
        <w:rPr>
          <w:rFonts w:ascii="Georgia" w:hAnsi="Georgia" w:cs="Calibri"/>
          <w:sz w:val="22"/>
          <w:szCs w:val="22"/>
          <w:lang w:val="nl-NL"/>
        </w:rPr>
        <w:t>breidde Johanna</w:t>
      </w:r>
      <w:r w:rsidRPr="00C140A8">
        <w:rPr>
          <w:rFonts w:ascii="Georgia" w:hAnsi="Georgia" w:cs="Calibri"/>
          <w:sz w:val="22"/>
          <w:szCs w:val="22"/>
          <w:lang w:val="nl-NL"/>
        </w:rPr>
        <w:t xml:space="preserve"> deze schenkingen vaak uit met grotere hoeveelheden graan of met andere goederen, waaronder brandhout.</w:t>
      </w:r>
      <w:r w:rsidRPr="00C140A8">
        <w:rPr>
          <w:rStyle w:val="FootnoteReference"/>
          <w:rFonts w:ascii="Georgia" w:hAnsi="Georgia" w:cs="Calibri"/>
          <w:sz w:val="22"/>
          <w:szCs w:val="22"/>
          <w:lang w:val="nl-NL"/>
        </w:rPr>
        <w:footnoteReference w:id="212"/>
      </w:r>
      <w:r w:rsidRPr="00C140A8">
        <w:rPr>
          <w:rFonts w:ascii="Georgia" w:hAnsi="Georgia" w:cs="Calibri"/>
          <w:sz w:val="22"/>
          <w:szCs w:val="22"/>
          <w:lang w:val="nl-NL"/>
        </w:rPr>
        <w:t xml:space="preserve"> Als er toch overschotten van tarwe en haver waren, verkocht </w:t>
      </w:r>
      <w:r w:rsidR="00AF5D01" w:rsidRPr="00C140A8">
        <w:rPr>
          <w:rFonts w:ascii="Georgia" w:hAnsi="Georgia" w:cs="Calibri"/>
          <w:sz w:val="22"/>
          <w:szCs w:val="22"/>
          <w:lang w:val="nl-NL"/>
        </w:rPr>
        <w:t xml:space="preserve">de ontvanger de overschotten </w:t>
      </w:r>
      <w:r w:rsidRPr="00C140A8">
        <w:rPr>
          <w:rFonts w:ascii="Georgia" w:hAnsi="Georgia" w:cs="Calibri"/>
          <w:sz w:val="22"/>
          <w:szCs w:val="22"/>
          <w:lang w:val="nl-NL"/>
        </w:rPr>
        <w:t xml:space="preserve">en </w:t>
      </w:r>
      <w:r w:rsidR="00AF5D01" w:rsidRPr="00C140A8">
        <w:rPr>
          <w:rFonts w:ascii="Georgia" w:hAnsi="Georgia" w:cs="Calibri"/>
          <w:sz w:val="22"/>
          <w:szCs w:val="22"/>
          <w:lang w:val="nl-NL"/>
        </w:rPr>
        <w:t>stortte</w:t>
      </w:r>
      <w:r w:rsidRPr="00C140A8">
        <w:rPr>
          <w:rFonts w:ascii="Georgia" w:hAnsi="Georgia" w:cs="Calibri"/>
          <w:sz w:val="22"/>
          <w:szCs w:val="22"/>
          <w:lang w:val="nl-NL"/>
        </w:rPr>
        <w:t xml:space="preserve"> de opbrengst </w:t>
      </w:r>
      <w:r w:rsidR="00AF5D01" w:rsidRPr="00C140A8">
        <w:rPr>
          <w:rFonts w:ascii="Georgia" w:hAnsi="Georgia" w:cs="Calibri"/>
          <w:sz w:val="22"/>
          <w:szCs w:val="22"/>
          <w:lang w:val="nl-NL"/>
        </w:rPr>
        <w:t>aan</w:t>
      </w:r>
      <w:r w:rsidRPr="00C140A8">
        <w:rPr>
          <w:rFonts w:ascii="Georgia" w:hAnsi="Georgia" w:cs="Calibri"/>
          <w:sz w:val="22"/>
          <w:szCs w:val="22"/>
          <w:lang w:val="nl-NL"/>
        </w:rPr>
        <w:t xml:space="preserve"> de hertogin in Brussel.</w:t>
      </w:r>
      <w:r w:rsidRPr="00C140A8">
        <w:rPr>
          <w:rStyle w:val="FootnoteReference"/>
          <w:rFonts w:ascii="Georgia" w:hAnsi="Georgia" w:cs="Calibri"/>
          <w:sz w:val="22"/>
          <w:szCs w:val="22"/>
          <w:lang w:val="nl-NL"/>
        </w:rPr>
        <w:footnoteReference w:id="213"/>
      </w:r>
    </w:p>
    <w:p w14:paraId="745C4155" w14:textId="5750D13C" w:rsidR="00242E6C" w:rsidRPr="00C140A8" w:rsidRDefault="00242E6C"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Een andere belangrijke bron van inkomsten</w:t>
      </w:r>
      <w:r w:rsidR="009E337A">
        <w:rPr>
          <w:rFonts w:ascii="Georgia" w:hAnsi="Georgia" w:cs="Calibri"/>
          <w:sz w:val="22"/>
          <w:szCs w:val="22"/>
          <w:lang w:val="nl-NL"/>
        </w:rPr>
        <w:t xml:space="preserve">, </w:t>
      </w:r>
      <w:r w:rsidRPr="00C140A8">
        <w:rPr>
          <w:rFonts w:ascii="Georgia" w:hAnsi="Georgia" w:cs="Calibri"/>
          <w:sz w:val="22"/>
          <w:szCs w:val="22"/>
          <w:lang w:val="nl-NL"/>
        </w:rPr>
        <w:t>direct verbonden met de lokale bevolking</w:t>
      </w:r>
      <w:r w:rsidR="009E337A">
        <w:rPr>
          <w:rFonts w:ascii="Georgia" w:hAnsi="Georgia" w:cs="Calibri"/>
          <w:sz w:val="22"/>
          <w:szCs w:val="22"/>
          <w:lang w:val="nl-NL"/>
        </w:rPr>
        <w:t>,</w:t>
      </w:r>
      <w:r w:rsidRPr="00C140A8">
        <w:rPr>
          <w:rFonts w:ascii="Georgia" w:hAnsi="Georgia" w:cs="Calibri"/>
          <w:sz w:val="22"/>
          <w:szCs w:val="22"/>
          <w:lang w:val="nl-NL"/>
        </w:rPr>
        <w:t xml:space="preserve"> was het dodehandsrecht. Johanna mocht dit recht volledig uitoefenen binnen haar </w:t>
      </w:r>
      <w:r w:rsidR="00754477" w:rsidRPr="00C140A8">
        <w:rPr>
          <w:rFonts w:ascii="Georgia" w:hAnsi="Georgia" w:cs="Calibri"/>
          <w:sz w:val="22"/>
          <w:szCs w:val="22"/>
          <w:lang w:val="nl-NL"/>
        </w:rPr>
        <w:lastRenderedPageBreak/>
        <w:t>weduwegoeden</w:t>
      </w:r>
      <w:r w:rsidRPr="00C140A8">
        <w:rPr>
          <w:rFonts w:ascii="Georgia" w:hAnsi="Georgia" w:cs="Calibri"/>
          <w:sz w:val="22"/>
          <w:szCs w:val="22"/>
          <w:lang w:val="nl-NL"/>
        </w:rPr>
        <w:t>. Deze middeleeuwse vorm van erfrecht hield in dat bij het overlijden van een inwoner het 'beste kateel</w:t>
      </w:r>
      <w:r w:rsidR="00754477" w:rsidRPr="00C140A8">
        <w:rPr>
          <w:rFonts w:ascii="Georgia" w:hAnsi="Georgia" w:cs="Calibri"/>
          <w:sz w:val="22"/>
          <w:szCs w:val="22"/>
          <w:lang w:val="nl-NL"/>
        </w:rPr>
        <w:t>’,</w:t>
      </w:r>
      <w:r w:rsidRPr="00C140A8">
        <w:rPr>
          <w:rFonts w:ascii="Georgia" w:hAnsi="Georgia" w:cs="Calibri"/>
          <w:sz w:val="22"/>
          <w:szCs w:val="22"/>
          <w:lang w:val="nl-NL"/>
        </w:rPr>
        <w:t xml:space="preserve"> oftewel het meest waardevolle roerende goed van de overledene, aan de leenheer of vrouwe toeviel.</w:t>
      </w:r>
      <w:r w:rsidRPr="2D0D95AE">
        <w:rPr>
          <w:rStyle w:val="FootnoteReference"/>
          <w:rFonts w:ascii="Georgia" w:hAnsi="Georgia" w:cs="Calibri"/>
          <w:sz w:val="22"/>
          <w:szCs w:val="22"/>
          <w:lang w:val="nl-NL"/>
        </w:rPr>
        <w:footnoteReference w:id="214"/>
      </w:r>
      <w:r w:rsidRPr="00C140A8">
        <w:rPr>
          <w:rFonts w:ascii="Georgia" w:hAnsi="Georgia" w:cs="Calibri"/>
          <w:sz w:val="22"/>
          <w:szCs w:val="22"/>
          <w:lang w:val="nl-NL"/>
        </w:rPr>
        <w:t xml:space="preserve">  Oorspronkelijk gold deze belasting enkel voor horigen, maar al snel </w:t>
      </w:r>
      <w:r w:rsidR="00AF5D01" w:rsidRPr="00C140A8">
        <w:rPr>
          <w:rFonts w:ascii="Georgia" w:hAnsi="Georgia" w:cs="Calibri"/>
          <w:sz w:val="22"/>
          <w:szCs w:val="22"/>
          <w:lang w:val="nl-NL"/>
        </w:rPr>
        <w:t>breidde men die uit</w:t>
      </w:r>
      <w:r w:rsidRPr="00C140A8">
        <w:rPr>
          <w:rFonts w:ascii="Georgia" w:hAnsi="Georgia" w:cs="Calibri"/>
          <w:sz w:val="22"/>
          <w:szCs w:val="22"/>
          <w:lang w:val="nl-NL"/>
        </w:rPr>
        <w:t xml:space="preserve"> tot een veel grotere groep, zoals alle niet-poorters van de stad. Er bestonden wel uitzonderingen op deze betaling. Zo waren de poorters van de stad Binche vrijgesteld, evenals de Lombarden. Deze laatsten genoten specifieke privileges binnen hun eigen wijk in de stad, op voorwaarde dat zij zich aan vastgelegde regels hielden.</w:t>
      </w:r>
      <w:r w:rsidRPr="2D0D95AE">
        <w:rPr>
          <w:rStyle w:val="FootnoteReference"/>
          <w:rFonts w:ascii="Georgia" w:hAnsi="Georgia" w:cs="Calibri"/>
          <w:sz w:val="22"/>
          <w:szCs w:val="22"/>
          <w:lang w:val="nl-NL"/>
        </w:rPr>
        <w:footnoteReference w:id="215"/>
      </w:r>
      <w:r w:rsidRPr="00C140A8">
        <w:rPr>
          <w:rFonts w:ascii="Georgia" w:hAnsi="Georgia" w:cs="Calibri"/>
          <w:sz w:val="22"/>
          <w:szCs w:val="22"/>
          <w:lang w:val="nl-NL"/>
        </w:rPr>
        <w:t xml:space="preserve">  Verder valt op te merken dat Johanna zelf ook regelmatig bepaalde individuen er persoonlijk van onthief. Dit zal later uitvoeriger aan bod komen. </w:t>
      </w:r>
    </w:p>
    <w:p w14:paraId="12434F98" w14:textId="1D84C23E" w:rsidR="00242E6C" w:rsidRPr="00C140A8" w:rsidRDefault="00242E6C"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Het centrum van de stad Binche kende een bescheiden laken- en linnenindustrie, maar de productie hiervan was onvoldoende voor grootschalige export.</w:t>
      </w:r>
      <w:r w:rsidRPr="00C140A8">
        <w:rPr>
          <w:rStyle w:val="FootnoteReference"/>
          <w:rFonts w:ascii="Georgia" w:hAnsi="Georgia" w:cs="Calibri"/>
          <w:sz w:val="22"/>
          <w:szCs w:val="22"/>
          <w:lang w:val="nl-NL"/>
        </w:rPr>
        <w:footnoteReference w:id="216"/>
      </w:r>
      <w:r w:rsidRPr="00C140A8">
        <w:rPr>
          <w:rFonts w:ascii="Georgia" w:hAnsi="Georgia" w:cs="Calibri"/>
          <w:sz w:val="22"/>
          <w:szCs w:val="22"/>
          <w:lang w:val="nl-NL"/>
        </w:rPr>
        <w:t xml:space="preserve">  De stoffen waren voornamelijk bestemd voor lokaal gebruik en eventuele tekorten voor de hofhouding van de </w:t>
      </w:r>
      <w:r w:rsidR="00021A06">
        <w:rPr>
          <w:rFonts w:ascii="Georgia" w:hAnsi="Georgia" w:cs="Calibri"/>
          <w:sz w:val="22"/>
          <w:szCs w:val="22"/>
          <w:lang w:val="nl-NL"/>
        </w:rPr>
        <w:t xml:space="preserve">hertogin vulde het personeel aan </w:t>
      </w:r>
      <w:r w:rsidRPr="00C140A8">
        <w:rPr>
          <w:rFonts w:ascii="Georgia" w:hAnsi="Georgia" w:cs="Calibri"/>
          <w:sz w:val="22"/>
          <w:szCs w:val="22"/>
          <w:lang w:val="nl-NL"/>
        </w:rPr>
        <w:t xml:space="preserve">via aankopen op de jaarmarkten van Bergen. Naast de opbrengsten in natura verkreeg het domein ook aanzienlijke inkomsten in contanten. </w:t>
      </w:r>
      <w:r w:rsidR="009E337A">
        <w:rPr>
          <w:rFonts w:ascii="Georgia" w:hAnsi="Georgia" w:cs="Calibri"/>
          <w:sz w:val="22"/>
          <w:szCs w:val="22"/>
          <w:lang w:val="nl-NL"/>
        </w:rPr>
        <w:t>Die</w:t>
      </w:r>
      <w:r w:rsidRPr="00C140A8">
        <w:rPr>
          <w:rFonts w:ascii="Georgia" w:hAnsi="Georgia" w:cs="Calibri"/>
          <w:sz w:val="22"/>
          <w:szCs w:val="22"/>
          <w:lang w:val="nl-NL"/>
        </w:rPr>
        <w:t xml:space="preserve"> bestonden onder meer uit belastingen op de verkoop van laken, leder, wijn en bier, diverse tolgelden en een vaste jaarlijkse som van zo'n zestig pond afkomstig uit het lokale stapelrecht voor ijzer.</w:t>
      </w:r>
      <w:r w:rsidRPr="00C140A8">
        <w:rPr>
          <w:rStyle w:val="FootnoteReference"/>
          <w:rFonts w:ascii="Georgia" w:hAnsi="Georgia" w:cs="Calibri"/>
          <w:sz w:val="22"/>
          <w:szCs w:val="22"/>
          <w:lang w:val="nl-NL"/>
        </w:rPr>
        <w:footnoteReference w:id="217"/>
      </w:r>
      <w:r w:rsidRPr="00C140A8">
        <w:rPr>
          <w:rFonts w:ascii="Georgia" w:hAnsi="Georgia" w:cs="Calibri"/>
          <w:sz w:val="22"/>
          <w:szCs w:val="22"/>
          <w:lang w:val="nl-NL"/>
        </w:rPr>
        <w:t xml:space="preserve"> Daarnaast genoot Johanna van indirecte inkomsten via diensten en karweien waarbij pachters en horigen arbeid voor haar moesten verrichten</w:t>
      </w:r>
      <w:r w:rsidR="006611E5" w:rsidRPr="00C140A8">
        <w:rPr>
          <w:rFonts w:ascii="Georgia" w:hAnsi="Georgia" w:cs="Calibri"/>
          <w:sz w:val="22"/>
          <w:szCs w:val="22"/>
          <w:lang w:val="nl-NL"/>
        </w:rPr>
        <w:t xml:space="preserve">. </w:t>
      </w:r>
      <w:r w:rsidRPr="00C140A8">
        <w:rPr>
          <w:rFonts w:ascii="Georgia" w:hAnsi="Georgia" w:cs="Calibri"/>
          <w:sz w:val="22"/>
          <w:szCs w:val="22"/>
          <w:lang w:val="nl-NL"/>
        </w:rPr>
        <w:t xml:space="preserve">De gemiddelde domeininkomsten in contanten uit Binche bedroegen in de periode 1376-80 4.390 </w:t>
      </w:r>
      <w:r w:rsidR="004036D8">
        <w:rPr>
          <w:rFonts w:ascii="Georgia" w:hAnsi="Georgia" w:cs="Calibri"/>
          <w:sz w:val="22"/>
          <w:szCs w:val="22"/>
          <w:lang w:val="nl-NL"/>
        </w:rPr>
        <w:t>pond</w:t>
      </w:r>
      <w:r w:rsidRPr="00C140A8">
        <w:rPr>
          <w:rFonts w:ascii="Georgia" w:hAnsi="Georgia" w:cs="Calibri"/>
          <w:sz w:val="22"/>
          <w:szCs w:val="22"/>
          <w:lang w:val="nl-NL"/>
        </w:rPr>
        <w:t xml:space="preserve">, 16 </w:t>
      </w:r>
      <w:r w:rsidR="004036D8">
        <w:rPr>
          <w:rFonts w:ascii="Georgia" w:hAnsi="Georgia" w:cs="Calibri"/>
          <w:sz w:val="22"/>
          <w:szCs w:val="22"/>
          <w:lang w:val="nl-NL"/>
        </w:rPr>
        <w:t>schellingen</w:t>
      </w:r>
      <w:r w:rsidRPr="00C140A8">
        <w:rPr>
          <w:rFonts w:ascii="Georgia" w:hAnsi="Georgia" w:cs="Calibri"/>
          <w:sz w:val="22"/>
          <w:szCs w:val="22"/>
          <w:lang w:val="nl-NL"/>
        </w:rPr>
        <w:t xml:space="preserve"> en 10 ½ </w:t>
      </w:r>
      <w:r w:rsidR="004036D8">
        <w:rPr>
          <w:rFonts w:ascii="Georgia" w:hAnsi="Georgia" w:cs="Calibri"/>
          <w:sz w:val="22"/>
          <w:szCs w:val="22"/>
          <w:lang w:val="nl-NL"/>
        </w:rPr>
        <w:t>deniers</w:t>
      </w:r>
      <w:r w:rsidRPr="00C140A8">
        <w:rPr>
          <w:rFonts w:ascii="Georgia" w:hAnsi="Georgia" w:cs="Calibri"/>
          <w:sz w:val="22"/>
          <w:szCs w:val="22"/>
          <w:lang w:val="nl-NL"/>
        </w:rPr>
        <w:t xml:space="preserve"> per jaar.</w:t>
      </w:r>
    </w:p>
    <w:p w14:paraId="3B513B7B" w14:textId="240F0B5B" w:rsidR="00242E6C" w:rsidRPr="00C140A8" w:rsidRDefault="00242E6C"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Toch was het nettoresultaat lang niet altijd positief. Tussen 1376 en 1379 overtroffen de lokale uitgaven geregeld de inkomsten. Binnen de </w:t>
      </w:r>
      <w:r w:rsidR="006915F3">
        <w:rPr>
          <w:rFonts w:ascii="Georgia" w:hAnsi="Georgia" w:cs="Calibri"/>
          <w:sz w:val="22"/>
          <w:szCs w:val="22"/>
          <w:lang w:val="nl-NL"/>
        </w:rPr>
        <w:t xml:space="preserve">rekeningen van Binche </w:t>
      </w:r>
      <w:r w:rsidR="006915F3" w:rsidRPr="00C140A8">
        <w:rPr>
          <w:rFonts w:ascii="Georgia" w:hAnsi="Georgia" w:cs="Calibri"/>
          <w:sz w:val="22"/>
          <w:szCs w:val="22"/>
          <w:lang w:val="nl-NL"/>
        </w:rPr>
        <w:t>slokten</w:t>
      </w:r>
      <w:r w:rsidR="00A13164" w:rsidRPr="00C140A8">
        <w:rPr>
          <w:rFonts w:ascii="Georgia" w:hAnsi="Georgia" w:cs="Calibri"/>
          <w:sz w:val="22"/>
          <w:szCs w:val="22"/>
          <w:lang w:val="nl-NL"/>
        </w:rPr>
        <w:t xml:space="preserve"> de zogenaamde </w:t>
      </w:r>
      <w:proofErr w:type="spellStart"/>
      <w:r w:rsidR="00A13164" w:rsidRPr="006915F3">
        <w:rPr>
          <w:rFonts w:ascii="Georgia" w:hAnsi="Georgia" w:cs="Calibri"/>
          <w:i/>
          <w:iCs/>
          <w:sz w:val="22"/>
          <w:szCs w:val="22"/>
          <w:lang w:val="nl-NL"/>
        </w:rPr>
        <w:t>for</w:t>
      </w:r>
      <w:r w:rsidR="006915F3" w:rsidRPr="006915F3">
        <w:rPr>
          <w:rFonts w:ascii="Georgia" w:hAnsi="Georgia" w:cs="Calibri"/>
          <w:i/>
          <w:iCs/>
          <w:sz w:val="22"/>
          <w:szCs w:val="22"/>
          <w:lang w:val="nl-NL"/>
        </w:rPr>
        <w:t>ei</w:t>
      </w:r>
      <w:r w:rsidR="00A13164" w:rsidRPr="006915F3">
        <w:rPr>
          <w:rFonts w:ascii="Georgia" w:hAnsi="Georgia" w:cs="Calibri"/>
          <w:i/>
          <w:iCs/>
          <w:sz w:val="22"/>
          <w:szCs w:val="22"/>
          <w:lang w:val="nl-NL"/>
        </w:rPr>
        <w:t>ne</w:t>
      </w:r>
      <w:proofErr w:type="spellEnd"/>
      <w:r w:rsidR="00A13164" w:rsidRPr="006915F3">
        <w:rPr>
          <w:rFonts w:ascii="Georgia" w:hAnsi="Georgia" w:cs="Calibri"/>
          <w:i/>
          <w:iCs/>
          <w:sz w:val="22"/>
          <w:szCs w:val="22"/>
          <w:lang w:val="nl-NL"/>
        </w:rPr>
        <w:t xml:space="preserve"> </w:t>
      </w:r>
      <w:proofErr w:type="spellStart"/>
      <w:r w:rsidR="00A13164" w:rsidRPr="006915F3">
        <w:rPr>
          <w:rFonts w:ascii="Georgia" w:hAnsi="Georgia" w:cs="Calibri"/>
          <w:i/>
          <w:iCs/>
          <w:sz w:val="22"/>
          <w:szCs w:val="22"/>
          <w:lang w:val="nl-NL"/>
        </w:rPr>
        <w:t>parti</w:t>
      </w:r>
      <w:r w:rsidR="006915F3" w:rsidRPr="006915F3">
        <w:rPr>
          <w:rFonts w:ascii="Georgia" w:hAnsi="Georgia" w:cs="Calibri"/>
          <w:i/>
          <w:iCs/>
          <w:sz w:val="22"/>
          <w:szCs w:val="22"/>
          <w:lang w:val="nl-NL"/>
        </w:rPr>
        <w:t>e</w:t>
      </w:r>
      <w:r w:rsidR="00A13164" w:rsidRPr="006915F3">
        <w:rPr>
          <w:rFonts w:ascii="Georgia" w:hAnsi="Georgia" w:cs="Calibri"/>
          <w:i/>
          <w:iCs/>
          <w:sz w:val="22"/>
          <w:szCs w:val="22"/>
          <w:lang w:val="nl-NL"/>
        </w:rPr>
        <w:t>ën</w:t>
      </w:r>
      <w:proofErr w:type="spellEnd"/>
      <w:r w:rsidR="00B532F9" w:rsidRPr="00C140A8">
        <w:rPr>
          <w:rFonts w:ascii="Georgia" w:hAnsi="Georgia" w:cs="Calibri"/>
          <w:sz w:val="22"/>
          <w:szCs w:val="22"/>
          <w:lang w:val="nl-NL"/>
        </w:rPr>
        <w:t>, de externe uitgaven voor het hof,</w:t>
      </w:r>
      <w:r w:rsidRPr="00C140A8">
        <w:rPr>
          <w:rFonts w:ascii="Georgia" w:hAnsi="Georgia" w:cs="Calibri"/>
          <w:sz w:val="22"/>
          <w:szCs w:val="22"/>
          <w:lang w:val="nl-NL"/>
        </w:rPr>
        <w:t xml:space="preserve"> bijna de helft van het budget op.</w:t>
      </w:r>
      <w:r w:rsidRPr="00C140A8">
        <w:rPr>
          <w:rStyle w:val="FootnoteReference"/>
          <w:rFonts w:ascii="Georgia" w:hAnsi="Georgia" w:cs="Calibri"/>
          <w:sz w:val="22"/>
          <w:szCs w:val="22"/>
          <w:lang w:val="nl-NL"/>
        </w:rPr>
        <w:footnoteReference w:id="218"/>
      </w:r>
      <w:r w:rsidRPr="00C140A8">
        <w:rPr>
          <w:rFonts w:ascii="Georgia" w:hAnsi="Georgia" w:cs="Calibri"/>
          <w:sz w:val="22"/>
          <w:szCs w:val="22"/>
          <w:lang w:val="nl-NL"/>
        </w:rPr>
        <w:t xml:space="preserve">  Dit hield in dat Johanna 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naast de reguliere lokale kosten voor levensonderhoud en pensioenen, enorme bedragen aan het domein onttrokken voor zaken die buiten het directe beheer van Binche vielen. Dit budget ging op aan de financiering van hun luxueuze levensstijl, schenkingen, feesten, ambassadeurs en diplomatieke missies.</w:t>
      </w:r>
      <w:r w:rsidRPr="00C140A8">
        <w:rPr>
          <w:rStyle w:val="FootnoteReference"/>
          <w:rFonts w:ascii="Georgia" w:hAnsi="Georgia" w:cs="Calibri"/>
          <w:sz w:val="22"/>
          <w:szCs w:val="22"/>
          <w:lang w:val="nl-NL"/>
        </w:rPr>
        <w:footnoteReference w:id="219"/>
      </w:r>
      <w:r w:rsidRPr="00C140A8">
        <w:rPr>
          <w:rFonts w:ascii="Georgia" w:hAnsi="Georgia" w:cs="Calibri"/>
          <w:sz w:val="22"/>
          <w:szCs w:val="22"/>
          <w:lang w:val="nl-NL"/>
        </w:rPr>
        <w:t xml:space="preserve"> Pas vanaf 1382 tonen de bronnen een daadwerkelijke, </w:t>
      </w:r>
      <w:r w:rsidR="00021A06" w:rsidRPr="00C140A8">
        <w:rPr>
          <w:rFonts w:ascii="Georgia" w:hAnsi="Georgia" w:cs="Calibri"/>
          <w:sz w:val="22"/>
          <w:szCs w:val="22"/>
          <w:lang w:val="nl-NL"/>
        </w:rPr>
        <w:t>reële</w:t>
      </w:r>
      <w:r w:rsidRPr="00C140A8">
        <w:rPr>
          <w:rFonts w:ascii="Georgia" w:hAnsi="Georgia" w:cs="Calibri"/>
          <w:sz w:val="22"/>
          <w:szCs w:val="22"/>
          <w:lang w:val="nl-NL"/>
        </w:rPr>
        <w:t xml:space="preserve"> crisis wanneer de inkomsten van het domein fors begonnen te dalen. Na het overlijden van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in 1383 werd Johanna weduwe en moest zij haar uitgavenpatroon noodgedwongen aanpassen. Hoewel de rekeningen inderdaad een daling in deze </w:t>
      </w:r>
      <w:proofErr w:type="spellStart"/>
      <w:r w:rsidRPr="00C140A8">
        <w:rPr>
          <w:rFonts w:ascii="Georgia" w:hAnsi="Georgia" w:cs="Calibri"/>
          <w:sz w:val="22"/>
          <w:szCs w:val="22"/>
          <w:lang w:val="nl-NL"/>
        </w:rPr>
        <w:t>hofuitgaven</w:t>
      </w:r>
      <w:proofErr w:type="spellEnd"/>
      <w:r w:rsidRPr="00C140A8">
        <w:rPr>
          <w:rFonts w:ascii="Georgia" w:hAnsi="Georgia" w:cs="Calibri"/>
          <w:sz w:val="22"/>
          <w:szCs w:val="22"/>
          <w:lang w:val="nl-NL"/>
        </w:rPr>
        <w:t xml:space="preserve"> laten zien, was dit lang niet voldoende om de structurele tekorten op te </w:t>
      </w:r>
      <w:r w:rsidRPr="00C140A8">
        <w:rPr>
          <w:rFonts w:ascii="Georgia" w:hAnsi="Georgia" w:cs="Calibri"/>
          <w:sz w:val="22"/>
          <w:szCs w:val="22"/>
          <w:lang w:val="nl-NL"/>
        </w:rPr>
        <w:lastRenderedPageBreak/>
        <w:t>vangen.</w:t>
      </w:r>
      <w:r w:rsidRPr="00C140A8">
        <w:rPr>
          <w:rStyle w:val="FootnoteReference"/>
          <w:rFonts w:ascii="Georgia" w:hAnsi="Georgia" w:cs="Calibri"/>
          <w:sz w:val="22"/>
          <w:szCs w:val="22"/>
          <w:lang w:val="nl-NL"/>
        </w:rPr>
        <w:footnoteReference w:id="220"/>
      </w:r>
      <w:r w:rsidRPr="00C140A8">
        <w:rPr>
          <w:rFonts w:ascii="Georgia" w:hAnsi="Georgia" w:cs="Calibri"/>
          <w:sz w:val="22"/>
          <w:szCs w:val="22"/>
          <w:lang w:val="nl-NL"/>
        </w:rPr>
        <w:t xml:space="preserve">  Deze daling komt overeen met een algemene tendens in de rekeningen van Binche en </w:t>
      </w:r>
      <w:r w:rsidR="006611E5" w:rsidRPr="00C140A8">
        <w:rPr>
          <w:rFonts w:ascii="Georgia" w:hAnsi="Georgia" w:cs="Calibri"/>
          <w:sz w:val="22"/>
          <w:szCs w:val="22"/>
          <w:lang w:val="nl-NL"/>
        </w:rPr>
        <w:t>vraagt bijgevolg een kadering in een breder perspectief</w:t>
      </w:r>
      <w:r w:rsidRPr="00C140A8">
        <w:rPr>
          <w:rFonts w:ascii="Georgia" w:hAnsi="Georgia" w:cs="Calibri"/>
          <w:sz w:val="22"/>
          <w:szCs w:val="22"/>
          <w:lang w:val="nl-NL"/>
        </w:rPr>
        <w:t xml:space="preserve">. </w:t>
      </w:r>
    </w:p>
    <w:p w14:paraId="3663BF8A" w14:textId="12C87B9C" w:rsidR="00242E6C" w:rsidRPr="00C140A8" w:rsidRDefault="00242E6C"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Een eerste vaststelling is dat een dergelijk overzicht over Johanna’s inkomsten uit Binche slechts mogelijk is tot 1389. Tot dan werd voor </w:t>
      </w:r>
      <w:r w:rsidR="00021A06">
        <w:rPr>
          <w:rFonts w:ascii="Georgia" w:hAnsi="Georgia" w:cs="Calibri"/>
          <w:sz w:val="22"/>
          <w:szCs w:val="22"/>
          <w:lang w:val="nl-NL"/>
        </w:rPr>
        <w:t xml:space="preserve">het weduwegoed </w:t>
      </w:r>
      <w:r w:rsidRPr="00C140A8">
        <w:rPr>
          <w:rFonts w:ascii="Georgia" w:hAnsi="Georgia" w:cs="Calibri"/>
          <w:sz w:val="22"/>
          <w:szCs w:val="22"/>
          <w:lang w:val="nl-NL"/>
        </w:rPr>
        <w:t>een afzonderlijke rekening bijgehouden</w:t>
      </w:r>
      <w:r w:rsidR="00D7182C">
        <w:rPr>
          <w:rFonts w:ascii="Georgia" w:hAnsi="Georgia" w:cs="Calibri"/>
          <w:sz w:val="22"/>
          <w:szCs w:val="22"/>
          <w:lang w:val="nl-NL"/>
        </w:rPr>
        <w:t xml:space="preserve">. </w:t>
      </w:r>
      <w:r w:rsidR="00D7182C" w:rsidRPr="00D7182C">
        <w:rPr>
          <w:rFonts w:ascii="Georgia" w:hAnsi="Georgia" w:cs="Calibri"/>
          <w:sz w:val="22"/>
          <w:szCs w:val="22"/>
        </w:rPr>
        <w:t>Nadien bracht men deze rekeningen onder bij de algemene ontvangst van het hertogdom Brabant</w:t>
      </w:r>
      <w:r w:rsidR="00D7182C">
        <w:rPr>
          <w:rFonts w:ascii="Georgia" w:hAnsi="Georgia" w:cs="Calibri"/>
          <w:sz w:val="22"/>
          <w:szCs w:val="22"/>
        </w:rPr>
        <w:t xml:space="preserve">. </w:t>
      </w:r>
      <w:r w:rsidRPr="00C140A8">
        <w:rPr>
          <w:rFonts w:ascii="Georgia" w:hAnsi="Georgia" w:cs="Calibri"/>
          <w:sz w:val="22"/>
          <w:szCs w:val="22"/>
          <w:lang w:val="nl-NL"/>
        </w:rPr>
        <w:t xml:space="preserve">Dit verklaart het enigszins vertekende beeld in bijlage VIII van </w:t>
      </w:r>
      <w:proofErr w:type="spellStart"/>
      <w:r w:rsidRPr="00C140A8">
        <w:rPr>
          <w:rFonts w:ascii="Georgia" w:hAnsi="Georgia" w:cs="Calibri"/>
          <w:sz w:val="22"/>
          <w:szCs w:val="22"/>
          <w:lang w:val="nl-NL"/>
        </w:rPr>
        <w:t>Piérards</w:t>
      </w:r>
      <w:proofErr w:type="spellEnd"/>
      <w:r w:rsidRPr="00C140A8">
        <w:rPr>
          <w:rFonts w:ascii="Georgia" w:hAnsi="Georgia" w:cs="Calibri"/>
          <w:sz w:val="22"/>
          <w:szCs w:val="22"/>
          <w:lang w:val="nl-NL"/>
        </w:rPr>
        <w:t xml:space="preserve"> studie, waarin de ontvangsten uit de weduwengoederen na 1389 nagenoeg lijken te verdwijnen of nog slechts de notitie dragen dat er 'niets is ontvangen'. Deze administratieve samenvoeging was echter geen toeval. Volgens </w:t>
      </w:r>
      <w:proofErr w:type="spellStart"/>
      <w:r w:rsidRPr="00C140A8">
        <w:rPr>
          <w:rFonts w:ascii="Georgia" w:hAnsi="Georgia" w:cs="Calibri"/>
          <w:sz w:val="22"/>
          <w:szCs w:val="22"/>
          <w:lang w:val="nl-NL"/>
        </w:rPr>
        <w:t>Piérard</w:t>
      </w:r>
      <w:proofErr w:type="spellEnd"/>
      <w:r w:rsidRPr="00C140A8">
        <w:rPr>
          <w:rFonts w:ascii="Georgia" w:hAnsi="Georgia" w:cs="Calibri"/>
          <w:sz w:val="22"/>
          <w:szCs w:val="22"/>
          <w:lang w:val="nl-NL"/>
        </w:rPr>
        <w:t xml:space="preserve"> was de opbrengst van </w:t>
      </w:r>
      <w:r w:rsidR="00D7182C">
        <w:rPr>
          <w:rFonts w:ascii="Georgia" w:hAnsi="Georgia" w:cs="Calibri"/>
          <w:sz w:val="22"/>
          <w:szCs w:val="22"/>
          <w:lang w:val="nl-NL"/>
        </w:rPr>
        <w:t xml:space="preserve">de douarie </w:t>
      </w:r>
      <w:r w:rsidRPr="00C140A8">
        <w:rPr>
          <w:rFonts w:ascii="Georgia" w:hAnsi="Georgia" w:cs="Calibri"/>
          <w:sz w:val="22"/>
          <w:szCs w:val="22"/>
          <w:lang w:val="nl-NL"/>
        </w:rPr>
        <w:t xml:space="preserve">in deze periode zo laag dat de kanselarij het simpelweg niet meer nodig vond om hier nog afzonderlijke rekeningen voor op te maken. Hoewel betalingsachterstanden, zoals die zich ook in Holland voordeden, zeker een verklaring kunnen zijn voor tegenvallende inkomsten, vormt de algehele </w:t>
      </w:r>
      <w:r w:rsidR="004E1096" w:rsidRPr="00C140A8">
        <w:rPr>
          <w:rFonts w:ascii="Georgia" w:hAnsi="Georgia" w:cs="Calibri"/>
          <w:sz w:val="22"/>
          <w:szCs w:val="22"/>
          <w:lang w:val="nl-NL"/>
        </w:rPr>
        <w:t>financiële</w:t>
      </w:r>
      <w:r w:rsidRPr="00C140A8">
        <w:rPr>
          <w:rFonts w:ascii="Georgia" w:hAnsi="Georgia" w:cs="Calibri"/>
          <w:sz w:val="22"/>
          <w:szCs w:val="22"/>
          <w:lang w:val="nl-NL"/>
        </w:rPr>
        <w:t xml:space="preserve"> uitputting van het domein de meest logische oorzaak voor deze administratieve ingreep. Omdat de resterende middelen vervolgens verdwenen in de grote pot van de algemene Brabantse schatkist, ging het specifieke overzicht verloren en zijn de exacte Henegouwse inkomsten uit </w:t>
      </w:r>
      <w:r w:rsidR="00D7182C">
        <w:rPr>
          <w:rFonts w:ascii="Georgia" w:hAnsi="Georgia" w:cs="Calibri"/>
          <w:sz w:val="22"/>
          <w:szCs w:val="22"/>
          <w:lang w:val="nl-NL"/>
        </w:rPr>
        <w:t xml:space="preserve">het weduwegoed </w:t>
      </w:r>
      <w:r w:rsidRPr="00C140A8">
        <w:rPr>
          <w:rFonts w:ascii="Georgia" w:hAnsi="Georgia" w:cs="Calibri"/>
          <w:sz w:val="22"/>
          <w:szCs w:val="22"/>
          <w:lang w:val="nl-NL"/>
        </w:rPr>
        <w:t>na 1389 moeilijk na te gaan.</w:t>
      </w:r>
      <w:r w:rsidRPr="00C140A8">
        <w:rPr>
          <w:rStyle w:val="FootnoteReference"/>
          <w:rFonts w:ascii="Georgia" w:hAnsi="Georgia" w:cs="Calibri"/>
          <w:sz w:val="22"/>
          <w:szCs w:val="22"/>
          <w:lang w:val="nl-NL"/>
        </w:rPr>
        <w:footnoteReference w:id="221"/>
      </w:r>
      <w:r w:rsidRPr="00C140A8">
        <w:rPr>
          <w:rFonts w:ascii="Georgia" w:hAnsi="Georgia" w:cs="Calibri"/>
          <w:sz w:val="22"/>
          <w:szCs w:val="22"/>
          <w:lang w:val="nl-NL"/>
        </w:rPr>
        <w:t xml:space="preserve"> </w:t>
      </w:r>
    </w:p>
    <w:p w14:paraId="2BB7F384" w14:textId="1A8A4788" w:rsidR="00242E6C" w:rsidRPr="00C140A8" w:rsidRDefault="00242E6C"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Vanaf 1382 gaan ook de inkomsten van Binche er gevoelig op achteruit. Een mogelijke verklaring voor deze daling is de schuldenlast van het hertogelijk paar, mede veroorzaakt door de nasleep van de slag bij </w:t>
      </w:r>
      <w:proofErr w:type="spellStart"/>
      <w:r w:rsidRPr="00C140A8">
        <w:rPr>
          <w:rFonts w:ascii="Georgia" w:hAnsi="Georgia" w:cs="Calibri"/>
          <w:sz w:val="22"/>
          <w:szCs w:val="22"/>
          <w:lang w:val="nl-NL"/>
        </w:rPr>
        <w:t>Baesweiler</w:t>
      </w:r>
      <w:proofErr w:type="spellEnd"/>
      <w:r w:rsidRPr="00C140A8">
        <w:rPr>
          <w:rFonts w:ascii="Georgia" w:hAnsi="Georgia" w:cs="Calibri"/>
          <w:sz w:val="22"/>
          <w:szCs w:val="22"/>
          <w:lang w:val="nl-NL"/>
        </w:rPr>
        <w:t xml:space="preserve"> en de kostelijke conflicten met Luik. Om </w:t>
      </w:r>
      <w:r w:rsidR="004A09F6" w:rsidRPr="00C140A8">
        <w:rPr>
          <w:rFonts w:ascii="Georgia" w:hAnsi="Georgia" w:cs="Calibri"/>
          <w:sz w:val="22"/>
          <w:szCs w:val="22"/>
          <w:lang w:val="nl-NL"/>
        </w:rPr>
        <w:t>di</w:t>
      </w:r>
      <w:r w:rsidRPr="00C140A8">
        <w:rPr>
          <w:rFonts w:ascii="Georgia" w:hAnsi="Georgia" w:cs="Calibri"/>
          <w:sz w:val="22"/>
          <w:szCs w:val="22"/>
          <w:lang w:val="nl-NL"/>
        </w:rPr>
        <w:t>e af te lossen, zag</w:t>
      </w:r>
      <w:r w:rsidR="009B36D5">
        <w:rPr>
          <w:rFonts w:ascii="Georgia" w:hAnsi="Georgia" w:cs="Calibri"/>
          <w:sz w:val="22"/>
          <w:szCs w:val="22"/>
          <w:lang w:val="nl-NL"/>
        </w:rPr>
        <w:t xml:space="preserve"> het echtpaar</w:t>
      </w:r>
      <w:r w:rsidRPr="00C140A8">
        <w:rPr>
          <w:rFonts w:ascii="Georgia" w:hAnsi="Georgia" w:cs="Calibri"/>
          <w:sz w:val="22"/>
          <w:szCs w:val="22"/>
          <w:lang w:val="nl-NL"/>
        </w:rPr>
        <w:t xml:space="preserve"> zich genoodzaakt om bepaalde inkomsten uit </w:t>
      </w:r>
      <w:r w:rsidR="009B36D5">
        <w:rPr>
          <w:rFonts w:ascii="Georgia" w:hAnsi="Georgia" w:cs="Calibri"/>
          <w:sz w:val="22"/>
          <w:szCs w:val="22"/>
          <w:lang w:val="nl-NL"/>
        </w:rPr>
        <w:t xml:space="preserve">het weduwegoed </w:t>
      </w:r>
      <w:r w:rsidRPr="00C140A8">
        <w:rPr>
          <w:rFonts w:ascii="Georgia" w:hAnsi="Georgia" w:cs="Calibri"/>
          <w:sz w:val="22"/>
          <w:szCs w:val="22"/>
          <w:lang w:val="nl-NL"/>
        </w:rPr>
        <w:t>tijdelijk over te dragen aan de stad. Hierdoor liep Johanna gedurende de afbetalingsperiode van 1382-1386 jaarlijks een vaste opbrengst van 810 pond, 221 mud tarwe, 50 mud haver en 200 kapoenen mis.</w:t>
      </w:r>
      <w:r w:rsidRPr="00C140A8">
        <w:rPr>
          <w:rStyle w:val="FootnoteReference"/>
          <w:rFonts w:ascii="Georgia" w:hAnsi="Georgia" w:cs="Calibri"/>
          <w:sz w:val="22"/>
          <w:szCs w:val="22"/>
          <w:lang w:val="nl-NL"/>
        </w:rPr>
        <w:footnoteReference w:id="222"/>
      </w:r>
      <w:r w:rsidRPr="00C140A8">
        <w:rPr>
          <w:rFonts w:ascii="Georgia" w:hAnsi="Georgia" w:cs="Calibri"/>
          <w:sz w:val="22"/>
          <w:szCs w:val="22"/>
          <w:lang w:val="nl-NL"/>
        </w:rPr>
        <w:t xml:space="preserve"> Hoewel de domeinontvanger </w:t>
      </w:r>
      <w:r w:rsidR="00A53E55" w:rsidRPr="00C140A8">
        <w:rPr>
          <w:rFonts w:ascii="Georgia" w:hAnsi="Georgia" w:cs="Calibri"/>
          <w:sz w:val="22"/>
          <w:szCs w:val="22"/>
          <w:lang w:val="nl-NL"/>
        </w:rPr>
        <w:t xml:space="preserve">deze uitgaven </w:t>
      </w:r>
      <w:r w:rsidRPr="00C140A8">
        <w:rPr>
          <w:rFonts w:ascii="Georgia" w:hAnsi="Georgia" w:cs="Calibri"/>
          <w:sz w:val="22"/>
          <w:szCs w:val="22"/>
          <w:lang w:val="nl-NL"/>
        </w:rPr>
        <w:t xml:space="preserve">niet in de uitgavenrekeningen </w:t>
      </w:r>
      <w:r w:rsidR="00A53E55" w:rsidRPr="00C140A8">
        <w:rPr>
          <w:rFonts w:ascii="Georgia" w:hAnsi="Georgia" w:cs="Calibri"/>
          <w:sz w:val="22"/>
          <w:szCs w:val="22"/>
          <w:lang w:val="nl-NL"/>
        </w:rPr>
        <w:t>optekende</w:t>
      </w:r>
      <w:r w:rsidRPr="00C140A8">
        <w:rPr>
          <w:rFonts w:ascii="Georgia" w:hAnsi="Georgia" w:cs="Calibri"/>
          <w:sz w:val="22"/>
          <w:szCs w:val="22"/>
          <w:lang w:val="nl-NL"/>
        </w:rPr>
        <w:t>, wegen ze toch fel door op de inkomsten die ze verkreeg uit het domein.</w:t>
      </w:r>
      <w:r w:rsidRPr="00C140A8">
        <w:rPr>
          <w:rStyle w:val="FootnoteReference"/>
          <w:rFonts w:ascii="Georgia" w:hAnsi="Georgia" w:cs="Calibri"/>
          <w:sz w:val="22"/>
          <w:szCs w:val="22"/>
          <w:lang w:val="nl-NL"/>
        </w:rPr>
        <w:footnoteReference w:id="223"/>
      </w:r>
      <w:r w:rsidRPr="00C140A8">
        <w:rPr>
          <w:rFonts w:ascii="Georgia" w:hAnsi="Georgia" w:cs="Calibri"/>
          <w:sz w:val="22"/>
          <w:szCs w:val="22"/>
          <w:lang w:val="nl-NL"/>
        </w:rPr>
        <w:t xml:space="preserve"> Zelfs na de afbetaling van deze schuld werden de inkomensniveaus van </w:t>
      </w:r>
      <w:proofErr w:type="spellStart"/>
      <w:r w:rsidRPr="00C140A8">
        <w:rPr>
          <w:rFonts w:ascii="Georgia" w:hAnsi="Georgia" w:cs="Calibri"/>
          <w:sz w:val="22"/>
          <w:szCs w:val="22"/>
          <w:lang w:val="nl-NL"/>
        </w:rPr>
        <w:t>vóór</w:t>
      </w:r>
      <w:proofErr w:type="spellEnd"/>
      <w:r w:rsidRPr="00C140A8">
        <w:rPr>
          <w:rFonts w:ascii="Georgia" w:hAnsi="Georgia" w:cs="Calibri"/>
          <w:sz w:val="22"/>
          <w:szCs w:val="22"/>
          <w:lang w:val="nl-NL"/>
        </w:rPr>
        <w:t xml:space="preserve"> 1382 niet meer </w:t>
      </w:r>
      <w:r w:rsidR="00D7182C" w:rsidRPr="00C140A8">
        <w:rPr>
          <w:rFonts w:ascii="Georgia" w:hAnsi="Georgia" w:cs="Calibri"/>
          <w:sz w:val="22"/>
          <w:szCs w:val="22"/>
          <w:lang w:val="nl-NL"/>
        </w:rPr>
        <w:t>geëvenaard</w:t>
      </w:r>
      <w:r w:rsidR="00D7182C">
        <w:rPr>
          <w:rFonts w:ascii="Georgia" w:hAnsi="Georgia" w:cs="Calibri"/>
          <w:sz w:val="22"/>
          <w:szCs w:val="22"/>
          <w:lang w:val="nl-NL"/>
        </w:rPr>
        <w:t>.</w:t>
      </w:r>
    </w:p>
    <w:p w14:paraId="4B05D563" w14:textId="38BB25A9" w:rsidR="00242E6C" w:rsidRPr="00C140A8" w:rsidRDefault="00242E6C"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Een tweede, dieperliggende oorzaak voor deze </w:t>
      </w:r>
      <w:r w:rsidR="00D7182C" w:rsidRPr="00C140A8">
        <w:rPr>
          <w:rFonts w:ascii="Georgia" w:hAnsi="Georgia" w:cs="Calibri"/>
          <w:sz w:val="22"/>
          <w:szCs w:val="22"/>
          <w:lang w:val="nl-NL"/>
        </w:rPr>
        <w:t>financiële</w:t>
      </w:r>
      <w:r w:rsidRPr="00C140A8">
        <w:rPr>
          <w:rFonts w:ascii="Georgia" w:hAnsi="Georgia" w:cs="Calibri"/>
          <w:sz w:val="22"/>
          <w:szCs w:val="22"/>
          <w:lang w:val="nl-NL"/>
        </w:rPr>
        <w:t xml:space="preserve"> neergang was een demografische crisis. Thierry Lemaire merkt op dat de reguliere inkomsten daalden, terwijl de opbrengsten uit het </w:t>
      </w:r>
      <w:proofErr w:type="spellStart"/>
      <w:r w:rsidRPr="00C140A8">
        <w:rPr>
          <w:rFonts w:ascii="Georgia" w:hAnsi="Georgia" w:cs="Calibri"/>
          <w:sz w:val="22"/>
          <w:szCs w:val="22"/>
          <w:lang w:val="nl-NL"/>
        </w:rPr>
        <w:t>dodehandsrecht</w:t>
      </w:r>
      <w:proofErr w:type="spellEnd"/>
      <w:r w:rsidRPr="00C140A8">
        <w:rPr>
          <w:rFonts w:ascii="Georgia" w:hAnsi="Georgia" w:cs="Calibri"/>
          <w:sz w:val="22"/>
          <w:szCs w:val="22"/>
          <w:lang w:val="nl-NL"/>
        </w:rPr>
        <w:t xml:space="preserve"> juist </w:t>
      </w:r>
      <w:proofErr w:type="gramStart"/>
      <w:r w:rsidRPr="00C140A8">
        <w:rPr>
          <w:rFonts w:ascii="Georgia" w:hAnsi="Georgia" w:cs="Calibri"/>
          <w:sz w:val="22"/>
          <w:szCs w:val="22"/>
          <w:lang w:val="nl-NL"/>
        </w:rPr>
        <w:t>omhoog gingen</w:t>
      </w:r>
      <w:proofErr w:type="gramEnd"/>
      <w:r w:rsidRPr="00C140A8">
        <w:rPr>
          <w:rFonts w:ascii="Georgia" w:hAnsi="Georgia" w:cs="Calibri"/>
          <w:sz w:val="22"/>
          <w:szCs w:val="22"/>
          <w:lang w:val="nl-NL"/>
        </w:rPr>
        <w:t>.</w:t>
      </w:r>
      <w:r w:rsidRPr="00C140A8">
        <w:rPr>
          <w:rStyle w:val="FootnoteReference"/>
          <w:rFonts w:ascii="Georgia" w:hAnsi="Georgia" w:cs="Calibri"/>
          <w:sz w:val="22"/>
          <w:szCs w:val="22"/>
          <w:lang w:val="nl-NL"/>
        </w:rPr>
        <w:footnoteReference w:id="224"/>
      </w:r>
      <w:r w:rsidRPr="00C140A8">
        <w:rPr>
          <w:rFonts w:ascii="Georgia" w:hAnsi="Georgia" w:cs="Calibri"/>
          <w:sz w:val="22"/>
          <w:szCs w:val="22"/>
          <w:lang w:val="nl-NL"/>
        </w:rPr>
        <w:t xml:space="preserve">  Dit wijst op een demografische neergang, al is de exacte omvang hiervan moeilijk te schatten.</w:t>
      </w:r>
      <w:r w:rsidRPr="00C140A8">
        <w:rPr>
          <w:rStyle w:val="FootnoteReference"/>
          <w:rFonts w:ascii="Georgia" w:hAnsi="Georgia" w:cs="Calibri"/>
          <w:sz w:val="22"/>
          <w:szCs w:val="22"/>
          <w:lang w:val="nl-NL"/>
        </w:rPr>
        <w:footnoteReference w:id="225"/>
      </w:r>
      <w:r w:rsidRPr="00C140A8">
        <w:rPr>
          <w:rFonts w:ascii="Georgia" w:hAnsi="Georgia" w:cs="Calibri"/>
          <w:sz w:val="22"/>
          <w:szCs w:val="22"/>
          <w:lang w:val="nl-NL"/>
        </w:rPr>
        <w:t xml:space="preserve"> Deze crisis had ook directe gevolgen voor de koopkracht van</w:t>
      </w:r>
      <w:r w:rsidR="00D7182C">
        <w:rPr>
          <w:rFonts w:ascii="Georgia" w:hAnsi="Georgia" w:cs="Calibri"/>
          <w:sz w:val="22"/>
          <w:szCs w:val="22"/>
          <w:lang w:val="nl-NL"/>
        </w:rPr>
        <w:t xml:space="preserve"> het weduwegoed</w:t>
      </w:r>
      <w:r w:rsidRPr="00C140A8">
        <w:rPr>
          <w:rFonts w:ascii="Georgia" w:hAnsi="Georgia" w:cs="Calibri"/>
          <w:sz w:val="22"/>
          <w:szCs w:val="22"/>
          <w:lang w:val="nl-NL"/>
        </w:rPr>
        <w:t xml:space="preserve">. Hoewel de fysieke hoeveelheid </w:t>
      </w:r>
      <w:r w:rsidR="00D7182C" w:rsidRPr="00C140A8">
        <w:rPr>
          <w:rFonts w:ascii="Georgia" w:hAnsi="Georgia" w:cs="Calibri"/>
          <w:sz w:val="22"/>
          <w:szCs w:val="22"/>
          <w:lang w:val="nl-NL"/>
        </w:rPr>
        <w:t>geinde</w:t>
      </w:r>
      <w:r w:rsidRPr="00C140A8">
        <w:rPr>
          <w:rFonts w:ascii="Georgia" w:hAnsi="Georgia" w:cs="Calibri"/>
          <w:sz w:val="22"/>
          <w:szCs w:val="22"/>
          <w:lang w:val="nl-NL"/>
        </w:rPr>
        <w:t xml:space="preserve"> tarwe en haver redelijk stabiel bleef, daalde de marktwaarde ervan. Vanaf 1384 daalde de tarweprijs abrupt </w:t>
      </w:r>
      <w:r w:rsidRPr="00C140A8">
        <w:rPr>
          <w:rFonts w:ascii="Georgia" w:hAnsi="Georgia" w:cs="Calibri"/>
          <w:sz w:val="22"/>
          <w:szCs w:val="22"/>
          <w:lang w:val="nl-NL"/>
        </w:rPr>
        <w:lastRenderedPageBreak/>
        <w:t xml:space="preserve">van </w:t>
      </w:r>
      <w:r w:rsidR="00D7182C">
        <w:rPr>
          <w:rFonts w:ascii="Georgia" w:hAnsi="Georgia" w:cs="Calibri"/>
          <w:sz w:val="22"/>
          <w:szCs w:val="22"/>
          <w:lang w:val="nl-NL"/>
        </w:rPr>
        <w:t>acht</w:t>
      </w:r>
      <w:r w:rsidRPr="00C140A8">
        <w:rPr>
          <w:rFonts w:ascii="Georgia" w:hAnsi="Georgia" w:cs="Calibri"/>
          <w:sz w:val="22"/>
          <w:szCs w:val="22"/>
          <w:lang w:val="nl-NL"/>
        </w:rPr>
        <w:t xml:space="preserve"> à </w:t>
      </w:r>
      <w:r w:rsidR="00D7182C">
        <w:rPr>
          <w:rFonts w:ascii="Georgia" w:hAnsi="Georgia" w:cs="Calibri"/>
          <w:sz w:val="22"/>
          <w:szCs w:val="22"/>
          <w:lang w:val="nl-NL"/>
        </w:rPr>
        <w:t>negen</w:t>
      </w:r>
      <w:r w:rsidRPr="00C140A8">
        <w:rPr>
          <w:rFonts w:ascii="Georgia" w:hAnsi="Georgia" w:cs="Calibri"/>
          <w:sz w:val="22"/>
          <w:szCs w:val="22"/>
          <w:lang w:val="nl-NL"/>
        </w:rPr>
        <w:t xml:space="preserve"> schellingen naar slechts </w:t>
      </w:r>
      <w:r w:rsidR="00D7182C">
        <w:rPr>
          <w:rFonts w:ascii="Georgia" w:hAnsi="Georgia" w:cs="Calibri"/>
          <w:sz w:val="22"/>
          <w:szCs w:val="22"/>
          <w:lang w:val="nl-NL"/>
        </w:rPr>
        <w:t>vier</w:t>
      </w:r>
      <w:r w:rsidRPr="00C140A8">
        <w:rPr>
          <w:rFonts w:ascii="Georgia" w:hAnsi="Georgia" w:cs="Calibri"/>
          <w:sz w:val="22"/>
          <w:szCs w:val="22"/>
          <w:lang w:val="nl-NL"/>
        </w:rPr>
        <w:t xml:space="preserve"> schellingen, om zich het jaar daarop slechts licht te herstellen tot </w:t>
      </w:r>
      <w:r w:rsidR="00D7182C">
        <w:rPr>
          <w:rFonts w:ascii="Georgia" w:hAnsi="Georgia" w:cs="Calibri"/>
          <w:sz w:val="22"/>
          <w:szCs w:val="22"/>
          <w:lang w:val="nl-NL"/>
        </w:rPr>
        <w:t>zes</w:t>
      </w:r>
      <w:r w:rsidRPr="00C140A8">
        <w:rPr>
          <w:rFonts w:ascii="Georgia" w:hAnsi="Georgia" w:cs="Calibri"/>
          <w:sz w:val="22"/>
          <w:szCs w:val="22"/>
          <w:lang w:val="nl-NL"/>
        </w:rPr>
        <w:t xml:space="preserve"> schellingen.</w:t>
      </w:r>
      <w:r w:rsidRPr="00C140A8">
        <w:rPr>
          <w:rStyle w:val="FootnoteReference"/>
          <w:rFonts w:ascii="Georgia" w:hAnsi="Georgia" w:cs="Calibri"/>
          <w:sz w:val="22"/>
          <w:szCs w:val="22"/>
          <w:lang w:val="nl-NL"/>
        </w:rPr>
        <w:footnoteReference w:id="226"/>
      </w:r>
      <w:r w:rsidRPr="00C140A8">
        <w:rPr>
          <w:rFonts w:ascii="Georgia" w:hAnsi="Georgia" w:cs="Calibri"/>
          <w:sz w:val="22"/>
          <w:szCs w:val="22"/>
          <w:lang w:val="nl-NL"/>
        </w:rPr>
        <w:t xml:space="preserve"> Dit was overigens geen lokaal probleem dat zich beperkte tot Binche, maar een bredere tendens in heel Henegouwen. Ook omliggende steden als Ath, Le </w:t>
      </w:r>
      <w:proofErr w:type="spellStart"/>
      <w:r w:rsidRPr="00C140A8">
        <w:rPr>
          <w:rFonts w:ascii="Georgia" w:hAnsi="Georgia" w:cs="Calibri"/>
          <w:sz w:val="22"/>
          <w:szCs w:val="22"/>
          <w:lang w:val="nl-NL"/>
        </w:rPr>
        <w:t>Quesnoy</w:t>
      </w:r>
      <w:proofErr w:type="spellEnd"/>
      <w:r w:rsidRPr="00C140A8">
        <w:rPr>
          <w:rFonts w:ascii="Georgia" w:hAnsi="Georgia" w:cs="Calibri"/>
          <w:sz w:val="22"/>
          <w:szCs w:val="22"/>
          <w:lang w:val="nl-NL"/>
        </w:rPr>
        <w:t xml:space="preserve"> en </w:t>
      </w:r>
      <w:proofErr w:type="spellStart"/>
      <w:r w:rsidRPr="00C140A8">
        <w:rPr>
          <w:rFonts w:ascii="Georgia" w:hAnsi="Georgia" w:cs="Calibri"/>
          <w:sz w:val="22"/>
          <w:szCs w:val="22"/>
          <w:lang w:val="nl-NL"/>
        </w:rPr>
        <w:t>Valenciennes</w:t>
      </w:r>
      <w:proofErr w:type="spellEnd"/>
      <w:r w:rsidRPr="00C140A8">
        <w:rPr>
          <w:rFonts w:ascii="Georgia" w:hAnsi="Georgia" w:cs="Calibri"/>
          <w:sz w:val="22"/>
          <w:szCs w:val="22"/>
          <w:lang w:val="nl-NL"/>
        </w:rPr>
        <w:t xml:space="preserve"> kampten in deze periode met sterk dalende graanprijzen.</w:t>
      </w:r>
      <w:r w:rsidRPr="00C140A8">
        <w:rPr>
          <w:rStyle w:val="FootnoteReference"/>
          <w:rFonts w:ascii="Georgia" w:hAnsi="Georgia" w:cs="Calibri"/>
          <w:sz w:val="22"/>
          <w:szCs w:val="22"/>
          <w:lang w:val="nl-NL"/>
        </w:rPr>
        <w:footnoteReference w:id="227"/>
      </w:r>
      <w:r w:rsidRPr="00C140A8">
        <w:rPr>
          <w:rFonts w:ascii="Georgia" w:hAnsi="Georgia" w:cs="Calibri"/>
          <w:sz w:val="22"/>
          <w:szCs w:val="22"/>
          <w:lang w:val="nl-NL"/>
        </w:rPr>
        <w:t xml:space="preserve">  </w:t>
      </w:r>
    </w:p>
    <w:p w14:paraId="5256EBA4" w14:textId="7BBEF980" w:rsidR="001726C2" w:rsidRPr="00C140A8" w:rsidRDefault="009000A8" w:rsidP="00C140A8">
      <w:pPr>
        <w:pStyle w:val="ThesisBodyIndent"/>
        <w:spacing w:before="0" w:afterLines="80" w:after="192"/>
        <w:ind w:firstLine="0"/>
        <w:rPr>
          <w:rFonts w:ascii="Georgia" w:hAnsi="Georgia" w:cs="Calibri"/>
          <w:sz w:val="22"/>
          <w:lang w:val="nl-NL"/>
        </w:rPr>
      </w:pPr>
      <w:r>
        <w:rPr>
          <w:rFonts w:ascii="Georgia" w:hAnsi="Georgia" w:cs="Calibri"/>
          <w:sz w:val="22"/>
          <w:lang w:val="nl-NL"/>
        </w:rPr>
        <w:t>De</w:t>
      </w:r>
      <w:r w:rsidR="003F784D" w:rsidRPr="00C140A8">
        <w:rPr>
          <w:rFonts w:ascii="Georgia" w:hAnsi="Georgia" w:cs="Calibri"/>
          <w:sz w:val="22"/>
          <w:lang w:val="nl-NL"/>
        </w:rPr>
        <w:t xml:space="preserve"> twee </w:t>
      </w:r>
      <w:proofErr w:type="spellStart"/>
      <w:r w:rsidR="003F784D" w:rsidRPr="00C140A8">
        <w:rPr>
          <w:rFonts w:ascii="Georgia" w:hAnsi="Georgia" w:cs="Calibri"/>
          <w:sz w:val="22"/>
          <w:lang w:val="nl-NL"/>
        </w:rPr>
        <w:t>weduwegoeden</w:t>
      </w:r>
      <w:proofErr w:type="spellEnd"/>
      <w:r w:rsidR="003F784D" w:rsidRPr="00C140A8">
        <w:rPr>
          <w:rFonts w:ascii="Georgia" w:hAnsi="Georgia" w:cs="Calibri"/>
          <w:sz w:val="22"/>
          <w:lang w:val="nl-NL"/>
        </w:rPr>
        <w:t xml:space="preserve"> </w:t>
      </w:r>
      <w:r>
        <w:rPr>
          <w:rFonts w:ascii="Georgia" w:hAnsi="Georgia" w:cs="Calibri"/>
          <w:sz w:val="22"/>
          <w:lang w:val="nl-NL"/>
        </w:rPr>
        <w:t xml:space="preserve">hadden dan wel </w:t>
      </w:r>
      <w:r w:rsidR="003F784D" w:rsidRPr="00C140A8">
        <w:rPr>
          <w:rFonts w:ascii="Georgia" w:hAnsi="Georgia" w:cs="Calibri"/>
          <w:sz w:val="22"/>
          <w:lang w:val="nl-NL"/>
        </w:rPr>
        <w:t xml:space="preserve">elk een eigen karakter </w:t>
      </w:r>
      <w:r w:rsidR="005B5195" w:rsidRPr="00C140A8">
        <w:rPr>
          <w:rFonts w:ascii="Georgia" w:hAnsi="Georgia" w:cs="Calibri"/>
          <w:sz w:val="22"/>
          <w:lang w:val="nl-NL"/>
        </w:rPr>
        <w:t>waarbij Holland</w:t>
      </w:r>
      <w:r w:rsidR="003F784D" w:rsidRPr="00C140A8">
        <w:rPr>
          <w:rFonts w:ascii="Georgia" w:hAnsi="Georgia" w:cs="Calibri"/>
          <w:sz w:val="22"/>
          <w:lang w:val="nl-NL"/>
        </w:rPr>
        <w:t xml:space="preserve"> geldsommen</w:t>
      </w:r>
      <w:r w:rsidR="00D14A28" w:rsidRPr="00C140A8">
        <w:rPr>
          <w:rFonts w:ascii="Georgia" w:hAnsi="Georgia" w:cs="Calibri"/>
          <w:sz w:val="22"/>
          <w:lang w:val="nl-NL"/>
        </w:rPr>
        <w:t xml:space="preserve"> </w:t>
      </w:r>
      <w:r w:rsidR="009D231D" w:rsidRPr="00C140A8">
        <w:rPr>
          <w:rFonts w:ascii="Georgia" w:hAnsi="Georgia" w:cs="Calibri"/>
          <w:sz w:val="22"/>
          <w:lang w:val="nl-NL"/>
        </w:rPr>
        <w:t>voorzag</w:t>
      </w:r>
      <w:r w:rsidR="005B5195" w:rsidRPr="00C140A8">
        <w:rPr>
          <w:rFonts w:ascii="Georgia" w:hAnsi="Georgia" w:cs="Calibri"/>
          <w:sz w:val="22"/>
          <w:lang w:val="nl-NL"/>
        </w:rPr>
        <w:t xml:space="preserve"> en </w:t>
      </w:r>
      <w:r w:rsidR="003F784D" w:rsidRPr="00C140A8">
        <w:rPr>
          <w:rFonts w:ascii="Georgia" w:hAnsi="Georgia" w:cs="Calibri"/>
          <w:sz w:val="22"/>
          <w:lang w:val="nl-NL"/>
        </w:rPr>
        <w:t xml:space="preserve">Henegouwen een mix van contanten en inkomsten in natura </w:t>
      </w:r>
      <w:r w:rsidR="001F2BBA" w:rsidRPr="00C140A8">
        <w:rPr>
          <w:rFonts w:ascii="Georgia" w:hAnsi="Georgia" w:cs="Calibri"/>
          <w:sz w:val="22"/>
          <w:lang w:val="nl-NL"/>
        </w:rPr>
        <w:t xml:space="preserve">leverde, </w:t>
      </w:r>
      <w:r w:rsidR="00C5658C">
        <w:rPr>
          <w:rFonts w:ascii="Georgia" w:hAnsi="Georgia" w:cs="Calibri"/>
          <w:sz w:val="22"/>
          <w:lang w:val="nl-NL"/>
        </w:rPr>
        <w:t xml:space="preserve">toch </w:t>
      </w:r>
      <w:r w:rsidR="001F2BBA" w:rsidRPr="00C140A8">
        <w:rPr>
          <w:rFonts w:ascii="Georgia" w:hAnsi="Georgia" w:cs="Calibri"/>
          <w:sz w:val="22"/>
          <w:lang w:val="nl-NL"/>
        </w:rPr>
        <w:t>kenden</w:t>
      </w:r>
      <w:r w:rsidR="00F346A2" w:rsidRPr="00C140A8">
        <w:rPr>
          <w:rFonts w:ascii="Georgia" w:hAnsi="Georgia" w:cs="Calibri"/>
          <w:sz w:val="22"/>
          <w:lang w:val="nl-NL"/>
        </w:rPr>
        <w:t xml:space="preserve"> </w:t>
      </w:r>
      <w:r w:rsidR="00C5658C">
        <w:rPr>
          <w:rFonts w:ascii="Georgia" w:hAnsi="Georgia" w:cs="Calibri"/>
          <w:sz w:val="22"/>
          <w:lang w:val="nl-NL"/>
        </w:rPr>
        <w:t>ze beide</w:t>
      </w:r>
      <w:r w:rsidR="00F346A2" w:rsidRPr="00C140A8">
        <w:rPr>
          <w:rFonts w:ascii="Georgia" w:hAnsi="Georgia" w:cs="Calibri"/>
          <w:sz w:val="22"/>
          <w:lang w:val="nl-NL"/>
        </w:rPr>
        <w:t xml:space="preserve"> moeilijkheden. De achterstallige betalingen </w:t>
      </w:r>
      <w:r w:rsidR="001948C8" w:rsidRPr="00C140A8">
        <w:rPr>
          <w:rFonts w:ascii="Georgia" w:hAnsi="Georgia" w:cs="Calibri"/>
          <w:sz w:val="22"/>
          <w:lang w:val="nl-NL"/>
        </w:rPr>
        <w:t>uit Holland</w:t>
      </w:r>
      <w:r w:rsidR="003F784D" w:rsidRPr="00C140A8">
        <w:rPr>
          <w:rFonts w:ascii="Georgia" w:hAnsi="Georgia" w:cs="Calibri"/>
          <w:sz w:val="22"/>
          <w:lang w:val="nl-NL"/>
        </w:rPr>
        <w:t xml:space="preserve"> </w:t>
      </w:r>
      <w:r w:rsidR="00F346A2" w:rsidRPr="00C140A8">
        <w:rPr>
          <w:rFonts w:ascii="Georgia" w:hAnsi="Georgia" w:cs="Calibri"/>
          <w:sz w:val="22"/>
          <w:lang w:val="nl-NL"/>
        </w:rPr>
        <w:t>zorgde</w:t>
      </w:r>
      <w:r w:rsidR="001F2BBA" w:rsidRPr="00C140A8">
        <w:rPr>
          <w:rFonts w:ascii="Georgia" w:hAnsi="Georgia" w:cs="Calibri"/>
          <w:sz w:val="22"/>
          <w:lang w:val="nl-NL"/>
        </w:rPr>
        <w:t>n</w:t>
      </w:r>
      <w:r w:rsidR="00F346A2" w:rsidRPr="00C140A8">
        <w:rPr>
          <w:rFonts w:ascii="Georgia" w:hAnsi="Georgia" w:cs="Calibri"/>
          <w:sz w:val="22"/>
          <w:lang w:val="nl-NL"/>
        </w:rPr>
        <w:t xml:space="preserve"> voor diplomatieke spanningen </w:t>
      </w:r>
      <w:r w:rsidR="003F784D" w:rsidRPr="00C140A8">
        <w:rPr>
          <w:rFonts w:ascii="Georgia" w:hAnsi="Georgia" w:cs="Calibri"/>
          <w:sz w:val="22"/>
          <w:lang w:val="nl-NL"/>
        </w:rPr>
        <w:t xml:space="preserve">en </w:t>
      </w:r>
      <w:r w:rsidR="001F2BBA" w:rsidRPr="00C140A8">
        <w:rPr>
          <w:rFonts w:ascii="Georgia" w:hAnsi="Georgia" w:cs="Calibri"/>
          <w:sz w:val="22"/>
          <w:lang w:val="nl-NL"/>
        </w:rPr>
        <w:t xml:space="preserve">de </w:t>
      </w:r>
      <w:r w:rsidR="003F784D" w:rsidRPr="00C140A8">
        <w:rPr>
          <w:rFonts w:ascii="Georgia" w:hAnsi="Georgia" w:cs="Calibri"/>
          <w:sz w:val="22"/>
          <w:lang w:val="nl-NL"/>
        </w:rPr>
        <w:t>combinatie van schulden</w:t>
      </w:r>
      <w:r w:rsidR="00C5658C">
        <w:rPr>
          <w:rFonts w:ascii="Georgia" w:hAnsi="Georgia" w:cs="Calibri"/>
          <w:sz w:val="22"/>
          <w:lang w:val="nl-NL"/>
        </w:rPr>
        <w:t>,</w:t>
      </w:r>
      <w:r w:rsidR="003F784D" w:rsidRPr="00C140A8">
        <w:rPr>
          <w:rFonts w:ascii="Georgia" w:hAnsi="Georgia" w:cs="Calibri"/>
          <w:sz w:val="22"/>
          <w:lang w:val="nl-NL"/>
        </w:rPr>
        <w:t xml:space="preserve"> en demografische </w:t>
      </w:r>
      <w:r w:rsidR="001F2BBA" w:rsidRPr="00C140A8">
        <w:rPr>
          <w:rFonts w:ascii="Georgia" w:hAnsi="Georgia" w:cs="Calibri"/>
          <w:sz w:val="22"/>
          <w:lang w:val="nl-NL"/>
        </w:rPr>
        <w:t>terugval</w:t>
      </w:r>
      <w:r w:rsidR="003F784D" w:rsidRPr="00C140A8">
        <w:rPr>
          <w:rFonts w:ascii="Georgia" w:hAnsi="Georgia" w:cs="Calibri"/>
          <w:sz w:val="22"/>
          <w:lang w:val="nl-NL"/>
        </w:rPr>
        <w:t xml:space="preserve"> in Henegouwen </w:t>
      </w:r>
      <w:r w:rsidR="00C5658C">
        <w:rPr>
          <w:rFonts w:ascii="Georgia" w:hAnsi="Georgia" w:cs="Calibri"/>
          <w:sz w:val="22"/>
          <w:lang w:val="nl-NL"/>
        </w:rPr>
        <w:t>zette</w:t>
      </w:r>
      <w:r w:rsidR="003F784D" w:rsidRPr="00C140A8">
        <w:rPr>
          <w:rFonts w:ascii="Georgia" w:hAnsi="Georgia" w:cs="Calibri"/>
          <w:sz w:val="22"/>
          <w:lang w:val="nl-NL"/>
        </w:rPr>
        <w:t xml:space="preserve"> de inkomsten van </w:t>
      </w:r>
      <w:r w:rsidR="001F2BBA" w:rsidRPr="00C140A8">
        <w:rPr>
          <w:rFonts w:ascii="Georgia" w:hAnsi="Georgia" w:cs="Calibri"/>
          <w:sz w:val="22"/>
          <w:lang w:val="nl-NL"/>
        </w:rPr>
        <w:t xml:space="preserve">beide weduwegoederen </w:t>
      </w:r>
      <w:r w:rsidR="003F784D" w:rsidRPr="00C140A8">
        <w:rPr>
          <w:rFonts w:ascii="Georgia" w:hAnsi="Georgia" w:cs="Calibri"/>
          <w:sz w:val="22"/>
          <w:lang w:val="nl-NL"/>
        </w:rPr>
        <w:t>onder druk.</w:t>
      </w:r>
      <w:r w:rsidR="00454E1F" w:rsidRPr="00C140A8">
        <w:rPr>
          <w:rFonts w:ascii="Georgia" w:hAnsi="Georgia" w:cs="Calibri"/>
          <w:sz w:val="22"/>
          <w:lang w:val="nl-NL"/>
        </w:rPr>
        <w:t xml:space="preserve"> Met dit in het achterhoofd gaat de volgende sectie dieper in op wie de inkomsten in de praktijk beheerde en aanwendde. </w:t>
      </w:r>
    </w:p>
    <w:p w14:paraId="55EB47A6" w14:textId="77777777" w:rsidR="00274E40" w:rsidRPr="00C140A8" w:rsidRDefault="00274E40" w:rsidP="00192268">
      <w:pPr>
        <w:pStyle w:val="ThesisHeading"/>
        <w:rPr>
          <w:lang w:val="nl-NL"/>
        </w:rPr>
      </w:pPr>
      <w:bookmarkStart w:id="147" w:name="_Toc227744348"/>
      <w:bookmarkStart w:id="148" w:name="_Toc231153775"/>
      <w:bookmarkStart w:id="149" w:name="_Toc231329844"/>
      <w:bookmarkStart w:id="150" w:name="_Toc231330451"/>
      <w:bookmarkStart w:id="151" w:name="_Toc231428045"/>
      <w:bookmarkStart w:id="152" w:name="_Toc231463606"/>
      <w:r w:rsidRPr="00C140A8">
        <w:rPr>
          <w:lang w:val="nl-NL"/>
        </w:rPr>
        <w:t xml:space="preserve">De </w:t>
      </w:r>
      <w:proofErr w:type="spellStart"/>
      <w:r w:rsidRPr="00192268">
        <w:t>praktijk</w:t>
      </w:r>
      <w:bookmarkEnd w:id="147"/>
      <w:bookmarkEnd w:id="148"/>
      <w:bookmarkEnd w:id="149"/>
      <w:bookmarkEnd w:id="150"/>
      <w:bookmarkEnd w:id="151"/>
      <w:bookmarkEnd w:id="152"/>
      <w:proofErr w:type="spellEnd"/>
    </w:p>
    <w:p w14:paraId="3E2889CA" w14:textId="0A5B57BC" w:rsidR="00274E40" w:rsidRPr="00C140A8" w:rsidRDefault="00274E40" w:rsidP="00C140A8">
      <w:pPr>
        <w:spacing w:afterLines="80" w:after="192" w:line="360" w:lineRule="auto"/>
        <w:jc w:val="both"/>
        <w:rPr>
          <w:rFonts w:ascii="Georgia" w:hAnsi="Georgia" w:cs="Calibri"/>
          <w:sz w:val="22"/>
          <w:szCs w:val="22"/>
          <w:lang w:val="nl-NL"/>
        </w:rPr>
      </w:pP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liet Johanna’s </w:t>
      </w:r>
      <w:r w:rsidR="00AE0CFB">
        <w:rPr>
          <w:rFonts w:ascii="Georgia" w:hAnsi="Georgia" w:cs="Calibri"/>
          <w:sz w:val="22"/>
          <w:szCs w:val="22"/>
          <w:lang w:val="nl-NL"/>
        </w:rPr>
        <w:t>weduwegoed</w:t>
      </w:r>
      <w:r w:rsidRPr="00C140A8">
        <w:rPr>
          <w:rFonts w:ascii="Georgia" w:hAnsi="Georgia" w:cs="Calibri"/>
          <w:sz w:val="22"/>
          <w:szCs w:val="22"/>
          <w:lang w:val="nl-NL"/>
        </w:rPr>
        <w:t xml:space="preserve"> in Binche niet ongemoeid. </w:t>
      </w:r>
      <w:r w:rsidR="00A53E55" w:rsidRPr="00C140A8">
        <w:rPr>
          <w:rFonts w:ascii="Georgia" w:hAnsi="Georgia" w:cs="Calibri"/>
          <w:sz w:val="22"/>
          <w:szCs w:val="22"/>
          <w:lang w:val="nl-NL"/>
        </w:rPr>
        <w:t>D</w:t>
      </w:r>
      <w:r w:rsidRPr="00C140A8">
        <w:rPr>
          <w:rFonts w:ascii="Georgia" w:hAnsi="Georgia" w:cs="Calibri"/>
          <w:sz w:val="22"/>
          <w:szCs w:val="22"/>
          <w:lang w:val="nl-NL"/>
        </w:rPr>
        <w:t xml:space="preserve">eze beknopte analyse </w:t>
      </w:r>
      <w:r w:rsidR="00A53E55" w:rsidRPr="00C140A8">
        <w:rPr>
          <w:rFonts w:ascii="Georgia" w:hAnsi="Georgia" w:cs="Calibri"/>
          <w:sz w:val="22"/>
          <w:szCs w:val="22"/>
          <w:lang w:val="nl-NL"/>
        </w:rPr>
        <w:t xml:space="preserve">gaat </w:t>
      </w:r>
      <w:r w:rsidRPr="00C140A8">
        <w:rPr>
          <w:rFonts w:ascii="Georgia" w:hAnsi="Georgia" w:cs="Calibri"/>
          <w:sz w:val="22"/>
          <w:szCs w:val="22"/>
          <w:lang w:val="nl-NL"/>
        </w:rPr>
        <w:t xml:space="preserve">de aard van zijn aanwezigheid </w:t>
      </w:r>
      <w:r w:rsidR="00AF738B" w:rsidRPr="00C140A8">
        <w:rPr>
          <w:rFonts w:ascii="Georgia" w:hAnsi="Georgia" w:cs="Calibri"/>
          <w:sz w:val="22"/>
          <w:szCs w:val="22"/>
          <w:lang w:val="nl-NL"/>
        </w:rPr>
        <w:t>na</w:t>
      </w:r>
      <w:r w:rsidRPr="00C140A8">
        <w:rPr>
          <w:rFonts w:ascii="Georgia" w:hAnsi="Georgia" w:cs="Calibri"/>
          <w:sz w:val="22"/>
          <w:szCs w:val="22"/>
          <w:lang w:val="nl-NL"/>
        </w:rPr>
        <w:t xml:space="preserve"> en hoe die zich verhield tot Johanna’s eigen betrekkingen met de proosdij. </w:t>
      </w:r>
      <w:r w:rsidR="002817D6" w:rsidRPr="00C140A8">
        <w:rPr>
          <w:rFonts w:ascii="Georgia" w:hAnsi="Georgia" w:cs="Calibri"/>
          <w:sz w:val="22"/>
          <w:szCs w:val="22"/>
          <w:lang w:val="nl-NL"/>
        </w:rPr>
        <w:t xml:space="preserve">De analyse van de </w:t>
      </w:r>
      <w:proofErr w:type="spellStart"/>
      <w:r w:rsidR="002817D6" w:rsidRPr="00C140A8">
        <w:rPr>
          <w:rFonts w:ascii="Georgia" w:hAnsi="Georgia" w:cs="Calibri"/>
          <w:i/>
          <w:iCs/>
          <w:sz w:val="22"/>
          <w:szCs w:val="22"/>
          <w:lang w:val="nl-NL"/>
        </w:rPr>
        <w:t>vidimi</w:t>
      </w:r>
      <w:proofErr w:type="spellEnd"/>
      <w:r w:rsidR="002817D6" w:rsidRPr="00C140A8">
        <w:rPr>
          <w:rFonts w:ascii="Georgia" w:hAnsi="Georgia" w:cs="Calibri"/>
          <w:sz w:val="22"/>
          <w:szCs w:val="22"/>
          <w:lang w:val="nl-NL"/>
        </w:rPr>
        <w:t xml:space="preserve"> toont aan dat </w:t>
      </w:r>
      <w:proofErr w:type="spellStart"/>
      <w:r w:rsidR="002817D6" w:rsidRPr="00C140A8">
        <w:rPr>
          <w:rFonts w:ascii="Georgia" w:hAnsi="Georgia" w:cs="Calibri"/>
          <w:sz w:val="22"/>
          <w:szCs w:val="22"/>
          <w:lang w:val="nl-NL"/>
        </w:rPr>
        <w:t>Wenceslas</w:t>
      </w:r>
      <w:proofErr w:type="spellEnd"/>
      <w:r w:rsidR="002817D6" w:rsidRPr="00C140A8">
        <w:rPr>
          <w:rFonts w:ascii="Georgia" w:hAnsi="Georgia" w:cs="Calibri"/>
          <w:sz w:val="22"/>
          <w:szCs w:val="22"/>
          <w:lang w:val="nl-NL"/>
        </w:rPr>
        <w:t xml:space="preserve"> formeel de controle kreeg over Johanna’s weduwegoed, maar zij bleef in de praktijk ook zeer actief en bepalend in het bestuur van Binche. </w:t>
      </w:r>
      <w:r w:rsidR="00D53254" w:rsidRPr="00C140A8">
        <w:rPr>
          <w:rFonts w:ascii="Georgia" w:hAnsi="Georgia" w:cs="Calibri"/>
          <w:sz w:val="22"/>
          <w:szCs w:val="22"/>
          <w:lang w:val="nl-NL"/>
        </w:rPr>
        <w:t xml:space="preserve">De concrete financiële transacties die de </w:t>
      </w:r>
      <w:proofErr w:type="spellStart"/>
      <w:r w:rsidR="00D53254" w:rsidRPr="00C140A8">
        <w:rPr>
          <w:rFonts w:ascii="Georgia" w:hAnsi="Georgia" w:cs="Calibri"/>
          <w:i/>
          <w:iCs/>
          <w:sz w:val="22"/>
          <w:szCs w:val="22"/>
          <w:lang w:val="nl-NL"/>
        </w:rPr>
        <w:t>vidimi</w:t>
      </w:r>
      <w:proofErr w:type="spellEnd"/>
      <w:r w:rsidR="00D53254" w:rsidRPr="00C140A8">
        <w:rPr>
          <w:rFonts w:ascii="Georgia" w:hAnsi="Georgia" w:cs="Calibri"/>
          <w:sz w:val="22"/>
          <w:szCs w:val="22"/>
          <w:lang w:val="nl-NL"/>
        </w:rPr>
        <w:t xml:space="preserve"> optekenen tonen het verschil tussen dit formeel gezag </w:t>
      </w:r>
      <w:r w:rsidR="002C6E82" w:rsidRPr="00C140A8">
        <w:rPr>
          <w:rFonts w:ascii="Georgia" w:hAnsi="Georgia" w:cs="Calibri"/>
          <w:sz w:val="22"/>
          <w:szCs w:val="22"/>
          <w:lang w:val="nl-NL"/>
        </w:rPr>
        <w:t>en de</w:t>
      </w:r>
      <w:r w:rsidR="00D53254" w:rsidRPr="00C140A8">
        <w:rPr>
          <w:rFonts w:ascii="Georgia" w:hAnsi="Georgia" w:cs="Calibri"/>
          <w:sz w:val="22"/>
          <w:szCs w:val="22"/>
          <w:lang w:val="nl-NL"/>
        </w:rPr>
        <w:t xml:space="preserve"> dagelijkse praktijk treffend. Ze</w:t>
      </w:r>
      <w:r w:rsidRPr="00C140A8">
        <w:rPr>
          <w:rFonts w:ascii="Georgia" w:hAnsi="Georgia" w:cs="Calibri"/>
          <w:sz w:val="22"/>
          <w:szCs w:val="22"/>
          <w:lang w:val="nl-NL"/>
        </w:rPr>
        <w:t xml:space="preserve"> maken grotendeels duidelijk wat er met de ontvangsten van Binche gebeurde</w:t>
      </w:r>
      <w:r w:rsidR="00AE0CFB">
        <w:rPr>
          <w:rFonts w:ascii="Georgia" w:hAnsi="Georgia" w:cs="Calibri"/>
          <w:sz w:val="22"/>
          <w:szCs w:val="22"/>
          <w:lang w:val="nl-NL"/>
        </w:rPr>
        <w:t>. O</w:t>
      </w:r>
      <w:r w:rsidRPr="00C140A8">
        <w:rPr>
          <w:rFonts w:ascii="Georgia" w:hAnsi="Georgia" w:cs="Calibri"/>
          <w:sz w:val="22"/>
          <w:szCs w:val="22"/>
          <w:lang w:val="nl-NL"/>
        </w:rPr>
        <w:t xml:space="preserve">fwel </w:t>
      </w:r>
      <w:r w:rsidR="00D53254" w:rsidRPr="00C140A8">
        <w:rPr>
          <w:rFonts w:ascii="Georgia" w:hAnsi="Georgia" w:cs="Calibri"/>
          <w:sz w:val="22"/>
          <w:szCs w:val="22"/>
          <w:lang w:val="nl-NL"/>
        </w:rPr>
        <w:t xml:space="preserve">vermelden </w:t>
      </w:r>
      <w:r w:rsidR="002C6E82" w:rsidRPr="00C140A8">
        <w:rPr>
          <w:rFonts w:ascii="Georgia" w:hAnsi="Georgia" w:cs="Calibri"/>
          <w:sz w:val="22"/>
          <w:szCs w:val="22"/>
          <w:lang w:val="nl-NL"/>
        </w:rPr>
        <w:t>ze expliciet</w:t>
      </w:r>
      <w:r w:rsidRPr="00C140A8">
        <w:rPr>
          <w:rFonts w:ascii="Georgia" w:hAnsi="Georgia" w:cs="Calibri"/>
          <w:sz w:val="22"/>
          <w:szCs w:val="22"/>
          <w:lang w:val="nl-NL"/>
        </w:rPr>
        <w:t xml:space="preserve"> dat Johanna of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zelf transacties verrichtte op basis van de inkomsten, ofwel </w:t>
      </w:r>
      <w:r w:rsidR="00B728B5" w:rsidRPr="00C140A8">
        <w:rPr>
          <w:rFonts w:ascii="Georgia" w:hAnsi="Georgia" w:cs="Calibri"/>
          <w:sz w:val="22"/>
          <w:szCs w:val="22"/>
          <w:lang w:val="nl-NL"/>
        </w:rPr>
        <w:t>waren</w:t>
      </w:r>
      <w:r w:rsidRPr="00C140A8">
        <w:rPr>
          <w:rFonts w:ascii="Georgia" w:hAnsi="Georgia" w:cs="Calibri"/>
          <w:sz w:val="22"/>
          <w:szCs w:val="22"/>
          <w:lang w:val="nl-NL"/>
        </w:rPr>
        <w:t xml:space="preserve"> het geldsommen die de lokale luitenant-ontvanger, Jacques van Tours, of diens oom, de generaal-ontvanger Godfried van Tours, </w:t>
      </w:r>
      <w:r w:rsidR="00B728B5" w:rsidRPr="00C140A8">
        <w:rPr>
          <w:rFonts w:ascii="Georgia" w:hAnsi="Georgia" w:cs="Calibri"/>
          <w:sz w:val="22"/>
          <w:szCs w:val="22"/>
          <w:lang w:val="nl-NL"/>
        </w:rPr>
        <w:t>uitkeerden</w:t>
      </w:r>
      <w:r w:rsidRPr="00C140A8">
        <w:rPr>
          <w:rFonts w:ascii="Georgia" w:hAnsi="Georgia" w:cs="Calibri"/>
          <w:sz w:val="22"/>
          <w:szCs w:val="22"/>
          <w:lang w:val="nl-NL"/>
        </w:rPr>
        <w:t xml:space="preserve">. De </w:t>
      </w:r>
      <w:r w:rsidR="00095596" w:rsidRPr="00C140A8">
        <w:rPr>
          <w:rFonts w:ascii="Georgia" w:hAnsi="Georgia" w:cs="Calibri"/>
          <w:sz w:val="22"/>
          <w:szCs w:val="22"/>
          <w:lang w:val="nl-NL"/>
        </w:rPr>
        <w:t>centrale</w:t>
      </w:r>
      <w:r w:rsidRPr="00C140A8">
        <w:rPr>
          <w:rFonts w:ascii="Georgia" w:hAnsi="Georgia" w:cs="Calibri"/>
          <w:sz w:val="22"/>
          <w:szCs w:val="22"/>
          <w:lang w:val="nl-NL"/>
        </w:rPr>
        <w:t xml:space="preserve"> rekeningen geven hierover maar gedeeltelijke duidelijkheid, want hoewel zij wel vermeldingen van Binche bevatten, hebben ze doorgaans vooral betrekking op inkomsten uit Brabant. </w:t>
      </w:r>
    </w:p>
    <w:p w14:paraId="343AE619" w14:textId="6312C75A" w:rsidR="00274E40" w:rsidRPr="00C140A8" w:rsidRDefault="00274E4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De financiële transacties van de </w:t>
      </w:r>
      <w:proofErr w:type="spellStart"/>
      <w:r w:rsidRPr="00C140A8">
        <w:rPr>
          <w:rFonts w:ascii="Georgia" w:hAnsi="Georgia" w:cs="Calibri"/>
          <w:i/>
          <w:iCs/>
          <w:sz w:val="22"/>
          <w:szCs w:val="22"/>
          <w:lang w:val="nl-NL"/>
        </w:rPr>
        <w:t>vidimi</w:t>
      </w:r>
      <w:proofErr w:type="spellEnd"/>
      <w:r w:rsidRPr="00C140A8">
        <w:rPr>
          <w:rFonts w:ascii="Georgia" w:hAnsi="Georgia" w:cs="Calibri"/>
          <w:sz w:val="22"/>
          <w:szCs w:val="22"/>
          <w:lang w:val="nl-NL"/>
        </w:rPr>
        <w:t xml:space="preserve"> tonen echter wél een beeld van de inkomsten van de proosdij en van wat er precies mee gedaan werd. </w:t>
      </w:r>
      <w:r w:rsidR="00C5058B" w:rsidRPr="00C5058B">
        <w:rPr>
          <w:rFonts w:ascii="Georgia" w:hAnsi="Georgia" w:cs="Calibri"/>
          <w:sz w:val="22"/>
          <w:szCs w:val="22"/>
        </w:rPr>
        <w:t xml:space="preserve">Ze bevatten verschillende transacties met de inkomsten uit </w:t>
      </w:r>
      <w:r w:rsidR="00C5058B">
        <w:rPr>
          <w:rFonts w:ascii="Georgia" w:hAnsi="Georgia" w:cs="Calibri"/>
          <w:sz w:val="22"/>
          <w:szCs w:val="22"/>
        </w:rPr>
        <w:t xml:space="preserve">het weduwegoed </w:t>
      </w:r>
      <w:r w:rsidR="00C5058B" w:rsidRPr="00C5058B">
        <w:rPr>
          <w:rFonts w:ascii="Georgia" w:hAnsi="Georgia" w:cs="Calibri"/>
          <w:sz w:val="22"/>
          <w:szCs w:val="22"/>
        </w:rPr>
        <w:t>die het hertogelijk koppel expliciet beval of goedkeurde</w:t>
      </w:r>
      <w:r w:rsidRPr="00C140A8">
        <w:rPr>
          <w:rFonts w:ascii="Georgia" w:hAnsi="Georgia" w:cs="Calibri"/>
          <w:sz w:val="22"/>
          <w:szCs w:val="22"/>
          <w:lang w:val="nl-NL"/>
        </w:rPr>
        <w:t xml:space="preserve">. Zowel Johanna als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komen ook afzonderlijk voor in deze bronnen. Hoewel de vermeldingen van de hertog lager liggen dan de posten die rechtstreeks betrekking hebben op Johanna, is deze inmenging toch significant. Het lijkt namelijk direct aan te sluiten bij de afspraken van 1366, waarbij </w:t>
      </w:r>
      <w:r w:rsidR="001063BA">
        <w:rPr>
          <w:rFonts w:ascii="Georgia" w:hAnsi="Georgia" w:cs="Calibri"/>
          <w:sz w:val="22"/>
          <w:szCs w:val="22"/>
          <w:lang w:val="nl-NL"/>
        </w:rPr>
        <w:t xml:space="preserve">hertog Albrecht </w:t>
      </w:r>
      <w:r w:rsidRPr="00C140A8">
        <w:rPr>
          <w:rFonts w:ascii="Georgia" w:hAnsi="Georgia" w:cs="Calibri"/>
          <w:sz w:val="22"/>
          <w:szCs w:val="22"/>
          <w:lang w:val="nl-NL"/>
        </w:rPr>
        <w:t xml:space="preserve">haar </w:t>
      </w:r>
      <w:r w:rsidR="001063BA">
        <w:rPr>
          <w:rFonts w:ascii="Georgia" w:hAnsi="Georgia" w:cs="Calibri"/>
          <w:sz w:val="22"/>
          <w:szCs w:val="22"/>
          <w:lang w:val="nl-NL"/>
        </w:rPr>
        <w:t>weduwegoed</w:t>
      </w:r>
      <w:r w:rsidRPr="00C140A8">
        <w:rPr>
          <w:rFonts w:ascii="Georgia" w:hAnsi="Georgia" w:cs="Calibri"/>
          <w:sz w:val="22"/>
          <w:szCs w:val="22"/>
          <w:lang w:val="nl-NL"/>
        </w:rPr>
        <w:t xml:space="preserve"> aan hem als onderpand </w:t>
      </w:r>
      <w:r w:rsidR="001063BA">
        <w:rPr>
          <w:rFonts w:ascii="Georgia" w:hAnsi="Georgia" w:cs="Calibri"/>
          <w:sz w:val="22"/>
          <w:szCs w:val="22"/>
          <w:lang w:val="nl-NL"/>
        </w:rPr>
        <w:lastRenderedPageBreak/>
        <w:t>overdroeg</w:t>
      </w:r>
      <w:r w:rsidRPr="00C140A8">
        <w:rPr>
          <w:rFonts w:ascii="Georgia" w:hAnsi="Georgia" w:cs="Calibri"/>
          <w:sz w:val="22"/>
          <w:szCs w:val="22"/>
          <w:lang w:val="nl-NL"/>
        </w:rPr>
        <w:t xml:space="preserve">. Een vergelijkende studie van de periodes </w:t>
      </w:r>
      <w:proofErr w:type="spellStart"/>
      <w:r w:rsidRPr="00C140A8">
        <w:rPr>
          <w:rFonts w:ascii="Georgia" w:hAnsi="Georgia" w:cs="Calibri"/>
          <w:sz w:val="22"/>
          <w:szCs w:val="22"/>
          <w:lang w:val="nl-NL"/>
        </w:rPr>
        <w:t>vóór</w:t>
      </w:r>
      <w:proofErr w:type="spellEnd"/>
      <w:r w:rsidRPr="00C140A8">
        <w:rPr>
          <w:rFonts w:ascii="Georgia" w:hAnsi="Georgia" w:cs="Calibri"/>
          <w:sz w:val="22"/>
          <w:szCs w:val="22"/>
          <w:lang w:val="nl-NL"/>
        </w:rPr>
        <w:t xml:space="preserve"> en na 1366 zou kunnen uitwijzen of de bestuurspraktijk door deze afspraak daadwerkelijk sterk is veranderd. </w:t>
      </w:r>
      <w:r w:rsidR="0017660F" w:rsidRPr="00C140A8">
        <w:rPr>
          <w:rFonts w:ascii="Georgia" w:hAnsi="Georgia" w:cs="Calibri"/>
          <w:sz w:val="22"/>
          <w:szCs w:val="22"/>
          <w:lang w:val="nl-NL"/>
        </w:rPr>
        <w:t>De tijdspanne van deze</w:t>
      </w:r>
      <w:r w:rsidRPr="00C140A8">
        <w:rPr>
          <w:rFonts w:ascii="Georgia" w:hAnsi="Georgia" w:cs="Calibri"/>
          <w:sz w:val="22"/>
          <w:szCs w:val="22"/>
          <w:lang w:val="nl-NL"/>
        </w:rPr>
        <w:t xml:space="preserve"> scriptie </w:t>
      </w:r>
      <w:r w:rsidR="0017660F" w:rsidRPr="00C140A8">
        <w:rPr>
          <w:rFonts w:ascii="Georgia" w:hAnsi="Georgia" w:cs="Calibri"/>
          <w:sz w:val="22"/>
          <w:szCs w:val="22"/>
          <w:lang w:val="nl-NL"/>
        </w:rPr>
        <w:t>laat dit echter niet toe. D</w:t>
      </w:r>
      <w:r w:rsidRPr="00C140A8">
        <w:rPr>
          <w:rFonts w:ascii="Georgia" w:hAnsi="Georgia" w:cs="Calibri"/>
          <w:sz w:val="22"/>
          <w:szCs w:val="22"/>
          <w:lang w:val="nl-NL"/>
        </w:rPr>
        <w:t xml:space="preserve">e verdere </w:t>
      </w:r>
      <w:r w:rsidR="0017660F" w:rsidRPr="00C140A8">
        <w:rPr>
          <w:rFonts w:ascii="Georgia" w:hAnsi="Georgia" w:cs="Calibri"/>
          <w:sz w:val="22"/>
          <w:szCs w:val="22"/>
          <w:lang w:val="nl-NL"/>
        </w:rPr>
        <w:t>analyse beperkt</w:t>
      </w:r>
      <w:r w:rsidRPr="00C140A8">
        <w:rPr>
          <w:rFonts w:ascii="Georgia" w:hAnsi="Georgia" w:cs="Calibri"/>
          <w:sz w:val="22"/>
          <w:szCs w:val="22"/>
          <w:lang w:val="nl-NL"/>
        </w:rPr>
        <w:t xml:space="preserve"> zich tot de situatie na 1366. De vermeldingen van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in de </w:t>
      </w:r>
      <w:proofErr w:type="spellStart"/>
      <w:r w:rsidRPr="00C140A8">
        <w:rPr>
          <w:rFonts w:ascii="Georgia" w:hAnsi="Georgia" w:cs="Calibri"/>
          <w:i/>
          <w:iCs/>
          <w:sz w:val="22"/>
          <w:szCs w:val="22"/>
          <w:lang w:val="nl-NL"/>
        </w:rPr>
        <w:t>vidimi</w:t>
      </w:r>
      <w:proofErr w:type="spellEnd"/>
      <w:r w:rsidRPr="00C140A8">
        <w:rPr>
          <w:rFonts w:ascii="Georgia" w:hAnsi="Georgia" w:cs="Calibri"/>
          <w:sz w:val="22"/>
          <w:szCs w:val="22"/>
          <w:lang w:val="nl-NL"/>
        </w:rPr>
        <w:t xml:space="preserve"> zijn voornamelijk van </w:t>
      </w:r>
      <w:proofErr w:type="spellStart"/>
      <w:r w:rsidRPr="00C140A8">
        <w:rPr>
          <w:rFonts w:ascii="Georgia" w:hAnsi="Georgia" w:cs="Calibri"/>
          <w:sz w:val="22"/>
          <w:szCs w:val="22"/>
          <w:lang w:val="nl-NL"/>
        </w:rPr>
        <w:t>financiële</w:t>
      </w:r>
      <w:proofErr w:type="spellEnd"/>
      <w:r w:rsidRPr="00C140A8">
        <w:rPr>
          <w:rFonts w:ascii="Georgia" w:hAnsi="Georgia" w:cs="Calibri"/>
          <w:sz w:val="22"/>
          <w:szCs w:val="22"/>
          <w:lang w:val="nl-NL"/>
        </w:rPr>
        <w:t xml:space="preserve"> aard. </w:t>
      </w:r>
      <w:r w:rsidR="00C5058B" w:rsidRPr="00C5058B">
        <w:rPr>
          <w:rFonts w:ascii="Georgia" w:hAnsi="Georgia" w:cs="Calibri"/>
          <w:sz w:val="22"/>
          <w:szCs w:val="22"/>
        </w:rPr>
        <w:t>Het betreft overwegend de uitbetaling van pensioenen of jaarrentes die het hertogelijk koppel toewees op de inkomsten van Binche</w:t>
      </w:r>
      <w:r w:rsidR="00C5058B">
        <w:rPr>
          <w:rFonts w:ascii="Georgia" w:hAnsi="Georgia" w:cs="Calibri"/>
          <w:sz w:val="22"/>
          <w:szCs w:val="22"/>
        </w:rPr>
        <w:t>.</w:t>
      </w:r>
      <w:r w:rsidRPr="00C140A8">
        <w:rPr>
          <w:rFonts w:ascii="Georgia" w:hAnsi="Georgia" w:cs="Calibri"/>
          <w:sz w:val="22"/>
          <w:szCs w:val="22"/>
          <w:lang w:val="nl-NL"/>
        </w:rPr>
        <w:t xml:space="preserve"> Zo betaalt </w:t>
      </w:r>
      <w:proofErr w:type="spellStart"/>
      <w:r w:rsidR="00C5058B">
        <w:rPr>
          <w:rFonts w:ascii="Georgia" w:hAnsi="Georgia" w:cs="Calibri"/>
          <w:sz w:val="22"/>
          <w:szCs w:val="22"/>
          <w:lang w:val="nl-NL"/>
        </w:rPr>
        <w:t>Wenceslas</w:t>
      </w:r>
      <w:proofErr w:type="spellEnd"/>
      <w:r w:rsidRPr="00C140A8">
        <w:rPr>
          <w:rFonts w:ascii="Georgia" w:hAnsi="Georgia" w:cs="Calibri"/>
          <w:sz w:val="22"/>
          <w:szCs w:val="22"/>
          <w:lang w:val="nl-NL"/>
        </w:rPr>
        <w:t xml:space="preserve"> bijvoorbeeld een jaarlijkse rente aan de leenman van </w:t>
      </w:r>
      <w:proofErr w:type="spellStart"/>
      <w:r w:rsidRPr="00C140A8">
        <w:rPr>
          <w:rFonts w:ascii="Georgia" w:hAnsi="Georgia" w:cs="Calibri"/>
          <w:sz w:val="22"/>
          <w:szCs w:val="22"/>
          <w:lang w:val="nl-NL"/>
        </w:rPr>
        <w:t>Épinois</w:t>
      </w:r>
      <w:proofErr w:type="spellEnd"/>
      <w:r w:rsidRPr="00C140A8">
        <w:rPr>
          <w:rFonts w:ascii="Georgia" w:hAnsi="Georgia" w:cs="Calibri"/>
          <w:sz w:val="22"/>
          <w:szCs w:val="22"/>
          <w:lang w:val="nl-NL"/>
        </w:rPr>
        <w:t xml:space="preserve">, ridder Nicolas de </w:t>
      </w:r>
      <w:proofErr w:type="spellStart"/>
      <w:r w:rsidRPr="00C140A8">
        <w:rPr>
          <w:rFonts w:ascii="Georgia" w:hAnsi="Georgia" w:cs="Calibri"/>
          <w:sz w:val="22"/>
          <w:szCs w:val="22"/>
          <w:lang w:val="nl-NL"/>
        </w:rPr>
        <w:t>Houdeng</w:t>
      </w:r>
      <w:proofErr w:type="spellEnd"/>
      <w:r w:rsidRPr="00C140A8">
        <w:rPr>
          <w:rFonts w:ascii="Georgia" w:hAnsi="Georgia" w:cs="Calibri"/>
          <w:sz w:val="22"/>
          <w:szCs w:val="22"/>
          <w:lang w:val="nl-NL"/>
        </w:rPr>
        <w:t xml:space="preserve">, uit de ontvangsten van de bossen van </w:t>
      </w:r>
      <w:proofErr w:type="spellStart"/>
      <w:r w:rsidRPr="00C140A8">
        <w:rPr>
          <w:rFonts w:ascii="Georgia" w:hAnsi="Georgia" w:cs="Calibri"/>
          <w:sz w:val="22"/>
          <w:szCs w:val="22"/>
          <w:lang w:val="nl-NL"/>
        </w:rPr>
        <w:t>Morlanwez</w:t>
      </w:r>
      <w:proofErr w:type="spellEnd"/>
      <w:r w:rsidRPr="00C140A8">
        <w:rPr>
          <w:rFonts w:ascii="Georgia" w:hAnsi="Georgia" w:cs="Calibri"/>
          <w:sz w:val="22"/>
          <w:szCs w:val="22"/>
          <w:lang w:val="nl-NL"/>
        </w:rPr>
        <w:t>.</w:t>
      </w:r>
      <w:r w:rsidRPr="00C140A8">
        <w:rPr>
          <w:rStyle w:val="FootnoteReference"/>
          <w:rFonts w:ascii="Georgia" w:hAnsi="Georgia" w:cs="Calibri"/>
          <w:sz w:val="22"/>
          <w:szCs w:val="22"/>
          <w:lang w:val="nl-NL"/>
        </w:rPr>
        <w:footnoteReference w:id="228"/>
      </w:r>
      <w:r w:rsidRPr="00C140A8">
        <w:rPr>
          <w:rFonts w:ascii="Georgia" w:hAnsi="Georgia" w:cs="Calibri"/>
          <w:sz w:val="22"/>
          <w:szCs w:val="22"/>
          <w:lang w:val="nl-NL"/>
        </w:rPr>
        <w:t xml:space="preserve"> </w:t>
      </w:r>
    </w:p>
    <w:p w14:paraId="529A0D25" w14:textId="48489C69" w:rsidR="00274E40" w:rsidRPr="00C140A8" w:rsidRDefault="00274E4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Andere posten </w:t>
      </w:r>
      <w:r w:rsidR="00C5058B">
        <w:rPr>
          <w:rFonts w:ascii="Georgia" w:hAnsi="Georgia" w:cs="Calibri"/>
          <w:sz w:val="22"/>
          <w:szCs w:val="22"/>
          <w:lang w:val="nl-NL"/>
        </w:rPr>
        <w:t xml:space="preserve">die </w:t>
      </w:r>
      <w:r w:rsidRPr="00C140A8">
        <w:rPr>
          <w:rFonts w:ascii="Georgia" w:hAnsi="Georgia" w:cs="Calibri"/>
          <w:sz w:val="22"/>
          <w:szCs w:val="22"/>
          <w:lang w:val="nl-NL"/>
        </w:rPr>
        <w:t xml:space="preserve">uitsluitend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w:t>
      </w:r>
      <w:r w:rsidR="00C5058B">
        <w:rPr>
          <w:rFonts w:ascii="Georgia" w:hAnsi="Georgia" w:cs="Calibri"/>
          <w:sz w:val="22"/>
          <w:szCs w:val="22"/>
          <w:lang w:val="nl-NL"/>
        </w:rPr>
        <w:t>vermelden</w:t>
      </w:r>
      <w:r w:rsidRPr="00C140A8">
        <w:rPr>
          <w:rFonts w:ascii="Georgia" w:hAnsi="Georgia" w:cs="Calibri"/>
          <w:sz w:val="22"/>
          <w:szCs w:val="22"/>
          <w:lang w:val="nl-NL"/>
        </w:rPr>
        <w:t>, hebben veelal betrekking op reiskosten voor bodes en gezanten, evenals verblijfskosten wanneer hij bij zijn terugreis vanuit Luxemburg of Parijs in Binche verbleef.</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229"/>
      </w:r>
      <w:r w:rsidRPr="00C140A8">
        <w:rPr>
          <w:rFonts w:ascii="Georgia" w:hAnsi="Georgia" w:cs="Calibri"/>
          <w:sz w:val="22"/>
          <w:szCs w:val="22"/>
          <w:lang w:val="nl-NL"/>
        </w:rPr>
        <w:t xml:space="preserve"> Verder vallen er enkele specifieke betalingen uit de ontvangsten van Binche op. In 1376 en 1379 zijn er twee betalingen </w:t>
      </w:r>
      <w:r w:rsidR="00C5058B">
        <w:rPr>
          <w:rFonts w:ascii="Georgia" w:hAnsi="Georgia" w:cs="Calibri"/>
          <w:sz w:val="22"/>
          <w:szCs w:val="22"/>
          <w:lang w:val="nl-NL"/>
        </w:rPr>
        <w:t xml:space="preserve">gelinkt </w:t>
      </w:r>
      <w:r w:rsidRPr="00C140A8">
        <w:rPr>
          <w:rFonts w:ascii="Georgia" w:hAnsi="Georgia" w:cs="Calibri"/>
          <w:sz w:val="22"/>
          <w:szCs w:val="22"/>
          <w:lang w:val="nl-NL"/>
        </w:rPr>
        <w:t xml:space="preserve">aan de pastoor van Estinnes, op dat moment de kroniekschrijver Jean </w:t>
      </w:r>
      <w:proofErr w:type="spellStart"/>
      <w:r w:rsidRPr="00C140A8">
        <w:rPr>
          <w:rFonts w:ascii="Georgia" w:hAnsi="Georgia" w:cs="Calibri"/>
          <w:sz w:val="22"/>
          <w:szCs w:val="22"/>
          <w:lang w:val="nl-NL"/>
        </w:rPr>
        <w:t>Froissart</w:t>
      </w:r>
      <w:proofErr w:type="spellEnd"/>
      <w:r w:rsidRPr="00C140A8">
        <w:rPr>
          <w:rFonts w:ascii="Georgia" w:hAnsi="Georgia" w:cs="Calibri"/>
          <w:sz w:val="22"/>
          <w:szCs w:val="22"/>
          <w:lang w:val="nl-NL"/>
        </w:rPr>
        <w:t>.</w:t>
      </w:r>
      <w:r w:rsidRPr="00C140A8">
        <w:rPr>
          <w:rStyle w:val="FootnoteReference"/>
          <w:rFonts w:ascii="Georgia" w:hAnsi="Georgia" w:cs="Calibri"/>
          <w:sz w:val="22"/>
          <w:szCs w:val="22"/>
          <w:lang w:val="nl-NL"/>
        </w:rPr>
        <w:footnoteReference w:id="230"/>
      </w:r>
      <w:r w:rsidRPr="00C140A8">
        <w:rPr>
          <w:rFonts w:ascii="Georgia" w:hAnsi="Georgia" w:cs="Calibri"/>
          <w:sz w:val="22"/>
          <w:szCs w:val="22"/>
          <w:lang w:val="nl-NL"/>
        </w:rPr>
        <w:t xml:space="preserve">  </w:t>
      </w:r>
      <w:r w:rsidR="001C6E58" w:rsidRPr="001C6E58">
        <w:rPr>
          <w:rFonts w:ascii="Georgia" w:hAnsi="Georgia" w:cs="Calibri"/>
          <w:sz w:val="22"/>
          <w:szCs w:val="22"/>
        </w:rPr>
        <w:t>Dit toont aan dat de inkomsten van Binche het mecenaat van Wenceslas meermaals financierden</w:t>
      </w:r>
      <w:r w:rsidR="001C6E58">
        <w:rPr>
          <w:rFonts w:ascii="Georgia" w:hAnsi="Georgia" w:cs="Calibri"/>
          <w:sz w:val="22"/>
          <w:szCs w:val="22"/>
        </w:rPr>
        <w:t>.</w:t>
      </w:r>
      <w:r w:rsidRPr="00C140A8">
        <w:rPr>
          <w:rFonts w:ascii="Georgia" w:hAnsi="Georgia" w:cs="Calibri"/>
          <w:sz w:val="22"/>
          <w:szCs w:val="22"/>
          <w:lang w:val="nl-NL"/>
        </w:rPr>
        <w:t xml:space="preserve">  Toch is er nog een </w:t>
      </w:r>
      <w:r w:rsidR="009B5D97" w:rsidRPr="00C140A8">
        <w:rPr>
          <w:rFonts w:ascii="Georgia" w:hAnsi="Georgia" w:cs="Calibri"/>
          <w:sz w:val="22"/>
          <w:szCs w:val="22"/>
          <w:lang w:val="nl-NL"/>
        </w:rPr>
        <w:t>tweede verklaring</w:t>
      </w:r>
      <w:r w:rsidRPr="00C140A8">
        <w:rPr>
          <w:rFonts w:ascii="Georgia" w:hAnsi="Georgia" w:cs="Calibri"/>
          <w:sz w:val="22"/>
          <w:szCs w:val="22"/>
          <w:lang w:val="nl-NL"/>
        </w:rPr>
        <w:t xml:space="preserve"> voor deze betalingen. </w:t>
      </w:r>
      <w:proofErr w:type="spellStart"/>
      <w:r w:rsidRPr="00C140A8">
        <w:rPr>
          <w:rFonts w:ascii="Georgia" w:hAnsi="Georgia" w:cs="Calibri"/>
          <w:sz w:val="22"/>
          <w:szCs w:val="22"/>
          <w:lang w:val="nl-NL"/>
        </w:rPr>
        <w:t>Froissart</w:t>
      </w:r>
      <w:proofErr w:type="spellEnd"/>
      <w:r w:rsidRPr="00C140A8">
        <w:rPr>
          <w:rFonts w:ascii="Georgia" w:hAnsi="Georgia" w:cs="Calibri"/>
          <w:sz w:val="22"/>
          <w:szCs w:val="22"/>
          <w:lang w:val="nl-NL"/>
        </w:rPr>
        <w:t xml:space="preserve"> was in Binche namelijk ook de leraar van Jan en Willem, beiden bastaardkinderen van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die daar onder het toezicht van de proost, </w:t>
      </w:r>
      <w:proofErr w:type="spellStart"/>
      <w:r w:rsidRPr="00C140A8">
        <w:rPr>
          <w:rFonts w:ascii="Georgia" w:hAnsi="Georgia" w:cs="Calibri"/>
          <w:sz w:val="22"/>
          <w:szCs w:val="22"/>
          <w:lang w:val="nl-NL"/>
        </w:rPr>
        <w:t>Gérard</w:t>
      </w:r>
      <w:proofErr w:type="spellEnd"/>
      <w:r w:rsidRPr="00C140A8">
        <w:rPr>
          <w:rFonts w:ascii="Georgia" w:hAnsi="Georgia" w:cs="Calibri"/>
          <w:sz w:val="22"/>
          <w:szCs w:val="22"/>
          <w:lang w:val="nl-NL"/>
        </w:rPr>
        <w:t xml:space="preserve"> </w:t>
      </w:r>
      <w:proofErr w:type="spellStart"/>
      <w:r w:rsidRPr="00C140A8">
        <w:rPr>
          <w:rFonts w:ascii="Georgia" w:hAnsi="Georgia" w:cs="Calibri"/>
          <w:sz w:val="22"/>
          <w:szCs w:val="22"/>
          <w:lang w:val="nl-NL"/>
        </w:rPr>
        <w:t>d'Obies</w:t>
      </w:r>
      <w:proofErr w:type="spellEnd"/>
      <w:r w:rsidRPr="00C140A8">
        <w:rPr>
          <w:rFonts w:ascii="Georgia" w:hAnsi="Georgia" w:cs="Calibri"/>
          <w:sz w:val="22"/>
          <w:szCs w:val="22"/>
          <w:lang w:val="nl-NL"/>
        </w:rPr>
        <w:t>, stonden.</w:t>
      </w:r>
      <w:r w:rsidRPr="00C140A8">
        <w:rPr>
          <w:rStyle w:val="FootnoteReference"/>
          <w:rFonts w:ascii="Georgia" w:hAnsi="Georgia" w:cs="Calibri"/>
          <w:sz w:val="22"/>
          <w:szCs w:val="22"/>
          <w:lang w:val="nl-NL"/>
        </w:rPr>
        <w:footnoteReference w:id="231"/>
      </w:r>
      <w:r w:rsidRPr="00C140A8">
        <w:rPr>
          <w:rFonts w:ascii="Georgia" w:hAnsi="Georgia" w:cs="Calibri"/>
          <w:sz w:val="22"/>
          <w:szCs w:val="22"/>
          <w:lang w:val="nl-NL"/>
        </w:rPr>
        <w:t xml:space="preserve"> Volgens </w:t>
      </w:r>
      <w:proofErr w:type="spellStart"/>
      <w:r w:rsidRPr="00C140A8">
        <w:rPr>
          <w:rFonts w:ascii="Georgia" w:hAnsi="Georgia" w:cs="Calibri"/>
          <w:sz w:val="22"/>
          <w:szCs w:val="22"/>
          <w:lang w:val="nl-NL"/>
        </w:rPr>
        <w:t>Thé</w:t>
      </w:r>
      <w:r w:rsidR="00EC59DE" w:rsidRPr="00C140A8">
        <w:rPr>
          <w:rFonts w:ascii="Georgia" w:hAnsi="Georgia" w:cs="Calibri"/>
          <w:sz w:val="22"/>
          <w:szCs w:val="22"/>
          <w:lang w:val="nl-NL"/>
        </w:rPr>
        <w:t>ophile</w:t>
      </w:r>
      <w:proofErr w:type="spellEnd"/>
      <w:r w:rsidR="00EC59DE" w:rsidRPr="00C140A8">
        <w:rPr>
          <w:rFonts w:ascii="Georgia" w:hAnsi="Georgia" w:cs="Calibri"/>
          <w:sz w:val="22"/>
          <w:szCs w:val="22"/>
          <w:lang w:val="nl-NL"/>
        </w:rPr>
        <w:t xml:space="preserve"> Lejeune</w:t>
      </w:r>
      <w:r w:rsidRPr="00C140A8">
        <w:rPr>
          <w:rFonts w:ascii="Georgia" w:hAnsi="Georgia" w:cs="Calibri"/>
          <w:sz w:val="22"/>
          <w:szCs w:val="22"/>
          <w:lang w:val="nl-NL"/>
        </w:rPr>
        <w:t xml:space="preserve"> zou de hertog uit de ontvangsten van Binche ook de moeder van Jan een pensioen betaald hebben van </w:t>
      </w:r>
      <w:r w:rsidR="009B5D97">
        <w:rPr>
          <w:rFonts w:ascii="Georgia" w:hAnsi="Georgia" w:cs="Calibri"/>
          <w:sz w:val="22"/>
          <w:szCs w:val="22"/>
          <w:lang w:val="nl-NL"/>
        </w:rPr>
        <w:t>meer dan</w:t>
      </w:r>
      <w:r w:rsidRPr="00C140A8">
        <w:rPr>
          <w:rFonts w:ascii="Georgia" w:hAnsi="Georgia" w:cs="Calibri"/>
          <w:sz w:val="22"/>
          <w:szCs w:val="22"/>
          <w:lang w:val="nl-NL"/>
        </w:rPr>
        <w:t xml:space="preserve"> honderd pond, een bedrag dat hoger lag dan dat van verschillende lokale leenmannen in de proosdij.</w:t>
      </w:r>
      <w:r w:rsidRPr="00C140A8">
        <w:rPr>
          <w:rStyle w:val="FootnoteReference"/>
          <w:rFonts w:ascii="Georgia" w:hAnsi="Georgia" w:cs="Calibri"/>
          <w:sz w:val="22"/>
          <w:szCs w:val="22"/>
          <w:lang w:val="nl-NL"/>
        </w:rPr>
        <w:footnoteReference w:id="232"/>
      </w:r>
      <w:r w:rsidRPr="00C140A8">
        <w:rPr>
          <w:rFonts w:ascii="Georgia" w:hAnsi="Georgia" w:cs="Calibri"/>
          <w:sz w:val="22"/>
          <w:szCs w:val="22"/>
          <w:lang w:val="nl-NL"/>
        </w:rPr>
        <w:t xml:space="preserve"> Uit de algemene rekeningen van Brabant blijkt opmerkelijk genoeg dat ook Johanna geregeld in de buidel tastt</w:t>
      </w:r>
      <w:r w:rsidR="00FC57D6" w:rsidRPr="00C140A8">
        <w:rPr>
          <w:rFonts w:ascii="Georgia" w:hAnsi="Georgia" w:cs="Calibri"/>
          <w:sz w:val="22"/>
          <w:szCs w:val="22"/>
          <w:lang w:val="nl-NL"/>
        </w:rPr>
        <w:t xml:space="preserve">e om de onkosten van haar stiefkinderen te dekken, </w:t>
      </w:r>
      <w:r w:rsidR="00FF45DD" w:rsidRPr="00C140A8">
        <w:rPr>
          <w:rFonts w:ascii="Georgia" w:hAnsi="Georgia" w:cs="Calibri"/>
          <w:sz w:val="22"/>
          <w:szCs w:val="22"/>
          <w:lang w:val="nl-NL"/>
        </w:rPr>
        <w:t>of althans instemde met betalingen die de rekeningen op haar bevel noteerden</w:t>
      </w:r>
      <w:r w:rsidRPr="00C140A8">
        <w:rPr>
          <w:rFonts w:ascii="Georgia" w:hAnsi="Georgia" w:cs="Calibri"/>
          <w:sz w:val="22"/>
          <w:szCs w:val="22"/>
          <w:lang w:val="nl-NL"/>
        </w:rPr>
        <w:t xml:space="preserve">. Zo nam Jan veel deel aan toernooien, waarbij de deelname, reiskosten en uitrusting </w:t>
      </w:r>
      <w:r w:rsidR="00B374F5">
        <w:rPr>
          <w:rFonts w:ascii="Georgia" w:hAnsi="Georgia" w:cs="Calibri"/>
          <w:sz w:val="22"/>
          <w:szCs w:val="22"/>
          <w:lang w:val="nl-NL"/>
        </w:rPr>
        <w:t>Johanna mee bekostigden</w:t>
      </w:r>
      <w:r w:rsidRPr="00C140A8">
        <w:rPr>
          <w:rFonts w:ascii="Georgia" w:hAnsi="Georgia" w:cs="Calibri"/>
          <w:sz w:val="22"/>
          <w:szCs w:val="22"/>
          <w:lang w:val="nl-NL"/>
        </w:rPr>
        <w:t>.</w:t>
      </w:r>
      <w:r w:rsidRPr="00C140A8">
        <w:rPr>
          <w:rStyle w:val="FootnoteReference"/>
          <w:rFonts w:ascii="Georgia" w:hAnsi="Georgia" w:cs="Calibri"/>
          <w:sz w:val="22"/>
          <w:szCs w:val="22"/>
          <w:lang w:val="nl-NL"/>
        </w:rPr>
        <w:footnoteReference w:id="233"/>
      </w:r>
      <w:r w:rsidRPr="00C140A8">
        <w:rPr>
          <w:rFonts w:ascii="Georgia" w:hAnsi="Georgia" w:cs="Calibri"/>
          <w:sz w:val="22"/>
          <w:szCs w:val="22"/>
          <w:lang w:val="nl-NL"/>
        </w:rPr>
        <w:t xml:space="preserve"> Verder betaalde ze </w:t>
      </w:r>
      <w:r w:rsidR="000766C4">
        <w:rPr>
          <w:rFonts w:ascii="Georgia" w:hAnsi="Georgia" w:cs="Calibri"/>
          <w:sz w:val="22"/>
          <w:szCs w:val="22"/>
          <w:lang w:val="nl-NL"/>
        </w:rPr>
        <w:t xml:space="preserve">ook hun </w:t>
      </w:r>
      <w:r w:rsidRPr="00C140A8">
        <w:rPr>
          <w:rFonts w:ascii="Georgia" w:hAnsi="Georgia" w:cs="Calibri"/>
          <w:sz w:val="22"/>
          <w:szCs w:val="22"/>
          <w:lang w:val="nl-NL"/>
        </w:rPr>
        <w:t>medische kosten.</w:t>
      </w:r>
      <w:r w:rsidRPr="00C140A8">
        <w:rPr>
          <w:rStyle w:val="FootnoteReference"/>
          <w:rFonts w:ascii="Georgia" w:hAnsi="Georgia" w:cs="Calibri"/>
          <w:sz w:val="22"/>
          <w:szCs w:val="22"/>
          <w:lang w:val="nl-NL"/>
        </w:rPr>
        <w:footnoteReference w:id="234"/>
      </w:r>
      <w:r w:rsidRPr="00C140A8">
        <w:rPr>
          <w:rFonts w:ascii="Georgia" w:hAnsi="Georgia" w:cs="Calibri"/>
          <w:sz w:val="22"/>
          <w:szCs w:val="22"/>
          <w:lang w:val="nl-NL"/>
        </w:rPr>
        <w:t xml:space="preserve"> In de post van 11 mei 1378 stuurt ze Jan naar een </w:t>
      </w:r>
      <w:r w:rsidR="001F2040">
        <w:rPr>
          <w:rFonts w:ascii="Georgia" w:hAnsi="Georgia" w:cs="Calibri"/>
          <w:sz w:val="22"/>
          <w:szCs w:val="22"/>
          <w:lang w:val="nl-NL"/>
        </w:rPr>
        <w:t>“</w:t>
      </w:r>
      <w:proofErr w:type="spellStart"/>
      <w:r w:rsidRPr="00C140A8">
        <w:rPr>
          <w:rFonts w:ascii="Georgia" w:hAnsi="Georgia" w:cs="Calibri"/>
          <w:sz w:val="22"/>
          <w:szCs w:val="22"/>
          <w:lang w:val="nl-NL"/>
        </w:rPr>
        <w:t>stove</w:t>
      </w:r>
      <w:proofErr w:type="spellEnd"/>
      <w:r w:rsidR="001F2040">
        <w:rPr>
          <w:rFonts w:ascii="Georgia" w:hAnsi="Georgia" w:cs="Calibri"/>
          <w:sz w:val="22"/>
          <w:szCs w:val="22"/>
          <w:lang w:val="nl-NL"/>
        </w:rPr>
        <w:t>”</w:t>
      </w:r>
      <w:r w:rsidRPr="00C140A8">
        <w:rPr>
          <w:rFonts w:ascii="Georgia" w:hAnsi="Georgia" w:cs="Calibri"/>
          <w:sz w:val="22"/>
          <w:szCs w:val="22"/>
          <w:lang w:val="nl-NL"/>
        </w:rPr>
        <w:t xml:space="preserve"> (een badhuis)</w:t>
      </w:r>
      <w:r w:rsidR="00ED6A54">
        <w:rPr>
          <w:rFonts w:ascii="Georgia" w:hAnsi="Georgia" w:cs="Calibri"/>
          <w:sz w:val="22"/>
          <w:szCs w:val="22"/>
          <w:lang w:val="nl-NL"/>
        </w:rPr>
        <w:t xml:space="preserve"> omdat</w:t>
      </w:r>
      <w:r w:rsidRPr="00C140A8">
        <w:rPr>
          <w:rFonts w:ascii="Georgia" w:hAnsi="Georgia" w:cs="Calibri"/>
          <w:sz w:val="22"/>
          <w:szCs w:val="22"/>
          <w:lang w:val="nl-NL"/>
        </w:rPr>
        <w:t xml:space="preserve"> </w:t>
      </w:r>
      <w:r w:rsidR="001F2040">
        <w:rPr>
          <w:rFonts w:ascii="Georgia" w:hAnsi="Georgia" w:cs="Calibri"/>
          <w:sz w:val="22"/>
          <w:szCs w:val="22"/>
          <w:lang w:val="nl-NL"/>
        </w:rPr>
        <w:t>“</w:t>
      </w:r>
      <w:proofErr w:type="spellStart"/>
      <w:r w:rsidR="00ED6A54">
        <w:rPr>
          <w:rFonts w:ascii="Georgia" w:hAnsi="Georgia" w:cs="Calibri"/>
          <w:i/>
          <w:iCs/>
          <w:sz w:val="22"/>
          <w:szCs w:val="22"/>
          <w:lang w:val="nl-NL"/>
        </w:rPr>
        <w:t>sijn</w:t>
      </w:r>
      <w:proofErr w:type="spellEnd"/>
      <w:r w:rsidR="00ED6A54">
        <w:rPr>
          <w:rFonts w:ascii="Georgia" w:hAnsi="Georgia" w:cs="Calibri"/>
          <w:i/>
          <w:iCs/>
          <w:sz w:val="22"/>
          <w:szCs w:val="22"/>
          <w:lang w:val="nl-NL"/>
        </w:rPr>
        <w:t xml:space="preserve"> </w:t>
      </w:r>
      <w:proofErr w:type="spellStart"/>
      <w:r w:rsidR="00ED6A54">
        <w:rPr>
          <w:rFonts w:ascii="Georgia" w:hAnsi="Georgia" w:cs="Calibri"/>
          <w:i/>
          <w:iCs/>
          <w:sz w:val="22"/>
          <w:szCs w:val="22"/>
          <w:lang w:val="nl-NL"/>
        </w:rPr>
        <w:t>hande</w:t>
      </w:r>
      <w:proofErr w:type="spellEnd"/>
      <w:r w:rsidR="00ED6A54">
        <w:rPr>
          <w:rFonts w:ascii="Georgia" w:hAnsi="Georgia" w:cs="Calibri"/>
          <w:i/>
          <w:iCs/>
          <w:sz w:val="22"/>
          <w:szCs w:val="22"/>
          <w:lang w:val="nl-NL"/>
        </w:rPr>
        <w:t xml:space="preserve"> </w:t>
      </w:r>
      <w:proofErr w:type="spellStart"/>
      <w:r w:rsidR="00ED6A54">
        <w:rPr>
          <w:rFonts w:ascii="Georgia" w:hAnsi="Georgia" w:cs="Calibri"/>
          <w:i/>
          <w:iCs/>
          <w:sz w:val="22"/>
          <w:szCs w:val="22"/>
          <w:lang w:val="nl-NL"/>
        </w:rPr>
        <w:t>siec</w:t>
      </w:r>
      <w:proofErr w:type="spellEnd"/>
      <w:r w:rsidR="00ED6A54">
        <w:rPr>
          <w:rFonts w:ascii="Georgia" w:hAnsi="Georgia" w:cs="Calibri"/>
          <w:i/>
          <w:iCs/>
          <w:sz w:val="22"/>
          <w:szCs w:val="22"/>
          <w:lang w:val="nl-NL"/>
        </w:rPr>
        <w:t xml:space="preserve"> waren</w:t>
      </w:r>
      <w:r w:rsidRPr="00C140A8">
        <w:rPr>
          <w:rFonts w:ascii="Georgia" w:hAnsi="Georgia" w:cs="Calibri"/>
          <w:sz w:val="22"/>
          <w:szCs w:val="22"/>
          <w:lang w:val="nl-NL"/>
        </w:rPr>
        <w:t>.</w:t>
      </w:r>
      <w:r w:rsidR="001F2040">
        <w:rPr>
          <w:rFonts w:ascii="Georgia" w:hAnsi="Georgia" w:cs="Calibri"/>
          <w:sz w:val="22"/>
          <w:szCs w:val="22"/>
          <w:lang w:val="nl-NL"/>
        </w:rPr>
        <w:t>”</w:t>
      </w:r>
      <w:r w:rsidRPr="00C140A8">
        <w:rPr>
          <w:rStyle w:val="FootnoteReference"/>
          <w:rFonts w:ascii="Georgia" w:hAnsi="Georgia" w:cs="Calibri"/>
          <w:sz w:val="22"/>
          <w:szCs w:val="22"/>
          <w:lang w:val="nl-NL"/>
        </w:rPr>
        <w:footnoteReference w:id="235"/>
      </w:r>
    </w:p>
    <w:p w14:paraId="42514A87" w14:textId="77777777" w:rsidR="00F17FEB" w:rsidRDefault="00274E4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Hoewel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greep op Johanna's douarie bij haar overlijden op papier versterkt zou worden, en hij medeverantwoordelijk was voor de afhandeling en het gebruik van diverse transacties uit de inkomsten van Binche, mag Johanna's actieve rol binnen haar eigen weduwengoed niet worden onderschat.</w:t>
      </w:r>
    </w:p>
    <w:p w14:paraId="7AF729E4" w14:textId="58291807" w:rsidR="00274E40" w:rsidRPr="00C140A8" w:rsidRDefault="00F17FEB" w:rsidP="00C140A8">
      <w:pPr>
        <w:spacing w:afterLines="80" w:after="192" w:line="360" w:lineRule="auto"/>
        <w:jc w:val="both"/>
        <w:rPr>
          <w:rFonts w:ascii="Georgia" w:hAnsi="Georgia" w:cs="Calibri"/>
          <w:sz w:val="22"/>
          <w:szCs w:val="22"/>
          <w:lang w:val="nl-NL"/>
        </w:rPr>
      </w:pPr>
      <w:r w:rsidRPr="00F17FEB">
        <w:rPr>
          <w:rFonts w:ascii="Georgia" w:hAnsi="Georgia" w:cs="Calibri"/>
          <w:sz w:val="22"/>
          <w:szCs w:val="22"/>
        </w:rPr>
        <w:lastRenderedPageBreak/>
        <w:t xml:space="preserve">Hoewel Wenceslas' greep op Johanna's douarie bij haar overlijden op papier sterker zou zijn, en hij medeverantwoordelijk was voor de afhandeling en het gebruik van diverse transacties uit de inkomsten van Binche, </w:t>
      </w:r>
      <w:r>
        <w:rPr>
          <w:rFonts w:ascii="Georgia" w:hAnsi="Georgia" w:cs="Calibri"/>
          <w:sz w:val="22"/>
          <w:szCs w:val="22"/>
        </w:rPr>
        <w:t xml:space="preserve">blijft </w:t>
      </w:r>
      <w:r w:rsidR="00523689" w:rsidRPr="00523689">
        <w:rPr>
          <w:rFonts w:ascii="Georgia" w:hAnsi="Georgia" w:cs="Calibri"/>
          <w:sz w:val="22"/>
          <w:szCs w:val="22"/>
        </w:rPr>
        <w:t xml:space="preserve">Johanna's actieve rol binnen haar eigen weduwengoed </w:t>
      </w:r>
      <w:r w:rsidR="00523689">
        <w:rPr>
          <w:rFonts w:ascii="Georgia" w:hAnsi="Georgia" w:cs="Calibri"/>
          <w:sz w:val="22"/>
          <w:szCs w:val="22"/>
        </w:rPr>
        <w:t>doorslaggevend.</w:t>
      </w:r>
      <w:r w:rsidR="00523689">
        <w:rPr>
          <w:rFonts w:ascii="Georgia" w:hAnsi="Georgia" w:cs="Calibri"/>
          <w:sz w:val="22"/>
          <w:szCs w:val="22"/>
          <w:lang w:val="nl-NL"/>
        </w:rPr>
        <w:t xml:space="preserve"> </w:t>
      </w:r>
      <w:r w:rsidR="00274E40" w:rsidRPr="00C140A8">
        <w:rPr>
          <w:rFonts w:ascii="Georgia" w:hAnsi="Georgia" w:cs="Calibri"/>
          <w:sz w:val="22"/>
          <w:szCs w:val="22"/>
          <w:lang w:val="nl-NL"/>
        </w:rPr>
        <w:t xml:space="preserve">Ze komt veelzijdig voor in de </w:t>
      </w:r>
      <w:proofErr w:type="spellStart"/>
      <w:r w:rsidR="00274E40" w:rsidRPr="00C140A8">
        <w:rPr>
          <w:rFonts w:ascii="Georgia" w:hAnsi="Georgia" w:cs="Calibri"/>
          <w:i/>
          <w:iCs/>
          <w:sz w:val="22"/>
          <w:szCs w:val="22"/>
          <w:lang w:val="nl-NL"/>
        </w:rPr>
        <w:t>vidimi</w:t>
      </w:r>
      <w:proofErr w:type="spellEnd"/>
      <w:r w:rsidR="00274E40" w:rsidRPr="00C140A8">
        <w:rPr>
          <w:rFonts w:ascii="Georgia" w:hAnsi="Georgia" w:cs="Calibri"/>
          <w:sz w:val="22"/>
          <w:szCs w:val="22"/>
          <w:lang w:val="nl-NL"/>
        </w:rPr>
        <w:t xml:space="preserve">. In 1376 gaat het hierbij om vijftien vermeldingen, in 1377 om twaalf, in 1378 om vijftien en in 1379 </w:t>
      </w:r>
      <w:r w:rsidR="0091436F">
        <w:rPr>
          <w:rFonts w:ascii="Georgia" w:hAnsi="Georgia" w:cs="Calibri"/>
          <w:sz w:val="22"/>
          <w:szCs w:val="22"/>
          <w:lang w:val="nl-NL"/>
        </w:rPr>
        <w:t>weer</w:t>
      </w:r>
      <w:r w:rsidR="00274E40" w:rsidRPr="00C140A8">
        <w:rPr>
          <w:rFonts w:ascii="Georgia" w:hAnsi="Georgia" w:cs="Calibri"/>
          <w:sz w:val="22"/>
          <w:szCs w:val="22"/>
          <w:lang w:val="nl-NL"/>
        </w:rPr>
        <w:t xml:space="preserve"> om twaalf. De omvang en aard van deze posten hoeven niet onder te doen voor die van </w:t>
      </w:r>
      <w:proofErr w:type="spellStart"/>
      <w:r w:rsidR="00274E40" w:rsidRPr="00C140A8">
        <w:rPr>
          <w:rFonts w:ascii="Georgia" w:hAnsi="Georgia" w:cs="Calibri"/>
          <w:sz w:val="22"/>
          <w:szCs w:val="22"/>
          <w:lang w:val="nl-NL"/>
        </w:rPr>
        <w:t>Wenceslas</w:t>
      </w:r>
      <w:proofErr w:type="spellEnd"/>
      <w:r w:rsidR="00274E40" w:rsidRPr="00C140A8">
        <w:rPr>
          <w:rFonts w:ascii="Georgia" w:hAnsi="Georgia" w:cs="Calibri"/>
          <w:sz w:val="22"/>
          <w:szCs w:val="22"/>
          <w:lang w:val="nl-NL"/>
        </w:rPr>
        <w:t xml:space="preserve">. Ze omvatten een breed scala aan transacties, waarbij </w:t>
      </w:r>
      <w:r w:rsidR="00B374F5">
        <w:rPr>
          <w:rFonts w:ascii="Georgia" w:hAnsi="Georgia" w:cs="Calibri"/>
          <w:sz w:val="22"/>
          <w:szCs w:val="22"/>
          <w:lang w:val="nl-NL"/>
        </w:rPr>
        <w:t xml:space="preserve">ze </w:t>
      </w:r>
      <w:r w:rsidR="00274E40" w:rsidRPr="00C140A8">
        <w:rPr>
          <w:rFonts w:ascii="Georgia" w:hAnsi="Georgia" w:cs="Calibri"/>
          <w:sz w:val="22"/>
          <w:szCs w:val="22"/>
          <w:lang w:val="nl-NL"/>
        </w:rPr>
        <w:t>uitbetalingen verricht</w:t>
      </w:r>
      <w:r w:rsidR="00B374F5">
        <w:rPr>
          <w:rFonts w:ascii="Georgia" w:hAnsi="Georgia" w:cs="Calibri"/>
          <w:sz w:val="22"/>
          <w:szCs w:val="22"/>
          <w:lang w:val="nl-NL"/>
        </w:rPr>
        <w:t>te</w:t>
      </w:r>
      <w:r w:rsidR="00274E40" w:rsidRPr="00C140A8">
        <w:rPr>
          <w:rFonts w:ascii="Georgia" w:hAnsi="Georgia" w:cs="Calibri"/>
          <w:sz w:val="22"/>
          <w:szCs w:val="22"/>
          <w:lang w:val="nl-NL"/>
        </w:rPr>
        <w:t xml:space="preserve"> op basis van de inkomsten uit Binche. Bovendien lijkt het erop dat Johanna aanzienlijk meer betrokken was bij het beheer van Binche dan haar echtgenoot. Zij hield zich actief bezig met de administratie van haar domeinen, de uitbetaling van rentes en het vergoeden van onkosten. Naast deze reguliere betalingen reserveerde zij bedragen voor aalmoezen, religieuze weldadigheid en schenkingen aan de lokale bevolking van de proosdij.  Grofweg is haar activiteit in haar domein onder te verdelen in vier pijlers. </w:t>
      </w:r>
    </w:p>
    <w:p w14:paraId="770F0DC8" w14:textId="3728991A" w:rsidR="00274E40" w:rsidRPr="003E5A54" w:rsidRDefault="00274E40" w:rsidP="00B43590">
      <w:pPr>
        <w:spacing w:afterLines="80" w:after="192" w:line="360" w:lineRule="auto"/>
        <w:jc w:val="both"/>
        <w:rPr>
          <w:rFonts w:ascii="Georgia" w:hAnsi="Georgia" w:cs="Calibri"/>
          <w:sz w:val="22"/>
          <w:szCs w:val="22"/>
        </w:rPr>
      </w:pPr>
      <w:r w:rsidRPr="00C140A8">
        <w:rPr>
          <w:rFonts w:ascii="Georgia" w:hAnsi="Georgia" w:cs="Calibri"/>
          <w:sz w:val="22"/>
          <w:szCs w:val="22"/>
          <w:lang w:val="nl-NL"/>
        </w:rPr>
        <w:t xml:space="preserve">Een eerste pijler betreft de juridische bevoegdheid van Johanna 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in Binche.</w:t>
      </w:r>
      <w:r w:rsidR="00B43590" w:rsidRPr="00B43590">
        <w:t xml:space="preserve"> </w:t>
      </w:r>
      <w:r w:rsidR="00B43590" w:rsidRPr="00B43590">
        <w:rPr>
          <w:rFonts w:ascii="Georgia" w:hAnsi="Georgia" w:cs="Calibri"/>
          <w:sz w:val="22"/>
          <w:szCs w:val="22"/>
        </w:rPr>
        <w:t xml:space="preserve">De </w:t>
      </w:r>
      <w:r w:rsidR="00B43590" w:rsidRPr="00B43590">
        <w:rPr>
          <w:rFonts w:ascii="Georgia" w:hAnsi="Georgia" w:cs="Calibri"/>
          <w:i/>
          <w:iCs/>
          <w:sz w:val="22"/>
          <w:szCs w:val="22"/>
        </w:rPr>
        <w:t>vidimi</w:t>
      </w:r>
      <w:r w:rsidR="00B43590" w:rsidRPr="00B43590">
        <w:rPr>
          <w:rFonts w:ascii="Georgia" w:hAnsi="Georgia" w:cs="Calibri"/>
          <w:sz w:val="22"/>
          <w:szCs w:val="22"/>
        </w:rPr>
        <w:t xml:space="preserve"> vermelden meermaals conflicten binnen de proosdij waarin zij bemiddelden</w:t>
      </w:r>
      <w:r w:rsidRPr="00C140A8">
        <w:rPr>
          <w:rFonts w:ascii="Georgia" w:hAnsi="Georgia" w:cs="Calibri"/>
          <w:sz w:val="22"/>
          <w:szCs w:val="22"/>
          <w:lang w:val="nl-NL"/>
        </w:rPr>
        <w:t>.</w:t>
      </w:r>
      <w:r w:rsidRPr="00C140A8">
        <w:rPr>
          <w:rStyle w:val="FootnoteReference"/>
          <w:rFonts w:ascii="Georgia" w:hAnsi="Georgia" w:cs="Calibri"/>
          <w:sz w:val="22"/>
          <w:szCs w:val="22"/>
          <w:lang w:val="nl-NL"/>
        </w:rPr>
        <w:footnoteReference w:id="236"/>
      </w:r>
      <w:r w:rsidRPr="00C140A8">
        <w:rPr>
          <w:rFonts w:ascii="Georgia" w:hAnsi="Georgia" w:cs="Calibri"/>
          <w:sz w:val="22"/>
          <w:szCs w:val="22"/>
          <w:lang w:val="nl-NL"/>
        </w:rPr>
        <w:t xml:space="preserve">  </w:t>
      </w:r>
      <w:r w:rsidR="003E5A54" w:rsidRPr="003E5A54">
        <w:rPr>
          <w:rFonts w:ascii="Georgia" w:hAnsi="Georgia" w:cs="Calibri"/>
          <w:sz w:val="22"/>
          <w:szCs w:val="22"/>
        </w:rPr>
        <w:t xml:space="preserve">Johanna's </w:t>
      </w:r>
      <w:r w:rsidR="003E5A54">
        <w:rPr>
          <w:rFonts w:ascii="Georgia" w:hAnsi="Georgia" w:cs="Calibri"/>
          <w:sz w:val="22"/>
          <w:szCs w:val="22"/>
        </w:rPr>
        <w:t xml:space="preserve">juridische </w:t>
      </w:r>
      <w:r w:rsidR="003E5A54" w:rsidRPr="003E5A54">
        <w:rPr>
          <w:rFonts w:ascii="Georgia" w:hAnsi="Georgia" w:cs="Calibri"/>
          <w:sz w:val="22"/>
          <w:szCs w:val="22"/>
        </w:rPr>
        <w:t xml:space="preserve">bevoegdheid </w:t>
      </w:r>
      <w:r w:rsidR="003E5A54">
        <w:rPr>
          <w:rFonts w:ascii="Georgia" w:hAnsi="Georgia" w:cs="Calibri"/>
          <w:sz w:val="22"/>
          <w:szCs w:val="22"/>
        </w:rPr>
        <w:t xml:space="preserve">in haar weduwegoed </w:t>
      </w:r>
      <w:r w:rsidR="003E5A54" w:rsidRPr="003E5A54">
        <w:rPr>
          <w:rFonts w:ascii="Georgia" w:hAnsi="Georgia" w:cs="Calibri"/>
          <w:sz w:val="22"/>
          <w:szCs w:val="22"/>
        </w:rPr>
        <w:t>kende echter een onduidelijke gren</w:t>
      </w:r>
      <w:r w:rsidR="003E5A54">
        <w:rPr>
          <w:rFonts w:ascii="Georgia" w:hAnsi="Georgia" w:cs="Calibri"/>
          <w:sz w:val="22"/>
          <w:szCs w:val="22"/>
        </w:rPr>
        <w:t>s. Vi</w:t>
      </w:r>
      <w:r w:rsidRPr="00C140A8">
        <w:rPr>
          <w:rFonts w:ascii="Georgia" w:hAnsi="Georgia" w:cs="Calibri"/>
          <w:sz w:val="22"/>
          <w:szCs w:val="22"/>
          <w:lang w:val="nl-NL"/>
        </w:rPr>
        <w:t xml:space="preserve">el dit onder het hertogdom Brabant of onder het graafschap Henegouwen? In theorie erkende het </w:t>
      </w:r>
      <w:proofErr w:type="spellStart"/>
      <w:r w:rsidRPr="00C140A8">
        <w:rPr>
          <w:rFonts w:ascii="Georgia" w:hAnsi="Georgia" w:cs="Calibri"/>
          <w:sz w:val="22"/>
          <w:szCs w:val="22"/>
          <w:lang w:val="nl-NL"/>
        </w:rPr>
        <w:t>leenhof</w:t>
      </w:r>
      <w:proofErr w:type="spellEnd"/>
      <w:r w:rsidRPr="00C140A8">
        <w:rPr>
          <w:rFonts w:ascii="Georgia" w:hAnsi="Georgia" w:cs="Calibri"/>
          <w:sz w:val="22"/>
          <w:szCs w:val="22"/>
          <w:lang w:val="nl-NL"/>
        </w:rPr>
        <w:t xml:space="preserve"> van Bergen geen van de juridische rechten die Jan van Henegouwen-Beaumont in 1349 in haar naam trachtte op te eisen.</w:t>
      </w:r>
      <w:r w:rsidRPr="00C140A8">
        <w:rPr>
          <w:rStyle w:val="FootnoteReference"/>
          <w:rFonts w:ascii="Georgia" w:hAnsi="Georgia" w:cs="Calibri"/>
          <w:sz w:val="22"/>
          <w:szCs w:val="22"/>
          <w:lang w:val="nl-NL"/>
        </w:rPr>
        <w:footnoteReference w:id="237"/>
      </w:r>
      <w:r w:rsidRPr="00C140A8">
        <w:rPr>
          <w:rFonts w:ascii="Georgia" w:hAnsi="Georgia" w:cs="Calibri"/>
          <w:sz w:val="22"/>
          <w:szCs w:val="22"/>
          <w:lang w:val="nl-NL"/>
        </w:rPr>
        <w:t xml:space="preserve"> </w:t>
      </w:r>
      <w:r w:rsidR="00A70280" w:rsidRPr="00A70280">
        <w:rPr>
          <w:rFonts w:ascii="Georgia" w:hAnsi="Georgia" w:cs="Calibri"/>
          <w:sz w:val="22"/>
          <w:szCs w:val="22"/>
        </w:rPr>
        <w:t xml:space="preserve">In de praktijk paste men deze beslissing minder strikt toe en bleek Johanna binnen haar </w:t>
      </w:r>
      <w:r w:rsidR="00A70280">
        <w:rPr>
          <w:rFonts w:ascii="Georgia" w:hAnsi="Georgia" w:cs="Calibri"/>
          <w:sz w:val="22"/>
          <w:szCs w:val="22"/>
        </w:rPr>
        <w:t>weduwegoed</w:t>
      </w:r>
      <w:r w:rsidR="00A70280" w:rsidRPr="00A70280">
        <w:rPr>
          <w:rFonts w:ascii="Georgia" w:hAnsi="Georgia" w:cs="Calibri"/>
          <w:sz w:val="22"/>
          <w:szCs w:val="22"/>
        </w:rPr>
        <w:t xml:space="preserve"> wel degelijk recht te spreken</w:t>
      </w:r>
      <w:r w:rsidR="00A70280">
        <w:rPr>
          <w:rFonts w:ascii="Georgia" w:hAnsi="Georgia" w:cs="Calibri"/>
          <w:sz w:val="22"/>
          <w:szCs w:val="22"/>
        </w:rPr>
        <w:t xml:space="preserve">. </w:t>
      </w:r>
      <w:r w:rsidRPr="00C140A8">
        <w:rPr>
          <w:rFonts w:ascii="Georgia" w:hAnsi="Georgia" w:cs="Calibri"/>
          <w:sz w:val="22"/>
          <w:szCs w:val="22"/>
          <w:lang w:val="nl-NL"/>
        </w:rPr>
        <w:t>Haar voornaamste beslissingsbevoegdheid betrof het genaderecht, maar zij en haar echtgenoot konden ook in ernstige geschillen bemiddelen.</w:t>
      </w:r>
      <w:r w:rsidRPr="00C140A8">
        <w:rPr>
          <w:rStyle w:val="FootnoteReference"/>
          <w:rFonts w:ascii="Georgia" w:hAnsi="Georgia" w:cs="Calibri"/>
          <w:sz w:val="22"/>
          <w:szCs w:val="22"/>
          <w:lang w:val="nl-NL"/>
        </w:rPr>
        <w:footnoteReference w:id="238"/>
      </w:r>
      <w:r w:rsidRPr="00C140A8">
        <w:rPr>
          <w:rFonts w:ascii="Georgia" w:hAnsi="Georgia" w:cs="Calibri"/>
          <w:sz w:val="22"/>
          <w:szCs w:val="22"/>
          <w:lang w:val="nl-NL"/>
        </w:rPr>
        <w:t xml:space="preserve">  Op 12 november 1377 stelde het hertogelijk paar een commissie op om de gezworenen van Binche te berechten.</w:t>
      </w:r>
      <w:r w:rsidRPr="00C140A8">
        <w:rPr>
          <w:rStyle w:val="FootnoteReference"/>
          <w:rFonts w:ascii="Georgia" w:hAnsi="Georgia" w:cs="Calibri"/>
          <w:sz w:val="22"/>
          <w:szCs w:val="22"/>
          <w:lang w:val="nl-NL"/>
        </w:rPr>
        <w:footnoteReference w:id="239"/>
      </w:r>
      <w:r w:rsidR="00D972CD" w:rsidRPr="00C140A8">
        <w:rPr>
          <w:rFonts w:ascii="Georgia" w:hAnsi="Georgia" w:cs="Calibri"/>
          <w:sz w:val="22"/>
          <w:szCs w:val="22"/>
          <w:lang w:val="nl-NL"/>
        </w:rPr>
        <w:t xml:space="preserve"> </w:t>
      </w:r>
      <w:r w:rsidRPr="00C140A8">
        <w:rPr>
          <w:rFonts w:ascii="Georgia" w:hAnsi="Georgia" w:cs="Calibri"/>
          <w:sz w:val="22"/>
          <w:szCs w:val="22"/>
          <w:lang w:val="nl-NL"/>
        </w:rPr>
        <w:t xml:space="preserve">Zij hadden op onrechtmatige wijze burgers van hun poortersrecht ontdaan, zonder enig overleg met de proost, die optrad als de vertegenwoordiger van het hertogelijk koppel. Toen de gezworenen zich ter verdediging beriepen op het lokale gewoonterecht van de stad, besloten Johanna 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in te grijpen.</w:t>
      </w:r>
      <w:r w:rsidRPr="00C140A8">
        <w:rPr>
          <w:rStyle w:val="FootnoteReference"/>
          <w:rFonts w:ascii="Georgia" w:hAnsi="Georgia" w:cs="Calibri"/>
          <w:sz w:val="22"/>
          <w:szCs w:val="22"/>
          <w:lang w:val="nl-NL"/>
        </w:rPr>
        <w:footnoteReference w:id="240"/>
      </w:r>
      <w:r w:rsidRPr="00C140A8">
        <w:rPr>
          <w:rFonts w:ascii="Georgia" w:hAnsi="Georgia" w:cs="Calibri"/>
          <w:sz w:val="22"/>
          <w:szCs w:val="22"/>
          <w:lang w:val="nl-NL"/>
        </w:rPr>
        <w:t xml:space="preserve"> Deze rechtszaak illustreert hoe moeilijk de verhoudingen tussen de verschillende invloedssferen binnen de proosdij waren. Verder zijn er in de </w:t>
      </w:r>
      <w:proofErr w:type="spellStart"/>
      <w:r w:rsidRPr="00965BCC">
        <w:rPr>
          <w:rFonts w:ascii="Georgia" w:hAnsi="Georgia" w:cs="Calibri"/>
          <w:i/>
          <w:iCs/>
          <w:sz w:val="22"/>
          <w:szCs w:val="22"/>
          <w:lang w:val="nl-NL"/>
        </w:rPr>
        <w:t>vidimi</w:t>
      </w:r>
      <w:proofErr w:type="spellEnd"/>
      <w:r w:rsidRPr="00C140A8">
        <w:rPr>
          <w:rFonts w:ascii="Georgia" w:hAnsi="Georgia" w:cs="Calibri"/>
          <w:sz w:val="22"/>
          <w:szCs w:val="22"/>
          <w:lang w:val="nl-NL"/>
        </w:rPr>
        <w:t xml:space="preserve"> kleinere geschillen vermeld waar het hertogelijk paar in tussenkwam. Zo stuurde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dat jaar ook een bevelbrief om een gevangene, die in Binche was onderschept, vrij te laten zodat hij zijn eerder opgelegde straf, een bedevaart, kon afmaken.</w:t>
      </w:r>
      <w:r w:rsidRPr="00C140A8">
        <w:rPr>
          <w:rStyle w:val="FootnoteReference"/>
          <w:rFonts w:ascii="Georgia" w:hAnsi="Georgia" w:cs="Calibri"/>
          <w:sz w:val="22"/>
          <w:szCs w:val="22"/>
          <w:lang w:val="nl-NL"/>
        </w:rPr>
        <w:footnoteReference w:id="241"/>
      </w:r>
      <w:r w:rsidRPr="00C140A8">
        <w:rPr>
          <w:rFonts w:ascii="Georgia" w:hAnsi="Georgia" w:cs="Calibri"/>
          <w:sz w:val="22"/>
          <w:szCs w:val="22"/>
          <w:lang w:val="nl-NL"/>
        </w:rPr>
        <w:t xml:space="preserve"> Ook Johanna behandelde kwesties afzonderlijk van haar echtgenoot. In 1366 liet ze zich informeren en handelde </w:t>
      </w:r>
      <w:r w:rsidR="00965BCC">
        <w:rPr>
          <w:rFonts w:ascii="Georgia" w:hAnsi="Georgia" w:cs="Calibri"/>
          <w:sz w:val="22"/>
          <w:szCs w:val="22"/>
          <w:lang w:val="nl-NL"/>
        </w:rPr>
        <w:t xml:space="preserve">ze </w:t>
      </w:r>
      <w:r w:rsidRPr="00C140A8">
        <w:rPr>
          <w:rFonts w:ascii="Georgia" w:hAnsi="Georgia" w:cs="Calibri"/>
          <w:sz w:val="22"/>
          <w:szCs w:val="22"/>
          <w:lang w:val="nl-NL"/>
        </w:rPr>
        <w:t xml:space="preserve">mee in een </w:t>
      </w:r>
      <w:r w:rsidRPr="00C140A8">
        <w:rPr>
          <w:rFonts w:ascii="Georgia" w:hAnsi="Georgia" w:cs="Calibri"/>
          <w:sz w:val="22"/>
          <w:szCs w:val="22"/>
          <w:lang w:val="nl-NL"/>
        </w:rPr>
        <w:lastRenderedPageBreak/>
        <w:t xml:space="preserve">conflict rond Henri de </w:t>
      </w:r>
      <w:proofErr w:type="spellStart"/>
      <w:r w:rsidRPr="00C140A8">
        <w:rPr>
          <w:rFonts w:ascii="Georgia" w:hAnsi="Georgia" w:cs="Calibri"/>
          <w:sz w:val="22"/>
          <w:szCs w:val="22"/>
          <w:lang w:val="nl-NL"/>
        </w:rPr>
        <w:t>Seilles</w:t>
      </w:r>
      <w:proofErr w:type="spellEnd"/>
      <w:r w:rsidRPr="00C140A8">
        <w:rPr>
          <w:rFonts w:ascii="Georgia" w:hAnsi="Georgia" w:cs="Calibri"/>
          <w:sz w:val="22"/>
          <w:szCs w:val="22"/>
          <w:lang w:val="nl-NL"/>
        </w:rPr>
        <w:t xml:space="preserve">, wiens heg lokale inwoners </w:t>
      </w:r>
      <w:r w:rsidR="00F90109" w:rsidRPr="00C140A8">
        <w:rPr>
          <w:rFonts w:ascii="Georgia" w:hAnsi="Georgia" w:cs="Calibri"/>
          <w:sz w:val="22"/>
          <w:szCs w:val="22"/>
          <w:lang w:val="nl-NL"/>
        </w:rPr>
        <w:t>hadden</w:t>
      </w:r>
      <w:r w:rsidRPr="00C140A8">
        <w:rPr>
          <w:rFonts w:ascii="Georgia" w:hAnsi="Georgia" w:cs="Calibri"/>
          <w:sz w:val="22"/>
          <w:szCs w:val="22"/>
          <w:lang w:val="nl-NL"/>
        </w:rPr>
        <w:t xml:space="preserve"> omgehakt.</w:t>
      </w:r>
      <w:r w:rsidRPr="00C140A8">
        <w:rPr>
          <w:rStyle w:val="FootnoteReference"/>
          <w:rFonts w:ascii="Georgia" w:hAnsi="Georgia" w:cs="Calibri"/>
          <w:sz w:val="22"/>
          <w:szCs w:val="22"/>
          <w:lang w:val="nl-NL"/>
        </w:rPr>
        <w:footnoteReference w:id="242"/>
      </w:r>
      <w:r w:rsidRPr="00C140A8">
        <w:rPr>
          <w:rFonts w:ascii="Georgia" w:hAnsi="Georgia" w:cs="Calibri"/>
          <w:sz w:val="22"/>
          <w:szCs w:val="22"/>
          <w:lang w:val="nl-NL"/>
        </w:rPr>
        <w:t xml:space="preserve"> Al deze voorvallen gebeurden weliswaar onder toezicht van het </w:t>
      </w:r>
      <w:proofErr w:type="spellStart"/>
      <w:r w:rsidRPr="00C140A8">
        <w:rPr>
          <w:rFonts w:ascii="Georgia" w:hAnsi="Georgia" w:cs="Calibri"/>
          <w:sz w:val="22"/>
          <w:szCs w:val="22"/>
          <w:lang w:val="nl-NL"/>
        </w:rPr>
        <w:t>leenhof</w:t>
      </w:r>
      <w:proofErr w:type="spellEnd"/>
      <w:r w:rsidRPr="00C140A8">
        <w:rPr>
          <w:rFonts w:ascii="Georgia" w:hAnsi="Georgia" w:cs="Calibri"/>
          <w:sz w:val="22"/>
          <w:szCs w:val="22"/>
          <w:lang w:val="nl-NL"/>
        </w:rPr>
        <w:t xml:space="preserve"> van Bergen. Het koppel was hierin dus niet almachtig.</w:t>
      </w:r>
      <w:r w:rsidRPr="00C140A8">
        <w:rPr>
          <w:rStyle w:val="FootnoteReference"/>
          <w:rFonts w:ascii="Georgia" w:hAnsi="Georgia" w:cs="Calibri"/>
          <w:sz w:val="22"/>
          <w:szCs w:val="22"/>
          <w:lang w:val="nl-NL"/>
        </w:rPr>
        <w:footnoteReference w:id="243"/>
      </w:r>
      <w:r w:rsidRPr="00C140A8">
        <w:rPr>
          <w:rFonts w:ascii="Georgia" w:hAnsi="Georgia" w:cs="Calibri"/>
          <w:sz w:val="22"/>
          <w:szCs w:val="22"/>
          <w:lang w:val="nl-NL"/>
        </w:rPr>
        <w:t xml:space="preserve"> Het </w:t>
      </w:r>
      <w:proofErr w:type="spellStart"/>
      <w:r w:rsidRPr="00C140A8">
        <w:rPr>
          <w:rFonts w:ascii="Georgia" w:hAnsi="Georgia" w:cs="Calibri"/>
          <w:sz w:val="22"/>
          <w:szCs w:val="22"/>
          <w:lang w:val="nl-NL"/>
        </w:rPr>
        <w:t>leenhof</w:t>
      </w:r>
      <w:proofErr w:type="spellEnd"/>
      <w:r w:rsidRPr="00C140A8">
        <w:rPr>
          <w:rFonts w:ascii="Georgia" w:hAnsi="Georgia" w:cs="Calibri"/>
          <w:sz w:val="22"/>
          <w:szCs w:val="22"/>
          <w:lang w:val="nl-NL"/>
        </w:rPr>
        <w:t xml:space="preserve"> behield immers de overhand binnen de jurisdictie van heel Henegouwen.</w:t>
      </w:r>
      <w:r w:rsidRPr="00C140A8">
        <w:rPr>
          <w:rStyle w:val="FootnoteReference"/>
          <w:rFonts w:ascii="Georgia" w:hAnsi="Georgia" w:cs="Calibri"/>
          <w:sz w:val="22"/>
          <w:szCs w:val="22"/>
          <w:lang w:val="nl-NL"/>
        </w:rPr>
        <w:t xml:space="preserve"> </w:t>
      </w:r>
    </w:p>
    <w:p w14:paraId="17909889" w14:textId="7E814C32" w:rsidR="00274E40" w:rsidRPr="00C140A8" w:rsidRDefault="00274E4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Johanna gebruikte de inkomsten ook voor diplomatieke en politieke doeleinden, meer bepaald voor het onderhouden van haar netwerk. Ze verbleef regelmatig in Binche en nodigde er gasten uit om er te overnachten als tussenstop op hun weg van en naar festiviteiten, voornamelijk in Bergen. Zo was onder meer </w:t>
      </w:r>
      <w:r w:rsidR="00A70280">
        <w:rPr>
          <w:rFonts w:ascii="Georgia" w:hAnsi="Georgia" w:cs="Calibri"/>
          <w:sz w:val="22"/>
          <w:szCs w:val="22"/>
          <w:lang w:val="nl-NL"/>
        </w:rPr>
        <w:t>de</w:t>
      </w:r>
      <w:r w:rsidRPr="00C140A8">
        <w:rPr>
          <w:rFonts w:ascii="Georgia" w:hAnsi="Georgia" w:cs="Calibri"/>
          <w:sz w:val="22"/>
          <w:szCs w:val="22"/>
          <w:lang w:val="nl-NL"/>
        </w:rPr>
        <w:t xml:space="preserve"> hertogin van Gelre, er bij haar te gast.</w:t>
      </w:r>
      <w:r w:rsidRPr="00C140A8">
        <w:rPr>
          <w:rStyle w:val="FootnoteReference"/>
          <w:rFonts w:ascii="Georgia" w:hAnsi="Georgia" w:cs="Calibri"/>
          <w:sz w:val="22"/>
          <w:szCs w:val="22"/>
          <w:lang w:val="nl-NL"/>
        </w:rPr>
        <w:footnoteReference w:id="244"/>
      </w:r>
      <w:r w:rsidRPr="00C140A8">
        <w:rPr>
          <w:rFonts w:ascii="Georgia" w:hAnsi="Georgia" w:cs="Calibri"/>
          <w:sz w:val="22"/>
          <w:szCs w:val="22"/>
          <w:lang w:val="nl-NL"/>
        </w:rPr>
        <w:t xml:space="preserve"> Daarnaast deed zij schenkingen aan de lokale elite. Een treffend voorbeeld hiervan is ridder Jean de </w:t>
      </w:r>
      <w:proofErr w:type="spellStart"/>
      <w:r w:rsidRPr="00C140A8">
        <w:rPr>
          <w:rFonts w:ascii="Georgia" w:hAnsi="Georgia" w:cs="Calibri"/>
          <w:sz w:val="22"/>
          <w:szCs w:val="22"/>
          <w:lang w:val="nl-NL"/>
        </w:rPr>
        <w:t>Potelles</w:t>
      </w:r>
      <w:proofErr w:type="spellEnd"/>
      <w:r w:rsidRPr="00C140A8">
        <w:rPr>
          <w:rFonts w:ascii="Georgia" w:hAnsi="Georgia" w:cs="Calibri"/>
          <w:sz w:val="22"/>
          <w:szCs w:val="22"/>
          <w:lang w:val="nl-NL"/>
        </w:rPr>
        <w:t>, aan wie zij tot tweemaal toe, in 1376 en 1377, een schenking deed die direct ten laste kwam van de inkomsten van Binche.</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245"/>
      </w:r>
      <w:r w:rsidRPr="00C140A8">
        <w:rPr>
          <w:rFonts w:ascii="Georgia" w:hAnsi="Georgia" w:cs="Calibri"/>
          <w:sz w:val="22"/>
          <w:szCs w:val="22"/>
          <w:lang w:val="nl-NL"/>
        </w:rPr>
        <w:t xml:space="preserve"> De meest opmerkelijke uitgave was van militaire aard</w:t>
      </w:r>
      <w:r w:rsidR="009053EA">
        <w:rPr>
          <w:rFonts w:ascii="Georgia" w:hAnsi="Georgia" w:cs="Calibri"/>
          <w:sz w:val="22"/>
          <w:szCs w:val="22"/>
          <w:lang w:val="nl-NL"/>
        </w:rPr>
        <w:t xml:space="preserve">. </w:t>
      </w:r>
      <w:r w:rsidRPr="00C140A8">
        <w:rPr>
          <w:rFonts w:ascii="Georgia" w:hAnsi="Georgia" w:cs="Calibri"/>
          <w:sz w:val="22"/>
          <w:szCs w:val="22"/>
          <w:lang w:val="nl-NL"/>
        </w:rPr>
        <w:t>Johanna beval de proost en schepenen van Binche om twaalf boogschutters en hun artillerie naar Geldenaken te sturen, vermoedelijk voor deelname aan een militaire interventie. Met dit bevel mobiliseerde zij lokaal troepen in Binche om zo elders in haar gebieden versterking te kunnen bieden.</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246"/>
      </w:r>
    </w:p>
    <w:p w14:paraId="21388262" w14:textId="4E00E4BA" w:rsidR="00274E40" w:rsidRPr="00C140A8" w:rsidRDefault="00404954" w:rsidP="00C140A8">
      <w:pPr>
        <w:spacing w:afterLines="80" w:after="192" w:line="360" w:lineRule="auto"/>
        <w:jc w:val="both"/>
        <w:rPr>
          <w:rFonts w:ascii="Georgia" w:hAnsi="Georgia" w:cs="Calibri"/>
          <w:sz w:val="22"/>
          <w:szCs w:val="22"/>
          <w:lang w:val="nl-NL"/>
        </w:rPr>
      </w:pPr>
      <w:r w:rsidRPr="00404954">
        <w:rPr>
          <w:rFonts w:ascii="Georgia" w:hAnsi="Georgia" w:cs="Calibri"/>
          <w:sz w:val="22"/>
          <w:szCs w:val="22"/>
        </w:rPr>
        <w:t>Ten derde sluiten haar uitgaven in Binche ook aan bij een belangrijke taak die men traditioneel met vorstinnen associeert</w:t>
      </w:r>
      <w:r>
        <w:rPr>
          <w:rFonts w:ascii="Georgia" w:hAnsi="Georgia" w:cs="Calibri"/>
          <w:sz w:val="22"/>
          <w:szCs w:val="22"/>
          <w:lang w:val="nl-NL"/>
        </w:rPr>
        <w:t xml:space="preserve">, </w:t>
      </w:r>
      <w:r w:rsidR="00274E40" w:rsidRPr="00C140A8">
        <w:rPr>
          <w:rFonts w:ascii="Georgia" w:hAnsi="Georgia" w:cs="Calibri"/>
          <w:sz w:val="22"/>
          <w:szCs w:val="22"/>
          <w:lang w:val="nl-NL"/>
        </w:rPr>
        <w:t xml:space="preserve">liefdadigheid. Johanna schold regelmatig schulden kwijt van haar eigen personeel en de bredere lokale gemeenschap.  Zo is er jaarlijks een vermelding terug te vinden van een cijns van het armenhospitaal te Binche die </w:t>
      </w:r>
      <w:r>
        <w:rPr>
          <w:rFonts w:ascii="Georgia" w:hAnsi="Georgia" w:cs="Calibri"/>
          <w:sz w:val="22"/>
          <w:szCs w:val="22"/>
          <w:lang w:val="nl-NL"/>
        </w:rPr>
        <w:t>ze telkens</w:t>
      </w:r>
      <w:r w:rsidR="00274E40" w:rsidRPr="00C140A8">
        <w:rPr>
          <w:rFonts w:ascii="Georgia" w:hAnsi="Georgia" w:cs="Calibri"/>
          <w:sz w:val="22"/>
          <w:szCs w:val="22"/>
          <w:lang w:val="nl-NL"/>
        </w:rPr>
        <w:t xml:space="preserve"> </w:t>
      </w:r>
      <w:r>
        <w:rPr>
          <w:rFonts w:ascii="Georgia" w:hAnsi="Georgia" w:cs="Calibri"/>
          <w:sz w:val="22"/>
          <w:szCs w:val="22"/>
          <w:lang w:val="nl-NL"/>
        </w:rPr>
        <w:t>kwijtschold</w:t>
      </w:r>
      <w:r w:rsidR="00274E40" w:rsidRPr="00C140A8">
        <w:rPr>
          <w:rFonts w:ascii="Georgia" w:hAnsi="Georgia" w:cs="Calibri"/>
          <w:sz w:val="22"/>
          <w:szCs w:val="22"/>
          <w:lang w:val="nl-NL"/>
        </w:rPr>
        <w:t>.</w:t>
      </w:r>
      <w:r w:rsidR="00274E40" w:rsidRPr="00C140A8">
        <w:rPr>
          <w:rStyle w:val="FootnoteReference"/>
          <w:rFonts w:ascii="Georgia" w:hAnsi="Georgia" w:cs="Calibri"/>
          <w:sz w:val="22"/>
          <w:szCs w:val="22"/>
          <w:lang w:val="nl-NL"/>
        </w:rPr>
        <w:footnoteReference w:id="247"/>
      </w:r>
      <w:r w:rsidR="00274E40" w:rsidRPr="00C140A8">
        <w:rPr>
          <w:rFonts w:ascii="Georgia" w:hAnsi="Georgia" w:cs="Calibri"/>
          <w:sz w:val="22"/>
          <w:szCs w:val="22"/>
          <w:lang w:val="nl-NL"/>
        </w:rPr>
        <w:t xml:space="preserve"> Een ander opmerkelijk voorval vond plaats in 1379, toen haar bode Walgrappe, wiens petekind net was overleden, zich tot haar wendde. </w:t>
      </w:r>
      <w:r>
        <w:rPr>
          <w:rFonts w:ascii="Georgia" w:hAnsi="Georgia" w:cs="Calibri"/>
          <w:sz w:val="22"/>
          <w:szCs w:val="22"/>
          <w:lang w:val="nl-NL"/>
        </w:rPr>
        <w:t>Johanna</w:t>
      </w:r>
      <w:r w:rsidR="00274E40" w:rsidRPr="00C140A8">
        <w:rPr>
          <w:rFonts w:ascii="Georgia" w:hAnsi="Georgia" w:cs="Calibri"/>
          <w:sz w:val="22"/>
          <w:szCs w:val="22"/>
          <w:lang w:val="nl-NL"/>
        </w:rPr>
        <w:t xml:space="preserve"> gaf daarop het bevel om het </w:t>
      </w:r>
      <w:proofErr w:type="spellStart"/>
      <w:r w:rsidR="00274E40" w:rsidRPr="00C140A8">
        <w:rPr>
          <w:rFonts w:ascii="Georgia" w:hAnsi="Georgia" w:cs="Calibri"/>
          <w:sz w:val="22"/>
          <w:szCs w:val="22"/>
          <w:lang w:val="nl-NL"/>
        </w:rPr>
        <w:t>dodehandrecht</w:t>
      </w:r>
      <w:proofErr w:type="spellEnd"/>
      <w:r w:rsidR="00274E40" w:rsidRPr="00C140A8">
        <w:rPr>
          <w:rFonts w:ascii="Georgia" w:hAnsi="Georgia" w:cs="Calibri"/>
          <w:sz w:val="22"/>
          <w:szCs w:val="22"/>
          <w:lang w:val="nl-NL"/>
        </w:rPr>
        <w:t xml:space="preserve"> kwijt te schelden dat ten gevolge van dit overlijden aan haar verschuldigd was.</w:t>
      </w:r>
      <w:r w:rsidR="00274E40" w:rsidRPr="00C140A8">
        <w:rPr>
          <w:rStyle w:val="FootnoteReference"/>
          <w:rFonts w:ascii="Georgia" w:hAnsi="Georgia" w:cs="Calibri"/>
          <w:sz w:val="22"/>
          <w:szCs w:val="22"/>
          <w:lang w:val="nl-NL"/>
        </w:rPr>
        <w:t xml:space="preserve"> </w:t>
      </w:r>
      <w:r w:rsidR="00274E40" w:rsidRPr="00C140A8">
        <w:rPr>
          <w:rStyle w:val="FootnoteReference"/>
          <w:rFonts w:ascii="Georgia" w:hAnsi="Georgia" w:cs="Calibri"/>
          <w:sz w:val="22"/>
          <w:szCs w:val="22"/>
          <w:lang w:val="nl-NL"/>
        </w:rPr>
        <w:footnoteReference w:id="248"/>
      </w:r>
      <w:r w:rsidR="00274E40" w:rsidRPr="00C140A8">
        <w:rPr>
          <w:rStyle w:val="FootnoteReference"/>
          <w:rFonts w:ascii="Georgia" w:hAnsi="Georgia" w:cs="Calibri"/>
          <w:sz w:val="22"/>
          <w:szCs w:val="22"/>
          <w:lang w:val="nl-NL"/>
        </w:rPr>
        <w:t xml:space="preserve">  </w:t>
      </w:r>
      <w:r w:rsidR="00274E40" w:rsidRPr="00C140A8">
        <w:rPr>
          <w:rFonts w:ascii="Georgia" w:hAnsi="Georgia" w:cs="Calibri"/>
          <w:sz w:val="22"/>
          <w:szCs w:val="22"/>
          <w:lang w:val="nl-NL"/>
        </w:rPr>
        <w:t xml:space="preserve">Dit is geenszins een </w:t>
      </w:r>
      <w:r w:rsidRPr="00C140A8">
        <w:rPr>
          <w:rFonts w:ascii="Georgia" w:hAnsi="Georgia" w:cs="Calibri"/>
          <w:sz w:val="22"/>
          <w:szCs w:val="22"/>
          <w:lang w:val="nl-NL"/>
        </w:rPr>
        <w:t>geïsoleerd</w:t>
      </w:r>
      <w:r w:rsidR="00274E40" w:rsidRPr="00C140A8">
        <w:rPr>
          <w:rFonts w:ascii="Georgia" w:hAnsi="Georgia" w:cs="Calibri"/>
          <w:sz w:val="22"/>
          <w:szCs w:val="22"/>
          <w:lang w:val="nl-NL"/>
        </w:rPr>
        <w:t xml:space="preserve"> geval</w:t>
      </w:r>
      <w:r>
        <w:rPr>
          <w:rFonts w:ascii="Georgia" w:hAnsi="Georgia" w:cs="Calibri"/>
          <w:sz w:val="22"/>
          <w:szCs w:val="22"/>
          <w:lang w:val="nl-NL"/>
        </w:rPr>
        <w:t>. O</w:t>
      </w:r>
      <w:r w:rsidR="00274E40" w:rsidRPr="00C140A8">
        <w:rPr>
          <w:rFonts w:ascii="Georgia" w:hAnsi="Georgia" w:cs="Calibri"/>
          <w:sz w:val="22"/>
          <w:szCs w:val="22"/>
          <w:lang w:val="nl-NL"/>
        </w:rPr>
        <w:t xml:space="preserve">ok andere posten vermelden hoe zij aan haar onderdanen schulden kwijtschold met expliciete motivaties zoals </w:t>
      </w:r>
      <w:r>
        <w:rPr>
          <w:rFonts w:ascii="Georgia" w:hAnsi="Georgia" w:cs="Calibri"/>
          <w:sz w:val="22"/>
          <w:szCs w:val="22"/>
          <w:lang w:val="nl-NL"/>
        </w:rPr>
        <w:t>“</w:t>
      </w:r>
      <w:r w:rsidR="00274E40" w:rsidRPr="00404954">
        <w:rPr>
          <w:rFonts w:ascii="Georgia" w:hAnsi="Georgia" w:cs="Calibri"/>
          <w:i/>
          <w:iCs/>
          <w:sz w:val="22"/>
          <w:szCs w:val="22"/>
          <w:lang w:val="nl-NL"/>
        </w:rPr>
        <w:t>uit liefde voor zijn vrouw</w:t>
      </w:r>
      <w:r>
        <w:rPr>
          <w:rFonts w:ascii="Georgia" w:hAnsi="Georgia" w:cs="Calibri"/>
          <w:sz w:val="22"/>
          <w:szCs w:val="22"/>
          <w:lang w:val="nl-NL"/>
        </w:rPr>
        <w:t>”</w:t>
      </w:r>
      <w:r w:rsidR="00274E40" w:rsidRPr="00C140A8">
        <w:rPr>
          <w:rFonts w:ascii="Georgia" w:hAnsi="Georgia" w:cs="Calibri"/>
          <w:sz w:val="22"/>
          <w:szCs w:val="22"/>
          <w:lang w:val="nl-NL"/>
        </w:rPr>
        <w:t xml:space="preserve"> of </w:t>
      </w:r>
      <w:r>
        <w:rPr>
          <w:rFonts w:ascii="Georgia" w:hAnsi="Georgia" w:cs="Calibri"/>
          <w:sz w:val="22"/>
          <w:szCs w:val="22"/>
          <w:lang w:val="nl-NL"/>
        </w:rPr>
        <w:t>“</w:t>
      </w:r>
      <w:r w:rsidR="00274E40" w:rsidRPr="00404954">
        <w:rPr>
          <w:rFonts w:ascii="Georgia" w:hAnsi="Georgia" w:cs="Calibri"/>
          <w:i/>
          <w:iCs/>
          <w:sz w:val="22"/>
          <w:szCs w:val="22"/>
          <w:lang w:val="nl-NL"/>
        </w:rPr>
        <w:t>wegens trouwe dienst</w:t>
      </w:r>
      <w:r>
        <w:rPr>
          <w:rFonts w:ascii="Georgia" w:hAnsi="Georgia" w:cs="Calibri"/>
          <w:sz w:val="22"/>
          <w:szCs w:val="22"/>
          <w:lang w:val="nl-NL"/>
        </w:rPr>
        <w:t>”</w:t>
      </w:r>
      <w:r w:rsidR="00274E40" w:rsidRPr="00C140A8">
        <w:rPr>
          <w:rFonts w:ascii="Georgia" w:hAnsi="Georgia" w:cs="Calibri"/>
          <w:sz w:val="22"/>
          <w:szCs w:val="22"/>
          <w:lang w:val="nl-NL"/>
        </w:rPr>
        <w:t>.</w:t>
      </w:r>
      <w:r w:rsidR="00274E40" w:rsidRPr="00C140A8">
        <w:rPr>
          <w:rStyle w:val="FootnoteReference"/>
          <w:rFonts w:ascii="Georgia" w:hAnsi="Georgia" w:cs="Calibri"/>
          <w:sz w:val="22"/>
          <w:szCs w:val="22"/>
          <w:lang w:val="nl-NL"/>
        </w:rPr>
        <w:t xml:space="preserve"> </w:t>
      </w:r>
      <w:r w:rsidR="00274E40" w:rsidRPr="00C140A8">
        <w:rPr>
          <w:rStyle w:val="FootnoteReference"/>
          <w:rFonts w:ascii="Georgia" w:hAnsi="Georgia" w:cs="Calibri"/>
          <w:sz w:val="22"/>
          <w:szCs w:val="22"/>
          <w:lang w:val="nl-NL"/>
        </w:rPr>
        <w:footnoteReference w:id="249"/>
      </w:r>
      <w:r w:rsidR="00274E40" w:rsidRPr="00C140A8">
        <w:rPr>
          <w:rFonts w:ascii="Georgia" w:hAnsi="Georgia" w:cs="Calibri"/>
          <w:sz w:val="22"/>
          <w:szCs w:val="22"/>
          <w:lang w:val="nl-NL"/>
        </w:rPr>
        <w:t xml:space="preserve"> Ook gaf Johanna veel religieuze giften. Zo schold ze regelmatig cijnzen kwijt van religieuze instellingen, zoals op jaarlijkse basis gebeurde voor de panden van de minderbroeders in Binche.</w:t>
      </w:r>
      <w:r w:rsidR="00274E40" w:rsidRPr="00C140A8">
        <w:rPr>
          <w:rStyle w:val="FootnoteReference"/>
          <w:rFonts w:ascii="Georgia" w:hAnsi="Georgia" w:cs="Calibri"/>
          <w:sz w:val="22"/>
          <w:szCs w:val="22"/>
          <w:lang w:val="nl-NL"/>
        </w:rPr>
        <w:footnoteReference w:id="250"/>
      </w:r>
      <w:r w:rsidR="00274E40" w:rsidRPr="00C140A8">
        <w:rPr>
          <w:rFonts w:ascii="Georgia" w:hAnsi="Georgia" w:cs="Calibri"/>
          <w:sz w:val="22"/>
          <w:szCs w:val="22"/>
          <w:lang w:val="nl-NL"/>
        </w:rPr>
        <w:t xml:space="preserve"> Een ander voorbeeld van religieuze uitgaven vormt de bekostiging van twee kapellen en de jaarlijkse </w:t>
      </w:r>
      <w:proofErr w:type="spellStart"/>
      <w:r w:rsidR="00274E40" w:rsidRPr="00C140A8">
        <w:rPr>
          <w:rFonts w:ascii="Georgia" w:hAnsi="Georgia" w:cs="Calibri"/>
          <w:sz w:val="22"/>
          <w:szCs w:val="22"/>
          <w:lang w:val="nl-NL"/>
        </w:rPr>
        <w:t>herdenkingsmis</w:t>
      </w:r>
      <w:proofErr w:type="spellEnd"/>
      <w:r w:rsidR="00274E40" w:rsidRPr="00C140A8">
        <w:rPr>
          <w:rFonts w:ascii="Georgia" w:hAnsi="Georgia" w:cs="Calibri"/>
          <w:sz w:val="22"/>
          <w:szCs w:val="22"/>
          <w:lang w:val="nl-NL"/>
        </w:rPr>
        <w:t xml:space="preserve"> in het </w:t>
      </w:r>
      <w:proofErr w:type="spellStart"/>
      <w:r w:rsidR="00274E40" w:rsidRPr="00C140A8">
        <w:rPr>
          <w:rFonts w:ascii="Georgia" w:hAnsi="Georgia" w:cs="Calibri"/>
          <w:sz w:val="22"/>
          <w:szCs w:val="22"/>
          <w:lang w:val="nl-NL"/>
        </w:rPr>
        <w:t>kapitel</w:t>
      </w:r>
      <w:proofErr w:type="spellEnd"/>
      <w:r w:rsidR="00274E40" w:rsidRPr="00C140A8">
        <w:rPr>
          <w:rFonts w:ascii="Georgia" w:hAnsi="Georgia" w:cs="Calibri"/>
          <w:sz w:val="22"/>
          <w:szCs w:val="22"/>
          <w:lang w:val="nl-NL"/>
        </w:rPr>
        <w:t xml:space="preserve"> van St. </w:t>
      </w:r>
      <w:proofErr w:type="spellStart"/>
      <w:r w:rsidR="00274E40" w:rsidRPr="00C140A8">
        <w:rPr>
          <w:rFonts w:ascii="Georgia" w:hAnsi="Georgia" w:cs="Calibri"/>
          <w:sz w:val="22"/>
          <w:szCs w:val="22"/>
          <w:lang w:val="nl-NL"/>
        </w:rPr>
        <w:t>Auban</w:t>
      </w:r>
      <w:proofErr w:type="spellEnd"/>
      <w:r w:rsidR="00274E40" w:rsidRPr="00C140A8">
        <w:rPr>
          <w:rFonts w:ascii="Georgia" w:hAnsi="Georgia" w:cs="Calibri"/>
          <w:sz w:val="22"/>
          <w:szCs w:val="22"/>
          <w:lang w:val="nl-NL"/>
        </w:rPr>
        <w:t xml:space="preserve"> in Namen voor de overleden Henegouwse graaf.</w:t>
      </w:r>
      <w:r w:rsidR="00274E40" w:rsidRPr="00C140A8">
        <w:rPr>
          <w:rStyle w:val="FootnoteReference"/>
          <w:rFonts w:ascii="Georgia" w:hAnsi="Georgia" w:cs="Calibri"/>
          <w:sz w:val="22"/>
          <w:szCs w:val="22"/>
          <w:lang w:val="nl-NL"/>
        </w:rPr>
        <w:footnoteReference w:id="251"/>
      </w:r>
      <w:r w:rsidR="00274E40" w:rsidRPr="00C140A8">
        <w:rPr>
          <w:rFonts w:ascii="Georgia" w:hAnsi="Georgia" w:cs="Calibri"/>
          <w:sz w:val="22"/>
          <w:szCs w:val="22"/>
          <w:lang w:val="nl-NL"/>
        </w:rPr>
        <w:t xml:space="preserve"> </w:t>
      </w:r>
      <w:r w:rsidR="00A60BAC" w:rsidRPr="00A60BAC">
        <w:rPr>
          <w:rFonts w:ascii="Georgia" w:hAnsi="Georgia" w:cs="Calibri"/>
          <w:sz w:val="22"/>
          <w:szCs w:val="22"/>
        </w:rPr>
        <w:t xml:space="preserve">Een andere mis organiseerde de abdij van </w:t>
      </w:r>
      <w:r w:rsidR="00A60BAC" w:rsidRPr="00A60BAC">
        <w:rPr>
          <w:rFonts w:ascii="Georgia" w:hAnsi="Georgia" w:cs="Calibri"/>
          <w:sz w:val="22"/>
          <w:szCs w:val="22"/>
        </w:rPr>
        <w:lastRenderedPageBreak/>
        <w:t>Floreffe jaarlijks voor de zielenrust van de overleden Henegouwse graven</w:t>
      </w:r>
      <w:r w:rsidR="00274E40" w:rsidRPr="00C140A8">
        <w:rPr>
          <w:rFonts w:ascii="Georgia" w:hAnsi="Georgia" w:cs="Calibri"/>
          <w:sz w:val="22"/>
          <w:szCs w:val="22"/>
          <w:lang w:val="nl-NL"/>
        </w:rPr>
        <w:t>.</w:t>
      </w:r>
      <w:r w:rsidR="00274E40" w:rsidRPr="00C140A8">
        <w:rPr>
          <w:rStyle w:val="FootnoteReference"/>
          <w:rFonts w:ascii="Georgia" w:hAnsi="Georgia" w:cs="Calibri"/>
          <w:sz w:val="22"/>
          <w:szCs w:val="22"/>
          <w:lang w:val="nl-NL"/>
        </w:rPr>
        <w:footnoteReference w:id="252"/>
      </w:r>
      <w:r w:rsidR="00274E40" w:rsidRPr="00C140A8">
        <w:rPr>
          <w:rFonts w:ascii="Georgia" w:hAnsi="Georgia" w:cs="Calibri"/>
          <w:sz w:val="22"/>
          <w:szCs w:val="22"/>
          <w:lang w:val="nl-NL"/>
        </w:rPr>
        <w:t xml:space="preserve"> Voor de organisatie van deze missen zijn uiteenlopende posten bewaard gebleven</w:t>
      </w:r>
      <w:r w:rsidR="00BB7BC0">
        <w:rPr>
          <w:rFonts w:ascii="Georgia" w:hAnsi="Georgia" w:cs="Calibri"/>
          <w:sz w:val="22"/>
          <w:szCs w:val="22"/>
          <w:lang w:val="nl-NL"/>
        </w:rPr>
        <w:t>. S</w:t>
      </w:r>
      <w:r w:rsidR="00274E40" w:rsidRPr="00C140A8">
        <w:rPr>
          <w:rFonts w:ascii="Georgia" w:hAnsi="Georgia" w:cs="Calibri"/>
          <w:sz w:val="22"/>
          <w:szCs w:val="22"/>
          <w:lang w:val="nl-NL"/>
        </w:rPr>
        <w:t xml:space="preserve">ommige stonden expliciet op bevel van </w:t>
      </w:r>
      <w:proofErr w:type="spellStart"/>
      <w:r w:rsidR="00274E40" w:rsidRPr="00C140A8">
        <w:rPr>
          <w:rFonts w:ascii="Georgia" w:hAnsi="Georgia" w:cs="Calibri"/>
          <w:sz w:val="22"/>
          <w:szCs w:val="22"/>
          <w:lang w:val="nl-NL"/>
        </w:rPr>
        <w:t>Wenceslas</w:t>
      </w:r>
      <w:proofErr w:type="spellEnd"/>
      <w:r w:rsidR="00274E40" w:rsidRPr="00C140A8">
        <w:rPr>
          <w:rFonts w:ascii="Georgia" w:hAnsi="Georgia" w:cs="Calibri"/>
          <w:sz w:val="22"/>
          <w:szCs w:val="22"/>
          <w:lang w:val="nl-NL"/>
        </w:rPr>
        <w:t xml:space="preserve"> of van Johanna, andere op naam van hen beiden.</w:t>
      </w:r>
      <w:r w:rsidR="00274E40" w:rsidRPr="00C140A8">
        <w:rPr>
          <w:rStyle w:val="FootnoteReference"/>
          <w:rFonts w:ascii="Georgia" w:hAnsi="Georgia" w:cs="Calibri"/>
          <w:sz w:val="22"/>
          <w:szCs w:val="22"/>
          <w:lang w:val="nl-NL"/>
        </w:rPr>
        <w:t xml:space="preserve"> </w:t>
      </w:r>
      <w:r w:rsidR="00274E40" w:rsidRPr="00C140A8">
        <w:rPr>
          <w:rStyle w:val="FootnoteReference"/>
          <w:rFonts w:ascii="Georgia" w:hAnsi="Georgia" w:cs="Calibri"/>
          <w:sz w:val="22"/>
          <w:szCs w:val="22"/>
          <w:lang w:val="nl-NL"/>
        </w:rPr>
        <w:footnoteReference w:id="253"/>
      </w:r>
    </w:p>
    <w:p w14:paraId="0FEEAF70" w14:textId="47EB9920" w:rsidR="00274E40" w:rsidRPr="00C140A8" w:rsidRDefault="00274E4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Ten slotte wendde </w:t>
      </w:r>
      <w:r w:rsidR="00E32F51">
        <w:rPr>
          <w:rFonts w:ascii="Georgia" w:hAnsi="Georgia" w:cs="Calibri"/>
          <w:sz w:val="22"/>
          <w:szCs w:val="22"/>
          <w:lang w:val="nl-NL"/>
        </w:rPr>
        <w:t>Johanna</w:t>
      </w:r>
      <w:r w:rsidRPr="00C140A8">
        <w:rPr>
          <w:rFonts w:ascii="Georgia" w:hAnsi="Georgia" w:cs="Calibri"/>
          <w:sz w:val="22"/>
          <w:szCs w:val="22"/>
          <w:lang w:val="nl-NL"/>
        </w:rPr>
        <w:t xml:space="preserve"> de ontvangsten uit de proosdij ook aan voor het onderhoud van haar persoonlijke hofhouding. Talloze akten betreffen betalingen aan personeelsleden in haar dienst, zoals de verzorgers van haar jachthonden, kamermeisjes, haar kok en andere loyale dienaren.</w:t>
      </w:r>
      <w:r w:rsidRPr="00C140A8">
        <w:rPr>
          <w:rStyle w:val="FootnoteReference"/>
          <w:rFonts w:ascii="Georgia" w:hAnsi="Georgia" w:cs="Calibri"/>
          <w:sz w:val="22"/>
          <w:szCs w:val="22"/>
          <w:lang w:val="nl-NL"/>
        </w:rPr>
        <w:footnoteReference w:id="254"/>
      </w:r>
      <w:r w:rsidRPr="00C140A8">
        <w:rPr>
          <w:rFonts w:ascii="Georgia" w:hAnsi="Georgia" w:cs="Calibri"/>
          <w:sz w:val="22"/>
          <w:szCs w:val="22"/>
          <w:lang w:val="nl-NL"/>
        </w:rPr>
        <w:t xml:space="preserve">  </w:t>
      </w:r>
      <w:r w:rsidR="00D57E77">
        <w:rPr>
          <w:rFonts w:ascii="Georgia" w:hAnsi="Georgia" w:cs="Calibri"/>
          <w:sz w:val="22"/>
          <w:szCs w:val="22"/>
          <w:lang w:val="nl-NL"/>
        </w:rPr>
        <w:t xml:space="preserve">Johanna </w:t>
      </w:r>
      <w:r w:rsidR="00D57E77" w:rsidRPr="00D57E77">
        <w:rPr>
          <w:rFonts w:ascii="Georgia" w:hAnsi="Georgia" w:cs="Calibri"/>
          <w:sz w:val="22"/>
          <w:szCs w:val="22"/>
        </w:rPr>
        <w:t>betaalde hen veelal in natura uit, waarbij ze bijvoorbeeld mudden graan en blokken brandhout ontvingen voor hun eigen levensonderhoud</w:t>
      </w:r>
      <w:r w:rsidRPr="00C140A8">
        <w:rPr>
          <w:rFonts w:ascii="Georgia" w:hAnsi="Georgia" w:cs="Calibri"/>
          <w:sz w:val="22"/>
          <w:szCs w:val="22"/>
          <w:lang w:val="nl-NL"/>
        </w:rPr>
        <w:t xml:space="preserve">. Verder zijn er vermeldingen waarin zij het </w:t>
      </w:r>
      <w:proofErr w:type="spellStart"/>
      <w:r w:rsidR="007C5051" w:rsidRPr="00C140A8">
        <w:rPr>
          <w:rFonts w:ascii="Georgia" w:hAnsi="Georgia" w:cs="Calibri"/>
          <w:sz w:val="22"/>
          <w:szCs w:val="22"/>
          <w:lang w:val="nl-NL"/>
        </w:rPr>
        <w:t>dodehandsrecht</w:t>
      </w:r>
      <w:proofErr w:type="spellEnd"/>
      <w:r w:rsidRPr="00C140A8">
        <w:rPr>
          <w:rFonts w:ascii="Georgia" w:hAnsi="Georgia" w:cs="Calibri"/>
          <w:sz w:val="22"/>
          <w:szCs w:val="22"/>
          <w:lang w:val="nl-NL"/>
        </w:rPr>
        <w:t xml:space="preserve"> voor bepaalde personeelsleden kwijtschold. Zo bevestigde Johanna op 20 mei 1379 aan </w:t>
      </w:r>
      <w:proofErr w:type="spellStart"/>
      <w:r w:rsidRPr="00C140A8">
        <w:rPr>
          <w:rFonts w:ascii="Georgia" w:hAnsi="Georgia" w:cs="Calibri"/>
          <w:sz w:val="22"/>
          <w:szCs w:val="22"/>
          <w:lang w:val="nl-NL"/>
        </w:rPr>
        <w:t>Hawy</w:t>
      </w:r>
      <w:proofErr w:type="spellEnd"/>
      <w:r w:rsidRPr="00C140A8">
        <w:rPr>
          <w:rFonts w:ascii="Georgia" w:hAnsi="Georgia" w:cs="Calibri"/>
          <w:sz w:val="22"/>
          <w:szCs w:val="22"/>
          <w:lang w:val="nl-NL"/>
        </w:rPr>
        <w:t xml:space="preserve"> Le </w:t>
      </w:r>
      <w:proofErr w:type="spellStart"/>
      <w:r w:rsidRPr="00C140A8">
        <w:rPr>
          <w:rFonts w:ascii="Georgia" w:hAnsi="Georgia" w:cs="Calibri"/>
          <w:sz w:val="22"/>
          <w:szCs w:val="22"/>
          <w:lang w:val="nl-NL"/>
        </w:rPr>
        <w:t>Verde</w:t>
      </w:r>
      <w:proofErr w:type="spellEnd"/>
      <w:r w:rsidRPr="00C140A8">
        <w:rPr>
          <w:rFonts w:ascii="Georgia" w:hAnsi="Georgia" w:cs="Calibri"/>
          <w:sz w:val="22"/>
          <w:szCs w:val="22"/>
          <w:lang w:val="nl-NL"/>
        </w:rPr>
        <w:t xml:space="preserve"> dat zij was vrijgesteld van deze heffing, als beloning voor de trouwe diensten van zowel Adam, haar voormalige kok, als Jean </w:t>
      </w:r>
      <w:proofErr w:type="spellStart"/>
      <w:r w:rsidRPr="00C140A8">
        <w:rPr>
          <w:rFonts w:ascii="Georgia" w:hAnsi="Georgia" w:cs="Calibri"/>
          <w:sz w:val="22"/>
          <w:szCs w:val="22"/>
          <w:lang w:val="nl-NL"/>
        </w:rPr>
        <w:t>Mahet</w:t>
      </w:r>
      <w:proofErr w:type="spellEnd"/>
      <w:r w:rsidRPr="00C140A8">
        <w:rPr>
          <w:rFonts w:ascii="Georgia" w:hAnsi="Georgia" w:cs="Calibri"/>
          <w:sz w:val="22"/>
          <w:szCs w:val="22"/>
          <w:lang w:val="nl-NL"/>
        </w:rPr>
        <w:t>, haar voormalige valkenier.</w:t>
      </w:r>
      <w:r w:rsidRPr="00C140A8">
        <w:rPr>
          <w:rStyle w:val="FootnoteReference"/>
          <w:rFonts w:ascii="Georgia" w:hAnsi="Georgia" w:cs="Calibri"/>
          <w:sz w:val="22"/>
          <w:szCs w:val="22"/>
          <w:lang w:val="nl-NL"/>
        </w:rPr>
        <w:footnoteReference w:id="255"/>
      </w:r>
      <w:r w:rsidRPr="00C140A8">
        <w:rPr>
          <w:rFonts w:ascii="Georgia" w:hAnsi="Georgia" w:cs="Calibri"/>
          <w:sz w:val="22"/>
          <w:szCs w:val="22"/>
          <w:lang w:val="nl-NL"/>
        </w:rPr>
        <w:t xml:space="preserve"> </w:t>
      </w:r>
    </w:p>
    <w:p w14:paraId="20C7734C" w14:textId="474EA761" w:rsidR="00E032F5" w:rsidRPr="00C140A8" w:rsidRDefault="00274E4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De actieve betrokkenheid die uit de </w:t>
      </w:r>
      <w:proofErr w:type="spellStart"/>
      <w:r w:rsidRPr="00E32F51">
        <w:rPr>
          <w:rFonts w:ascii="Georgia" w:hAnsi="Georgia" w:cs="Calibri"/>
          <w:i/>
          <w:iCs/>
          <w:sz w:val="22"/>
          <w:szCs w:val="22"/>
          <w:lang w:val="nl-NL"/>
        </w:rPr>
        <w:t>vidimi</w:t>
      </w:r>
      <w:proofErr w:type="spellEnd"/>
      <w:r w:rsidRPr="00C140A8">
        <w:rPr>
          <w:rFonts w:ascii="Georgia" w:hAnsi="Georgia" w:cs="Calibri"/>
          <w:sz w:val="22"/>
          <w:szCs w:val="22"/>
          <w:lang w:val="nl-NL"/>
        </w:rPr>
        <w:t xml:space="preserve"> blijkt, toont dat Johanna bestuurlijk aanwezig bleef in </w:t>
      </w:r>
      <w:r w:rsidR="00435F7D">
        <w:rPr>
          <w:rFonts w:ascii="Georgia" w:hAnsi="Georgia" w:cs="Calibri"/>
          <w:sz w:val="22"/>
          <w:szCs w:val="22"/>
          <w:lang w:val="nl-NL"/>
        </w:rPr>
        <w:t>het</w:t>
      </w:r>
      <w:r w:rsidRPr="00C140A8">
        <w:rPr>
          <w:rFonts w:ascii="Georgia" w:hAnsi="Georgia" w:cs="Calibri"/>
          <w:sz w:val="22"/>
          <w:szCs w:val="22"/>
          <w:lang w:val="nl-NL"/>
        </w:rPr>
        <w:t xml:space="preserve"> Henegouwse </w:t>
      </w:r>
      <w:r w:rsidR="00435F7D">
        <w:rPr>
          <w:rFonts w:ascii="Georgia" w:hAnsi="Georgia" w:cs="Calibri"/>
          <w:sz w:val="22"/>
          <w:szCs w:val="22"/>
          <w:lang w:val="nl-NL"/>
        </w:rPr>
        <w:t>weduwegoed</w:t>
      </w:r>
      <w:r w:rsidRPr="00C140A8">
        <w:rPr>
          <w:rFonts w:ascii="Georgia" w:hAnsi="Georgia" w:cs="Calibri"/>
          <w:sz w:val="22"/>
          <w:szCs w:val="22"/>
          <w:lang w:val="nl-NL"/>
        </w:rPr>
        <w:t xml:space="preserve">, ook na 1366 toen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de facto eigenaar werd. Hij profiteerde inderdaad mee van de ontvangsten en hij was in het domein mee betrokken, maar Johanna’s rol bleef doorslaggevend. Die </w:t>
      </w:r>
      <w:r w:rsidR="00435F7D" w:rsidRPr="00C140A8">
        <w:rPr>
          <w:rFonts w:ascii="Georgia" w:hAnsi="Georgia" w:cs="Calibri"/>
          <w:sz w:val="22"/>
          <w:szCs w:val="22"/>
          <w:lang w:val="nl-NL"/>
        </w:rPr>
        <w:t>financiële</w:t>
      </w:r>
      <w:r w:rsidR="00E32F51" w:rsidRPr="00C140A8">
        <w:rPr>
          <w:rFonts w:ascii="Georgia" w:hAnsi="Georgia" w:cs="Calibri"/>
          <w:sz w:val="22"/>
          <w:szCs w:val="22"/>
          <w:lang w:val="nl-NL"/>
        </w:rPr>
        <w:t xml:space="preserve"> verwevenheid</w:t>
      </w:r>
      <w:r w:rsidRPr="00C140A8">
        <w:rPr>
          <w:rFonts w:ascii="Georgia" w:hAnsi="Georgia" w:cs="Calibri"/>
          <w:sz w:val="22"/>
          <w:szCs w:val="22"/>
          <w:lang w:val="nl-NL"/>
        </w:rPr>
        <w:t xml:space="preserve"> is overigens historisch goed te verklaren. Als regerend vorstenpaar opereerden zij als een politiek-economische eenheid en droegen zij gezamenlijk de zware lasten en schulden van hun gebieden. Het inzetten van de inkomsten uit haar weduwengoed was binnen dat partnerschap een pragmatische noodzaak. Het is bijgevolg des te significanter dat Johanna binnen deze gedeelde economische realiteit blijvend haar eigen stempel op het lokale beheer weet te drukken </w:t>
      </w:r>
    </w:p>
    <w:p w14:paraId="2174FCCB" w14:textId="77777777" w:rsidR="00274E40" w:rsidRPr="00C140A8" w:rsidRDefault="00274E40" w:rsidP="00192268">
      <w:pPr>
        <w:pStyle w:val="ThesisHeading"/>
        <w:rPr>
          <w:lang w:val="nl-NL"/>
        </w:rPr>
      </w:pPr>
      <w:bookmarkStart w:id="153" w:name="_Toc231153776"/>
      <w:bookmarkStart w:id="154" w:name="_Toc231329845"/>
      <w:bookmarkStart w:id="155" w:name="_Toc231330452"/>
      <w:bookmarkStart w:id="156" w:name="_Toc231428046"/>
      <w:bookmarkStart w:id="157" w:name="_Toc231463607"/>
      <w:r w:rsidRPr="00C140A8">
        <w:rPr>
          <w:lang w:val="nl-NL"/>
        </w:rPr>
        <w:t>Conclusie</w:t>
      </w:r>
      <w:bookmarkEnd w:id="153"/>
      <w:bookmarkEnd w:id="154"/>
      <w:bookmarkEnd w:id="155"/>
      <w:bookmarkEnd w:id="156"/>
      <w:bookmarkEnd w:id="157"/>
    </w:p>
    <w:p w14:paraId="2012AEAC" w14:textId="2BFD4439" w:rsidR="00274E40" w:rsidRPr="00C140A8" w:rsidRDefault="00274E4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Zoals de recente historiografie binnen de </w:t>
      </w:r>
      <w:proofErr w:type="spellStart"/>
      <w:r w:rsidRPr="00C140A8">
        <w:rPr>
          <w:rFonts w:ascii="Georgia" w:hAnsi="Georgia" w:cs="Calibri"/>
          <w:i/>
          <w:iCs/>
          <w:sz w:val="22"/>
          <w:szCs w:val="22"/>
          <w:lang w:val="nl-NL"/>
        </w:rPr>
        <w:t>queenship</w:t>
      </w:r>
      <w:proofErr w:type="spellEnd"/>
      <w:r w:rsidRPr="00C140A8">
        <w:rPr>
          <w:rFonts w:ascii="Georgia" w:hAnsi="Georgia" w:cs="Calibri"/>
          <w:sz w:val="22"/>
          <w:szCs w:val="22"/>
          <w:lang w:val="nl-NL"/>
        </w:rPr>
        <w:t xml:space="preserve">-studies aantoont, vormden persoonlijke financiën een eerste pijler van de feitelijke machtsuitoefening van middeleeuwse vorstinnen. Het stelde hen in staat om beleid te voeren. Ook Johanna beschikte over een dergelijke financiële basis, hoewel die niet altijd even ruim gespijsd was en de inkomsten uit haar </w:t>
      </w:r>
      <w:proofErr w:type="spellStart"/>
      <w:r w:rsidRPr="00C140A8">
        <w:rPr>
          <w:rFonts w:ascii="Georgia" w:hAnsi="Georgia" w:cs="Calibri"/>
          <w:sz w:val="22"/>
          <w:szCs w:val="22"/>
          <w:lang w:val="nl-NL"/>
        </w:rPr>
        <w:t>weduwegoeden</w:t>
      </w:r>
      <w:proofErr w:type="spellEnd"/>
      <w:r w:rsidRPr="00C140A8">
        <w:rPr>
          <w:rFonts w:ascii="Georgia" w:hAnsi="Georgia" w:cs="Calibri"/>
          <w:sz w:val="22"/>
          <w:szCs w:val="22"/>
          <w:lang w:val="nl-NL"/>
        </w:rPr>
        <w:t xml:space="preserve"> lang niet altijd vlot doorvloeiden. De voorgaande analyse toonde aan dat zij die middelen wel degelijk actief inzette. In de lokale context van Binche bekostigde zij niet </w:t>
      </w:r>
      <w:r w:rsidRPr="00C140A8">
        <w:rPr>
          <w:rFonts w:ascii="Georgia" w:hAnsi="Georgia" w:cs="Calibri"/>
          <w:sz w:val="22"/>
          <w:szCs w:val="22"/>
          <w:lang w:val="nl-NL"/>
        </w:rPr>
        <w:lastRenderedPageBreak/>
        <w:t xml:space="preserve">alleen het onderhoud van haar hofhouding en de uitbetaling van haar personeel, maar deed ze ook gerichte schenkingen aan religieuze instellingen, diplomatieke missies en juridische interventies ten gunste van haar onderdanen. De vraag rijst of dit patroon van uitgaven en activiteiten zich tot deze lokale context beperkte, of dat zij dezelfde </w:t>
      </w:r>
      <w:proofErr w:type="spellStart"/>
      <w:r w:rsidRPr="00C140A8">
        <w:rPr>
          <w:rFonts w:ascii="Georgia" w:hAnsi="Georgia" w:cs="Calibri"/>
          <w:sz w:val="22"/>
          <w:szCs w:val="22"/>
          <w:lang w:val="nl-NL"/>
        </w:rPr>
        <w:t>bestuursbijdrage</w:t>
      </w:r>
      <w:proofErr w:type="spellEnd"/>
      <w:r w:rsidRPr="00C140A8">
        <w:rPr>
          <w:rFonts w:ascii="Georgia" w:hAnsi="Georgia" w:cs="Calibri"/>
          <w:sz w:val="22"/>
          <w:szCs w:val="22"/>
          <w:lang w:val="nl-NL"/>
        </w:rPr>
        <w:t xml:space="preserve"> ook op een breder Brabants niveau wist door te zetten. De volgende hoofdstukken verleggen daarom de focus naar de eerste drie pijlers van haar vorstelijk handelen op grotere schaal: haar bemiddeling in conflicten, haar diplomatieke netwerk en haar liefdadigheid in combinatie met haar religieuze patronage en mecenaat. </w:t>
      </w:r>
    </w:p>
    <w:p w14:paraId="335C3C68" w14:textId="77777777" w:rsidR="00612C73" w:rsidRPr="00C140A8" w:rsidRDefault="00612C73" w:rsidP="00C140A8">
      <w:pPr>
        <w:spacing w:afterLines="80" w:after="192" w:line="360" w:lineRule="auto"/>
        <w:rPr>
          <w:rFonts w:ascii="Georgia" w:hAnsi="Georgia" w:cs="Calibri"/>
          <w:sz w:val="22"/>
          <w:szCs w:val="22"/>
          <w:lang w:val="nl-NL"/>
        </w:rPr>
      </w:pPr>
      <w:r w:rsidRPr="00C140A8">
        <w:rPr>
          <w:rFonts w:ascii="Georgia" w:hAnsi="Georgia" w:cs="Calibri"/>
          <w:sz w:val="22"/>
          <w:szCs w:val="22"/>
          <w:lang w:val="nl-NL"/>
        </w:rPr>
        <w:br w:type="page"/>
      </w:r>
    </w:p>
    <w:p w14:paraId="2D805685" w14:textId="1FE0D5A0" w:rsidR="00B817F0" w:rsidRPr="00C140A8" w:rsidRDefault="00D82A74" w:rsidP="00D83A0D">
      <w:pPr>
        <w:pStyle w:val="ThesisSection"/>
        <w:pBdr>
          <w:bottom w:val="single" w:sz="4" w:space="1" w:color="auto"/>
        </w:pBdr>
        <w:spacing w:after="0"/>
        <w:rPr>
          <w:lang w:val="nl-NL"/>
        </w:rPr>
      </w:pPr>
      <w:bookmarkStart w:id="158" w:name="_Toc231463608"/>
      <w:bookmarkStart w:id="159" w:name="OLE_LINK1"/>
      <w:bookmarkStart w:id="160" w:name="OLE_LINK2"/>
      <w:r>
        <w:rPr>
          <w:lang w:val="nl-NL"/>
        </w:rPr>
        <w:lastRenderedPageBreak/>
        <w:t>Diplomatie en netwerken</w:t>
      </w:r>
      <w:bookmarkEnd w:id="158"/>
    </w:p>
    <w:p w14:paraId="72A6CE43" w14:textId="3D277D4C" w:rsidR="00B817F0" w:rsidRPr="00C140A8" w:rsidRDefault="00B817F0" w:rsidP="00D83A0D">
      <w:pPr>
        <w:spacing w:before="240"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Macht werd traditioneel gezien als een verticale verhouding.</w:t>
      </w:r>
      <w:r w:rsidRPr="00C140A8">
        <w:rPr>
          <w:rStyle w:val="FootnoteReference"/>
          <w:rFonts w:ascii="Georgia" w:hAnsi="Georgia" w:cs="Calibri"/>
          <w:sz w:val="22"/>
          <w:szCs w:val="22"/>
          <w:lang w:val="nl-NL"/>
        </w:rPr>
        <w:footnoteReference w:id="256"/>
      </w:r>
      <w:r w:rsidRPr="00C140A8">
        <w:rPr>
          <w:rFonts w:ascii="Georgia" w:hAnsi="Georgia" w:cs="Calibri"/>
          <w:sz w:val="22"/>
          <w:szCs w:val="22"/>
          <w:lang w:val="nl-NL"/>
        </w:rPr>
        <w:t xml:space="preserve"> In een overwegend patriarchale wereld stroomde de macht, vaak in naam van God gelegitimeerd, van bovenaf naar beneden. Het was de taak van de vorst om te heersen en die macht te laten doorsijpelen naar alle lagen van de maatschappij.</w:t>
      </w:r>
      <w:r w:rsidRPr="00C140A8">
        <w:rPr>
          <w:rStyle w:val="FootnoteReference"/>
          <w:rFonts w:ascii="Georgia" w:hAnsi="Georgia" w:cs="Calibri"/>
          <w:sz w:val="22"/>
          <w:szCs w:val="22"/>
          <w:lang w:val="nl-NL"/>
        </w:rPr>
        <w:footnoteReference w:id="257"/>
      </w:r>
      <w:r w:rsidRPr="00C140A8">
        <w:rPr>
          <w:rFonts w:ascii="Georgia" w:hAnsi="Georgia" w:cs="Calibri"/>
          <w:sz w:val="22"/>
          <w:szCs w:val="22"/>
          <w:lang w:val="nl-NL"/>
        </w:rPr>
        <w:t xml:space="preserve"> Binnen die structuur hadden vrouwen geen plaats. Sinds het opkomen van de gender- en </w:t>
      </w:r>
      <w:proofErr w:type="spellStart"/>
      <w:r w:rsidRPr="00C140A8">
        <w:rPr>
          <w:rFonts w:ascii="Georgia" w:hAnsi="Georgia" w:cs="Calibri"/>
          <w:i/>
          <w:iCs/>
          <w:sz w:val="22"/>
          <w:szCs w:val="22"/>
          <w:lang w:val="nl-NL"/>
        </w:rPr>
        <w:t>queenship</w:t>
      </w:r>
      <w:proofErr w:type="spellEnd"/>
      <w:r w:rsidR="00AB1FCC" w:rsidRPr="00C140A8">
        <w:rPr>
          <w:rFonts w:ascii="Georgia" w:hAnsi="Georgia" w:cs="Calibri"/>
          <w:sz w:val="22"/>
          <w:szCs w:val="22"/>
          <w:lang w:val="nl-NL"/>
        </w:rPr>
        <w:t>-</w:t>
      </w:r>
      <w:r w:rsidRPr="00C140A8">
        <w:rPr>
          <w:rFonts w:ascii="Georgia" w:hAnsi="Georgia" w:cs="Calibri"/>
          <w:sz w:val="22"/>
          <w:szCs w:val="22"/>
          <w:lang w:val="nl-NL"/>
        </w:rPr>
        <w:t xml:space="preserve">studies treedt een nieuwe benadering van monarchie op de voorgrond, eentje die hand in hand gaat met het groeiende besef dat de middeleeuwen veeleer getypeerd werden door een </w:t>
      </w:r>
      <w:proofErr w:type="spellStart"/>
      <w:r w:rsidRPr="00C140A8">
        <w:rPr>
          <w:rFonts w:ascii="Georgia" w:hAnsi="Georgia" w:cs="Calibri"/>
          <w:sz w:val="22"/>
          <w:szCs w:val="22"/>
          <w:lang w:val="nl-NL"/>
        </w:rPr>
        <w:t>polycentrisch</w:t>
      </w:r>
      <w:proofErr w:type="spellEnd"/>
      <w:r w:rsidRPr="00C140A8">
        <w:rPr>
          <w:rFonts w:ascii="Georgia" w:hAnsi="Georgia" w:cs="Calibri"/>
          <w:sz w:val="22"/>
          <w:szCs w:val="22"/>
          <w:lang w:val="nl-NL"/>
        </w:rPr>
        <w:t xml:space="preserve"> stelsel van macht.</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258"/>
      </w:r>
      <w:r w:rsidRPr="00C140A8">
        <w:rPr>
          <w:rFonts w:ascii="Georgia" w:hAnsi="Georgia" w:cs="Calibri"/>
          <w:sz w:val="22"/>
          <w:szCs w:val="22"/>
          <w:lang w:val="nl-NL"/>
        </w:rPr>
        <w:t xml:space="preserve"> Middeleeuwse macht ging een brede waaier aan belangengroepen aan, wier gehoorzaamheid tegenover hun vorst in zekere zin contractueel bepaald werd. Het was geen eenvoudige hiërarchische piramide, maar een breed en complex netwerk van sterk verweven relaties van afhankelijkheid, wederkerigheid en vertrouwen.</w:t>
      </w:r>
      <w:r w:rsidRPr="00C140A8">
        <w:rPr>
          <w:rStyle w:val="FootnoteReference"/>
          <w:rFonts w:ascii="Georgia" w:hAnsi="Georgia" w:cs="Calibri"/>
          <w:sz w:val="22"/>
          <w:szCs w:val="22"/>
          <w:lang w:val="nl-NL"/>
        </w:rPr>
        <w:footnoteReference w:id="259"/>
      </w:r>
      <w:r w:rsidRPr="00C140A8">
        <w:rPr>
          <w:rFonts w:ascii="Georgia" w:hAnsi="Georgia" w:cs="Calibri"/>
          <w:sz w:val="22"/>
          <w:szCs w:val="22"/>
          <w:lang w:val="nl-NL"/>
        </w:rPr>
        <w:t xml:space="preserve"> </w:t>
      </w:r>
    </w:p>
    <w:p w14:paraId="0443E079" w14:textId="651D5D67" w:rsidR="00B817F0" w:rsidRPr="00C140A8" w:rsidRDefault="00B817F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Persoonlijke connecties zijn daarom cruciaal binnen de middeleeuwse politiek. Vorsten en vorstinnen die in het buitenland trouwden en naar een nieuw gebied verhuisden, behielden vaak vitale connecties met hun herkomstgebied.</w:t>
      </w:r>
      <w:r w:rsidRPr="00C140A8">
        <w:rPr>
          <w:rStyle w:val="FootnoteReference"/>
          <w:rFonts w:ascii="Georgia" w:hAnsi="Georgia" w:cs="Calibri"/>
          <w:sz w:val="22"/>
          <w:szCs w:val="22"/>
          <w:lang w:val="nl-NL"/>
        </w:rPr>
        <w:footnoteReference w:id="260"/>
      </w:r>
      <w:r w:rsidRPr="00C140A8">
        <w:rPr>
          <w:rFonts w:ascii="Georgia" w:hAnsi="Georgia" w:cs="Calibri"/>
          <w:sz w:val="22"/>
          <w:szCs w:val="22"/>
          <w:lang w:val="nl-NL"/>
        </w:rPr>
        <w:t xml:space="preserve"> Macht werd dus niet alleen sterk bepaald door de familie waarin men terechtkwam, maar bleef ook afhankelijk van iemands positie binnen de eigen familie. De vorstin was hierin een cruciale speler</w:t>
      </w:r>
      <w:r w:rsidR="00484647">
        <w:rPr>
          <w:rFonts w:ascii="Georgia" w:hAnsi="Georgia" w:cs="Calibri"/>
          <w:sz w:val="22"/>
          <w:szCs w:val="22"/>
          <w:lang w:val="nl-NL"/>
        </w:rPr>
        <w:t>. Z</w:t>
      </w:r>
      <w:r w:rsidRPr="00C140A8">
        <w:rPr>
          <w:rFonts w:ascii="Georgia" w:hAnsi="Georgia" w:cs="Calibri"/>
          <w:sz w:val="22"/>
          <w:szCs w:val="22"/>
          <w:lang w:val="nl-NL"/>
        </w:rPr>
        <w:t>ij smeedde netwerken, allianties en affiniteiten, zowel dichtbij huis, binnen haar gezin, met haar echtgenoot en binnen haar huishouden, als in bredere kringen met haar eigen en aangetrouwde familie, vrienden, de clerus, andere vrouwelijke netwerken en buitenlandse koningshuizen.</w:t>
      </w:r>
      <w:r w:rsidRPr="00C140A8">
        <w:rPr>
          <w:rStyle w:val="FootnoteReference"/>
          <w:rFonts w:ascii="Georgia" w:hAnsi="Georgia" w:cs="Calibri"/>
          <w:sz w:val="22"/>
          <w:szCs w:val="22"/>
          <w:lang w:val="nl-NL"/>
        </w:rPr>
        <w:footnoteReference w:id="261"/>
      </w:r>
      <w:r w:rsidRPr="00C140A8">
        <w:rPr>
          <w:rFonts w:ascii="Georgia" w:hAnsi="Georgia" w:cs="Calibri"/>
          <w:sz w:val="22"/>
          <w:szCs w:val="22"/>
          <w:lang w:val="nl-NL"/>
        </w:rPr>
        <w:t xml:space="preserve"> Toch wordt haar vitale rol in deze netwerken nog vaak over het hoofd gezien. Ook binnen de populariteit van de diplomatieke geschiedenis in de negentiende en twintigste eeuw bleef haar diplomatieke bijdrage </w:t>
      </w:r>
      <w:r w:rsidR="009C32C2">
        <w:rPr>
          <w:rFonts w:ascii="Georgia" w:hAnsi="Georgia" w:cs="Calibri"/>
          <w:sz w:val="22"/>
          <w:szCs w:val="22"/>
          <w:lang w:val="nl-NL"/>
        </w:rPr>
        <w:t>onderbelicht</w:t>
      </w:r>
      <w:r w:rsidRPr="00C140A8">
        <w:rPr>
          <w:rFonts w:ascii="Georgia" w:hAnsi="Georgia" w:cs="Calibri"/>
          <w:sz w:val="22"/>
          <w:szCs w:val="22"/>
          <w:lang w:val="nl-NL"/>
        </w:rPr>
        <w:t>.</w:t>
      </w:r>
      <w:r w:rsidRPr="00C140A8">
        <w:rPr>
          <w:rStyle w:val="FootnoteReference"/>
          <w:rFonts w:ascii="Georgia" w:hAnsi="Georgia" w:cs="Calibri"/>
          <w:sz w:val="22"/>
          <w:szCs w:val="22"/>
          <w:lang w:val="nl-NL"/>
        </w:rPr>
        <w:footnoteReference w:id="262"/>
      </w:r>
      <w:r w:rsidRPr="00C140A8">
        <w:rPr>
          <w:rFonts w:ascii="Georgia" w:hAnsi="Georgia" w:cs="Calibri"/>
          <w:sz w:val="22"/>
          <w:szCs w:val="22"/>
          <w:lang w:val="nl-NL"/>
        </w:rPr>
        <w:t xml:space="preserve"> </w:t>
      </w:r>
      <w:r w:rsidR="006C0DD5" w:rsidRPr="006C0DD5">
        <w:rPr>
          <w:rFonts w:ascii="Georgia" w:hAnsi="Georgia" w:cs="Calibri"/>
          <w:sz w:val="22"/>
          <w:szCs w:val="22"/>
          <w:lang w:val="nl-NL"/>
        </w:rPr>
        <w:t>I</w:t>
      </w:r>
      <w:r w:rsidR="006C0DD5" w:rsidRPr="006C0DD5">
        <w:rPr>
          <w:rFonts w:ascii="Georgia" w:hAnsi="Georgia" w:cs="Calibri"/>
          <w:sz w:val="22"/>
          <w:szCs w:val="22"/>
        </w:rPr>
        <w:t>n de praktijk blijkt dat in de middeleeuwen die diplomatieke bijdrage wel degelijk van haar verwacht werd</w:t>
      </w:r>
      <w:r w:rsidRPr="006C0DD5">
        <w:rPr>
          <w:rFonts w:ascii="Georgia" w:hAnsi="Georgia" w:cs="Calibri"/>
          <w:sz w:val="22"/>
          <w:szCs w:val="22"/>
          <w:lang w:val="nl-NL"/>
        </w:rPr>
        <w:t>.</w:t>
      </w:r>
      <w:r w:rsidRPr="006C0DD5">
        <w:rPr>
          <w:rStyle w:val="FootnoteReference"/>
          <w:rFonts w:ascii="Georgia" w:hAnsi="Georgia" w:cs="Calibri"/>
          <w:sz w:val="22"/>
          <w:szCs w:val="22"/>
          <w:lang w:val="nl-NL"/>
        </w:rPr>
        <w:footnoteReference w:id="263"/>
      </w:r>
      <w:r w:rsidRPr="00C140A8">
        <w:rPr>
          <w:rFonts w:ascii="Georgia" w:hAnsi="Georgia" w:cs="Calibri"/>
          <w:sz w:val="22"/>
          <w:szCs w:val="22"/>
          <w:lang w:val="nl-NL"/>
        </w:rPr>
        <w:t xml:space="preserve"> </w:t>
      </w:r>
    </w:p>
    <w:p w14:paraId="52CEED52" w14:textId="584643B5" w:rsidR="009C32C2" w:rsidRDefault="00B817F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Johanna van Brabant is een treffend voorbeeld van een vorstin wier macht zich langs deze horizontale, relationele lijnen ontvouwde. In dit hoofdstuk staa</w:t>
      </w:r>
      <w:r w:rsidR="004230E4">
        <w:rPr>
          <w:rFonts w:ascii="Georgia" w:hAnsi="Georgia" w:cs="Calibri"/>
          <w:sz w:val="22"/>
          <w:szCs w:val="22"/>
          <w:lang w:val="nl-NL"/>
        </w:rPr>
        <w:t xml:space="preserve">t </w:t>
      </w:r>
      <w:r w:rsidRPr="00C140A8">
        <w:rPr>
          <w:rFonts w:ascii="Georgia" w:hAnsi="Georgia" w:cs="Calibri"/>
          <w:sz w:val="22"/>
          <w:szCs w:val="22"/>
          <w:lang w:val="nl-NL"/>
        </w:rPr>
        <w:t xml:space="preserve">haar diplomatieke rol en het beheer van haar netwerken centraal. Johanna was een actieve en zelfstandige vrouw. Ze vervulde een diplomatieke rol die complementair was aan die van haar man. Waar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w:t>
      </w:r>
      <w:r w:rsidRPr="00C140A8">
        <w:rPr>
          <w:rFonts w:ascii="Georgia" w:hAnsi="Georgia" w:cs="Calibri"/>
          <w:sz w:val="22"/>
          <w:szCs w:val="22"/>
          <w:lang w:val="nl-NL"/>
        </w:rPr>
        <w:lastRenderedPageBreak/>
        <w:t xml:space="preserve">zich richtte op het bredere Europese en keizerlijke toneel, waar zijn eigen vorstendom Luxemburg in was ingebed, lag Johanna's focus voornamelijk op de netwerken waarvan Brabants dagelijks functioneren afhankelijk was. </w:t>
      </w:r>
    </w:p>
    <w:p w14:paraId="665A6CCA" w14:textId="25DA23EB" w:rsidR="00330801" w:rsidRDefault="00B817F0" w:rsidP="0022103F">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Allereerst </w:t>
      </w:r>
      <w:r w:rsidR="000C7FE5">
        <w:rPr>
          <w:rFonts w:ascii="Georgia" w:hAnsi="Georgia" w:cs="Calibri"/>
          <w:sz w:val="22"/>
          <w:szCs w:val="22"/>
          <w:lang w:val="nl-NL"/>
        </w:rPr>
        <w:t>bespreekt</w:t>
      </w:r>
      <w:r w:rsidR="009C32C2">
        <w:rPr>
          <w:rFonts w:ascii="Georgia" w:hAnsi="Georgia" w:cs="Calibri"/>
          <w:sz w:val="22"/>
          <w:szCs w:val="22"/>
          <w:lang w:val="nl-NL"/>
        </w:rPr>
        <w:t xml:space="preserve"> dit hoofdstuk</w:t>
      </w:r>
      <w:r w:rsidRPr="00C140A8">
        <w:rPr>
          <w:rFonts w:ascii="Georgia" w:hAnsi="Georgia" w:cs="Calibri"/>
          <w:sz w:val="22"/>
          <w:szCs w:val="22"/>
          <w:lang w:val="nl-NL"/>
        </w:rPr>
        <w:t xml:space="preserve"> de voornaamste taak die traditioneel aan de middeleeuwse vorstin wordt toegeschreven: de bemiddeling. </w:t>
      </w:r>
      <w:r w:rsidR="0022103F">
        <w:rPr>
          <w:rFonts w:ascii="Georgia" w:hAnsi="Georgia" w:cs="Calibri"/>
          <w:sz w:val="22"/>
          <w:szCs w:val="22"/>
          <w:lang w:val="nl-NL"/>
        </w:rPr>
        <w:t>Nadien moeten de praktijkbronnen de aard, de frequentie en de autonomie van Johanna’s interventies verduidelijken.</w:t>
      </w:r>
      <w:r w:rsidRPr="00C140A8">
        <w:rPr>
          <w:rFonts w:ascii="Georgia" w:hAnsi="Georgia" w:cs="Calibri"/>
          <w:sz w:val="22"/>
          <w:szCs w:val="22"/>
          <w:lang w:val="nl-NL"/>
        </w:rPr>
        <w:t xml:space="preserve"> Vervolgens </w:t>
      </w:r>
      <w:r w:rsidR="000C7FE5">
        <w:rPr>
          <w:rFonts w:ascii="Georgia" w:hAnsi="Georgia" w:cs="Calibri"/>
          <w:sz w:val="22"/>
          <w:szCs w:val="22"/>
          <w:lang w:val="nl-NL"/>
        </w:rPr>
        <w:t xml:space="preserve">verschuift de aandacht naar de </w:t>
      </w:r>
      <w:r w:rsidRPr="00C140A8">
        <w:rPr>
          <w:rFonts w:ascii="Georgia" w:hAnsi="Georgia" w:cs="Calibri"/>
          <w:sz w:val="22"/>
          <w:szCs w:val="22"/>
          <w:lang w:val="nl-NL"/>
        </w:rPr>
        <w:t xml:space="preserve">middelen </w:t>
      </w:r>
      <w:r w:rsidR="000C7FE5">
        <w:rPr>
          <w:rFonts w:ascii="Georgia" w:hAnsi="Georgia" w:cs="Calibri"/>
          <w:sz w:val="22"/>
          <w:szCs w:val="22"/>
          <w:lang w:val="nl-NL"/>
        </w:rPr>
        <w:t xml:space="preserve">die </w:t>
      </w:r>
      <w:r w:rsidRPr="00C140A8">
        <w:rPr>
          <w:rFonts w:ascii="Georgia" w:hAnsi="Georgia" w:cs="Calibri"/>
          <w:sz w:val="22"/>
          <w:szCs w:val="22"/>
          <w:lang w:val="nl-NL"/>
        </w:rPr>
        <w:t>ze tot haar beschikking had om die diplomatieke rol te vervullen.</w:t>
      </w:r>
      <w:r w:rsidR="00330801">
        <w:rPr>
          <w:rFonts w:ascii="Georgia" w:hAnsi="Georgia" w:cs="Calibri"/>
          <w:sz w:val="22"/>
          <w:szCs w:val="22"/>
          <w:lang w:val="nl-NL"/>
        </w:rPr>
        <w:t xml:space="preserve"> </w:t>
      </w:r>
      <w:r w:rsidR="002711A3" w:rsidRPr="002711A3">
        <w:rPr>
          <w:rFonts w:ascii="Georgia" w:hAnsi="Georgia" w:cs="Calibri"/>
          <w:sz w:val="22"/>
          <w:szCs w:val="22"/>
        </w:rPr>
        <w:t>Haar bemiddeling, reizen, bodenverkeer, geschenkuitwisseling en entertainment tonen aan dat Johanna en Wenceslas als één gezamenlijk bestuur opereerden, waarbij zij weliswaar verschillende taken op zich namen, maar deze op complementaire wijze invulden</w:t>
      </w:r>
    </w:p>
    <w:p w14:paraId="1C550F1F" w14:textId="77777777" w:rsidR="00B817F0" w:rsidRPr="00C140A8" w:rsidRDefault="00B817F0" w:rsidP="00D83A0D">
      <w:pPr>
        <w:pStyle w:val="ThesisHeading"/>
        <w:spacing w:after="0"/>
        <w:rPr>
          <w:lang w:val="nl-NL"/>
        </w:rPr>
      </w:pPr>
      <w:bookmarkStart w:id="161" w:name="_Toc230171740"/>
      <w:bookmarkStart w:id="162" w:name="_Toc230171770"/>
      <w:bookmarkStart w:id="163" w:name="_Toc230171840"/>
      <w:bookmarkStart w:id="164" w:name="_Toc231153778"/>
      <w:bookmarkStart w:id="165" w:name="_Toc231329847"/>
      <w:bookmarkStart w:id="166" w:name="_Toc231330454"/>
      <w:bookmarkStart w:id="167" w:name="_Toc231428048"/>
      <w:bookmarkStart w:id="168" w:name="_Toc231463609"/>
      <w:r w:rsidRPr="00C140A8">
        <w:rPr>
          <w:lang w:val="nl-NL"/>
        </w:rPr>
        <w:t xml:space="preserve">Johanna als </w:t>
      </w:r>
      <w:proofErr w:type="spellStart"/>
      <w:r w:rsidRPr="00D83A0D">
        <w:t>bemiddelaarster</w:t>
      </w:r>
      <w:bookmarkEnd w:id="161"/>
      <w:bookmarkEnd w:id="162"/>
      <w:bookmarkEnd w:id="163"/>
      <w:bookmarkEnd w:id="164"/>
      <w:bookmarkEnd w:id="165"/>
      <w:bookmarkEnd w:id="166"/>
      <w:bookmarkEnd w:id="167"/>
      <w:bookmarkEnd w:id="168"/>
      <w:proofErr w:type="spellEnd"/>
    </w:p>
    <w:p w14:paraId="0631E61E" w14:textId="77777777" w:rsidR="00B817F0" w:rsidRPr="00C140A8" w:rsidRDefault="00B817F0" w:rsidP="00D83A0D">
      <w:pPr>
        <w:pStyle w:val="ThesisSubheading"/>
        <w:spacing w:before="0"/>
        <w:ind w:left="1134" w:hanging="1134"/>
        <w:rPr>
          <w:lang w:val="nl-NL"/>
        </w:rPr>
      </w:pPr>
      <w:bookmarkStart w:id="169" w:name="_Toc230171841"/>
      <w:bookmarkStart w:id="170" w:name="_Toc231153779"/>
      <w:bookmarkStart w:id="171" w:name="_Toc231329848"/>
      <w:bookmarkStart w:id="172" w:name="_Toc231330455"/>
      <w:bookmarkStart w:id="173" w:name="_Toc231428049"/>
      <w:r w:rsidRPr="00C140A8">
        <w:rPr>
          <w:lang w:val="nl-NL"/>
        </w:rPr>
        <w:t xml:space="preserve">Het literaire model: </w:t>
      </w:r>
      <w:proofErr w:type="spellStart"/>
      <w:r w:rsidRPr="00C140A8">
        <w:rPr>
          <w:lang w:val="nl-NL"/>
        </w:rPr>
        <w:t>Froissart</w:t>
      </w:r>
      <w:proofErr w:type="spellEnd"/>
      <w:r w:rsidRPr="00C140A8">
        <w:rPr>
          <w:lang w:val="nl-NL"/>
        </w:rPr>
        <w:t xml:space="preserve"> en de </w:t>
      </w:r>
      <w:proofErr w:type="spellStart"/>
      <w:r w:rsidRPr="00D83A0D">
        <w:t>bemiddelende</w:t>
      </w:r>
      <w:proofErr w:type="spellEnd"/>
      <w:r w:rsidRPr="00C140A8">
        <w:rPr>
          <w:lang w:val="nl-NL"/>
        </w:rPr>
        <w:t xml:space="preserve"> vorstin</w:t>
      </w:r>
      <w:bookmarkEnd w:id="169"/>
      <w:bookmarkEnd w:id="170"/>
      <w:bookmarkEnd w:id="171"/>
      <w:bookmarkEnd w:id="172"/>
      <w:bookmarkEnd w:id="173"/>
    </w:p>
    <w:p w14:paraId="19341AE3" w14:textId="01F15ABD" w:rsidR="005E6036" w:rsidRDefault="00B817F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Op 29 juli 1376 zwoeren Johanna van Brabant en Margaretha, hertogin van Beieren, plechtig dat zij zich met al hun krachten zouden inzetten om de levenslange alliantie tussen hun echtgenoten,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en Albrecht van Beieren, in stand te houden en zo de vrede tussen beide gebieden te bewaren.</w:t>
      </w:r>
      <w:r w:rsidRPr="00C140A8">
        <w:rPr>
          <w:rStyle w:val="FootnoteReference"/>
          <w:rFonts w:ascii="Georgia" w:hAnsi="Georgia" w:cs="Calibri"/>
          <w:sz w:val="22"/>
          <w:szCs w:val="22"/>
          <w:lang w:val="nl-NL"/>
        </w:rPr>
        <w:footnoteReference w:id="264"/>
      </w:r>
      <w:r w:rsidRPr="00C140A8">
        <w:rPr>
          <w:rFonts w:ascii="Georgia" w:hAnsi="Georgia" w:cs="Calibri"/>
          <w:sz w:val="22"/>
          <w:szCs w:val="22"/>
          <w:lang w:val="nl-NL"/>
        </w:rPr>
        <w:t xml:space="preserve"> In de desbetreffende </w:t>
      </w:r>
      <w:r w:rsidR="0022103F">
        <w:rPr>
          <w:rFonts w:ascii="Georgia" w:hAnsi="Georgia" w:cs="Calibri"/>
          <w:sz w:val="22"/>
          <w:szCs w:val="22"/>
          <w:lang w:val="nl-NL"/>
        </w:rPr>
        <w:t>akte</w:t>
      </w:r>
      <w:r w:rsidRPr="00C140A8">
        <w:rPr>
          <w:rFonts w:ascii="Georgia" w:hAnsi="Georgia" w:cs="Calibri"/>
          <w:sz w:val="22"/>
          <w:szCs w:val="22"/>
          <w:lang w:val="nl-NL"/>
        </w:rPr>
        <w:t xml:space="preserve"> komt duidelijk het beeld van de vorstin als een vredebewaarster naar voren. Christine de </w:t>
      </w:r>
      <w:proofErr w:type="spellStart"/>
      <w:r w:rsidRPr="00C140A8">
        <w:rPr>
          <w:rFonts w:ascii="Georgia" w:hAnsi="Georgia" w:cs="Calibri"/>
          <w:sz w:val="22"/>
          <w:szCs w:val="22"/>
          <w:lang w:val="nl-NL"/>
        </w:rPr>
        <w:t>Pizan</w:t>
      </w:r>
      <w:proofErr w:type="spellEnd"/>
      <w:r w:rsidRPr="00C140A8">
        <w:rPr>
          <w:rFonts w:ascii="Georgia" w:hAnsi="Georgia" w:cs="Calibri"/>
          <w:sz w:val="22"/>
          <w:szCs w:val="22"/>
          <w:lang w:val="nl-NL"/>
        </w:rPr>
        <w:t xml:space="preserve"> verwoordt dit in haar vorstinnenspiegel </w:t>
      </w:r>
      <w:r w:rsidRPr="00C140A8">
        <w:rPr>
          <w:rFonts w:ascii="Georgia" w:hAnsi="Georgia" w:cs="Calibri"/>
          <w:i/>
          <w:iCs/>
          <w:sz w:val="22"/>
          <w:szCs w:val="22"/>
          <w:lang w:val="nl-NL"/>
        </w:rPr>
        <w:t xml:space="preserve">Le </w:t>
      </w:r>
      <w:proofErr w:type="spellStart"/>
      <w:r w:rsidRPr="00C140A8">
        <w:rPr>
          <w:rFonts w:ascii="Georgia" w:hAnsi="Georgia" w:cs="Calibri"/>
          <w:i/>
          <w:iCs/>
          <w:sz w:val="22"/>
          <w:szCs w:val="22"/>
          <w:lang w:val="nl-NL"/>
        </w:rPr>
        <w:t>Livre</w:t>
      </w:r>
      <w:proofErr w:type="spellEnd"/>
      <w:r w:rsidRPr="00C140A8">
        <w:rPr>
          <w:rFonts w:ascii="Georgia" w:hAnsi="Georgia" w:cs="Calibri"/>
          <w:i/>
          <w:iCs/>
          <w:sz w:val="22"/>
          <w:szCs w:val="22"/>
          <w:lang w:val="nl-NL"/>
        </w:rPr>
        <w:t xml:space="preserve"> des </w:t>
      </w:r>
      <w:proofErr w:type="spellStart"/>
      <w:r w:rsidRPr="00C140A8">
        <w:rPr>
          <w:rFonts w:ascii="Georgia" w:hAnsi="Georgia" w:cs="Calibri"/>
          <w:i/>
          <w:iCs/>
          <w:sz w:val="22"/>
          <w:szCs w:val="22"/>
          <w:lang w:val="nl-NL"/>
        </w:rPr>
        <w:t>Trois</w:t>
      </w:r>
      <w:proofErr w:type="spellEnd"/>
      <w:r w:rsidRPr="00C140A8">
        <w:rPr>
          <w:rFonts w:ascii="Georgia" w:hAnsi="Georgia" w:cs="Calibri"/>
          <w:i/>
          <w:iCs/>
          <w:sz w:val="22"/>
          <w:szCs w:val="22"/>
          <w:lang w:val="nl-NL"/>
        </w:rPr>
        <w:t xml:space="preserve"> </w:t>
      </w:r>
      <w:proofErr w:type="spellStart"/>
      <w:r w:rsidRPr="00C140A8">
        <w:rPr>
          <w:rFonts w:ascii="Georgia" w:hAnsi="Georgia" w:cs="Calibri"/>
          <w:i/>
          <w:iCs/>
          <w:sz w:val="22"/>
          <w:szCs w:val="22"/>
          <w:lang w:val="nl-NL"/>
        </w:rPr>
        <w:t>Vertus</w:t>
      </w:r>
      <w:proofErr w:type="spellEnd"/>
      <w:r w:rsidRPr="00C140A8">
        <w:rPr>
          <w:rFonts w:ascii="Georgia" w:hAnsi="Georgia" w:cs="Calibri"/>
          <w:sz w:val="22"/>
          <w:szCs w:val="22"/>
          <w:lang w:val="nl-NL"/>
        </w:rPr>
        <w:t xml:space="preserve"> als:</w:t>
      </w:r>
    </w:p>
    <w:p w14:paraId="1364DD98" w14:textId="65AE0ED0" w:rsidR="005E6036" w:rsidRPr="005E6036" w:rsidRDefault="00B817F0" w:rsidP="2D0D95AE">
      <w:pPr>
        <w:tabs>
          <w:tab w:val="left" w:pos="8789"/>
        </w:tabs>
        <w:spacing w:afterLines="80" w:after="192" w:line="360" w:lineRule="auto"/>
        <w:ind w:left="426"/>
        <w:jc w:val="both"/>
        <w:rPr>
          <w:rFonts w:ascii="Georgia" w:hAnsi="Georgia" w:cs="Calibri"/>
          <w:i/>
          <w:iCs/>
          <w:sz w:val="20"/>
          <w:szCs w:val="20"/>
          <w:lang w:val="en-US"/>
        </w:rPr>
      </w:pPr>
      <w:r w:rsidRPr="2D0D95AE">
        <w:rPr>
          <w:rFonts w:ascii="Georgia" w:hAnsi="Georgia" w:cs="Calibri"/>
          <w:i/>
          <w:iCs/>
          <w:sz w:val="20"/>
          <w:szCs w:val="20"/>
          <w:lang w:val="en-US"/>
        </w:rPr>
        <w:t xml:space="preserve">[…] </w:t>
      </w:r>
      <w:r w:rsidR="00215CF1" w:rsidRPr="2D0D95AE">
        <w:rPr>
          <w:rFonts w:ascii="Georgia" w:hAnsi="Georgia" w:cs="Calibri"/>
          <w:i/>
          <w:iCs/>
          <w:sz w:val="20"/>
          <w:szCs w:val="20"/>
          <w:lang w:val="en-US"/>
        </w:rPr>
        <w:t xml:space="preserve">et </w:t>
      </w:r>
      <w:r w:rsidR="00BF2AFB" w:rsidRPr="2D0D95AE">
        <w:rPr>
          <w:rFonts w:ascii="Georgia" w:hAnsi="Georgia" w:cs="Calibri"/>
          <w:i/>
          <w:iCs/>
          <w:sz w:val="20"/>
          <w:szCs w:val="20"/>
          <w:lang w:val="en-US"/>
        </w:rPr>
        <w:t xml:space="preserve">pour ce la bonne dame qui aura regart a ces choses et pitié de la </w:t>
      </w:r>
      <w:proofErr w:type="gramStart"/>
      <w:r w:rsidR="00BF2AFB" w:rsidRPr="2D0D95AE">
        <w:rPr>
          <w:rFonts w:ascii="Georgia" w:hAnsi="Georgia" w:cs="Calibri"/>
          <w:i/>
          <w:iCs/>
          <w:sz w:val="20"/>
          <w:szCs w:val="20"/>
          <w:lang w:val="en-US"/>
        </w:rPr>
        <w:t>destruction  du</w:t>
      </w:r>
      <w:proofErr w:type="gramEnd"/>
      <w:r w:rsidR="00BF2AFB" w:rsidRPr="2D0D95AE">
        <w:rPr>
          <w:rFonts w:ascii="Georgia" w:hAnsi="Georgia" w:cs="Calibri"/>
          <w:i/>
          <w:iCs/>
          <w:sz w:val="20"/>
          <w:szCs w:val="20"/>
          <w:lang w:val="en-US"/>
        </w:rPr>
        <w:t xml:space="preserve"> peuple se vouldra traveillier d’y metrre paix, si amonnestera le prince son seigneur et son conceil d’avoir  sur ceste chose regart ains qu’on l’enpreigne</w:t>
      </w:r>
      <w:r w:rsidR="007C1D3A" w:rsidRPr="2D0D95AE">
        <w:rPr>
          <w:rFonts w:ascii="Georgia" w:hAnsi="Georgia" w:cs="Calibri"/>
          <w:i/>
          <w:iCs/>
          <w:sz w:val="20"/>
          <w:szCs w:val="20"/>
          <w:lang w:val="en-US"/>
        </w:rPr>
        <w:t>, […]</w:t>
      </w:r>
      <w:r w:rsidRPr="2D0D95AE">
        <w:rPr>
          <w:rStyle w:val="FootnoteReference"/>
          <w:rFonts w:ascii="Georgia" w:hAnsi="Georgia" w:cs="Calibri"/>
          <w:i/>
          <w:iCs/>
          <w:sz w:val="20"/>
          <w:szCs w:val="20"/>
          <w:lang w:val="en-US"/>
        </w:rPr>
        <w:footnoteReference w:id="265"/>
      </w:r>
    </w:p>
    <w:p w14:paraId="4355B5CF" w14:textId="427B7B42" w:rsidR="00B817F0" w:rsidRPr="00C140A8" w:rsidRDefault="00B817F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 Johanna en Margaretha’s rol om de vrede te bewaren en te bemiddelen tussen hun echtgenoten waar nodig, was niet louter een literaire constructie, maar is ook effectief opgetekend in de</w:t>
      </w:r>
      <w:r w:rsidR="0022103F">
        <w:rPr>
          <w:rFonts w:ascii="Georgia" w:hAnsi="Georgia" w:cs="Calibri"/>
          <w:sz w:val="22"/>
          <w:szCs w:val="22"/>
          <w:lang w:val="nl-NL"/>
        </w:rPr>
        <w:t>ze</w:t>
      </w:r>
      <w:r w:rsidRPr="00C140A8">
        <w:rPr>
          <w:rFonts w:ascii="Georgia" w:hAnsi="Georgia" w:cs="Calibri"/>
          <w:sz w:val="22"/>
          <w:szCs w:val="22"/>
          <w:lang w:val="nl-NL"/>
        </w:rPr>
        <w:t xml:space="preserve"> oorkonde. Bemiddeling en interventie behoorden bijgevolg tot de meest essentiële taken van een middeleeuwse vorstin. Paul </w:t>
      </w:r>
      <w:proofErr w:type="spellStart"/>
      <w:r w:rsidRPr="00C140A8">
        <w:rPr>
          <w:rFonts w:ascii="Georgia" w:hAnsi="Georgia" w:cs="Calibri"/>
          <w:sz w:val="22"/>
          <w:szCs w:val="22"/>
          <w:lang w:val="nl-NL"/>
        </w:rPr>
        <w:t>Strohm</w:t>
      </w:r>
      <w:proofErr w:type="spellEnd"/>
      <w:r w:rsidRPr="00C140A8">
        <w:rPr>
          <w:rFonts w:ascii="Georgia" w:hAnsi="Georgia" w:cs="Calibri"/>
          <w:sz w:val="22"/>
          <w:szCs w:val="22"/>
          <w:lang w:val="nl-NL"/>
        </w:rPr>
        <w:t xml:space="preserve"> nuanceert </w:t>
      </w:r>
      <w:r w:rsidR="005E6036">
        <w:rPr>
          <w:rFonts w:ascii="Georgia" w:hAnsi="Georgia" w:cs="Calibri"/>
          <w:sz w:val="22"/>
          <w:szCs w:val="22"/>
          <w:lang w:val="nl-NL"/>
        </w:rPr>
        <w:t>echter</w:t>
      </w:r>
      <w:r w:rsidRPr="00C140A8">
        <w:rPr>
          <w:rFonts w:ascii="Georgia" w:hAnsi="Georgia" w:cs="Calibri"/>
          <w:sz w:val="22"/>
          <w:szCs w:val="22"/>
          <w:lang w:val="nl-NL"/>
        </w:rPr>
        <w:t xml:space="preserve"> dat dit ideaal opereerde binnen een </w:t>
      </w:r>
      <w:r w:rsidR="00E67F4F" w:rsidRPr="00C140A8">
        <w:rPr>
          <w:rFonts w:ascii="Georgia" w:hAnsi="Georgia" w:cs="Calibri"/>
          <w:sz w:val="22"/>
          <w:szCs w:val="22"/>
          <w:lang w:val="nl-NL"/>
        </w:rPr>
        <w:t>“</w:t>
      </w:r>
      <w:r w:rsidRPr="00C140A8">
        <w:rPr>
          <w:rFonts w:ascii="Georgia" w:hAnsi="Georgia" w:cs="Calibri"/>
          <w:sz w:val="22"/>
          <w:szCs w:val="22"/>
          <w:lang w:val="nl-NL"/>
        </w:rPr>
        <w:t xml:space="preserve">historisch gedefinieerde matrix van ideeën over </w:t>
      </w:r>
      <w:proofErr w:type="spellStart"/>
      <w:r w:rsidRPr="00C140A8">
        <w:rPr>
          <w:rFonts w:ascii="Georgia" w:hAnsi="Georgia" w:cs="Calibri"/>
          <w:sz w:val="22"/>
          <w:szCs w:val="22"/>
          <w:lang w:val="nl-NL"/>
        </w:rPr>
        <w:t>intercessie</w:t>
      </w:r>
      <w:proofErr w:type="spellEnd"/>
      <w:r w:rsidRPr="00C140A8">
        <w:rPr>
          <w:rFonts w:ascii="Georgia" w:hAnsi="Georgia" w:cs="Calibri"/>
          <w:sz w:val="22"/>
          <w:szCs w:val="22"/>
          <w:lang w:val="nl-NL"/>
        </w:rPr>
        <w:t xml:space="preserve"> en </w:t>
      </w:r>
      <w:proofErr w:type="spellStart"/>
      <w:r w:rsidRPr="00C140A8">
        <w:rPr>
          <w:rFonts w:ascii="Georgia" w:hAnsi="Georgia" w:cs="Calibri"/>
          <w:sz w:val="22"/>
          <w:szCs w:val="22"/>
          <w:lang w:val="nl-NL"/>
        </w:rPr>
        <w:t>vorstinnenschap</w:t>
      </w:r>
      <w:proofErr w:type="spellEnd"/>
      <w:r w:rsidR="00E67F4F" w:rsidRPr="00C140A8">
        <w:rPr>
          <w:rFonts w:ascii="Georgia" w:hAnsi="Georgia" w:cs="Calibri"/>
          <w:sz w:val="22"/>
          <w:szCs w:val="22"/>
          <w:lang w:val="nl-NL"/>
        </w:rPr>
        <w:t>”</w:t>
      </w:r>
      <w:r w:rsidRPr="00C140A8">
        <w:rPr>
          <w:rFonts w:ascii="Georgia" w:hAnsi="Georgia" w:cs="Calibri"/>
          <w:sz w:val="22"/>
          <w:szCs w:val="22"/>
          <w:lang w:val="nl-NL"/>
        </w:rPr>
        <w:t>.</w:t>
      </w:r>
      <w:r w:rsidRPr="00C140A8">
        <w:rPr>
          <w:rStyle w:val="FootnoteReference"/>
          <w:rFonts w:ascii="Georgia" w:hAnsi="Georgia" w:cs="Calibri"/>
          <w:sz w:val="22"/>
          <w:szCs w:val="22"/>
          <w:lang w:val="nl-NL"/>
        </w:rPr>
        <w:footnoteReference w:id="266"/>
      </w:r>
      <w:r w:rsidRPr="00C140A8">
        <w:rPr>
          <w:rFonts w:ascii="Georgia" w:hAnsi="Georgia" w:cs="Calibri"/>
          <w:sz w:val="22"/>
          <w:szCs w:val="22"/>
          <w:lang w:val="nl-NL"/>
        </w:rPr>
        <w:t xml:space="preserve"> </w:t>
      </w:r>
      <w:r w:rsidR="00613C1F" w:rsidRPr="00613C1F">
        <w:rPr>
          <w:rFonts w:ascii="Georgia" w:hAnsi="Georgia" w:cs="Calibri"/>
          <w:sz w:val="22"/>
          <w:szCs w:val="22"/>
        </w:rPr>
        <w:t>Auteurs tekenden interpretaties van tussenkomsten op, pasten ze aan en gaven ze interpretatieve waarde als modellen waaraan vorstinnen zich dienden te spiegelen</w:t>
      </w:r>
      <w:r w:rsidR="00613C1F">
        <w:rPr>
          <w:rFonts w:ascii="Georgia" w:hAnsi="Georgia" w:cs="Calibri"/>
          <w:sz w:val="22"/>
          <w:szCs w:val="22"/>
        </w:rPr>
        <w:t>.</w:t>
      </w:r>
      <w:r w:rsidR="00613C1F" w:rsidRPr="00C140A8">
        <w:rPr>
          <w:rStyle w:val="FootnoteReference"/>
          <w:rFonts w:ascii="Georgia" w:hAnsi="Georgia" w:cs="Calibri"/>
          <w:sz w:val="22"/>
          <w:szCs w:val="22"/>
          <w:lang w:val="nl-NL"/>
        </w:rPr>
        <w:footnoteReference w:id="267"/>
      </w:r>
    </w:p>
    <w:p w14:paraId="4A2CA6C8" w14:textId="0C803FCE" w:rsidR="00B817F0" w:rsidRPr="00C140A8" w:rsidRDefault="00613C1F" w:rsidP="00C140A8">
      <w:pPr>
        <w:spacing w:afterLines="80" w:after="192" w:line="360" w:lineRule="auto"/>
        <w:jc w:val="both"/>
        <w:rPr>
          <w:rFonts w:ascii="Georgia" w:hAnsi="Georgia" w:cs="Calibri"/>
          <w:sz w:val="22"/>
          <w:szCs w:val="22"/>
          <w:lang w:val="nl-NL"/>
        </w:rPr>
      </w:pPr>
      <w:r>
        <w:rPr>
          <w:rFonts w:ascii="Georgia" w:hAnsi="Georgia" w:cs="Calibri"/>
          <w:sz w:val="22"/>
          <w:szCs w:val="22"/>
          <w:lang w:val="nl-NL"/>
        </w:rPr>
        <w:lastRenderedPageBreak/>
        <w:t>In</w:t>
      </w:r>
      <w:r w:rsidR="00B817F0" w:rsidRPr="00C140A8">
        <w:rPr>
          <w:rFonts w:ascii="Georgia" w:hAnsi="Georgia" w:cs="Calibri"/>
          <w:sz w:val="22"/>
          <w:szCs w:val="22"/>
          <w:lang w:val="nl-NL"/>
        </w:rPr>
        <w:t xml:space="preserve"> de hoge middeleeuwen speelden clerici en kroniekschrijvers een belangrijke rol in de beeldvorming van de 'ideale vorstin'.</w:t>
      </w:r>
      <w:r w:rsidR="00B817F0" w:rsidRPr="00C140A8">
        <w:rPr>
          <w:rStyle w:val="FootnoteReference"/>
          <w:rFonts w:ascii="Georgia" w:hAnsi="Georgia" w:cs="Calibri"/>
          <w:sz w:val="22"/>
          <w:szCs w:val="22"/>
          <w:lang w:val="nl-NL"/>
        </w:rPr>
        <w:footnoteReference w:id="268"/>
      </w:r>
      <w:r w:rsidR="00B817F0" w:rsidRPr="00C140A8">
        <w:rPr>
          <w:rFonts w:ascii="Georgia" w:hAnsi="Georgia" w:cs="Calibri"/>
          <w:sz w:val="22"/>
          <w:szCs w:val="22"/>
          <w:lang w:val="nl-NL"/>
        </w:rPr>
        <w:t xml:space="preserve"> </w:t>
      </w:r>
      <w:r w:rsidR="00857E68" w:rsidRPr="00857E68">
        <w:rPr>
          <w:rFonts w:ascii="Georgia" w:hAnsi="Georgia" w:cs="Calibri"/>
          <w:sz w:val="22"/>
          <w:szCs w:val="22"/>
        </w:rPr>
        <w:t>Op basis van Bijbelse rolmodellen als Maria, Judith en Esther ontstond een verwachtingskader dat geritualiseerde bemiddeling en intercessie als de voornaamste taken van de vorstin voorstelde</w:t>
      </w:r>
      <w:r w:rsidR="00857E68">
        <w:rPr>
          <w:rFonts w:ascii="Georgia" w:hAnsi="Georgia" w:cs="Calibri"/>
          <w:sz w:val="22"/>
          <w:szCs w:val="22"/>
          <w:lang w:val="nl-NL"/>
        </w:rPr>
        <w:t>.</w:t>
      </w:r>
      <w:r w:rsidR="00B817F0" w:rsidRPr="00C140A8">
        <w:rPr>
          <w:rStyle w:val="FootnoteReference"/>
          <w:rFonts w:ascii="Georgia" w:hAnsi="Georgia" w:cs="Calibri"/>
          <w:sz w:val="22"/>
          <w:szCs w:val="22"/>
          <w:lang w:val="nl-NL"/>
        </w:rPr>
        <w:footnoteReference w:id="269"/>
      </w:r>
      <w:r w:rsidR="00B817F0" w:rsidRPr="00C140A8">
        <w:rPr>
          <w:rFonts w:ascii="Georgia" w:hAnsi="Georgia" w:cs="Calibri"/>
          <w:sz w:val="22"/>
          <w:szCs w:val="22"/>
          <w:lang w:val="nl-NL"/>
        </w:rPr>
        <w:t xml:space="preserve"> Het bekendste literaire voorbeeld van de bemiddelende vorstin is dat van </w:t>
      </w:r>
      <w:proofErr w:type="spellStart"/>
      <w:r w:rsidR="00B817F0" w:rsidRPr="00C140A8">
        <w:rPr>
          <w:rFonts w:ascii="Georgia" w:hAnsi="Georgia" w:cs="Calibri"/>
          <w:sz w:val="22"/>
          <w:szCs w:val="22"/>
          <w:lang w:val="nl-NL"/>
        </w:rPr>
        <w:t>Filippa</w:t>
      </w:r>
      <w:proofErr w:type="spellEnd"/>
      <w:r w:rsidR="00B817F0" w:rsidRPr="00C140A8">
        <w:rPr>
          <w:rFonts w:ascii="Georgia" w:hAnsi="Georgia" w:cs="Calibri"/>
          <w:sz w:val="22"/>
          <w:szCs w:val="22"/>
          <w:lang w:val="nl-NL"/>
        </w:rPr>
        <w:t xml:space="preserve"> van Henegouwen, zoals beschreven door Jean </w:t>
      </w:r>
      <w:proofErr w:type="spellStart"/>
      <w:r w:rsidR="00B817F0" w:rsidRPr="00C140A8">
        <w:rPr>
          <w:rFonts w:ascii="Georgia" w:hAnsi="Georgia" w:cs="Calibri"/>
          <w:sz w:val="22"/>
          <w:szCs w:val="22"/>
          <w:lang w:val="nl-NL"/>
        </w:rPr>
        <w:t>Froissart</w:t>
      </w:r>
      <w:proofErr w:type="spellEnd"/>
      <w:r w:rsidR="00B817F0" w:rsidRPr="00C140A8">
        <w:rPr>
          <w:rFonts w:ascii="Georgia" w:hAnsi="Georgia" w:cs="Calibri"/>
          <w:sz w:val="22"/>
          <w:szCs w:val="22"/>
          <w:lang w:val="nl-NL"/>
        </w:rPr>
        <w:t>. Z</w:t>
      </w:r>
      <w:r w:rsidR="00672A63">
        <w:rPr>
          <w:rFonts w:ascii="Georgia" w:hAnsi="Georgia" w:cs="Calibri"/>
          <w:sz w:val="22"/>
          <w:szCs w:val="22"/>
          <w:lang w:val="nl-NL"/>
        </w:rPr>
        <w:t xml:space="preserve">e verschijnt als hoogzwanger </w:t>
      </w:r>
      <w:r w:rsidR="00B817F0" w:rsidRPr="00C140A8">
        <w:rPr>
          <w:rFonts w:ascii="Georgia" w:hAnsi="Georgia" w:cs="Calibri"/>
          <w:sz w:val="22"/>
          <w:szCs w:val="22"/>
          <w:lang w:val="nl-NL"/>
        </w:rPr>
        <w:t xml:space="preserve">wanneer ze smeekt om </w:t>
      </w:r>
      <w:r w:rsidR="00672A63">
        <w:rPr>
          <w:rFonts w:ascii="Georgia" w:hAnsi="Georgia" w:cs="Calibri"/>
          <w:sz w:val="22"/>
          <w:szCs w:val="22"/>
          <w:lang w:val="nl-NL"/>
        </w:rPr>
        <w:t>de</w:t>
      </w:r>
      <w:r w:rsidR="00B817F0" w:rsidRPr="00C140A8">
        <w:rPr>
          <w:rFonts w:ascii="Georgia" w:hAnsi="Georgia" w:cs="Calibri"/>
          <w:sz w:val="22"/>
          <w:szCs w:val="22"/>
          <w:lang w:val="nl-NL"/>
        </w:rPr>
        <w:t xml:space="preserve"> leven</w:t>
      </w:r>
      <w:r w:rsidR="00672A63">
        <w:rPr>
          <w:rFonts w:ascii="Georgia" w:hAnsi="Georgia" w:cs="Calibri"/>
          <w:sz w:val="22"/>
          <w:szCs w:val="22"/>
          <w:lang w:val="nl-NL"/>
        </w:rPr>
        <w:t>s</w:t>
      </w:r>
      <w:r w:rsidR="00B817F0" w:rsidRPr="00C140A8">
        <w:rPr>
          <w:rFonts w:ascii="Georgia" w:hAnsi="Georgia" w:cs="Calibri"/>
          <w:sz w:val="22"/>
          <w:szCs w:val="22"/>
          <w:lang w:val="nl-NL"/>
        </w:rPr>
        <w:t xml:space="preserve"> van de burgers van Calais, nadat haar echtgenoot Edward III </w:t>
      </w:r>
      <w:r w:rsidR="00DA3D14">
        <w:rPr>
          <w:rFonts w:ascii="Georgia" w:hAnsi="Georgia" w:cs="Calibri"/>
          <w:sz w:val="22"/>
          <w:szCs w:val="22"/>
          <w:lang w:val="nl-NL"/>
        </w:rPr>
        <w:t>hen</w:t>
      </w:r>
      <w:r w:rsidR="00B817F0" w:rsidRPr="00C140A8">
        <w:rPr>
          <w:rFonts w:ascii="Georgia" w:hAnsi="Georgia" w:cs="Calibri"/>
          <w:sz w:val="22"/>
          <w:szCs w:val="22"/>
          <w:lang w:val="nl-NL"/>
        </w:rPr>
        <w:t xml:space="preserve"> </w:t>
      </w:r>
      <w:r w:rsidR="00DA3D14">
        <w:rPr>
          <w:rFonts w:ascii="Georgia" w:hAnsi="Georgia" w:cs="Calibri"/>
          <w:sz w:val="22"/>
          <w:szCs w:val="22"/>
          <w:lang w:val="nl-NL"/>
        </w:rPr>
        <w:t>weigerde</w:t>
      </w:r>
      <w:r w:rsidR="00B817F0" w:rsidRPr="00C140A8">
        <w:rPr>
          <w:rFonts w:ascii="Georgia" w:hAnsi="Georgia" w:cs="Calibri"/>
          <w:sz w:val="22"/>
          <w:szCs w:val="22"/>
          <w:lang w:val="nl-NL"/>
        </w:rPr>
        <w:t xml:space="preserve"> genade te schenken.</w:t>
      </w:r>
      <w:r w:rsidR="00B817F0" w:rsidRPr="00C140A8">
        <w:rPr>
          <w:rStyle w:val="FootnoteReference"/>
          <w:rFonts w:ascii="Georgia" w:hAnsi="Georgia" w:cs="Calibri"/>
          <w:sz w:val="22"/>
          <w:szCs w:val="22"/>
          <w:lang w:val="nl-NL"/>
        </w:rPr>
        <w:footnoteReference w:id="270"/>
      </w:r>
      <w:r w:rsidR="00B817F0" w:rsidRPr="00C140A8">
        <w:rPr>
          <w:rFonts w:ascii="Georgia" w:hAnsi="Georgia" w:cs="Calibri"/>
          <w:sz w:val="22"/>
          <w:szCs w:val="22"/>
          <w:lang w:val="nl-NL"/>
        </w:rPr>
        <w:t xml:space="preserve"> </w:t>
      </w:r>
      <w:r w:rsidR="0063392A">
        <w:rPr>
          <w:rFonts w:ascii="Georgia" w:hAnsi="Georgia" w:cs="Calibri"/>
          <w:sz w:val="22"/>
          <w:szCs w:val="22"/>
          <w:lang w:val="nl-NL"/>
        </w:rPr>
        <w:t>Dit</w:t>
      </w:r>
      <w:r w:rsidR="00B817F0" w:rsidRPr="00C140A8">
        <w:rPr>
          <w:rFonts w:ascii="Georgia" w:hAnsi="Georgia" w:cs="Calibri"/>
          <w:sz w:val="22"/>
          <w:szCs w:val="22"/>
          <w:lang w:val="nl-NL"/>
        </w:rPr>
        <w:t xml:space="preserve"> voorbeeld </w:t>
      </w:r>
      <w:r w:rsidR="0063392A">
        <w:rPr>
          <w:rFonts w:ascii="Georgia" w:hAnsi="Georgia" w:cs="Calibri"/>
          <w:sz w:val="22"/>
          <w:szCs w:val="22"/>
          <w:lang w:val="nl-NL"/>
        </w:rPr>
        <w:t xml:space="preserve">is </w:t>
      </w:r>
      <w:r w:rsidR="00B817F0" w:rsidRPr="00C140A8">
        <w:rPr>
          <w:rFonts w:ascii="Georgia" w:hAnsi="Georgia" w:cs="Calibri"/>
          <w:sz w:val="22"/>
          <w:szCs w:val="22"/>
          <w:lang w:val="nl-NL"/>
        </w:rPr>
        <w:t xml:space="preserve">eerder </w:t>
      </w:r>
      <w:proofErr w:type="spellStart"/>
      <w:r w:rsidR="00B817F0" w:rsidRPr="00C140A8">
        <w:rPr>
          <w:rFonts w:ascii="Georgia" w:hAnsi="Georgia" w:cs="Calibri"/>
          <w:sz w:val="22"/>
          <w:szCs w:val="22"/>
          <w:lang w:val="nl-NL"/>
        </w:rPr>
        <w:t>performatief</w:t>
      </w:r>
      <w:proofErr w:type="spellEnd"/>
      <w:r w:rsidR="00B817F0" w:rsidRPr="00C140A8">
        <w:rPr>
          <w:rFonts w:ascii="Georgia" w:hAnsi="Georgia" w:cs="Calibri"/>
          <w:sz w:val="22"/>
          <w:szCs w:val="22"/>
          <w:lang w:val="nl-NL"/>
        </w:rPr>
        <w:t xml:space="preserve"> van aard</w:t>
      </w:r>
      <w:r w:rsidR="00F872C3">
        <w:rPr>
          <w:rFonts w:ascii="Georgia" w:hAnsi="Georgia" w:cs="Calibri"/>
          <w:sz w:val="22"/>
          <w:szCs w:val="22"/>
          <w:lang w:val="nl-NL"/>
        </w:rPr>
        <w:t>,</w:t>
      </w:r>
      <w:r w:rsidR="00B817F0" w:rsidRPr="00C140A8">
        <w:rPr>
          <w:rFonts w:ascii="Georgia" w:hAnsi="Georgia" w:cs="Calibri"/>
          <w:sz w:val="22"/>
          <w:szCs w:val="22"/>
          <w:lang w:val="nl-NL"/>
        </w:rPr>
        <w:t xml:space="preserve"> dan een effectieve uiting van </w:t>
      </w:r>
      <w:proofErr w:type="spellStart"/>
      <w:r w:rsidR="00B817F0" w:rsidRPr="00C140A8">
        <w:rPr>
          <w:rFonts w:ascii="Georgia" w:hAnsi="Georgia" w:cs="Calibri"/>
          <w:sz w:val="22"/>
          <w:szCs w:val="22"/>
          <w:lang w:val="nl-NL"/>
        </w:rPr>
        <w:t>Filippa’s</w:t>
      </w:r>
      <w:proofErr w:type="spellEnd"/>
      <w:r w:rsidR="00B817F0" w:rsidRPr="00C140A8">
        <w:rPr>
          <w:rFonts w:ascii="Georgia" w:hAnsi="Georgia" w:cs="Calibri"/>
          <w:sz w:val="22"/>
          <w:szCs w:val="22"/>
          <w:lang w:val="nl-NL"/>
        </w:rPr>
        <w:t xml:space="preserve"> beslissingsbevoegdheid. Ze haalt simpelweg de argumenten aan die Edwards raadgevers al hadden aangedragen, maar door haar emotionele tussenkomst bood ze Edward de politieke ruimte om van gedachte te veranderen zonder gezichtsverlies te lijden.</w:t>
      </w:r>
      <w:r w:rsidR="00B817F0" w:rsidRPr="00C140A8">
        <w:rPr>
          <w:rStyle w:val="FootnoteReference"/>
          <w:rFonts w:ascii="Georgia" w:hAnsi="Georgia" w:cs="Calibri"/>
          <w:sz w:val="22"/>
          <w:szCs w:val="22"/>
          <w:lang w:val="nl-NL"/>
        </w:rPr>
        <w:footnoteReference w:id="271"/>
      </w:r>
      <w:r w:rsidR="00B817F0" w:rsidRPr="00C140A8">
        <w:rPr>
          <w:rFonts w:ascii="Georgia" w:hAnsi="Georgia" w:cs="Calibri"/>
          <w:sz w:val="22"/>
          <w:szCs w:val="22"/>
          <w:lang w:val="nl-NL"/>
        </w:rPr>
        <w:t xml:space="preserve"> </w:t>
      </w:r>
    </w:p>
    <w:p w14:paraId="62E36A43" w14:textId="5FF41089" w:rsidR="00F872C3" w:rsidRDefault="00B817F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Dit is een model van </w:t>
      </w:r>
      <w:proofErr w:type="spellStart"/>
      <w:r w:rsidRPr="00C140A8">
        <w:rPr>
          <w:rFonts w:ascii="Georgia" w:hAnsi="Georgia" w:cs="Calibri"/>
          <w:sz w:val="22"/>
          <w:szCs w:val="22"/>
          <w:lang w:val="nl-NL"/>
        </w:rPr>
        <w:t>intercessie</w:t>
      </w:r>
      <w:proofErr w:type="spellEnd"/>
      <w:r w:rsidRPr="00C140A8">
        <w:rPr>
          <w:rFonts w:ascii="Georgia" w:hAnsi="Georgia" w:cs="Calibri"/>
          <w:sz w:val="22"/>
          <w:szCs w:val="22"/>
          <w:lang w:val="nl-NL"/>
        </w:rPr>
        <w:t xml:space="preserve"> dat fundamenteel passief is, waarbij de vorstin als instrument dient om terug te komen op een eerder genomen ‘definitieve’ beslissing.</w:t>
      </w:r>
      <w:r w:rsidRPr="00C140A8">
        <w:rPr>
          <w:rStyle w:val="FootnoteReference"/>
          <w:rFonts w:ascii="Georgia" w:hAnsi="Georgia" w:cs="Calibri"/>
          <w:sz w:val="22"/>
          <w:szCs w:val="22"/>
          <w:lang w:val="nl-NL"/>
        </w:rPr>
        <w:footnoteReference w:id="272"/>
      </w:r>
      <w:r w:rsidRPr="00C140A8">
        <w:rPr>
          <w:rFonts w:ascii="Georgia" w:hAnsi="Georgia" w:cs="Calibri"/>
          <w:sz w:val="22"/>
          <w:szCs w:val="22"/>
          <w:lang w:val="nl-NL"/>
        </w:rPr>
        <w:t xml:space="preserve"> Johanna van Brabant past niet in dit passieve model. Ook zij verschijnt door de ogen van </w:t>
      </w:r>
      <w:proofErr w:type="spellStart"/>
      <w:r w:rsidRPr="00C140A8">
        <w:rPr>
          <w:rFonts w:ascii="Georgia" w:hAnsi="Georgia" w:cs="Calibri"/>
          <w:sz w:val="22"/>
          <w:szCs w:val="22"/>
          <w:lang w:val="nl-NL"/>
        </w:rPr>
        <w:t>Froissart</w:t>
      </w:r>
      <w:proofErr w:type="spellEnd"/>
      <w:r w:rsidRPr="00C140A8">
        <w:rPr>
          <w:rFonts w:ascii="Georgia" w:hAnsi="Georgia" w:cs="Calibri"/>
          <w:sz w:val="22"/>
          <w:szCs w:val="22"/>
          <w:lang w:val="nl-NL"/>
        </w:rPr>
        <w:t xml:space="preserve">, maar haar tussenkomsten hebben </w:t>
      </w:r>
      <w:r w:rsidR="00672A63">
        <w:rPr>
          <w:rFonts w:ascii="Georgia" w:hAnsi="Georgia" w:cs="Calibri"/>
          <w:sz w:val="22"/>
          <w:szCs w:val="22"/>
          <w:lang w:val="nl-NL"/>
        </w:rPr>
        <w:t xml:space="preserve">een </w:t>
      </w:r>
      <w:r w:rsidRPr="00C140A8">
        <w:rPr>
          <w:rFonts w:ascii="Georgia" w:hAnsi="Georgia" w:cs="Calibri"/>
          <w:sz w:val="22"/>
          <w:szCs w:val="22"/>
          <w:lang w:val="nl-NL"/>
        </w:rPr>
        <w:t xml:space="preserve">wezenlijk ander karakter. </w:t>
      </w:r>
      <w:r w:rsidR="002D608A" w:rsidRPr="002D608A">
        <w:rPr>
          <w:rFonts w:ascii="Georgia" w:hAnsi="Georgia" w:cs="Calibri"/>
          <w:sz w:val="22"/>
          <w:szCs w:val="22"/>
        </w:rPr>
        <w:t>Haar rol tijdens de Gentse opstand (1379-1385) maakt dit het duidelijkst zichtbaar.</w:t>
      </w:r>
      <w:r w:rsidRPr="00C140A8">
        <w:rPr>
          <w:rStyle w:val="FootnoteReference"/>
          <w:rFonts w:ascii="Georgia" w:hAnsi="Georgia" w:cs="Calibri"/>
          <w:sz w:val="22"/>
          <w:szCs w:val="22"/>
          <w:lang w:val="nl-NL"/>
        </w:rPr>
        <w:footnoteReference w:id="273"/>
      </w:r>
      <w:r w:rsidRPr="00C140A8">
        <w:rPr>
          <w:rFonts w:ascii="Georgia" w:hAnsi="Georgia" w:cs="Calibri"/>
          <w:sz w:val="22"/>
          <w:szCs w:val="22"/>
          <w:lang w:val="nl-NL"/>
        </w:rPr>
        <w:t xml:space="preserve"> Wanneer Frank Ackermans, een van de leiders van de opstand, haar in 1382 in Brussel opzoekt en haar smeekt om gezanten te sturen naar de Vlaamse graaf, aarzelt Johanna niet. In </w:t>
      </w:r>
      <w:proofErr w:type="spellStart"/>
      <w:r w:rsidRPr="00C140A8">
        <w:rPr>
          <w:rFonts w:ascii="Georgia" w:hAnsi="Georgia" w:cs="Calibri"/>
          <w:sz w:val="22"/>
          <w:szCs w:val="22"/>
          <w:lang w:val="nl-NL"/>
        </w:rPr>
        <w:t>Froissarts</w:t>
      </w:r>
      <w:proofErr w:type="spellEnd"/>
      <w:r w:rsidRPr="00C140A8">
        <w:rPr>
          <w:rFonts w:ascii="Georgia" w:hAnsi="Georgia" w:cs="Calibri"/>
          <w:sz w:val="22"/>
          <w:szCs w:val="22"/>
          <w:lang w:val="nl-NL"/>
        </w:rPr>
        <w:t xml:space="preserve"> woorden antwoordt zij: </w:t>
      </w:r>
    </w:p>
    <w:p w14:paraId="07923C62" w14:textId="15733A4F" w:rsidR="00AC1E11" w:rsidRPr="00E225CB" w:rsidRDefault="00B817F0" w:rsidP="002441EE">
      <w:pPr>
        <w:spacing w:afterLines="80" w:after="192" w:line="360" w:lineRule="auto"/>
        <w:ind w:left="426"/>
        <w:jc w:val="both"/>
        <w:rPr>
          <w:rFonts w:ascii="Georgia" w:hAnsi="Georgia" w:cs="Calibri"/>
          <w:sz w:val="20"/>
          <w:szCs w:val="20"/>
          <w:lang w:val="nl-NL"/>
        </w:rPr>
      </w:pPr>
      <w:proofErr w:type="spellStart"/>
      <w:r w:rsidRPr="00E225CB">
        <w:rPr>
          <w:rFonts w:ascii="Georgia" w:hAnsi="Georgia" w:cs="Calibri"/>
          <w:i/>
          <w:iCs/>
          <w:sz w:val="20"/>
          <w:szCs w:val="20"/>
          <w:lang w:val="nl-NL"/>
        </w:rPr>
        <w:t>Nonobstant</w:t>
      </w:r>
      <w:proofErr w:type="spellEnd"/>
      <w:r w:rsidRPr="00E225CB">
        <w:rPr>
          <w:rFonts w:ascii="Georgia" w:hAnsi="Georgia" w:cs="Calibri"/>
          <w:i/>
          <w:iCs/>
          <w:sz w:val="20"/>
          <w:szCs w:val="20"/>
          <w:lang w:val="nl-NL"/>
        </w:rPr>
        <w:t xml:space="preserve"> </w:t>
      </w:r>
      <w:proofErr w:type="spellStart"/>
      <w:r w:rsidRPr="00E225CB">
        <w:rPr>
          <w:rFonts w:ascii="Georgia" w:hAnsi="Georgia" w:cs="Calibri"/>
          <w:i/>
          <w:iCs/>
          <w:sz w:val="20"/>
          <w:szCs w:val="20"/>
          <w:lang w:val="nl-NL"/>
        </w:rPr>
        <w:t>tout</w:t>
      </w:r>
      <w:proofErr w:type="spellEnd"/>
      <w:r w:rsidRPr="00E225CB">
        <w:rPr>
          <w:rFonts w:ascii="Georgia" w:hAnsi="Georgia" w:cs="Calibri"/>
          <w:i/>
          <w:iCs/>
          <w:sz w:val="20"/>
          <w:szCs w:val="20"/>
          <w:lang w:val="nl-NL"/>
        </w:rPr>
        <w:t xml:space="preserve"> </w:t>
      </w:r>
      <w:proofErr w:type="spellStart"/>
      <w:r w:rsidRPr="00E225CB">
        <w:rPr>
          <w:rFonts w:ascii="Georgia" w:hAnsi="Georgia" w:cs="Calibri"/>
          <w:i/>
          <w:iCs/>
          <w:sz w:val="20"/>
          <w:szCs w:val="20"/>
          <w:lang w:val="nl-NL"/>
        </w:rPr>
        <w:t>ce</w:t>
      </w:r>
      <w:proofErr w:type="spellEnd"/>
      <w:r w:rsidRPr="00E225CB">
        <w:rPr>
          <w:rFonts w:ascii="Georgia" w:hAnsi="Georgia" w:cs="Calibri"/>
          <w:i/>
          <w:iCs/>
          <w:sz w:val="20"/>
          <w:szCs w:val="20"/>
          <w:lang w:val="nl-NL"/>
        </w:rPr>
        <w:t xml:space="preserve">, pour </w:t>
      </w:r>
      <w:proofErr w:type="spellStart"/>
      <w:r w:rsidRPr="00E225CB">
        <w:rPr>
          <w:rFonts w:ascii="Georgia" w:hAnsi="Georgia" w:cs="Calibri"/>
          <w:i/>
          <w:iCs/>
          <w:sz w:val="20"/>
          <w:szCs w:val="20"/>
          <w:lang w:val="nl-NL"/>
        </w:rPr>
        <w:t>Dieu</w:t>
      </w:r>
      <w:proofErr w:type="spellEnd"/>
      <w:r w:rsidRPr="00E225CB">
        <w:rPr>
          <w:rFonts w:ascii="Georgia" w:hAnsi="Georgia" w:cs="Calibri"/>
          <w:i/>
          <w:iCs/>
          <w:sz w:val="20"/>
          <w:szCs w:val="20"/>
          <w:lang w:val="nl-NL"/>
        </w:rPr>
        <w:t xml:space="preserve"> et pour </w:t>
      </w:r>
      <w:proofErr w:type="spellStart"/>
      <w:r w:rsidRPr="00E225CB">
        <w:rPr>
          <w:rFonts w:ascii="Georgia" w:hAnsi="Georgia" w:cs="Calibri"/>
          <w:i/>
          <w:iCs/>
          <w:sz w:val="20"/>
          <w:szCs w:val="20"/>
          <w:lang w:val="nl-NL"/>
        </w:rPr>
        <w:t>pité</w:t>
      </w:r>
      <w:proofErr w:type="spellEnd"/>
      <w:r w:rsidRPr="00E225CB">
        <w:rPr>
          <w:rFonts w:ascii="Georgia" w:hAnsi="Georgia" w:cs="Calibri"/>
          <w:i/>
          <w:iCs/>
          <w:sz w:val="20"/>
          <w:szCs w:val="20"/>
          <w:lang w:val="nl-NL"/>
        </w:rPr>
        <w:t xml:space="preserve">, je m'en </w:t>
      </w:r>
      <w:proofErr w:type="spellStart"/>
      <w:r w:rsidRPr="00E225CB">
        <w:rPr>
          <w:rFonts w:ascii="Georgia" w:hAnsi="Georgia" w:cs="Calibri"/>
          <w:i/>
          <w:iCs/>
          <w:sz w:val="20"/>
          <w:szCs w:val="20"/>
          <w:lang w:val="nl-NL"/>
        </w:rPr>
        <w:t>ensonniierai</w:t>
      </w:r>
      <w:proofErr w:type="spellEnd"/>
      <w:r w:rsidRPr="00E225CB">
        <w:rPr>
          <w:rFonts w:ascii="Georgia" w:hAnsi="Georgia" w:cs="Calibri"/>
          <w:i/>
          <w:iCs/>
          <w:sz w:val="20"/>
          <w:szCs w:val="20"/>
          <w:lang w:val="nl-NL"/>
        </w:rPr>
        <w:t xml:space="preserve"> </w:t>
      </w:r>
      <w:proofErr w:type="spellStart"/>
      <w:r w:rsidRPr="00E225CB">
        <w:rPr>
          <w:rFonts w:ascii="Georgia" w:hAnsi="Georgia" w:cs="Calibri"/>
          <w:i/>
          <w:iCs/>
          <w:sz w:val="20"/>
          <w:szCs w:val="20"/>
          <w:lang w:val="nl-NL"/>
        </w:rPr>
        <w:t>volentiers</w:t>
      </w:r>
      <w:proofErr w:type="spellEnd"/>
      <w:r w:rsidRPr="00E225CB">
        <w:rPr>
          <w:rFonts w:ascii="Georgia" w:hAnsi="Georgia" w:cs="Calibri"/>
          <w:i/>
          <w:iCs/>
          <w:sz w:val="20"/>
          <w:szCs w:val="20"/>
          <w:lang w:val="nl-NL"/>
        </w:rPr>
        <w:t xml:space="preserve">, et </w:t>
      </w:r>
      <w:proofErr w:type="spellStart"/>
      <w:r w:rsidRPr="00E225CB">
        <w:rPr>
          <w:rFonts w:ascii="Georgia" w:hAnsi="Georgia" w:cs="Calibri"/>
          <w:i/>
          <w:iCs/>
          <w:sz w:val="20"/>
          <w:szCs w:val="20"/>
          <w:lang w:val="nl-NL"/>
        </w:rPr>
        <w:t>envoiierai</w:t>
      </w:r>
      <w:proofErr w:type="spellEnd"/>
      <w:r w:rsidRPr="00E225CB">
        <w:rPr>
          <w:rFonts w:ascii="Georgia" w:hAnsi="Georgia" w:cs="Calibri"/>
          <w:i/>
          <w:iCs/>
          <w:sz w:val="20"/>
          <w:szCs w:val="20"/>
          <w:lang w:val="nl-NL"/>
        </w:rPr>
        <w:t xml:space="preserve"> </w:t>
      </w:r>
      <w:proofErr w:type="spellStart"/>
      <w:r w:rsidRPr="00E225CB">
        <w:rPr>
          <w:rFonts w:ascii="Georgia" w:hAnsi="Georgia" w:cs="Calibri"/>
          <w:i/>
          <w:iCs/>
          <w:sz w:val="20"/>
          <w:szCs w:val="20"/>
          <w:lang w:val="nl-NL"/>
        </w:rPr>
        <w:t>devers</w:t>
      </w:r>
      <w:proofErr w:type="spellEnd"/>
      <w:r w:rsidRPr="00E225CB">
        <w:rPr>
          <w:rFonts w:ascii="Georgia" w:hAnsi="Georgia" w:cs="Calibri"/>
          <w:i/>
          <w:iCs/>
          <w:sz w:val="20"/>
          <w:szCs w:val="20"/>
          <w:lang w:val="nl-NL"/>
        </w:rPr>
        <w:t xml:space="preserve"> lui en </w:t>
      </w:r>
      <w:proofErr w:type="spellStart"/>
      <w:r w:rsidRPr="00E225CB">
        <w:rPr>
          <w:rFonts w:ascii="Georgia" w:hAnsi="Georgia" w:cs="Calibri"/>
          <w:i/>
          <w:iCs/>
          <w:sz w:val="20"/>
          <w:szCs w:val="20"/>
          <w:lang w:val="nl-NL"/>
        </w:rPr>
        <w:t>priant</w:t>
      </w:r>
      <w:proofErr w:type="spellEnd"/>
      <w:r w:rsidRPr="00E225CB">
        <w:rPr>
          <w:rFonts w:ascii="Georgia" w:hAnsi="Georgia" w:cs="Calibri"/>
          <w:i/>
          <w:iCs/>
          <w:sz w:val="20"/>
          <w:szCs w:val="20"/>
          <w:lang w:val="nl-NL"/>
        </w:rPr>
        <w:t xml:space="preserve"> que </w:t>
      </w:r>
      <w:proofErr w:type="spellStart"/>
      <w:r w:rsidRPr="00E225CB">
        <w:rPr>
          <w:rFonts w:ascii="Georgia" w:hAnsi="Georgia" w:cs="Calibri"/>
          <w:i/>
          <w:iCs/>
          <w:sz w:val="20"/>
          <w:szCs w:val="20"/>
          <w:lang w:val="nl-NL"/>
        </w:rPr>
        <w:t>il</w:t>
      </w:r>
      <w:proofErr w:type="spellEnd"/>
      <w:r w:rsidRPr="00E225CB">
        <w:rPr>
          <w:rFonts w:ascii="Georgia" w:hAnsi="Georgia" w:cs="Calibri"/>
          <w:i/>
          <w:iCs/>
          <w:sz w:val="20"/>
          <w:szCs w:val="20"/>
          <w:lang w:val="nl-NL"/>
        </w:rPr>
        <w:t xml:space="preserve"> </w:t>
      </w:r>
      <w:proofErr w:type="spellStart"/>
      <w:r w:rsidRPr="00E225CB">
        <w:rPr>
          <w:rFonts w:ascii="Georgia" w:hAnsi="Georgia" w:cs="Calibri"/>
          <w:i/>
          <w:iCs/>
          <w:sz w:val="20"/>
          <w:szCs w:val="20"/>
          <w:lang w:val="nl-NL"/>
        </w:rPr>
        <w:t>voelle</w:t>
      </w:r>
      <w:proofErr w:type="spellEnd"/>
      <w:r w:rsidRPr="00E225CB">
        <w:rPr>
          <w:rFonts w:ascii="Georgia" w:hAnsi="Georgia" w:cs="Calibri"/>
          <w:i/>
          <w:iCs/>
          <w:sz w:val="20"/>
          <w:szCs w:val="20"/>
          <w:lang w:val="nl-NL"/>
        </w:rPr>
        <w:t xml:space="preserve"> </w:t>
      </w:r>
      <w:proofErr w:type="spellStart"/>
      <w:r w:rsidRPr="00E225CB">
        <w:rPr>
          <w:rFonts w:ascii="Georgia" w:hAnsi="Georgia" w:cs="Calibri"/>
          <w:i/>
          <w:iCs/>
          <w:sz w:val="20"/>
          <w:szCs w:val="20"/>
          <w:lang w:val="nl-NL"/>
        </w:rPr>
        <w:t>venir</w:t>
      </w:r>
      <w:proofErr w:type="spellEnd"/>
      <w:r w:rsidRPr="00E225CB">
        <w:rPr>
          <w:rFonts w:ascii="Georgia" w:hAnsi="Georgia" w:cs="Calibri"/>
          <w:i/>
          <w:iCs/>
          <w:sz w:val="20"/>
          <w:szCs w:val="20"/>
          <w:lang w:val="nl-NL"/>
        </w:rPr>
        <w:t xml:space="preserve"> à Tournai; et </w:t>
      </w:r>
      <w:proofErr w:type="spellStart"/>
      <w:r w:rsidRPr="00E225CB">
        <w:rPr>
          <w:rFonts w:ascii="Georgia" w:hAnsi="Georgia" w:cs="Calibri"/>
          <w:i/>
          <w:iCs/>
          <w:sz w:val="20"/>
          <w:szCs w:val="20"/>
          <w:lang w:val="nl-NL"/>
        </w:rPr>
        <w:t>là</w:t>
      </w:r>
      <w:proofErr w:type="spellEnd"/>
      <w:r w:rsidRPr="00E225CB">
        <w:rPr>
          <w:rFonts w:ascii="Georgia" w:hAnsi="Georgia" w:cs="Calibri"/>
          <w:i/>
          <w:iCs/>
          <w:sz w:val="20"/>
          <w:szCs w:val="20"/>
          <w:lang w:val="nl-NL"/>
        </w:rPr>
        <w:t xml:space="preserve"> je </w:t>
      </w:r>
      <w:proofErr w:type="spellStart"/>
      <w:r w:rsidRPr="00E225CB">
        <w:rPr>
          <w:rFonts w:ascii="Georgia" w:hAnsi="Georgia" w:cs="Calibri"/>
          <w:i/>
          <w:iCs/>
          <w:sz w:val="20"/>
          <w:szCs w:val="20"/>
          <w:lang w:val="nl-NL"/>
        </w:rPr>
        <w:t>envoierai</w:t>
      </w:r>
      <w:proofErr w:type="spellEnd"/>
      <w:r w:rsidRPr="00E225CB">
        <w:rPr>
          <w:rFonts w:ascii="Georgia" w:hAnsi="Georgia" w:cs="Calibri"/>
          <w:i/>
          <w:iCs/>
          <w:sz w:val="20"/>
          <w:szCs w:val="20"/>
          <w:lang w:val="nl-NL"/>
        </w:rPr>
        <w:t xml:space="preserve"> de </w:t>
      </w:r>
      <w:proofErr w:type="spellStart"/>
      <w:r w:rsidRPr="00E225CB">
        <w:rPr>
          <w:rFonts w:ascii="Georgia" w:hAnsi="Georgia" w:cs="Calibri"/>
          <w:i/>
          <w:iCs/>
          <w:sz w:val="20"/>
          <w:szCs w:val="20"/>
          <w:lang w:val="nl-NL"/>
        </w:rPr>
        <w:t>mon</w:t>
      </w:r>
      <w:proofErr w:type="spellEnd"/>
      <w:r w:rsidRPr="00E225CB">
        <w:rPr>
          <w:rFonts w:ascii="Georgia" w:hAnsi="Georgia" w:cs="Calibri"/>
          <w:i/>
          <w:iCs/>
          <w:sz w:val="20"/>
          <w:szCs w:val="20"/>
          <w:lang w:val="nl-NL"/>
        </w:rPr>
        <w:t xml:space="preserve"> plus </w:t>
      </w:r>
      <w:proofErr w:type="spellStart"/>
      <w:r w:rsidRPr="00E225CB">
        <w:rPr>
          <w:rFonts w:ascii="Georgia" w:hAnsi="Georgia" w:cs="Calibri"/>
          <w:i/>
          <w:iCs/>
          <w:sz w:val="20"/>
          <w:szCs w:val="20"/>
          <w:lang w:val="nl-NL"/>
        </w:rPr>
        <w:t>especial</w:t>
      </w:r>
      <w:proofErr w:type="spellEnd"/>
      <w:r w:rsidRPr="00E225CB">
        <w:rPr>
          <w:rFonts w:ascii="Georgia" w:hAnsi="Georgia" w:cs="Calibri"/>
          <w:i/>
          <w:iCs/>
          <w:sz w:val="20"/>
          <w:szCs w:val="20"/>
          <w:lang w:val="nl-NL"/>
        </w:rPr>
        <w:t xml:space="preserve"> </w:t>
      </w:r>
      <w:proofErr w:type="spellStart"/>
      <w:r w:rsidRPr="00E225CB">
        <w:rPr>
          <w:rFonts w:ascii="Georgia" w:hAnsi="Georgia" w:cs="Calibri"/>
          <w:i/>
          <w:iCs/>
          <w:sz w:val="20"/>
          <w:szCs w:val="20"/>
          <w:lang w:val="nl-NL"/>
        </w:rPr>
        <w:t>conseil</w:t>
      </w:r>
      <w:proofErr w:type="spellEnd"/>
      <w:r w:rsidRPr="00E225CB">
        <w:rPr>
          <w:rFonts w:ascii="Georgia" w:hAnsi="Georgia" w:cs="Calibri"/>
          <w:i/>
          <w:iCs/>
          <w:sz w:val="20"/>
          <w:szCs w:val="20"/>
          <w:lang w:val="nl-NL"/>
        </w:rPr>
        <w:t>.</w:t>
      </w:r>
      <w:r w:rsidR="00AC1E11" w:rsidRPr="00E225CB">
        <w:rPr>
          <w:rFonts w:ascii="Georgia" w:hAnsi="Georgia" w:cs="Calibri"/>
          <w:i/>
          <w:iCs/>
          <w:sz w:val="20"/>
          <w:szCs w:val="20"/>
          <w:lang w:val="nl-NL"/>
        </w:rPr>
        <w:t xml:space="preserve"> […] je en </w:t>
      </w:r>
      <w:proofErr w:type="spellStart"/>
      <w:r w:rsidR="00AC1E11" w:rsidRPr="00E225CB">
        <w:rPr>
          <w:rFonts w:ascii="Georgia" w:hAnsi="Georgia" w:cs="Calibri"/>
          <w:i/>
          <w:iCs/>
          <w:sz w:val="20"/>
          <w:szCs w:val="20"/>
          <w:lang w:val="nl-NL"/>
        </w:rPr>
        <w:t>esploiterai</w:t>
      </w:r>
      <w:proofErr w:type="spellEnd"/>
      <w:r w:rsidR="00AC1E11" w:rsidRPr="00E225CB">
        <w:rPr>
          <w:rFonts w:ascii="Georgia" w:hAnsi="Georgia" w:cs="Calibri"/>
          <w:i/>
          <w:iCs/>
          <w:sz w:val="20"/>
          <w:szCs w:val="20"/>
          <w:lang w:val="nl-NL"/>
        </w:rPr>
        <w:t xml:space="preserve"> </w:t>
      </w:r>
      <w:proofErr w:type="spellStart"/>
      <w:r w:rsidR="00AC1E11" w:rsidRPr="00E225CB">
        <w:rPr>
          <w:rFonts w:ascii="Georgia" w:hAnsi="Georgia" w:cs="Calibri"/>
          <w:i/>
          <w:iCs/>
          <w:sz w:val="20"/>
          <w:szCs w:val="20"/>
          <w:lang w:val="nl-NL"/>
        </w:rPr>
        <w:t>tant</w:t>
      </w:r>
      <w:proofErr w:type="spellEnd"/>
      <w:r w:rsidR="00AC1E11" w:rsidRPr="00E225CB">
        <w:rPr>
          <w:rFonts w:ascii="Georgia" w:hAnsi="Georgia" w:cs="Calibri"/>
          <w:i/>
          <w:iCs/>
          <w:sz w:val="20"/>
          <w:szCs w:val="20"/>
          <w:lang w:val="nl-NL"/>
        </w:rPr>
        <w:t xml:space="preserve"> que </w:t>
      </w:r>
      <w:proofErr w:type="spellStart"/>
      <w:r w:rsidR="00AC1E11" w:rsidRPr="00E225CB">
        <w:rPr>
          <w:rFonts w:ascii="Georgia" w:hAnsi="Georgia" w:cs="Calibri"/>
          <w:i/>
          <w:iCs/>
          <w:sz w:val="20"/>
          <w:szCs w:val="20"/>
          <w:lang w:val="nl-NL"/>
        </w:rPr>
        <w:t>vous</w:t>
      </w:r>
      <w:proofErr w:type="spellEnd"/>
      <w:r w:rsidR="00AC1E11" w:rsidRPr="00E225CB">
        <w:rPr>
          <w:rFonts w:ascii="Georgia" w:hAnsi="Georgia" w:cs="Calibri"/>
          <w:i/>
          <w:iCs/>
          <w:sz w:val="20"/>
          <w:szCs w:val="20"/>
          <w:lang w:val="nl-NL"/>
        </w:rPr>
        <w:t xml:space="preserve"> vos en </w:t>
      </w:r>
      <w:proofErr w:type="spellStart"/>
      <w:r w:rsidR="00AC1E11" w:rsidRPr="00E225CB">
        <w:rPr>
          <w:rFonts w:ascii="Georgia" w:hAnsi="Georgia" w:cs="Calibri"/>
          <w:i/>
          <w:iCs/>
          <w:sz w:val="20"/>
          <w:szCs w:val="20"/>
          <w:lang w:val="nl-NL"/>
        </w:rPr>
        <w:t>perceverés</w:t>
      </w:r>
      <w:proofErr w:type="spellEnd"/>
      <w:r w:rsidR="00AC1E11" w:rsidRPr="00E225CB">
        <w:rPr>
          <w:rFonts w:ascii="Georgia" w:hAnsi="Georgia" w:cs="Calibri"/>
          <w:i/>
          <w:iCs/>
          <w:sz w:val="20"/>
          <w:szCs w:val="20"/>
          <w:lang w:val="nl-NL"/>
        </w:rPr>
        <w:t xml:space="preserve"> </w:t>
      </w:r>
      <w:r w:rsidRPr="00E225CB">
        <w:rPr>
          <w:rStyle w:val="FootnoteReference"/>
          <w:rFonts w:ascii="Georgia" w:hAnsi="Georgia" w:cs="Calibri"/>
          <w:i/>
          <w:iCs/>
          <w:sz w:val="20"/>
          <w:szCs w:val="20"/>
          <w:lang w:val="nl-NL"/>
        </w:rPr>
        <w:footnoteReference w:id="274"/>
      </w:r>
      <w:r w:rsidRPr="00E225CB">
        <w:rPr>
          <w:rFonts w:ascii="Georgia" w:hAnsi="Georgia" w:cs="Calibri"/>
          <w:sz w:val="20"/>
          <w:szCs w:val="20"/>
          <w:lang w:val="nl-NL"/>
        </w:rPr>
        <w:t xml:space="preserve"> </w:t>
      </w:r>
    </w:p>
    <w:p w14:paraId="357C8D7D" w14:textId="6A661517" w:rsidR="00F872C3" w:rsidRDefault="00B817F0" w:rsidP="00AC1E11">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Een belofte van concrete actie. Inderdaad, drie jaar later zou Johanna de voornaamste initiatiefneemster zijn van de Vrede van </w:t>
      </w:r>
      <w:r w:rsidR="00AC1E11" w:rsidRPr="00C140A8">
        <w:rPr>
          <w:rFonts w:ascii="Georgia" w:hAnsi="Georgia" w:cs="Calibri"/>
          <w:sz w:val="22"/>
          <w:szCs w:val="22"/>
          <w:lang w:val="nl-NL"/>
        </w:rPr>
        <w:t>Doornik, die</w:t>
      </w:r>
      <w:r w:rsidRPr="00C140A8">
        <w:rPr>
          <w:rFonts w:ascii="Georgia" w:hAnsi="Georgia" w:cs="Calibri"/>
          <w:sz w:val="22"/>
          <w:szCs w:val="22"/>
          <w:lang w:val="nl-NL"/>
        </w:rPr>
        <w:t xml:space="preserve"> op 18 december 1385 w</w:t>
      </w:r>
      <w:r w:rsidR="00AC1E11">
        <w:rPr>
          <w:rFonts w:ascii="Georgia" w:hAnsi="Georgia" w:cs="Calibri"/>
          <w:sz w:val="22"/>
          <w:szCs w:val="22"/>
          <w:lang w:val="nl-NL"/>
        </w:rPr>
        <w:t>erd</w:t>
      </w:r>
      <w:r w:rsidRPr="00C140A8">
        <w:rPr>
          <w:rFonts w:ascii="Georgia" w:hAnsi="Georgia" w:cs="Calibri"/>
          <w:sz w:val="22"/>
          <w:szCs w:val="22"/>
          <w:lang w:val="nl-NL"/>
        </w:rPr>
        <w:t xml:space="preserve"> gesloten tussen de Bourgondische hertog Filips de Stoute en de stad Gent.</w:t>
      </w:r>
      <w:r w:rsidRPr="00C140A8">
        <w:rPr>
          <w:rStyle w:val="FootnoteReference"/>
          <w:rFonts w:ascii="Georgia" w:hAnsi="Georgia" w:cs="Calibri"/>
          <w:sz w:val="22"/>
          <w:szCs w:val="22"/>
          <w:lang w:val="nl-NL"/>
        </w:rPr>
        <w:footnoteReference w:id="275"/>
      </w:r>
      <w:r w:rsidRPr="00C140A8">
        <w:rPr>
          <w:rFonts w:ascii="Georgia" w:hAnsi="Georgia" w:cs="Calibri"/>
          <w:sz w:val="22"/>
          <w:szCs w:val="22"/>
          <w:lang w:val="nl-NL"/>
        </w:rPr>
        <w:t xml:space="preserve"> Het meest veelzeggende detail is misschien wel dat de Gentse leiders bij de ondertekening van de akkoorden Johanna als allereerste bedanken: </w:t>
      </w:r>
    </w:p>
    <w:p w14:paraId="48D0FE9B" w14:textId="3C16538B" w:rsidR="00F872C3" w:rsidRPr="00E225CB" w:rsidRDefault="00B817F0" w:rsidP="00C839B9">
      <w:pPr>
        <w:spacing w:afterLines="80" w:after="192" w:line="360" w:lineRule="auto"/>
        <w:ind w:left="426"/>
        <w:jc w:val="both"/>
        <w:rPr>
          <w:rFonts w:ascii="Georgia" w:hAnsi="Georgia" w:cs="Calibri"/>
          <w:i/>
          <w:iCs/>
          <w:sz w:val="20"/>
          <w:szCs w:val="20"/>
          <w:lang w:val="nl-NL"/>
        </w:rPr>
      </w:pPr>
      <w:proofErr w:type="spellStart"/>
      <w:r w:rsidRPr="00E225CB">
        <w:rPr>
          <w:rFonts w:ascii="Georgia" w:hAnsi="Georgia" w:cs="Calibri"/>
          <w:i/>
          <w:iCs/>
          <w:sz w:val="20"/>
          <w:szCs w:val="20"/>
          <w:lang w:val="nl-NL"/>
        </w:rPr>
        <w:t>Premièrement</w:t>
      </w:r>
      <w:proofErr w:type="spellEnd"/>
      <w:r w:rsidRPr="00E225CB">
        <w:rPr>
          <w:rFonts w:ascii="Georgia" w:hAnsi="Georgia" w:cs="Calibri"/>
          <w:i/>
          <w:iCs/>
          <w:sz w:val="20"/>
          <w:szCs w:val="20"/>
          <w:lang w:val="nl-NL"/>
        </w:rPr>
        <w:t xml:space="preserve"> </w:t>
      </w:r>
      <w:proofErr w:type="spellStart"/>
      <w:r w:rsidRPr="00E225CB">
        <w:rPr>
          <w:rFonts w:ascii="Georgia" w:hAnsi="Georgia" w:cs="Calibri"/>
          <w:i/>
          <w:iCs/>
          <w:sz w:val="20"/>
          <w:szCs w:val="20"/>
          <w:lang w:val="nl-NL"/>
        </w:rPr>
        <w:t>devers</w:t>
      </w:r>
      <w:proofErr w:type="spellEnd"/>
      <w:r w:rsidRPr="00E225CB">
        <w:rPr>
          <w:rFonts w:ascii="Georgia" w:hAnsi="Georgia" w:cs="Calibri"/>
          <w:i/>
          <w:iCs/>
          <w:sz w:val="20"/>
          <w:szCs w:val="20"/>
          <w:lang w:val="nl-NL"/>
        </w:rPr>
        <w:t xml:space="preserve"> </w:t>
      </w:r>
      <w:proofErr w:type="spellStart"/>
      <w:r w:rsidRPr="00E225CB">
        <w:rPr>
          <w:rFonts w:ascii="Georgia" w:hAnsi="Georgia" w:cs="Calibri"/>
          <w:i/>
          <w:iCs/>
          <w:sz w:val="20"/>
          <w:szCs w:val="20"/>
          <w:lang w:val="nl-NL"/>
        </w:rPr>
        <w:t>le</w:t>
      </w:r>
      <w:proofErr w:type="spellEnd"/>
      <w:r w:rsidRPr="00E225CB">
        <w:rPr>
          <w:rFonts w:ascii="Georgia" w:hAnsi="Georgia" w:cs="Calibri"/>
          <w:i/>
          <w:iCs/>
          <w:sz w:val="20"/>
          <w:szCs w:val="20"/>
          <w:lang w:val="nl-NL"/>
        </w:rPr>
        <w:t xml:space="preserve"> </w:t>
      </w:r>
      <w:proofErr w:type="spellStart"/>
      <w:r w:rsidRPr="00E225CB">
        <w:rPr>
          <w:rFonts w:ascii="Georgia" w:hAnsi="Georgia" w:cs="Calibri"/>
          <w:i/>
          <w:iCs/>
          <w:sz w:val="20"/>
          <w:szCs w:val="20"/>
          <w:lang w:val="nl-NL"/>
        </w:rPr>
        <w:t>ducoise</w:t>
      </w:r>
      <w:proofErr w:type="spellEnd"/>
      <w:r w:rsidRPr="00E225CB">
        <w:rPr>
          <w:rFonts w:ascii="Georgia" w:hAnsi="Georgia" w:cs="Calibri"/>
          <w:i/>
          <w:iCs/>
          <w:sz w:val="20"/>
          <w:szCs w:val="20"/>
          <w:lang w:val="nl-NL"/>
        </w:rPr>
        <w:t xml:space="preserve"> de </w:t>
      </w:r>
      <w:proofErr w:type="spellStart"/>
      <w:r w:rsidRPr="00E225CB">
        <w:rPr>
          <w:rFonts w:ascii="Georgia" w:hAnsi="Georgia" w:cs="Calibri"/>
          <w:i/>
          <w:iCs/>
          <w:sz w:val="20"/>
          <w:szCs w:val="20"/>
          <w:lang w:val="nl-NL"/>
        </w:rPr>
        <w:t>Braibant</w:t>
      </w:r>
      <w:proofErr w:type="spellEnd"/>
      <w:r w:rsidRPr="00E225CB">
        <w:rPr>
          <w:rFonts w:ascii="Georgia" w:hAnsi="Georgia" w:cs="Calibri"/>
          <w:i/>
          <w:iCs/>
          <w:sz w:val="20"/>
          <w:szCs w:val="20"/>
          <w:lang w:val="nl-NL"/>
        </w:rPr>
        <w:t xml:space="preserve">, et </w:t>
      </w:r>
      <w:proofErr w:type="spellStart"/>
      <w:r w:rsidRPr="00E225CB">
        <w:rPr>
          <w:rFonts w:ascii="Georgia" w:hAnsi="Georgia" w:cs="Calibri"/>
          <w:i/>
          <w:iCs/>
          <w:sz w:val="20"/>
          <w:szCs w:val="20"/>
          <w:lang w:val="nl-NL"/>
        </w:rPr>
        <w:t>le</w:t>
      </w:r>
      <w:proofErr w:type="spellEnd"/>
      <w:r w:rsidRPr="00E225CB">
        <w:rPr>
          <w:rFonts w:ascii="Georgia" w:hAnsi="Georgia" w:cs="Calibri"/>
          <w:i/>
          <w:iCs/>
          <w:sz w:val="20"/>
          <w:szCs w:val="20"/>
          <w:lang w:val="nl-NL"/>
        </w:rPr>
        <w:t xml:space="preserve"> </w:t>
      </w:r>
      <w:proofErr w:type="spellStart"/>
      <w:r w:rsidRPr="00E225CB">
        <w:rPr>
          <w:rFonts w:ascii="Georgia" w:hAnsi="Georgia" w:cs="Calibri"/>
          <w:i/>
          <w:iCs/>
          <w:sz w:val="20"/>
          <w:szCs w:val="20"/>
          <w:lang w:val="nl-NL"/>
        </w:rPr>
        <w:t>remerchièrent</w:t>
      </w:r>
      <w:proofErr w:type="spellEnd"/>
      <w:r w:rsidRPr="00E225CB">
        <w:rPr>
          <w:rFonts w:ascii="Georgia" w:hAnsi="Georgia" w:cs="Calibri"/>
          <w:i/>
          <w:iCs/>
          <w:sz w:val="20"/>
          <w:szCs w:val="20"/>
          <w:lang w:val="nl-NL"/>
        </w:rPr>
        <w:t xml:space="preserve"> </w:t>
      </w:r>
      <w:proofErr w:type="spellStart"/>
      <w:r w:rsidRPr="00E225CB">
        <w:rPr>
          <w:rFonts w:ascii="Georgia" w:hAnsi="Georgia" w:cs="Calibri"/>
          <w:i/>
          <w:iCs/>
          <w:sz w:val="20"/>
          <w:szCs w:val="20"/>
          <w:lang w:val="nl-NL"/>
        </w:rPr>
        <w:t>grandement</w:t>
      </w:r>
      <w:proofErr w:type="spellEnd"/>
      <w:r w:rsidRPr="00E225CB">
        <w:rPr>
          <w:rFonts w:ascii="Georgia" w:hAnsi="Georgia" w:cs="Calibri"/>
          <w:i/>
          <w:iCs/>
          <w:sz w:val="20"/>
          <w:szCs w:val="20"/>
          <w:lang w:val="nl-NL"/>
        </w:rPr>
        <w:t xml:space="preserve"> de sa </w:t>
      </w:r>
      <w:proofErr w:type="spellStart"/>
      <w:r w:rsidRPr="00E225CB">
        <w:rPr>
          <w:rFonts w:ascii="Georgia" w:hAnsi="Georgia" w:cs="Calibri"/>
          <w:i/>
          <w:iCs/>
          <w:sz w:val="20"/>
          <w:szCs w:val="20"/>
          <w:lang w:val="nl-NL"/>
        </w:rPr>
        <w:t>bonne</w:t>
      </w:r>
      <w:proofErr w:type="spellEnd"/>
      <w:r w:rsidRPr="00E225CB">
        <w:rPr>
          <w:rFonts w:ascii="Georgia" w:hAnsi="Georgia" w:cs="Calibri"/>
          <w:i/>
          <w:iCs/>
          <w:sz w:val="20"/>
          <w:szCs w:val="20"/>
          <w:lang w:val="nl-NL"/>
        </w:rPr>
        <w:t xml:space="preserve"> diligence et </w:t>
      </w:r>
      <w:proofErr w:type="spellStart"/>
      <w:r w:rsidRPr="00E225CB">
        <w:rPr>
          <w:rFonts w:ascii="Georgia" w:hAnsi="Georgia" w:cs="Calibri"/>
          <w:i/>
          <w:iCs/>
          <w:sz w:val="20"/>
          <w:szCs w:val="20"/>
          <w:lang w:val="nl-NL"/>
        </w:rPr>
        <w:t>dou</w:t>
      </w:r>
      <w:proofErr w:type="spellEnd"/>
      <w:r w:rsidRPr="00E225CB">
        <w:rPr>
          <w:rFonts w:ascii="Georgia" w:hAnsi="Georgia" w:cs="Calibri"/>
          <w:i/>
          <w:iCs/>
          <w:sz w:val="20"/>
          <w:szCs w:val="20"/>
          <w:lang w:val="nl-NL"/>
        </w:rPr>
        <w:t xml:space="preserve"> </w:t>
      </w:r>
      <w:proofErr w:type="spellStart"/>
      <w:r w:rsidRPr="00E225CB">
        <w:rPr>
          <w:rFonts w:ascii="Georgia" w:hAnsi="Georgia" w:cs="Calibri"/>
          <w:i/>
          <w:iCs/>
          <w:sz w:val="20"/>
          <w:szCs w:val="20"/>
          <w:lang w:val="nl-NL"/>
        </w:rPr>
        <w:t>grant</w:t>
      </w:r>
      <w:proofErr w:type="spellEnd"/>
      <w:r w:rsidRPr="00E225CB">
        <w:rPr>
          <w:rFonts w:ascii="Georgia" w:hAnsi="Georgia" w:cs="Calibri"/>
          <w:i/>
          <w:iCs/>
          <w:sz w:val="20"/>
          <w:szCs w:val="20"/>
          <w:lang w:val="nl-NL"/>
        </w:rPr>
        <w:t xml:space="preserve"> </w:t>
      </w:r>
      <w:proofErr w:type="spellStart"/>
      <w:r w:rsidRPr="00E225CB">
        <w:rPr>
          <w:rFonts w:ascii="Georgia" w:hAnsi="Georgia" w:cs="Calibri"/>
          <w:i/>
          <w:iCs/>
          <w:sz w:val="20"/>
          <w:szCs w:val="20"/>
          <w:lang w:val="nl-NL"/>
        </w:rPr>
        <w:t>travail</w:t>
      </w:r>
      <w:proofErr w:type="spellEnd"/>
      <w:r w:rsidRPr="00E225CB">
        <w:rPr>
          <w:rFonts w:ascii="Georgia" w:hAnsi="Georgia" w:cs="Calibri"/>
          <w:i/>
          <w:iCs/>
          <w:sz w:val="20"/>
          <w:szCs w:val="20"/>
          <w:lang w:val="nl-NL"/>
        </w:rPr>
        <w:t xml:space="preserve"> que elle </w:t>
      </w:r>
      <w:proofErr w:type="spellStart"/>
      <w:r w:rsidRPr="00E225CB">
        <w:rPr>
          <w:rFonts w:ascii="Georgia" w:hAnsi="Georgia" w:cs="Calibri"/>
          <w:i/>
          <w:iCs/>
          <w:sz w:val="20"/>
          <w:szCs w:val="20"/>
          <w:lang w:val="nl-NL"/>
        </w:rPr>
        <w:t>avoit</w:t>
      </w:r>
      <w:proofErr w:type="spellEnd"/>
      <w:r w:rsidRPr="00E225CB">
        <w:rPr>
          <w:rFonts w:ascii="Georgia" w:hAnsi="Georgia" w:cs="Calibri"/>
          <w:i/>
          <w:iCs/>
          <w:sz w:val="20"/>
          <w:szCs w:val="20"/>
          <w:lang w:val="nl-NL"/>
        </w:rPr>
        <w:t xml:space="preserve"> </w:t>
      </w:r>
      <w:proofErr w:type="spellStart"/>
      <w:r w:rsidRPr="00E225CB">
        <w:rPr>
          <w:rFonts w:ascii="Georgia" w:hAnsi="Georgia" w:cs="Calibri"/>
          <w:i/>
          <w:iCs/>
          <w:sz w:val="20"/>
          <w:szCs w:val="20"/>
          <w:lang w:val="nl-NL"/>
        </w:rPr>
        <w:t>pris</w:t>
      </w:r>
      <w:proofErr w:type="spellEnd"/>
      <w:r w:rsidRPr="00E225CB">
        <w:rPr>
          <w:rFonts w:ascii="Georgia" w:hAnsi="Georgia" w:cs="Calibri"/>
          <w:i/>
          <w:iCs/>
          <w:sz w:val="20"/>
          <w:szCs w:val="20"/>
          <w:lang w:val="nl-NL"/>
        </w:rPr>
        <w:t xml:space="preserve"> et </w:t>
      </w:r>
      <w:proofErr w:type="spellStart"/>
      <w:r w:rsidRPr="00E225CB">
        <w:rPr>
          <w:rFonts w:ascii="Georgia" w:hAnsi="Georgia" w:cs="Calibri"/>
          <w:i/>
          <w:iCs/>
          <w:sz w:val="20"/>
          <w:szCs w:val="20"/>
          <w:lang w:val="nl-NL"/>
        </w:rPr>
        <w:t>eu</w:t>
      </w:r>
      <w:proofErr w:type="spellEnd"/>
      <w:r w:rsidRPr="00E225CB">
        <w:rPr>
          <w:rFonts w:ascii="Georgia" w:hAnsi="Georgia" w:cs="Calibri"/>
          <w:i/>
          <w:iCs/>
          <w:sz w:val="20"/>
          <w:szCs w:val="20"/>
          <w:lang w:val="nl-NL"/>
        </w:rPr>
        <w:t xml:space="preserve"> en ces </w:t>
      </w:r>
      <w:proofErr w:type="spellStart"/>
      <w:r w:rsidRPr="00E225CB">
        <w:rPr>
          <w:rFonts w:ascii="Georgia" w:hAnsi="Georgia" w:cs="Calibri"/>
          <w:i/>
          <w:iCs/>
          <w:sz w:val="20"/>
          <w:szCs w:val="20"/>
          <w:lang w:val="nl-NL"/>
        </w:rPr>
        <w:t>besongnes</w:t>
      </w:r>
      <w:proofErr w:type="spellEnd"/>
      <w:r w:rsidRPr="00E225CB">
        <w:rPr>
          <w:rFonts w:ascii="Georgia" w:hAnsi="Georgia" w:cs="Calibri"/>
          <w:i/>
          <w:iCs/>
          <w:sz w:val="20"/>
          <w:szCs w:val="20"/>
          <w:lang w:val="nl-NL"/>
        </w:rPr>
        <w:t>.</w:t>
      </w:r>
      <w:r w:rsidRPr="00E225CB">
        <w:rPr>
          <w:rStyle w:val="FootnoteReference"/>
          <w:rFonts w:ascii="Georgia" w:hAnsi="Georgia" w:cs="Calibri"/>
          <w:i/>
          <w:iCs/>
          <w:sz w:val="20"/>
          <w:szCs w:val="20"/>
          <w:lang w:val="nl-NL"/>
        </w:rPr>
        <w:footnoteReference w:id="276"/>
      </w:r>
    </w:p>
    <w:p w14:paraId="633CD0E2" w14:textId="77777777" w:rsidR="00B817F0" w:rsidRPr="00C140A8" w:rsidRDefault="00B817F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lastRenderedPageBreak/>
        <w:t xml:space="preserve">Toch rijst de vraag in hoeverre dit beeld, ontleend aan een literaire bron als </w:t>
      </w:r>
      <w:proofErr w:type="spellStart"/>
      <w:r w:rsidRPr="00C140A8">
        <w:rPr>
          <w:rFonts w:ascii="Georgia" w:hAnsi="Georgia" w:cs="Calibri"/>
          <w:sz w:val="22"/>
          <w:szCs w:val="22"/>
          <w:lang w:val="nl-NL"/>
        </w:rPr>
        <w:t>Froissart</w:t>
      </w:r>
      <w:proofErr w:type="spellEnd"/>
      <w:r w:rsidRPr="00C140A8">
        <w:rPr>
          <w:rFonts w:ascii="Georgia" w:hAnsi="Georgia" w:cs="Calibri"/>
          <w:sz w:val="22"/>
          <w:szCs w:val="22"/>
          <w:lang w:val="nl-NL"/>
        </w:rPr>
        <w:t>, representatief is voor Johanna's daadwerkelijke diplomatieke slagkracht. Anthony Musson beargumenteert dat de jarenlange focus op literaire bronnen een sterk vertekend beeld heeft gecreëerd van de ware aard van vrouwelijke diplomatieke en juridische bemiddeling.</w:t>
      </w:r>
      <w:r w:rsidRPr="00C140A8">
        <w:rPr>
          <w:rStyle w:val="FootnoteReference"/>
          <w:rFonts w:ascii="Georgia" w:hAnsi="Georgia" w:cs="Calibri"/>
          <w:sz w:val="22"/>
          <w:szCs w:val="22"/>
          <w:lang w:val="nl-NL"/>
        </w:rPr>
        <w:footnoteReference w:id="277"/>
      </w:r>
      <w:r w:rsidRPr="00C140A8">
        <w:rPr>
          <w:rFonts w:ascii="Georgia" w:hAnsi="Georgia" w:cs="Calibri"/>
          <w:sz w:val="22"/>
          <w:szCs w:val="22"/>
          <w:lang w:val="nl-NL"/>
        </w:rPr>
        <w:t xml:space="preserve"> Het literaire model verhult hoe een vorstin op vrijwel dagelijkse basis bemiddelde tussen verschillende groepen in haar rijk, niet in de dramatische, geënsceneerde vorm die kroniekschrijvers vastlegden, maar als een alledaagse en zakelijke routine.</w:t>
      </w:r>
      <w:r w:rsidRPr="00C140A8">
        <w:rPr>
          <w:rStyle w:val="FootnoteReference"/>
          <w:rFonts w:ascii="Georgia" w:hAnsi="Georgia" w:cs="Calibri"/>
          <w:sz w:val="22"/>
          <w:szCs w:val="22"/>
          <w:lang w:val="nl-NL"/>
        </w:rPr>
        <w:footnoteReference w:id="278"/>
      </w:r>
    </w:p>
    <w:p w14:paraId="2F265E0C" w14:textId="77777777" w:rsidR="00B817F0" w:rsidRPr="00C140A8" w:rsidRDefault="00B817F0" w:rsidP="00D83A0D">
      <w:pPr>
        <w:pStyle w:val="ThesisSubheading"/>
        <w:ind w:left="1134" w:hanging="1134"/>
        <w:rPr>
          <w:lang w:val="nl-NL"/>
        </w:rPr>
      </w:pPr>
      <w:bookmarkStart w:id="174" w:name="_Toc230171842"/>
      <w:bookmarkStart w:id="175" w:name="_Toc231153780"/>
      <w:bookmarkStart w:id="176" w:name="_Toc231329849"/>
      <w:bookmarkStart w:id="177" w:name="_Toc231330456"/>
      <w:bookmarkStart w:id="178" w:name="_Toc231428050"/>
      <w:proofErr w:type="spellStart"/>
      <w:r w:rsidRPr="00D83A0D">
        <w:t>Bemiddeling</w:t>
      </w:r>
      <w:proofErr w:type="spellEnd"/>
      <w:r w:rsidRPr="00C140A8">
        <w:rPr>
          <w:lang w:val="nl-NL"/>
        </w:rPr>
        <w:t xml:space="preserve"> als bestuurspraktijk</w:t>
      </w:r>
      <w:bookmarkEnd w:id="174"/>
      <w:bookmarkEnd w:id="175"/>
      <w:bookmarkEnd w:id="176"/>
      <w:bookmarkEnd w:id="177"/>
      <w:bookmarkEnd w:id="178"/>
    </w:p>
    <w:p w14:paraId="60C3C0AD" w14:textId="50C39A04" w:rsidR="0021157C" w:rsidRDefault="00B817F0" w:rsidP="00C140A8">
      <w:pPr>
        <w:spacing w:afterLines="80" w:after="192" w:line="360" w:lineRule="auto"/>
        <w:jc w:val="both"/>
        <w:rPr>
          <w:rFonts w:ascii="Georgia" w:hAnsi="Georgia" w:cs="Calibri"/>
          <w:i/>
          <w:iCs/>
          <w:sz w:val="22"/>
          <w:szCs w:val="22"/>
        </w:rPr>
      </w:pPr>
      <w:r w:rsidRPr="00C140A8">
        <w:rPr>
          <w:rFonts w:ascii="Georgia" w:hAnsi="Georgia" w:cs="Calibri"/>
          <w:sz w:val="22"/>
          <w:szCs w:val="22"/>
          <w:lang w:val="nl-NL"/>
        </w:rPr>
        <w:t>De Brabantse oorkonden en rekeningen bevestigen dit beeld. In deze praktijkbronnen duikt bemiddeling op als een terugkerend en veelzijdig gebruikt middel</w:t>
      </w:r>
      <w:r w:rsidR="00890311">
        <w:rPr>
          <w:rFonts w:ascii="Georgia" w:hAnsi="Georgia" w:cs="Calibri"/>
          <w:sz w:val="22"/>
          <w:szCs w:val="22"/>
          <w:lang w:val="nl-NL"/>
        </w:rPr>
        <w:t>.</w:t>
      </w:r>
      <w:r w:rsidRPr="00C140A8">
        <w:rPr>
          <w:rFonts w:ascii="Georgia" w:hAnsi="Georgia" w:cs="Calibri"/>
          <w:sz w:val="22"/>
          <w:szCs w:val="22"/>
          <w:lang w:val="nl-NL"/>
        </w:rPr>
        <w:t xml:space="preserve"> Johanna verleent gratie, beveelt vrijlatingen, beslecht conflicten en velt oordelen. Beide brontypen hebben </w:t>
      </w:r>
      <w:r w:rsidR="009E0329">
        <w:rPr>
          <w:rFonts w:ascii="Georgia" w:hAnsi="Georgia" w:cs="Calibri"/>
          <w:sz w:val="22"/>
          <w:szCs w:val="22"/>
          <w:lang w:val="nl-NL"/>
        </w:rPr>
        <w:t>wel</w:t>
      </w:r>
      <w:r w:rsidRPr="00C140A8">
        <w:rPr>
          <w:rFonts w:ascii="Georgia" w:hAnsi="Georgia" w:cs="Calibri"/>
          <w:sz w:val="22"/>
          <w:szCs w:val="22"/>
          <w:lang w:val="nl-NL"/>
        </w:rPr>
        <w:t xml:space="preserve"> een verschillende bewijskracht. </w:t>
      </w:r>
      <w:r w:rsidR="0021157C" w:rsidRPr="0021157C">
        <w:rPr>
          <w:rFonts w:ascii="Georgia" w:hAnsi="Georgia" w:cs="Calibri"/>
          <w:sz w:val="22"/>
          <w:szCs w:val="22"/>
        </w:rPr>
        <w:t>Hoewel de oorkonden de naam van Johanna of Wenceslas als uitvaardigers droegen, was dit vaak een administratieve routine waarbij de hertog en hertogin bij het opstellen niet nauw betrokken waren</w:t>
      </w:r>
      <w:r w:rsidRPr="003653D6">
        <w:rPr>
          <w:rFonts w:ascii="Georgia" w:hAnsi="Georgia" w:cs="Calibri"/>
          <w:sz w:val="22"/>
          <w:szCs w:val="22"/>
          <w:lang w:val="nl-NL"/>
        </w:rPr>
        <w:t>.</w:t>
      </w:r>
      <w:r w:rsidR="00E50B60">
        <w:rPr>
          <w:rFonts w:ascii="Georgia" w:hAnsi="Georgia" w:cs="Calibri"/>
          <w:sz w:val="22"/>
          <w:szCs w:val="22"/>
          <w:lang w:val="nl-NL"/>
        </w:rPr>
        <w:t xml:space="preserve"> </w:t>
      </w:r>
      <w:r w:rsidR="00804966" w:rsidRPr="00C140A8">
        <w:rPr>
          <w:rFonts w:ascii="Georgia" w:hAnsi="Georgia" w:cs="Calibri"/>
          <w:sz w:val="22"/>
          <w:szCs w:val="22"/>
          <w:lang w:val="nl-NL"/>
        </w:rPr>
        <w:t>Ze moesten echter wel akkoord gaan met de inhoud van de oorkonde en dit via hun zegel of het tekenen persoonlijk bevestigen</w:t>
      </w:r>
      <w:r w:rsidR="00804966">
        <w:rPr>
          <w:rFonts w:ascii="Georgia" w:hAnsi="Georgia" w:cs="Calibri"/>
          <w:sz w:val="22"/>
          <w:szCs w:val="22"/>
          <w:lang w:val="nl-NL"/>
        </w:rPr>
        <w:t xml:space="preserve">. </w:t>
      </w:r>
      <w:r w:rsidR="002006E1">
        <w:rPr>
          <w:rFonts w:ascii="Georgia" w:hAnsi="Georgia" w:cs="Calibri"/>
          <w:sz w:val="22"/>
          <w:szCs w:val="22"/>
          <w:lang w:val="nl-NL"/>
        </w:rPr>
        <w:t xml:space="preserve">Johanna en </w:t>
      </w:r>
      <w:proofErr w:type="spellStart"/>
      <w:r w:rsidR="002006E1">
        <w:rPr>
          <w:rFonts w:ascii="Georgia" w:hAnsi="Georgia" w:cs="Calibri"/>
          <w:sz w:val="22"/>
          <w:szCs w:val="22"/>
          <w:lang w:val="nl-NL"/>
        </w:rPr>
        <w:t>Wenceslas</w:t>
      </w:r>
      <w:proofErr w:type="spellEnd"/>
      <w:r w:rsidR="002006E1">
        <w:rPr>
          <w:rFonts w:ascii="Georgia" w:hAnsi="Georgia" w:cs="Calibri"/>
          <w:sz w:val="22"/>
          <w:szCs w:val="22"/>
          <w:lang w:val="nl-NL"/>
        </w:rPr>
        <w:t xml:space="preserve"> waren </w:t>
      </w:r>
      <w:r w:rsidR="00B00F74">
        <w:rPr>
          <w:rFonts w:ascii="Georgia" w:hAnsi="Georgia" w:cs="Calibri"/>
          <w:sz w:val="22"/>
          <w:szCs w:val="22"/>
          <w:lang w:val="nl-NL"/>
        </w:rPr>
        <w:t xml:space="preserve">directer betrokken </w:t>
      </w:r>
      <w:r w:rsidR="00981EC2">
        <w:rPr>
          <w:rFonts w:ascii="Georgia" w:hAnsi="Georgia" w:cs="Calibri"/>
          <w:sz w:val="22"/>
          <w:szCs w:val="22"/>
          <w:lang w:val="nl-NL"/>
        </w:rPr>
        <w:t>bij</w:t>
      </w:r>
      <w:r w:rsidR="00B00F74">
        <w:rPr>
          <w:rFonts w:ascii="Georgia" w:hAnsi="Georgia" w:cs="Calibri"/>
          <w:sz w:val="22"/>
          <w:szCs w:val="22"/>
          <w:lang w:val="nl-NL"/>
        </w:rPr>
        <w:t xml:space="preserve"> de rekeningen. </w:t>
      </w:r>
      <w:r w:rsidR="0021157C" w:rsidRPr="0021157C">
        <w:rPr>
          <w:rFonts w:ascii="Georgia" w:hAnsi="Georgia" w:cs="Calibri"/>
          <w:sz w:val="22"/>
          <w:szCs w:val="22"/>
        </w:rPr>
        <w:t>Die vermelden vaak de expliciete bevelen van het echtpaar, en de ingeboekte kosten tonen dat de uitvoering ervan plaatsvond</w:t>
      </w:r>
      <w:r w:rsidR="0021157C">
        <w:rPr>
          <w:rFonts w:ascii="Georgia" w:hAnsi="Georgia" w:cs="Calibri"/>
          <w:sz w:val="22"/>
          <w:szCs w:val="22"/>
        </w:rPr>
        <w:t>.</w:t>
      </w:r>
    </w:p>
    <w:p w14:paraId="12F2FBD8" w14:textId="4FF0B956" w:rsidR="00B817F0" w:rsidRPr="00C140A8" w:rsidRDefault="00B817F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Zoals het vorige hoofdstuk </w:t>
      </w:r>
      <w:r w:rsidR="00B92D90">
        <w:rPr>
          <w:rFonts w:ascii="Georgia" w:hAnsi="Georgia" w:cs="Calibri"/>
          <w:sz w:val="22"/>
          <w:szCs w:val="22"/>
          <w:lang w:val="nl-NL"/>
        </w:rPr>
        <w:t>vermeldde</w:t>
      </w:r>
      <w:r w:rsidRPr="00C140A8">
        <w:rPr>
          <w:rFonts w:ascii="Georgia" w:hAnsi="Georgia" w:cs="Calibri"/>
          <w:sz w:val="22"/>
          <w:szCs w:val="22"/>
          <w:lang w:val="nl-NL"/>
        </w:rPr>
        <w:t xml:space="preserve">, genoot Johanna in de praktijk enige rechtsbevoegdheid in haar eigen weduwegoed. Hoewel haar juridische </w:t>
      </w:r>
      <w:r w:rsidR="003653D6" w:rsidRPr="00C140A8">
        <w:rPr>
          <w:rFonts w:ascii="Georgia" w:hAnsi="Georgia" w:cs="Calibri"/>
          <w:sz w:val="22"/>
          <w:szCs w:val="22"/>
          <w:lang w:val="nl-NL"/>
        </w:rPr>
        <w:t>bevoegdheid hier</w:t>
      </w:r>
      <w:r w:rsidRPr="00C140A8">
        <w:rPr>
          <w:rFonts w:ascii="Georgia" w:hAnsi="Georgia" w:cs="Calibri"/>
          <w:sz w:val="22"/>
          <w:szCs w:val="22"/>
          <w:lang w:val="nl-NL"/>
        </w:rPr>
        <w:t xml:space="preserve"> vaak omstreden was, zeker niet absoluut, en ze af en toe zelfs werd teruggefloten, had zij er </w:t>
      </w:r>
      <w:r w:rsidR="00B92D90">
        <w:rPr>
          <w:rFonts w:ascii="Georgia" w:hAnsi="Georgia" w:cs="Calibri"/>
          <w:sz w:val="22"/>
          <w:szCs w:val="22"/>
          <w:lang w:val="nl-NL"/>
        </w:rPr>
        <w:t xml:space="preserve">toch </w:t>
      </w:r>
      <w:r w:rsidRPr="00C140A8">
        <w:rPr>
          <w:rFonts w:ascii="Georgia" w:hAnsi="Georgia" w:cs="Calibri"/>
          <w:sz w:val="22"/>
          <w:szCs w:val="22"/>
          <w:lang w:val="nl-NL"/>
        </w:rPr>
        <w:t>een veelzeggende invloed op verschillende vlakken.</w:t>
      </w:r>
      <w:r w:rsidRPr="00C140A8">
        <w:rPr>
          <w:rStyle w:val="FootnoteReference"/>
          <w:rFonts w:ascii="Georgia" w:hAnsi="Georgia" w:cs="Calibri"/>
          <w:sz w:val="22"/>
          <w:szCs w:val="22"/>
          <w:lang w:val="nl-NL"/>
        </w:rPr>
        <w:footnoteReference w:id="279"/>
      </w:r>
      <w:r w:rsidRPr="00C140A8">
        <w:rPr>
          <w:rFonts w:ascii="Georgia" w:hAnsi="Georgia" w:cs="Calibri"/>
          <w:sz w:val="22"/>
          <w:szCs w:val="22"/>
          <w:lang w:val="nl-NL"/>
        </w:rPr>
        <w:t xml:space="preserve"> </w:t>
      </w:r>
      <w:r w:rsidR="002106D9" w:rsidRPr="002106D9">
        <w:rPr>
          <w:rFonts w:ascii="Georgia" w:hAnsi="Georgia" w:cs="Calibri"/>
          <w:sz w:val="22"/>
          <w:szCs w:val="22"/>
        </w:rPr>
        <w:t xml:space="preserve">Het vorige hoofdstuk besprak al kleinere </w:t>
      </w:r>
      <w:r w:rsidR="001659EC" w:rsidRPr="002106D9">
        <w:rPr>
          <w:rFonts w:ascii="Georgia" w:hAnsi="Georgia" w:cs="Calibri"/>
          <w:sz w:val="22"/>
          <w:szCs w:val="22"/>
        </w:rPr>
        <w:t xml:space="preserve">conflicten </w:t>
      </w:r>
      <w:r w:rsidR="001659EC">
        <w:rPr>
          <w:rFonts w:ascii="Georgia" w:hAnsi="Georgia" w:cs="Calibri"/>
          <w:sz w:val="22"/>
          <w:szCs w:val="22"/>
        </w:rPr>
        <w:t>tussen</w:t>
      </w:r>
      <w:r w:rsidR="002C7AA1">
        <w:rPr>
          <w:rFonts w:ascii="Georgia" w:hAnsi="Georgia" w:cs="Calibri"/>
          <w:sz w:val="22"/>
          <w:szCs w:val="22"/>
        </w:rPr>
        <w:t xml:space="preserve"> inwoners van</w:t>
      </w:r>
      <w:r w:rsidR="002106D9" w:rsidRPr="002106D9">
        <w:rPr>
          <w:rFonts w:ascii="Georgia" w:hAnsi="Georgia" w:cs="Calibri"/>
          <w:sz w:val="22"/>
          <w:szCs w:val="22"/>
        </w:rPr>
        <w:t xml:space="preserve"> Binche, maar zij bemiddelde bijvoorbeeld ook in conflicten tussen leden van de lokale adel</w:t>
      </w:r>
      <w:r w:rsidR="002106D9">
        <w:rPr>
          <w:rFonts w:ascii="Georgia" w:hAnsi="Georgia" w:cs="Calibri"/>
          <w:i/>
          <w:iCs/>
          <w:sz w:val="22"/>
          <w:szCs w:val="22"/>
        </w:rPr>
        <w:t>.</w:t>
      </w:r>
      <w:r w:rsidRPr="00C140A8">
        <w:rPr>
          <w:rFonts w:ascii="Georgia" w:hAnsi="Georgia" w:cs="Calibri"/>
          <w:sz w:val="22"/>
          <w:szCs w:val="22"/>
          <w:lang w:val="nl-NL"/>
        </w:rPr>
        <w:t xml:space="preserve"> In 1377 beval Johanna haar ontvanger om Jean </w:t>
      </w:r>
      <w:proofErr w:type="spellStart"/>
      <w:r w:rsidRPr="00C140A8">
        <w:rPr>
          <w:rFonts w:ascii="Georgia" w:hAnsi="Georgia" w:cs="Calibri"/>
          <w:sz w:val="22"/>
          <w:szCs w:val="22"/>
          <w:lang w:val="nl-NL"/>
        </w:rPr>
        <w:t>le</w:t>
      </w:r>
      <w:proofErr w:type="spellEnd"/>
      <w:r w:rsidRPr="00C140A8">
        <w:rPr>
          <w:rFonts w:ascii="Georgia" w:hAnsi="Georgia" w:cs="Calibri"/>
          <w:sz w:val="22"/>
          <w:szCs w:val="22"/>
          <w:lang w:val="nl-NL"/>
        </w:rPr>
        <w:t xml:space="preserve"> Prince en </w:t>
      </w:r>
      <w:proofErr w:type="spellStart"/>
      <w:r w:rsidRPr="00C140A8">
        <w:rPr>
          <w:rFonts w:ascii="Georgia" w:hAnsi="Georgia" w:cs="Calibri"/>
          <w:sz w:val="22"/>
          <w:szCs w:val="22"/>
          <w:lang w:val="nl-NL"/>
        </w:rPr>
        <w:t>Nicaise</w:t>
      </w:r>
      <w:proofErr w:type="spellEnd"/>
      <w:r w:rsidRPr="00C140A8">
        <w:rPr>
          <w:rFonts w:ascii="Georgia" w:hAnsi="Georgia" w:cs="Calibri"/>
          <w:sz w:val="22"/>
          <w:szCs w:val="22"/>
          <w:lang w:val="nl-NL"/>
        </w:rPr>
        <w:t xml:space="preserve"> </w:t>
      </w:r>
      <w:proofErr w:type="spellStart"/>
      <w:r w:rsidRPr="00C140A8">
        <w:rPr>
          <w:rFonts w:ascii="Georgia" w:hAnsi="Georgia" w:cs="Calibri"/>
          <w:sz w:val="22"/>
          <w:szCs w:val="22"/>
          <w:lang w:val="nl-NL"/>
        </w:rPr>
        <w:t>le</w:t>
      </w:r>
      <w:proofErr w:type="spellEnd"/>
      <w:r w:rsidRPr="00C140A8">
        <w:rPr>
          <w:rFonts w:ascii="Georgia" w:hAnsi="Georgia" w:cs="Calibri"/>
          <w:sz w:val="22"/>
          <w:szCs w:val="22"/>
          <w:lang w:val="nl-NL"/>
        </w:rPr>
        <w:t xml:space="preserve"> Pot met elkaar te verzoenen, en de straf te laten uitvoeren die zij aan </w:t>
      </w:r>
      <w:proofErr w:type="spellStart"/>
      <w:r w:rsidRPr="00C140A8">
        <w:rPr>
          <w:rFonts w:ascii="Georgia" w:hAnsi="Georgia" w:cs="Calibri"/>
          <w:sz w:val="22"/>
          <w:szCs w:val="22"/>
          <w:lang w:val="nl-NL"/>
        </w:rPr>
        <w:t>Nicaise</w:t>
      </w:r>
      <w:proofErr w:type="spellEnd"/>
      <w:r w:rsidRPr="00C140A8">
        <w:rPr>
          <w:rFonts w:ascii="Georgia" w:hAnsi="Georgia" w:cs="Calibri"/>
          <w:sz w:val="22"/>
          <w:szCs w:val="22"/>
          <w:lang w:val="nl-NL"/>
        </w:rPr>
        <w:t xml:space="preserve"> had opgelegd.</w:t>
      </w:r>
      <w:r w:rsidRPr="00C140A8">
        <w:rPr>
          <w:rStyle w:val="FootnoteReference"/>
          <w:rFonts w:ascii="Georgia" w:hAnsi="Georgia" w:cs="Calibri"/>
          <w:sz w:val="22"/>
          <w:szCs w:val="22"/>
          <w:lang w:val="nl-NL"/>
        </w:rPr>
        <w:footnoteReference w:id="280"/>
      </w:r>
      <w:r w:rsidRPr="00C140A8">
        <w:rPr>
          <w:rFonts w:ascii="Georgia" w:hAnsi="Georgia" w:cs="Calibri"/>
          <w:sz w:val="22"/>
          <w:szCs w:val="22"/>
          <w:lang w:val="nl-NL"/>
        </w:rPr>
        <w:t xml:space="preserve"> Een adellijke vrouw, niet bij naam genoemd, uit Graven had al tevergeefs geprobeerd te bemiddelen tussen beide partijen. Wanneer dit niet lukt, stapt zij naar Johanna, die akkoord gaat met haar oordeel en de schuld eveneens bij </w:t>
      </w:r>
      <w:proofErr w:type="spellStart"/>
      <w:r w:rsidRPr="00C140A8">
        <w:rPr>
          <w:rFonts w:ascii="Georgia" w:hAnsi="Georgia" w:cs="Calibri"/>
          <w:sz w:val="22"/>
          <w:szCs w:val="22"/>
          <w:lang w:val="nl-NL"/>
        </w:rPr>
        <w:t>Nicaise</w:t>
      </w:r>
      <w:proofErr w:type="spellEnd"/>
      <w:r w:rsidRPr="00C140A8">
        <w:rPr>
          <w:rFonts w:ascii="Georgia" w:hAnsi="Georgia" w:cs="Calibri"/>
          <w:sz w:val="22"/>
          <w:szCs w:val="22"/>
          <w:lang w:val="nl-NL"/>
        </w:rPr>
        <w:t xml:space="preserve"> legt. De aard van het conflict zelf is niet vermeld, maar ook niet aan de orde. Wat telt, is dat dit geval allereerst aantoont dat bemiddeling op verschillende niveaus en door verschillende actoren gebeurde, ook door </w:t>
      </w:r>
      <w:r w:rsidRPr="00C140A8">
        <w:rPr>
          <w:rFonts w:ascii="Georgia" w:hAnsi="Georgia" w:cs="Calibri"/>
          <w:sz w:val="22"/>
          <w:szCs w:val="22"/>
          <w:lang w:val="nl-NL"/>
        </w:rPr>
        <w:lastRenderedPageBreak/>
        <w:t>andere vrouwen</w:t>
      </w:r>
      <w:r w:rsidR="00B92D90">
        <w:rPr>
          <w:rFonts w:ascii="Georgia" w:hAnsi="Georgia" w:cs="Calibri"/>
          <w:sz w:val="22"/>
          <w:szCs w:val="22"/>
          <w:lang w:val="nl-NL"/>
        </w:rPr>
        <w:t xml:space="preserve">, </w:t>
      </w:r>
      <w:r w:rsidRPr="00C140A8">
        <w:rPr>
          <w:rFonts w:ascii="Georgia" w:hAnsi="Georgia" w:cs="Calibri"/>
          <w:sz w:val="22"/>
          <w:szCs w:val="22"/>
          <w:lang w:val="nl-NL"/>
        </w:rPr>
        <w:t>en tevens illustreert het dat Johanna niet enkel tussenbeide komt en vrede sticht, maar ook effectief een oordeel velt waaraan een straf is verbonden.</w:t>
      </w:r>
    </w:p>
    <w:p w14:paraId="0EB45720" w14:textId="663BCE49" w:rsidR="00B817F0" w:rsidRPr="00C140A8" w:rsidRDefault="00B817F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Er zijn een aantal gevallen bekend waarin Johanna binnen Brabant zulke </w:t>
      </w:r>
      <w:proofErr w:type="spellStart"/>
      <w:r w:rsidRPr="00C140A8">
        <w:rPr>
          <w:rFonts w:ascii="Georgia" w:hAnsi="Georgia" w:cs="Calibri"/>
          <w:sz w:val="22"/>
          <w:szCs w:val="22"/>
          <w:lang w:val="nl-NL"/>
        </w:rPr>
        <w:t>graties</w:t>
      </w:r>
      <w:proofErr w:type="spellEnd"/>
      <w:r w:rsidRPr="00C140A8">
        <w:rPr>
          <w:rFonts w:ascii="Georgia" w:hAnsi="Georgia" w:cs="Calibri"/>
          <w:sz w:val="22"/>
          <w:szCs w:val="22"/>
          <w:lang w:val="nl-NL"/>
        </w:rPr>
        <w:t xml:space="preserve"> verleende. In een post uit de rekeningen van 1379 beveelt Johanna om een zekere '</w:t>
      </w:r>
      <w:proofErr w:type="spellStart"/>
      <w:r w:rsidRPr="00C140A8">
        <w:rPr>
          <w:rFonts w:ascii="Georgia" w:hAnsi="Georgia" w:cs="Calibri"/>
          <w:sz w:val="22"/>
          <w:szCs w:val="22"/>
          <w:lang w:val="nl-NL"/>
        </w:rPr>
        <w:t>Tyvox</w:t>
      </w:r>
      <w:proofErr w:type="spellEnd"/>
      <w:r w:rsidRPr="00C140A8">
        <w:rPr>
          <w:rFonts w:ascii="Georgia" w:hAnsi="Georgia" w:cs="Calibri"/>
          <w:sz w:val="22"/>
          <w:szCs w:val="22"/>
          <w:lang w:val="nl-NL"/>
        </w:rPr>
        <w:t>' te bevrijden.</w:t>
      </w:r>
      <w:r w:rsidRPr="00C140A8">
        <w:rPr>
          <w:rStyle w:val="FootnoteReference"/>
          <w:rFonts w:ascii="Georgia" w:hAnsi="Georgia" w:cs="Calibri"/>
          <w:sz w:val="22"/>
          <w:szCs w:val="22"/>
          <w:lang w:val="nl-NL"/>
        </w:rPr>
        <w:footnoteReference w:id="281"/>
      </w:r>
      <w:r w:rsidRPr="00C140A8">
        <w:rPr>
          <w:rFonts w:ascii="Georgia" w:hAnsi="Georgia" w:cs="Calibri"/>
          <w:sz w:val="22"/>
          <w:szCs w:val="22"/>
          <w:lang w:val="nl-NL"/>
        </w:rPr>
        <w:t xml:space="preserve"> De verdere context ontbreekt, maar de rekening vermeldt dat zij Guide, de valkenier, uitzendt om de man vrij te laten. </w:t>
      </w:r>
      <w:r w:rsidR="00452F13" w:rsidRPr="00452F13">
        <w:rPr>
          <w:rFonts w:ascii="Georgia" w:hAnsi="Georgia" w:cs="Calibri"/>
          <w:sz w:val="22"/>
          <w:szCs w:val="22"/>
        </w:rPr>
        <w:t xml:space="preserve">Het feit dat </w:t>
      </w:r>
      <w:r w:rsidR="00DF5844">
        <w:rPr>
          <w:rFonts w:ascii="Georgia" w:hAnsi="Georgia" w:cs="Calibri"/>
          <w:sz w:val="22"/>
          <w:szCs w:val="22"/>
        </w:rPr>
        <w:t xml:space="preserve">Johanna de </w:t>
      </w:r>
      <w:r w:rsidR="00452F13" w:rsidRPr="00452F13">
        <w:rPr>
          <w:rFonts w:ascii="Georgia" w:hAnsi="Georgia" w:cs="Calibri"/>
          <w:sz w:val="22"/>
          <w:szCs w:val="22"/>
        </w:rPr>
        <w:t xml:space="preserve">reiskosten </w:t>
      </w:r>
      <w:r w:rsidR="00DF5844">
        <w:rPr>
          <w:rFonts w:ascii="Georgia" w:hAnsi="Georgia" w:cs="Calibri"/>
          <w:sz w:val="22"/>
          <w:szCs w:val="22"/>
        </w:rPr>
        <w:t>van</w:t>
      </w:r>
      <w:r w:rsidR="00452F13" w:rsidRPr="00452F13">
        <w:rPr>
          <w:rFonts w:ascii="Georgia" w:hAnsi="Georgia" w:cs="Calibri"/>
          <w:sz w:val="22"/>
          <w:szCs w:val="22"/>
        </w:rPr>
        <w:t xml:space="preserve"> Guide </w:t>
      </w:r>
      <w:r w:rsidR="00DF5844">
        <w:rPr>
          <w:rFonts w:ascii="Georgia" w:hAnsi="Georgia" w:cs="Calibri"/>
          <w:sz w:val="22"/>
          <w:szCs w:val="22"/>
        </w:rPr>
        <w:t>vergoedde</w:t>
      </w:r>
      <w:r w:rsidR="00452F13" w:rsidRPr="00452F13">
        <w:rPr>
          <w:rFonts w:ascii="Georgia" w:hAnsi="Georgia" w:cs="Calibri"/>
          <w:sz w:val="22"/>
          <w:szCs w:val="22"/>
        </w:rPr>
        <w:t>, toont aan dat de vrijlating effectief doorging</w:t>
      </w:r>
      <w:r w:rsidRPr="00C140A8">
        <w:rPr>
          <w:rFonts w:ascii="Georgia" w:hAnsi="Georgia" w:cs="Calibri"/>
          <w:sz w:val="22"/>
          <w:szCs w:val="22"/>
          <w:lang w:val="nl-NL"/>
        </w:rPr>
        <w:t xml:space="preserve">. Het blijft niet bij een brief of een formele bevestiging, maar bij een concreet bevel dat onmiddellijk werd opgevolgd, af te lezen in de betaling van drie </w:t>
      </w:r>
      <w:proofErr w:type="spellStart"/>
      <w:r w:rsidRPr="00C140A8">
        <w:rPr>
          <w:rFonts w:ascii="Georgia" w:hAnsi="Georgia" w:cs="Calibri"/>
          <w:sz w:val="22"/>
          <w:szCs w:val="22"/>
          <w:lang w:val="nl-NL"/>
        </w:rPr>
        <w:t>p</w:t>
      </w:r>
      <w:r w:rsidR="00367CE6">
        <w:rPr>
          <w:rFonts w:ascii="Georgia" w:hAnsi="Georgia" w:cs="Calibri"/>
          <w:sz w:val="22"/>
          <w:szCs w:val="22"/>
          <w:lang w:val="nl-NL"/>
        </w:rPr>
        <w:t>i</w:t>
      </w:r>
      <w:r w:rsidRPr="00C140A8">
        <w:rPr>
          <w:rFonts w:ascii="Georgia" w:hAnsi="Georgia" w:cs="Calibri"/>
          <w:sz w:val="22"/>
          <w:szCs w:val="22"/>
          <w:lang w:val="nl-NL"/>
        </w:rPr>
        <w:t>eters</w:t>
      </w:r>
      <w:proofErr w:type="spellEnd"/>
      <w:r w:rsidRPr="00C140A8">
        <w:rPr>
          <w:rFonts w:ascii="Georgia" w:hAnsi="Georgia" w:cs="Calibri"/>
          <w:sz w:val="22"/>
          <w:szCs w:val="22"/>
          <w:lang w:val="nl-NL"/>
        </w:rPr>
        <w:t xml:space="preserve"> die aan Guide zijn overgemaakt.</w:t>
      </w:r>
    </w:p>
    <w:p w14:paraId="377F2F4E" w14:textId="5C934CDD" w:rsidR="00B817F0" w:rsidRPr="00C140A8" w:rsidRDefault="00B817F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Johanna's bemiddeling beperkte zich niet tot haar eigen jurisdictie. Op 14 augustus 1380 schrijft de deken van Beek een brief aan Jean van </w:t>
      </w:r>
      <w:proofErr w:type="spellStart"/>
      <w:r w:rsidRPr="00C140A8">
        <w:rPr>
          <w:rFonts w:ascii="Georgia" w:hAnsi="Georgia" w:cs="Calibri"/>
          <w:sz w:val="22"/>
          <w:szCs w:val="22"/>
          <w:lang w:val="nl-NL"/>
        </w:rPr>
        <w:t>Coten</w:t>
      </w:r>
      <w:proofErr w:type="spellEnd"/>
      <w:r w:rsidRPr="00C140A8">
        <w:rPr>
          <w:rFonts w:ascii="Georgia" w:hAnsi="Georgia" w:cs="Calibri"/>
          <w:sz w:val="22"/>
          <w:szCs w:val="22"/>
          <w:lang w:val="nl-NL"/>
        </w:rPr>
        <w:t xml:space="preserve">, de ontvanger van de hertog van Bourgondië in Antwerpen, met de eis Jean </w:t>
      </w:r>
      <w:proofErr w:type="spellStart"/>
      <w:r w:rsidRPr="00C140A8">
        <w:rPr>
          <w:rFonts w:ascii="Georgia" w:hAnsi="Georgia" w:cs="Calibri"/>
          <w:sz w:val="22"/>
          <w:szCs w:val="22"/>
          <w:lang w:val="nl-NL"/>
        </w:rPr>
        <w:t>Raet</w:t>
      </w:r>
      <w:proofErr w:type="spellEnd"/>
      <w:r w:rsidRPr="00C140A8">
        <w:rPr>
          <w:rFonts w:ascii="Georgia" w:hAnsi="Georgia" w:cs="Calibri"/>
          <w:sz w:val="22"/>
          <w:szCs w:val="22"/>
          <w:lang w:val="nl-NL"/>
        </w:rPr>
        <w:t xml:space="preserve"> vrij te laten, die gearresteerd was vanwege een cijns in Luithagen.</w:t>
      </w:r>
      <w:r w:rsidRPr="00C140A8">
        <w:rPr>
          <w:rStyle w:val="FootnoteReference"/>
          <w:rFonts w:ascii="Georgia" w:hAnsi="Georgia" w:cs="Calibri"/>
          <w:sz w:val="22"/>
          <w:szCs w:val="22"/>
          <w:lang w:val="nl-NL"/>
        </w:rPr>
        <w:footnoteReference w:id="282"/>
      </w:r>
      <w:r w:rsidRPr="00C140A8">
        <w:rPr>
          <w:rFonts w:ascii="Georgia" w:hAnsi="Georgia" w:cs="Calibri"/>
          <w:sz w:val="22"/>
          <w:szCs w:val="22"/>
          <w:lang w:val="nl-NL"/>
        </w:rPr>
        <w:t xml:space="preserve"> Twee dagen later volgt een tweede brief aan dezelfde ontvanger, ditmaal van de hertogin van Brabant zelf. Zij beveelt dat</w:t>
      </w:r>
      <w:r w:rsidR="00367CE6">
        <w:rPr>
          <w:rFonts w:ascii="Georgia" w:hAnsi="Georgia" w:cs="Calibri"/>
          <w:sz w:val="22"/>
          <w:szCs w:val="22"/>
          <w:lang w:val="nl-NL"/>
        </w:rPr>
        <w:t xml:space="preserve"> hij</w:t>
      </w:r>
      <w:r w:rsidRPr="00C140A8">
        <w:rPr>
          <w:rFonts w:ascii="Georgia" w:hAnsi="Georgia" w:cs="Calibri"/>
          <w:sz w:val="22"/>
          <w:szCs w:val="22"/>
          <w:lang w:val="nl-NL"/>
        </w:rPr>
        <w:t xml:space="preserve"> Jean </w:t>
      </w:r>
      <w:proofErr w:type="spellStart"/>
      <w:r w:rsidRPr="00C140A8">
        <w:rPr>
          <w:rFonts w:ascii="Georgia" w:hAnsi="Georgia" w:cs="Calibri"/>
          <w:sz w:val="22"/>
          <w:szCs w:val="22"/>
          <w:lang w:val="nl-NL"/>
        </w:rPr>
        <w:t>Raet</w:t>
      </w:r>
      <w:proofErr w:type="spellEnd"/>
      <w:r w:rsidRPr="00C140A8">
        <w:rPr>
          <w:rFonts w:ascii="Georgia" w:hAnsi="Georgia" w:cs="Calibri"/>
          <w:sz w:val="22"/>
          <w:szCs w:val="22"/>
          <w:lang w:val="nl-NL"/>
        </w:rPr>
        <w:t xml:space="preserve"> onmiddellijk </w:t>
      </w:r>
      <w:proofErr w:type="spellStart"/>
      <w:r w:rsidRPr="00C140A8">
        <w:rPr>
          <w:rFonts w:ascii="Georgia" w:hAnsi="Georgia" w:cs="Calibri"/>
          <w:sz w:val="22"/>
          <w:szCs w:val="22"/>
          <w:lang w:val="nl-NL"/>
        </w:rPr>
        <w:t>moet</w:t>
      </w:r>
      <w:r w:rsidR="00452F13">
        <w:rPr>
          <w:rFonts w:ascii="Georgia" w:hAnsi="Georgia" w:cs="Calibri"/>
          <w:sz w:val="22"/>
          <w:szCs w:val="22"/>
          <w:lang w:val="nl-NL"/>
        </w:rPr>
        <w:t>st</w:t>
      </w:r>
      <w:proofErr w:type="spellEnd"/>
      <w:r w:rsidRPr="00C140A8">
        <w:rPr>
          <w:rFonts w:ascii="Georgia" w:hAnsi="Georgia" w:cs="Calibri"/>
          <w:sz w:val="22"/>
          <w:szCs w:val="22"/>
          <w:lang w:val="nl-NL"/>
        </w:rPr>
        <w:t xml:space="preserve"> vrijlaten.</w:t>
      </w:r>
      <w:r w:rsidRPr="00C140A8">
        <w:rPr>
          <w:rStyle w:val="FootnoteReference"/>
          <w:rFonts w:ascii="Georgia" w:hAnsi="Georgia" w:cs="Calibri"/>
          <w:sz w:val="22"/>
          <w:szCs w:val="22"/>
          <w:lang w:val="nl-NL"/>
        </w:rPr>
        <w:footnoteReference w:id="283"/>
      </w:r>
      <w:r w:rsidRPr="00C140A8">
        <w:rPr>
          <w:rFonts w:ascii="Georgia" w:hAnsi="Georgia" w:cs="Calibri"/>
          <w:sz w:val="22"/>
          <w:szCs w:val="22"/>
          <w:lang w:val="nl-NL"/>
        </w:rPr>
        <w:t xml:space="preserve"> Antwerpen behoorde sinds de Vrede van Ath (1357) als leen toe aan Vlaanderen en viel in de bewuste periode onder de Vlaamse graaf en vanaf 1385 onder de Bourgondische hertogen.</w:t>
      </w:r>
      <w:r w:rsidRPr="00C140A8">
        <w:rPr>
          <w:rStyle w:val="FootnoteReference"/>
          <w:rFonts w:ascii="Georgia" w:hAnsi="Georgia" w:cs="Calibri"/>
          <w:sz w:val="22"/>
          <w:szCs w:val="22"/>
          <w:lang w:val="nl-NL"/>
        </w:rPr>
        <w:footnoteReference w:id="284"/>
      </w:r>
      <w:r w:rsidRPr="00C140A8">
        <w:rPr>
          <w:rFonts w:ascii="Georgia" w:hAnsi="Georgia" w:cs="Calibri"/>
          <w:sz w:val="22"/>
          <w:szCs w:val="22"/>
          <w:lang w:val="nl-NL"/>
        </w:rPr>
        <w:t xml:space="preserve"> Antwerpen was dus een complex gebied qua jurisdictie. Johanna claimt hier gezag over een inwoner in een gebied dat formeel niet het hare </w:t>
      </w:r>
      <w:r w:rsidR="00DF5844">
        <w:rPr>
          <w:rFonts w:ascii="Georgia" w:hAnsi="Georgia" w:cs="Calibri"/>
          <w:sz w:val="22"/>
          <w:szCs w:val="22"/>
          <w:lang w:val="nl-NL"/>
        </w:rPr>
        <w:t>was</w:t>
      </w:r>
      <w:r w:rsidRPr="00C140A8">
        <w:rPr>
          <w:rFonts w:ascii="Georgia" w:hAnsi="Georgia" w:cs="Calibri"/>
          <w:sz w:val="22"/>
          <w:szCs w:val="22"/>
          <w:lang w:val="nl-NL"/>
        </w:rPr>
        <w:t xml:space="preserve">. Of haar bevel effectief werd uitgevoerd, vermelden de oorkonden niet. Jean </w:t>
      </w:r>
      <w:proofErr w:type="spellStart"/>
      <w:r w:rsidRPr="00C140A8">
        <w:rPr>
          <w:rFonts w:ascii="Georgia" w:hAnsi="Georgia" w:cs="Calibri"/>
          <w:sz w:val="22"/>
          <w:szCs w:val="22"/>
          <w:lang w:val="nl-NL"/>
        </w:rPr>
        <w:t>Raet</w:t>
      </w:r>
      <w:proofErr w:type="spellEnd"/>
      <w:r w:rsidRPr="00C140A8">
        <w:rPr>
          <w:rFonts w:ascii="Georgia" w:hAnsi="Georgia" w:cs="Calibri"/>
          <w:sz w:val="22"/>
          <w:szCs w:val="22"/>
          <w:lang w:val="nl-NL"/>
        </w:rPr>
        <w:t xml:space="preserve"> heeft waarschijnlijk brieven gestuurd naar een aantal machthebbers die zijn zaak zouden kunnen bijstaan en Johanna heeft hierop gereageerd en gehandeld ook buiten haar formele bevoegdheidsgrenzen.</w:t>
      </w:r>
    </w:p>
    <w:p w14:paraId="2546A485" w14:textId="4E369A53" w:rsidR="00B817F0" w:rsidRPr="00C140A8" w:rsidRDefault="00B817F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Bemiddeling was uiteraard geen exclusieve vrouwelijke taak, maar het vormde wel een essentieel element van het takenpakket van een middeleeuwse vorstin.</w:t>
      </w:r>
      <w:r w:rsidRPr="00C140A8">
        <w:rPr>
          <w:rStyle w:val="FootnoteReference"/>
          <w:rFonts w:ascii="Georgia" w:hAnsi="Georgia" w:cs="Calibri"/>
          <w:sz w:val="22"/>
          <w:szCs w:val="22"/>
          <w:lang w:val="nl-NL"/>
        </w:rPr>
        <w:footnoteReference w:id="285"/>
      </w:r>
      <w:r w:rsidRPr="00C140A8">
        <w:rPr>
          <w:rFonts w:ascii="Georgia" w:hAnsi="Georgia" w:cs="Calibri"/>
          <w:sz w:val="22"/>
          <w:szCs w:val="22"/>
          <w:lang w:val="nl-NL"/>
        </w:rPr>
        <w:t xml:space="preserve"> Bemiddeling was een belangrijk onderdeel van de middeleeuwse machtsstructuur in het algemeen.</w:t>
      </w:r>
      <w:r w:rsidRPr="00C140A8">
        <w:rPr>
          <w:rStyle w:val="FootnoteReference"/>
          <w:rFonts w:ascii="Georgia" w:hAnsi="Georgia" w:cs="Calibri"/>
          <w:sz w:val="22"/>
          <w:szCs w:val="22"/>
          <w:lang w:val="nl-NL"/>
        </w:rPr>
        <w:footnoteReference w:id="286"/>
      </w:r>
      <w:r w:rsidRPr="00C140A8">
        <w:rPr>
          <w:rFonts w:ascii="Georgia" w:hAnsi="Georgia" w:cs="Calibri"/>
          <w:sz w:val="22"/>
          <w:szCs w:val="22"/>
          <w:lang w:val="nl-NL"/>
        </w:rPr>
        <w:t xml:space="preserve"> Ook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bemiddelde in Luxemburg, in Brabant en zelfs in Binche, zoals in het vorige hoofdstuk is aangehaald. Omgekeerd loste Johanna zaken op in gebieden die formeel nog aan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toebehoorden. Zo deed ze dat bijvoorbeeld in 1377 in </w:t>
      </w:r>
      <w:proofErr w:type="spellStart"/>
      <w:r w:rsidRPr="00C140A8">
        <w:rPr>
          <w:rFonts w:ascii="Georgia" w:hAnsi="Georgia" w:cs="Calibri"/>
          <w:sz w:val="22"/>
          <w:szCs w:val="22"/>
          <w:lang w:val="nl-NL"/>
        </w:rPr>
        <w:t>Aymeries</w:t>
      </w:r>
      <w:proofErr w:type="spellEnd"/>
      <w:r w:rsidRPr="00C140A8">
        <w:rPr>
          <w:rFonts w:ascii="Georgia" w:hAnsi="Georgia" w:cs="Calibri"/>
          <w:sz w:val="22"/>
          <w:szCs w:val="22"/>
          <w:lang w:val="nl-NL"/>
        </w:rPr>
        <w:t xml:space="preserve">. Die heerlijkheid was een deel van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eigen Henegouwse bezittingen en behoorde tot het weduwegoed van zijn moeder Beatrix, dat aan Johanna’s eigen weduwegoed was toegevoegd.</w:t>
      </w:r>
      <w:r w:rsidRPr="00C140A8">
        <w:rPr>
          <w:rStyle w:val="FootnoteReference"/>
          <w:rFonts w:ascii="Georgia" w:hAnsi="Georgia" w:cs="Calibri"/>
          <w:sz w:val="22"/>
          <w:szCs w:val="22"/>
          <w:lang w:val="nl-NL"/>
        </w:rPr>
        <w:footnoteReference w:id="287"/>
      </w:r>
      <w:r w:rsidRPr="00C140A8">
        <w:rPr>
          <w:rFonts w:ascii="Georgia" w:hAnsi="Georgia" w:cs="Calibri"/>
          <w:sz w:val="22"/>
          <w:szCs w:val="22"/>
          <w:lang w:val="nl-NL"/>
        </w:rPr>
        <w:t xml:space="preserve"> In deze post verleent Johanna gratie aan Jean </w:t>
      </w:r>
      <w:proofErr w:type="spellStart"/>
      <w:r w:rsidRPr="00C140A8">
        <w:rPr>
          <w:rFonts w:ascii="Georgia" w:hAnsi="Georgia" w:cs="Calibri"/>
          <w:sz w:val="22"/>
          <w:szCs w:val="22"/>
          <w:lang w:val="nl-NL"/>
        </w:rPr>
        <w:t>Habart</w:t>
      </w:r>
      <w:proofErr w:type="spellEnd"/>
      <w:r w:rsidRPr="00C140A8">
        <w:rPr>
          <w:rFonts w:ascii="Georgia" w:hAnsi="Georgia" w:cs="Calibri"/>
          <w:sz w:val="22"/>
          <w:szCs w:val="22"/>
          <w:lang w:val="nl-NL"/>
        </w:rPr>
        <w:t xml:space="preserve">, die beschuldigd werd van de moord op ene </w:t>
      </w:r>
      <w:proofErr w:type="spellStart"/>
      <w:r w:rsidRPr="00C140A8">
        <w:rPr>
          <w:rFonts w:ascii="Georgia" w:hAnsi="Georgia" w:cs="Calibri"/>
          <w:sz w:val="22"/>
          <w:szCs w:val="22"/>
          <w:lang w:val="nl-NL"/>
        </w:rPr>
        <w:lastRenderedPageBreak/>
        <w:t>Palamidet</w:t>
      </w:r>
      <w:proofErr w:type="spellEnd"/>
      <w:r w:rsidRPr="00C140A8">
        <w:rPr>
          <w:rFonts w:ascii="Georgia" w:hAnsi="Georgia" w:cs="Calibri"/>
          <w:sz w:val="22"/>
          <w:szCs w:val="22"/>
          <w:lang w:val="nl-NL"/>
        </w:rPr>
        <w:t xml:space="preserve"> </w:t>
      </w:r>
      <w:proofErr w:type="spellStart"/>
      <w:r w:rsidRPr="00C140A8">
        <w:rPr>
          <w:rFonts w:ascii="Georgia" w:hAnsi="Georgia" w:cs="Calibri"/>
          <w:sz w:val="22"/>
          <w:szCs w:val="22"/>
          <w:lang w:val="nl-NL"/>
        </w:rPr>
        <w:t>Bobert</w:t>
      </w:r>
      <w:proofErr w:type="spellEnd"/>
      <w:r w:rsidRPr="00C140A8">
        <w:rPr>
          <w:rFonts w:ascii="Georgia" w:hAnsi="Georgia" w:cs="Calibri"/>
          <w:sz w:val="22"/>
          <w:szCs w:val="22"/>
          <w:lang w:val="nl-NL"/>
        </w:rPr>
        <w:t>.</w:t>
      </w:r>
      <w:r w:rsidRPr="00C140A8">
        <w:rPr>
          <w:rStyle w:val="FootnoteReference"/>
          <w:rFonts w:ascii="Georgia" w:hAnsi="Georgia" w:cs="Calibri"/>
          <w:sz w:val="22"/>
          <w:szCs w:val="22"/>
          <w:lang w:val="nl-NL"/>
        </w:rPr>
        <w:footnoteReference w:id="288"/>
      </w:r>
      <w:r w:rsidRPr="00C140A8">
        <w:rPr>
          <w:rFonts w:ascii="Georgia" w:hAnsi="Georgia" w:cs="Calibri"/>
          <w:sz w:val="22"/>
          <w:szCs w:val="22"/>
          <w:lang w:val="nl-NL"/>
        </w:rPr>
        <w:t xml:space="preserve"> Zij beveelt de burggraaf van </w:t>
      </w:r>
      <w:proofErr w:type="spellStart"/>
      <w:r w:rsidRPr="00C140A8">
        <w:rPr>
          <w:rFonts w:ascii="Georgia" w:hAnsi="Georgia" w:cs="Calibri"/>
          <w:sz w:val="22"/>
          <w:szCs w:val="22"/>
          <w:lang w:val="nl-NL"/>
        </w:rPr>
        <w:t>Aymeries</w:t>
      </w:r>
      <w:proofErr w:type="spellEnd"/>
      <w:r w:rsidRPr="00C140A8">
        <w:rPr>
          <w:rFonts w:ascii="Georgia" w:hAnsi="Georgia" w:cs="Calibri"/>
          <w:sz w:val="22"/>
          <w:szCs w:val="22"/>
          <w:lang w:val="nl-NL"/>
        </w:rPr>
        <w:t xml:space="preserve"> om zijn straf, het verlies van al zijn goederen, in te trekken. Ze doet dit nadat ze een verzoek heeft ontvangen van haar neef Jacques de Bourbon, van wie </w:t>
      </w:r>
      <w:proofErr w:type="spellStart"/>
      <w:r w:rsidRPr="00C140A8">
        <w:rPr>
          <w:rFonts w:ascii="Georgia" w:hAnsi="Georgia" w:cs="Calibri"/>
          <w:sz w:val="22"/>
          <w:szCs w:val="22"/>
          <w:lang w:val="nl-NL"/>
        </w:rPr>
        <w:t>Habart</w:t>
      </w:r>
      <w:proofErr w:type="spellEnd"/>
      <w:r w:rsidRPr="00C140A8">
        <w:rPr>
          <w:rFonts w:ascii="Georgia" w:hAnsi="Georgia" w:cs="Calibri"/>
          <w:sz w:val="22"/>
          <w:szCs w:val="22"/>
          <w:lang w:val="nl-NL"/>
        </w:rPr>
        <w:t xml:space="preserve"> een vazal </w:t>
      </w:r>
      <w:r w:rsidR="001A3EA0">
        <w:rPr>
          <w:rFonts w:ascii="Georgia" w:hAnsi="Georgia" w:cs="Calibri"/>
          <w:sz w:val="22"/>
          <w:szCs w:val="22"/>
          <w:lang w:val="nl-NL"/>
        </w:rPr>
        <w:t>was</w:t>
      </w:r>
      <w:r w:rsidRPr="00C140A8">
        <w:rPr>
          <w:rFonts w:ascii="Georgia" w:hAnsi="Georgia" w:cs="Calibri"/>
          <w:sz w:val="22"/>
          <w:szCs w:val="22"/>
          <w:lang w:val="nl-NL"/>
        </w:rPr>
        <w:t>.</w:t>
      </w:r>
      <w:r w:rsidRPr="00C140A8">
        <w:rPr>
          <w:rStyle w:val="FootnoteReference"/>
          <w:rFonts w:ascii="Georgia" w:hAnsi="Georgia" w:cs="Calibri"/>
          <w:sz w:val="22"/>
          <w:szCs w:val="22"/>
          <w:lang w:val="nl-NL"/>
        </w:rPr>
        <w:footnoteReference w:id="289"/>
      </w:r>
      <w:r w:rsidRPr="00C140A8">
        <w:rPr>
          <w:rFonts w:ascii="Georgia" w:hAnsi="Georgia" w:cs="Calibri"/>
          <w:sz w:val="22"/>
          <w:szCs w:val="22"/>
          <w:lang w:val="nl-NL"/>
        </w:rPr>
        <w:t xml:space="preserve"> Ze scheldt hier een straf kwijt voor een ernstige misdaad in een gebied dat haar technisch gezien op dat moment nog niet </w:t>
      </w:r>
      <w:r w:rsidR="001A3EA0">
        <w:rPr>
          <w:rFonts w:ascii="Georgia" w:hAnsi="Georgia" w:cs="Calibri"/>
          <w:sz w:val="22"/>
          <w:szCs w:val="22"/>
          <w:lang w:val="nl-NL"/>
        </w:rPr>
        <w:t>toeviel</w:t>
      </w:r>
      <w:r w:rsidRPr="00C140A8">
        <w:rPr>
          <w:rFonts w:ascii="Georgia" w:hAnsi="Georgia" w:cs="Calibri"/>
          <w:sz w:val="22"/>
          <w:szCs w:val="22"/>
          <w:lang w:val="nl-NL"/>
        </w:rPr>
        <w:t>.</w:t>
      </w:r>
    </w:p>
    <w:p w14:paraId="22224C59" w14:textId="5BCB4BEA" w:rsidR="00B817F0" w:rsidRPr="00C140A8" w:rsidRDefault="00B817F0" w:rsidP="007D40C1">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Deze oorkonden en rekeningen onthullen de alledaagse praktijk van Johanna's bemiddelingen. Ze was een vorstin die inderdaad regelmatig gratie verleende en in conflicten bemiddelde. Dit deed ze niet alleen samen met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maar ook zelfstandig. Toch waren beiden niet almachtig. </w:t>
      </w:r>
      <w:r w:rsidR="007D40C1">
        <w:rPr>
          <w:rFonts w:ascii="Georgia" w:hAnsi="Georgia" w:cs="Calibri"/>
          <w:sz w:val="22"/>
          <w:szCs w:val="22"/>
        </w:rPr>
        <w:t>Externe</w:t>
      </w:r>
      <w:r w:rsidR="007D40C1" w:rsidRPr="007D40C1">
        <w:rPr>
          <w:rFonts w:ascii="Georgia" w:hAnsi="Georgia" w:cs="Calibri"/>
          <w:sz w:val="22"/>
          <w:szCs w:val="22"/>
        </w:rPr>
        <w:t xml:space="preserve"> heren wier jurisdictie eveneens over een bepaald gebied gold,  zoals het leenhof te Bergen of de Bourgondische hertog die Antwerpen als leen bezat, konden hen terugfluiten</w:t>
      </w:r>
      <w:r w:rsidRPr="00C140A8">
        <w:rPr>
          <w:rFonts w:ascii="Georgia" w:hAnsi="Georgia" w:cs="Calibri"/>
          <w:sz w:val="22"/>
          <w:szCs w:val="22"/>
          <w:lang w:val="nl-NL"/>
        </w:rPr>
        <w:t>.</w:t>
      </w:r>
      <w:r w:rsidRPr="00C140A8">
        <w:rPr>
          <w:rStyle w:val="FootnoteReference"/>
          <w:rFonts w:ascii="Georgia" w:hAnsi="Georgia" w:cs="Calibri"/>
          <w:sz w:val="22"/>
          <w:szCs w:val="22"/>
          <w:lang w:val="nl-NL"/>
        </w:rPr>
        <w:footnoteReference w:id="290"/>
      </w:r>
      <w:r w:rsidRPr="00C140A8">
        <w:rPr>
          <w:rFonts w:ascii="Georgia" w:hAnsi="Georgia" w:cs="Calibri"/>
          <w:sz w:val="22"/>
          <w:szCs w:val="22"/>
          <w:lang w:val="nl-NL"/>
        </w:rPr>
        <w:t xml:space="preserve"> Ook intern moesten zij rekening houden met bevoegdheden en privileges. De steden waren immers niet van elke gratieverlening gediend. Zo ontstond er op 29 oktober 1380 een conflict over het met de voeten treden van de privileges van de stad Brussel.</w:t>
      </w:r>
      <w:r w:rsidRPr="00C140A8">
        <w:rPr>
          <w:rStyle w:val="FootnoteReference"/>
          <w:rFonts w:ascii="Georgia" w:hAnsi="Georgia" w:cs="Calibri"/>
          <w:sz w:val="22"/>
          <w:szCs w:val="22"/>
          <w:lang w:val="nl-NL"/>
        </w:rPr>
        <w:footnoteReference w:id="291"/>
      </w:r>
      <w:r w:rsidRPr="00C140A8">
        <w:rPr>
          <w:rFonts w:ascii="Georgia" w:hAnsi="Georgia" w:cs="Calibri"/>
          <w:sz w:val="22"/>
          <w:szCs w:val="22"/>
          <w:lang w:val="nl-NL"/>
        </w:rPr>
        <w:t xml:space="preserve"> Na verschillende klachten van de Brusselse magistraat, die oordeelde dat Johanna 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aan te veel mensen gratie verleenden door verbanningen te herroepen, kwam het tot een overleg tussen de stad en het hertogelijk paar.</w:t>
      </w:r>
      <w:r w:rsidRPr="00C140A8">
        <w:rPr>
          <w:rStyle w:val="FootnoteReference"/>
          <w:rFonts w:ascii="Georgia" w:hAnsi="Georgia" w:cs="Calibri"/>
          <w:sz w:val="22"/>
          <w:szCs w:val="22"/>
          <w:lang w:val="nl-NL"/>
        </w:rPr>
        <w:footnoteReference w:id="292"/>
      </w:r>
      <w:r w:rsidRPr="00C140A8">
        <w:rPr>
          <w:rFonts w:ascii="Georgia" w:hAnsi="Georgia" w:cs="Calibri"/>
          <w:sz w:val="22"/>
          <w:szCs w:val="22"/>
          <w:lang w:val="nl-NL"/>
        </w:rPr>
        <w:t xml:space="preserve"> De stad stelde dat deze gang van zaken de Brusselse rechtspraak ondermijnde. Het hertogelijk paar bevestigde de privileges te zullen respecteren en verplichtte ook andere leenheren en familieleden in de regio hiertoe</w:t>
      </w:r>
      <w:r w:rsidR="00470546">
        <w:rPr>
          <w:rFonts w:ascii="Georgia" w:hAnsi="Georgia" w:cs="Calibri"/>
          <w:sz w:val="22"/>
          <w:szCs w:val="22"/>
          <w:lang w:val="nl-NL"/>
        </w:rPr>
        <w:t>.</w:t>
      </w:r>
      <w:r w:rsidR="001A3EA0" w:rsidRPr="001A3EA0">
        <w:rPr>
          <w:rStyle w:val="FootnoteReference"/>
          <w:rFonts w:ascii="Georgia" w:hAnsi="Georgia" w:cs="Calibri"/>
          <w:sz w:val="22"/>
          <w:szCs w:val="22"/>
          <w:lang w:val="nl-NL"/>
        </w:rPr>
        <w:t xml:space="preserve"> </w:t>
      </w:r>
      <w:r w:rsidR="001A3EA0" w:rsidRPr="00C140A8">
        <w:rPr>
          <w:rStyle w:val="FootnoteReference"/>
          <w:rFonts w:ascii="Georgia" w:hAnsi="Georgia" w:cs="Calibri"/>
          <w:sz w:val="22"/>
          <w:szCs w:val="22"/>
          <w:lang w:val="nl-NL"/>
        </w:rPr>
        <w:footnoteReference w:id="293"/>
      </w:r>
    </w:p>
    <w:p w14:paraId="18D7B77E" w14:textId="6A850351" w:rsidR="00B817F0" w:rsidRPr="00C140A8" w:rsidRDefault="00B817F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Bemiddeling stond echter niet op zichzelf, maar maakte deel uit van een bredere diplomatieke praktijk waarin relaties voortdurend werden onderhouden en uitgebouwd. Johanna's vermogen om tussenbeide te komen en gezag uit te oefenen steunde immers op de netwerken die zij actief opbouwde en in stand hield. Die netwerken vroegen op hun beurt om een reeks concrete middelen. Vier daarvan staan in de volgende sectie centraal: reizen, </w:t>
      </w:r>
      <w:r w:rsidR="001659EC" w:rsidRPr="00C140A8">
        <w:rPr>
          <w:rFonts w:ascii="Georgia" w:hAnsi="Georgia" w:cs="Calibri"/>
          <w:sz w:val="22"/>
          <w:szCs w:val="22"/>
          <w:lang w:val="nl-NL"/>
        </w:rPr>
        <w:t>communicatie</w:t>
      </w:r>
      <w:r w:rsidR="001659EC">
        <w:rPr>
          <w:rFonts w:ascii="Georgia" w:hAnsi="Georgia" w:cs="Calibri"/>
          <w:sz w:val="22"/>
          <w:szCs w:val="22"/>
          <w:lang w:val="nl-NL"/>
        </w:rPr>
        <w:t xml:space="preserve"> </w:t>
      </w:r>
      <w:r w:rsidR="001659EC" w:rsidRPr="00C140A8">
        <w:rPr>
          <w:rFonts w:ascii="Georgia" w:hAnsi="Georgia" w:cs="Calibri"/>
          <w:sz w:val="22"/>
          <w:szCs w:val="22"/>
          <w:lang w:val="nl-NL"/>
        </w:rPr>
        <w:t>(</w:t>
      </w:r>
      <w:r w:rsidRPr="00C140A8">
        <w:rPr>
          <w:rFonts w:ascii="Georgia" w:hAnsi="Georgia" w:cs="Calibri"/>
          <w:sz w:val="22"/>
          <w:szCs w:val="22"/>
          <w:lang w:val="nl-NL"/>
        </w:rPr>
        <w:t>het uitwisselen van brieven en het sturen van boden</w:t>
      </w:r>
      <w:r w:rsidR="00470546">
        <w:rPr>
          <w:rFonts w:ascii="Georgia" w:hAnsi="Georgia" w:cs="Calibri"/>
          <w:sz w:val="22"/>
          <w:szCs w:val="22"/>
          <w:lang w:val="nl-NL"/>
        </w:rPr>
        <w:t xml:space="preserve">), </w:t>
      </w:r>
      <w:r w:rsidRPr="00C140A8">
        <w:rPr>
          <w:rFonts w:ascii="Georgia" w:hAnsi="Georgia" w:cs="Calibri"/>
          <w:sz w:val="22"/>
          <w:szCs w:val="22"/>
          <w:lang w:val="nl-NL"/>
        </w:rPr>
        <w:t>het geven en ontvangen van geschenken, en het verzorgen van entertainment.</w:t>
      </w:r>
    </w:p>
    <w:p w14:paraId="107A0AF3" w14:textId="32CC836F" w:rsidR="001D1801" w:rsidRPr="00C140A8" w:rsidRDefault="001D1801" w:rsidP="00D83A0D">
      <w:pPr>
        <w:pStyle w:val="ThesisHeading"/>
        <w:spacing w:after="0"/>
        <w:rPr>
          <w:lang w:val="nl-NL"/>
        </w:rPr>
      </w:pPr>
      <w:bookmarkStart w:id="179" w:name="_Toc230171741"/>
      <w:bookmarkStart w:id="180" w:name="_Toc230171771"/>
      <w:bookmarkStart w:id="181" w:name="_Toc230171843"/>
      <w:bookmarkStart w:id="182" w:name="_Toc231153781"/>
      <w:bookmarkStart w:id="183" w:name="_Toc231329850"/>
      <w:bookmarkStart w:id="184" w:name="_Toc231330457"/>
      <w:bookmarkStart w:id="185" w:name="_Toc231428051"/>
      <w:bookmarkStart w:id="186" w:name="_Toc231463610"/>
      <w:r w:rsidRPr="00C140A8">
        <w:rPr>
          <w:lang w:val="nl-NL"/>
        </w:rPr>
        <w:t>Het onderhoud van netwerken</w:t>
      </w:r>
      <w:bookmarkEnd w:id="179"/>
      <w:bookmarkEnd w:id="180"/>
      <w:bookmarkEnd w:id="181"/>
      <w:bookmarkEnd w:id="182"/>
      <w:bookmarkEnd w:id="183"/>
      <w:bookmarkEnd w:id="184"/>
      <w:bookmarkEnd w:id="185"/>
      <w:bookmarkEnd w:id="186"/>
    </w:p>
    <w:p w14:paraId="47A82815" w14:textId="2BEBDE1E" w:rsidR="001D1801" w:rsidRPr="00EB7107" w:rsidRDefault="001D1801" w:rsidP="00D83A0D">
      <w:pPr>
        <w:pStyle w:val="ThesisSubheading"/>
        <w:spacing w:before="0"/>
        <w:ind w:left="1134" w:hanging="1134"/>
        <w:rPr>
          <w:lang w:val="nl-NL"/>
        </w:rPr>
      </w:pPr>
      <w:bookmarkStart w:id="187" w:name="_Toc231153782"/>
      <w:bookmarkStart w:id="188" w:name="_Toc231329851"/>
      <w:bookmarkStart w:id="189" w:name="_Toc231330458"/>
      <w:bookmarkStart w:id="190" w:name="_Toc231428052"/>
      <w:proofErr w:type="spellStart"/>
      <w:r w:rsidRPr="00D83A0D">
        <w:t>Reizen</w:t>
      </w:r>
      <w:bookmarkEnd w:id="187"/>
      <w:bookmarkEnd w:id="188"/>
      <w:bookmarkEnd w:id="189"/>
      <w:bookmarkEnd w:id="190"/>
      <w:proofErr w:type="spellEnd"/>
    </w:p>
    <w:p w14:paraId="19169987" w14:textId="6959AE2E" w:rsidR="001D1801" w:rsidRPr="00C140A8" w:rsidRDefault="001D1801"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Reizen vormden een eerste fysiek middel waarmee diplomatieke contacten werden onderhouden. Het is de meest directe vorm van het onderhouden van een netwerk. De </w:t>
      </w:r>
      <w:r w:rsidRPr="00C140A8">
        <w:rPr>
          <w:rFonts w:ascii="Georgia" w:hAnsi="Georgia" w:cs="Calibri"/>
          <w:sz w:val="22"/>
          <w:szCs w:val="22"/>
          <w:lang w:val="nl-NL"/>
        </w:rPr>
        <w:lastRenderedPageBreak/>
        <w:t xml:space="preserve">verschillende plaatsen waar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en Johanna naartoe gingen, zeggen iets over de plaats die deze plekken innamen binnen het netwerk. Een vergelijking tussen hen beiden laat een duidelijk verschil in zwaartepunt zien.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reisde aanzienlijk vaker en bestreek een veel groter gebied. Hij verbleef regelmatig in Luxemburg, dat hem erfelijk toekwam, in de Elzas</w:t>
      </w:r>
      <w:r w:rsidR="007D2C5E" w:rsidRPr="00C140A8">
        <w:rPr>
          <w:rFonts w:ascii="Georgia" w:hAnsi="Georgia" w:cs="Calibri"/>
          <w:sz w:val="22"/>
          <w:szCs w:val="22"/>
          <w:lang w:val="nl-NL"/>
        </w:rPr>
        <w:t>, Duitse regio’s zoals Frankfurt</w:t>
      </w:r>
      <w:r w:rsidRPr="00C140A8">
        <w:rPr>
          <w:rFonts w:ascii="Georgia" w:hAnsi="Georgia" w:cs="Calibri"/>
          <w:sz w:val="22"/>
          <w:szCs w:val="22"/>
          <w:lang w:val="nl-NL"/>
        </w:rPr>
        <w:t xml:space="preserve"> en begaf zich herhaaldelijk naar het Franse hof in Parijs.</w:t>
      </w:r>
      <w:r w:rsidRPr="00C140A8">
        <w:rPr>
          <w:rStyle w:val="FootnoteReference"/>
          <w:rFonts w:ascii="Georgia" w:hAnsi="Georgia" w:cs="Calibri"/>
          <w:sz w:val="22"/>
          <w:szCs w:val="22"/>
          <w:lang w:val="nl-NL"/>
        </w:rPr>
        <w:footnoteReference w:id="294"/>
      </w:r>
      <w:r w:rsidR="00183342" w:rsidRPr="00C140A8">
        <w:rPr>
          <w:rFonts w:ascii="Georgia" w:hAnsi="Georgia" w:cs="Calibri"/>
          <w:sz w:val="22"/>
          <w:szCs w:val="22"/>
          <w:lang w:val="nl-NL"/>
        </w:rPr>
        <w:t xml:space="preserve"> </w:t>
      </w:r>
      <w:r w:rsidR="004159F7" w:rsidRPr="00C140A8">
        <w:rPr>
          <w:rFonts w:ascii="Georgia" w:hAnsi="Georgia" w:cs="Calibri"/>
          <w:sz w:val="22"/>
          <w:szCs w:val="22"/>
          <w:lang w:val="nl-NL"/>
        </w:rPr>
        <w:t>Hij speelde daar een zekere rol in het verdedigingssysteem van het Noorden voor Frankrijk</w:t>
      </w:r>
      <w:r w:rsidR="003B2D9F" w:rsidRPr="00C140A8">
        <w:rPr>
          <w:rFonts w:ascii="Georgia" w:hAnsi="Georgia" w:cs="Calibri"/>
          <w:sz w:val="22"/>
          <w:szCs w:val="22"/>
          <w:lang w:val="nl-NL"/>
        </w:rPr>
        <w:t xml:space="preserve"> en kwam in de jaren </w:t>
      </w:r>
      <w:r w:rsidR="006A5F36">
        <w:rPr>
          <w:rFonts w:ascii="Georgia" w:hAnsi="Georgia" w:cs="Calibri"/>
          <w:sz w:val="22"/>
          <w:szCs w:val="22"/>
          <w:lang w:val="nl-NL"/>
        </w:rPr>
        <w:t>zeventig</w:t>
      </w:r>
      <w:r w:rsidR="003B2D9F" w:rsidRPr="00C140A8">
        <w:rPr>
          <w:rFonts w:ascii="Georgia" w:hAnsi="Georgia" w:cs="Calibri"/>
          <w:sz w:val="22"/>
          <w:szCs w:val="22"/>
          <w:lang w:val="nl-NL"/>
        </w:rPr>
        <w:t xml:space="preserve"> meerdere keren over de vloer bij de Franse koning</w:t>
      </w:r>
      <w:r w:rsidR="0044559F" w:rsidRPr="00C140A8">
        <w:rPr>
          <w:rFonts w:ascii="Georgia" w:hAnsi="Georgia" w:cs="Calibri"/>
          <w:sz w:val="22"/>
          <w:szCs w:val="22"/>
          <w:lang w:val="nl-NL"/>
        </w:rPr>
        <w:t>, mede om deze rol te versterken.</w:t>
      </w:r>
      <w:r w:rsidR="003B2D9F" w:rsidRPr="00C140A8">
        <w:rPr>
          <w:rStyle w:val="FootnoteReference"/>
          <w:rFonts w:ascii="Georgia" w:hAnsi="Georgia" w:cs="Calibri"/>
          <w:sz w:val="22"/>
          <w:szCs w:val="22"/>
          <w:lang w:val="nl-NL"/>
        </w:rPr>
        <w:footnoteReference w:id="295"/>
      </w:r>
      <w:r w:rsidR="003B2D9F" w:rsidRPr="00C140A8">
        <w:rPr>
          <w:rFonts w:ascii="Georgia" w:hAnsi="Georgia" w:cs="Calibri"/>
          <w:sz w:val="22"/>
          <w:szCs w:val="22"/>
          <w:lang w:val="nl-NL"/>
        </w:rPr>
        <w:t xml:space="preserve"> </w:t>
      </w:r>
      <w:r w:rsidR="004159F7" w:rsidRPr="00C140A8">
        <w:rPr>
          <w:rFonts w:ascii="Georgia" w:hAnsi="Georgia" w:cs="Calibri"/>
          <w:sz w:val="22"/>
          <w:szCs w:val="22"/>
          <w:lang w:val="nl-NL"/>
        </w:rPr>
        <w:t xml:space="preserve"> </w:t>
      </w:r>
      <w:r w:rsidRPr="00C140A8">
        <w:rPr>
          <w:rFonts w:ascii="Georgia" w:hAnsi="Georgia" w:cs="Calibri"/>
          <w:sz w:val="22"/>
          <w:szCs w:val="22"/>
          <w:lang w:val="nl-NL"/>
        </w:rPr>
        <w:t>Hij vertoefde ook vaak in Johanna’s weduwegoed in Binche, als tussenstop voor zijn routes naar Parijs en Luxemburg, waar het echtpaar elkaar ook vaak ontmoette. Johanna</w:t>
      </w:r>
      <w:r w:rsidR="002C45B3" w:rsidRPr="00C140A8">
        <w:rPr>
          <w:rFonts w:ascii="Georgia" w:hAnsi="Georgia" w:cs="Calibri"/>
          <w:sz w:val="22"/>
          <w:szCs w:val="22"/>
          <w:lang w:val="nl-NL"/>
        </w:rPr>
        <w:t xml:space="preserve"> daarentegen reisde ook frequent, </w:t>
      </w:r>
      <w:r w:rsidR="00421523">
        <w:rPr>
          <w:rFonts w:ascii="Georgia" w:hAnsi="Georgia" w:cs="Calibri"/>
          <w:sz w:val="22"/>
          <w:szCs w:val="22"/>
          <w:lang w:val="nl-NL"/>
        </w:rPr>
        <w:t>hoewel</w:t>
      </w:r>
      <w:r w:rsidR="002C45B3" w:rsidRPr="00C140A8">
        <w:rPr>
          <w:rFonts w:ascii="Georgia" w:hAnsi="Georgia" w:cs="Calibri"/>
          <w:sz w:val="22"/>
          <w:szCs w:val="22"/>
          <w:lang w:val="nl-NL"/>
        </w:rPr>
        <w:t xml:space="preserve"> ze al op enige leeftijd was</w:t>
      </w:r>
      <w:r w:rsidRPr="00C140A8">
        <w:rPr>
          <w:rFonts w:ascii="Georgia" w:hAnsi="Georgia" w:cs="Calibri"/>
          <w:sz w:val="22"/>
          <w:szCs w:val="22"/>
          <w:lang w:val="nl-NL"/>
        </w:rPr>
        <w:t xml:space="preserve">. </w:t>
      </w:r>
      <w:r w:rsidR="002C45B3" w:rsidRPr="00C140A8">
        <w:rPr>
          <w:rFonts w:ascii="Georgia" w:hAnsi="Georgia" w:cs="Calibri"/>
          <w:sz w:val="22"/>
          <w:szCs w:val="22"/>
          <w:lang w:val="nl-NL"/>
        </w:rPr>
        <w:t xml:space="preserve">Haar reizen </w:t>
      </w:r>
      <w:r w:rsidRPr="00C140A8">
        <w:rPr>
          <w:rFonts w:ascii="Georgia" w:hAnsi="Georgia" w:cs="Calibri"/>
          <w:sz w:val="22"/>
          <w:szCs w:val="22"/>
          <w:lang w:val="nl-NL"/>
        </w:rPr>
        <w:t>concentreerden zich grotendeels binnen Brabant zelf en in de directe randgebieden. De rekening van 1377-1378 laat haar onder meer in Halle, Genappe, Leuven en Tienen verblijven, met bezoeken aan de graafschappen Henegouwen en Vlaanderen.</w:t>
      </w:r>
      <w:r w:rsidRPr="00C140A8">
        <w:rPr>
          <w:rStyle w:val="FootnoteReference"/>
          <w:rFonts w:ascii="Georgia" w:hAnsi="Georgia" w:cs="Calibri"/>
          <w:sz w:val="22"/>
          <w:szCs w:val="22"/>
          <w:lang w:val="nl-NL"/>
        </w:rPr>
        <w:footnoteReference w:id="296"/>
      </w:r>
      <w:r w:rsidRPr="00C140A8">
        <w:rPr>
          <w:rFonts w:ascii="Georgia" w:hAnsi="Georgia" w:cs="Calibri"/>
          <w:sz w:val="22"/>
          <w:szCs w:val="22"/>
          <w:lang w:val="nl-NL"/>
        </w:rPr>
        <w:t xml:space="preserve"> </w:t>
      </w:r>
      <w:r w:rsidR="00223724" w:rsidRPr="00C140A8">
        <w:rPr>
          <w:rFonts w:ascii="Georgia" w:hAnsi="Georgia" w:cs="Calibri"/>
          <w:sz w:val="22"/>
          <w:szCs w:val="22"/>
          <w:lang w:val="nl-NL"/>
        </w:rPr>
        <w:t>Daarnaast reisde</w:t>
      </w:r>
      <w:r w:rsidRPr="00C140A8">
        <w:rPr>
          <w:rFonts w:ascii="Georgia" w:hAnsi="Georgia" w:cs="Calibri"/>
          <w:sz w:val="22"/>
          <w:szCs w:val="22"/>
          <w:lang w:val="nl-NL"/>
        </w:rPr>
        <w:t xml:space="preserve"> </w:t>
      </w:r>
      <w:r w:rsidR="0092050D" w:rsidRPr="00C140A8">
        <w:rPr>
          <w:rFonts w:ascii="Georgia" w:hAnsi="Georgia" w:cs="Calibri"/>
          <w:sz w:val="22"/>
          <w:szCs w:val="22"/>
          <w:lang w:val="nl-NL"/>
        </w:rPr>
        <w:t xml:space="preserve">ze </w:t>
      </w:r>
      <w:r w:rsidRPr="00C140A8">
        <w:rPr>
          <w:rFonts w:ascii="Georgia" w:hAnsi="Georgia" w:cs="Calibri"/>
          <w:sz w:val="22"/>
          <w:szCs w:val="22"/>
          <w:lang w:val="nl-NL"/>
        </w:rPr>
        <w:t xml:space="preserve">regelmatig naar feestelijkheden in Gent, Turnhout, Bergen of Luxemburg, en combineerde </w:t>
      </w:r>
      <w:r w:rsidR="00421523">
        <w:rPr>
          <w:rFonts w:ascii="Georgia" w:hAnsi="Georgia" w:cs="Calibri"/>
          <w:sz w:val="22"/>
          <w:szCs w:val="22"/>
          <w:lang w:val="nl-NL"/>
        </w:rPr>
        <w:t xml:space="preserve">ze </w:t>
      </w:r>
      <w:r w:rsidRPr="00C140A8">
        <w:rPr>
          <w:rFonts w:ascii="Georgia" w:hAnsi="Georgia" w:cs="Calibri"/>
          <w:sz w:val="22"/>
          <w:szCs w:val="22"/>
          <w:lang w:val="nl-NL"/>
        </w:rPr>
        <w:t>die bezoeken vaak met verblijf in haar beminde Binche.</w:t>
      </w:r>
      <w:r w:rsidRPr="00C140A8">
        <w:rPr>
          <w:rStyle w:val="FootnoteReference"/>
          <w:rFonts w:ascii="Georgia" w:hAnsi="Georgia" w:cs="Calibri"/>
          <w:sz w:val="22"/>
          <w:szCs w:val="22"/>
          <w:lang w:val="nl-NL"/>
        </w:rPr>
        <w:footnoteReference w:id="297"/>
      </w:r>
    </w:p>
    <w:p w14:paraId="130C991A" w14:textId="141AE099" w:rsidR="001D1801" w:rsidRPr="00C140A8" w:rsidRDefault="001D1801"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De concentratie van hun twee sferen is </w:t>
      </w:r>
      <w:r w:rsidR="007F196D" w:rsidRPr="00C140A8">
        <w:rPr>
          <w:rFonts w:ascii="Georgia" w:hAnsi="Georgia" w:cs="Calibri"/>
          <w:sz w:val="22"/>
          <w:szCs w:val="22"/>
          <w:lang w:val="nl-NL"/>
        </w:rPr>
        <w:t>opmerkelijk</w:t>
      </w:r>
      <w:r w:rsidRPr="00C140A8">
        <w:rPr>
          <w:rFonts w:ascii="Georgia" w:hAnsi="Georgia" w:cs="Calibri"/>
          <w:sz w:val="22"/>
          <w:szCs w:val="22"/>
          <w:lang w:val="nl-NL"/>
        </w:rPr>
        <w:t xml:space="preserve"> en duidt op de politieke ambities van zowel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als Johanna en </w:t>
      </w:r>
      <w:r w:rsidR="007F196D" w:rsidRPr="00C140A8">
        <w:rPr>
          <w:rFonts w:ascii="Georgia" w:hAnsi="Georgia" w:cs="Calibri"/>
          <w:sz w:val="22"/>
          <w:szCs w:val="22"/>
          <w:lang w:val="nl-NL"/>
        </w:rPr>
        <w:t xml:space="preserve">op </w:t>
      </w:r>
      <w:r w:rsidRPr="00C140A8">
        <w:rPr>
          <w:rFonts w:ascii="Georgia" w:hAnsi="Georgia" w:cs="Calibri"/>
          <w:sz w:val="22"/>
          <w:szCs w:val="22"/>
          <w:lang w:val="nl-NL"/>
        </w:rPr>
        <w:t xml:space="preserve">hoe zij elkaar aanvulden.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wens voor een uitbreiding van Brabant naar het oosten toe mag dan wel na </w:t>
      </w:r>
      <w:proofErr w:type="spellStart"/>
      <w:r w:rsidRPr="00C140A8">
        <w:rPr>
          <w:rFonts w:ascii="Georgia" w:hAnsi="Georgia" w:cs="Calibri"/>
          <w:sz w:val="22"/>
          <w:szCs w:val="22"/>
          <w:lang w:val="nl-NL"/>
        </w:rPr>
        <w:t>Baesweiler</w:t>
      </w:r>
      <w:proofErr w:type="spellEnd"/>
      <w:r w:rsidRPr="00C140A8">
        <w:rPr>
          <w:rFonts w:ascii="Georgia" w:hAnsi="Georgia" w:cs="Calibri"/>
          <w:sz w:val="22"/>
          <w:szCs w:val="22"/>
          <w:lang w:val="nl-NL"/>
        </w:rPr>
        <w:t xml:space="preserve"> verdwenen zijn, toch blijven zijn ambities voornamelijk gericht op een bredere keizerlijke en Franse kring.</w:t>
      </w:r>
      <w:r w:rsidRPr="00C140A8">
        <w:rPr>
          <w:rStyle w:val="FootnoteReference"/>
          <w:rFonts w:ascii="Georgia" w:hAnsi="Georgia" w:cs="Calibri"/>
          <w:sz w:val="22"/>
          <w:szCs w:val="22"/>
          <w:lang w:val="nl-NL"/>
        </w:rPr>
        <w:footnoteReference w:id="298"/>
      </w:r>
      <w:r w:rsidRPr="00C140A8">
        <w:rPr>
          <w:rFonts w:ascii="Georgia" w:hAnsi="Georgia" w:cs="Calibri"/>
          <w:sz w:val="22"/>
          <w:szCs w:val="22"/>
          <w:lang w:val="nl-NL"/>
        </w:rPr>
        <w:t xml:space="preserve"> In het westen werd hij immers geconfronteerd met een machtige tegenstander: Vlaanderen.</w:t>
      </w:r>
      <w:r w:rsidRPr="00C140A8">
        <w:rPr>
          <w:rStyle w:val="FootnoteReference"/>
          <w:rFonts w:ascii="Georgia" w:hAnsi="Georgia" w:cs="Calibri"/>
          <w:sz w:val="22"/>
          <w:szCs w:val="22"/>
          <w:lang w:val="nl-NL"/>
        </w:rPr>
        <w:footnoteReference w:id="299"/>
      </w:r>
      <w:r w:rsidRPr="00C140A8">
        <w:rPr>
          <w:rFonts w:ascii="Georgia" w:hAnsi="Georgia" w:cs="Calibri"/>
          <w:sz w:val="22"/>
          <w:szCs w:val="22"/>
          <w:lang w:val="nl-NL"/>
        </w:rPr>
        <w:t xml:space="preserve"> Johanna hield net die relaties levend waarvan Brabant in zijn dagelijks functioneren afhankelijk was. </w:t>
      </w:r>
      <w:r w:rsidR="00F0700F" w:rsidRPr="00F0700F">
        <w:rPr>
          <w:rFonts w:ascii="Georgia" w:hAnsi="Georgia" w:cs="Calibri"/>
          <w:sz w:val="22"/>
          <w:szCs w:val="22"/>
        </w:rPr>
        <w:t>Johanna streefde naar stabiliteit, zowel binnen haar eigen gebied als in de naburige regio's, en onderhield daarvoor geregeld onderhandelingen met de omringende vorsten. Vlaanderen nam daarin een belangrijke plaats in.</w:t>
      </w:r>
    </w:p>
    <w:p w14:paraId="6906F271" w14:textId="565AE422" w:rsidR="005228AF" w:rsidRPr="00C140A8" w:rsidRDefault="001D1801"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De strijdbijl na de successieoorlog van 1356-57 lijkt in de jaren zeventig begraven</w:t>
      </w:r>
      <w:r w:rsidR="00382E74" w:rsidRPr="00C140A8">
        <w:rPr>
          <w:rFonts w:ascii="Georgia" w:hAnsi="Georgia" w:cs="Calibri"/>
          <w:sz w:val="22"/>
          <w:szCs w:val="22"/>
          <w:lang w:val="nl-NL"/>
        </w:rPr>
        <w:t xml:space="preserve"> te zijn</w:t>
      </w:r>
      <w:r w:rsidRPr="00C140A8">
        <w:rPr>
          <w:rFonts w:ascii="Georgia" w:hAnsi="Georgia" w:cs="Calibri"/>
          <w:sz w:val="22"/>
          <w:szCs w:val="22"/>
          <w:lang w:val="nl-NL"/>
        </w:rPr>
        <w:t xml:space="preserve"> en de rekeningen getuigen van een opmerkelijk intensief contact tussen Johanna en</w:t>
      </w:r>
      <w:r w:rsidR="006A5F36">
        <w:rPr>
          <w:rFonts w:ascii="Georgia" w:hAnsi="Georgia" w:cs="Calibri"/>
          <w:sz w:val="22"/>
          <w:szCs w:val="22"/>
          <w:lang w:val="nl-NL"/>
        </w:rPr>
        <w:t xml:space="preserve"> Lodewijk van Male, </w:t>
      </w:r>
      <w:r w:rsidRPr="00C140A8">
        <w:rPr>
          <w:rFonts w:ascii="Georgia" w:hAnsi="Georgia" w:cs="Calibri"/>
          <w:sz w:val="22"/>
          <w:szCs w:val="22"/>
          <w:lang w:val="nl-NL"/>
        </w:rPr>
        <w:t xml:space="preserve">de Vlaamse graaf.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onderhield ook banden met Vlaanderen, bijvoorbeeld ter bemiddeling in de oorlog met Luik in 1378-79, maar het is Johanna die in de rekeningen het vaakst met de graaf communiceert. In 1377 verbleef Johanna tweemaal in Dendermonde bij de Vlaamse graaf, een strategisch gelegen plaats op de grens tussen Brabant en Vlaanderen die zich leende tot onderhandelingen tussen beide vorstendommen. Ook op 3 en 4 september van dat jaar ontmoette ze er de Vlaamse graaf, die haar bij deze gelegenheid een damespaard </w:t>
      </w:r>
      <w:r w:rsidRPr="00C140A8">
        <w:rPr>
          <w:rFonts w:ascii="Georgia" w:hAnsi="Georgia" w:cs="Calibri"/>
          <w:sz w:val="22"/>
          <w:szCs w:val="22"/>
          <w:lang w:val="nl-NL"/>
        </w:rPr>
        <w:lastRenderedPageBreak/>
        <w:t>schonk.</w:t>
      </w:r>
      <w:r w:rsidRPr="00C140A8">
        <w:rPr>
          <w:rStyle w:val="FootnoteReference"/>
          <w:rFonts w:ascii="Georgia" w:hAnsi="Georgia" w:cs="Calibri"/>
          <w:sz w:val="22"/>
          <w:szCs w:val="22"/>
          <w:lang w:val="nl-NL"/>
        </w:rPr>
        <w:footnoteReference w:id="300"/>
      </w:r>
      <w:r w:rsidRPr="00C140A8">
        <w:rPr>
          <w:rFonts w:ascii="Georgia" w:hAnsi="Georgia" w:cs="Calibri"/>
          <w:sz w:val="22"/>
          <w:szCs w:val="22"/>
          <w:lang w:val="nl-NL"/>
        </w:rPr>
        <w:t xml:space="preserve"> Op 29 en 30 november keerde zij terug voor nog een </w:t>
      </w:r>
      <w:r w:rsidR="0040578F" w:rsidRPr="00C140A8">
        <w:rPr>
          <w:rFonts w:ascii="Georgia" w:hAnsi="Georgia" w:cs="Calibri"/>
          <w:sz w:val="22"/>
          <w:szCs w:val="22"/>
          <w:lang w:val="nl-NL"/>
        </w:rPr>
        <w:t>overleg en in 1379 duiken bezoeken aan de Vlaamse graaf nog een aantal keer op. Zo maakte ze o</w:t>
      </w:r>
      <w:r w:rsidRPr="00C140A8">
        <w:rPr>
          <w:rFonts w:ascii="Georgia" w:hAnsi="Georgia" w:cs="Calibri"/>
          <w:sz w:val="22"/>
          <w:szCs w:val="22"/>
          <w:lang w:val="nl-NL"/>
        </w:rPr>
        <w:t xml:space="preserve">p 14 </w:t>
      </w:r>
      <w:r w:rsidR="0002134B">
        <w:rPr>
          <w:rFonts w:ascii="Georgia" w:hAnsi="Georgia" w:cs="Calibri"/>
          <w:sz w:val="22"/>
          <w:szCs w:val="22"/>
          <w:lang w:val="nl-NL"/>
        </w:rPr>
        <w:t xml:space="preserve">oktober </w:t>
      </w:r>
      <w:r w:rsidR="0040578F" w:rsidRPr="00C140A8">
        <w:rPr>
          <w:rFonts w:ascii="Georgia" w:hAnsi="Georgia" w:cs="Calibri"/>
          <w:sz w:val="22"/>
          <w:szCs w:val="22"/>
          <w:lang w:val="nl-NL"/>
        </w:rPr>
        <w:t xml:space="preserve">1379 </w:t>
      </w:r>
      <w:r w:rsidRPr="00C140A8">
        <w:rPr>
          <w:rFonts w:ascii="Georgia" w:hAnsi="Georgia" w:cs="Calibri"/>
          <w:sz w:val="22"/>
          <w:szCs w:val="22"/>
          <w:lang w:val="nl-NL"/>
        </w:rPr>
        <w:t>opnieuw de tocht naar Dendermonde voor een ontmoeting met de graaf.</w:t>
      </w:r>
      <w:r w:rsidRPr="00C140A8">
        <w:rPr>
          <w:rStyle w:val="FootnoteReference"/>
          <w:rFonts w:ascii="Georgia" w:hAnsi="Georgia" w:cs="Calibri"/>
          <w:sz w:val="22"/>
          <w:szCs w:val="22"/>
          <w:lang w:val="nl-NL"/>
        </w:rPr>
        <w:footnoteReference w:id="301"/>
      </w:r>
      <w:r w:rsidRPr="00C140A8">
        <w:rPr>
          <w:rFonts w:ascii="Georgia" w:hAnsi="Georgia" w:cs="Calibri"/>
          <w:sz w:val="22"/>
          <w:szCs w:val="22"/>
          <w:lang w:val="nl-NL"/>
        </w:rPr>
        <w:t xml:space="preserve"> Voor dit bezoek is er ook direct bewijs dat Johanna dit alleen deed, zonder haar echtgenoot in de buurt. </w:t>
      </w:r>
      <w:r w:rsidR="0040578F" w:rsidRPr="00C140A8">
        <w:rPr>
          <w:rFonts w:ascii="Georgia" w:hAnsi="Georgia" w:cs="Calibri"/>
          <w:sz w:val="22"/>
          <w:szCs w:val="22"/>
          <w:lang w:val="nl-NL"/>
        </w:rPr>
        <w:t>Een</w:t>
      </w:r>
      <w:r w:rsidRPr="00C140A8">
        <w:rPr>
          <w:rFonts w:ascii="Georgia" w:hAnsi="Georgia" w:cs="Calibri"/>
          <w:sz w:val="22"/>
          <w:szCs w:val="22"/>
          <w:lang w:val="nl-NL"/>
        </w:rPr>
        <w:t xml:space="preserve"> dag eerder, op 13 oktober, gaf zij </w:t>
      </w:r>
      <w:r w:rsidR="0040578F" w:rsidRPr="00C140A8">
        <w:rPr>
          <w:rFonts w:ascii="Georgia" w:hAnsi="Georgia" w:cs="Calibri"/>
          <w:sz w:val="22"/>
          <w:szCs w:val="22"/>
          <w:lang w:val="nl-NL"/>
        </w:rPr>
        <w:t>haar boodschapper</w:t>
      </w:r>
      <w:r w:rsidRPr="00C140A8">
        <w:rPr>
          <w:rFonts w:ascii="Georgia" w:hAnsi="Georgia" w:cs="Calibri"/>
          <w:sz w:val="22"/>
          <w:szCs w:val="22"/>
          <w:lang w:val="nl-NL"/>
        </w:rPr>
        <w:t xml:space="preserve"> </w:t>
      </w:r>
      <w:proofErr w:type="spellStart"/>
      <w:r w:rsidRPr="00C140A8">
        <w:rPr>
          <w:rFonts w:ascii="Georgia" w:hAnsi="Georgia" w:cs="Calibri"/>
          <w:sz w:val="22"/>
          <w:szCs w:val="22"/>
          <w:lang w:val="nl-NL"/>
        </w:rPr>
        <w:t>Barnoet</w:t>
      </w:r>
      <w:proofErr w:type="spellEnd"/>
      <w:r w:rsidRPr="00C140A8">
        <w:rPr>
          <w:rFonts w:ascii="Georgia" w:hAnsi="Georgia" w:cs="Calibri"/>
          <w:sz w:val="22"/>
          <w:szCs w:val="22"/>
          <w:lang w:val="nl-NL"/>
        </w:rPr>
        <w:t xml:space="preserve"> de opdracht om naar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in de Elzas te rijden.</w:t>
      </w:r>
      <w:r w:rsidRPr="00C140A8">
        <w:rPr>
          <w:rStyle w:val="FootnoteReference"/>
          <w:rFonts w:ascii="Georgia" w:hAnsi="Georgia" w:cs="Calibri"/>
          <w:sz w:val="22"/>
          <w:szCs w:val="22"/>
          <w:lang w:val="nl-NL"/>
        </w:rPr>
        <w:footnoteReference w:id="302"/>
      </w:r>
      <w:r w:rsidRPr="00C140A8">
        <w:rPr>
          <w:rFonts w:ascii="Georgia" w:hAnsi="Georgia" w:cs="Calibri"/>
          <w:sz w:val="22"/>
          <w:szCs w:val="22"/>
          <w:lang w:val="nl-NL"/>
        </w:rPr>
        <w:t xml:space="preserve"> </w:t>
      </w:r>
      <w:r w:rsidR="00A1713F" w:rsidRPr="00A1713F">
        <w:rPr>
          <w:rFonts w:ascii="Georgia" w:hAnsi="Georgia" w:cs="Calibri"/>
          <w:sz w:val="22"/>
          <w:szCs w:val="22"/>
        </w:rPr>
        <w:t>Terwijl haar echtgenoot honderden kilometers verwijderd was, ontmoette zij in Brabant de Vlaamse graaf, maar hield zij haar man tegelijk op de hoogte</w:t>
      </w:r>
      <w:r w:rsidRPr="00C140A8">
        <w:rPr>
          <w:rFonts w:ascii="Georgia" w:hAnsi="Georgia" w:cs="Calibri"/>
          <w:sz w:val="22"/>
          <w:szCs w:val="22"/>
          <w:lang w:val="nl-NL"/>
        </w:rPr>
        <w:t xml:space="preserve">. </w:t>
      </w:r>
      <w:r w:rsidR="00BF7C21" w:rsidRPr="00BF7C21">
        <w:rPr>
          <w:rFonts w:ascii="Georgia" w:hAnsi="Georgia" w:cs="Calibri"/>
          <w:sz w:val="22"/>
          <w:szCs w:val="22"/>
        </w:rPr>
        <w:t>De post vermeldt niet wat de aanleiding van die bezoeken was of wat er precies ter sprake kwam. De ontmoeting in Dendermonde op 14 oktober 1379 gaat vooraf aan een post op 8 juli waarbij Johanna een gezant naar Vlaanderen stuurt om “</w:t>
      </w:r>
      <w:r w:rsidR="00BF7C21" w:rsidRPr="00BF7C21">
        <w:rPr>
          <w:rFonts w:ascii="Georgia" w:hAnsi="Georgia" w:cs="Calibri"/>
          <w:i/>
          <w:iCs/>
          <w:sz w:val="22"/>
          <w:szCs w:val="22"/>
        </w:rPr>
        <w:t>allerhande saken</w:t>
      </w:r>
      <w:r w:rsidR="00BF7C21" w:rsidRPr="00BF7C21">
        <w:rPr>
          <w:rFonts w:ascii="Georgia" w:hAnsi="Georgia" w:cs="Calibri"/>
          <w:sz w:val="22"/>
          <w:szCs w:val="22"/>
        </w:rPr>
        <w:t>” op te vangen.</w:t>
      </w:r>
      <w:r w:rsidR="00BF7C21" w:rsidRPr="00C140A8">
        <w:rPr>
          <w:rStyle w:val="FootnoteReference"/>
          <w:rFonts w:ascii="Georgia" w:hAnsi="Georgia" w:cs="Calibri"/>
          <w:sz w:val="22"/>
          <w:szCs w:val="22"/>
          <w:lang w:val="nl-NL"/>
        </w:rPr>
        <w:footnoteReference w:id="303"/>
      </w:r>
      <w:r w:rsidR="00BF7C21">
        <w:rPr>
          <w:rFonts w:ascii="Georgia" w:hAnsi="Georgia" w:cs="Calibri"/>
          <w:sz w:val="22"/>
          <w:szCs w:val="22"/>
        </w:rPr>
        <w:t xml:space="preserve"> </w:t>
      </w:r>
      <w:r w:rsidR="00302676" w:rsidRPr="00302676">
        <w:rPr>
          <w:rFonts w:ascii="Georgia" w:hAnsi="Georgia" w:cs="Calibri"/>
          <w:sz w:val="22"/>
          <w:szCs w:val="22"/>
        </w:rPr>
        <w:t>Johanna deed deze uitgave aan de vooravond van de Gentse opstand (1379-85) en wanneer ze de graaf bezoekt in oktober, is die al uitgebroken</w:t>
      </w:r>
      <w:r w:rsidR="00302676">
        <w:rPr>
          <w:rFonts w:ascii="Georgia" w:hAnsi="Georgia" w:cs="Calibri"/>
          <w:i/>
          <w:iCs/>
          <w:sz w:val="22"/>
          <w:szCs w:val="22"/>
        </w:rPr>
        <w:t xml:space="preserve">. </w:t>
      </w:r>
      <w:r w:rsidRPr="00C140A8">
        <w:rPr>
          <w:rFonts w:ascii="Georgia" w:hAnsi="Georgia" w:cs="Calibri"/>
          <w:sz w:val="22"/>
          <w:szCs w:val="22"/>
          <w:lang w:val="nl-NL"/>
        </w:rPr>
        <w:t xml:space="preserve">Zou haar bezoek daar iets mee te maken hebben? Het lijkt erop dat men in Brabant op de hoogte is van de situatie in Vlaanderen. </w:t>
      </w:r>
      <w:r w:rsidR="004800A3" w:rsidRPr="004800A3">
        <w:rPr>
          <w:rFonts w:ascii="Georgia" w:hAnsi="Georgia" w:cs="Calibri"/>
          <w:sz w:val="22"/>
          <w:szCs w:val="22"/>
        </w:rPr>
        <w:t>Op 10 december vermeldt een post van het beheer de opdracht om de burcht in Tervuren te versterken vanwege </w:t>
      </w:r>
      <w:r w:rsidRPr="004800A3">
        <w:rPr>
          <w:rFonts w:ascii="Georgia" w:hAnsi="Georgia" w:cs="Calibri"/>
          <w:sz w:val="22"/>
          <w:szCs w:val="22"/>
          <w:lang w:val="nl-NL"/>
        </w:rPr>
        <w:t xml:space="preserve"> </w:t>
      </w:r>
      <w:r w:rsidR="00BF7C21">
        <w:rPr>
          <w:rFonts w:ascii="Georgia" w:hAnsi="Georgia" w:cs="Calibri"/>
          <w:sz w:val="22"/>
          <w:szCs w:val="22"/>
          <w:lang w:val="nl-NL"/>
        </w:rPr>
        <w:t>“</w:t>
      </w:r>
      <w:proofErr w:type="spellStart"/>
      <w:r w:rsidRPr="00BF7C21">
        <w:rPr>
          <w:rFonts w:ascii="Georgia" w:hAnsi="Georgia" w:cs="Calibri"/>
          <w:i/>
          <w:iCs/>
          <w:sz w:val="22"/>
          <w:szCs w:val="22"/>
          <w:lang w:val="nl-NL"/>
        </w:rPr>
        <w:t>onruste</w:t>
      </w:r>
      <w:proofErr w:type="spellEnd"/>
      <w:r w:rsidRPr="00BF7C21">
        <w:rPr>
          <w:rFonts w:ascii="Georgia" w:hAnsi="Georgia" w:cs="Calibri"/>
          <w:i/>
          <w:iCs/>
          <w:sz w:val="22"/>
          <w:szCs w:val="22"/>
          <w:lang w:val="nl-NL"/>
        </w:rPr>
        <w:t xml:space="preserve"> wille in </w:t>
      </w:r>
      <w:proofErr w:type="spellStart"/>
      <w:r w:rsidRPr="00BF7C21">
        <w:rPr>
          <w:rFonts w:ascii="Georgia" w:hAnsi="Georgia" w:cs="Calibri"/>
          <w:i/>
          <w:iCs/>
          <w:sz w:val="22"/>
          <w:szCs w:val="22"/>
          <w:lang w:val="nl-NL"/>
        </w:rPr>
        <w:t>Vlaenderen</w:t>
      </w:r>
      <w:proofErr w:type="spellEnd"/>
      <w:r w:rsidR="004800A3">
        <w:rPr>
          <w:rFonts w:ascii="Georgia" w:hAnsi="Georgia" w:cs="Calibri"/>
          <w:sz w:val="22"/>
          <w:szCs w:val="22"/>
          <w:lang w:val="nl-NL"/>
        </w:rPr>
        <w:t>.”</w:t>
      </w:r>
      <w:r w:rsidRPr="00C140A8">
        <w:rPr>
          <w:rStyle w:val="FootnoteReference"/>
          <w:rFonts w:ascii="Georgia" w:hAnsi="Georgia" w:cs="Calibri"/>
          <w:sz w:val="22"/>
          <w:szCs w:val="22"/>
          <w:lang w:val="nl-NL"/>
        </w:rPr>
        <w:footnoteReference w:id="304"/>
      </w:r>
      <w:r w:rsidRPr="00C140A8">
        <w:rPr>
          <w:rFonts w:ascii="Georgia" w:hAnsi="Georgia" w:cs="Calibri"/>
          <w:sz w:val="22"/>
          <w:szCs w:val="22"/>
          <w:lang w:val="nl-NL"/>
        </w:rPr>
        <w:t xml:space="preserve"> Dendermonde was niet de enige plek waar zij onderhandelingen met Vlaanderen trof. In Mechelen ontmoette ze de graaf op 29 november en 15 december.</w:t>
      </w:r>
      <w:r w:rsidRPr="00C140A8">
        <w:rPr>
          <w:rStyle w:val="FootnoteReference"/>
          <w:rFonts w:ascii="Georgia" w:hAnsi="Georgia" w:cs="Calibri"/>
          <w:sz w:val="22"/>
          <w:szCs w:val="22"/>
          <w:lang w:val="nl-NL"/>
        </w:rPr>
        <w:footnoteReference w:id="305"/>
      </w:r>
      <w:r w:rsidRPr="00C140A8">
        <w:rPr>
          <w:rFonts w:ascii="Georgia" w:hAnsi="Georgia" w:cs="Calibri"/>
          <w:sz w:val="22"/>
          <w:szCs w:val="22"/>
          <w:lang w:val="nl-NL"/>
        </w:rPr>
        <w:t xml:space="preserve"> Mechelen was tussen Brabant en Vlaanderen een betwiste enclave en was na de Brabantse successiestrijd bij Johanna’s aantreden naar Vlaanderen gegaan.</w:t>
      </w:r>
      <w:r w:rsidRPr="00C140A8">
        <w:rPr>
          <w:rStyle w:val="FootnoteReference"/>
          <w:rFonts w:ascii="Georgia" w:hAnsi="Georgia" w:cs="Calibri"/>
          <w:sz w:val="22"/>
          <w:szCs w:val="22"/>
          <w:lang w:val="nl-NL"/>
        </w:rPr>
        <w:footnoteReference w:id="306"/>
      </w:r>
      <w:r w:rsidRPr="00C140A8">
        <w:rPr>
          <w:rFonts w:ascii="Georgia" w:hAnsi="Georgia" w:cs="Calibri"/>
          <w:sz w:val="22"/>
          <w:szCs w:val="22"/>
          <w:lang w:val="nl-NL"/>
        </w:rPr>
        <w:t xml:space="preserve"> De herhaalde ontmoetingen die Johanna met de graaf trof</w:t>
      </w:r>
      <w:r w:rsidR="00AB51A3">
        <w:rPr>
          <w:rFonts w:ascii="Georgia" w:hAnsi="Georgia" w:cs="Calibri"/>
          <w:sz w:val="22"/>
          <w:szCs w:val="22"/>
          <w:lang w:val="nl-NL"/>
        </w:rPr>
        <w:t xml:space="preserve">, </w:t>
      </w:r>
      <w:r w:rsidRPr="00C140A8">
        <w:rPr>
          <w:rFonts w:ascii="Georgia" w:hAnsi="Georgia" w:cs="Calibri"/>
          <w:sz w:val="22"/>
          <w:szCs w:val="22"/>
          <w:lang w:val="nl-NL"/>
        </w:rPr>
        <w:t xml:space="preserve">illustreren duidelijk het belang van deze relatie binnen haar netwerk. </w:t>
      </w:r>
    </w:p>
    <w:p w14:paraId="092CFFB5" w14:textId="57A7D616" w:rsidR="005228AF" w:rsidRPr="00C140A8" w:rsidRDefault="001D1801"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De relatie met hertog Albrecht van Beieren, </w:t>
      </w:r>
      <w:r w:rsidR="006452A1" w:rsidRPr="00C140A8">
        <w:rPr>
          <w:rFonts w:ascii="Georgia" w:hAnsi="Georgia" w:cs="Calibri"/>
          <w:sz w:val="22"/>
          <w:szCs w:val="22"/>
          <w:lang w:val="nl-NL"/>
        </w:rPr>
        <w:t>die als</w:t>
      </w:r>
      <w:r w:rsidRPr="00C140A8">
        <w:rPr>
          <w:rFonts w:ascii="Georgia" w:hAnsi="Georgia" w:cs="Calibri"/>
          <w:sz w:val="22"/>
          <w:szCs w:val="22"/>
          <w:lang w:val="nl-NL"/>
        </w:rPr>
        <w:t xml:space="preserve"> ruwaard voor Holland, Zeeland en Henegouwen </w:t>
      </w:r>
      <w:r w:rsidR="006452A1" w:rsidRPr="00C140A8">
        <w:rPr>
          <w:rFonts w:ascii="Georgia" w:hAnsi="Georgia" w:cs="Calibri"/>
          <w:sz w:val="22"/>
          <w:szCs w:val="22"/>
          <w:lang w:val="nl-NL"/>
        </w:rPr>
        <w:t>diende</w:t>
      </w:r>
      <w:r w:rsidRPr="00C140A8">
        <w:rPr>
          <w:rFonts w:ascii="Georgia" w:hAnsi="Georgia" w:cs="Calibri"/>
          <w:sz w:val="22"/>
          <w:szCs w:val="22"/>
          <w:lang w:val="nl-NL"/>
        </w:rPr>
        <w:t xml:space="preserve"> toen zijn broer Willem V geestesziek werd, verliep vaak stroef vanwege de moeizame betalingen van de Hollandse weduwesom. Toch zijn er enkele diplomatieke ontmoetingen tussen beide huizen terug te vinden. Zo ontmoette Johanna Albrecht, en diens echtgenote Margareta op 14 juni 1380 in Halle.</w:t>
      </w:r>
      <w:r w:rsidRPr="00C140A8">
        <w:rPr>
          <w:rStyle w:val="FootnoteReference"/>
          <w:rFonts w:ascii="Georgia" w:hAnsi="Georgia" w:cs="Calibri"/>
          <w:sz w:val="22"/>
          <w:szCs w:val="22"/>
          <w:lang w:val="nl-NL"/>
        </w:rPr>
        <w:footnoteReference w:id="307"/>
      </w:r>
      <w:r w:rsidRPr="00C140A8">
        <w:rPr>
          <w:rFonts w:ascii="Georgia" w:hAnsi="Georgia" w:cs="Calibri"/>
          <w:sz w:val="22"/>
          <w:szCs w:val="22"/>
          <w:lang w:val="nl-NL"/>
        </w:rPr>
        <w:t xml:space="preserve"> Johanna had ook afzonderlijk contact met Margareta zelf. De </w:t>
      </w:r>
      <w:r w:rsidR="002C3727">
        <w:rPr>
          <w:rFonts w:ascii="Georgia" w:hAnsi="Georgia" w:cs="Calibri"/>
          <w:sz w:val="22"/>
          <w:szCs w:val="22"/>
          <w:lang w:val="nl-NL"/>
        </w:rPr>
        <w:t>rekening</w:t>
      </w:r>
      <w:r w:rsidRPr="00C140A8">
        <w:rPr>
          <w:rFonts w:ascii="Georgia" w:hAnsi="Georgia" w:cs="Calibri"/>
          <w:sz w:val="22"/>
          <w:szCs w:val="22"/>
          <w:lang w:val="nl-NL"/>
        </w:rPr>
        <w:t xml:space="preserve"> van 1377-78 vermeldt dat Johanna</w:t>
      </w:r>
      <w:r w:rsidR="00AB51A3">
        <w:rPr>
          <w:rFonts w:ascii="Georgia" w:hAnsi="Georgia" w:cs="Calibri"/>
          <w:sz w:val="22"/>
          <w:szCs w:val="22"/>
          <w:lang w:val="nl-NL"/>
        </w:rPr>
        <w:t>,</w:t>
      </w:r>
      <w:r w:rsidRPr="00C140A8">
        <w:rPr>
          <w:rFonts w:ascii="Georgia" w:hAnsi="Georgia" w:cs="Calibri"/>
          <w:sz w:val="22"/>
          <w:szCs w:val="22"/>
          <w:lang w:val="nl-NL"/>
        </w:rPr>
        <w:t xml:space="preserve"> vooraleer ze naar Luxemburg uitreed, een tussenstop maakte in Eigenbrakel, op de grens tussen Brabant en Henegouwen, om haar te ontmoeten.</w:t>
      </w:r>
      <w:r w:rsidRPr="00C140A8">
        <w:rPr>
          <w:rStyle w:val="FootnoteReference"/>
          <w:rFonts w:ascii="Georgia" w:hAnsi="Georgia" w:cs="Calibri"/>
          <w:sz w:val="22"/>
          <w:szCs w:val="22"/>
          <w:lang w:val="nl-NL"/>
        </w:rPr>
        <w:footnoteReference w:id="308"/>
      </w:r>
    </w:p>
    <w:p w14:paraId="691E1AAE" w14:textId="79B3AB3C" w:rsidR="005228AF" w:rsidRPr="00C140A8" w:rsidRDefault="006452A1"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Daarnaast</w:t>
      </w:r>
      <w:r w:rsidR="001D1801" w:rsidRPr="00C140A8">
        <w:rPr>
          <w:rFonts w:ascii="Georgia" w:hAnsi="Georgia" w:cs="Calibri"/>
          <w:sz w:val="22"/>
          <w:szCs w:val="22"/>
          <w:lang w:val="nl-NL"/>
        </w:rPr>
        <w:t xml:space="preserve"> vroegen ook Johanna's eigen weduwegoederen om geregelde aanwezigheid. Verblijven in Binche, </w:t>
      </w:r>
      <w:proofErr w:type="spellStart"/>
      <w:r w:rsidR="001D1801" w:rsidRPr="00C140A8">
        <w:rPr>
          <w:rFonts w:ascii="Georgia" w:hAnsi="Georgia" w:cs="Calibri"/>
          <w:sz w:val="22"/>
          <w:szCs w:val="22"/>
          <w:lang w:val="nl-NL"/>
        </w:rPr>
        <w:t>Aymeries</w:t>
      </w:r>
      <w:proofErr w:type="spellEnd"/>
      <w:r w:rsidR="001D1801" w:rsidRPr="00C140A8">
        <w:rPr>
          <w:rFonts w:ascii="Georgia" w:hAnsi="Georgia" w:cs="Calibri"/>
          <w:sz w:val="22"/>
          <w:szCs w:val="22"/>
          <w:lang w:val="nl-NL"/>
        </w:rPr>
        <w:t xml:space="preserve"> en Morlanwelz duiken in de rekeningen op.</w:t>
      </w:r>
      <w:r w:rsidR="00062C9C" w:rsidRPr="00C140A8">
        <w:rPr>
          <w:rStyle w:val="FootnoteReference"/>
          <w:rFonts w:ascii="Georgia" w:hAnsi="Georgia" w:cs="Calibri"/>
          <w:sz w:val="22"/>
          <w:szCs w:val="22"/>
          <w:lang w:val="nl-NL"/>
        </w:rPr>
        <w:t xml:space="preserve"> </w:t>
      </w:r>
      <w:r w:rsidR="001D1801" w:rsidRPr="00C140A8">
        <w:rPr>
          <w:rFonts w:ascii="Georgia" w:hAnsi="Georgia" w:cs="Calibri"/>
          <w:sz w:val="22"/>
          <w:szCs w:val="22"/>
          <w:lang w:val="nl-NL"/>
        </w:rPr>
        <w:t xml:space="preserve">Deze reizen </w:t>
      </w:r>
      <w:r w:rsidR="001D1801" w:rsidRPr="00C140A8">
        <w:rPr>
          <w:rFonts w:ascii="Georgia" w:hAnsi="Georgia" w:cs="Calibri"/>
          <w:sz w:val="22"/>
          <w:szCs w:val="22"/>
          <w:lang w:val="nl-NL"/>
        </w:rPr>
        <w:lastRenderedPageBreak/>
        <w:t xml:space="preserve">dienden als tussenstop om naar feestelijkheden in Bergen te gaan, maar </w:t>
      </w:r>
      <w:r w:rsidR="00883571">
        <w:rPr>
          <w:rFonts w:ascii="Georgia" w:hAnsi="Georgia" w:cs="Calibri"/>
          <w:sz w:val="22"/>
          <w:szCs w:val="22"/>
          <w:lang w:val="nl-NL"/>
        </w:rPr>
        <w:t>ze verbleef hier ook voor lokale aangelegenheden</w:t>
      </w:r>
      <w:r w:rsidR="001D1801" w:rsidRPr="00C140A8">
        <w:rPr>
          <w:rFonts w:ascii="Georgia" w:hAnsi="Georgia" w:cs="Calibri"/>
          <w:sz w:val="22"/>
          <w:szCs w:val="22"/>
          <w:lang w:val="nl-NL"/>
        </w:rPr>
        <w:t xml:space="preserve">. Zoals in het vorige hoofdstuk al naar voren kwam, was Johanna nauw betrokken bij de afhandeling van de problemen </w:t>
      </w:r>
      <w:proofErr w:type="gramStart"/>
      <w:r w:rsidR="001D1801" w:rsidRPr="00C140A8">
        <w:rPr>
          <w:rFonts w:ascii="Georgia" w:hAnsi="Georgia" w:cs="Calibri"/>
          <w:sz w:val="22"/>
          <w:szCs w:val="22"/>
          <w:lang w:val="nl-NL"/>
        </w:rPr>
        <w:t>omtrent</w:t>
      </w:r>
      <w:proofErr w:type="gramEnd"/>
      <w:r w:rsidR="001D1801" w:rsidRPr="00C140A8">
        <w:rPr>
          <w:rFonts w:ascii="Georgia" w:hAnsi="Georgia" w:cs="Calibri"/>
          <w:sz w:val="22"/>
          <w:szCs w:val="22"/>
          <w:lang w:val="nl-NL"/>
        </w:rPr>
        <w:t xml:space="preserve"> haar weduwegoed. In de periode 1376-80 bezocht zij de proosdij Binche maar liefst zeventien keer en ontving ze er ook gasten, zoals de hertogin van Gelre op 22 oktober 1377 en 24 februari 1379.</w:t>
      </w:r>
      <w:r w:rsidR="001D1801" w:rsidRPr="00C140A8">
        <w:rPr>
          <w:rStyle w:val="FootnoteReference"/>
          <w:rFonts w:ascii="Georgia" w:hAnsi="Georgia" w:cs="Calibri"/>
          <w:sz w:val="22"/>
          <w:szCs w:val="22"/>
          <w:lang w:val="nl-NL"/>
        </w:rPr>
        <w:footnoteReference w:id="309"/>
      </w:r>
      <w:r w:rsidR="001D1801" w:rsidRPr="00C140A8">
        <w:rPr>
          <w:rFonts w:ascii="Georgia" w:hAnsi="Georgia" w:cs="Calibri"/>
          <w:sz w:val="22"/>
          <w:szCs w:val="22"/>
          <w:lang w:val="nl-NL"/>
        </w:rPr>
        <w:t xml:space="preserve"> </w:t>
      </w:r>
    </w:p>
    <w:p w14:paraId="64D0A39A" w14:textId="799FE72E" w:rsidR="006B4017" w:rsidRPr="00C140A8" w:rsidRDefault="003F64F8"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Binnen het brede netwerk dat Johanna 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uitbouwden, reisde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verder dan Johanna. Hij kwam geregeld in Luxemburg en onderhield contact met het Franse hof, hoewel ook hij veel binnen Brabant rondreisde. Johanna </w:t>
      </w:r>
      <w:r w:rsidR="00716F39" w:rsidRPr="00C140A8">
        <w:rPr>
          <w:rFonts w:ascii="Georgia" w:hAnsi="Georgia" w:cs="Calibri"/>
          <w:sz w:val="22"/>
          <w:szCs w:val="22"/>
          <w:lang w:val="nl-NL"/>
        </w:rPr>
        <w:t>reisde frequent, maar haar reisbewegingen</w:t>
      </w:r>
      <w:r w:rsidR="0066282C">
        <w:rPr>
          <w:rFonts w:ascii="Georgia" w:hAnsi="Georgia" w:cs="Calibri"/>
          <w:sz w:val="22"/>
          <w:szCs w:val="22"/>
          <w:lang w:val="nl-NL"/>
        </w:rPr>
        <w:t xml:space="preserve"> </w:t>
      </w:r>
      <w:r w:rsidR="00716F39" w:rsidRPr="00C140A8">
        <w:rPr>
          <w:rFonts w:ascii="Georgia" w:hAnsi="Georgia" w:cs="Calibri"/>
          <w:sz w:val="22"/>
          <w:szCs w:val="22"/>
          <w:lang w:val="nl-NL"/>
        </w:rPr>
        <w:t xml:space="preserve">centreerden zich voornamelijk op Brabant en de omliggende regio. </w:t>
      </w:r>
      <w:r w:rsidRPr="00C140A8">
        <w:rPr>
          <w:rFonts w:ascii="Georgia" w:hAnsi="Georgia" w:cs="Calibri"/>
          <w:sz w:val="22"/>
          <w:szCs w:val="22"/>
          <w:lang w:val="nl-NL"/>
        </w:rPr>
        <w:t>Opmerkelijk daarbij is dat zij volgens de rekeningen herhaaldelijk vorsten uit die naburige regio's ontmoette, zoals de Vlaamse en de Henegouwse graaf. Beide reispatronen overlapten en vulden elkaar aan</w:t>
      </w:r>
      <w:r w:rsidR="00786780">
        <w:rPr>
          <w:rFonts w:ascii="Georgia" w:hAnsi="Georgia" w:cs="Calibri"/>
          <w:sz w:val="22"/>
          <w:szCs w:val="22"/>
          <w:lang w:val="nl-NL"/>
        </w:rPr>
        <w:t>. T</w:t>
      </w:r>
      <w:r w:rsidRPr="00C140A8">
        <w:rPr>
          <w:rFonts w:ascii="Georgia" w:hAnsi="Georgia" w:cs="Calibri"/>
          <w:sz w:val="22"/>
          <w:szCs w:val="22"/>
          <w:lang w:val="nl-NL"/>
        </w:rPr>
        <w:t xml:space="preserve">erwijl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zich naast Brabant ook richtte op de keizerlijke en Franse sfeer, hield Johanna vooral de banden met de directe buren van Brabant levend.</w:t>
      </w:r>
      <w:r w:rsidR="001E2F15" w:rsidRPr="00C140A8">
        <w:rPr>
          <w:rFonts w:ascii="Georgia" w:hAnsi="Georgia" w:cs="Calibri"/>
          <w:sz w:val="22"/>
          <w:szCs w:val="22"/>
          <w:lang w:val="nl-NL"/>
        </w:rPr>
        <w:t xml:space="preserve"> </w:t>
      </w:r>
    </w:p>
    <w:p w14:paraId="0E393BD5" w14:textId="0C13481A" w:rsidR="002817F1" w:rsidRPr="00C140A8" w:rsidRDefault="002817F1" w:rsidP="00D83A0D">
      <w:pPr>
        <w:pStyle w:val="ThesisSubheading"/>
        <w:ind w:left="1134" w:hanging="1134"/>
        <w:rPr>
          <w:lang w:val="nl-NL"/>
        </w:rPr>
      </w:pPr>
      <w:bookmarkStart w:id="191" w:name="_Toc230171845"/>
      <w:bookmarkStart w:id="192" w:name="_Toc231153783"/>
      <w:bookmarkStart w:id="193" w:name="_Toc231329852"/>
      <w:bookmarkStart w:id="194" w:name="_Toc231330459"/>
      <w:bookmarkStart w:id="195" w:name="_Toc231428053"/>
      <w:r w:rsidRPr="00C140A8">
        <w:rPr>
          <w:lang w:val="nl-NL"/>
        </w:rPr>
        <w:t xml:space="preserve">Boden en </w:t>
      </w:r>
      <w:bookmarkEnd w:id="191"/>
      <w:proofErr w:type="spellStart"/>
      <w:r w:rsidRPr="00D83A0D">
        <w:t>briefwisseling</w:t>
      </w:r>
      <w:bookmarkEnd w:id="192"/>
      <w:bookmarkEnd w:id="193"/>
      <w:bookmarkEnd w:id="194"/>
      <w:bookmarkEnd w:id="195"/>
      <w:proofErr w:type="spellEnd"/>
    </w:p>
    <w:p w14:paraId="769875AC" w14:textId="76785295" w:rsidR="006D3B33" w:rsidRDefault="002817F1"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Persoonlijke aanwezigheid was essentieel voor het bestuur en dus was reizen </w:t>
      </w:r>
      <w:r w:rsidR="000325F3" w:rsidRPr="00C140A8">
        <w:rPr>
          <w:rFonts w:ascii="Georgia" w:hAnsi="Georgia" w:cs="Calibri"/>
          <w:sz w:val="22"/>
          <w:szCs w:val="22"/>
          <w:lang w:val="nl-NL"/>
        </w:rPr>
        <w:t>noodzakelijk</w:t>
      </w:r>
      <w:r w:rsidRPr="00C140A8">
        <w:rPr>
          <w:rFonts w:ascii="Georgia" w:hAnsi="Georgia" w:cs="Calibri"/>
          <w:sz w:val="22"/>
          <w:szCs w:val="22"/>
          <w:lang w:val="nl-NL"/>
        </w:rPr>
        <w:t xml:space="preserve">. Voor wat zich buiten die tijd afspeelde, was het hertogelijk koppel afhankelijk van een infrastructuur met boden en gezanten. Een groot huishouden met een veelvoud van domeinen en een geografisch uitgestrekt en versnipperd bestuurlijk gebied vereisten een strak onderhouden </w:t>
      </w:r>
      <w:r w:rsidR="00E74158" w:rsidRPr="00C140A8">
        <w:rPr>
          <w:rFonts w:ascii="Georgia" w:hAnsi="Georgia" w:cs="Calibri"/>
          <w:sz w:val="22"/>
          <w:szCs w:val="22"/>
          <w:lang w:val="nl-NL"/>
        </w:rPr>
        <w:t>netwerk</w:t>
      </w:r>
      <w:r w:rsidRPr="00C140A8">
        <w:rPr>
          <w:rFonts w:ascii="Georgia" w:hAnsi="Georgia" w:cs="Calibri"/>
          <w:sz w:val="22"/>
          <w:szCs w:val="22"/>
          <w:lang w:val="nl-NL"/>
        </w:rPr>
        <w:t xml:space="preserve"> en een snelle en vlotte correspondentie.</w:t>
      </w:r>
      <w:r w:rsidRPr="00C140A8">
        <w:rPr>
          <w:rStyle w:val="FootnoteReference"/>
          <w:rFonts w:ascii="Georgia" w:hAnsi="Georgia" w:cs="Calibri"/>
          <w:sz w:val="22"/>
          <w:szCs w:val="22"/>
          <w:lang w:val="nl-NL"/>
        </w:rPr>
        <w:footnoteReference w:id="310"/>
      </w:r>
      <w:r w:rsidRPr="00C140A8">
        <w:rPr>
          <w:rFonts w:ascii="Georgia" w:hAnsi="Georgia" w:cs="Calibri"/>
          <w:sz w:val="22"/>
          <w:szCs w:val="22"/>
          <w:lang w:val="nl-NL"/>
        </w:rPr>
        <w:t xml:space="preserve"> Boodschappers namen bijgevolg een belangrijke plaats in de hertogelijke administratie in</w:t>
      </w:r>
      <w:r w:rsidR="00AA7C6B">
        <w:rPr>
          <w:rFonts w:ascii="Georgia" w:hAnsi="Georgia" w:cs="Calibri"/>
          <w:sz w:val="22"/>
          <w:szCs w:val="22"/>
          <w:lang w:val="nl-NL"/>
        </w:rPr>
        <w:t>.</w:t>
      </w:r>
      <w:r w:rsidRPr="00C140A8">
        <w:rPr>
          <w:rFonts w:ascii="Georgia" w:hAnsi="Georgia" w:cs="Calibri"/>
          <w:sz w:val="22"/>
          <w:szCs w:val="22"/>
          <w:lang w:val="nl-NL"/>
        </w:rPr>
        <w:t xml:space="preserve"> </w:t>
      </w:r>
      <w:r w:rsidR="00AA7C6B">
        <w:rPr>
          <w:rFonts w:ascii="Georgia" w:hAnsi="Georgia" w:cs="Calibri"/>
          <w:sz w:val="22"/>
          <w:szCs w:val="22"/>
          <w:lang w:val="nl-NL"/>
        </w:rPr>
        <w:t>Z</w:t>
      </w:r>
      <w:r w:rsidRPr="00C140A8">
        <w:rPr>
          <w:rFonts w:ascii="Georgia" w:hAnsi="Georgia" w:cs="Calibri"/>
          <w:sz w:val="22"/>
          <w:szCs w:val="22"/>
          <w:lang w:val="nl-NL"/>
        </w:rPr>
        <w:t>ij waren belangrijke woordvoerders van en schakels in het hertogelijk bestuur.</w:t>
      </w:r>
      <w:r w:rsidRPr="00C140A8">
        <w:rPr>
          <w:rStyle w:val="FootnoteReference"/>
          <w:rFonts w:ascii="Georgia" w:hAnsi="Georgia" w:cs="Calibri"/>
          <w:sz w:val="22"/>
          <w:szCs w:val="22"/>
          <w:lang w:val="nl-NL"/>
        </w:rPr>
        <w:footnoteReference w:id="311"/>
      </w:r>
      <w:r w:rsidRPr="00C140A8">
        <w:rPr>
          <w:rFonts w:ascii="Georgia" w:hAnsi="Georgia" w:cs="Calibri"/>
          <w:sz w:val="22"/>
          <w:szCs w:val="22"/>
          <w:lang w:val="nl-NL"/>
        </w:rPr>
        <w:t xml:space="preserve"> </w:t>
      </w:r>
    </w:p>
    <w:p w14:paraId="37C9892C" w14:textId="149769B6" w:rsidR="001702A7" w:rsidRPr="00C140A8" w:rsidRDefault="001702A7" w:rsidP="00C140A8">
      <w:pPr>
        <w:spacing w:afterLines="80" w:after="192" w:line="360" w:lineRule="auto"/>
        <w:jc w:val="both"/>
        <w:rPr>
          <w:rFonts w:ascii="Georgia" w:hAnsi="Georgia" w:cs="Calibri"/>
          <w:sz w:val="22"/>
          <w:szCs w:val="22"/>
          <w:lang w:val="nl-NL"/>
        </w:rPr>
      </w:pPr>
    </w:p>
    <w:p w14:paraId="0C4985BB" w14:textId="1056129D" w:rsidR="002817F1" w:rsidRPr="00C140A8" w:rsidRDefault="00A83076" w:rsidP="00C140A8">
      <w:pPr>
        <w:spacing w:afterLines="80" w:after="192" w:line="360" w:lineRule="auto"/>
        <w:jc w:val="both"/>
        <w:rPr>
          <w:rFonts w:ascii="Georgia" w:hAnsi="Georgia" w:cs="Calibri"/>
          <w:sz w:val="22"/>
          <w:szCs w:val="22"/>
          <w:lang w:val="nl-NL"/>
        </w:rPr>
      </w:pPr>
      <w:r>
        <w:rPr>
          <w:noProof/>
        </w:rPr>
        <w:lastRenderedPageBreak/>
        <mc:AlternateContent>
          <mc:Choice Requires="wps">
            <w:drawing>
              <wp:anchor distT="0" distB="0" distL="114300" distR="114300" simplePos="0" relativeHeight="251727359" behindDoc="0" locked="0" layoutInCell="1" allowOverlap="1" wp14:anchorId="57FC565E" wp14:editId="414D6CE0">
                <wp:simplePos x="0" y="0"/>
                <wp:positionH relativeFrom="column">
                  <wp:posOffset>27016</wp:posOffset>
                </wp:positionH>
                <wp:positionV relativeFrom="paragraph">
                  <wp:posOffset>3782060</wp:posOffset>
                </wp:positionV>
                <wp:extent cx="5731510" cy="184150"/>
                <wp:effectExtent l="0" t="0" r="0" b="6350"/>
                <wp:wrapTopAndBottom/>
                <wp:docPr id="1207644310" name="Text Box 1"/>
                <wp:cNvGraphicFramePr/>
                <a:graphic xmlns:a="http://schemas.openxmlformats.org/drawingml/2006/main">
                  <a:graphicData uri="http://schemas.microsoft.com/office/word/2010/wordprocessingShape">
                    <wps:wsp>
                      <wps:cNvSpPr txBox="1"/>
                      <wps:spPr>
                        <a:xfrm>
                          <a:off x="0" y="0"/>
                          <a:ext cx="5731510" cy="184150"/>
                        </a:xfrm>
                        <a:prstGeom prst="rect">
                          <a:avLst/>
                        </a:prstGeom>
                        <a:solidFill>
                          <a:prstClr val="white"/>
                        </a:solidFill>
                        <a:ln>
                          <a:noFill/>
                        </a:ln>
                      </wps:spPr>
                      <wps:txbx>
                        <w:txbxContent>
                          <w:p w14:paraId="6F681038" w14:textId="29760D48" w:rsidR="00A83076" w:rsidRPr="00ED545E" w:rsidRDefault="00A83076" w:rsidP="00A83076">
                            <w:pPr>
                              <w:pStyle w:val="Caption"/>
                              <w:rPr>
                                <w:noProof/>
                              </w:rPr>
                            </w:pPr>
                            <w:bookmarkStart w:id="196" w:name="_Toc231462064"/>
                            <w:r w:rsidRPr="00A83076">
                              <w:rPr>
                                <w:b/>
                                <w:bCs/>
                              </w:rPr>
                              <w:t xml:space="preserve">Tabel </w:t>
                            </w:r>
                            <w:r w:rsidRPr="00A83076">
                              <w:rPr>
                                <w:b/>
                                <w:bCs/>
                              </w:rPr>
                              <w:fldChar w:fldCharType="begin"/>
                            </w:r>
                            <w:r w:rsidRPr="00A83076">
                              <w:rPr>
                                <w:b/>
                                <w:bCs/>
                              </w:rPr>
                              <w:instrText xml:space="preserve"> SEQ Tabel \* ARABIC </w:instrText>
                            </w:r>
                            <w:r w:rsidRPr="00A83076">
                              <w:rPr>
                                <w:b/>
                                <w:bCs/>
                              </w:rPr>
                              <w:fldChar w:fldCharType="separate"/>
                            </w:r>
                            <w:r w:rsidR="00F83A3D">
                              <w:rPr>
                                <w:b/>
                                <w:bCs/>
                                <w:noProof/>
                              </w:rPr>
                              <w:t>3</w:t>
                            </w:r>
                            <w:r w:rsidRPr="00A83076">
                              <w:rPr>
                                <w:b/>
                                <w:bCs/>
                              </w:rPr>
                              <w:fldChar w:fldCharType="end"/>
                            </w:r>
                            <w:r>
                              <w:t xml:space="preserve">: </w:t>
                            </w:r>
                            <w:r w:rsidRPr="00790CA9">
                              <w:t>Aantal posten per persoon in de foreine partiën van het uitgaande bodenverkeer (1376–1379)</w:t>
                            </w:r>
                            <w:bookmarkEnd w:id="19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FC565E" id="_x0000_s1029" type="#_x0000_t202" style="position:absolute;left:0;text-align:left;margin-left:2.15pt;margin-top:297.8pt;width:451.3pt;height:14.5pt;z-index:25172735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" stroked="f">
                <v:textbox inset="0,0,0,0">
                  <w:txbxContent>
                    <w:p w14:paraId="6F681038" w14:textId="29760D48" w:rsidR="00A83076" w:rsidRPr="00ED545E" w:rsidRDefault="00A83076" w:rsidP="00A83076">
                      <w:pPr>
                        <w:pStyle w:val="Caption"/>
                        <w:rPr>
                          <w:noProof/>
                        </w:rPr>
                      </w:pPr>
                      <w:bookmarkStart w:id="197" w:name="_Toc231462064"/>
                      <w:r w:rsidRPr="00A83076">
                        <w:rPr>
                          <w:b/>
                          <w:bCs/>
                        </w:rPr>
                        <w:t xml:space="preserve">Tabel </w:t>
                      </w:r>
                      <w:r w:rsidRPr="00A83076">
                        <w:rPr>
                          <w:b/>
                          <w:bCs/>
                        </w:rPr>
                        <w:fldChar w:fldCharType="begin"/>
                      </w:r>
                      <w:r w:rsidRPr="00A83076">
                        <w:rPr>
                          <w:b/>
                          <w:bCs/>
                        </w:rPr>
                        <w:instrText xml:space="preserve"> SEQ Tabel \* ARABIC </w:instrText>
                      </w:r>
                      <w:r w:rsidRPr="00A83076">
                        <w:rPr>
                          <w:b/>
                          <w:bCs/>
                        </w:rPr>
                        <w:fldChar w:fldCharType="separate"/>
                      </w:r>
                      <w:r w:rsidR="00F83A3D">
                        <w:rPr>
                          <w:b/>
                          <w:bCs/>
                          <w:noProof/>
                        </w:rPr>
                        <w:t>3</w:t>
                      </w:r>
                      <w:r w:rsidRPr="00A83076">
                        <w:rPr>
                          <w:b/>
                          <w:bCs/>
                        </w:rPr>
                        <w:fldChar w:fldCharType="end"/>
                      </w:r>
                      <w:r>
                        <w:t xml:space="preserve">: </w:t>
                      </w:r>
                      <w:r w:rsidRPr="00790CA9">
                        <w:t>Aantal posten per persoon in de foreine partiën van het uitgaande bodenverkeer (1376–1379)</w:t>
                      </w:r>
                      <w:bookmarkEnd w:id="197"/>
                    </w:p>
                  </w:txbxContent>
                </v:textbox>
                <w10:wrap type="topAndBottom"/>
              </v:shape>
            </w:pict>
          </mc:Fallback>
        </mc:AlternateContent>
      </w:r>
      <w:r w:rsidR="001659EC">
        <w:rPr>
          <w:rFonts w:ascii="Georgia" w:hAnsi="Georgia" w:cs="Calibri"/>
          <w:noProof/>
          <w:sz w:val="22"/>
          <w:szCs w:val="22"/>
          <w:lang w:val="nl-NL"/>
          <w14:ligatures w14:val="standardContextual"/>
        </w:rPr>
        <w:drawing>
          <wp:anchor distT="0" distB="0" distL="114300" distR="114300" simplePos="0" relativeHeight="251694591" behindDoc="0" locked="0" layoutInCell="1" allowOverlap="1" wp14:anchorId="0A21813A" wp14:editId="24C758FB">
            <wp:simplePos x="0" y="0"/>
            <wp:positionH relativeFrom="column">
              <wp:posOffset>0</wp:posOffset>
            </wp:positionH>
            <wp:positionV relativeFrom="paragraph">
              <wp:posOffset>1664698</wp:posOffset>
            </wp:positionV>
            <wp:extent cx="5731510" cy="2117725"/>
            <wp:effectExtent l="0" t="0" r="0" b="3175"/>
            <wp:wrapTopAndBottom/>
            <wp:docPr id="2037952302" name="Picture 13" descr="A white rectangular box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952302" name="Picture 13" descr="A white rectangular box with black tex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2117725"/>
                    </a:xfrm>
                    <a:prstGeom prst="rect">
                      <a:avLst/>
                    </a:prstGeom>
                  </pic:spPr>
                </pic:pic>
              </a:graphicData>
            </a:graphic>
            <wp14:sizeRelH relativeFrom="page">
              <wp14:pctWidth>0</wp14:pctWidth>
            </wp14:sizeRelH>
            <wp14:sizeRelV relativeFrom="page">
              <wp14:pctHeight>0</wp14:pctHeight>
            </wp14:sizeRelV>
          </wp:anchor>
        </w:drawing>
      </w:r>
      <w:r w:rsidR="002817F1" w:rsidRPr="00C140A8">
        <w:rPr>
          <w:rFonts w:ascii="Georgia" w:hAnsi="Georgia" w:cs="Calibri"/>
          <w:sz w:val="22"/>
          <w:szCs w:val="22"/>
          <w:lang w:val="nl-NL"/>
        </w:rPr>
        <w:t xml:space="preserve">Een blik op de rekeningen toont de omvang van deze netwerken. Van de </w:t>
      </w:r>
      <w:r w:rsidR="00BE5431">
        <w:rPr>
          <w:rFonts w:ascii="Georgia" w:hAnsi="Georgia" w:cs="Calibri"/>
          <w:sz w:val="22"/>
          <w:szCs w:val="22"/>
          <w:lang w:val="nl-NL"/>
        </w:rPr>
        <w:t>negenenzestig</w:t>
      </w:r>
      <w:r w:rsidR="002817F1" w:rsidRPr="00C140A8">
        <w:rPr>
          <w:rFonts w:ascii="Georgia" w:hAnsi="Georgia" w:cs="Calibri"/>
          <w:sz w:val="22"/>
          <w:szCs w:val="22"/>
          <w:lang w:val="nl-NL"/>
        </w:rPr>
        <w:t xml:space="preserve"> posten die op het bodenverkeer betrekking hebben, staan er </w:t>
      </w:r>
      <w:r w:rsidR="00BE5431">
        <w:rPr>
          <w:rFonts w:ascii="Georgia" w:hAnsi="Georgia" w:cs="Calibri"/>
          <w:sz w:val="22"/>
          <w:szCs w:val="22"/>
          <w:lang w:val="nl-NL"/>
        </w:rPr>
        <w:t>achtentwintig</w:t>
      </w:r>
      <w:r w:rsidR="002817F1" w:rsidRPr="00C140A8">
        <w:rPr>
          <w:rFonts w:ascii="Georgia" w:hAnsi="Georgia" w:cs="Calibri"/>
          <w:sz w:val="22"/>
          <w:szCs w:val="22"/>
          <w:lang w:val="nl-NL"/>
        </w:rPr>
        <w:t xml:space="preserve"> op naam van Johanna, </w:t>
      </w:r>
      <w:r w:rsidR="00BE5431">
        <w:rPr>
          <w:rFonts w:ascii="Georgia" w:hAnsi="Georgia" w:cs="Calibri"/>
          <w:sz w:val="22"/>
          <w:szCs w:val="22"/>
          <w:lang w:val="nl-NL"/>
        </w:rPr>
        <w:t>vierendertig</w:t>
      </w:r>
      <w:r w:rsidR="002817F1" w:rsidRPr="00C140A8">
        <w:rPr>
          <w:rFonts w:ascii="Georgia" w:hAnsi="Georgia" w:cs="Calibri"/>
          <w:sz w:val="22"/>
          <w:szCs w:val="22"/>
          <w:lang w:val="nl-NL"/>
        </w:rPr>
        <w:t xml:space="preserve"> op naam van </w:t>
      </w:r>
      <w:proofErr w:type="spellStart"/>
      <w:r w:rsidR="002817F1" w:rsidRPr="00C140A8">
        <w:rPr>
          <w:rFonts w:ascii="Georgia" w:hAnsi="Georgia" w:cs="Calibri"/>
          <w:sz w:val="22"/>
          <w:szCs w:val="22"/>
          <w:lang w:val="nl-NL"/>
        </w:rPr>
        <w:t>Wenceslas</w:t>
      </w:r>
      <w:proofErr w:type="spellEnd"/>
      <w:r w:rsidR="002817F1" w:rsidRPr="00C140A8">
        <w:rPr>
          <w:rFonts w:ascii="Georgia" w:hAnsi="Georgia" w:cs="Calibri"/>
          <w:sz w:val="22"/>
          <w:szCs w:val="22"/>
          <w:lang w:val="nl-NL"/>
        </w:rPr>
        <w:t xml:space="preserve"> en </w:t>
      </w:r>
      <w:r w:rsidR="00BE5431">
        <w:rPr>
          <w:rFonts w:ascii="Georgia" w:hAnsi="Georgia" w:cs="Calibri"/>
          <w:sz w:val="22"/>
          <w:szCs w:val="22"/>
          <w:lang w:val="nl-NL"/>
        </w:rPr>
        <w:t>eenendertig</w:t>
      </w:r>
      <w:r w:rsidR="002817F1" w:rsidRPr="00C140A8">
        <w:rPr>
          <w:rFonts w:ascii="Georgia" w:hAnsi="Georgia" w:cs="Calibri"/>
          <w:sz w:val="22"/>
          <w:szCs w:val="22"/>
          <w:lang w:val="nl-NL"/>
        </w:rPr>
        <w:t xml:space="preserve"> betreffen </w:t>
      </w:r>
      <w:proofErr w:type="spellStart"/>
      <w:r w:rsidR="002817F1" w:rsidRPr="00C140A8">
        <w:rPr>
          <w:rFonts w:ascii="Georgia" w:hAnsi="Georgia" w:cs="Calibri"/>
          <w:sz w:val="22"/>
          <w:szCs w:val="22"/>
          <w:lang w:val="nl-NL"/>
        </w:rPr>
        <w:t>beheersuitgaven</w:t>
      </w:r>
      <w:proofErr w:type="spellEnd"/>
      <w:r w:rsidR="002817F1" w:rsidRPr="00C140A8">
        <w:rPr>
          <w:rFonts w:ascii="Georgia" w:hAnsi="Georgia" w:cs="Calibri"/>
          <w:sz w:val="22"/>
          <w:szCs w:val="22"/>
          <w:lang w:val="nl-NL"/>
        </w:rPr>
        <w:t>.</w:t>
      </w:r>
      <w:r w:rsidR="006F20DA" w:rsidRPr="00C140A8">
        <w:rPr>
          <w:rFonts w:ascii="Georgia" w:hAnsi="Georgia" w:cs="Calibri"/>
          <w:sz w:val="22"/>
          <w:szCs w:val="22"/>
          <w:lang w:val="nl-NL"/>
        </w:rPr>
        <w:t xml:space="preserve"> </w:t>
      </w:r>
      <w:r w:rsidR="002817F1" w:rsidRPr="00C140A8">
        <w:rPr>
          <w:rFonts w:ascii="Georgia" w:hAnsi="Georgia" w:cs="Calibri"/>
          <w:sz w:val="22"/>
          <w:szCs w:val="22"/>
          <w:lang w:val="nl-NL"/>
        </w:rPr>
        <w:t xml:space="preserve">Drie posten </w:t>
      </w:r>
      <w:r w:rsidR="00406E72" w:rsidRPr="00C140A8">
        <w:rPr>
          <w:rFonts w:ascii="Georgia" w:hAnsi="Georgia" w:cs="Calibri"/>
          <w:sz w:val="22"/>
          <w:szCs w:val="22"/>
          <w:lang w:val="nl-NL"/>
        </w:rPr>
        <w:t>zijn</w:t>
      </w:r>
      <w:r w:rsidR="002817F1" w:rsidRPr="00C140A8">
        <w:rPr>
          <w:rFonts w:ascii="Georgia" w:hAnsi="Georgia" w:cs="Calibri"/>
          <w:sz w:val="22"/>
          <w:szCs w:val="22"/>
          <w:lang w:val="nl-NL"/>
        </w:rPr>
        <w:t xml:space="preserve"> expliciet aan beiden gezamenlijk toegeschreven. Een groot deel van deze uitgaven heeft een routinematig of administratief karakter</w:t>
      </w:r>
      <w:r w:rsidR="00BE5431">
        <w:rPr>
          <w:rFonts w:ascii="Georgia" w:hAnsi="Georgia" w:cs="Calibri"/>
          <w:sz w:val="22"/>
          <w:szCs w:val="22"/>
          <w:lang w:val="nl-NL"/>
        </w:rPr>
        <w:t>. Het betreft c</w:t>
      </w:r>
      <w:r w:rsidR="002817F1" w:rsidRPr="00C140A8">
        <w:rPr>
          <w:rFonts w:ascii="Georgia" w:hAnsi="Georgia" w:cs="Calibri"/>
          <w:sz w:val="22"/>
          <w:szCs w:val="22"/>
          <w:lang w:val="nl-NL"/>
        </w:rPr>
        <w:t>ommunicatie binnen Brabant en Luxemburg, reiskosten voor het ophalen van paarden en goederen, contacten met kooplieden, personeel en familie, en meer lokale aangelegenheden.</w:t>
      </w:r>
      <w:r w:rsidR="002817F1" w:rsidRPr="00C140A8">
        <w:rPr>
          <w:rStyle w:val="FootnoteReference"/>
          <w:rFonts w:ascii="Georgia" w:hAnsi="Georgia" w:cs="Calibri"/>
          <w:sz w:val="22"/>
          <w:szCs w:val="22"/>
          <w:lang w:val="nl-NL"/>
        </w:rPr>
        <w:footnoteReference w:id="312"/>
      </w:r>
      <w:r w:rsidR="002817F1" w:rsidRPr="00C140A8">
        <w:rPr>
          <w:rFonts w:ascii="Georgia" w:hAnsi="Georgia" w:cs="Calibri"/>
          <w:sz w:val="22"/>
          <w:szCs w:val="22"/>
          <w:lang w:val="nl-NL"/>
        </w:rPr>
        <w:t xml:space="preserve"> </w:t>
      </w:r>
      <w:r w:rsidR="0035039F" w:rsidRPr="00C140A8">
        <w:rPr>
          <w:rFonts w:ascii="Georgia" w:hAnsi="Georgia" w:cs="Calibri"/>
          <w:sz w:val="22"/>
          <w:szCs w:val="22"/>
          <w:lang w:val="nl-NL"/>
        </w:rPr>
        <w:tab/>
      </w:r>
    </w:p>
    <w:p w14:paraId="3D834FE1" w14:textId="2EDB43CE" w:rsidR="00D32802" w:rsidRDefault="00773BE1" w:rsidP="00A83076">
      <w:pPr>
        <w:spacing w:before="240"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Wanneer de blik zich echter vernauwt tot het beheer van netwerken en relaties, ontstaat een ander beeld. </w:t>
      </w:r>
      <w:r w:rsidR="00E6460B" w:rsidRPr="00C140A8">
        <w:rPr>
          <w:rFonts w:ascii="Georgia" w:hAnsi="Georgia" w:cs="Calibri"/>
          <w:sz w:val="22"/>
          <w:szCs w:val="22"/>
          <w:lang w:val="nl-NL"/>
        </w:rPr>
        <w:t>4</w:t>
      </w:r>
      <w:r w:rsidR="00DF6AEC">
        <w:rPr>
          <w:rFonts w:ascii="Georgia" w:hAnsi="Georgia" w:cs="Calibri"/>
          <w:sz w:val="22"/>
          <w:szCs w:val="22"/>
          <w:lang w:val="nl-NL"/>
        </w:rPr>
        <w:t>2</w:t>
      </w:r>
      <w:r w:rsidRPr="00C140A8">
        <w:rPr>
          <w:rFonts w:ascii="Georgia" w:hAnsi="Georgia" w:cs="Calibri"/>
          <w:sz w:val="22"/>
          <w:szCs w:val="22"/>
          <w:lang w:val="nl-NL"/>
        </w:rPr>
        <w:t xml:space="preserve"> van de </w:t>
      </w:r>
      <w:r w:rsidR="00DD4115" w:rsidRPr="00C140A8">
        <w:rPr>
          <w:rFonts w:ascii="Georgia" w:hAnsi="Georgia" w:cs="Calibri"/>
          <w:sz w:val="22"/>
          <w:szCs w:val="22"/>
          <w:lang w:val="nl-NL"/>
        </w:rPr>
        <w:t>9</w:t>
      </w:r>
      <w:r w:rsidR="000615F8">
        <w:rPr>
          <w:rFonts w:ascii="Georgia" w:hAnsi="Georgia" w:cs="Calibri"/>
          <w:sz w:val="22"/>
          <w:szCs w:val="22"/>
          <w:lang w:val="nl-NL"/>
        </w:rPr>
        <w:t>6</w:t>
      </w:r>
      <w:r w:rsidRPr="00C140A8">
        <w:rPr>
          <w:rFonts w:ascii="Georgia" w:hAnsi="Georgia" w:cs="Calibri"/>
          <w:sz w:val="22"/>
          <w:szCs w:val="22"/>
          <w:lang w:val="nl-NL"/>
        </w:rPr>
        <w:t xml:space="preserve"> </w:t>
      </w:r>
      <w:r w:rsidR="00E6460B" w:rsidRPr="00C140A8">
        <w:rPr>
          <w:rFonts w:ascii="Georgia" w:hAnsi="Georgia" w:cs="Calibri"/>
          <w:sz w:val="22"/>
          <w:szCs w:val="22"/>
          <w:lang w:val="nl-NL"/>
        </w:rPr>
        <w:t xml:space="preserve">uitgaande </w:t>
      </w:r>
      <w:r w:rsidRPr="00C140A8">
        <w:rPr>
          <w:rFonts w:ascii="Georgia" w:hAnsi="Georgia" w:cs="Calibri"/>
          <w:sz w:val="22"/>
          <w:szCs w:val="22"/>
          <w:lang w:val="nl-NL"/>
        </w:rPr>
        <w:t>posten betreffen contact met vorsten en vorstinnen, steden, en bisschoppen of leden van de hoge adel binnen en buiten Brabant. Het gaat onder meer om felicitaties bij geboortes aan andere hoven zoals die van Anjou, Bourgondië, Armenië en Berry, om de uitwisseling van nieuws met Vlaanderen, Frankrijk, Namen, Henegouwen en Engeland, om het onderhouden van banden met de bisschoppen van Luik, Trier en Keulen, en om missies naar verder gelegen streken zoals Lombardije en Bohemen.</w:t>
      </w:r>
      <w:r w:rsidRPr="00C140A8">
        <w:rPr>
          <w:rStyle w:val="FootnoteReference"/>
          <w:rFonts w:ascii="Georgia" w:hAnsi="Georgia" w:cs="Calibri"/>
          <w:sz w:val="22"/>
          <w:szCs w:val="22"/>
          <w:lang w:val="nl-NL"/>
        </w:rPr>
        <w:footnoteReference w:id="313"/>
      </w:r>
      <w:r w:rsidRPr="00C140A8">
        <w:rPr>
          <w:rFonts w:ascii="Georgia" w:hAnsi="Georgia" w:cs="Calibri"/>
          <w:sz w:val="22"/>
          <w:szCs w:val="22"/>
          <w:lang w:val="nl-NL"/>
        </w:rPr>
        <w:t xml:space="preserve"> Binnen deze categorie staan </w:t>
      </w:r>
      <w:r w:rsidR="0098029F" w:rsidRPr="00C140A8">
        <w:rPr>
          <w:rFonts w:ascii="Georgia" w:hAnsi="Georgia" w:cs="Calibri"/>
          <w:sz w:val="22"/>
          <w:szCs w:val="22"/>
          <w:lang w:val="nl-NL"/>
        </w:rPr>
        <w:t>13</w:t>
      </w:r>
      <w:r w:rsidRPr="00C140A8">
        <w:rPr>
          <w:rFonts w:ascii="Georgia" w:hAnsi="Georgia" w:cs="Calibri"/>
          <w:sz w:val="22"/>
          <w:szCs w:val="22"/>
          <w:lang w:val="nl-NL"/>
        </w:rPr>
        <w:t xml:space="preserve"> posten op naam van Johanna, </w:t>
      </w:r>
      <w:r w:rsidR="0098029F" w:rsidRPr="00C140A8">
        <w:rPr>
          <w:rFonts w:ascii="Georgia" w:hAnsi="Georgia" w:cs="Calibri"/>
          <w:sz w:val="22"/>
          <w:szCs w:val="22"/>
          <w:lang w:val="nl-NL"/>
        </w:rPr>
        <w:t>12</w:t>
      </w:r>
      <w:r w:rsidRPr="00C140A8">
        <w:rPr>
          <w:rFonts w:ascii="Georgia" w:hAnsi="Georgia" w:cs="Calibri"/>
          <w:sz w:val="22"/>
          <w:szCs w:val="22"/>
          <w:lang w:val="nl-NL"/>
        </w:rPr>
        <w:t xml:space="preserve"> op die van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en </w:t>
      </w:r>
      <w:r w:rsidR="00E83EB1">
        <w:rPr>
          <w:rFonts w:ascii="Georgia" w:hAnsi="Georgia" w:cs="Calibri"/>
          <w:sz w:val="22"/>
          <w:szCs w:val="22"/>
          <w:lang w:val="nl-NL"/>
        </w:rPr>
        <w:t>2</w:t>
      </w:r>
      <w:r w:rsidRPr="00C140A8">
        <w:rPr>
          <w:rFonts w:ascii="Georgia" w:hAnsi="Georgia" w:cs="Calibri"/>
          <w:sz w:val="22"/>
          <w:szCs w:val="22"/>
          <w:lang w:val="nl-NL"/>
        </w:rPr>
        <w:t xml:space="preserve"> gezamenlijk</w:t>
      </w:r>
      <w:r w:rsidR="0098029F" w:rsidRPr="00C140A8">
        <w:rPr>
          <w:rFonts w:ascii="Georgia" w:hAnsi="Georgia" w:cs="Calibri"/>
          <w:sz w:val="22"/>
          <w:szCs w:val="22"/>
          <w:lang w:val="nl-NL"/>
        </w:rPr>
        <w:t xml:space="preserve">. </w:t>
      </w:r>
      <w:r w:rsidR="00347025" w:rsidRPr="00C140A8">
        <w:rPr>
          <w:rFonts w:ascii="Georgia" w:hAnsi="Georgia" w:cs="Calibri"/>
          <w:sz w:val="22"/>
          <w:szCs w:val="22"/>
          <w:lang w:val="nl-NL"/>
        </w:rPr>
        <w:t xml:space="preserve">De posten op naam van Johanna en op </w:t>
      </w:r>
      <w:proofErr w:type="spellStart"/>
      <w:r w:rsidR="00347025" w:rsidRPr="00C140A8">
        <w:rPr>
          <w:rFonts w:ascii="Georgia" w:hAnsi="Georgia" w:cs="Calibri"/>
          <w:sz w:val="22"/>
          <w:szCs w:val="22"/>
          <w:lang w:val="nl-NL"/>
        </w:rPr>
        <w:t>Wenceslas</w:t>
      </w:r>
      <w:proofErr w:type="spellEnd"/>
      <w:r w:rsidR="00347025" w:rsidRPr="00C140A8">
        <w:rPr>
          <w:rFonts w:ascii="Georgia" w:hAnsi="Georgia" w:cs="Calibri"/>
          <w:sz w:val="22"/>
          <w:szCs w:val="22"/>
          <w:lang w:val="nl-NL"/>
        </w:rPr>
        <w:t xml:space="preserve"> lijken </w:t>
      </w:r>
      <w:r w:rsidR="00D2583C" w:rsidRPr="00C140A8">
        <w:rPr>
          <w:rFonts w:ascii="Georgia" w:hAnsi="Georgia" w:cs="Calibri"/>
          <w:sz w:val="22"/>
          <w:szCs w:val="22"/>
          <w:lang w:val="nl-NL"/>
        </w:rPr>
        <w:t xml:space="preserve">in evenwicht te zijn, waarbij Johanna </w:t>
      </w:r>
      <w:r w:rsidR="00574CA7">
        <w:rPr>
          <w:rFonts w:ascii="Georgia" w:hAnsi="Georgia" w:cs="Calibri"/>
          <w:sz w:val="22"/>
          <w:szCs w:val="22"/>
          <w:lang w:val="nl-NL"/>
        </w:rPr>
        <w:t>een breed netwerk aan contacten</w:t>
      </w:r>
      <w:r w:rsidR="00D2583C" w:rsidRPr="00C140A8">
        <w:rPr>
          <w:rFonts w:ascii="Georgia" w:hAnsi="Georgia" w:cs="Calibri"/>
          <w:sz w:val="22"/>
          <w:szCs w:val="22"/>
          <w:lang w:val="nl-NL"/>
        </w:rPr>
        <w:t xml:space="preserve"> toont, iets wat de eerdere historiografie haar zelden toeschreef.</w:t>
      </w:r>
      <w:r w:rsidR="00347025" w:rsidRPr="00C140A8">
        <w:rPr>
          <w:rFonts w:ascii="Georgia" w:hAnsi="Georgia" w:cs="Calibri"/>
          <w:sz w:val="22"/>
          <w:szCs w:val="22"/>
          <w:lang w:val="nl-NL"/>
        </w:rPr>
        <w:t xml:space="preserve"> </w:t>
      </w:r>
      <w:r w:rsidR="001E7D69" w:rsidRPr="00C140A8">
        <w:rPr>
          <w:rFonts w:ascii="Georgia" w:hAnsi="Georgia"/>
          <w:sz w:val="22"/>
          <w:szCs w:val="22"/>
          <w:lang w:val="nl-NL"/>
        </w:rPr>
        <w:t xml:space="preserve">Tegelijk wijst de aard van de posten erop dat er een overlap bestaat in </w:t>
      </w:r>
      <w:r w:rsidR="001E7D69" w:rsidRPr="00C140A8">
        <w:rPr>
          <w:rFonts w:ascii="Georgia" w:hAnsi="Georgia"/>
          <w:sz w:val="22"/>
          <w:szCs w:val="22"/>
          <w:lang w:val="nl-NL"/>
        </w:rPr>
        <w:lastRenderedPageBreak/>
        <w:t>bestemmingen en aanspreekpunten. Ze opereerden als een koppel en onderhielden een gezamenlijk diplomatiek netwerk dat ten goede moest komen aan het hertogdom</w:t>
      </w:r>
      <w:r w:rsidR="009222DA" w:rsidRPr="00C140A8">
        <w:rPr>
          <w:rFonts w:ascii="Georgia" w:hAnsi="Georgia"/>
          <w:sz w:val="22"/>
          <w:szCs w:val="22"/>
          <w:lang w:val="nl-NL"/>
        </w:rPr>
        <w:t xml:space="preserve">. </w:t>
      </w:r>
      <w:r w:rsidR="00DB5549">
        <w:rPr>
          <w:rFonts w:ascii="Georgia" w:hAnsi="Georgia" w:cs="Calibri"/>
          <w:noProof/>
          <w:sz w:val="22"/>
          <w:szCs w:val="22"/>
          <w:lang w:val="nl-NL"/>
          <w14:ligatures w14:val="standardContextual"/>
        </w:rPr>
        <w:drawing>
          <wp:anchor distT="0" distB="0" distL="114300" distR="114300" simplePos="0" relativeHeight="251697663" behindDoc="0" locked="0" layoutInCell="1" allowOverlap="1" wp14:anchorId="01BF2BC2" wp14:editId="43D385F8">
            <wp:simplePos x="0" y="0"/>
            <wp:positionH relativeFrom="column">
              <wp:posOffset>0</wp:posOffset>
            </wp:positionH>
            <wp:positionV relativeFrom="paragraph">
              <wp:posOffset>3094990</wp:posOffset>
            </wp:positionV>
            <wp:extent cx="5731510" cy="1875790"/>
            <wp:effectExtent l="0" t="0" r="0" b="3810"/>
            <wp:wrapTopAndBottom/>
            <wp:docPr id="1186271162" name="Picture 15" descr="A white rectangular box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271162" name="Picture 15" descr="A white rectangular box with black text&#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1875790"/>
                    </a:xfrm>
                    <a:prstGeom prst="rect">
                      <a:avLst/>
                    </a:prstGeom>
                  </pic:spPr>
                </pic:pic>
              </a:graphicData>
            </a:graphic>
            <wp14:sizeRelH relativeFrom="page">
              <wp14:pctWidth>0</wp14:pctWidth>
            </wp14:sizeRelH>
            <wp14:sizeRelV relativeFrom="page">
              <wp14:pctHeight>0</wp14:pctHeight>
            </wp14:sizeRelV>
          </wp:anchor>
        </w:drawing>
      </w:r>
    </w:p>
    <w:p w14:paraId="03CEF3E9" w14:textId="2CC4FE38" w:rsidR="00CD7F2A" w:rsidRPr="00C140A8" w:rsidRDefault="00A83076" w:rsidP="00C140A8">
      <w:pPr>
        <w:spacing w:afterLines="80" w:after="192" w:line="360" w:lineRule="auto"/>
        <w:jc w:val="both"/>
        <w:rPr>
          <w:rFonts w:ascii="Georgia" w:hAnsi="Georgia" w:cs="Calibri"/>
          <w:sz w:val="22"/>
          <w:szCs w:val="22"/>
          <w:lang w:val="nl-NL"/>
        </w:rPr>
      </w:pPr>
      <w:r>
        <w:rPr>
          <w:noProof/>
        </w:rPr>
        <mc:AlternateContent>
          <mc:Choice Requires="wps">
            <w:drawing>
              <wp:anchor distT="0" distB="0" distL="114300" distR="114300" simplePos="0" relativeHeight="251729407" behindDoc="0" locked="0" layoutInCell="1" allowOverlap="1" wp14:anchorId="75B3A374" wp14:editId="61072AA9">
                <wp:simplePos x="0" y="0"/>
                <wp:positionH relativeFrom="column">
                  <wp:posOffset>35906</wp:posOffset>
                </wp:positionH>
                <wp:positionV relativeFrom="paragraph">
                  <wp:posOffset>4367530</wp:posOffset>
                </wp:positionV>
                <wp:extent cx="5731510" cy="457200"/>
                <wp:effectExtent l="0" t="0" r="0" b="0"/>
                <wp:wrapTopAndBottom/>
                <wp:docPr id="1442600895" name="Text Box 1"/>
                <wp:cNvGraphicFramePr/>
                <a:graphic xmlns:a="http://schemas.openxmlformats.org/drawingml/2006/main">
                  <a:graphicData uri="http://schemas.microsoft.com/office/word/2010/wordprocessingShape">
                    <wps:wsp>
                      <wps:cNvSpPr txBox="1"/>
                      <wps:spPr>
                        <a:xfrm>
                          <a:off x="0" y="0"/>
                          <a:ext cx="5731510" cy="457200"/>
                        </a:xfrm>
                        <a:prstGeom prst="rect">
                          <a:avLst/>
                        </a:prstGeom>
                        <a:solidFill>
                          <a:prstClr val="white"/>
                        </a:solidFill>
                        <a:ln>
                          <a:noFill/>
                        </a:ln>
                      </wps:spPr>
                      <wps:txbx>
                        <w:txbxContent>
                          <w:p w14:paraId="26C88834" w14:textId="6C4AD4C3" w:rsidR="00A83076" w:rsidRPr="00937E71" w:rsidRDefault="00A83076" w:rsidP="00A83076">
                            <w:pPr>
                              <w:pStyle w:val="Caption"/>
                              <w:rPr>
                                <w:rFonts w:ascii="Georgia" w:hAnsi="Georgia" w:cs="Calibri"/>
                                <w:sz w:val="22"/>
                                <w:szCs w:val="22"/>
                                <w:lang w:val="nl-NL"/>
                              </w:rPr>
                            </w:pPr>
                            <w:bookmarkStart w:id="198" w:name="_Toc231462065"/>
                            <w:r w:rsidRPr="00A83076">
                              <w:rPr>
                                <w:b/>
                                <w:bCs/>
                              </w:rPr>
                              <w:t xml:space="preserve">Tabel </w:t>
                            </w:r>
                            <w:r w:rsidRPr="00A83076">
                              <w:rPr>
                                <w:b/>
                                <w:bCs/>
                              </w:rPr>
                              <w:fldChar w:fldCharType="begin"/>
                            </w:r>
                            <w:r w:rsidRPr="00A83076">
                              <w:rPr>
                                <w:b/>
                                <w:bCs/>
                              </w:rPr>
                              <w:instrText xml:space="preserve"> SEQ Tabel \* ARABIC </w:instrText>
                            </w:r>
                            <w:r w:rsidRPr="00A83076">
                              <w:rPr>
                                <w:b/>
                                <w:bCs/>
                              </w:rPr>
                              <w:fldChar w:fldCharType="separate"/>
                            </w:r>
                            <w:r w:rsidR="00F83A3D">
                              <w:rPr>
                                <w:b/>
                                <w:bCs/>
                                <w:noProof/>
                              </w:rPr>
                              <w:t>4</w:t>
                            </w:r>
                            <w:r w:rsidRPr="00A83076">
                              <w:rPr>
                                <w:b/>
                                <w:bCs/>
                              </w:rPr>
                              <w:fldChar w:fldCharType="end"/>
                            </w:r>
                            <w:r w:rsidRPr="00A83076">
                              <w:rPr>
                                <w:b/>
                                <w:bCs/>
                              </w:rPr>
                              <w:t>:</w:t>
                            </w:r>
                            <w:r>
                              <w:t xml:space="preserve"> Aantal posten per persoon in de 'foreine partieen' van het uitgaande bodenverkeer met betrekking tot externe contacten (1376-1380)</w:t>
                            </w:r>
                            <w:bookmarkEnd w:id="19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5B3A374" id="_x0000_s1030" type="#_x0000_t202" style="position:absolute;left:0;text-align:left;margin-left:2.85pt;margin-top:343.9pt;width:451.3pt;height:36pt;z-index:25172940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" stroked="f">
                <v:textbox inset="0,0,0,0">
                  <w:txbxContent>
                    <w:p w14:paraId="26C88834" w14:textId="6C4AD4C3" w:rsidR="00A83076" w:rsidRPr="00937E71" w:rsidRDefault="00A83076" w:rsidP="00A83076">
                      <w:pPr>
                        <w:pStyle w:val="Caption"/>
                        <w:rPr>
                          <w:rFonts w:ascii="Georgia" w:hAnsi="Georgia" w:cs="Calibri"/>
                          <w:sz w:val="22"/>
                          <w:szCs w:val="22"/>
                          <w:lang w:val="nl-NL"/>
                        </w:rPr>
                      </w:pPr>
                      <w:bookmarkStart w:id="199" w:name="_Toc231462065"/>
                      <w:r w:rsidRPr="00A83076">
                        <w:rPr>
                          <w:b/>
                          <w:bCs/>
                        </w:rPr>
                        <w:t xml:space="preserve">Tabel </w:t>
                      </w:r>
                      <w:r w:rsidRPr="00A83076">
                        <w:rPr>
                          <w:b/>
                          <w:bCs/>
                        </w:rPr>
                        <w:fldChar w:fldCharType="begin"/>
                      </w:r>
                      <w:r w:rsidRPr="00A83076">
                        <w:rPr>
                          <w:b/>
                          <w:bCs/>
                        </w:rPr>
                        <w:instrText xml:space="preserve"> SEQ Tabel \* ARABIC </w:instrText>
                      </w:r>
                      <w:r w:rsidRPr="00A83076">
                        <w:rPr>
                          <w:b/>
                          <w:bCs/>
                        </w:rPr>
                        <w:fldChar w:fldCharType="separate"/>
                      </w:r>
                      <w:r w:rsidR="00F83A3D">
                        <w:rPr>
                          <w:b/>
                          <w:bCs/>
                          <w:noProof/>
                        </w:rPr>
                        <w:t>4</w:t>
                      </w:r>
                      <w:r w:rsidRPr="00A83076">
                        <w:rPr>
                          <w:b/>
                          <w:bCs/>
                        </w:rPr>
                        <w:fldChar w:fldCharType="end"/>
                      </w:r>
                      <w:r w:rsidRPr="00A83076">
                        <w:rPr>
                          <w:b/>
                          <w:bCs/>
                        </w:rPr>
                        <w:t>:</w:t>
                      </w:r>
                      <w:r>
                        <w:t xml:space="preserve"> Aantal posten per persoon in de 'foreine partieen' van het uitgaande bodenverkeer met betrekking tot externe contacten (1376-1380)</w:t>
                      </w:r>
                      <w:bookmarkEnd w:id="199"/>
                    </w:p>
                  </w:txbxContent>
                </v:textbox>
                <w10:wrap type="topAndBottom"/>
              </v:shape>
            </w:pict>
          </mc:Fallback>
        </mc:AlternateContent>
      </w:r>
      <w:r w:rsidR="00BC5E63" w:rsidRPr="00C140A8">
        <w:rPr>
          <w:rFonts w:ascii="Georgia" w:hAnsi="Georgia" w:cs="Calibri"/>
          <w:sz w:val="22"/>
          <w:szCs w:val="22"/>
          <w:lang w:val="nl-NL"/>
        </w:rPr>
        <w:t xml:space="preserve">Een tweede observatie betreft de personen die als boodschappers optraden. Zij vormden geen afgebakende groep, maar een categorie van mensen met zeer uiteenlopende statussen. Brieven en boodschappen werden toevertrouwd aan klerken, valkeniers, minstrelen, </w:t>
      </w:r>
      <w:r w:rsidR="0096047C" w:rsidRPr="00C140A8">
        <w:rPr>
          <w:rFonts w:ascii="Georgia" w:hAnsi="Georgia" w:cs="Calibri"/>
          <w:sz w:val="22"/>
          <w:szCs w:val="22"/>
          <w:lang w:val="nl-NL"/>
        </w:rPr>
        <w:t>geestelijken, knechten</w:t>
      </w:r>
      <w:r w:rsidR="00BC5E63" w:rsidRPr="00C140A8">
        <w:rPr>
          <w:rFonts w:ascii="Georgia" w:hAnsi="Georgia" w:cs="Calibri"/>
          <w:sz w:val="22"/>
          <w:szCs w:val="22"/>
          <w:lang w:val="nl-NL"/>
        </w:rPr>
        <w:t xml:space="preserve"> en kamerl</w:t>
      </w:r>
      <w:r w:rsidR="000C57EE">
        <w:rPr>
          <w:rFonts w:ascii="Georgia" w:hAnsi="Georgia" w:cs="Calibri"/>
          <w:sz w:val="22"/>
          <w:szCs w:val="22"/>
          <w:lang w:val="nl-NL"/>
        </w:rPr>
        <w:t>i</w:t>
      </w:r>
      <w:r w:rsidR="00BC5E63" w:rsidRPr="00C140A8">
        <w:rPr>
          <w:rFonts w:ascii="Georgia" w:hAnsi="Georgia" w:cs="Calibri"/>
          <w:sz w:val="22"/>
          <w:szCs w:val="22"/>
          <w:lang w:val="nl-NL"/>
        </w:rPr>
        <w:t>ngen.</w:t>
      </w:r>
      <w:r w:rsidR="00BC5E63" w:rsidRPr="00C140A8">
        <w:rPr>
          <w:rStyle w:val="FootnoteReference"/>
          <w:rFonts w:ascii="Georgia" w:hAnsi="Georgia" w:cs="Calibri"/>
          <w:sz w:val="22"/>
          <w:szCs w:val="22"/>
          <w:lang w:val="nl-NL"/>
        </w:rPr>
        <w:t xml:space="preserve"> </w:t>
      </w:r>
      <w:r w:rsidR="00BC5E63" w:rsidRPr="00C140A8">
        <w:rPr>
          <w:rStyle w:val="FootnoteReference"/>
          <w:rFonts w:ascii="Georgia" w:hAnsi="Georgia" w:cs="Calibri"/>
          <w:sz w:val="22"/>
          <w:szCs w:val="22"/>
          <w:lang w:val="nl-NL"/>
        </w:rPr>
        <w:footnoteReference w:id="314"/>
      </w:r>
      <w:r w:rsidR="00BC5E63" w:rsidRPr="00C140A8">
        <w:rPr>
          <w:rFonts w:ascii="Georgia" w:hAnsi="Georgia" w:cs="Calibri"/>
          <w:sz w:val="22"/>
          <w:szCs w:val="22"/>
          <w:lang w:val="nl-NL"/>
        </w:rPr>
        <w:t xml:space="preserve">  </w:t>
      </w:r>
      <w:r w:rsidR="00A06F33" w:rsidRPr="00A06F33">
        <w:rPr>
          <w:rFonts w:ascii="Georgia" w:hAnsi="Georgia" w:cs="Calibri"/>
          <w:sz w:val="22"/>
          <w:szCs w:val="22"/>
        </w:rPr>
        <w:t>Een routinematige boodschap binnen Brabant vertrouwde het hertogelijk paar toe aan een knecht of klerk, terwijl een ontmoeting met de graaf van Vlaanderen of een onderhandeling over een kerk in Luik een drager vroeg met voldoende status om in hun naam het woord te voeren</w:t>
      </w:r>
      <w:r w:rsidR="00BC5E63" w:rsidRPr="00A06F33">
        <w:rPr>
          <w:rFonts w:ascii="Georgia" w:hAnsi="Georgia" w:cs="Calibri"/>
          <w:sz w:val="22"/>
          <w:szCs w:val="22"/>
          <w:lang w:val="nl-NL"/>
        </w:rPr>
        <w:t>.</w:t>
      </w:r>
      <w:r w:rsidR="00BC5E63" w:rsidRPr="00C140A8">
        <w:rPr>
          <w:rStyle w:val="FootnoteReference"/>
          <w:rFonts w:ascii="Georgia" w:hAnsi="Georgia" w:cs="Calibri"/>
          <w:sz w:val="22"/>
          <w:szCs w:val="22"/>
          <w:lang w:val="nl-NL"/>
        </w:rPr>
        <w:t xml:space="preserve"> </w:t>
      </w:r>
      <w:r w:rsidR="00BC5E63" w:rsidRPr="00C140A8">
        <w:rPr>
          <w:rStyle w:val="FootnoteReference"/>
          <w:rFonts w:ascii="Georgia" w:hAnsi="Georgia" w:cs="Calibri"/>
          <w:sz w:val="22"/>
          <w:szCs w:val="22"/>
          <w:lang w:val="nl-NL"/>
        </w:rPr>
        <w:footnoteReference w:id="315"/>
      </w:r>
      <w:r w:rsidR="00BC5E63" w:rsidRPr="00C140A8">
        <w:rPr>
          <w:rFonts w:ascii="Georgia" w:hAnsi="Georgia" w:cs="Calibri"/>
          <w:sz w:val="22"/>
          <w:szCs w:val="22"/>
          <w:lang w:val="nl-NL"/>
        </w:rPr>
        <w:t xml:space="preserve"> Zo stuurt Johanna bijvoorbeeld de provinciaal van de Onze-Lieve-Vrouwebroeders (Karmelieten) </w:t>
      </w:r>
      <w:r w:rsidR="00375791" w:rsidRPr="00C140A8">
        <w:rPr>
          <w:rFonts w:ascii="Georgia" w:hAnsi="Georgia" w:cs="Calibri"/>
          <w:sz w:val="22"/>
          <w:szCs w:val="22"/>
          <w:lang w:val="nl-NL"/>
        </w:rPr>
        <w:t xml:space="preserve">naar </w:t>
      </w:r>
      <w:r w:rsidR="004026A3">
        <w:rPr>
          <w:rFonts w:ascii="Georgia" w:hAnsi="Georgia" w:cs="Calibri"/>
          <w:sz w:val="22"/>
          <w:szCs w:val="22"/>
          <w:lang w:val="nl-NL"/>
        </w:rPr>
        <w:t>G</w:t>
      </w:r>
      <w:r w:rsidR="00375791" w:rsidRPr="00C140A8">
        <w:rPr>
          <w:rFonts w:ascii="Georgia" w:hAnsi="Georgia" w:cs="Calibri"/>
          <w:sz w:val="22"/>
          <w:szCs w:val="22"/>
          <w:lang w:val="nl-NL"/>
        </w:rPr>
        <w:t>ent om met</w:t>
      </w:r>
      <w:r w:rsidR="00BC5E63" w:rsidRPr="00C140A8">
        <w:rPr>
          <w:rFonts w:ascii="Georgia" w:hAnsi="Georgia" w:cs="Calibri"/>
          <w:sz w:val="22"/>
          <w:szCs w:val="22"/>
          <w:lang w:val="nl-NL"/>
        </w:rPr>
        <w:t xml:space="preserve"> de </w:t>
      </w:r>
      <w:r w:rsidR="00375791" w:rsidRPr="00C140A8">
        <w:rPr>
          <w:rFonts w:ascii="Georgia" w:hAnsi="Georgia" w:cs="Calibri"/>
          <w:sz w:val="22"/>
          <w:szCs w:val="22"/>
          <w:lang w:val="nl-NL"/>
        </w:rPr>
        <w:t>Vlaamse graaf te spreken.</w:t>
      </w:r>
      <w:r w:rsidR="001E52D2" w:rsidRPr="00C140A8">
        <w:rPr>
          <w:rStyle w:val="FootnoteReference"/>
          <w:rFonts w:ascii="Georgia" w:hAnsi="Georgia" w:cs="Calibri"/>
          <w:sz w:val="22"/>
          <w:szCs w:val="22"/>
          <w:lang w:val="nl-NL"/>
        </w:rPr>
        <w:footnoteReference w:id="316"/>
      </w:r>
      <w:r w:rsidR="00375791" w:rsidRPr="00C140A8">
        <w:rPr>
          <w:rFonts w:ascii="Georgia" w:hAnsi="Georgia" w:cs="Calibri"/>
          <w:sz w:val="22"/>
          <w:szCs w:val="22"/>
          <w:lang w:val="nl-NL"/>
        </w:rPr>
        <w:t xml:space="preserve"> </w:t>
      </w:r>
      <w:r w:rsidR="000C57EE" w:rsidRPr="000C57EE">
        <w:rPr>
          <w:rFonts w:ascii="Georgia" w:hAnsi="Georgia" w:cs="Calibri"/>
          <w:sz w:val="22"/>
          <w:szCs w:val="22"/>
        </w:rPr>
        <w:t>Dezelfde provinciaal trok op 1 november 1379 opnieuw naar Brugge voor een onbekende opdracht</w:t>
      </w:r>
      <w:r w:rsidR="007F3A74" w:rsidRPr="00C140A8">
        <w:rPr>
          <w:rFonts w:ascii="Georgia" w:hAnsi="Georgia" w:cs="Calibri"/>
          <w:sz w:val="22"/>
          <w:szCs w:val="22"/>
          <w:lang w:val="nl-NL"/>
        </w:rPr>
        <w:t>.</w:t>
      </w:r>
      <w:r w:rsidR="00D87FE8" w:rsidRPr="00C140A8">
        <w:rPr>
          <w:rStyle w:val="FootnoteReference"/>
          <w:rFonts w:ascii="Georgia" w:hAnsi="Georgia" w:cs="Calibri"/>
          <w:sz w:val="22"/>
          <w:szCs w:val="22"/>
          <w:lang w:val="nl-NL"/>
        </w:rPr>
        <w:footnoteReference w:id="317"/>
      </w:r>
    </w:p>
    <w:p w14:paraId="252226A7" w14:textId="7A6CDC41" w:rsidR="00CD7F2A" w:rsidRPr="00C140A8" w:rsidRDefault="00CD7F2A"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Het bodenverkeer </w:t>
      </w:r>
      <w:r w:rsidR="0096047C">
        <w:rPr>
          <w:rFonts w:ascii="Georgia" w:hAnsi="Georgia" w:cs="Calibri"/>
          <w:sz w:val="22"/>
          <w:szCs w:val="22"/>
          <w:lang w:val="nl-NL"/>
        </w:rPr>
        <w:t>diende niet alleen voor de</w:t>
      </w:r>
      <w:r w:rsidRPr="00C140A8">
        <w:rPr>
          <w:rFonts w:ascii="Georgia" w:hAnsi="Georgia" w:cs="Calibri"/>
          <w:sz w:val="22"/>
          <w:szCs w:val="22"/>
          <w:lang w:val="nl-NL"/>
        </w:rPr>
        <w:t xml:space="preserve"> externe diplomatie, maar even goed voor de interne afstemming binnen het echtpaar. Wanneer een van beiden afwezig was, hielden zij elkaar via brieven op de hoogte van de gang van zaken. Johanna communiceerde op meerdere momenten vanuit haar verblijf in Tervuren of in Brussel met haar echtgenoot. Op 19 december stuurde zij bode </w:t>
      </w:r>
      <w:proofErr w:type="spellStart"/>
      <w:r w:rsidRPr="00C140A8">
        <w:rPr>
          <w:rFonts w:ascii="Georgia" w:hAnsi="Georgia" w:cs="Calibri"/>
          <w:sz w:val="22"/>
          <w:szCs w:val="22"/>
          <w:lang w:val="nl-NL"/>
        </w:rPr>
        <w:t>Buevelin</w:t>
      </w:r>
      <w:proofErr w:type="spellEnd"/>
      <w:r w:rsidRPr="00C140A8">
        <w:rPr>
          <w:rFonts w:ascii="Georgia" w:hAnsi="Georgia" w:cs="Calibri"/>
          <w:sz w:val="22"/>
          <w:szCs w:val="22"/>
          <w:lang w:val="nl-NL"/>
        </w:rPr>
        <w:t xml:space="preserve"> in haast naar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die op dat moment in Parijs verbleef, met een brief van haar hand.</w:t>
      </w:r>
      <w:r w:rsidRPr="00C140A8">
        <w:rPr>
          <w:rStyle w:val="FootnoteReference"/>
          <w:rFonts w:ascii="Georgia" w:hAnsi="Georgia" w:cs="Calibri"/>
          <w:sz w:val="22"/>
          <w:szCs w:val="22"/>
          <w:lang w:val="nl-NL"/>
        </w:rPr>
        <w:footnoteReference w:id="318"/>
      </w:r>
      <w:r w:rsidRPr="00C140A8">
        <w:rPr>
          <w:rFonts w:ascii="Georgia" w:hAnsi="Georgia" w:cs="Calibri"/>
          <w:sz w:val="22"/>
          <w:szCs w:val="22"/>
          <w:lang w:val="nl-NL"/>
        </w:rPr>
        <w:t xml:space="preserve"> In oktober van datzelfde jaar zond zij tweemaal een bode naar Luxemburg om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op de hoogte te brengen van het nieuws uit Brabant.</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319"/>
      </w:r>
      <w:r w:rsidRPr="00C140A8">
        <w:rPr>
          <w:rFonts w:ascii="Georgia" w:hAnsi="Georgia" w:cs="Calibri"/>
          <w:sz w:val="22"/>
          <w:szCs w:val="22"/>
          <w:lang w:val="nl-NL"/>
        </w:rPr>
        <w:t xml:space="preserve"> Hoewel de inhoud van die boodschappen verloren is gegaan, illustreren de posten de communicatie tussen de hertog en de hertogin. </w:t>
      </w:r>
    </w:p>
    <w:p w14:paraId="49E36388" w14:textId="73F6E553" w:rsidR="00294B8D" w:rsidRPr="00C140A8" w:rsidRDefault="00294B8D"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lastRenderedPageBreak/>
        <w:t xml:space="preserve">Het bodenverkeer wijst op </w:t>
      </w:r>
      <w:r w:rsidR="005004FC" w:rsidRPr="00C140A8">
        <w:rPr>
          <w:rFonts w:ascii="Georgia" w:hAnsi="Georgia" w:cs="Calibri"/>
          <w:sz w:val="22"/>
          <w:szCs w:val="22"/>
          <w:lang w:val="nl-NL"/>
        </w:rPr>
        <w:t xml:space="preserve">een notie van complementariteit </w:t>
      </w:r>
      <w:r w:rsidRPr="00C140A8">
        <w:rPr>
          <w:rFonts w:ascii="Georgia" w:hAnsi="Georgia" w:cs="Calibri"/>
          <w:sz w:val="22"/>
          <w:szCs w:val="22"/>
          <w:lang w:val="nl-NL"/>
        </w:rPr>
        <w:t xml:space="preserve">tussen de diplomatieke acties van Johanna 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Dit komt misschien wel het sterk</w:t>
      </w:r>
      <w:r w:rsidR="005004FC" w:rsidRPr="00C140A8">
        <w:rPr>
          <w:rFonts w:ascii="Georgia" w:hAnsi="Georgia" w:cs="Calibri"/>
          <w:sz w:val="22"/>
          <w:szCs w:val="22"/>
          <w:lang w:val="nl-NL"/>
        </w:rPr>
        <w:t>st</w:t>
      </w:r>
      <w:r w:rsidRPr="00C140A8">
        <w:rPr>
          <w:rFonts w:ascii="Georgia" w:hAnsi="Georgia" w:cs="Calibri"/>
          <w:sz w:val="22"/>
          <w:szCs w:val="22"/>
          <w:lang w:val="nl-NL"/>
        </w:rPr>
        <w:t xml:space="preserve"> naar voren met een brief die Richard II van Engeland laat afleveren in de zomer van 1380,</w:t>
      </w:r>
      <w:r w:rsidR="00225206" w:rsidRPr="00C140A8">
        <w:rPr>
          <w:rFonts w:ascii="Georgia" w:hAnsi="Georgia" w:cs="Calibri"/>
          <w:sz w:val="22"/>
          <w:szCs w:val="22"/>
          <w:lang w:val="nl-NL"/>
        </w:rPr>
        <w:t xml:space="preserve"> </w:t>
      </w:r>
      <w:r w:rsidRPr="00C140A8">
        <w:rPr>
          <w:rFonts w:ascii="Georgia" w:hAnsi="Georgia" w:cs="Calibri"/>
          <w:sz w:val="22"/>
          <w:szCs w:val="22"/>
          <w:lang w:val="nl-NL"/>
        </w:rPr>
        <w:t xml:space="preserve">want ook al schaarden Johanna 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zich in 1370 officieel achter een pact van neutraliteit aangaande het conflict tussen Engeland en Frankrijk</w:t>
      </w:r>
      <w:r w:rsidR="006E0227">
        <w:rPr>
          <w:rFonts w:ascii="Georgia" w:hAnsi="Georgia" w:cs="Calibri"/>
          <w:sz w:val="22"/>
          <w:szCs w:val="22"/>
          <w:lang w:val="nl-NL"/>
        </w:rPr>
        <w:t>,</w:t>
      </w:r>
      <w:r w:rsidRPr="00C140A8">
        <w:rPr>
          <w:rFonts w:ascii="Georgia" w:hAnsi="Georgia" w:cs="Calibri"/>
          <w:sz w:val="22"/>
          <w:szCs w:val="22"/>
          <w:lang w:val="nl-NL"/>
        </w:rPr>
        <w:t xml:space="preserve"> en ook al was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eerder Frans georiënteerd, toch onderhielden ze vriendschappelijke contacten met Engeland.</w:t>
      </w:r>
      <w:r w:rsidRPr="00C140A8">
        <w:rPr>
          <w:rStyle w:val="FootnoteReference"/>
          <w:rFonts w:ascii="Georgia" w:hAnsi="Georgia" w:cs="Calibri"/>
          <w:sz w:val="22"/>
          <w:szCs w:val="22"/>
          <w:lang w:val="nl-NL"/>
        </w:rPr>
        <w:footnoteReference w:id="320"/>
      </w:r>
      <w:r w:rsidRPr="00C140A8">
        <w:rPr>
          <w:rFonts w:ascii="Georgia" w:hAnsi="Georgia" w:cs="Calibri"/>
          <w:sz w:val="22"/>
          <w:szCs w:val="22"/>
          <w:lang w:val="nl-NL"/>
        </w:rPr>
        <w:t xml:space="preserve"> Op 16 juni stelde Richard II in zijn paleis te Westminster een brief op waarin hij om een vrijgeleide vroeg voor drie ambassadeurs die hij op missie naar Duitsland stuurde: Simon de </w:t>
      </w:r>
      <w:proofErr w:type="spellStart"/>
      <w:r w:rsidRPr="00C140A8">
        <w:rPr>
          <w:rFonts w:ascii="Georgia" w:hAnsi="Georgia" w:cs="Calibri"/>
          <w:sz w:val="22"/>
          <w:szCs w:val="22"/>
          <w:lang w:val="nl-NL"/>
        </w:rPr>
        <w:t>Burleigh</w:t>
      </w:r>
      <w:proofErr w:type="spellEnd"/>
      <w:r w:rsidRPr="00C140A8">
        <w:rPr>
          <w:rFonts w:ascii="Georgia" w:hAnsi="Georgia" w:cs="Calibri"/>
          <w:sz w:val="22"/>
          <w:szCs w:val="22"/>
          <w:lang w:val="nl-NL"/>
        </w:rPr>
        <w:t xml:space="preserve">, zijn kamerheer, Robert de </w:t>
      </w:r>
      <w:proofErr w:type="spellStart"/>
      <w:r w:rsidRPr="00C140A8">
        <w:rPr>
          <w:rFonts w:ascii="Georgia" w:hAnsi="Georgia" w:cs="Calibri"/>
          <w:sz w:val="22"/>
          <w:szCs w:val="22"/>
          <w:lang w:val="nl-NL"/>
        </w:rPr>
        <w:t>Braybrook</w:t>
      </w:r>
      <w:proofErr w:type="spellEnd"/>
      <w:r w:rsidRPr="00C140A8">
        <w:rPr>
          <w:rFonts w:ascii="Georgia" w:hAnsi="Georgia" w:cs="Calibri"/>
          <w:sz w:val="22"/>
          <w:szCs w:val="22"/>
          <w:lang w:val="nl-NL"/>
        </w:rPr>
        <w:t xml:space="preserve">, zijn secretaris,  en ridder Bernard van </w:t>
      </w:r>
      <w:proofErr w:type="spellStart"/>
      <w:r w:rsidRPr="00C140A8">
        <w:rPr>
          <w:rFonts w:ascii="Georgia" w:hAnsi="Georgia" w:cs="Calibri"/>
          <w:sz w:val="22"/>
          <w:szCs w:val="22"/>
          <w:lang w:val="nl-NL"/>
        </w:rPr>
        <w:t>Zecles</w:t>
      </w:r>
      <w:proofErr w:type="spellEnd"/>
      <w:r w:rsidRPr="00C140A8">
        <w:rPr>
          <w:rFonts w:ascii="Georgia" w:hAnsi="Georgia" w:cs="Calibri"/>
          <w:sz w:val="22"/>
          <w:szCs w:val="22"/>
          <w:lang w:val="nl-NL"/>
        </w:rPr>
        <w:t xml:space="preserve">. De brief was niet aan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gericht, maar aan Johanna. Dit schetst een treffend beeld </w:t>
      </w:r>
      <w:r w:rsidR="007923E2">
        <w:rPr>
          <w:rFonts w:ascii="Georgia" w:hAnsi="Georgia" w:cs="Calibri"/>
          <w:sz w:val="22"/>
          <w:szCs w:val="22"/>
          <w:lang w:val="nl-NL"/>
        </w:rPr>
        <w:t>van</w:t>
      </w:r>
      <w:r w:rsidRPr="00C140A8">
        <w:rPr>
          <w:rFonts w:ascii="Georgia" w:hAnsi="Georgia" w:cs="Calibri"/>
          <w:sz w:val="22"/>
          <w:szCs w:val="22"/>
          <w:lang w:val="nl-NL"/>
        </w:rPr>
        <w:t xml:space="preserve"> Johanna’s internationale positie. Een buitenlandse vorst die zich met een formeel verzoek tot het Brabantse hof wendde voor een aangelegenheid die het hele hertogdom aanging, beschouwde de hertogin als zijn aanspreekpunt. Dat dit geen toevallige keuze was</w:t>
      </w:r>
      <w:r w:rsidR="002918FB">
        <w:rPr>
          <w:rFonts w:ascii="Georgia" w:hAnsi="Georgia" w:cs="Calibri"/>
          <w:sz w:val="22"/>
          <w:szCs w:val="22"/>
          <w:lang w:val="nl-NL"/>
        </w:rPr>
        <w:t>,</w:t>
      </w:r>
      <w:r w:rsidRPr="00C140A8">
        <w:rPr>
          <w:rFonts w:ascii="Georgia" w:hAnsi="Georgia" w:cs="Calibri"/>
          <w:sz w:val="22"/>
          <w:szCs w:val="22"/>
          <w:lang w:val="nl-NL"/>
        </w:rPr>
        <w:t xml:space="preserve"> maar aansloot bij een bestaand patroon, blijkt uit de hertogelijke rekeningen zelf. Op 27 juli 1377 was </w:t>
      </w:r>
      <w:proofErr w:type="gramStart"/>
      <w:r w:rsidRPr="00C140A8">
        <w:rPr>
          <w:rFonts w:ascii="Georgia" w:hAnsi="Georgia" w:cs="Calibri"/>
          <w:sz w:val="22"/>
          <w:szCs w:val="22"/>
          <w:lang w:val="nl-NL"/>
        </w:rPr>
        <w:t>reeds</w:t>
      </w:r>
      <w:proofErr w:type="gramEnd"/>
      <w:r w:rsidRPr="00C140A8">
        <w:rPr>
          <w:rFonts w:ascii="Georgia" w:hAnsi="Georgia" w:cs="Calibri"/>
          <w:sz w:val="22"/>
          <w:szCs w:val="22"/>
          <w:lang w:val="nl-NL"/>
        </w:rPr>
        <w:t xml:space="preserve"> op bevel van Johanna een som geld uitgekeerd aan een bode die uit Engeland was gekomen, de betaling van een inkomende koerier die zij persoonlijk afhandelde.</w:t>
      </w:r>
      <w:r w:rsidRPr="00C140A8">
        <w:rPr>
          <w:rStyle w:val="FootnoteReference"/>
          <w:rFonts w:ascii="Georgia" w:hAnsi="Georgia" w:cs="Calibri"/>
          <w:sz w:val="22"/>
          <w:szCs w:val="22"/>
          <w:lang w:val="nl-NL"/>
        </w:rPr>
        <w:footnoteReference w:id="321"/>
      </w:r>
      <w:r w:rsidRPr="00C140A8">
        <w:rPr>
          <w:rFonts w:ascii="Georgia" w:hAnsi="Georgia" w:cs="Calibri"/>
          <w:sz w:val="22"/>
          <w:szCs w:val="22"/>
          <w:lang w:val="nl-NL"/>
        </w:rPr>
        <w:t xml:space="preserve"> Wat Johanna na ontvangst van Richards brief precies deed, vermelden de bronnen niet rechtstreeks, maar het resultaat is bewaard. In een ongedateerde oorkonde, opgenomen direct na Richards brief in het </w:t>
      </w:r>
      <w:proofErr w:type="spellStart"/>
      <w:r w:rsidRPr="007923E2">
        <w:rPr>
          <w:rFonts w:ascii="Georgia" w:hAnsi="Georgia" w:cs="Calibri"/>
          <w:i/>
          <w:iCs/>
          <w:sz w:val="22"/>
          <w:szCs w:val="22"/>
          <w:lang w:val="nl-NL"/>
        </w:rPr>
        <w:t>cartularium</w:t>
      </w:r>
      <w:proofErr w:type="spellEnd"/>
      <w:r w:rsidRPr="00C140A8">
        <w:rPr>
          <w:rFonts w:ascii="Georgia" w:hAnsi="Georgia" w:cs="Calibri"/>
          <w:sz w:val="22"/>
          <w:szCs w:val="22"/>
          <w:lang w:val="nl-NL"/>
        </w:rPr>
        <w:t xml:space="preserve"> en daarom waarschijnlijk in de dagen of weken erna opgesteld, beval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alle kasteleins, baljuws, schouten, rechters en onderdanen van zijn Staten om de Engelse ambassadeurs op hun heen- en terugreis door zijn gebieden alle hulp en bijstand te verlenen.</w:t>
      </w:r>
      <w:r w:rsidRPr="00C140A8">
        <w:rPr>
          <w:rStyle w:val="FootnoteReference"/>
          <w:rFonts w:ascii="Georgia" w:hAnsi="Georgia" w:cs="Calibri"/>
          <w:sz w:val="22"/>
          <w:szCs w:val="22"/>
          <w:lang w:val="nl-NL"/>
        </w:rPr>
        <w:footnoteReference w:id="322"/>
      </w:r>
      <w:r w:rsidRPr="00C140A8">
        <w:rPr>
          <w:rFonts w:ascii="Georgia" w:hAnsi="Georgia" w:cs="Calibri"/>
          <w:sz w:val="22"/>
          <w:szCs w:val="22"/>
          <w:lang w:val="nl-NL"/>
        </w:rPr>
        <w:t xml:space="preserve"> Het verzoek dat aan Johanna was gericht, </w:t>
      </w:r>
      <w:r w:rsidR="008816C9">
        <w:rPr>
          <w:rFonts w:ascii="Georgia" w:hAnsi="Georgia" w:cs="Calibri"/>
          <w:sz w:val="22"/>
          <w:szCs w:val="22"/>
          <w:lang w:val="nl-NL"/>
        </w:rPr>
        <w:t xml:space="preserve">voerde </w:t>
      </w:r>
      <w:proofErr w:type="spellStart"/>
      <w:r w:rsidR="008816C9">
        <w:rPr>
          <w:rFonts w:ascii="Georgia" w:hAnsi="Georgia" w:cs="Calibri"/>
          <w:sz w:val="22"/>
          <w:szCs w:val="22"/>
          <w:lang w:val="nl-NL"/>
        </w:rPr>
        <w:t>Wenceslas</w:t>
      </w:r>
      <w:proofErr w:type="spellEnd"/>
      <w:r w:rsidR="008816C9">
        <w:rPr>
          <w:rFonts w:ascii="Georgia" w:hAnsi="Georgia" w:cs="Calibri"/>
          <w:sz w:val="22"/>
          <w:szCs w:val="22"/>
          <w:lang w:val="nl-NL"/>
        </w:rPr>
        <w:t xml:space="preserve"> dus uit.</w:t>
      </w:r>
    </w:p>
    <w:p w14:paraId="5A10E98D" w14:textId="0162B7DF" w:rsidR="000C2ACF" w:rsidRPr="009D19ED" w:rsidRDefault="00D93827" w:rsidP="00C140A8">
      <w:pPr>
        <w:spacing w:afterLines="80" w:after="192" w:line="360" w:lineRule="auto"/>
        <w:jc w:val="both"/>
        <w:rPr>
          <w:rFonts w:ascii="Georgia" w:hAnsi="Georgia" w:cs="Calibri"/>
          <w:i/>
          <w:iCs/>
          <w:sz w:val="22"/>
          <w:szCs w:val="22"/>
          <w:lang w:val="en-GB"/>
        </w:rPr>
      </w:pPr>
      <w:r w:rsidRPr="00C140A8">
        <w:rPr>
          <w:rFonts w:ascii="Georgia" w:hAnsi="Georgia" w:cs="Calibri"/>
          <w:sz w:val="22"/>
          <w:szCs w:val="22"/>
          <w:lang w:val="nl-NL"/>
        </w:rPr>
        <w:t xml:space="preserve">Dit beeld is echter geen zwart-wittekening.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onderhield evengoed contacten met buitenlandse vorsten, en Johanna nam ook logistieke en militaire taken op zich binnen haar eigen machtsgebied. De oorlog met Luik in 1378 illustreert dit treffend. Vanuit Maastricht, het centrale punt van waaruit het hertogelijk paar de operaties coördineerde, stuurde Johanna mee de militaire logistiek aan. Op 16 november 1378 beval zij heer Jan </w:t>
      </w:r>
      <w:proofErr w:type="spellStart"/>
      <w:r w:rsidRPr="00C140A8">
        <w:rPr>
          <w:rFonts w:ascii="Georgia" w:hAnsi="Georgia" w:cs="Calibri"/>
          <w:sz w:val="22"/>
          <w:szCs w:val="22"/>
          <w:lang w:val="nl-NL"/>
        </w:rPr>
        <w:t>Galsint</w:t>
      </w:r>
      <w:proofErr w:type="spellEnd"/>
      <w:r w:rsidRPr="00C140A8">
        <w:rPr>
          <w:rFonts w:ascii="Georgia" w:hAnsi="Georgia" w:cs="Calibri"/>
          <w:sz w:val="22"/>
          <w:szCs w:val="22"/>
          <w:lang w:val="nl-NL"/>
        </w:rPr>
        <w:t xml:space="preserve"> om in naam van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richting Maastricht te rijden “</w:t>
      </w:r>
      <w:r w:rsidR="009D19ED">
        <w:rPr>
          <w:rFonts w:ascii="Georgia" w:hAnsi="Georgia" w:cs="Calibri"/>
          <w:sz w:val="22"/>
          <w:szCs w:val="22"/>
          <w:lang w:val="nl-NL"/>
        </w:rPr>
        <w:t xml:space="preserve">met </w:t>
      </w:r>
      <w:proofErr w:type="spellStart"/>
      <w:r w:rsidR="009D19ED">
        <w:rPr>
          <w:rFonts w:ascii="Georgia" w:hAnsi="Georgia" w:cs="Calibri"/>
          <w:i/>
          <w:iCs/>
          <w:sz w:val="22"/>
          <w:szCs w:val="22"/>
          <w:lang w:val="en-GB"/>
        </w:rPr>
        <w:t>b</w:t>
      </w:r>
      <w:r w:rsidR="009D19ED" w:rsidRPr="009D19ED">
        <w:rPr>
          <w:rFonts w:ascii="Georgia" w:hAnsi="Georgia" w:cs="Calibri"/>
          <w:i/>
          <w:iCs/>
          <w:sz w:val="22"/>
          <w:szCs w:val="22"/>
          <w:lang w:val="en-GB"/>
        </w:rPr>
        <w:t>anieren</w:t>
      </w:r>
      <w:proofErr w:type="spellEnd"/>
      <w:r w:rsidR="009D19ED" w:rsidRPr="009D19ED">
        <w:rPr>
          <w:rFonts w:ascii="Georgia" w:hAnsi="Georgia" w:cs="Calibri"/>
          <w:i/>
          <w:iCs/>
          <w:sz w:val="22"/>
          <w:szCs w:val="22"/>
          <w:lang w:val="en-GB"/>
        </w:rPr>
        <w:t xml:space="preserve"> </w:t>
      </w:r>
      <w:proofErr w:type="spellStart"/>
      <w:r w:rsidR="009D19ED" w:rsidRPr="009D19ED">
        <w:rPr>
          <w:rFonts w:ascii="Georgia" w:hAnsi="Georgia" w:cs="Calibri"/>
          <w:i/>
          <w:iCs/>
          <w:sz w:val="22"/>
          <w:szCs w:val="22"/>
          <w:lang w:val="en-GB"/>
        </w:rPr>
        <w:t>ende</w:t>
      </w:r>
      <w:proofErr w:type="spellEnd"/>
      <w:r w:rsidR="009D19ED" w:rsidRPr="009D19ED">
        <w:rPr>
          <w:rFonts w:ascii="Georgia" w:hAnsi="Georgia" w:cs="Calibri"/>
          <w:i/>
          <w:iCs/>
          <w:sz w:val="22"/>
          <w:szCs w:val="22"/>
          <w:lang w:val="en-GB"/>
        </w:rPr>
        <w:t xml:space="preserve"> met </w:t>
      </w:r>
      <w:proofErr w:type="spellStart"/>
      <w:r w:rsidR="009D19ED" w:rsidRPr="009D19ED">
        <w:rPr>
          <w:rFonts w:ascii="Georgia" w:hAnsi="Georgia" w:cs="Calibri"/>
          <w:i/>
          <w:iCs/>
          <w:sz w:val="22"/>
          <w:szCs w:val="22"/>
          <w:lang w:val="en-GB"/>
        </w:rPr>
        <w:t>pinchelen</w:t>
      </w:r>
      <w:proofErr w:type="spellEnd"/>
      <w:r w:rsidRPr="00C140A8">
        <w:rPr>
          <w:rFonts w:ascii="Georgia" w:hAnsi="Georgia" w:cs="Calibri"/>
          <w:sz w:val="22"/>
          <w:szCs w:val="22"/>
          <w:lang w:val="nl-NL"/>
        </w:rPr>
        <w:t>”</w:t>
      </w:r>
      <w:r w:rsidR="009D19ED">
        <w:rPr>
          <w:rFonts w:ascii="Georgia" w:hAnsi="Georgia" w:cs="Calibri"/>
          <w:sz w:val="22"/>
          <w:szCs w:val="22"/>
          <w:lang w:val="nl-NL"/>
        </w:rPr>
        <w:t>.</w:t>
      </w:r>
      <w:r w:rsidR="00B4772A" w:rsidRPr="00C140A8">
        <w:rPr>
          <w:rStyle w:val="FootnoteReference"/>
          <w:rFonts w:ascii="Georgia" w:hAnsi="Georgia" w:cs="Calibri"/>
          <w:sz w:val="22"/>
          <w:szCs w:val="22"/>
          <w:lang w:val="nl-NL"/>
        </w:rPr>
        <w:footnoteReference w:id="323"/>
      </w:r>
      <w:r w:rsidRPr="00C140A8">
        <w:rPr>
          <w:rFonts w:ascii="Georgia" w:hAnsi="Georgia" w:cs="Calibri"/>
          <w:sz w:val="22"/>
          <w:szCs w:val="22"/>
          <w:lang w:val="nl-NL"/>
        </w:rPr>
        <w:t xml:space="preserve"> Een week later trok zij zelf naar Maastricht om zich bij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te voegen en op 23 november 1378 gaf zij Guide de harnasmaker opdracht een wapenrusting te vervaardigen voor</w:t>
      </w:r>
      <w:r w:rsidR="004A45C0" w:rsidRPr="00C140A8">
        <w:rPr>
          <w:rFonts w:ascii="Georgia" w:hAnsi="Georgia" w:cs="Calibri"/>
          <w:sz w:val="22"/>
          <w:szCs w:val="22"/>
          <w:lang w:val="nl-NL"/>
        </w:rPr>
        <w:t xml:space="preserve"> ene</w:t>
      </w:r>
      <w:r w:rsidRPr="00C140A8">
        <w:rPr>
          <w:rFonts w:ascii="Georgia" w:hAnsi="Georgia" w:cs="Calibri"/>
          <w:sz w:val="22"/>
          <w:szCs w:val="22"/>
          <w:lang w:val="nl-NL"/>
        </w:rPr>
        <w:t xml:space="preserve"> </w:t>
      </w:r>
      <w:r w:rsidR="004A45C0" w:rsidRPr="00C140A8">
        <w:rPr>
          <w:rFonts w:ascii="Georgia" w:hAnsi="Georgia" w:cs="Calibri"/>
          <w:sz w:val="22"/>
          <w:szCs w:val="22"/>
          <w:lang w:val="nl-NL"/>
        </w:rPr>
        <w:t>‘</w:t>
      </w:r>
      <w:r w:rsidRPr="00C140A8">
        <w:rPr>
          <w:rFonts w:ascii="Georgia" w:hAnsi="Georgia" w:cs="Calibri"/>
          <w:sz w:val="22"/>
          <w:szCs w:val="22"/>
          <w:lang w:val="nl-NL"/>
        </w:rPr>
        <w:t>Jan Baptiste</w:t>
      </w:r>
      <w:r w:rsidR="004A45C0" w:rsidRPr="00C140A8">
        <w:rPr>
          <w:rFonts w:ascii="Georgia" w:hAnsi="Georgia" w:cs="Calibri"/>
          <w:sz w:val="22"/>
          <w:szCs w:val="22"/>
          <w:lang w:val="nl-NL"/>
        </w:rPr>
        <w:t>’</w:t>
      </w:r>
      <w:r w:rsidRPr="00C140A8">
        <w:rPr>
          <w:rFonts w:ascii="Georgia" w:hAnsi="Georgia" w:cs="Calibri"/>
          <w:sz w:val="22"/>
          <w:szCs w:val="22"/>
          <w:lang w:val="nl-NL"/>
        </w:rPr>
        <w:t xml:space="preserve">, die op zijn beurt naar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in Maastricht zou rijden.</w:t>
      </w:r>
      <w:r w:rsidRPr="00C140A8">
        <w:rPr>
          <w:rStyle w:val="FootnoteReference"/>
          <w:rFonts w:ascii="Georgia" w:hAnsi="Georgia" w:cs="Calibri"/>
          <w:sz w:val="22"/>
          <w:szCs w:val="22"/>
          <w:lang w:val="nl-NL"/>
        </w:rPr>
        <w:footnoteReference w:id="324"/>
      </w:r>
      <w:r w:rsidRPr="00C140A8">
        <w:rPr>
          <w:rFonts w:ascii="Georgia" w:hAnsi="Georgia" w:cs="Calibri"/>
          <w:sz w:val="22"/>
          <w:szCs w:val="22"/>
          <w:lang w:val="nl-NL"/>
        </w:rPr>
        <w:t xml:space="preserve"> Deze opeenvolging toont Johanna </w:t>
      </w:r>
      <w:r w:rsidRPr="00C140A8">
        <w:rPr>
          <w:rFonts w:ascii="Georgia" w:hAnsi="Georgia" w:cs="Calibri"/>
          <w:sz w:val="22"/>
          <w:szCs w:val="22"/>
          <w:lang w:val="nl-NL"/>
        </w:rPr>
        <w:lastRenderedPageBreak/>
        <w:t xml:space="preserve">niet als een passieve toeschouwer van de Brabantse oorlogen, maar als actief medebestuurder die in een militaire context bevelen gaf en mensen en materieel in beweging zette. </w:t>
      </w:r>
    </w:p>
    <w:p w14:paraId="31724848" w14:textId="0B56A9AC" w:rsidR="00791761" w:rsidRDefault="006027F8"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De rekeningen zelf bewaren de inhoud van Johanna's brieven niet. </w:t>
      </w:r>
      <w:r w:rsidR="002918FB">
        <w:rPr>
          <w:rFonts w:ascii="Georgia" w:hAnsi="Georgia" w:cs="Calibri"/>
          <w:sz w:val="22"/>
          <w:szCs w:val="22"/>
          <w:lang w:val="nl-NL"/>
        </w:rPr>
        <w:t>Maar dat</w:t>
      </w:r>
      <w:r w:rsidRPr="00C140A8">
        <w:rPr>
          <w:rFonts w:ascii="Georgia" w:hAnsi="Georgia" w:cs="Calibri"/>
          <w:sz w:val="22"/>
          <w:szCs w:val="22"/>
          <w:lang w:val="nl-NL"/>
        </w:rPr>
        <w:t xml:space="preserve"> die inhoud er diplomatiek toe deed, blijkt uit een bewaard gebleven brievencollectie, met name haar correspondentie met haar nicht, </w:t>
      </w:r>
      <w:proofErr w:type="spellStart"/>
      <w:r w:rsidRPr="00C140A8">
        <w:rPr>
          <w:rFonts w:ascii="Georgia" w:hAnsi="Georgia" w:cs="Calibri"/>
          <w:sz w:val="22"/>
          <w:szCs w:val="22"/>
          <w:lang w:val="nl-NL"/>
        </w:rPr>
        <w:t>Mechteld</w:t>
      </w:r>
      <w:proofErr w:type="spellEnd"/>
      <w:r w:rsidRPr="00C140A8">
        <w:rPr>
          <w:rFonts w:ascii="Georgia" w:hAnsi="Georgia" w:cs="Calibri"/>
          <w:sz w:val="22"/>
          <w:szCs w:val="22"/>
          <w:lang w:val="nl-NL"/>
        </w:rPr>
        <w:t xml:space="preserve"> van Gelre. </w:t>
      </w:r>
      <w:proofErr w:type="spellStart"/>
      <w:r w:rsidRPr="00C140A8">
        <w:rPr>
          <w:rFonts w:ascii="Georgia" w:hAnsi="Georgia" w:cs="Calibri"/>
          <w:sz w:val="22"/>
          <w:szCs w:val="22"/>
          <w:lang w:val="nl-NL"/>
        </w:rPr>
        <w:t>Mechteld</w:t>
      </w:r>
      <w:proofErr w:type="spellEnd"/>
      <w:r w:rsidRPr="00C140A8">
        <w:rPr>
          <w:rFonts w:ascii="Georgia" w:hAnsi="Georgia" w:cs="Calibri"/>
          <w:sz w:val="22"/>
          <w:szCs w:val="22"/>
          <w:lang w:val="nl-NL"/>
        </w:rPr>
        <w:t xml:space="preserve"> streed in deze periode met haar zus Maria en diens echtgenoot Willem om de opvolging in Gelre, een conflict</w:t>
      </w:r>
      <w:r w:rsidR="006A7F57">
        <w:rPr>
          <w:rFonts w:ascii="Georgia" w:hAnsi="Georgia" w:cs="Calibri"/>
          <w:sz w:val="22"/>
          <w:szCs w:val="22"/>
          <w:lang w:val="nl-NL"/>
        </w:rPr>
        <w:t xml:space="preserve"> dat in de volgende sectie nog aan bod komt</w:t>
      </w:r>
      <w:r w:rsidRPr="00C140A8">
        <w:rPr>
          <w:rFonts w:ascii="Georgia" w:hAnsi="Georgia" w:cs="Calibri"/>
          <w:sz w:val="22"/>
          <w:szCs w:val="22"/>
          <w:lang w:val="nl-NL"/>
        </w:rPr>
        <w:t xml:space="preserve">. </w:t>
      </w:r>
      <w:proofErr w:type="spellStart"/>
      <w:r w:rsidRPr="00C140A8">
        <w:rPr>
          <w:rFonts w:ascii="Georgia" w:hAnsi="Georgia" w:cs="Calibri"/>
          <w:sz w:val="22"/>
          <w:szCs w:val="22"/>
          <w:lang w:val="nl-NL"/>
        </w:rPr>
        <w:t>Temidden</w:t>
      </w:r>
      <w:proofErr w:type="spellEnd"/>
      <w:r w:rsidRPr="00C140A8">
        <w:rPr>
          <w:rFonts w:ascii="Georgia" w:hAnsi="Georgia" w:cs="Calibri"/>
          <w:sz w:val="22"/>
          <w:szCs w:val="22"/>
          <w:lang w:val="nl-NL"/>
        </w:rPr>
        <w:t xml:space="preserve"> van die successiestrijd uitte Johanna openlijk haar steun aan </w:t>
      </w:r>
      <w:proofErr w:type="spellStart"/>
      <w:r w:rsidRPr="00C140A8">
        <w:rPr>
          <w:rFonts w:ascii="Georgia" w:hAnsi="Georgia" w:cs="Calibri"/>
          <w:sz w:val="22"/>
          <w:szCs w:val="22"/>
          <w:lang w:val="nl-NL"/>
        </w:rPr>
        <w:t>Mechteld</w:t>
      </w:r>
      <w:proofErr w:type="spellEnd"/>
      <w:r w:rsidRPr="00C140A8">
        <w:rPr>
          <w:rFonts w:ascii="Georgia" w:hAnsi="Georgia" w:cs="Calibri"/>
          <w:sz w:val="22"/>
          <w:szCs w:val="22"/>
          <w:lang w:val="nl-NL"/>
        </w:rPr>
        <w:t xml:space="preserve">, en deed dat uitdrukkelijk in naam van haarzelf én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Zo schreef zij: </w:t>
      </w:r>
    </w:p>
    <w:p w14:paraId="1EC79CEE" w14:textId="0EDAC9A0" w:rsidR="00791761" w:rsidRPr="00903849" w:rsidRDefault="006027F8" w:rsidP="00903849">
      <w:pPr>
        <w:spacing w:afterLines="80" w:after="192" w:line="360" w:lineRule="auto"/>
        <w:ind w:left="426"/>
        <w:jc w:val="both"/>
        <w:rPr>
          <w:rFonts w:ascii="Georgia" w:hAnsi="Georgia" w:cs="Calibri"/>
          <w:sz w:val="20"/>
          <w:szCs w:val="20"/>
          <w:lang w:val="nl-NL"/>
        </w:rPr>
      </w:pPr>
      <w:r w:rsidRPr="00903849">
        <w:rPr>
          <w:rFonts w:ascii="Georgia" w:hAnsi="Georgia" w:cs="Calibri"/>
          <w:i/>
          <w:iCs/>
          <w:sz w:val="20"/>
          <w:szCs w:val="20"/>
          <w:lang w:val="nl-NL"/>
        </w:rPr>
        <w:t xml:space="preserve">Ende weet lieve </w:t>
      </w:r>
      <w:proofErr w:type="spellStart"/>
      <w:r w:rsidRPr="00903849">
        <w:rPr>
          <w:rFonts w:ascii="Georgia" w:hAnsi="Georgia" w:cs="Calibri"/>
          <w:i/>
          <w:iCs/>
          <w:sz w:val="20"/>
          <w:szCs w:val="20"/>
          <w:lang w:val="nl-NL"/>
        </w:rPr>
        <w:t>nichte</w:t>
      </w:r>
      <w:proofErr w:type="spellEnd"/>
      <w:r w:rsidRPr="00903849">
        <w:rPr>
          <w:rFonts w:ascii="Georgia" w:hAnsi="Georgia" w:cs="Calibri"/>
          <w:i/>
          <w:iCs/>
          <w:sz w:val="20"/>
          <w:szCs w:val="20"/>
          <w:lang w:val="nl-NL"/>
        </w:rPr>
        <w:t xml:space="preserve">, dat wij u in enigen </w:t>
      </w:r>
      <w:proofErr w:type="spellStart"/>
      <w:r w:rsidRPr="00903849">
        <w:rPr>
          <w:rFonts w:ascii="Georgia" w:hAnsi="Georgia" w:cs="Calibri"/>
          <w:i/>
          <w:iCs/>
          <w:sz w:val="20"/>
          <w:szCs w:val="20"/>
          <w:lang w:val="nl-NL"/>
        </w:rPr>
        <w:t>saken</w:t>
      </w:r>
      <w:proofErr w:type="spellEnd"/>
      <w:r w:rsidRPr="00903849">
        <w:rPr>
          <w:rFonts w:ascii="Georgia" w:hAnsi="Georgia" w:cs="Calibri"/>
          <w:i/>
          <w:iCs/>
          <w:sz w:val="20"/>
          <w:szCs w:val="20"/>
          <w:lang w:val="nl-NL"/>
        </w:rPr>
        <w:t xml:space="preserve"> helpen vorderen ende of lief </w:t>
      </w:r>
      <w:proofErr w:type="spellStart"/>
      <w:r w:rsidRPr="00903849">
        <w:rPr>
          <w:rFonts w:ascii="Georgia" w:hAnsi="Georgia" w:cs="Calibri"/>
          <w:i/>
          <w:iCs/>
          <w:sz w:val="20"/>
          <w:szCs w:val="20"/>
          <w:lang w:val="nl-NL"/>
        </w:rPr>
        <w:t>doin</w:t>
      </w:r>
      <w:proofErr w:type="spellEnd"/>
      <w:r w:rsidRPr="00903849">
        <w:rPr>
          <w:rFonts w:ascii="Georgia" w:hAnsi="Georgia" w:cs="Calibri"/>
          <w:i/>
          <w:iCs/>
          <w:sz w:val="20"/>
          <w:szCs w:val="20"/>
          <w:lang w:val="nl-NL"/>
        </w:rPr>
        <w:t xml:space="preserve"> </w:t>
      </w:r>
      <w:proofErr w:type="spellStart"/>
      <w:r w:rsidRPr="00903849">
        <w:rPr>
          <w:rFonts w:ascii="Georgia" w:hAnsi="Georgia" w:cs="Calibri"/>
          <w:i/>
          <w:iCs/>
          <w:sz w:val="20"/>
          <w:szCs w:val="20"/>
          <w:lang w:val="nl-NL"/>
        </w:rPr>
        <w:t>moichten</w:t>
      </w:r>
      <w:proofErr w:type="spellEnd"/>
      <w:r w:rsidRPr="00903849">
        <w:rPr>
          <w:rFonts w:ascii="Georgia" w:hAnsi="Georgia" w:cs="Calibri"/>
          <w:i/>
          <w:iCs/>
          <w:sz w:val="20"/>
          <w:szCs w:val="20"/>
          <w:lang w:val="nl-NL"/>
        </w:rPr>
        <w:t xml:space="preserve"> </w:t>
      </w:r>
      <w:proofErr w:type="spellStart"/>
      <w:r w:rsidRPr="00903849">
        <w:rPr>
          <w:rFonts w:ascii="Georgia" w:hAnsi="Georgia" w:cs="Calibri"/>
          <w:i/>
          <w:iCs/>
          <w:sz w:val="20"/>
          <w:szCs w:val="20"/>
          <w:lang w:val="nl-NL"/>
        </w:rPr>
        <w:t>dair</w:t>
      </w:r>
      <w:proofErr w:type="spellEnd"/>
      <w:r w:rsidRPr="00903849">
        <w:rPr>
          <w:rFonts w:ascii="Georgia" w:hAnsi="Georgia" w:cs="Calibri"/>
          <w:i/>
          <w:iCs/>
          <w:sz w:val="20"/>
          <w:szCs w:val="20"/>
          <w:lang w:val="nl-NL"/>
        </w:rPr>
        <w:t xml:space="preserve"> </w:t>
      </w:r>
      <w:proofErr w:type="spellStart"/>
      <w:r w:rsidRPr="00903849">
        <w:rPr>
          <w:rFonts w:ascii="Georgia" w:hAnsi="Georgia" w:cs="Calibri"/>
          <w:i/>
          <w:iCs/>
          <w:sz w:val="20"/>
          <w:szCs w:val="20"/>
          <w:lang w:val="nl-NL"/>
        </w:rPr>
        <w:t>sijn</w:t>
      </w:r>
      <w:proofErr w:type="spellEnd"/>
      <w:r w:rsidRPr="00903849">
        <w:rPr>
          <w:rFonts w:ascii="Georgia" w:hAnsi="Georgia" w:cs="Calibri"/>
          <w:i/>
          <w:iCs/>
          <w:sz w:val="20"/>
          <w:szCs w:val="20"/>
          <w:lang w:val="nl-NL"/>
        </w:rPr>
        <w:t xml:space="preserve"> wij </w:t>
      </w:r>
      <w:proofErr w:type="spellStart"/>
      <w:r w:rsidRPr="00903849">
        <w:rPr>
          <w:rFonts w:ascii="Georgia" w:hAnsi="Georgia" w:cs="Calibri"/>
          <w:i/>
          <w:iCs/>
          <w:sz w:val="20"/>
          <w:szCs w:val="20"/>
          <w:lang w:val="nl-NL"/>
        </w:rPr>
        <w:t>seker</w:t>
      </w:r>
      <w:proofErr w:type="spellEnd"/>
      <w:r w:rsidRPr="00903849">
        <w:rPr>
          <w:rFonts w:ascii="Georgia" w:hAnsi="Georgia" w:cs="Calibri"/>
          <w:i/>
          <w:iCs/>
          <w:sz w:val="20"/>
          <w:szCs w:val="20"/>
          <w:lang w:val="nl-NL"/>
        </w:rPr>
        <w:t xml:space="preserve"> al </w:t>
      </w:r>
      <w:proofErr w:type="spellStart"/>
      <w:r w:rsidRPr="00903849">
        <w:rPr>
          <w:rFonts w:ascii="Georgia" w:hAnsi="Georgia" w:cs="Calibri"/>
          <w:i/>
          <w:iCs/>
          <w:sz w:val="20"/>
          <w:szCs w:val="20"/>
          <w:lang w:val="nl-NL"/>
        </w:rPr>
        <w:t>bereet</w:t>
      </w:r>
      <w:proofErr w:type="spellEnd"/>
      <w:r w:rsidRPr="00903849">
        <w:rPr>
          <w:rFonts w:ascii="Georgia" w:hAnsi="Georgia" w:cs="Calibri"/>
          <w:i/>
          <w:iCs/>
          <w:sz w:val="20"/>
          <w:szCs w:val="20"/>
          <w:lang w:val="nl-NL"/>
        </w:rPr>
        <w:t xml:space="preserve"> toe na al </w:t>
      </w:r>
      <w:proofErr w:type="spellStart"/>
      <w:r w:rsidRPr="00903849">
        <w:rPr>
          <w:rFonts w:ascii="Georgia" w:hAnsi="Georgia" w:cs="Calibri"/>
          <w:i/>
          <w:iCs/>
          <w:sz w:val="20"/>
          <w:szCs w:val="20"/>
          <w:lang w:val="nl-NL"/>
        </w:rPr>
        <w:t>onser</w:t>
      </w:r>
      <w:proofErr w:type="spellEnd"/>
      <w:r w:rsidRPr="00903849">
        <w:rPr>
          <w:rFonts w:ascii="Georgia" w:hAnsi="Georgia" w:cs="Calibri"/>
          <w:i/>
          <w:iCs/>
          <w:sz w:val="20"/>
          <w:szCs w:val="20"/>
          <w:lang w:val="nl-NL"/>
        </w:rPr>
        <w:t xml:space="preserve"> macht ende niet ene wilt ons sparen in dien dat wij doen mogen</w:t>
      </w:r>
      <w:r w:rsidRPr="00903849">
        <w:rPr>
          <w:rFonts w:ascii="Georgia" w:hAnsi="Georgia" w:cs="Calibri"/>
          <w:sz w:val="20"/>
          <w:szCs w:val="20"/>
          <w:lang w:val="nl-NL"/>
        </w:rPr>
        <w:t>.</w:t>
      </w:r>
      <w:r w:rsidRPr="00903849">
        <w:rPr>
          <w:rStyle w:val="FootnoteReference"/>
          <w:rFonts w:ascii="Georgia" w:hAnsi="Georgia" w:cs="Calibri"/>
          <w:sz w:val="20"/>
          <w:szCs w:val="20"/>
          <w:lang w:val="nl-NL"/>
        </w:rPr>
        <w:footnoteReference w:id="325"/>
      </w:r>
      <w:r w:rsidRPr="00903849">
        <w:rPr>
          <w:rFonts w:ascii="Georgia" w:hAnsi="Georgia" w:cs="Calibri"/>
          <w:sz w:val="20"/>
          <w:szCs w:val="20"/>
          <w:lang w:val="nl-NL"/>
        </w:rPr>
        <w:t xml:space="preserve"> </w:t>
      </w:r>
    </w:p>
    <w:p w14:paraId="1C05FACA" w14:textId="20B8E860" w:rsidR="005A4D4C" w:rsidRPr="00C140A8" w:rsidRDefault="00EA5E19"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Johanna schreef </w:t>
      </w:r>
      <w:r w:rsidR="00622E08" w:rsidRPr="00C140A8">
        <w:rPr>
          <w:rFonts w:ascii="Georgia" w:hAnsi="Georgia" w:cs="Calibri"/>
          <w:sz w:val="22"/>
          <w:szCs w:val="22"/>
          <w:lang w:val="nl-NL"/>
        </w:rPr>
        <w:t>negen brieven aan haar nicht in de periode van de oorlog</w:t>
      </w:r>
      <w:r w:rsidR="00073037" w:rsidRPr="00C140A8">
        <w:rPr>
          <w:rFonts w:ascii="Georgia" w:hAnsi="Georgia" w:cs="Calibri"/>
          <w:sz w:val="22"/>
          <w:szCs w:val="22"/>
          <w:lang w:val="nl-NL"/>
        </w:rPr>
        <w:t>.</w:t>
      </w:r>
      <w:r w:rsidR="00032F0C" w:rsidRPr="00C140A8">
        <w:rPr>
          <w:rStyle w:val="FootnoteReference"/>
          <w:rFonts w:ascii="Georgia" w:hAnsi="Georgia" w:cs="Calibri"/>
          <w:sz w:val="22"/>
          <w:szCs w:val="22"/>
          <w:lang w:val="nl-NL"/>
        </w:rPr>
        <w:footnoteReference w:id="326"/>
      </w:r>
      <w:r w:rsidR="00073037" w:rsidRPr="00C140A8">
        <w:rPr>
          <w:rFonts w:ascii="Georgia" w:hAnsi="Georgia" w:cs="Calibri"/>
          <w:sz w:val="22"/>
          <w:szCs w:val="22"/>
          <w:lang w:val="nl-NL"/>
        </w:rPr>
        <w:t xml:space="preserve"> Verder is er ook één brief van </w:t>
      </w:r>
      <w:proofErr w:type="spellStart"/>
      <w:r w:rsidR="00073037" w:rsidRPr="00C140A8">
        <w:rPr>
          <w:rFonts w:ascii="Georgia" w:hAnsi="Georgia" w:cs="Calibri"/>
          <w:sz w:val="22"/>
          <w:szCs w:val="22"/>
          <w:lang w:val="nl-NL"/>
        </w:rPr>
        <w:t>Wenceslas</w:t>
      </w:r>
      <w:proofErr w:type="spellEnd"/>
      <w:r w:rsidR="00073037" w:rsidRPr="00C140A8">
        <w:rPr>
          <w:rFonts w:ascii="Georgia" w:hAnsi="Georgia" w:cs="Calibri"/>
          <w:sz w:val="22"/>
          <w:szCs w:val="22"/>
          <w:lang w:val="nl-NL"/>
        </w:rPr>
        <w:t xml:space="preserve"> aan </w:t>
      </w:r>
      <w:proofErr w:type="spellStart"/>
      <w:r w:rsidR="00073037" w:rsidRPr="00C140A8">
        <w:rPr>
          <w:rFonts w:ascii="Georgia" w:hAnsi="Georgia" w:cs="Calibri"/>
          <w:sz w:val="22"/>
          <w:szCs w:val="22"/>
          <w:lang w:val="nl-NL"/>
        </w:rPr>
        <w:t>Mechteld</w:t>
      </w:r>
      <w:proofErr w:type="spellEnd"/>
      <w:r w:rsidR="00073037" w:rsidRPr="00C140A8">
        <w:rPr>
          <w:rFonts w:ascii="Georgia" w:hAnsi="Georgia" w:cs="Calibri"/>
          <w:sz w:val="22"/>
          <w:szCs w:val="22"/>
          <w:lang w:val="nl-NL"/>
        </w:rPr>
        <w:t xml:space="preserve"> bewaard gebleven</w:t>
      </w:r>
      <w:r w:rsidR="00032F0C" w:rsidRPr="00C140A8">
        <w:rPr>
          <w:rFonts w:ascii="Georgia" w:hAnsi="Georgia" w:cs="Calibri"/>
          <w:sz w:val="22"/>
          <w:szCs w:val="22"/>
          <w:lang w:val="nl-NL"/>
        </w:rPr>
        <w:t>, wat maakt dat het koppel beiden correspondeerden en deze alliantie in stand hielden.</w:t>
      </w:r>
      <w:r w:rsidR="008623EE">
        <w:rPr>
          <w:rStyle w:val="FootnoteReference"/>
          <w:rFonts w:ascii="Georgia" w:hAnsi="Georgia" w:cs="Calibri"/>
          <w:sz w:val="22"/>
          <w:szCs w:val="22"/>
          <w:lang w:val="nl-NL"/>
        </w:rPr>
        <w:footnoteReference w:id="327"/>
      </w:r>
      <w:r w:rsidR="00032F0C" w:rsidRPr="00C140A8">
        <w:rPr>
          <w:rFonts w:ascii="Georgia" w:hAnsi="Georgia" w:cs="Calibri"/>
          <w:sz w:val="22"/>
          <w:szCs w:val="22"/>
          <w:lang w:val="nl-NL"/>
        </w:rPr>
        <w:t xml:space="preserve"> </w:t>
      </w:r>
    </w:p>
    <w:p w14:paraId="0587AB50" w14:textId="2CC7BA6D" w:rsidR="00D93827" w:rsidRPr="00C140A8" w:rsidRDefault="000C2ACF"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Het bodenverkeer laat zo een hertogin zien die niet enkel via persoonlijke aanwezigheid bestuurde, maar evenzeer via een eigen, druk onderhouden netwerk van correspondentie. Dat zij in de rekeningen frequent zelfstandig voorkomt als afzender en ontvanger van diplomatieke boodschappen, en bij vorsten als Richard II zelfs als eerste aanspreekpunt gold, bevestigt dat haar diplomatieke rol niet zomaar bijkomstig was, maar dat ze effectief iets te weeg kon leggen op het bestuur in dit opzicht. Tegelijk maken de bronnen duidelijk dat Johanna 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hun netwerken niet gescheiden bestuurden, maar als een koppel opereerden waarin elk een eigen aandeel had in een gedeeld politiek stelsel.</w:t>
      </w:r>
    </w:p>
    <w:p w14:paraId="037350E2" w14:textId="610B8BA0" w:rsidR="008011D0" w:rsidRPr="00C140A8" w:rsidRDefault="008A27E9" w:rsidP="00D83A0D">
      <w:pPr>
        <w:pStyle w:val="ThesisSubheading"/>
        <w:ind w:left="1134" w:hanging="1134"/>
      </w:pPr>
      <w:bookmarkStart w:id="200" w:name="_Toc231153784"/>
      <w:bookmarkStart w:id="201" w:name="_Toc231329853"/>
      <w:bookmarkStart w:id="202" w:name="_Toc231330460"/>
      <w:bookmarkStart w:id="203" w:name="_Toc231428054"/>
      <w:proofErr w:type="spellStart"/>
      <w:r w:rsidRPr="00D83A0D">
        <w:t>Geschenken</w:t>
      </w:r>
      <w:bookmarkEnd w:id="200"/>
      <w:bookmarkEnd w:id="201"/>
      <w:bookmarkEnd w:id="202"/>
      <w:bookmarkEnd w:id="203"/>
      <w:proofErr w:type="spellEnd"/>
    </w:p>
    <w:p w14:paraId="052EE585" w14:textId="707CBE22" w:rsidR="009135D9" w:rsidRDefault="00F26811" w:rsidP="00F26811">
      <w:pPr>
        <w:spacing w:afterLines="80" w:after="192" w:line="360" w:lineRule="auto"/>
        <w:jc w:val="both"/>
        <w:rPr>
          <w:rFonts w:ascii="Georgia" w:hAnsi="Georgia" w:cs="Calibri"/>
          <w:sz w:val="22"/>
          <w:szCs w:val="22"/>
          <w:lang w:val="nl-NL"/>
        </w:rPr>
      </w:pPr>
      <w:r w:rsidRPr="0045464A">
        <w:rPr>
          <w:rFonts w:ascii="Georgia" w:hAnsi="Georgia" w:cs="Calibri"/>
          <w:sz w:val="22"/>
          <w:szCs w:val="22"/>
        </w:rPr>
        <w:t>Guillebert de Lannoy, een prominente ridder die lid was van de Orde van het Gulden Vlies, schreef in zijn prinsenspiege</w:t>
      </w:r>
      <w:r w:rsidR="0045464A" w:rsidRPr="0045464A">
        <w:rPr>
          <w:rFonts w:ascii="Georgia" w:hAnsi="Georgia" w:cs="Calibri"/>
          <w:sz w:val="22"/>
          <w:szCs w:val="22"/>
        </w:rPr>
        <w:t>l</w:t>
      </w:r>
      <w:r>
        <w:rPr>
          <w:rFonts w:ascii="Georgia" w:hAnsi="Georgia" w:cs="Calibri"/>
          <w:i/>
          <w:iCs/>
          <w:sz w:val="22"/>
          <w:szCs w:val="22"/>
        </w:rPr>
        <w:t>:</w:t>
      </w:r>
      <w:r w:rsidR="006319A9">
        <w:rPr>
          <w:rFonts w:ascii="Georgia" w:hAnsi="Georgia" w:cs="Calibri"/>
          <w:sz w:val="22"/>
          <w:szCs w:val="22"/>
          <w:lang w:val="nl-NL"/>
        </w:rPr>
        <w:t xml:space="preserve"> </w:t>
      </w:r>
    </w:p>
    <w:p w14:paraId="5A52C178" w14:textId="5AF586D7" w:rsidR="009135D9" w:rsidRPr="00D83A0D" w:rsidRDefault="00CE7019" w:rsidP="009135D9">
      <w:pPr>
        <w:spacing w:afterLines="80" w:after="192" w:line="360" w:lineRule="auto"/>
        <w:ind w:left="426"/>
        <w:jc w:val="both"/>
        <w:rPr>
          <w:rFonts w:ascii="Georgia" w:hAnsi="Georgia" w:cs="Calibri"/>
          <w:i/>
          <w:iCs/>
          <w:sz w:val="20"/>
          <w:szCs w:val="20"/>
          <w:lang w:val="nl-NL"/>
        </w:rPr>
      </w:pPr>
      <w:r w:rsidRPr="00D83A0D">
        <w:rPr>
          <w:rFonts w:ascii="Georgia" w:hAnsi="Georgia" w:cs="Calibri"/>
          <w:i/>
          <w:iCs/>
          <w:sz w:val="20"/>
          <w:szCs w:val="20"/>
          <w:lang w:val="fr-FR"/>
        </w:rPr>
        <w:lastRenderedPageBreak/>
        <w:t xml:space="preserve">Largesse et </w:t>
      </w:r>
      <w:proofErr w:type="spellStart"/>
      <w:r w:rsidRPr="00D83A0D">
        <w:rPr>
          <w:rFonts w:ascii="Georgia" w:hAnsi="Georgia" w:cs="Calibri"/>
          <w:i/>
          <w:iCs/>
          <w:sz w:val="20"/>
          <w:szCs w:val="20"/>
          <w:lang w:val="fr-FR"/>
        </w:rPr>
        <w:t>liberalité</w:t>
      </w:r>
      <w:proofErr w:type="spellEnd"/>
      <w:r w:rsidRPr="00D83A0D">
        <w:rPr>
          <w:rFonts w:ascii="Georgia" w:hAnsi="Georgia" w:cs="Calibri"/>
          <w:i/>
          <w:iCs/>
          <w:sz w:val="20"/>
          <w:szCs w:val="20"/>
          <w:lang w:val="fr-FR"/>
        </w:rPr>
        <w:t xml:space="preserve"> sur toutes chose appartient aux </w:t>
      </w:r>
      <w:proofErr w:type="spellStart"/>
      <w:r w:rsidRPr="00D83A0D">
        <w:rPr>
          <w:rFonts w:ascii="Georgia" w:hAnsi="Georgia" w:cs="Calibri"/>
          <w:i/>
          <w:iCs/>
          <w:sz w:val="20"/>
          <w:szCs w:val="20"/>
          <w:lang w:val="fr-FR"/>
        </w:rPr>
        <w:t>princ</w:t>
      </w:r>
      <w:proofErr w:type="spellEnd"/>
      <w:r w:rsidRPr="00D83A0D">
        <w:rPr>
          <w:rFonts w:ascii="Georgia" w:hAnsi="Georgia" w:cs="Calibri"/>
          <w:i/>
          <w:iCs/>
          <w:sz w:val="20"/>
          <w:szCs w:val="20"/>
          <w:lang w:val="fr-FR"/>
        </w:rPr>
        <w:t xml:space="preserve"> es et </w:t>
      </w:r>
      <w:proofErr w:type="spellStart"/>
      <w:r w:rsidRPr="00D83A0D">
        <w:rPr>
          <w:rFonts w:ascii="Georgia" w:hAnsi="Georgia" w:cs="Calibri"/>
          <w:i/>
          <w:iCs/>
          <w:sz w:val="20"/>
          <w:szCs w:val="20"/>
          <w:lang w:val="fr-FR"/>
        </w:rPr>
        <w:t>grans</w:t>
      </w:r>
      <w:proofErr w:type="spellEnd"/>
      <w:r w:rsidRPr="00D83A0D">
        <w:rPr>
          <w:rFonts w:ascii="Georgia" w:hAnsi="Georgia" w:cs="Calibri"/>
          <w:i/>
          <w:iCs/>
          <w:sz w:val="20"/>
          <w:szCs w:val="20"/>
          <w:lang w:val="fr-FR"/>
        </w:rPr>
        <w:t xml:space="preserve"> seigneurs, car </w:t>
      </w:r>
      <w:proofErr w:type="spellStart"/>
      <w:r w:rsidRPr="00D83A0D">
        <w:rPr>
          <w:rFonts w:ascii="Georgia" w:hAnsi="Georgia" w:cs="Calibri"/>
          <w:i/>
          <w:iCs/>
          <w:sz w:val="20"/>
          <w:szCs w:val="20"/>
          <w:lang w:val="fr-FR"/>
        </w:rPr>
        <w:t>ilz</w:t>
      </w:r>
      <w:proofErr w:type="spellEnd"/>
      <w:r w:rsidRPr="00D83A0D">
        <w:rPr>
          <w:rFonts w:ascii="Georgia" w:hAnsi="Georgia" w:cs="Calibri"/>
          <w:i/>
          <w:iCs/>
          <w:sz w:val="20"/>
          <w:szCs w:val="20"/>
          <w:lang w:val="fr-FR"/>
        </w:rPr>
        <w:t xml:space="preserve"> en sont </w:t>
      </w:r>
      <w:proofErr w:type="spellStart"/>
      <w:r w:rsidRPr="00D83A0D">
        <w:rPr>
          <w:rFonts w:ascii="Georgia" w:hAnsi="Georgia" w:cs="Calibri"/>
          <w:i/>
          <w:iCs/>
          <w:sz w:val="20"/>
          <w:szCs w:val="20"/>
          <w:lang w:val="fr-FR"/>
        </w:rPr>
        <w:t>loés</w:t>
      </w:r>
      <w:proofErr w:type="spellEnd"/>
      <w:r w:rsidRPr="00D83A0D">
        <w:rPr>
          <w:rFonts w:ascii="Georgia" w:hAnsi="Georgia" w:cs="Calibri"/>
          <w:i/>
          <w:iCs/>
          <w:sz w:val="20"/>
          <w:szCs w:val="20"/>
          <w:lang w:val="fr-FR"/>
        </w:rPr>
        <w:t xml:space="preserve"> et amés, </w:t>
      </w:r>
      <w:proofErr w:type="spellStart"/>
      <w:r w:rsidRPr="00D83A0D">
        <w:rPr>
          <w:rFonts w:ascii="Georgia" w:hAnsi="Georgia" w:cs="Calibri"/>
          <w:i/>
          <w:iCs/>
          <w:sz w:val="20"/>
          <w:szCs w:val="20"/>
          <w:lang w:val="fr-FR"/>
        </w:rPr>
        <w:t>tesmoing</w:t>
      </w:r>
      <w:proofErr w:type="spellEnd"/>
      <w:r w:rsidRPr="00D83A0D">
        <w:rPr>
          <w:rFonts w:ascii="Georgia" w:hAnsi="Georgia" w:cs="Calibri"/>
          <w:i/>
          <w:iCs/>
          <w:sz w:val="20"/>
          <w:szCs w:val="20"/>
          <w:lang w:val="fr-FR"/>
        </w:rPr>
        <w:t xml:space="preserve"> </w:t>
      </w:r>
      <w:proofErr w:type="spellStart"/>
      <w:r w:rsidRPr="00D83A0D">
        <w:rPr>
          <w:rFonts w:ascii="Georgia" w:hAnsi="Georgia" w:cs="Calibri"/>
          <w:i/>
          <w:iCs/>
          <w:sz w:val="20"/>
          <w:szCs w:val="20"/>
          <w:lang w:val="fr-FR"/>
        </w:rPr>
        <w:t>Aristotle</w:t>
      </w:r>
      <w:proofErr w:type="spellEnd"/>
      <w:r w:rsidRPr="00D83A0D">
        <w:rPr>
          <w:rFonts w:ascii="Georgia" w:hAnsi="Georgia" w:cs="Calibri"/>
          <w:i/>
          <w:iCs/>
          <w:sz w:val="20"/>
          <w:szCs w:val="20"/>
          <w:lang w:val="fr-FR"/>
        </w:rPr>
        <w:t xml:space="preserve"> qui entre les </w:t>
      </w:r>
      <w:proofErr w:type="spellStart"/>
      <w:r w:rsidRPr="00D83A0D">
        <w:rPr>
          <w:rFonts w:ascii="Georgia" w:hAnsi="Georgia" w:cs="Calibri"/>
          <w:i/>
          <w:iCs/>
          <w:sz w:val="20"/>
          <w:szCs w:val="20"/>
          <w:lang w:val="fr-FR"/>
        </w:rPr>
        <w:t>enseig</w:t>
      </w:r>
      <w:proofErr w:type="spellEnd"/>
      <w:r w:rsidRPr="00D83A0D">
        <w:rPr>
          <w:rFonts w:ascii="Georgia" w:hAnsi="Georgia" w:cs="Calibri"/>
          <w:i/>
          <w:iCs/>
          <w:sz w:val="20"/>
          <w:szCs w:val="20"/>
          <w:lang w:val="fr-FR"/>
        </w:rPr>
        <w:t xml:space="preserve"> nem </w:t>
      </w:r>
      <w:proofErr w:type="spellStart"/>
      <w:r w:rsidRPr="00D83A0D">
        <w:rPr>
          <w:rFonts w:ascii="Georgia" w:hAnsi="Georgia" w:cs="Calibri"/>
          <w:i/>
          <w:iCs/>
          <w:sz w:val="20"/>
          <w:szCs w:val="20"/>
          <w:lang w:val="fr-FR"/>
        </w:rPr>
        <w:t>ens</w:t>
      </w:r>
      <w:proofErr w:type="spellEnd"/>
      <w:r w:rsidRPr="00D83A0D">
        <w:rPr>
          <w:rFonts w:ascii="Georgia" w:hAnsi="Georgia" w:cs="Calibri"/>
          <w:i/>
          <w:iCs/>
          <w:sz w:val="20"/>
          <w:szCs w:val="20"/>
          <w:lang w:val="fr-FR"/>
        </w:rPr>
        <w:t xml:space="preserve"> qu’il </w:t>
      </w:r>
      <w:proofErr w:type="spellStart"/>
      <w:r w:rsidRPr="00D83A0D">
        <w:rPr>
          <w:rFonts w:ascii="Georgia" w:hAnsi="Georgia" w:cs="Calibri"/>
          <w:i/>
          <w:iCs/>
          <w:sz w:val="20"/>
          <w:szCs w:val="20"/>
          <w:lang w:val="fr-FR"/>
        </w:rPr>
        <w:t>fist</w:t>
      </w:r>
      <w:proofErr w:type="spellEnd"/>
      <w:r w:rsidRPr="00D83A0D">
        <w:rPr>
          <w:rFonts w:ascii="Georgia" w:hAnsi="Georgia" w:cs="Calibri"/>
          <w:i/>
          <w:iCs/>
          <w:sz w:val="20"/>
          <w:szCs w:val="20"/>
          <w:lang w:val="fr-FR"/>
        </w:rPr>
        <w:t xml:space="preserve"> au </w:t>
      </w:r>
      <w:proofErr w:type="spellStart"/>
      <w:r w:rsidRPr="00D83A0D">
        <w:rPr>
          <w:rFonts w:ascii="Georgia" w:hAnsi="Georgia" w:cs="Calibri"/>
          <w:i/>
          <w:iCs/>
          <w:sz w:val="20"/>
          <w:szCs w:val="20"/>
          <w:lang w:val="fr-FR"/>
        </w:rPr>
        <w:t>roy</w:t>
      </w:r>
      <w:proofErr w:type="spellEnd"/>
      <w:r w:rsidRPr="00D83A0D">
        <w:rPr>
          <w:rFonts w:ascii="Georgia" w:hAnsi="Georgia" w:cs="Calibri"/>
          <w:i/>
          <w:iCs/>
          <w:sz w:val="20"/>
          <w:szCs w:val="20"/>
          <w:lang w:val="fr-FR"/>
        </w:rPr>
        <w:t xml:space="preserve"> Alexandre, </w:t>
      </w:r>
      <w:proofErr w:type="spellStart"/>
      <w:r w:rsidRPr="00D83A0D">
        <w:rPr>
          <w:rFonts w:ascii="Georgia" w:hAnsi="Georgia" w:cs="Calibri"/>
          <w:i/>
          <w:iCs/>
          <w:sz w:val="20"/>
          <w:szCs w:val="20"/>
          <w:lang w:val="fr-FR"/>
        </w:rPr>
        <w:t>luy</w:t>
      </w:r>
      <w:proofErr w:type="spellEnd"/>
      <w:r w:rsidRPr="00D83A0D">
        <w:rPr>
          <w:rFonts w:ascii="Georgia" w:hAnsi="Georgia" w:cs="Calibri"/>
          <w:i/>
          <w:iCs/>
          <w:sz w:val="20"/>
          <w:szCs w:val="20"/>
          <w:lang w:val="fr-FR"/>
        </w:rPr>
        <w:t xml:space="preserve"> </w:t>
      </w:r>
      <w:proofErr w:type="spellStart"/>
      <w:r w:rsidRPr="00D83A0D">
        <w:rPr>
          <w:rFonts w:ascii="Georgia" w:hAnsi="Georgia" w:cs="Calibri"/>
          <w:i/>
          <w:iCs/>
          <w:sz w:val="20"/>
          <w:szCs w:val="20"/>
          <w:lang w:val="fr-FR"/>
        </w:rPr>
        <w:t>remonstra</w:t>
      </w:r>
      <w:proofErr w:type="spellEnd"/>
      <w:r w:rsidRPr="00D83A0D">
        <w:rPr>
          <w:rFonts w:ascii="Georgia" w:hAnsi="Georgia" w:cs="Calibri"/>
          <w:i/>
          <w:iCs/>
          <w:sz w:val="20"/>
          <w:szCs w:val="20"/>
          <w:lang w:val="fr-FR"/>
        </w:rPr>
        <w:t xml:space="preserve"> qu’il n’est </w:t>
      </w:r>
      <w:proofErr w:type="spellStart"/>
      <w:r w:rsidRPr="00D83A0D">
        <w:rPr>
          <w:rFonts w:ascii="Georgia" w:hAnsi="Georgia" w:cs="Calibri"/>
          <w:i/>
          <w:iCs/>
          <w:sz w:val="20"/>
          <w:szCs w:val="20"/>
          <w:lang w:val="fr-FR"/>
        </w:rPr>
        <w:t>ja</w:t>
      </w:r>
      <w:proofErr w:type="spellEnd"/>
      <w:r w:rsidRPr="00D83A0D">
        <w:rPr>
          <w:rFonts w:ascii="Georgia" w:hAnsi="Georgia" w:cs="Calibri"/>
          <w:i/>
          <w:iCs/>
          <w:sz w:val="20"/>
          <w:szCs w:val="20"/>
          <w:lang w:val="fr-FR"/>
        </w:rPr>
        <w:t xml:space="preserve"> mestier de fort </w:t>
      </w:r>
      <w:proofErr w:type="spellStart"/>
      <w:r w:rsidRPr="00D83A0D">
        <w:rPr>
          <w:rFonts w:ascii="Georgia" w:hAnsi="Georgia" w:cs="Calibri"/>
          <w:i/>
          <w:iCs/>
          <w:sz w:val="20"/>
          <w:szCs w:val="20"/>
          <w:lang w:val="fr-FR"/>
        </w:rPr>
        <w:t>chastel</w:t>
      </w:r>
      <w:proofErr w:type="spellEnd"/>
      <w:r w:rsidRPr="00D83A0D">
        <w:rPr>
          <w:rFonts w:ascii="Georgia" w:hAnsi="Georgia" w:cs="Calibri"/>
          <w:i/>
          <w:iCs/>
          <w:sz w:val="20"/>
          <w:szCs w:val="20"/>
          <w:lang w:val="fr-FR"/>
        </w:rPr>
        <w:t xml:space="preserve"> a prince qui largement donne</w:t>
      </w:r>
      <w:r w:rsidR="009135D9" w:rsidRPr="00D83A0D">
        <w:rPr>
          <w:rFonts w:ascii="Georgia" w:hAnsi="Georgia" w:cs="Calibri"/>
          <w:i/>
          <w:iCs/>
          <w:sz w:val="20"/>
          <w:szCs w:val="20"/>
          <w:lang w:val="nl-NL"/>
        </w:rPr>
        <w:t>.</w:t>
      </w:r>
      <w:r w:rsidR="00385A95" w:rsidRPr="00D83A0D">
        <w:rPr>
          <w:rStyle w:val="FootnoteReference"/>
          <w:rFonts w:ascii="Georgia" w:hAnsi="Georgia" w:cs="Calibri"/>
          <w:i/>
          <w:iCs/>
          <w:sz w:val="20"/>
          <w:szCs w:val="20"/>
          <w:lang w:val="nl-NL"/>
        </w:rPr>
        <w:footnoteReference w:id="328"/>
      </w:r>
      <w:r w:rsidR="000F1B6B" w:rsidRPr="00D83A0D">
        <w:rPr>
          <w:rFonts w:ascii="Georgia" w:hAnsi="Georgia" w:cs="Calibri"/>
          <w:i/>
          <w:iCs/>
          <w:sz w:val="20"/>
          <w:szCs w:val="20"/>
          <w:lang w:val="nl-NL"/>
        </w:rPr>
        <w:t xml:space="preserve"> </w:t>
      </w:r>
    </w:p>
    <w:p w14:paraId="026233F7" w14:textId="6B63956B" w:rsidR="008559E7" w:rsidRPr="00C140A8" w:rsidRDefault="000F1B6B" w:rsidP="00F26811">
      <w:pPr>
        <w:spacing w:afterLines="80" w:after="192" w:line="360" w:lineRule="auto"/>
        <w:jc w:val="both"/>
        <w:rPr>
          <w:rFonts w:ascii="Georgia" w:hAnsi="Georgia" w:cs="Calibri"/>
          <w:sz w:val="22"/>
          <w:szCs w:val="22"/>
          <w:lang w:val="nl-NL"/>
        </w:rPr>
      </w:pPr>
      <w:r w:rsidRPr="00C140A8">
        <w:rPr>
          <w:rFonts w:ascii="Georgia" w:hAnsi="Georgia"/>
          <w:sz w:val="22"/>
          <w:szCs w:val="22"/>
          <w:lang w:val="nl-NL"/>
        </w:rPr>
        <w:t>Is die uitspraak ook toepasselijk voor een vorstin? Vrouwen creëerden net zoals mannen netwerken wier leden ze steunden via het strategisch geven van geschenken.</w:t>
      </w:r>
      <w:r w:rsidR="00EB6366" w:rsidRPr="00C140A8">
        <w:rPr>
          <w:rStyle w:val="FootnoteReference"/>
          <w:rFonts w:ascii="Georgia" w:hAnsi="Georgia"/>
          <w:sz w:val="22"/>
          <w:szCs w:val="22"/>
          <w:lang w:val="nl-NL"/>
        </w:rPr>
        <w:footnoteReference w:id="329"/>
      </w:r>
      <w:r w:rsidR="00174ABF" w:rsidRPr="00C140A8">
        <w:rPr>
          <w:rFonts w:ascii="Georgia" w:hAnsi="Georgia" w:cs="Calibri"/>
          <w:sz w:val="22"/>
          <w:szCs w:val="22"/>
          <w:lang w:val="nl-NL"/>
        </w:rPr>
        <w:t xml:space="preserve"> </w:t>
      </w:r>
      <w:r w:rsidR="008A27E9" w:rsidRPr="00C140A8">
        <w:rPr>
          <w:rFonts w:ascii="Georgia" w:hAnsi="Georgia" w:cs="Calibri"/>
          <w:sz w:val="22"/>
          <w:szCs w:val="22"/>
          <w:lang w:val="nl-NL"/>
        </w:rPr>
        <w:t xml:space="preserve">Binnen de antropologie is er intensief onderzoek gedaan naar de formules achter het geschenkgeven. Een van de belangrijkste bijdragen hierin is de opvatting van Marcel </w:t>
      </w:r>
      <w:proofErr w:type="spellStart"/>
      <w:r w:rsidR="008A27E9" w:rsidRPr="00C140A8">
        <w:rPr>
          <w:rFonts w:ascii="Georgia" w:hAnsi="Georgia" w:cs="Calibri"/>
          <w:sz w:val="22"/>
          <w:szCs w:val="22"/>
          <w:lang w:val="nl-NL"/>
        </w:rPr>
        <w:t>Mauss</w:t>
      </w:r>
      <w:proofErr w:type="spellEnd"/>
      <w:r w:rsidR="008A27E9" w:rsidRPr="00C140A8">
        <w:rPr>
          <w:rFonts w:ascii="Georgia" w:hAnsi="Georgia" w:cs="Calibri"/>
          <w:sz w:val="22"/>
          <w:szCs w:val="22"/>
          <w:lang w:val="nl-NL"/>
        </w:rPr>
        <w:t xml:space="preserve"> over wederkerigheid: </w:t>
      </w:r>
      <w:r w:rsidR="0028557E">
        <w:rPr>
          <w:rFonts w:ascii="Georgia" w:hAnsi="Georgia" w:cs="Calibri"/>
          <w:sz w:val="22"/>
          <w:szCs w:val="22"/>
          <w:lang w:val="nl-NL"/>
        </w:rPr>
        <w:t>“</w:t>
      </w:r>
      <w:r w:rsidR="008A27E9" w:rsidRPr="00C140A8">
        <w:rPr>
          <w:rFonts w:ascii="Georgia" w:hAnsi="Georgia" w:cs="Calibri"/>
          <w:sz w:val="22"/>
          <w:szCs w:val="22"/>
          <w:lang w:val="nl-NL"/>
        </w:rPr>
        <w:t>het geven, het verkrijgen en het reciproceren</w:t>
      </w:r>
      <w:r w:rsidR="0028557E">
        <w:rPr>
          <w:rFonts w:ascii="Georgia" w:hAnsi="Georgia" w:cs="Calibri"/>
          <w:sz w:val="22"/>
          <w:szCs w:val="22"/>
          <w:lang w:val="nl-NL"/>
        </w:rPr>
        <w:t>”</w:t>
      </w:r>
      <w:r w:rsidR="008A27E9" w:rsidRPr="00C140A8">
        <w:rPr>
          <w:rFonts w:ascii="Georgia" w:hAnsi="Georgia" w:cs="Calibri"/>
          <w:sz w:val="22"/>
          <w:szCs w:val="22"/>
          <w:lang w:val="nl-NL"/>
        </w:rPr>
        <w:t xml:space="preserve"> van een geschenk.</w:t>
      </w:r>
      <w:r w:rsidR="008A27E9" w:rsidRPr="00C140A8">
        <w:rPr>
          <w:rStyle w:val="FootnoteReference"/>
          <w:rFonts w:ascii="Georgia" w:hAnsi="Georgia" w:cs="Calibri"/>
          <w:sz w:val="22"/>
          <w:szCs w:val="22"/>
          <w:lang w:val="nl-NL"/>
        </w:rPr>
        <w:footnoteReference w:id="330"/>
      </w:r>
      <w:r w:rsidR="008A27E9" w:rsidRPr="00C140A8">
        <w:rPr>
          <w:rFonts w:ascii="Georgia" w:hAnsi="Georgia" w:cs="Calibri"/>
          <w:sz w:val="22"/>
          <w:szCs w:val="22"/>
          <w:lang w:val="nl-NL"/>
        </w:rPr>
        <w:t xml:space="preserve">  Het is een sociaal gegeven dat een maatschappij aan elkaar bindt: heersers en hun onderdanen, echtgenoten, geliefden, familie, vrienden, werkgevers, </w:t>
      </w:r>
      <w:proofErr w:type="spellStart"/>
      <w:r w:rsidR="008A27E9" w:rsidRPr="00C140A8">
        <w:rPr>
          <w:rFonts w:ascii="Georgia" w:hAnsi="Georgia" w:cs="Calibri"/>
          <w:sz w:val="22"/>
          <w:szCs w:val="22"/>
          <w:lang w:val="nl-NL"/>
        </w:rPr>
        <w:t>etc</w:t>
      </w:r>
      <w:r w:rsidR="008011D0" w:rsidRPr="00C140A8">
        <w:rPr>
          <w:rFonts w:ascii="Georgia" w:hAnsi="Georgia" w:cs="Calibri"/>
          <w:sz w:val="22"/>
          <w:szCs w:val="22"/>
          <w:lang w:val="nl-NL"/>
        </w:rPr>
        <w:t>et</w:t>
      </w:r>
      <w:r w:rsidR="008559E7" w:rsidRPr="00C140A8">
        <w:rPr>
          <w:rFonts w:ascii="Georgia" w:hAnsi="Georgia" w:cs="Calibri"/>
          <w:sz w:val="22"/>
          <w:szCs w:val="22"/>
          <w:lang w:val="nl-NL"/>
        </w:rPr>
        <w:t>era</w:t>
      </w:r>
      <w:proofErr w:type="spellEnd"/>
      <w:r w:rsidR="008A27E9" w:rsidRPr="00C140A8">
        <w:rPr>
          <w:rFonts w:ascii="Georgia" w:hAnsi="Georgia" w:cs="Calibri"/>
          <w:sz w:val="22"/>
          <w:szCs w:val="22"/>
          <w:lang w:val="nl-NL"/>
        </w:rPr>
        <w:t>.</w:t>
      </w:r>
      <w:r w:rsidR="00BF503C" w:rsidRPr="00C140A8">
        <w:rPr>
          <w:rStyle w:val="FootnoteReference"/>
          <w:rFonts w:ascii="Georgia" w:hAnsi="Georgia" w:cs="Calibri"/>
          <w:sz w:val="22"/>
          <w:szCs w:val="22"/>
          <w:lang w:val="nl-NL"/>
        </w:rPr>
        <w:footnoteReference w:id="331"/>
      </w:r>
      <w:r w:rsidR="008A27E9" w:rsidRPr="00C140A8">
        <w:rPr>
          <w:rFonts w:ascii="Georgia" w:hAnsi="Georgia" w:cs="Calibri"/>
          <w:sz w:val="22"/>
          <w:szCs w:val="22"/>
          <w:lang w:val="nl-NL"/>
        </w:rPr>
        <w:t xml:space="preserve"> </w:t>
      </w:r>
      <w:r w:rsidR="00B2660C" w:rsidRPr="002312F0">
        <w:rPr>
          <w:rFonts w:ascii="Georgia" w:hAnsi="Georgia" w:cs="Calibri"/>
          <w:sz w:val="22"/>
          <w:szCs w:val="22"/>
        </w:rPr>
        <w:t xml:space="preserve">Vorsten gaven geschenken als politieke wapens voor het smeden van allianties </w:t>
      </w:r>
      <w:r w:rsidR="008A27E9" w:rsidRPr="002312F0">
        <w:rPr>
          <w:rFonts w:ascii="Georgia" w:hAnsi="Georgia" w:cs="Calibri"/>
          <w:sz w:val="22"/>
          <w:szCs w:val="22"/>
          <w:lang w:val="nl-NL"/>
        </w:rPr>
        <w:t xml:space="preserve">en om zo diplomatieke banden te </w:t>
      </w:r>
      <w:r w:rsidR="008A27E9" w:rsidRPr="002312F0">
        <w:rPr>
          <w:rFonts w:ascii="Georgia" w:hAnsi="Georgia" w:cs="Calibri"/>
          <w:color w:val="000000" w:themeColor="text1"/>
          <w:sz w:val="22"/>
          <w:szCs w:val="22"/>
          <w:lang w:val="nl-NL"/>
        </w:rPr>
        <w:t>versterken</w:t>
      </w:r>
      <w:r w:rsidR="008A27E9" w:rsidRPr="00C140A8">
        <w:rPr>
          <w:rFonts w:ascii="Georgia" w:hAnsi="Georgia" w:cs="Calibri"/>
          <w:sz w:val="22"/>
          <w:szCs w:val="22"/>
          <w:lang w:val="nl-NL"/>
        </w:rPr>
        <w:t>.</w:t>
      </w:r>
      <w:r w:rsidR="00373E0E" w:rsidRPr="00C140A8">
        <w:rPr>
          <w:rFonts w:ascii="Georgia" w:hAnsi="Georgia" w:cs="Calibri"/>
          <w:sz w:val="22"/>
          <w:szCs w:val="22"/>
          <w:lang w:val="nl-NL"/>
        </w:rPr>
        <w:t xml:space="preserve"> </w:t>
      </w:r>
      <w:r w:rsidR="00972879" w:rsidRPr="00C140A8">
        <w:rPr>
          <w:rFonts w:ascii="Georgia" w:hAnsi="Georgia" w:cs="Calibri"/>
          <w:sz w:val="22"/>
          <w:szCs w:val="22"/>
          <w:lang w:val="nl-NL"/>
        </w:rPr>
        <w:t>Dit principe was</w:t>
      </w:r>
      <w:r w:rsidR="008559E7" w:rsidRPr="00C140A8">
        <w:rPr>
          <w:rFonts w:ascii="Georgia" w:hAnsi="Georgia" w:cs="Calibri"/>
          <w:sz w:val="22"/>
          <w:szCs w:val="22"/>
          <w:lang w:val="nl-NL"/>
        </w:rPr>
        <w:t xml:space="preserve">, zoals Brigitte </w:t>
      </w:r>
      <w:proofErr w:type="spellStart"/>
      <w:r w:rsidR="008559E7" w:rsidRPr="00C140A8">
        <w:rPr>
          <w:rFonts w:ascii="Georgia" w:hAnsi="Georgia" w:cs="Calibri"/>
          <w:sz w:val="22"/>
          <w:szCs w:val="22"/>
          <w:lang w:val="nl-NL"/>
        </w:rPr>
        <w:t>Buettner</w:t>
      </w:r>
      <w:proofErr w:type="spellEnd"/>
      <w:r w:rsidR="008559E7" w:rsidRPr="00C140A8">
        <w:rPr>
          <w:rFonts w:ascii="Georgia" w:hAnsi="Georgia" w:cs="Calibri"/>
          <w:sz w:val="22"/>
          <w:szCs w:val="22"/>
          <w:lang w:val="nl-NL"/>
        </w:rPr>
        <w:t xml:space="preserve"> stelt, verweven in de middeleeuwse mentaliteit.</w:t>
      </w:r>
      <w:r w:rsidR="008011D0" w:rsidRPr="00C140A8">
        <w:rPr>
          <w:rStyle w:val="FootnoteReference"/>
          <w:rFonts w:ascii="Georgia" w:hAnsi="Georgia" w:cs="Calibri"/>
          <w:sz w:val="22"/>
          <w:szCs w:val="22"/>
          <w:lang w:val="nl-NL"/>
        </w:rPr>
        <w:footnoteReference w:id="332"/>
      </w:r>
      <w:r w:rsidR="008011D0" w:rsidRPr="00C140A8">
        <w:rPr>
          <w:rFonts w:ascii="Georgia" w:hAnsi="Georgia" w:cs="Calibri"/>
          <w:sz w:val="22"/>
          <w:szCs w:val="22"/>
          <w:lang w:val="nl-NL"/>
        </w:rPr>
        <w:t xml:space="preserve"> </w:t>
      </w:r>
      <w:r w:rsidR="00972879" w:rsidRPr="00C140A8">
        <w:rPr>
          <w:rFonts w:ascii="Georgia" w:hAnsi="Georgia" w:cs="Calibri"/>
          <w:sz w:val="22"/>
          <w:szCs w:val="22"/>
          <w:lang w:val="nl-NL"/>
        </w:rPr>
        <w:t xml:space="preserve"> </w:t>
      </w:r>
      <w:r w:rsidR="008A27E9" w:rsidRPr="00C140A8">
        <w:rPr>
          <w:rFonts w:ascii="Georgia" w:hAnsi="Georgia" w:cs="Calibri"/>
          <w:sz w:val="22"/>
          <w:szCs w:val="22"/>
          <w:lang w:val="nl-NL"/>
        </w:rPr>
        <w:t xml:space="preserve">Je kon </w:t>
      </w:r>
      <w:r w:rsidR="008559E7" w:rsidRPr="00C140A8">
        <w:rPr>
          <w:rFonts w:ascii="Georgia" w:hAnsi="Georgia" w:cs="Calibri"/>
          <w:sz w:val="22"/>
          <w:szCs w:val="22"/>
          <w:lang w:val="nl-NL"/>
        </w:rPr>
        <w:t>het</w:t>
      </w:r>
      <w:r w:rsidR="008A27E9" w:rsidRPr="00C140A8">
        <w:rPr>
          <w:rFonts w:ascii="Georgia" w:hAnsi="Georgia" w:cs="Calibri"/>
          <w:sz w:val="22"/>
          <w:szCs w:val="22"/>
          <w:lang w:val="nl-NL"/>
        </w:rPr>
        <w:t xml:space="preserve"> niet wegdenken. </w:t>
      </w:r>
      <w:proofErr w:type="spellStart"/>
      <w:r w:rsidR="008A27E9" w:rsidRPr="00C140A8">
        <w:rPr>
          <w:rFonts w:ascii="Georgia" w:hAnsi="Georgia" w:cs="Calibri"/>
          <w:sz w:val="22"/>
          <w:szCs w:val="22"/>
          <w:lang w:val="nl-NL"/>
        </w:rPr>
        <w:t>Kettering</w:t>
      </w:r>
      <w:proofErr w:type="spellEnd"/>
      <w:r w:rsidR="008A27E9" w:rsidRPr="00C140A8">
        <w:rPr>
          <w:rFonts w:ascii="Georgia" w:hAnsi="Georgia" w:cs="Calibri"/>
          <w:sz w:val="22"/>
          <w:szCs w:val="22"/>
          <w:lang w:val="nl-NL"/>
        </w:rPr>
        <w:t xml:space="preserve"> nuanceert dit verde</w:t>
      </w:r>
      <w:r w:rsidR="002312F0">
        <w:rPr>
          <w:rFonts w:ascii="Georgia" w:hAnsi="Georgia" w:cs="Calibri"/>
          <w:sz w:val="22"/>
          <w:szCs w:val="22"/>
          <w:lang w:val="nl-NL"/>
        </w:rPr>
        <w:t>r. H</w:t>
      </w:r>
      <w:r w:rsidR="008A27E9" w:rsidRPr="00C140A8">
        <w:rPr>
          <w:rFonts w:ascii="Georgia" w:hAnsi="Georgia" w:cs="Calibri"/>
          <w:sz w:val="22"/>
          <w:szCs w:val="22"/>
          <w:lang w:val="nl-NL"/>
        </w:rPr>
        <w:t xml:space="preserve">et geven van geschenken was in essentie </w:t>
      </w:r>
      <w:proofErr w:type="spellStart"/>
      <w:r w:rsidR="008A27E9" w:rsidRPr="00C140A8">
        <w:rPr>
          <w:rFonts w:ascii="Georgia" w:hAnsi="Georgia" w:cs="Calibri"/>
          <w:sz w:val="22"/>
          <w:szCs w:val="22"/>
          <w:lang w:val="nl-NL"/>
        </w:rPr>
        <w:t>transactioneel</w:t>
      </w:r>
      <w:proofErr w:type="spellEnd"/>
      <w:r w:rsidR="008A27E9" w:rsidRPr="00C140A8">
        <w:rPr>
          <w:rFonts w:ascii="Georgia" w:hAnsi="Georgia" w:cs="Calibri"/>
          <w:sz w:val="22"/>
          <w:szCs w:val="22"/>
          <w:lang w:val="nl-NL"/>
        </w:rPr>
        <w:t>, gericht op het scheppen en onderhouden van persoonlijke banden.</w:t>
      </w:r>
      <w:r w:rsidR="002312F0" w:rsidRPr="002312F0">
        <w:rPr>
          <w:rStyle w:val="FootnoteReference"/>
          <w:rFonts w:ascii="Georgia" w:hAnsi="Georgia" w:cs="Calibri"/>
          <w:sz w:val="22"/>
          <w:szCs w:val="22"/>
          <w:lang w:val="nl-NL"/>
        </w:rPr>
        <w:t xml:space="preserve"> </w:t>
      </w:r>
      <w:r w:rsidR="002312F0" w:rsidRPr="00C140A8">
        <w:rPr>
          <w:rStyle w:val="FootnoteReference"/>
          <w:rFonts w:ascii="Georgia" w:hAnsi="Georgia" w:cs="Calibri"/>
          <w:sz w:val="22"/>
          <w:szCs w:val="22"/>
          <w:lang w:val="nl-NL"/>
        </w:rPr>
        <w:footnoteReference w:id="333"/>
      </w:r>
      <w:r w:rsidR="002312F0" w:rsidRPr="00C140A8">
        <w:rPr>
          <w:rFonts w:ascii="Georgia" w:hAnsi="Georgia" w:cs="Calibri"/>
          <w:sz w:val="22"/>
          <w:szCs w:val="22"/>
          <w:lang w:val="nl-NL"/>
        </w:rPr>
        <w:t xml:space="preserve"> </w:t>
      </w:r>
      <w:r w:rsidR="008A27E9" w:rsidRPr="00C140A8">
        <w:rPr>
          <w:rFonts w:ascii="Georgia" w:hAnsi="Georgia" w:cs="Calibri"/>
          <w:sz w:val="22"/>
          <w:szCs w:val="22"/>
          <w:lang w:val="nl-NL"/>
        </w:rPr>
        <w:t xml:space="preserve"> Hoewel er geen expliciete verplichting tot wederkerigheid bestond, werd die wederkerigheid wel verwacht. </w:t>
      </w:r>
      <w:proofErr w:type="spellStart"/>
      <w:r w:rsidR="008A27E9" w:rsidRPr="00C140A8">
        <w:rPr>
          <w:rFonts w:ascii="Georgia" w:hAnsi="Georgia" w:cs="Calibri"/>
          <w:sz w:val="22"/>
          <w:szCs w:val="22"/>
          <w:lang w:val="nl-NL"/>
        </w:rPr>
        <w:t>Kettering</w:t>
      </w:r>
      <w:proofErr w:type="spellEnd"/>
      <w:r w:rsidR="008A27E9" w:rsidRPr="00C140A8">
        <w:rPr>
          <w:rFonts w:ascii="Georgia" w:hAnsi="Georgia" w:cs="Calibri"/>
          <w:sz w:val="22"/>
          <w:szCs w:val="22"/>
          <w:lang w:val="nl-NL"/>
        </w:rPr>
        <w:t xml:space="preserve"> stelt dat geschenken eigenlijk een breder stelsel van patronage verhullen, waarbij materiële steun langs de ene kant een loyale dienst of vrijwillige hulp veronderstelden.</w:t>
      </w:r>
      <w:r w:rsidR="008A27E9" w:rsidRPr="00C140A8">
        <w:rPr>
          <w:rStyle w:val="FootnoteReference"/>
          <w:rFonts w:ascii="Georgia" w:hAnsi="Georgia" w:cs="Calibri"/>
          <w:sz w:val="22"/>
          <w:szCs w:val="22"/>
          <w:lang w:val="nl-NL"/>
        </w:rPr>
        <w:footnoteReference w:id="334"/>
      </w:r>
      <w:r w:rsidR="00B636FA" w:rsidRPr="00C140A8">
        <w:rPr>
          <w:rFonts w:ascii="Georgia" w:hAnsi="Georgia" w:cs="Calibri"/>
          <w:sz w:val="22"/>
          <w:szCs w:val="22"/>
          <w:lang w:val="nl-NL"/>
        </w:rPr>
        <w:t xml:space="preserve"> </w:t>
      </w:r>
    </w:p>
    <w:p w14:paraId="43CCFAB9" w14:textId="257F49B3" w:rsidR="00E521AD" w:rsidRPr="00C140A8" w:rsidRDefault="00B636FA"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Tegen de late middeleeuwen verschoof het gewicht binnen het geschenkenverkeer echter sterk. Waar voorheen de daad van het geven zelf centraal stond, ging onder invloed van de opkomende geld- en markteconomie de intrinsieke waarde van het geschenk steeds zwaarder doorwegen in het relatieverkeer.</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335"/>
      </w:r>
      <w:r w:rsidRPr="00C140A8">
        <w:rPr>
          <w:rFonts w:ascii="Georgia" w:hAnsi="Georgia" w:cs="Calibri"/>
          <w:sz w:val="22"/>
          <w:szCs w:val="22"/>
          <w:lang w:val="nl-NL"/>
        </w:rPr>
        <w:t xml:space="preserve"> </w:t>
      </w:r>
      <w:r w:rsidR="00A8237F" w:rsidRPr="00C140A8">
        <w:rPr>
          <w:rFonts w:ascii="Georgia" w:hAnsi="Georgia" w:cs="Calibri"/>
          <w:sz w:val="22"/>
          <w:szCs w:val="22"/>
          <w:lang w:val="nl-NL"/>
        </w:rPr>
        <w:t xml:space="preserve">Al deze elementen spelen een belangrijke rol in het onderzoek naar het netwerk dat Johanna via geschenken onderhield. </w:t>
      </w:r>
      <w:r w:rsidR="008A27E9" w:rsidRPr="00C140A8">
        <w:rPr>
          <w:rFonts w:ascii="Georgia" w:hAnsi="Georgia" w:cs="Calibri"/>
          <w:sz w:val="22"/>
          <w:szCs w:val="22"/>
          <w:lang w:val="nl-NL"/>
        </w:rPr>
        <w:t>De opvatting dat men met een geschenk trouwe dienst afkoopt, of in elk geval beloont, laat zien hoe belangrijk het geven van geschenken</w:t>
      </w:r>
      <w:r w:rsidR="00A8237F" w:rsidRPr="00C140A8">
        <w:rPr>
          <w:rFonts w:ascii="Georgia" w:hAnsi="Georgia" w:cs="Calibri"/>
          <w:sz w:val="22"/>
          <w:szCs w:val="22"/>
          <w:lang w:val="nl-NL"/>
        </w:rPr>
        <w:t xml:space="preserve"> bleef</w:t>
      </w:r>
      <w:r w:rsidR="008A27E9" w:rsidRPr="00C140A8">
        <w:rPr>
          <w:rFonts w:ascii="Georgia" w:hAnsi="Georgia" w:cs="Calibri"/>
          <w:sz w:val="22"/>
          <w:szCs w:val="22"/>
          <w:lang w:val="nl-NL"/>
        </w:rPr>
        <w:t xml:space="preserve"> </w:t>
      </w:r>
      <w:r w:rsidR="00A8237F" w:rsidRPr="00C140A8">
        <w:rPr>
          <w:rFonts w:ascii="Georgia" w:hAnsi="Georgia" w:cs="Calibri"/>
          <w:sz w:val="22"/>
          <w:szCs w:val="22"/>
          <w:lang w:val="nl-NL"/>
        </w:rPr>
        <w:t>binnen Johanna’s eigen</w:t>
      </w:r>
      <w:r w:rsidR="008A27E9" w:rsidRPr="00C140A8">
        <w:rPr>
          <w:rFonts w:ascii="Georgia" w:hAnsi="Georgia" w:cs="Calibri"/>
          <w:sz w:val="22"/>
          <w:szCs w:val="22"/>
          <w:lang w:val="nl-NL"/>
        </w:rPr>
        <w:t xml:space="preserve"> relaties en </w:t>
      </w:r>
      <w:r w:rsidR="00A8237F" w:rsidRPr="00C140A8">
        <w:rPr>
          <w:rFonts w:ascii="Georgia" w:hAnsi="Georgia" w:cs="Calibri"/>
          <w:sz w:val="22"/>
          <w:szCs w:val="22"/>
          <w:lang w:val="nl-NL"/>
        </w:rPr>
        <w:t>het</w:t>
      </w:r>
      <w:r w:rsidR="008A27E9" w:rsidRPr="00C140A8">
        <w:rPr>
          <w:rFonts w:ascii="Georgia" w:hAnsi="Georgia" w:cs="Calibri"/>
          <w:sz w:val="22"/>
          <w:szCs w:val="22"/>
          <w:lang w:val="nl-NL"/>
        </w:rPr>
        <w:t xml:space="preserve"> beleid dat </w:t>
      </w:r>
      <w:r w:rsidR="00A8237F" w:rsidRPr="00C140A8">
        <w:rPr>
          <w:rFonts w:ascii="Georgia" w:hAnsi="Georgia" w:cs="Calibri"/>
          <w:sz w:val="22"/>
          <w:szCs w:val="22"/>
          <w:lang w:val="nl-NL"/>
        </w:rPr>
        <w:t xml:space="preserve">zich daarop </w:t>
      </w:r>
      <w:r w:rsidR="0028557E">
        <w:rPr>
          <w:rFonts w:ascii="Georgia" w:hAnsi="Georgia" w:cs="Calibri"/>
          <w:sz w:val="22"/>
          <w:szCs w:val="22"/>
          <w:lang w:val="nl-NL"/>
        </w:rPr>
        <w:t>ba</w:t>
      </w:r>
      <w:r w:rsidR="00A8237F" w:rsidRPr="00C140A8">
        <w:rPr>
          <w:rFonts w:ascii="Georgia" w:hAnsi="Georgia" w:cs="Calibri"/>
          <w:sz w:val="22"/>
          <w:szCs w:val="22"/>
          <w:lang w:val="nl-NL"/>
        </w:rPr>
        <w:t>seerde.</w:t>
      </w:r>
    </w:p>
    <w:p w14:paraId="470D854A" w14:textId="5A90CBDA" w:rsidR="005A4487" w:rsidRPr="00434783" w:rsidRDefault="002E16DD" w:rsidP="00E521AD">
      <w:pPr>
        <w:spacing w:before="240"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Wanneer men de rekeningen op geschenken doorzoekt, springt Johanna er opvallend uit. Van de </w:t>
      </w:r>
      <w:r w:rsidR="002312F0">
        <w:rPr>
          <w:rFonts w:ascii="Georgia" w:hAnsi="Georgia" w:cs="Calibri"/>
          <w:sz w:val="22"/>
          <w:szCs w:val="22"/>
          <w:lang w:val="nl-NL"/>
        </w:rPr>
        <w:t>eenenzestig</w:t>
      </w:r>
      <w:r w:rsidRPr="00C140A8">
        <w:rPr>
          <w:rFonts w:ascii="Georgia" w:hAnsi="Georgia" w:cs="Calibri"/>
          <w:sz w:val="22"/>
          <w:szCs w:val="22"/>
          <w:lang w:val="nl-NL"/>
        </w:rPr>
        <w:t xml:space="preserve"> geregistreerde inkomende geschenken tussen 1376 en 1380 waren er </w:t>
      </w:r>
      <w:r w:rsidR="002312F0">
        <w:rPr>
          <w:rFonts w:ascii="Georgia" w:hAnsi="Georgia" w:cs="Calibri"/>
          <w:sz w:val="22"/>
          <w:szCs w:val="22"/>
          <w:lang w:val="nl-NL"/>
        </w:rPr>
        <w:t>drieënveertig</w:t>
      </w:r>
      <w:r w:rsidRPr="00C140A8">
        <w:rPr>
          <w:rFonts w:ascii="Georgia" w:hAnsi="Georgia" w:cs="Calibri"/>
          <w:sz w:val="22"/>
          <w:szCs w:val="22"/>
          <w:lang w:val="nl-NL"/>
        </w:rPr>
        <w:t xml:space="preserve"> voor haar bestemd, tegenover slechts </w:t>
      </w:r>
      <w:r w:rsidR="002312F0">
        <w:rPr>
          <w:rFonts w:ascii="Georgia" w:hAnsi="Georgia" w:cs="Calibri"/>
          <w:sz w:val="22"/>
          <w:szCs w:val="22"/>
          <w:lang w:val="nl-NL"/>
        </w:rPr>
        <w:t>acht</w:t>
      </w:r>
      <w:r w:rsidRPr="00C140A8">
        <w:rPr>
          <w:rFonts w:ascii="Georgia" w:hAnsi="Georgia" w:cs="Calibri"/>
          <w:sz w:val="22"/>
          <w:szCs w:val="22"/>
          <w:lang w:val="nl-NL"/>
        </w:rPr>
        <w:t xml:space="preserve"> voor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w:t>
      </w:r>
      <w:r w:rsidR="0028557E">
        <w:rPr>
          <w:rFonts w:ascii="Georgia" w:hAnsi="Georgia" w:cs="Calibri"/>
          <w:sz w:val="22"/>
          <w:szCs w:val="22"/>
          <w:lang w:val="nl-NL"/>
        </w:rPr>
        <w:t xml:space="preserve"> </w:t>
      </w:r>
      <w:r w:rsidR="002312F0">
        <w:rPr>
          <w:rFonts w:ascii="Georgia" w:hAnsi="Georgia" w:cs="Calibri"/>
          <w:sz w:val="22"/>
          <w:szCs w:val="22"/>
          <w:lang w:val="nl-NL"/>
        </w:rPr>
        <w:t>vier</w:t>
      </w:r>
      <w:r w:rsidRPr="00C140A8">
        <w:rPr>
          <w:rFonts w:ascii="Georgia" w:hAnsi="Georgia" w:cs="Calibri"/>
          <w:sz w:val="22"/>
          <w:szCs w:val="22"/>
          <w:lang w:val="nl-NL"/>
        </w:rPr>
        <w:t xml:space="preserve"> waren aan beiden gericht en </w:t>
      </w:r>
      <w:r w:rsidR="002312F0">
        <w:rPr>
          <w:rFonts w:ascii="Georgia" w:hAnsi="Georgia" w:cs="Calibri"/>
          <w:sz w:val="22"/>
          <w:szCs w:val="22"/>
          <w:lang w:val="nl-NL"/>
        </w:rPr>
        <w:t>zes</w:t>
      </w:r>
      <w:r w:rsidRPr="00C140A8">
        <w:rPr>
          <w:rFonts w:ascii="Georgia" w:hAnsi="Georgia" w:cs="Calibri"/>
          <w:sz w:val="22"/>
          <w:szCs w:val="22"/>
          <w:lang w:val="nl-NL"/>
        </w:rPr>
        <w:t xml:space="preserve"> posten vermelden geen expliciete ontvanger maar lopen via het algeme</w:t>
      </w:r>
      <w:r w:rsidR="0028557E">
        <w:rPr>
          <w:rFonts w:ascii="Georgia" w:hAnsi="Georgia" w:cs="Calibri"/>
          <w:sz w:val="22"/>
          <w:szCs w:val="22"/>
          <w:lang w:val="nl-NL"/>
        </w:rPr>
        <w:t>ne</w:t>
      </w:r>
      <w:r w:rsidRPr="00C140A8">
        <w:rPr>
          <w:rFonts w:ascii="Georgia" w:hAnsi="Georgia" w:cs="Calibri"/>
          <w:sz w:val="22"/>
          <w:szCs w:val="22"/>
          <w:lang w:val="nl-NL"/>
        </w:rPr>
        <w:t xml:space="preserve"> </w:t>
      </w:r>
      <w:r w:rsidRPr="00C140A8">
        <w:rPr>
          <w:rFonts w:ascii="Georgia" w:hAnsi="Georgia" w:cs="Calibri"/>
          <w:sz w:val="22"/>
          <w:szCs w:val="22"/>
          <w:lang w:val="nl-NL"/>
        </w:rPr>
        <w:lastRenderedPageBreak/>
        <w:t>beheer. De uitgaande geschenken vertonen een soortgelijk patroon</w:t>
      </w:r>
      <w:r w:rsidR="002312F0">
        <w:rPr>
          <w:rFonts w:ascii="Georgia" w:hAnsi="Georgia" w:cs="Calibri"/>
          <w:sz w:val="22"/>
          <w:szCs w:val="22"/>
          <w:lang w:val="nl-NL"/>
        </w:rPr>
        <w:t>. Zo gaf J</w:t>
      </w:r>
      <w:r w:rsidRPr="00C140A8">
        <w:rPr>
          <w:rFonts w:ascii="Georgia" w:hAnsi="Georgia" w:cs="Calibri"/>
          <w:sz w:val="22"/>
          <w:szCs w:val="22"/>
          <w:lang w:val="nl-NL"/>
        </w:rPr>
        <w:t xml:space="preserve">ohanna er </w:t>
      </w:r>
      <w:r w:rsidR="002312F0">
        <w:rPr>
          <w:rFonts w:ascii="Georgia" w:hAnsi="Georgia" w:cs="Calibri"/>
          <w:sz w:val="22"/>
          <w:szCs w:val="22"/>
          <w:lang w:val="nl-NL"/>
        </w:rPr>
        <w:t>twintig</w:t>
      </w:r>
      <w:r w:rsidRPr="00C140A8">
        <w:rPr>
          <w:rFonts w:ascii="Georgia" w:hAnsi="Georgia" w:cs="Calibri"/>
          <w:sz w:val="22"/>
          <w:szCs w:val="22"/>
          <w:lang w:val="nl-NL"/>
        </w:rPr>
        <w:t xml:space="preserve">,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w:t>
      </w:r>
      <w:r w:rsidR="002312F0">
        <w:rPr>
          <w:rFonts w:ascii="Georgia" w:hAnsi="Georgia" w:cs="Calibri"/>
          <w:sz w:val="22"/>
          <w:szCs w:val="22"/>
          <w:lang w:val="nl-NL"/>
        </w:rPr>
        <w:t>zeven</w:t>
      </w:r>
      <w:r w:rsidRPr="00C140A8">
        <w:rPr>
          <w:rFonts w:ascii="Georgia" w:hAnsi="Georgia" w:cs="Calibri"/>
          <w:sz w:val="22"/>
          <w:szCs w:val="22"/>
          <w:lang w:val="nl-NL"/>
        </w:rPr>
        <w:t xml:space="preserve"> en het beheer </w:t>
      </w:r>
      <w:r w:rsidR="002312F0">
        <w:rPr>
          <w:rFonts w:ascii="Georgia" w:hAnsi="Georgia" w:cs="Calibri"/>
          <w:sz w:val="22"/>
          <w:szCs w:val="22"/>
          <w:lang w:val="nl-NL"/>
        </w:rPr>
        <w:t>zes</w:t>
      </w:r>
      <w:r w:rsidR="00EA0A61">
        <w:rPr>
          <w:rFonts w:ascii="Georgia" w:hAnsi="Georgia" w:cs="Calibri"/>
          <w:sz w:val="22"/>
          <w:szCs w:val="22"/>
          <w:lang w:val="nl-NL"/>
        </w:rPr>
        <w:t>.</w:t>
      </w:r>
      <w:r w:rsidRPr="00C140A8">
        <w:rPr>
          <w:rFonts w:ascii="Georgia" w:hAnsi="Georgia" w:cs="Calibri"/>
          <w:sz w:val="22"/>
          <w:szCs w:val="22"/>
          <w:lang w:val="nl-NL"/>
        </w:rPr>
        <w:t xml:space="preserve"> Dit zijn uiteraard enkel de transacties die de centrale </w:t>
      </w:r>
      <w:r w:rsidR="00D43636">
        <w:rPr>
          <w:rFonts w:ascii="Georgia" w:hAnsi="Georgia" w:cs="Calibri"/>
          <w:sz w:val="22"/>
          <w:szCs w:val="22"/>
          <w:lang w:val="nl-NL"/>
        </w:rPr>
        <w:t>kas</w:t>
      </w:r>
      <w:r w:rsidRPr="00C140A8">
        <w:rPr>
          <w:rFonts w:ascii="Georgia" w:hAnsi="Georgia" w:cs="Calibri"/>
          <w:sz w:val="22"/>
          <w:szCs w:val="22"/>
          <w:lang w:val="nl-NL"/>
        </w:rPr>
        <w:t xml:space="preserve"> optekende</w:t>
      </w:r>
      <w:r w:rsidR="00EA0A61">
        <w:rPr>
          <w:rFonts w:ascii="Georgia" w:hAnsi="Georgia" w:cs="Calibri"/>
          <w:sz w:val="22"/>
          <w:szCs w:val="22"/>
          <w:lang w:val="nl-NL"/>
        </w:rPr>
        <w:t>.</w:t>
      </w:r>
      <w:r w:rsidR="002312F0">
        <w:rPr>
          <w:rFonts w:ascii="Georgia" w:hAnsi="Georgia" w:cs="Calibri"/>
          <w:sz w:val="22"/>
          <w:szCs w:val="22"/>
          <w:lang w:val="nl-NL"/>
        </w:rPr>
        <w:t xml:space="preserve"> </w:t>
      </w:r>
      <w:r w:rsidR="005115D3" w:rsidRPr="005115D3">
        <w:rPr>
          <w:rFonts w:ascii="Georgia" w:hAnsi="Georgia" w:cs="Calibri"/>
          <w:sz w:val="22"/>
          <w:szCs w:val="22"/>
        </w:rPr>
        <w:t>Op lokaal niveau of vanuit andere financiële bronnen konden bijkomende geschenken circuleren die de centrale ontvanger niet registreerde</w:t>
      </w:r>
      <w:r w:rsidRPr="00C140A8">
        <w:rPr>
          <w:rFonts w:ascii="Georgia" w:hAnsi="Georgia" w:cs="Calibri"/>
          <w:sz w:val="22"/>
          <w:szCs w:val="22"/>
          <w:lang w:val="nl-NL"/>
        </w:rPr>
        <w:t xml:space="preserve">. Dat voorbehoud neemt niet weg dat Johanna opvallend veel geschenken kreeg. Religieuze schenkingen zijn in deze cijfers </w:t>
      </w:r>
      <w:r w:rsidR="00A83076">
        <w:rPr>
          <w:noProof/>
        </w:rPr>
        <mc:AlternateContent>
          <mc:Choice Requires="wps">
            <w:drawing>
              <wp:anchor distT="0" distB="0" distL="114300" distR="114300" simplePos="0" relativeHeight="251731455" behindDoc="0" locked="0" layoutInCell="1" allowOverlap="1" wp14:anchorId="05BBE573" wp14:editId="3C2BAAB4">
                <wp:simplePos x="0" y="0"/>
                <wp:positionH relativeFrom="column">
                  <wp:posOffset>101600</wp:posOffset>
                </wp:positionH>
                <wp:positionV relativeFrom="paragraph">
                  <wp:posOffset>3816696</wp:posOffset>
                </wp:positionV>
                <wp:extent cx="5731510" cy="304800"/>
                <wp:effectExtent l="0" t="0" r="0" b="0"/>
                <wp:wrapTopAndBottom/>
                <wp:docPr id="237659956" name="Text Box 1"/>
                <wp:cNvGraphicFramePr/>
                <a:graphic xmlns:a="http://schemas.openxmlformats.org/drawingml/2006/main">
                  <a:graphicData uri="http://schemas.microsoft.com/office/word/2010/wordprocessingShape">
                    <wps:wsp>
                      <wps:cNvSpPr txBox="1"/>
                      <wps:spPr>
                        <a:xfrm>
                          <a:off x="0" y="0"/>
                          <a:ext cx="5731510" cy="304800"/>
                        </a:xfrm>
                        <a:prstGeom prst="rect">
                          <a:avLst/>
                        </a:prstGeom>
                        <a:solidFill>
                          <a:prstClr val="white"/>
                        </a:solidFill>
                        <a:ln>
                          <a:noFill/>
                        </a:ln>
                      </wps:spPr>
                      <wps:txbx>
                        <w:txbxContent>
                          <w:p w14:paraId="11371DD8" w14:textId="77B23936" w:rsidR="00A83076" w:rsidRPr="00D55769" w:rsidRDefault="00A83076" w:rsidP="00A83076">
                            <w:pPr>
                              <w:pStyle w:val="Caption"/>
                              <w:rPr>
                                <w:rFonts w:ascii="Georgia" w:hAnsi="Georgia" w:cs="Calibri"/>
                                <w:sz w:val="22"/>
                                <w:szCs w:val="22"/>
                                <w:lang w:val="nl-NL"/>
                              </w:rPr>
                            </w:pPr>
                            <w:bookmarkStart w:id="204" w:name="_Toc231462066"/>
                            <w:r w:rsidRPr="00A83076">
                              <w:rPr>
                                <w:b/>
                                <w:bCs/>
                              </w:rPr>
                              <w:t xml:space="preserve">Tabel </w:t>
                            </w:r>
                            <w:r w:rsidRPr="00A83076">
                              <w:rPr>
                                <w:b/>
                                <w:bCs/>
                              </w:rPr>
                              <w:fldChar w:fldCharType="begin"/>
                            </w:r>
                            <w:r w:rsidRPr="00A83076">
                              <w:rPr>
                                <w:b/>
                                <w:bCs/>
                              </w:rPr>
                              <w:instrText xml:space="preserve"> SEQ Tabel \* ARABIC </w:instrText>
                            </w:r>
                            <w:r w:rsidRPr="00A83076">
                              <w:rPr>
                                <w:b/>
                                <w:bCs/>
                              </w:rPr>
                              <w:fldChar w:fldCharType="separate"/>
                            </w:r>
                            <w:r w:rsidR="00F83A3D">
                              <w:rPr>
                                <w:b/>
                                <w:bCs/>
                                <w:noProof/>
                              </w:rPr>
                              <w:t>5</w:t>
                            </w:r>
                            <w:r w:rsidRPr="00A83076">
                              <w:rPr>
                                <w:b/>
                                <w:bCs/>
                              </w:rPr>
                              <w:fldChar w:fldCharType="end"/>
                            </w:r>
                            <w:r w:rsidRPr="00A83076">
                              <w:rPr>
                                <w:b/>
                                <w:bCs/>
                              </w:rPr>
                              <w:t>:</w:t>
                            </w:r>
                            <w:r>
                              <w:t xml:space="preserve"> Aantal inkomende en uitgaande geschenken per persoon in de ‘foreine partieën’ (1376-1380)</w:t>
                            </w:r>
                            <w:bookmarkEnd w:id="20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BBE573" id="_x0000_s1031" type="#_x0000_t202" style="position:absolute;left:0;text-align:left;margin-left:8pt;margin-top:300.55pt;width:451.3pt;height:24pt;z-index:25173145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" stroked="f">
                <v:textbox inset="0,0,0,0">
                  <w:txbxContent>
                    <w:p w14:paraId="11371DD8" w14:textId="77B23936" w:rsidR="00A83076" w:rsidRPr="00D55769" w:rsidRDefault="00A83076" w:rsidP="00A83076">
                      <w:pPr>
                        <w:pStyle w:val="Caption"/>
                        <w:rPr>
                          <w:rFonts w:ascii="Georgia" w:hAnsi="Georgia" w:cs="Calibri"/>
                          <w:sz w:val="22"/>
                          <w:szCs w:val="22"/>
                          <w:lang w:val="nl-NL"/>
                        </w:rPr>
                      </w:pPr>
                      <w:bookmarkStart w:id="205" w:name="_Toc231462066"/>
                      <w:r w:rsidRPr="00A83076">
                        <w:rPr>
                          <w:b/>
                          <w:bCs/>
                        </w:rPr>
                        <w:t xml:space="preserve">Tabel </w:t>
                      </w:r>
                      <w:r w:rsidRPr="00A83076">
                        <w:rPr>
                          <w:b/>
                          <w:bCs/>
                        </w:rPr>
                        <w:fldChar w:fldCharType="begin"/>
                      </w:r>
                      <w:r w:rsidRPr="00A83076">
                        <w:rPr>
                          <w:b/>
                          <w:bCs/>
                        </w:rPr>
                        <w:instrText xml:space="preserve"> SEQ Tabel \* ARABIC </w:instrText>
                      </w:r>
                      <w:r w:rsidRPr="00A83076">
                        <w:rPr>
                          <w:b/>
                          <w:bCs/>
                        </w:rPr>
                        <w:fldChar w:fldCharType="separate"/>
                      </w:r>
                      <w:r w:rsidR="00F83A3D">
                        <w:rPr>
                          <w:b/>
                          <w:bCs/>
                          <w:noProof/>
                        </w:rPr>
                        <w:t>5</w:t>
                      </w:r>
                      <w:r w:rsidRPr="00A83076">
                        <w:rPr>
                          <w:b/>
                          <w:bCs/>
                        </w:rPr>
                        <w:fldChar w:fldCharType="end"/>
                      </w:r>
                      <w:r w:rsidRPr="00A83076">
                        <w:rPr>
                          <w:b/>
                          <w:bCs/>
                        </w:rPr>
                        <w:t>:</w:t>
                      </w:r>
                      <w:r>
                        <w:t xml:space="preserve"> Aantal inkomende en uitgaande geschenken per persoon in de ‘foreine partieën’ (1376-1380)</w:t>
                      </w:r>
                      <w:bookmarkEnd w:id="205"/>
                    </w:p>
                  </w:txbxContent>
                </v:textbox>
                <w10:wrap type="topAndBottom"/>
              </v:shape>
            </w:pict>
          </mc:Fallback>
        </mc:AlternateContent>
      </w:r>
      <w:r w:rsidR="00A83076">
        <w:rPr>
          <w:rFonts w:ascii="Georgia" w:hAnsi="Georgia" w:cs="Calibri"/>
          <w:noProof/>
          <w:sz w:val="22"/>
          <w:szCs w:val="22"/>
          <w:lang w:val="nl-NL"/>
          <w14:ligatures w14:val="standardContextual"/>
        </w:rPr>
        <w:drawing>
          <wp:anchor distT="0" distB="0" distL="114300" distR="114300" simplePos="0" relativeHeight="251719167" behindDoc="0" locked="0" layoutInCell="1" allowOverlap="1" wp14:anchorId="634FE659" wp14:editId="6870A0BE">
            <wp:simplePos x="0" y="0"/>
            <wp:positionH relativeFrom="column">
              <wp:posOffset>0</wp:posOffset>
            </wp:positionH>
            <wp:positionV relativeFrom="paragraph">
              <wp:posOffset>1635299</wp:posOffset>
            </wp:positionV>
            <wp:extent cx="5731510" cy="2181860"/>
            <wp:effectExtent l="0" t="0" r="0" b="2540"/>
            <wp:wrapTopAndBottom/>
            <wp:docPr id="425160839" name="Picture 17" descr="A white shee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160839" name="Picture 17" descr="A white sheet with black text&#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2181860"/>
                    </a:xfrm>
                    <a:prstGeom prst="rect">
                      <a:avLst/>
                    </a:prstGeom>
                  </pic:spPr>
                </pic:pic>
              </a:graphicData>
            </a:graphic>
            <wp14:sizeRelH relativeFrom="page">
              <wp14:pctWidth>0</wp14:pctWidth>
            </wp14:sizeRelH>
            <wp14:sizeRelV relativeFrom="page">
              <wp14:pctHeight>0</wp14:pctHeight>
            </wp14:sizeRelV>
          </wp:anchor>
        </w:drawing>
      </w:r>
      <w:r w:rsidRPr="00C140A8">
        <w:rPr>
          <w:rFonts w:ascii="Georgia" w:hAnsi="Georgia" w:cs="Calibri"/>
          <w:sz w:val="22"/>
          <w:szCs w:val="22"/>
          <w:lang w:val="nl-NL"/>
        </w:rPr>
        <w:t>niet opgenomen, deze komen uitgebreid aan bod in het volgende hoofdstuk</w:t>
      </w:r>
      <w:r w:rsidR="00844F79" w:rsidRPr="00C140A8">
        <w:rPr>
          <w:rFonts w:ascii="Georgia" w:hAnsi="Georgia" w:cs="Calibri"/>
          <w:sz w:val="22"/>
          <w:szCs w:val="22"/>
          <w:lang w:val="nl-NL"/>
        </w:rPr>
        <w:t xml:space="preserve">. </w:t>
      </w:r>
    </w:p>
    <w:p w14:paraId="01C95676" w14:textId="4F49BAD1" w:rsidR="008A27E9" w:rsidRPr="00C140A8" w:rsidRDefault="008A27E9" w:rsidP="00B5277C">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Binnen het geven van geschenken gold een duidelijke hiërarchie</w:t>
      </w:r>
      <w:r w:rsidR="00D43636">
        <w:rPr>
          <w:rFonts w:ascii="Georgia" w:hAnsi="Georgia" w:cs="Calibri"/>
          <w:sz w:val="22"/>
          <w:szCs w:val="22"/>
          <w:lang w:val="nl-NL"/>
        </w:rPr>
        <w:t>. H</w:t>
      </w:r>
      <w:r w:rsidRPr="00C140A8">
        <w:rPr>
          <w:rFonts w:ascii="Georgia" w:hAnsi="Georgia" w:cs="Calibri"/>
          <w:sz w:val="22"/>
          <w:szCs w:val="22"/>
          <w:lang w:val="nl-NL"/>
        </w:rPr>
        <w:t>oe hoger de rang van de ontvanger, hoe waardevoller het geschenk.</w:t>
      </w:r>
      <w:r w:rsidRPr="00C140A8">
        <w:rPr>
          <w:rStyle w:val="FootnoteReference"/>
          <w:rFonts w:ascii="Georgia" w:hAnsi="Georgia" w:cs="Calibri"/>
          <w:sz w:val="22"/>
          <w:szCs w:val="22"/>
          <w:lang w:val="nl-NL"/>
        </w:rPr>
        <w:footnoteReference w:id="336"/>
      </w:r>
      <w:r w:rsidRPr="00C140A8">
        <w:rPr>
          <w:rFonts w:ascii="Georgia" w:hAnsi="Georgia" w:cs="Calibri"/>
          <w:sz w:val="22"/>
          <w:szCs w:val="22"/>
          <w:lang w:val="nl-NL"/>
        </w:rPr>
        <w:t xml:space="preserve"> De aard en waarde van een geschenk waren bijgevolg geen willekeurige keuzes, maar weerspiegelden de status van de ontvanger én het strategische belang dat de gever aan die relatie hechtte.</w:t>
      </w:r>
      <w:r w:rsidRPr="00C140A8">
        <w:rPr>
          <w:rStyle w:val="FootnoteReference"/>
          <w:rFonts w:ascii="Georgia" w:hAnsi="Georgia" w:cs="Calibri"/>
          <w:sz w:val="22"/>
          <w:szCs w:val="22"/>
          <w:lang w:val="nl-NL"/>
        </w:rPr>
        <w:footnoteReference w:id="337"/>
      </w:r>
      <w:r w:rsidRPr="00C140A8">
        <w:rPr>
          <w:rFonts w:ascii="Georgia" w:hAnsi="Georgia" w:cs="Calibri"/>
          <w:sz w:val="22"/>
          <w:szCs w:val="22"/>
          <w:lang w:val="nl-NL"/>
        </w:rPr>
        <w:t xml:space="preserve"> </w:t>
      </w:r>
      <w:r w:rsidR="009A6ABE">
        <w:rPr>
          <w:rFonts w:ascii="Georgia" w:hAnsi="Georgia" w:cs="Calibri"/>
          <w:sz w:val="22"/>
          <w:szCs w:val="22"/>
          <w:lang w:val="nl-NL"/>
        </w:rPr>
        <w:t xml:space="preserve">Gezien de status van het echtpaar is het daarom niet verwonderlijk dat </w:t>
      </w:r>
      <w:r w:rsidR="00B5277C">
        <w:rPr>
          <w:rFonts w:ascii="Georgia" w:hAnsi="Georgia" w:cs="Calibri"/>
          <w:sz w:val="22"/>
          <w:szCs w:val="22"/>
          <w:lang w:val="nl-NL"/>
        </w:rPr>
        <w:t>het vooral om luxeproducten gaat.</w:t>
      </w:r>
      <w:r w:rsidRPr="00C140A8">
        <w:rPr>
          <w:rFonts w:ascii="Georgia" w:hAnsi="Georgia" w:cs="Calibri"/>
          <w:sz w:val="22"/>
          <w:szCs w:val="22"/>
          <w:lang w:val="nl-NL"/>
        </w:rPr>
        <w:t xml:space="preserve"> Een goed voorbeeld </w:t>
      </w:r>
      <w:r w:rsidR="00B5277C">
        <w:rPr>
          <w:rFonts w:ascii="Georgia" w:hAnsi="Georgia" w:cs="Calibri"/>
          <w:sz w:val="22"/>
          <w:szCs w:val="22"/>
          <w:lang w:val="nl-NL"/>
        </w:rPr>
        <w:t>van de wederkerigheid in</w:t>
      </w:r>
      <w:r w:rsidRPr="00C140A8">
        <w:rPr>
          <w:rFonts w:ascii="Georgia" w:hAnsi="Georgia" w:cs="Calibri"/>
          <w:sz w:val="22"/>
          <w:szCs w:val="22"/>
          <w:lang w:val="nl-NL"/>
        </w:rPr>
        <w:t xml:space="preserve"> rang en status is het contact </w:t>
      </w:r>
      <w:r w:rsidR="00B5277C">
        <w:rPr>
          <w:rFonts w:ascii="Georgia" w:hAnsi="Georgia" w:cs="Calibri"/>
          <w:sz w:val="22"/>
          <w:szCs w:val="22"/>
          <w:lang w:val="nl-NL"/>
        </w:rPr>
        <w:t>tussen</w:t>
      </w:r>
      <w:r w:rsidRPr="00C140A8">
        <w:rPr>
          <w:rFonts w:ascii="Georgia" w:hAnsi="Georgia" w:cs="Calibri"/>
          <w:sz w:val="22"/>
          <w:szCs w:val="22"/>
          <w:lang w:val="nl-NL"/>
        </w:rPr>
        <w:t xml:space="preserve"> het echtpaar </w:t>
      </w:r>
      <w:r w:rsidR="00B5277C">
        <w:rPr>
          <w:rFonts w:ascii="Georgia" w:hAnsi="Georgia" w:cs="Calibri"/>
          <w:sz w:val="22"/>
          <w:szCs w:val="22"/>
          <w:lang w:val="nl-NL"/>
        </w:rPr>
        <w:t>en</w:t>
      </w:r>
      <w:r w:rsidRPr="00C140A8">
        <w:rPr>
          <w:rFonts w:ascii="Georgia" w:hAnsi="Georgia" w:cs="Calibri"/>
          <w:sz w:val="22"/>
          <w:szCs w:val="22"/>
          <w:lang w:val="nl-NL"/>
        </w:rPr>
        <w:t xml:space="preserve"> de heer </w:t>
      </w:r>
      <w:proofErr w:type="spellStart"/>
      <w:r w:rsidRPr="00C140A8">
        <w:rPr>
          <w:rFonts w:ascii="Georgia" w:hAnsi="Georgia" w:cs="Calibri"/>
          <w:sz w:val="22"/>
          <w:szCs w:val="22"/>
          <w:lang w:val="nl-NL"/>
        </w:rPr>
        <w:t>Galeas</w:t>
      </w:r>
      <w:proofErr w:type="spellEnd"/>
      <w:r w:rsidRPr="00C140A8">
        <w:rPr>
          <w:rFonts w:ascii="Georgia" w:hAnsi="Georgia" w:cs="Calibri"/>
          <w:sz w:val="22"/>
          <w:szCs w:val="22"/>
          <w:lang w:val="nl-NL"/>
        </w:rPr>
        <w:t xml:space="preserve">, vermoedelijk </w:t>
      </w:r>
      <w:proofErr w:type="spellStart"/>
      <w:r w:rsidRPr="00C140A8">
        <w:rPr>
          <w:rFonts w:ascii="Georgia" w:hAnsi="Georgia" w:cs="Calibri"/>
          <w:sz w:val="22"/>
          <w:szCs w:val="22"/>
          <w:lang w:val="nl-NL"/>
        </w:rPr>
        <w:t>Gian</w:t>
      </w:r>
      <w:proofErr w:type="spellEnd"/>
      <w:r w:rsidRPr="00C140A8">
        <w:rPr>
          <w:rFonts w:ascii="Georgia" w:hAnsi="Georgia" w:cs="Calibri"/>
          <w:sz w:val="22"/>
          <w:szCs w:val="22"/>
          <w:lang w:val="nl-NL"/>
        </w:rPr>
        <w:t xml:space="preserve"> </w:t>
      </w:r>
      <w:proofErr w:type="spellStart"/>
      <w:r w:rsidRPr="00C140A8">
        <w:rPr>
          <w:rFonts w:ascii="Georgia" w:hAnsi="Georgia" w:cs="Calibri"/>
          <w:sz w:val="22"/>
          <w:szCs w:val="22"/>
          <w:lang w:val="nl-NL"/>
        </w:rPr>
        <w:t>Galeazzo</w:t>
      </w:r>
      <w:proofErr w:type="spellEnd"/>
      <w:r w:rsidRPr="00C140A8">
        <w:rPr>
          <w:rFonts w:ascii="Georgia" w:hAnsi="Georgia" w:cs="Calibri"/>
          <w:sz w:val="22"/>
          <w:szCs w:val="22"/>
          <w:lang w:val="nl-NL"/>
        </w:rPr>
        <w:t xml:space="preserve"> Visconti, heer van </w:t>
      </w:r>
      <w:proofErr w:type="spellStart"/>
      <w:r w:rsidRPr="00C140A8">
        <w:rPr>
          <w:rFonts w:ascii="Georgia" w:hAnsi="Georgia" w:cs="Calibri"/>
          <w:sz w:val="22"/>
          <w:szCs w:val="22"/>
          <w:lang w:val="nl-NL"/>
        </w:rPr>
        <w:t>Pavia</w:t>
      </w:r>
      <w:proofErr w:type="spellEnd"/>
      <w:r w:rsidRPr="00C140A8">
        <w:rPr>
          <w:rFonts w:ascii="Georgia" w:hAnsi="Georgia" w:cs="Calibri"/>
          <w:sz w:val="22"/>
          <w:szCs w:val="22"/>
          <w:lang w:val="nl-NL"/>
        </w:rPr>
        <w:t xml:space="preserve"> en later hertog van Milaan. Op 20 oktober 1376 schonk Visconti een paard aan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waarvoor de bode een fooi van </w:t>
      </w:r>
      <w:r w:rsidR="006D5ED5">
        <w:rPr>
          <w:rFonts w:ascii="Georgia" w:hAnsi="Georgia" w:cs="Calibri"/>
          <w:sz w:val="22"/>
          <w:szCs w:val="22"/>
          <w:lang w:val="nl-NL"/>
        </w:rPr>
        <w:t>tweeëntwintig</w:t>
      </w:r>
      <w:r w:rsidRPr="00C140A8">
        <w:rPr>
          <w:rFonts w:ascii="Georgia" w:hAnsi="Georgia" w:cs="Calibri"/>
          <w:sz w:val="22"/>
          <w:szCs w:val="22"/>
          <w:lang w:val="nl-NL"/>
        </w:rPr>
        <w:t xml:space="preserve"> franken ontving.</w:t>
      </w:r>
      <w:r w:rsidRPr="00C140A8">
        <w:rPr>
          <w:rStyle w:val="FootnoteReference"/>
          <w:rFonts w:ascii="Georgia" w:hAnsi="Georgia" w:cs="Calibri"/>
          <w:sz w:val="22"/>
          <w:szCs w:val="22"/>
          <w:lang w:val="nl-NL"/>
        </w:rPr>
        <w:footnoteReference w:id="338"/>
      </w:r>
      <w:r w:rsidRPr="00C140A8">
        <w:rPr>
          <w:rFonts w:ascii="Georgia" w:hAnsi="Georgia" w:cs="Calibri"/>
          <w:sz w:val="22"/>
          <w:szCs w:val="22"/>
          <w:lang w:val="nl-NL"/>
        </w:rPr>
        <w:t xml:space="preserve"> Kort daarna stuurde hij een boodschap aan Johanna, die hem beloonde met een vergulde gouden beker.</w:t>
      </w:r>
      <w:r w:rsidRPr="00C140A8">
        <w:rPr>
          <w:rStyle w:val="FootnoteReference"/>
          <w:rFonts w:ascii="Georgia" w:hAnsi="Georgia" w:cs="Calibri"/>
          <w:sz w:val="22"/>
          <w:szCs w:val="22"/>
          <w:lang w:val="nl-NL"/>
        </w:rPr>
        <w:footnoteReference w:id="339"/>
      </w:r>
      <w:r w:rsidRPr="00C140A8">
        <w:rPr>
          <w:rFonts w:ascii="Georgia" w:hAnsi="Georgia" w:cs="Calibri"/>
          <w:sz w:val="22"/>
          <w:szCs w:val="22"/>
          <w:lang w:val="nl-NL"/>
        </w:rPr>
        <w:t xml:space="preserve"> Op 5 juli 1377 volgde opnieuw een uitwisseling: Visconti schonk goudlaken aan Johanna waarop zij als tegengift een gouden kroes liet vervaardigen voor </w:t>
      </w:r>
      <w:r w:rsidR="006D5ED5">
        <w:rPr>
          <w:rFonts w:ascii="Georgia" w:hAnsi="Georgia" w:cs="Calibri"/>
          <w:sz w:val="22"/>
          <w:szCs w:val="22"/>
          <w:lang w:val="nl-NL"/>
        </w:rPr>
        <w:t>vijfentwintig</w:t>
      </w:r>
      <w:r w:rsidRPr="00C140A8">
        <w:rPr>
          <w:rFonts w:ascii="Georgia" w:hAnsi="Georgia" w:cs="Calibri"/>
          <w:sz w:val="22"/>
          <w:szCs w:val="22"/>
          <w:lang w:val="nl-NL"/>
        </w:rPr>
        <w:t xml:space="preserve"> </w:t>
      </w:r>
      <w:proofErr w:type="spellStart"/>
      <w:r w:rsidRPr="00C140A8">
        <w:rPr>
          <w:rFonts w:ascii="Georgia" w:hAnsi="Georgia" w:cs="Calibri"/>
          <w:sz w:val="22"/>
          <w:szCs w:val="22"/>
          <w:lang w:val="nl-NL"/>
        </w:rPr>
        <w:t>p</w:t>
      </w:r>
      <w:r w:rsidR="006D5ED5">
        <w:rPr>
          <w:rFonts w:ascii="Georgia" w:hAnsi="Georgia" w:cs="Calibri"/>
          <w:sz w:val="22"/>
          <w:szCs w:val="22"/>
          <w:lang w:val="nl-NL"/>
        </w:rPr>
        <w:t>i</w:t>
      </w:r>
      <w:r w:rsidRPr="00C140A8">
        <w:rPr>
          <w:rFonts w:ascii="Georgia" w:hAnsi="Georgia" w:cs="Calibri"/>
          <w:sz w:val="22"/>
          <w:szCs w:val="22"/>
          <w:lang w:val="nl-NL"/>
        </w:rPr>
        <w:t>eters</w:t>
      </w:r>
      <w:proofErr w:type="spellEnd"/>
      <w:r w:rsidRPr="00C140A8">
        <w:rPr>
          <w:rFonts w:ascii="Georgia" w:hAnsi="Georgia" w:cs="Calibri"/>
          <w:sz w:val="22"/>
          <w:szCs w:val="22"/>
          <w:lang w:val="nl-NL"/>
        </w:rPr>
        <w:t>.</w:t>
      </w:r>
      <w:r w:rsidRPr="00C140A8">
        <w:rPr>
          <w:rStyle w:val="FootnoteReference"/>
          <w:rFonts w:ascii="Georgia" w:hAnsi="Georgia" w:cs="Calibri"/>
          <w:sz w:val="22"/>
          <w:szCs w:val="22"/>
          <w:lang w:val="nl-NL"/>
        </w:rPr>
        <w:footnoteReference w:id="340"/>
      </w:r>
      <w:r w:rsidRPr="00C140A8">
        <w:rPr>
          <w:rFonts w:ascii="Georgia" w:hAnsi="Georgia" w:cs="Calibri"/>
          <w:sz w:val="22"/>
          <w:szCs w:val="22"/>
          <w:lang w:val="nl-NL"/>
        </w:rPr>
        <w:t xml:space="preserve"> Dit is een helder voorbeeld van hoe </w:t>
      </w:r>
      <w:proofErr w:type="spellStart"/>
      <w:r w:rsidRPr="00C140A8">
        <w:rPr>
          <w:rFonts w:ascii="Georgia" w:hAnsi="Georgia" w:cs="Calibri"/>
          <w:sz w:val="22"/>
          <w:szCs w:val="22"/>
          <w:lang w:val="nl-NL"/>
        </w:rPr>
        <w:t>Ketterings</w:t>
      </w:r>
      <w:proofErr w:type="spellEnd"/>
      <w:r w:rsidRPr="00C140A8">
        <w:rPr>
          <w:rFonts w:ascii="Georgia" w:hAnsi="Georgia" w:cs="Calibri"/>
          <w:sz w:val="22"/>
          <w:szCs w:val="22"/>
          <w:lang w:val="nl-NL"/>
        </w:rPr>
        <w:t xml:space="preserve"> model in de praktijk werkte</w:t>
      </w:r>
      <w:r w:rsidR="006D5ED5">
        <w:rPr>
          <w:rFonts w:ascii="Georgia" w:hAnsi="Georgia" w:cs="Calibri"/>
          <w:sz w:val="22"/>
          <w:szCs w:val="22"/>
          <w:lang w:val="nl-NL"/>
        </w:rPr>
        <w:t xml:space="preserve">. </w:t>
      </w:r>
      <w:r w:rsidRPr="00C140A8">
        <w:rPr>
          <w:rFonts w:ascii="Georgia" w:hAnsi="Georgia" w:cs="Calibri"/>
          <w:sz w:val="22"/>
          <w:szCs w:val="22"/>
          <w:lang w:val="nl-NL"/>
        </w:rPr>
        <w:t xml:space="preserve">Visconti cultiveerde tegelijk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Luxemburgse en Johanna's Brabantse invloed, en beide partijen beantwoordden elkaars geschenken met kostbare tegengiften. Ook binnen de dynamiek van het echtpaar zelf wijst deze uitwisseling op samenwerking. Het is </w:t>
      </w:r>
      <w:r w:rsidRPr="00C140A8">
        <w:rPr>
          <w:rFonts w:ascii="Georgia" w:hAnsi="Georgia" w:cs="Calibri"/>
          <w:sz w:val="22"/>
          <w:szCs w:val="22"/>
          <w:lang w:val="nl-NL"/>
        </w:rPr>
        <w:lastRenderedPageBreak/>
        <w:t>Johanna die een tegengeschenk regelt nadat Visconti een paard aan haar echtgenoot heeft geschonken.</w:t>
      </w:r>
    </w:p>
    <w:p w14:paraId="719A4B4E" w14:textId="0CD2ADDD" w:rsidR="00F1308A" w:rsidRDefault="008A27E9"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Legt men de focus op de </w:t>
      </w:r>
      <w:r w:rsidR="006D5ED5">
        <w:rPr>
          <w:rFonts w:ascii="Georgia" w:hAnsi="Georgia" w:cs="Calibri"/>
          <w:sz w:val="22"/>
          <w:szCs w:val="22"/>
          <w:lang w:val="nl-NL"/>
        </w:rPr>
        <w:t>schenker</w:t>
      </w:r>
      <w:r w:rsidRPr="00C140A8">
        <w:rPr>
          <w:rFonts w:ascii="Georgia" w:hAnsi="Georgia" w:cs="Calibri"/>
          <w:sz w:val="22"/>
          <w:szCs w:val="22"/>
          <w:lang w:val="nl-NL"/>
        </w:rPr>
        <w:t xml:space="preserve"> van die </w:t>
      </w:r>
      <w:r w:rsidR="006D5ED5">
        <w:rPr>
          <w:rFonts w:ascii="Georgia" w:hAnsi="Georgia" w:cs="Calibri"/>
          <w:sz w:val="22"/>
          <w:szCs w:val="22"/>
          <w:lang w:val="nl-NL"/>
        </w:rPr>
        <w:t>giften</w:t>
      </w:r>
      <w:r w:rsidRPr="00C140A8">
        <w:rPr>
          <w:rFonts w:ascii="Georgia" w:hAnsi="Georgia" w:cs="Calibri"/>
          <w:sz w:val="22"/>
          <w:szCs w:val="22"/>
          <w:lang w:val="nl-NL"/>
        </w:rPr>
        <w:t xml:space="preserve">, dan zijn de posten uit Vlaanderen het meest opvallend. De graaf van Vlaanderen schenkt over de vier bestudeerde jaren negen geschenken aan Johanna. De bestemmeling was inderdaad duidelijk alleen Johanna,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wordt nagenoeg niet genoemd in deze </w:t>
      </w:r>
      <w:r w:rsidR="00FE62F0" w:rsidRPr="00C140A8">
        <w:rPr>
          <w:rFonts w:ascii="Georgia" w:hAnsi="Georgia" w:cs="Calibri"/>
          <w:sz w:val="22"/>
          <w:szCs w:val="22"/>
          <w:lang w:val="nl-NL"/>
        </w:rPr>
        <w:t>uitwisseling</w:t>
      </w:r>
      <w:r w:rsidRPr="00C140A8">
        <w:rPr>
          <w:rFonts w:ascii="Georgia" w:hAnsi="Georgia" w:cs="Calibri"/>
          <w:sz w:val="22"/>
          <w:szCs w:val="22"/>
          <w:lang w:val="nl-NL"/>
        </w:rPr>
        <w:t>. Wat ontving zij van de Vlaamse graaf? Voornamelijk wijn en paarden. In 1376</w:t>
      </w:r>
      <w:r w:rsidR="006D5ED5">
        <w:rPr>
          <w:rFonts w:ascii="Georgia" w:hAnsi="Georgia" w:cs="Calibri"/>
          <w:sz w:val="22"/>
          <w:szCs w:val="22"/>
          <w:lang w:val="nl-NL"/>
        </w:rPr>
        <w:t>-</w:t>
      </w:r>
      <w:r w:rsidRPr="00C140A8">
        <w:rPr>
          <w:rFonts w:ascii="Georgia" w:hAnsi="Georgia" w:cs="Calibri"/>
          <w:sz w:val="22"/>
          <w:szCs w:val="22"/>
          <w:lang w:val="nl-NL"/>
        </w:rPr>
        <w:t xml:space="preserve">77 ontving zij een partij wijnen waaronder de gegeerde </w:t>
      </w:r>
      <w:proofErr w:type="spellStart"/>
      <w:r w:rsidRPr="00C140A8">
        <w:rPr>
          <w:rFonts w:ascii="Georgia" w:hAnsi="Georgia" w:cs="Calibri"/>
          <w:sz w:val="22"/>
          <w:szCs w:val="22"/>
          <w:lang w:val="nl-NL"/>
        </w:rPr>
        <w:t>Malvasia</w:t>
      </w:r>
      <w:proofErr w:type="spellEnd"/>
      <w:r w:rsidRPr="00C140A8">
        <w:rPr>
          <w:rFonts w:ascii="Georgia" w:hAnsi="Georgia" w:cs="Calibri"/>
          <w:sz w:val="22"/>
          <w:szCs w:val="22"/>
          <w:lang w:val="nl-NL"/>
        </w:rPr>
        <w:t>, een prestigieuze witte wijn uit het Middellandse Zeegebied.</w:t>
      </w:r>
      <w:r w:rsidR="007022CE" w:rsidRPr="00C140A8">
        <w:rPr>
          <w:rStyle w:val="FootnoteReference"/>
          <w:rFonts w:ascii="Georgia" w:hAnsi="Georgia" w:cs="Calibri"/>
          <w:sz w:val="22"/>
          <w:szCs w:val="22"/>
          <w:lang w:val="nl-NL"/>
        </w:rPr>
        <w:footnoteReference w:id="341"/>
      </w:r>
      <w:r w:rsidRPr="00C140A8">
        <w:rPr>
          <w:rFonts w:ascii="Georgia" w:hAnsi="Georgia" w:cs="Calibri"/>
          <w:sz w:val="22"/>
          <w:szCs w:val="22"/>
          <w:lang w:val="nl-NL"/>
        </w:rPr>
        <w:t xml:space="preserve"> Ze kreeg dat jaar ook drie damespaarden, linnen uit Kamerijk en een glazen pot bedekt met goud.</w:t>
      </w:r>
      <w:r w:rsidRPr="00C140A8">
        <w:rPr>
          <w:rStyle w:val="FootnoteReference"/>
          <w:rFonts w:ascii="Georgia" w:hAnsi="Georgia" w:cs="Calibri"/>
          <w:sz w:val="22"/>
          <w:szCs w:val="22"/>
          <w:lang w:val="nl-NL"/>
        </w:rPr>
        <w:footnoteReference w:id="342"/>
      </w:r>
      <w:r w:rsidRPr="00C140A8">
        <w:rPr>
          <w:rFonts w:ascii="Georgia" w:hAnsi="Georgia" w:cs="Calibri"/>
          <w:sz w:val="22"/>
          <w:szCs w:val="22"/>
          <w:lang w:val="nl-NL"/>
        </w:rPr>
        <w:t xml:space="preserve"> In 1377-78 kreeg ze nog een paard bij haar visite aan een onderhandeling in Dendermonde. </w:t>
      </w:r>
      <w:r w:rsidR="00B027C8">
        <w:rPr>
          <w:rFonts w:ascii="Georgia" w:hAnsi="Georgia" w:cs="Calibri"/>
          <w:sz w:val="22"/>
          <w:szCs w:val="22"/>
          <w:lang w:val="nl-NL"/>
        </w:rPr>
        <w:t xml:space="preserve">Vervolgens in </w:t>
      </w:r>
      <w:r w:rsidRPr="00C140A8">
        <w:rPr>
          <w:rFonts w:ascii="Georgia" w:hAnsi="Georgia" w:cs="Calibri"/>
          <w:sz w:val="22"/>
          <w:szCs w:val="22"/>
          <w:lang w:val="nl-NL"/>
        </w:rPr>
        <w:t>1378</w:t>
      </w:r>
      <w:r w:rsidR="008559E7" w:rsidRPr="00C140A8">
        <w:rPr>
          <w:rFonts w:ascii="Georgia" w:hAnsi="Georgia" w:cs="Calibri"/>
          <w:sz w:val="22"/>
          <w:szCs w:val="22"/>
          <w:lang w:val="nl-NL"/>
        </w:rPr>
        <w:t>-</w:t>
      </w:r>
      <w:r w:rsidRPr="00C140A8">
        <w:rPr>
          <w:rFonts w:ascii="Georgia" w:hAnsi="Georgia" w:cs="Calibri"/>
          <w:sz w:val="22"/>
          <w:szCs w:val="22"/>
          <w:lang w:val="nl-NL"/>
        </w:rPr>
        <w:t>79 kreeg ze nogmaals zes tonnen wijn, en daarnaast ook nog een paard.</w:t>
      </w:r>
      <w:r w:rsidRPr="00C140A8">
        <w:rPr>
          <w:rStyle w:val="FootnoteReference"/>
          <w:rFonts w:ascii="Georgia" w:hAnsi="Georgia" w:cs="Calibri"/>
          <w:sz w:val="22"/>
          <w:szCs w:val="22"/>
          <w:lang w:val="nl-NL"/>
        </w:rPr>
        <w:footnoteReference w:id="343"/>
      </w:r>
      <w:r w:rsidRPr="00C140A8">
        <w:rPr>
          <w:rFonts w:ascii="Georgia" w:hAnsi="Georgia" w:cs="Calibri"/>
          <w:sz w:val="22"/>
          <w:szCs w:val="22"/>
          <w:lang w:val="nl-NL"/>
        </w:rPr>
        <w:t xml:space="preserve"> </w:t>
      </w:r>
    </w:p>
    <w:p w14:paraId="43FE3B28" w14:textId="222EE12A" w:rsidR="00FC121E" w:rsidRPr="00C140A8" w:rsidRDefault="008A27E9"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Omgekeerd was het verkeer van geschenken naar de Vlaamse graaf beperkter. Met uitzondering van één gift betrof</w:t>
      </w:r>
      <w:r w:rsidR="00284471" w:rsidRPr="00C140A8">
        <w:rPr>
          <w:rFonts w:ascii="Georgia" w:hAnsi="Georgia" w:cs="Calibri"/>
          <w:sz w:val="22"/>
          <w:szCs w:val="22"/>
          <w:lang w:val="nl-NL"/>
        </w:rPr>
        <w:t xml:space="preserve"> dit uitsluitend Leuvense</w:t>
      </w:r>
      <w:r w:rsidR="0074122A" w:rsidRPr="00C140A8">
        <w:rPr>
          <w:rFonts w:ascii="Georgia" w:hAnsi="Georgia" w:cs="Calibri"/>
          <w:sz w:val="22"/>
          <w:szCs w:val="22"/>
          <w:lang w:val="nl-NL"/>
        </w:rPr>
        <w:t xml:space="preserve"> wijn die vanuit het beheer werd gestuurd. </w:t>
      </w:r>
      <w:r w:rsidR="00BF161C">
        <w:rPr>
          <w:rFonts w:ascii="Georgia" w:hAnsi="Georgia" w:cs="Calibri"/>
          <w:sz w:val="22"/>
          <w:szCs w:val="22"/>
          <w:lang w:val="nl-NL"/>
        </w:rPr>
        <w:t>Zo</w:t>
      </w:r>
      <w:r w:rsidR="0074122A" w:rsidRPr="00C140A8">
        <w:rPr>
          <w:rFonts w:ascii="Georgia" w:hAnsi="Georgia" w:cs="Calibri"/>
          <w:sz w:val="22"/>
          <w:szCs w:val="22"/>
          <w:lang w:val="nl-NL"/>
        </w:rPr>
        <w:t xml:space="preserve"> vergoedde Johanna op 21 december de reiskosten van </w:t>
      </w:r>
      <w:proofErr w:type="spellStart"/>
      <w:r w:rsidR="0074122A" w:rsidRPr="00C140A8">
        <w:rPr>
          <w:rFonts w:ascii="Georgia" w:hAnsi="Georgia" w:cs="Calibri"/>
          <w:sz w:val="22"/>
          <w:szCs w:val="22"/>
          <w:lang w:val="nl-NL"/>
        </w:rPr>
        <w:t>hofbouteillier</w:t>
      </w:r>
      <w:proofErr w:type="spellEnd"/>
      <w:r w:rsidR="0074122A" w:rsidRPr="00C140A8">
        <w:rPr>
          <w:rFonts w:ascii="Georgia" w:hAnsi="Georgia" w:cs="Calibri"/>
          <w:sz w:val="22"/>
          <w:szCs w:val="22"/>
          <w:lang w:val="nl-NL"/>
        </w:rPr>
        <w:t xml:space="preserve"> Wouter, die de graaf een selectie wijnen ging overhandigen. Wijn gold in deze periode als een typisch statusgeschenk, voorbehouden aan de hoogste maatschappelijke kringen.</w:t>
      </w:r>
      <w:r w:rsidR="0074122A" w:rsidRPr="00C140A8">
        <w:rPr>
          <w:rStyle w:val="FootnoteReference"/>
          <w:rFonts w:ascii="Georgia" w:hAnsi="Georgia" w:cs="Calibri"/>
          <w:sz w:val="22"/>
          <w:szCs w:val="22"/>
          <w:lang w:val="nl-NL"/>
        </w:rPr>
        <w:footnoteReference w:id="344"/>
      </w:r>
      <w:r w:rsidR="0074122A" w:rsidRPr="00C140A8">
        <w:rPr>
          <w:rFonts w:ascii="Georgia" w:hAnsi="Georgia" w:cs="Calibri"/>
          <w:sz w:val="22"/>
          <w:szCs w:val="22"/>
          <w:lang w:val="nl-NL"/>
        </w:rPr>
        <w:t xml:space="preserve"> De Vlaamse graaf overlaadde Johanna daarentegen met geschenken, wat het grote belang </w:t>
      </w:r>
      <w:proofErr w:type="gramStart"/>
      <w:r w:rsidR="0074122A" w:rsidRPr="00C140A8">
        <w:rPr>
          <w:rFonts w:ascii="Georgia" w:hAnsi="Georgia" w:cs="Calibri"/>
          <w:sz w:val="22"/>
          <w:szCs w:val="22"/>
          <w:lang w:val="nl-NL"/>
        </w:rPr>
        <w:t>onderstreept</w:t>
      </w:r>
      <w:proofErr w:type="gramEnd"/>
      <w:r w:rsidR="0074122A" w:rsidRPr="00C140A8">
        <w:rPr>
          <w:rFonts w:ascii="Georgia" w:hAnsi="Georgia" w:cs="Calibri"/>
          <w:sz w:val="22"/>
          <w:szCs w:val="22"/>
          <w:lang w:val="nl-NL"/>
        </w:rPr>
        <w:t xml:space="preserve"> dat hij aan hun relatie hechtte. Johanna's waardering hiervoor blijkt uit de opvallend hoge bodelonen die zij bij ontvangst uitkeerde. </w:t>
      </w:r>
      <w:r w:rsidR="00423935" w:rsidRPr="00C140A8">
        <w:rPr>
          <w:rFonts w:ascii="Georgia" w:hAnsi="Georgia" w:cs="Calibri"/>
          <w:sz w:val="22"/>
          <w:szCs w:val="22"/>
          <w:lang w:val="nl-NL"/>
        </w:rPr>
        <w:t>Het was gebruikelijk om de boden een kleine som uit te betalen voor hun diensten</w:t>
      </w:r>
      <w:r w:rsidR="002D51EA" w:rsidRPr="00C140A8">
        <w:rPr>
          <w:rFonts w:ascii="Georgia" w:hAnsi="Georgia" w:cs="Calibri"/>
          <w:sz w:val="22"/>
          <w:szCs w:val="22"/>
          <w:lang w:val="nl-NL"/>
        </w:rPr>
        <w:t xml:space="preserve">. </w:t>
      </w:r>
      <w:r w:rsidR="0074122A" w:rsidRPr="00C140A8">
        <w:rPr>
          <w:rFonts w:ascii="Georgia" w:hAnsi="Georgia" w:cs="Calibri"/>
          <w:sz w:val="22"/>
          <w:szCs w:val="22"/>
          <w:lang w:val="nl-NL"/>
        </w:rPr>
        <w:t>De Vlaamse bode die in 1376 damespaarden kwam afleveren, ontving bijvoorbeeld maar liefst twintig peters.</w:t>
      </w:r>
      <w:r w:rsidR="00C8762B" w:rsidRPr="00C140A8">
        <w:rPr>
          <w:rFonts w:ascii="Georgia" w:hAnsi="Georgia" w:cs="Calibri"/>
          <w:sz w:val="22"/>
          <w:szCs w:val="22"/>
          <w:lang w:val="nl-NL"/>
        </w:rPr>
        <w:t xml:space="preserve"> </w:t>
      </w:r>
      <w:r w:rsidR="00DA218C" w:rsidRPr="00C140A8">
        <w:rPr>
          <w:rFonts w:ascii="Georgia" w:hAnsi="Georgia" w:cs="Calibri"/>
          <w:sz w:val="22"/>
          <w:szCs w:val="22"/>
          <w:lang w:val="nl-NL"/>
        </w:rPr>
        <w:t>Dat is deels te verklaren door de reiskosten want drie paarden vervoeren vraagt stalknechten en tijd. Toch zegt het ook iets over het prestige van het geschenk en de erkenning van de zender.</w:t>
      </w:r>
      <w:r w:rsidR="005C465A" w:rsidRPr="00C140A8">
        <w:rPr>
          <w:rFonts w:ascii="Georgia" w:hAnsi="Georgia" w:cs="Calibri"/>
          <w:sz w:val="22"/>
          <w:szCs w:val="22"/>
          <w:lang w:val="nl-NL"/>
        </w:rPr>
        <w:t xml:space="preserve"> </w:t>
      </w:r>
      <w:r w:rsidR="0074122A" w:rsidRPr="00C140A8">
        <w:rPr>
          <w:rFonts w:ascii="Georgia" w:hAnsi="Georgia" w:cs="Calibri"/>
          <w:sz w:val="22"/>
          <w:szCs w:val="22"/>
          <w:lang w:val="nl-NL"/>
        </w:rPr>
        <w:t xml:space="preserve">Dit patroon van gulle beloningen </w:t>
      </w:r>
      <w:r w:rsidR="00C8762B" w:rsidRPr="00C140A8">
        <w:rPr>
          <w:rFonts w:ascii="Georgia" w:hAnsi="Georgia" w:cs="Calibri"/>
          <w:sz w:val="22"/>
          <w:szCs w:val="22"/>
          <w:lang w:val="nl-NL"/>
        </w:rPr>
        <w:t xml:space="preserve">zette zich door in de relatie tot Vlaanderen </w:t>
      </w:r>
      <w:r w:rsidR="0074122A" w:rsidRPr="00C140A8">
        <w:rPr>
          <w:rFonts w:ascii="Georgia" w:hAnsi="Georgia" w:cs="Calibri"/>
          <w:sz w:val="22"/>
          <w:szCs w:val="22"/>
          <w:lang w:val="nl-NL"/>
        </w:rPr>
        <w:t xml:space="preserve">en vormt een contrast met de </w:t>
      </w:r>
      <w:r w:rsidR="00C8762B" w:rsidRPr="00C140A8">
        <w:rPr>
          <w:rFonts w:ascii="Georgia" w:hAnsi="Georgia" w:cs="Calibri"/>
          <w:sz w:val="22"/>
          <w:szCs w:val="22"/>
          <w:lang w:val="nl-NL"/>
        </w:rPr>
        <w:t>andere</w:t>
      </w:r>
      <w:r w:rsidR="0074122A" w:rsidRPr="00C140A8">
        <w:rPr>
          <w:rFonts w:ascii="Georgia" w:hAnsi="Georgia" w:cs="Calibri"/>
          <w:sz w:val="22"/>
          <w:szCs w:val="22"/>
          <w:lang w:val="nl-NL"/>
        </w:rPr>
        <w:t xml:space="preserve"> zendingen.</w:t>
      </w:r>
      <w:r w:rsidR="00F3439F" w:rsidRPr="00C140A8">
        <w:rPr>
          <w:rFonts w:ascii="Georgia" w:hAnsi="Georgia" w:cs="Calibri"/>
          <w:sz w:val="22"/>
          <w:szCs w:val="22"/>
          <w:lang w:val="nl-NL"/>
        </w:rPr>
        <w:t xml:space="preserve"> </w:t>
      </w:r>
      <w:r w:rsidR="00045F3C" w:rsidRPr="00C140A8">
        <w:rPr>
          <w:rFonts w:ascii="Georgia" w:hAnsi="Georgia" w:cs="Calibri"/>
          <w:sz w:val="22"/>
          <w:szCs w:val="22"/>
          <w:lang w:val="nl-NL"/>
        </w:rPr>
        <w:t xml:space="preserve">Op 11 april 1377 stuurt de Vlaamse graaf een vat wijn en </w:t>
      </w:r>
      <w:r w:rsidR="0034625C">
        <w:rPr>
          <w:rFonts w:ascii="Georgia" w:hAnsi="Georgia" w:cs="Calibri"/>
          <w:sz w:val="22"/>
          <w:szCs w:val="22"/>
          <w:lang w:val="nl-NL"/>
        </w:rPr>
        <w:t>ze</w:t>
      </w:r>
      <w:r w:rsidR="00045F3C" w:rsidRPr="00C140A8">
        <w:rPr>
          <w:rFonts w:ascii="Georgia" w:hAnsi="Georgia" w:cs="Calibri"/>
          <w:sz w:val="22"/>
          <w:szCs w:val="22"/>
          <w:lang w:val="nl-NL"/>
        </w:rPr>
        <w:t xml:space="preserve"> betaalt daarvoor een bodeloon v</w:t>
      </w:r>
      <w:r w:rsidR="00E63806" w:rsidRPr="00C140A8">
        <w:rPr>
          <w:rFonts w:ascii="Georgia" w:hAnsi="Georgia" w:cs="Calibri"/>
          <w:sz w:val="22"/>
          <w:szCs w:val="22"/>
          <w:lang w:val="nl-NL"/>
        </w:rPr>
        <w:t xml:space="preserve">an 16 </w:t>
      </w:r>
      <w:proofErr w:type="spellStart"/>
      <w:r w:rsidR="00E63806" w:rsidRPr="00C140A8">
        <w:rPr>
          <w:rFonts w:ascii="Georgia" w:hAnsi="Georgia" w:cs="Calibri"/>
          <w:sz w:val="22"/>
          <w:szCs w:val="22"/>
          <w:lang w:val="nl-NL"/>
        </w:rPr>
        <w:t>p</w:t>
      </w:r>
      <w:r w:rsidR="006D5ED5">
        <w:rPr>
          <w:rFonts w:ascii="Georgia" w:hAnsi="Georgia" w:cs="Calibri"/>
          <w:sz w:val="22"/>
          <w:szCs w:val="22"/>
          <w:lang w:val="nl-NL"/>
        </w:rPr>
        <w:t>i</w:t>
      </w:r>
      <w:r w:rsidR="00E63806" w:rsidRPr="00C140A8">
        <w:rPr>
          <w:rFonts w:ascii="Georgia" w:hAnsi="Georgia" w:cs="Calibri"/>
          <w:sz w:val="22"/>
          <w:szCs w:val="22"/>
          <w:lang w:val="nl-NL"/>
        </w:rPr>
        <w:t>eters</w:t>
      </w:r>
      <w:proofErr w:type="spellEnd"/>
      <w:r w:rsidR="00E63806" w:rsidRPr="00C140A8">
        <w:rPr>
          <w:rFonts w:ascii="Georgia" w:hAnsi="Georgia" w:cs="Calibri"/>
          <w:sz w:val="22"/>
          <w:szCs w:val="22"/>
          <w:lang w:val="nl-NL"/>
        </w:rPr>
        <w:t xml:space="preserve">. </w:t>
      </w:r>
      <w:r w:rsidR="0074122A" w:rsidRPr="00C140A8">
        <w:rPr>
          <w:rFonts w:ascii="Georgia" w:hAnsi="Georgia" w:cs="Calibri"/>
          <w:sz w:val="22"/>
          <w:szCs w:val="22"/>
          <w:lang w:val="nl-NL"/>
        </w:rPr>
        <w:t>Ter vergelijking</w:t>
      </w:r>
      <w:r w:rsidR="00151ABF">
        <w:rPr>
          <w:rFonts w:ascii="Georgia" w:hAnsi="Georgia" w:cs="Calibri"/>
          <w:sz w:val="22"/>
          <w:szCs w:val="22"/>
          <w:lang w:val="nl-NL"/>
        </w:rPr>
        <w:t xml:space="preserve">, </w:t>
      </w:r>
      <w:r w:rsidR="0074122A" w:rsidRPr="00C140A8">
        <w:rPr>
          <w:rFonts w:ascii="Georgia" w:hAnsi="Georgia" w:cs="Calibri"/>
          <w:sz w:val="22"/>
          <w:szCs w:val="22"/>
          <w:lang w:val="nl-NL"/>
        </w:rPr>
        <w:t xml:space="preserve">toen de Mechelse stadsboden </w:t>
      </w:r>
      <w:r w:rsidR="00E63806" w:rsidRPr="00C140A8">
        <w:rPr>
          <w:rFonts w:ascii="Georgia" w:hAnsi="Georgia" w:cs="Calibri"/>
          <w:sz w:val="22"/>
          <w:szCs w:val="22"/>
          <w:lang w:val="nl-NL"/>
        </w:rPr>
        <w:t>een week daarvoor, op</w:t>
      </w:r>
      <w:r w:rsidR="0074122A" w:rsidRPr="00C140A8">
        <w:rPr>
          <w:rFonts w:ascii="Georgia" w:hAnsi="Georgia" w:cs="Calibri"/>
          <w:sz w:val="22"/>
          <w:szCs w:val="22"/>
          <w:lang w:val="nl-NL"/>
        </w:rPr>
        <w:t xml:space="preserve"> 1 april een vat wijn </w:t>
      </w:r>
      <w:r w:rsidR="00BF161C">
        <w:rPr>
          <w:rFonts w:ascii="Georgia" w:hAnsi="Georgia" w:cs="Calibri"/>
          <w:sz w:val="22"/>
          <w:szCs w:val="22"/>
          <w:lang w:val="nl-NL"/>
        </w:rPr>
        <w:t>brachten</w:t>
      </w:r>
      <w:r w:rsidR="0074122A" w:rsidRPr="00C140A8">
        <w:rPr>
          <w:rFonts w:ascii="Georgia" w:hAnsi="Georgia" w:cs="Calibri"/>
          <w:sz w:val="22"/>
          <w:szCs w:val="22"/>
          <w:lang w:val="nl-NL"/>
        </w:rPr>
        <w:t xml:space="preserve">, kregen zij een fooi van slechts drie </w:t>
      </w:r>
      <w:proofErr w:type="spellStart"/>
      <w:r w:rsidR="0074122A" w:rsidRPr="00C140A8">
        <w:rPr>
          <w:rFonts w:ascii="Georgia" w:hAnsi="Georgia" w:cs="Calibri"/>
          <w:sz w:val="22"/>
          <w:szCs w:val="22"/>
          <w:lang w:val="nl-NL"/>
        </w:rPr>
        <w:t>p</w:t>
      </w:r>
      <w:r w:rsidR="00F1308A">
        <w:rPr>
          <w:rFonts w:ascii="Georgia" w:hAnsi="Georgia" w:cs="Calibri"/>
          <w:sz w:val="22"/>
          <w:szCs w:val="22"/>
          <w:lang w:val="nl-NL"/>
        </w:rPr>
        <w:t>i</w:t>
      </w:r>
      <w:r w:rsidR="0074122A" w:rsidRPr="00C140A8">
        <w:rPr>
          <w:rFonts w:ascii="Georgia" w:hAnsi="Georgia" w:cs="Calibri"/>
          <w:sz w:val="22"/>
          <w:szCs w:val="22"/>
          <w:lang w:val="nl-NL"/>
        </w:rPr>
        <w:t>eters</w:t>
      </w:r>
      <w:proofErr w:type="spellEnd"/>
      <w:r w:rsidR="0074122A" w:rsidRPr="00C140A8">
        <w:rPr>
          <w:rFonts w:ascii="Georgia" w:hAnsi="Georgia" w:cs="Calibri"/>
          <w:sz w:val="22"/>
          <w:szCs w:val="22"/>
          <w:lang w:val="nl-NL"/>
        </w:rPr>
        <w:t>.</w:t>
      </w:r>
      <w:r w:rsidR="0074122A" w:rsidRPr="00C140A8">
        <w:rPr>
          <w:rStyle w:val="FootnoteReference"/>
          <w:rFonts w:ascii="Georgia" w:hAnsi="Georgia" w:cs="Calibri"/>
          <w:sz w:val="22"/>
          <w:szCs w:val="22"/>
          <w:lang w:val="nl-NL"/>
        </w:rPr>
        <w:footnoteReference w:id="345"/>
      </w:r>
      <w:r w:rsidR="0074122A" w:rsidRPr="00C140A8">
        <w:rPr>
          <w:rFonts w:ascii="Georgia" w:hAnsi="Georgia" w:cs="Calibri"/>
          <w:sz w:val="22"/>
          <w:szCs w:val="22"/>
          <w:lang w:val="nl-NL"/>
        </w:rPr>
        <w:t xml:space="preserve"> </w:t>
      </w:r>
      <w:r w:rsidR="00151ABF">
        <w:rPr>
          <w:rFonts w:ascii="Georgia" w:hAnsi="Georgia" w:cs="Calibri"/>
          <w:sz w:val="22"/>
          <w:szCs w:val="22"/>
          <w:lang w:val="nl-NL"/>
        </w:rPr>
        <w:t>Op eenzelfde manier</w:t>
      </w:r>
      <w:r w:rsidR="0074122A" w:rsidRPr="00C140A8">
        <w:rPr>
          <w:rFonts w:ascii="Georgia" w:hAnsi="Georgia" w:cs="Calibri"/>
          <w:sz w:val="22"/>
          <w:szCs w:val="22"/>
          <w:lang w:val="nl-NL"/>
        </w:rPr>
        <w:t xml:space="preserve"> ontvingen de stadsboden van Aken voor hun jaarlijkse levering van een vat mede een vaste beloning van vier à vijf </w:t>
      </w:r>
      <w:proofErr w:type="spellStart"/>
      <w:r w:rsidR="0074122A" w:rsidRPr="00C140A8">
        <w:rPr>
          <w:rFonts w:ascii="Georgia" w:hAnsi="Georgia" w:cs="Calibri"/>
          <w:sz w:val="22"/>
          <w:szCs w:val="22"/>
          <w:lang w:val="nl-NL"/>
        </w:rPr>
        <w:t>p</w:t>
      </w:r>
      <w:r w:rsidR="00F1308A">
        <w:rPr>
          <w:rFonts w:ascii="Georgia" w:hAnsi="Georgia" w:cs="Calibri"/>
          <w:sz w:val="22"/>
          <w:szCs w:val="22"/>
          <w:lang w:val="nl-NL"/>
        </w:rPr>
        <w:t>i</w:t>
      </w:r>
      <w:r w:rsidR="0074122A" w:rsidRPr="00C140A8">
        <w:rPr>
          <w:rFonts w:ascii="Georgia" w:hAnsi="Georgia" w:cs="Calibri"/>
          <w:sz w:val="22"/>
          <w:szCs w:val="22"/>
          <w:lang w:val="nl-NL"/>
        </w:rPr>
        <w:t>eters</w:t>
      </w:r>
      <w:proofErr w:type="spellEnd"/>
      <w:r w:rsidR="0074122A" w:rsidRPr="00C140A8">
        <w:rPr>
          <w:rFonts w:ascii="Georgia" w:hAnsi="Georgia" w:cs="Calibri"/>
          <w:sz w:val="22"/>
          <w:szCs w:val="22"/>
          <w:lang w:val="nl-NL"/>
        </w:rPr>
        <w:t>.</w:t>
      </w:r>
      <w:r w:rsidR="0074122A" w:rsidRPr="00C140A8">
        <w:rPr>
          <w:rStyle w:val="FootnoteReference"/>
          <w:rFonts w:ascii="Georgia" w:hAnsi="Georgia" w:cs="Calibri"/>
          <w:sz w:val="22"/>
          <w:szCs w:val="22"/>
          <w:lang w:val="nl-NL"/>
        </w:rPr>
        <w:footnoteReference w:id="346"/>
      </w:r>
      <w:r w:rsidR="00C8762B" w:rsidRPr="00C140A8">
        <w:rPr>
          <w:rFonts w:ascii="Georgia" w:hAnsi="Georgia" w:cs="Calibri"/>
          <w:sz w:val="22"/>
          <w:szCs w:val="22"/>
          <w:lang w:val="nl-NL"/>
        </w:rPr>
        <w:t xml:space="preserve"> </w:t>
      </w:r>
      <w:r w:rsidR="00151ABF">
        <w:rPr>
          <w:rFonts w:ascii="Georgia" w:hAnsi="Georgia" w:cs="Calibri"/>
          <w:sz w:val="22"/>
          <w:szCs w:val="22"/>
          <w:lang w:val="nl-NL"/>
        </w:rPr>
        <w:t>De</w:t>
      </w:r>
      <w:r w:rsidR="00926F95" w:rsidRPr="00C140A8">
        <w:rPr>
          <w:rFonts w:ascii="Georgia" w:hAnsi="Georgia" w:cs="Calibri"/>
          <w:sz w:val="22"/>
          <w:szCs w:val="22"/>
          <w:lang w:val="nl-NL"/>
        </w:rPr>
        <w:t xml:space="preserve"> </w:t>
      </w:r>
      <w:r w:rsidR="00151ABF">
        <w:rPr>
          <w:rFonts w:ascii="Georgia" w:hAnsi="Georgia" w:cs="Calibri"/>
          <w:sz w:val="22"/>
          <w:szCs w:val="22"/>
          <w:lang w:val="nl-NL"/>
        </w:rPr>
        <w:t>keuze in</w:t>
      </w:r>
      <w:r w:rsidR="001E174C" w:rsidRPr="00C140A8">
        <w:rPr>
          <w:rFonts w:ascii="Georgia" w:hAnsi="Georgia" w:cs="Calibri"/>
          <w:sz w:val="22"/>
          <w:szCs w:val="22"/>
          <w:lang w:val="nl-NL"/>
        </w:rPr>
        <w:t xml:space="preserve"> wijn kan </w:t>
      </w:r>
      <w:r w:rsidR="005C465A" w:rsidRPr="00C140A8">
        <w:rPr>
          <w:rFonts w:ascii="Georgia" w:hAnsi="Georgia" w:cs="Calibri"/>
          <w:sz w:val="22"/>
          <w:szCs w:val="22"/>
          <w:lang w:val="nl-NL"/>
        </w:rPr>
        <w:t xml:space="preserve">zeker een doorslaggevende factor spelen </w:t>
      </w:r>
      <w:r w:rsidR="00487467">
        <w:rPr>
          <w:rFonts w:ascii="Georgia" w:hAnsi="Georgia" w:cs="Calibri"/>
          <w:sz w:val="22"/>
          <w:szCs w:val="22"/>
          <w:lang w:val="nl-NL"/>
        </w:rPr>
        <w:t>bij</w:t>
      </w:r>
      <w:r w:rsidR="005C465A" w:rsidRPr="00C140A8">
        <w:rPr>
          <w:rFonts w:ascii="Georgia" w:hAnsi="Georgia" w:cs="Calibri"/>
          <w:sz w:val="22"/>
          <w:szCs w:val="22"/>
          <w:lang w:val="nl-NL"/>
        </w:rPr>
        <w:t xml:space="preserve"> </w:t>
      </w:r>
      <w:r w:rsidR="00487467">
        <w:rPr>
          <w:rFonts w:ascii="Georgia" w:hAnsi="Georgia" w:cs="Calibri"/>
          <w:sz w:val="22"/>
          <w:szCs w:val="22"/>
          <w:lang w:val="nl-NL"/>
        </w:rPr>
        <w:t>het</w:t>
      </w:r>
      <w:r w:rsidR="005C465A" w:rsidRPr="00C140A8">
        <w:rPr>
          <w:rFonts w:ascii="Georgia" w:hAnsi="Georgia" w:cs="Calibri"/>
          <w:sz w:val="22"/>
          <w:szCs w:val="22"/>
          <w:lang w:val="nl-NL"/>
        </w:rPr>
        <w:t xml:space="preserve"> b</w:t>
      </w:r>
      <w:r w:rsidR="00487467">
        <w:rPr>
          <w:rFonts w:ascii="Georgia" w:hAnsi="Georgia" w:cs="Calibri"/>
          <w:sz w:val="22"/>
          <w:szCs w:val="22"/>
          <w:lang w:val="nl-NL"/>
        </w:rPr>
        <w:t>epale</w:t>
      </w:r>
      <w:r w:rsidR="005C465A" w:rsidRPr="00C140A8">
        <w:rPr>
          <w:rFonts w:ascii="Georgia" w:hAnsi="Georgia" w:cs="Calibri"/>
          <w:sz w:val="22"/>
          <w:szCs w:val="22"/>
          <w:lang w:val="nl-NL"/>
        </w:rPr>
        <w:t xml:space="preserve">n </w:t>
      </w:r>
      <w:r w:rsidR="00487467">
        <w:rPr>
          <w:rFonts w:ascii="Georgia" w:hAnsi="Georgia" w:cs="Calibri"/>
          <w:sz w:val="22"/>
          <w:szCs w:val="22"/>
          <w:lang w:val="nl-NL"/>
        </w:rPr>
        <w:t>van</w:t>
      </w:r>
      <w:r w:rsidR="005C465A" w:rsidRPr="00C140A8">
        <w:rPr>
          <w:rFonts w:ascii="Georgia" w:hAnsi="Georgia" w:cs="Calibri"/>
          <w:sz w:val="22"/>
          <w:szCs w:val="22"/>
          <w:lang w:val="nl-NL"/>
        </w:rPr>
        <w:t xml:space="preserve"> </w:t>
      </w:r>
      <w:r w:rsidR="00BF161C">
        <w:rPr>
          <w:rFonts w:ascii="Georgia" w:hAnsi="Georgia" w:cs="Calibri"/>
          <w:sz w:val="22"/>
          <w:szCs w:val="22"/>
          <w:lang w:val="nl-NL"/>
        </w:rPr>
        <w:t>het bodeloon</w:t>
      </w:r>
      <w:r w:rsidR="005C465A" w:rsidRPr="00C140A8">
        <w:rPr>
          <w:rFonts w:ascii="Georgia" w:hAnsi="Georgia" w:cs="Calibri"/>
          <w:sz w:val="22"/>
          <w:szCs w:val="22"/>
          <w:lang w:val="nl-NL"/>
        </w:rPr>
        <w:t>.</w:t>
      </w:r>
      <w:r w:rsidR="00486C70" w:rsidRPr="00C140A8">
        <w:rPr>
          <w:rStyle w:val="FootnoteReference"/>
          <w:rFonts w:ascii="Georgia" w:hAnsi="Georgia" w:cs="Calibri"/>
          <w:sz w:val="22"/>
          <w:szCs w:val="22"/>
          <w:lang w:val="nl-NL"/>
        </w:rPr>
        <w:t xml:space="preserve"> </w:t>
      </w:r>
      <w:r w:rsidR="00B7378B" w:rsidRPr="00C140A8">
        <w:rPr>
          <w:rFonts w:ascii="Georgia" w:hAnsi="Georgia" w:cs="Calibri"/>
          <w:sz w:val="22"/>
          <w:szCs w:val="22"/>
          <w:lang w:val="nl-NL"/>
        </w:rPr>
        <w:t xml:space="preserve">Toch lijkt </w:t>
      </w:r>
      <w:r w:rsidR="001E174C" w:rsidRPr="00C140A8">
        <w:rPr>
          <w:rFonts w:ascii="Georgia" w:hAnsi="Georgia" w:cs="Calibri"/>
          <w:sz w:val="22"/>
          <w:szCs w:val="22"/>
          <w:lang w:val="nl-NL"/>
        </w:rPr>
        <w:t>Johanna</w:t>
      </w:r>
      <w:r w:rsidR="00B7378B" w:rsidRPr="00C140A8">
        <w:rPr>
          <w:rFonts w:ascii="Georgia" w:hAnsi="Georgia" w:cs="Calibri"/>
          <w:sz w:val="22"/>
          <w:szCs w:val="22"/>
          <w:lang w:val="nl-NL"/>
        </w:rPr>
        <w:t>’s voorkeur ook vervat te zitten in de bodelonen die ze aan de boden van de Vlaamse graaf geeft</w:t>
      </w:r>
      <w:r w:rsidR="007812C7" w:rsidRPr="00C140A8">
        <w:rPr>
          <w:rFonts w:ascii="Georgia" w:hAnsi="Georgia" w:cs="Calibri"/>
          <w:sz w:val="22"/>
          <w:szCs w:val="22"/>
          <w:lang w:val="nl-NL"/>
        </w:rPr>
        <w:t xml:space="preserve">. Mario Damen merkt iets gelijkaardigs op in zijn studie naar </w:t>
      </w:r>
      <w:r w:rsidR="007812C7" w:rsidRPr="00C140A8">
        <w:rPr>
          <w:rFonts w:ascii="Georgia" w:hAnsi="Georgia" w:cs="Calibri"/>
          <w:sz w:val="22"/>
          <w:szCs w:val="22"/>
          <w:lang w:val="nl-NL"/>
        </w:rPr>
        <w:lastRenderedPageBreak/>
        <w:t xml:space="preserve">de geschenken van Karel de Stoute. Volgens hem weerspiegelt het bodeloon het diplomatieke belang van de relatie.  Een ruim bodeloon duidt op goed onderhouden contacten, en functioneert </w:t>
      </w:r>
      <w:r w:rsidR="00FC121E" w:rsidRPr="00C140A8">
        <w:rPr>
          <w:rFonts w:ascii="Georgia" w:hAnsi="Georgia" w:cs="Calibri"/>
          <w:sz w:val="22"/>
          <w:szCs w:val="22"/>
          <w:lang w:val="nl-NL"/>
        </w:rPr>
        <w:t>zoals</w:t>
      </w:r>
      <w:r w:rsidR="007812C7" w:rsidRPr="00C140A8">
        <w:rPr>
          <w:rFonts w:ascii="Georgia" w:hAnsi="Georgia" w:cs="Calibri"/>
          <w:sz w:val="22"/>
          <w:szCs w:val="22"/>
          <w:lang w:val="nl-NL"/>
        </w:rPr>
        <w:t xml:space="preserve"> een vorm van politieke communicatie.</w:t>
      </w:r>
      <w:r w:rsidR="007812C7" w:rsidRPr="00C140A8">
        <w:rPr>
          <w:rStyle w:val="FootnoteReference"/>
          <w:rFonts w:ascii="Georgia" w:hAnsi="Georgia" w:cs="Calibri"/>
          <w:sz w:val="22"/>
          <w:szCs w:val="22"/>
          <w:lang w:val="nl-NL"/>
        </w:rPr>
        <w:footnoteReference w:id="347"/>
      </w:r>
      <w:r w:rsidR="007812C7" w:rsidRPr="00C140A8">
        <w:rPr>
          <w:rFonts w:ascii="Georgia" w:hAnsi="Georgia" w:cs="Calibri"/>
          <w:sz w:val="22"/>
          <w:szCs w:val="22"/>
          <w:lang w:val="nl-NL"/>
        </w:rPr>
        <w:t xml:space="preserve"> </w:t>
      </w:r>
      <w:r w:rsidR="005D060A" w:rsidRPr="00C140A8">
        <w:rPr>
          <w:rFonts w:ascii="Georgia" w:hAnsi="Georgia" w:cs="Calibri"/>
          <w:sz w:val="22"/>
          <w:szCs w:val="22"/>
          <w:lang w:val="nl-NL"/>
        </w:rPr>
        <w:t xml:space="preserve">Het was in wezen een </w:t>
      </w:r>
      <w:r w:rsidR="00A83076">
        <w:rPr>
          <w:noProof/>
        </w:rPr>
        <mc:AlternateContent>
          <mc:Choice Requires="wps">
            <w:drawing>
              <wp:anchor distT="0" distB="0" distL="114300" distR="114300" simplePos="0" relativeHeight="251733503" behindDoc="0" locked="0" layoutInCell="1" allowOverlap="1" wp14:anchorId="5EB7B7B0" wp14:editId="63594C6E">
                <wp:simplePos x="0" y="0"/>
                <wp:positionH relativeFrom="column">
                  <wp:posOffset>42834</wp:posOffset>
                </wp:positionH>
                <wp:positionV relativeFrom="paragraph">
                  <wp:posOffset>5017135</wp:posOffset>
                </wp:positionV>
                <wp:extent cx="5785485" cy="258445"/>
                <wp:effectExtent l="0" t="0" r="5715" b="0"/>
                <wp:wrapTopAndBottom/>
                <wp:docPr id="573660707" name="Text Box 1"/>
                <wp:cNvGraphicFramePr/>
                <a:graphic xmlns:a="http://schemas.openxmlformats.org/drawingml/2006/main">
                  <a:graphicData uri="http://schemas.microsoft.com/office/word/2010/wordprocessingShape">
                    <wps:wsp>
                      <wps:cNvSpPr txBox="1"/>
                      <wps:spPr>
                        <a:xfrm>
                          <a:off x="0" y="0"/>
                          <a:ext cx="5785485" cy="258445"/>
                        </a:xfrm>
                        <a:prstGeom prst="rect">
                          <a:avLst/>
                        </a:prstGeom>
                        <a:solidFill>
                          <a:prstClr val="white"/>
                        </a:solidFill>
                        <a:ln>
                          <a:noFill/>
                        </a:ln>
                      </wps:spPr>
                      <wps:txbx>
                        <w:txbxContent>
                          <w:p w14:paraId="133CBA3C" w14:textId="3D07BA9D" w:rsidR="00A83076" w:rsidRPr="00B13075" w:rsidRDefault="00A83076" w:rsidP="00A83076">
                            <w:pPr>
                              <w:pStyle w:val="Caption"/>
                              <w:rPr>
                                <w:rFonts w:ascii="Georgia" w:hAnsi="Georgia" w:cs="Calibri"/>
                                <w:sz w:val="22"/>
                                <w:szCs w:val="22"/>
                                <w:lang w:val="nl-NL"/>
                              </w:rPr>
                            </w:pPr>
                            <w:bookmarkStart w:id="206" w:name="_Toc231462067"/>
                            <w:r w:rsidRPr="00A83076">
                              <w:rPr>
                                <w:b/>
                                <w:bCs/>
                              </w:rPr>
                              <w:t xml:space="preserve">Tabel </w:t>
                            </w:r>
                            <w:r w:rsidRPr="00A83076">
                              <w:rPr>
                                <w:b/>
                                <w:bCs/>
                              </w:rPr>
                              <w:fldChar w:fldCharType="begin"/>
                            </w:r>
                            <w:r w:rsidRPr="00A83076">
                              <w:rPr>
                                <w:b/>
                                <w:bCs/>
                              </w:rPr>
                              <w:instrText xml:space="preserve"> SEQ Tabel \* ARABIC </w:instrText>
                            </w:r>
                            <w:r w:rsidRPr="00A83076">
                              <w:rPr>
                                <w:b/>
                                <w:bCs/>
                              </w:rPr>
                              <w:fldChar w:fldCharType="separate"/>
                            </w:r>
                            <w:r w:rsidR="00F83A3D">
                              <w:rPr>
                                <w:b/>
                                <w:bCs/>
                                <w:noProof/>
                              </w:rPr>
                              <w:t>6</w:t>
                            </w:r>
                            <w:r w:rsidRPr="00A83076">
                              <w:rPr>
                                <w:b/>
                                <w:bCs/>
                              </w:rPr>
                              <w:fldChar w:fldCharType="end"/>
                            </w:r>
                            <w:r w:rsidRPr="000F1603">
                              <w:t xml:space="preserve">:Geschenken van de Vlaamse graaf, Lodewijk van Male, aan Johanna in de </w:t>
                            </w:r>
                            <w:r>
                              <w:t>‘</w:t>
                            </w:r>
                            <w:r w:rsidRPr="000F1603">
                              <w:t>foreine partieën</w:t>
                            </w:r>
                            <w:r>
                              <w:t xml:space="preserve">’ </w:t>
                            </w:r>
                            <w:r w:rsidRPr="000F1603">
                              <w:t>(1376-1380)</w:t>
                            </w:r>
                            <w:bookmarkEnd w:id="20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B7B7B0" id="_x0000_s1032" type="#_x0000_t202" style="position:absolute;left:0;text-align:left;margin-left:3.35pt;margin-top:395.05pt;width:455.55pt;height:20.35pt;z-index:25173350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" stroked="f">
                <v:textbox inset="0,0,0,0">
                  <w:txbxContent>
                    <w:p w14:paraId="133CBA3C" w14:textId="3D07BA9D" w:rsidR="00A83076" w:rsidRPr="00B13075" w:rsidRDefault="00A83076" w:rsidP="00A83076">
                      <w:pPr>
                        <w:pStyle w:val="Caption"/>
                        <w:rPr>
                          <w:rFonts w:ascii="Georgia" w:hAnsi="Georgia" w:cs="Calibri"/>
                          <w:sz w:val="22"/>
                          <w:szCs w:val="22"/>
                          <w:lang w:val="nl-NL"/>
                        </w:rPr>
                      </w:pPr>
                      <w:bookmarkStart w:id="207" w:name="_Toc231462067"/>
                      <w:r w:rsidRPr="00A83076">
                        <w:rPr>
                          <w:b/>
                          <w:bCs/>
                        </w:rPr>
                        <w:t xml:space="preserve">Tabel </w:t>
                      </w:r>
                      <w:r w:rsidRPr="00A83076">
                        <w:rPr>
                          <w:b/>
                          <w:bCs/>
                        </w:rPr>
                        <w:fldChar w:fldCharType="begin"/>
                      </w:r>
                      <w:r w:rsidRPr="00A83076">
                        <w:rPr>
                          <w:b/>
                          <w:bCs/>
                        </w:rPr>
                        <w:instrText xml:space="preserve"> SEQ Tabel \* ARABIC </w:instrText>
                      </w:r>
                      <w:r w:rsidRPr="00A83076">
                        <w:rPr>
                          <w:b/>
                          <w:bCs/>
                        </w:rPr>
                        <w:fldChar w:fldCharType="separate"/>
                      </w:r>
                      <w:r w:rsidR="00F83A3D">
                        <w:rPr>
                          <w:b/>
                          <w:bCs/>
                          <w:noProof/>
                        </w:rPr>
                        <w:t>6</w:t>
                      </w:r>
                      <w:r w:rsidRPr="00A83076">
                        <w:rPr>
                          <w:b/>
                          <w:bCs/>
                        </w:rPr>
                        <w:fldChar w:fldCharType="end"/>
                      </w:r>
                      <w:r w:rsidRPr="000F1603">
                        <w:t xml:space="preserve">:Geschenken van de Vlaamse graaf, Lodewijk van Male, aan Johanna in de </w:t>
                      </w:r>
                      <w:r>
                        <w:t>‘</w:t>
                      </w:r>
                      <w:r w:rsidRPr="000F1603">
                        <w:t>foreine partieën</w:t>
                      </w:r>
                      <w:r>
                        <w:t xml:space="preserve">’ </w:t>
                      </w:r>
                      <w:r w:rsidRPr="000F1603">
                        <w:t>(1376-1380)</w:t>
                      </w:r>
                      <w:bookmarkEnd w:id="207"/>
                    </w:p>
                  </w:txbxContent>
                </v:textbox>
                <w10:wrap type="topAndBottom"/>
              </v:shape>
            </w:pict>
          </mc:Fallback>
        </mc:AlternateContent>
      </w:r>
      <w:r w:rsidR="00A83076" w:rsidRPr="008171B7">
        <w:rPr>
          <w:rFonts w:ascii="Georgia" w:hAnsi="Georgia" w:cs="Calibri"/>
          <w:i/>
          <w:iCs/>
          <w:noProof/>
          <w:color w:val="000000" w:themeColor="text1"/>
          <w:sz w:val="22"/>
          <w:szCs w:val="22"/>
          <w:lang w:val="nl-NL"/>
          <w14:ligatures w14:val="standardContextual"/>
        </w:rPr>
        <w:drawing>
          <wp:anchor distT="0" distB="0" distL="114300" distR="114300" simplePos="0" relativeHeight="251704831" behindDoc="0" locked="0" layoutInCell="1" allowOverlap="1" wp14:anchorId="51ABF578" wp14:editId="68DC59DF">
            <wp:simplePos x="0" y="0"/>
            <wp:positionH relativeFrom="column">
              <wp:posOffset>-635</wp:posOffset>
            </wp:positionH>
            <wp:positionV relativeFrom="paragraph">
              <wp:posOffset>987482</wp:posOffset>
            </wp:positionV>
            <wp:extent cx="5785485" cy="3974465"/>
            <wp:effectExtent l="0" t="0" r="5715" b="635"/>
            <wp:wrapTopAndBottom/>
            <wp:docPr id="732885208" name="Picture 20" descr="A table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885208" name="Picture 20" descr="A table with text and numbers&#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85485" cy="3974465"/>
                    </a:xfrm>
                    <a:prstGeom prst="rect">
                      <a:avLst/>
                    </a:prstGeom>
                  </pic:spPr>
                </pic:pic>
              </a:graphicData>
            </a:graphic>
            <wp14:sizeRelH relativeFrom="page">
              <wp14:pctWidth>0</wp14:pctWidth>
            </wp14:sizeRelH>
            <wp14:sizeRelV relativeFrom="page">
              <wp14:pctHeight>0</wp14:pctHeight>
            </wp14:sizeRelV>
          </wp:anchor>
        </w:drawing>
      </w:r>
      <w:r w:rsidR="005D060A" w:rsidRPr="00C140A8">
        <w:rPr>
          <w:rFonts w:ascii="Georgia" w:hAnsi="Georgia" w:cs="Calibri"/>
          <w:sz w:val="22"/>
          <w:szCs w:val="22"/>
          <w:lang w:val="nl-NL"/>
        </w:rPr>
        <w:t>geritualiseerde actie die de relatie herbevestigde</w:t>
      </w:r>
      <w:r w:rsidR="007812C7" w:rsidRPr="00C140A8">
        <w:rPr>
          <w:rFonts w:ascii="Georgia" w:hAnsi="Georgia" w:cs="Calibri"/>
          <w:sz w:val="22"/>
          <w:szCs w:val="22"/>
          <w:lang w:val="nl-NL"/>
        </w:rPr>
        <w:t>.</w:t>
      </w:r>
      <w:r w:rsidR="007812C7" w:rsidRPr="00C140A8">
        <w:rPr>
          <w:rStyle w:val="FootnoteReference"/>
          <w:rFonts w:ascii="Georgia" w:hAnsi="Georgia" w:cs="Calibri"/>
          <w:sz w:val="22"/>
          <w:szCs w:val="22"/>
          <w:lang w:val="nl-NL"/>
        </w:rPr>
        <w:footnoteReference w:id="348"/>
      </w:r>
    </w:p>
    <w:p w14:paraId="5080E237" w14:textId="685BA340" w:rsidR="00DD3F45" w:rsidRPr="008171B7" w:rsidRDefault="00926F95" w:rsidP="00432F6B">
      <w:pPr>
        <w:pStyle w:val="Caption"/>
        <w:spacing w:line="360" w:lineRule="auto"/>
        <w:jc w:val="both"/>
        <w:rPr>
          <w:rFonts w:ascii="Georgia" w:hAnsi="Georgia" w:cs="Calibri"/>
          <w:i w:val="0"/>
          <w:iCs w:val="0"/>
          <w:color w:val="000000" w:themeColor="text1"/>
          <w:sz w:val="22"/>
          <w:szCs w:val="22"/>
          <w:lang w:val="nl-NL"/>
        </w:rPr>
      </w:pPr>
      <w:r w:rsidRPr="008171B7">
        <w:rPr>
          <w:rFonts w:ascii="Georgia" w:hAnsi="Georgia" w:cs="Calibri"/>
          <w:i w:val="0"/>
          <w:iCs w:val="0"/>
          <w:color w:val="000000" w:themeColor="text1"/>
          <w:sz w:val="22"/>
          <w:szCs w:val="22"/>
          <w:lang w:val="nl-NL"/>
        </w:rPr>
        <w:t>Tegelijk</w:t>
      </w:r>
      <w:r w:rsidR="006958F9" w:rsidRPr="008171B7">
        <w:rPr>
          <w:rFonts w:ascii="Georgia" w:hAnsi="Georgia" w:cs="Calibri"/>
          <w:i w:val="0"/>
          <w:iCs w:val="0"/>
          <w:color w:val="000000" w:themeColor="text1"/>
          <w:sz w:val="22"/>
          <w:szCs w:val="22"/>
          <w:lang w:val="nl-NL"/>
        </w:rPr>
        <w:t xml:space="preserve"> waren </w:t>
      </w:r>
      <w:r w:rsidR="00DD3F45" w:rsidRPr="008171B7">
        <w:rPr>
          <w:rFonts w:ascii="Georgia" w:hAnsi="Georgia" w:cs="Calibri"/>
          <w:i w:val="0"/>
          <w:iCs w:val="0"/>
          <w:color w:val="000000" w:themeColor="text1"/>
          <w:sz w:val="22"/>
          <w:szCs w:val="22"/>
          <w:lang w:val="nl-NL"/>
        </w:rPr>
        <w:t>uitzonderingen</w:t>
      </w:r>
      <w:r w:rsidR="006958F9" w:rsidRPr="008171B7">
        <w:rPr>
          <w:rFonts w:ascii="Georgia" w:hAnsi="Georgia" w:cs="Calibri"/>
          <w:i w:val="0"/>
          <w:iCs w:val="0"/>
          <w:color w:val="000000" w:themeColor="text1"/>
          <w:sz w:val="22"/>
          <w:szCs w:val="22"/>
          <w:lang w:val="nl-NL"/>
        </w:rPr>
        <w:t xml:space="preserve"> op </w:t>
      </w:r>
      <w:r w:rsidR="00DD3F45" w:rsidRPr="008171B7">
        <w:rPr>
          <w:rFonts w:ascii="Georgia" w:hAnsi="Georgia" w:cs="Calibri"/>
          <w:i w:val="0"/>
          <w:iCs w:val="0"/>
          <w:color w:val="000000" w:themeColor="text1"/>
          <w:sz w:val="22"/>
          <w:szCs w:val="22"/>
          <w:lang w:val="nl-NL"/>
        </w:rPr>
        <w:t>de</w:t>
      </w:r>
      <w:r w:rsidR="006958F9" w:rsidRPr="008171B7">
        <w:rPr>
          <w:rFonts w:ascii="Georgia" w:hAnsi="Georgia" w:cs="Calibri"/>
          <w:i w:val="0"/>
          <w:iCs w:val="0"/>
          <w:color w:val="000000" w:themeColor="text1"/>
          <w:sz w:val="22"/>
          <w:szCs w:val="22"/>
          <w:lang w:val="nl-NL"/>
        </w:rPr>
        <w:t xml:space="preserve"> hiërarchie</w:t>
      </w:r>
      <w:r w:rsidR="00501B89" w:rsidRPr="008171B7">
        <w:rPr>
          <w:rFonts w:ascii="Georgia" w:hAnsi="Georgia" w:cs="Calibri"/>
          <w:i w:val="0"/>
          <w:iCs w:val="0"/>
          <w:color w:val="000000" w:themeColor="text1"/>
          <w:sz w:val="22"/>
          <w:szCs w:val="22"/>
          <w:lang w:val="nl-NL"/>
        </w:rPr>
        <w:t xml:space="preserve"> waarbij dure geschenken en </w:t>
      </w:r>
      <w:r w:rsidR="00DD005B">
        <w:rPr>
          <w:rFonts w:ascii="Georgia" w:hAnsi="Georgia" w:cs="Calibri"/>
          <w:i w:val="0"/>
          <w:iCs w:val="0"/>
          <w:color w:val="000000" w:themeColor="text1"/>
          <w:sz w:val="22"/>
          <w:szCs w:val="22"/>
          <w:lang w:val="nl-NL"/>
        </w:rPr>
        <w:t>lage</w:t>
      </w:r>
      <w:r w:rsidR="00501B89" w:rsidRPr="008171B7">
        <w:rPr>
          <w:rFonts w:ascii="Georgia" w:hAnsi="Georgia" w:cs="Calibri"/>
          <w:i w:val="0"/>
          <w:iCs w:val="0"/>
          <w:color w:val="000000" w:themeColor="text1"/>
          <w:sz w:val="22"/>
          <w:szCs w:val="22"/>
          <w:lang w:val="nl-NL"/>
        </w:rPr>
        <w:t xml:space="preserve"> bodenloon kregen </w:t>
      </w:r>
      <w:r w:rsidR="006958F9" w:rsidRPr="008171B7">
        <w:rPr>
          <w:rFonts w:ascii="Georgia" w:hAnsi="Georgia" w:cs="Calibri"/>
          <w:i w:val="0"/>
          <w:iCs w:val="0"/>
          <w:color w:val="000000" w:themeColor="text1"/>
          <w:sz w:val="22"/>
          <w:szCs w:val="22"/>
          <w:lang w:val="nl-NL"/>
        </w:rPr>
        <w:t xml:space="preserve">veelzeggend. Zoals </w:t>
      </w:r>
      <w:proofErr w:type="spellStart"/>
      <w:r w:rsidR="006958F9" w:rsidRPr="008171B7">
        <w:rPr>
          <w:rFonts w:ascii="Georgia" w:hAnsi="Georgia" w:cs="Calibri"/>
          <w:i w:val="0"/>
          <w:iCs w:val="0"/>
          <w:color w:val="000000" w:themeColor="text1"/>
          <w:sz w:val="22"/>
          <w:szCs w:val="22"/>
          <w:lang w:val="nl-NL"/>
        </w:rPr>
        <w:t>Seah</w:t>
      </w:r>
      <w:proofErr w:type="spellEnd"/>
      <w:r w:rsidR="006958F9" w:rsidRPr="008171B7">
        <w:rPr>
          <w:rFonts w:ascii="Georgia" w:hAnsi="Georgia" w:cs="Calibri"/>
          <w:i w:val="0"/>
          <w:iCs w:val="0"/>
          <w:color w:val="000000" w:themeColor="text1"/>
          <w:sz w:val="22"/>
          <w:szCs w:val="22"/>
          <w:lang w:val="nl-NL"/>
        </w:rPr>
        <w:t xml:space="preserve"> opmerkt, kon een vorstin via subtiele afwijkingen van de verwachte rangorde haar </w:t>
      </w:r>
      <w:r w:rsidR="00432F6B" w:rsidRPr="008171B7">
        <w:rPr>
          <w:rFonts w:ascii="Georgia" w:hAnsi="Georgia" w:cs="Calibri"/>
          <w:i w:val="0"/>
          <w:iCs w:val="0"/>
          <w:color w:val="000000" w:themeColor="text1"/>
          <w:sz w:val="22"/>
          <w:szCs w:val="22"/>
          <w:lang w:val="nl-NL"/>
        </w:rPr>
        <w:t>gunst, of</w:t>
      </w:r>
      <w:r w:rsidR="006958F9" w:rsidRPr="008171B7">
        <w:rPr>
          <w:rFonts w:ascii="Georgia" w:hAnsi="Georgia" w:cs="Calibri"/>
          <w:i w:val="0"/>
          <w:iCs w:val="0"/>
          <w:color w:val="000000" w:themeColor="text1"/>
          <w:sz w:val="22"/>
          <w:szCs w:val="22"/>
          <w:lang w:val="nl-NL"/>
        </w:rPr>
        <w:t xml:space="preserve"> het gebrek </w:t>
      </w:r>
      <w:r w:rsidR="00DD005B" w:rsidRPr="008171B7">
        <w:rPr>
          <w:rFonts w:ascii="Georgia" w:hAnsi="Georgia" w:cs="Calibri"/>
          <w:i w:val="0"/>
          <w:iCs w:val="0"/>
          <w:color w:val="000000" w:themeColor="text1"/>
          <w:sz w:val="22"/>
          <w:szCs w:val="22"/>
          <w:lang w:val="nl-NL"/>
        </w:rPr>
        <w:t>daaraan, discreet</w:t>
      </w:r>
      <w:r w:rsidR="006958F9" w:rsidRPr="008171B7">
        <w:rPr>
          <w:rFonts w:ascii="Georgia" w:hAnsi="Georgia" w:cs="Calibri"/>
          <w:i w:val="0"/>
          <w:iCs w:val="0"/>
          <w:color w:val="000000" w:themeColor="text1"/>
          <w:sz w:val="22"/>
          <w:szCs w:val="22"/>
          <w:lang w:val="nl-NL"/>
        </w:rPr>
        <w:t xml:space="preserve"> kenbaar maken, zonder de sociale orde fundamenteel te ondermijnen.</w:t>
      </w:r>
      <w:r w:rsidR="006958F9" w:rsidRPr="008171B7">
        <w:rPr>
          <w:rStyle w:val="FootnoteReference"/>
          <w:rFonts w:ascii="Georgia" w:hAnsi="Georgia" w:cs="Calibri"/>
          <w:i w:val="0"/>
          <w:iCs w:val="0"/>
          <w:color w:val="000000" w:themeColor="text1"/>
          <w:sz w:val="22"/>
          <w:szCs w:val="22"/>
          <w:lang w:val="nl-NL"/>
        </w:rPr>
        <w:footnoteReference w:id="349"/>
      </w:r>
      <w:r w:rsidR="006958F9" w:rsidRPr="008171B7">
        <w:rPr>
          <w:rFonts w:ascii="Georgia" w:hAnsi="Georgia" w:cs="Calibri"/>
          <w:i w:val="0"/>
          <w:iCs w:val="0"/>
          <w:color w:val="000000" w:themeColor="text1"/>
          <w:sz w:val="22"/>
          <w:szCs w:val="22"/>
          <w:lang w:val="nl-NL"/>
        </w:rPr>
        <w:t xml:space="preserve"> Dit veronderstelt bovendien dat de vorstin betrokken was op alle niveaus van de uitwisseling</w:t>
      </w:r>
      <w:r w:rsidR="00EE4EC6">
        <w:rPr>
          <w:rFonts w:ascii="Georgia" w:hAnsi="Georgia" w:cs="Calibri"/>
          <w:i w:val="0"/>
          <w:iCs w:val="0"/>
          <w:color w:val="000000" w:themeColor="text1"/>
          <w:sz w:val="22"/>
          <w:szCs w:val="22"/>
          <w:lang w:val="nl-NL"/>
        </w:rPr>
        <w:t>. V</w:t>
      </w:r>
      <w:r w:rsidR="006958F9" w:rsidRPr="008171B7">
        <w:rPr>
          <w:rFonts w:ascii="Georgia" w:hAnsi="Georgia" w:cs="Calibri"/>
          <w:i w:val="0"/>
          <w:iCs w:val="0"/>
          <w:color w:val="000000" w:themeColor="text1"/>
          <w:sz w:val="22"/>
          <w:szCs w:val="22"/>
          <w:lang w:val="nl-NL"/>
        </w:rPr>
        <w:t>an de keuze van het geschenk zelf tot de beloning van de bode die het afleverde.</w:t>
      </w:r>
      <w:r w:rsidR="006958F9" w:rsidRPr="008171B7">
        <w:rPr>
          <w:rStyle w:val="FootnoteReference"/>
          <w:rFonts w:ascii="Georgia" w:hAnsi="Georgia" w:cs="Calibri"/>
          <w:i w:val="0"/>
          <w:iCs w:val="0"/>
          <w:color w:val="000000" w:themeColor="text1"/>
          <w:sz w:val="22"/>
          <w:szCs w:val="22"/>
          <w:lang w:val="nl-NL"/>
        </w:rPr>
        <w:footnoteReference w:id="350"/>
      </w:r>
      <w:r w:rsidR="006958F9" w:rsidRPr="008171B7">
        <w:rPr>
          <w:rFonts w:ascii="Georgia" w:hAnsi="Georgia" w:cs="Calibri"/>
          <w:i w:val="0"/>
          <w:iCs w:val="0"/>
          <w:color w:val="000000" w:themeColor="text1"/>
          <w:sz w:val="22"/>
          <w:szCs w:val="22"/>
          <w:lang w:val="nl-NL"/>
        </w:rPr>
        <w:t xml:space="preserve"> Niet elke relatie kende dus een even hoge inzet</w:t>
      </w:r>
      <w:r w:rsidR="006958F9" w:rsidRPr="008171B7">
        <w:rPr>
          <w:rFonts w:ascii="Georgia" w:hAnsi="Georgia" w:cs="Calibri"/>
          <w:color w:val="000000" w:themeColor="text1"/>
          <w:sz w:val="22"/>
          <w:szCs w:val="22"/>
          <w:lang w:val="nl-NL"/>
        </w:rPr>
        <w:t xml:space="preserve">. </w:t>
      </w:r>
    </w:p>
    <w:p w14:paraId="10087769" w14:textId="7119781D" w:rsidR="00DD3F45" w:rsidRPr="00C140A8" w:rsidRDefault="006958F9"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Tegenover de rijkdom van de Vlaamse en Milanese uitwisselingen staat de sobere correspondentie met de hertogin van Gelre. Om dit contrast te begrijpen, is enige context over de situatie in Gelre noodzakelijk. Na het overlijden van hertog Reinoud III en Eduard van Gelre in 1371 brak een successiestrijd uit tussen </w:t>
      </w:r>
      <w:proofErr w:type="spellStart"/>
      <w:r w:rsidRPr="00C140A8">
        <w:rPr>
          <w:rFonts w:ascii="Georgia" w:hAnsi="Georgia" w:cs="Calibri"/>
          <w:sz w:val="22"/>
          <w:szCs w:val="22"/>
          <w:lang w:val="nl-NL"/>
        </w:rPr>
        <w:t>Mechteld</w:t>
      </w:r>
      <w:proofErr w:type="spellEnd"/>
      <w:r w:rsidRPr="00C140A8">
        <w:rPr>
          <w:rFonts w:ascii="Georgia" w:hAnsi="Georgia" w:cs="Calibri"/>
          <w:sz w:val="22"/>
          <w:szCs w:val="22"/>
          <w:lang w:val="nl-NL"/>
        </w:rPr>
        <w:t xml:space="preserve"> en haar jongere zuster Maria, getrouwd met Willem van Gulik, wiens minderjarige zoon aanspraak maakte op de titel.</w:t>
      </w:r>
      <w:r w:rsidRPr="00C140A8">
        <w:rPr>
          <w:rStyle w:val="FootnoteReference"/>
          <w:rFonts w:ascii="Georgia" w:hAnsi="Georgia" w:cs="Calibri"/>
          <w:sz w:val="22"/>
          <w:szCs w:val="22"/>
          <w:lang w:val="nl-NL"/>
        </w:rPr>
        <w:footnoteReference w:id="351"/>
      </w:r>
      <w:r w:rsidRPr="00C140A8">
        <w:rPr>
          <w:rFonts w:ascii="Georgia" w:hAnsi="Georgia" w:cs="Calibri"/>
          <w:sz w:val="22"/>
          <w:szCs w:val="22"/>
          <w:lang w:val="nl-NL"/>
        </w:rPr>
        <w:t xml:space="preserve"> </w:t>
      </w:r>
      <w:r w:rsidRPr="00C140A8">
        <w:rPr>
          <w:rFonts w:ascii="Georgia" w:hAnsi="Georgia" w:cs="Calibri"/>
          <w:sz w:val="22"/>
          <w:szCs w:val="22"/>
          <w:lang w:val="nl-NL"/>
        </w:rPr>
        <w:lastRenderedPageBreak/>
        <w:t xml:space="preserve">Johanna koos openlijk de kant van </w:t>
      </w:r>
      <w:proofErr w:type="spellStart"/>
      <w:r w:rsidRPr="00C140A8">
        <w:rPr>
          <w:rFonts w:ascii="Georgia" w:hAnsi="Georgia" w:cs="Calibri"/>
          <w:sz w:val="22"/>
          <w:szCs w:val="22"/>
          <w:lang w:val="nl-NL"/>
        </w:rPr>
        <w:t>Mechteld</w:t>
      </w:r>
      <w:proofErr w:type="spellEnd"/>
      <w:r w:rsidRPr="00C140A8">
        <w:rPr>
          <w:rFonts w:ascii="Georgia" w:hAnsi="Georgia" w:cs="Calibri"/>
          <w:sz w:val="22"/>
          <w:szCs w:val="22"/>
          <w:lang w:val="nl-NL"/>
        </w:rPr>
        <w:t xml:space="preserve">, deels om politieke redenen, deels vanuit een persoonlijke vete, want Willem van Gulik was medeverantwoordelijk voor de gevangenschap van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in datzelfde jaar.</w:t>
      </w:r>
      <w:r w:rsidRPr="00C140A8">
        <w:rPr>
          <w:rStyle w:val="FootnoteReference"/>
          <w:rFonts w:ascii="Georgia" w:hAnsi="Georgia" w:cs="Calibri"/>
          <w:sz w:val="22"/>
          <w:szCs w:val="22"/>
          <w:lang w:val="nl-NL"/>
        </w:rPr>
        <w:footnoteReference w:id="352"/>
      </w:r>
      <w:r w:rsidRPr="00C140A8">
        <w:rPr>
          <w:rFonts w:ascii="Georgia" w:hAnsi="Georgia" w:cs="Calibri"/>
          <w:sz w:val="22"/>
          <w:szCs w:val="22"/>
          <w:lang w:val="nl-NL"/>
        </w:rPr>
        <w:t xml:space="preserve"> </w:t>
      </w:r>
      <w:r w:rsidR="00501B89" w:rsidRPr="00C140A8">
        <w:rPr>
          <w:rFonts w:ascii="Georgia" w:hAnsi="Georgia" w:cs="Calibri"/>
          <w:sz w:val="22"/>
          <w:szCs w:val="22"/>
          <w:lang w:val="nl-NL"/>
        </w:rPr>
        <w:t xml:space="preserve">De briefuitwisseling tussen beide hertoginnen is in de vorige sectie al naar voren gekomen, en toont aan dat Johanna </w:t>
      </w:r>
      <w:r w:rsidR="00F11C31" w:rsidRPr="00C140A8">
        <w:rPr>
          <w:rFonts w:ascii="Georgia" w:hAnsi="Georgia" w:cs="Calibri"/>
          <w:sz w:val="22"/>
          <w:szCs w:val="22"/>
          <w:lang w:val="nl-NL"/>
        </w:rPr>
        <w:t xml:space="preserve">diep begaan was met </w:t>
      </w:r>
      <w:proofErr w:type="spellStart"/>
      <w:r w:rsidR="00F11C31" w:rsidRPr="00C140A8">
        <w:rPr>
          <w:rFonts w:ascii="Georgia" w:hAnsi="Georgia" w:cs="Calibri"/>
          <w:sz w:val="22"/>
          <w:szCs w:val="22"/>
          <w:lang w:val="nl-NL"/>
        </w:rPr>
        <w:t>Mechtelds</w:t>
      </w:r>
      <w:proofErr w:type="spellEnd"/>
      <w:r w:rsidR="00F11C31" w:rsidRPr="00C140A8">
        <w:rPr>
          <w:rFonts w:ascii="Georgia" w:hAnsi="Georgia" w:cs="Calibri"/>
          <w:sz w:val="22"/>
          <w:szCs w:val="22"/>
          <w:lang w:val="nl-NL"/>
        </w:rPr>
        <w:t xml:space="preserve"> situatie. In </w:t>
      </w:r>
      <w:r w:rsidRPr="00C140A8">
        <w:rPr>
          <w:rFonts w:ascii="Georgia" w:hAnsi="Georgia" w:cs="Calibri"/>
          <w:sz w:val="22"/>
          <w:szCs w:val="22"/>
          <w:lang w:val="nl-NL"/>
        </w:rPr>
        <w:t xml:space="preserve">1372 bekrachtigde </w:t>
      </w:r>
      <w:r w:rsidR="00F11C31" w:rsidRPr="00C140A8">
        <w:rPr>
          <w:rFonts w:ascii="Georgia" w:hAnsi="Georgia" w:cs="Calibri"/>
          <w:sz w:val="22"/>
          <w:szCs w:val="22"/>
          <w:lang w:val="nl-NL"/>
        </w:rPr>
        <w:t>Johanna ook formeel</w:t>
      </w:r>
      <w:r w:rsidRPr="00C140A8">
        <w:rPr>
          <w:rFonts w:ascii="Georgia" w:hAnsi="Georgia" w:cs="Calibri"/>
          <w:sz w:val="22"/>
          <w:szCs w:val="22"/>
          <w:lang w:val="nl-NL"/>
        </w:rPr>
        <w:t xml:space="preserve"> haar steun in een charter</w:t>
      </w:r>
      <w:r w:rsidR="00D455B5" w:rsidRPr="00C140A8">
        <w:rPr>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353"/>
      </w:r>
    </w:p>
    <w:p w14:paraId="070DC5BA" w14:textId="3ABD5470" w:rsidR="00DD3F45" w:rsidRPr="00C140A8" w:rsidRDefault="00DD3F45"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Drie posten in de rekeningen vermelden geschenken </w:t>
      </w:r>
      <w:r w:rsidR="00EE4EC6">
        <w:rPr>
          <w:rFonts w:ascii="Georgia" w:hAnsi="Georgia" w:cs="Calibri"/>
          <w:sz w:val="22"/>
          <w:szCs w:val="22"/>
          <w:lang w:val="nl-NL"/>
        </w:rPr>
        <w:t>van</w:t>
      </w:r>
      <w:r w:rsidRPr="00C140A8">
        <w:rPr>
          <w:rFonts w:ascii="Georgia" w:hAnsi="Georgia" w:cs="Calibri"/>
          <w:sz w:val="22"/>
          <w:szCs w:val="22"/>
          <w:lang w:val="nl-NL"/>
        </w:rPr>
        <w:t xml:space="preserve"> een </w:t>
      </w:r>
      <w:r w:rsidR="003C2F79">
        <w:rPr>
          <w:rFonts w:ascii="Georgia" w:hAnsi="Georgia" w:cs="Calibri"/>
          <w:sz w:val="22"/>
          <w:szCs w:val="22"/>
          <w:lang w:val="nl-NL"/>
        </w:rPr>
        <w:t>“</w:t>
      </w:r>
      <w:proofErr w:type="spellStart"/>
      <w:r w:rsidRPr="00EE4EC6">
        <w:rPr>
          <w:rFonts w:ascii="Georgia" w:hAnsi="Georgia" w:cs="Calibri"/>
          <w:sz w:val="22"/>
          <w:szCs w:val="22"/>
          <w:lang w:val="nl-NL"/>
        </w:rPr>
        <w:t>vrouwe</w:t>
      </w:r>
      <w:proofErr w:type="spellEnd"/>
      <w:r w:rsidR="003C2F79">
        <w:rPr>
          <w:rFonts w:ascii="Georgia" w:hAnsi="Georgia" w:cs="Calibri"/>
          <w:sz w:val="22"/>
          <w:szCs w:val="22"/>
          <w:lang w:val="nl-NL"/>
        </w:rPr>
        <w:t>”</w:t>
      </w:r>
      <w:r w:rsidRPr="00C140A8">
        <w:rPr>
          <w:rFonts w:ascii="Georgia" w:hAnsi="Georgia" w:cs="Calibri"/>
          <w:sz w:val="22"/>
          <w:szCs w:val="22"/>
          <w:lang w:val="nl-NL"/>
        </w:rPr>
        <w:t xml:space="preserve"> of </w:t>
      </w:r>
      <w:r w:rsidR="003C2F79">
        <w:rPr>
          <w:rFonts w:ascii="Georgia" w:hAnsi="Georgia" w:cs="Calibri"/>
          <w:sz w:val="22"/>
          <w:szCs w:val="22"/>
          <w:lang w:val="nl-NL"/>
        </w:rPr>
        <w:t>“</w:t>
      </w:r>
      <w:proofErr w:type="spellStart"/>
      <w:r w:rsidRPr="00C140A8">
        <w:rPr>
          <w:rFonts w:ascii="Georgia" w:hAnsi="Georgia" w:cs="Calibri"/>
          <w:sz w:val="22"/>
          <w:szCs w:val="22"/>
          <w:lang w:val="nl-NL"/>
        </w:rPr>
        <w:t>hertoginne</w:t>
      </w:r>
      <w:proofErr w:type="spellEnd"/>
      <w:r w:rsidR="003C2F79">
        <w:rPr>
          <w:rFonts w:ascii="Georgia" w:hAnsi="Georgia" w:cs="Calibri"/>
          <w:sz w:val="22"/>
          <w:szCs w:val="22"/>
          <w:lang w:val="nl-NL"/>
        </w:rPr>
        <w:t>”</w:t>
      </w:r>
      <w:r w:rsidRPr="00C140A8">
        <w:rPr>
          <w:rFonts w:ascii="Georgia" w:hAnsi="Georgia" w:cs="Calibri"/>
          <w:sz w:val="22"/>
          <w:szCs w:val="22"/>
          <w:lang w:val="nl-NL"/>
        </w:rPr>
        <w:t xml:space="preserve"> van Gelre. </w:t>
      </w:r>
      <w:r w:rsidR="004A3AB3" w:rsidRPr="00C140A8">
        <w:rPr>
          <w:rFonts w:ascii="Georgia" w:hAnsi="Georgia" w:cs="Calibri"/>
          <w:sz w:val="22"/>
          <w:szCs w:val="22"/>
          <w:lang w:val="nl-NL"/>
        </w:rPr>
        <w:t xml:space="preserve">Twee elementen wijzen erop dat hiermee </w:t>
      </w:r>
      <w:proofErr w:type="spellStart"/>
      <w:r w:rsidR="004A3AB3" w:rsidRPr="00C140A8">
        <w:rPr>
          <w:rFonts w:ascii="Georgia" w:hAnsi="Georgia" w:cs="Calibri"/>
          <w:sz w:val="22"/>
          <w:szCs w:val="22"/>
          <w:lang w:val="nl-NL"/>
        </w:rPr>
        <w:t>Mechteld</w:t>
      </w:r>
      <w:proofErr w:type="spellEnd"/>
      <w:r w:rsidR="004A3AB3" w:rsidRPr="00C140A8">
        <w:rPr>
          <w:rFonts w:ascii="Georgia" w:hAnsi="Georgia" w:cs="Calibri"/>
          <w:sz w:val="22"/>
          <w:szCs w:val="22"/>
          <w:lang w:val="nl-NL"/>
        </w:rPr>
        <w:t xml:space="preserve"> bedoeld is en niet Maria, Johanna’s zus. Ten eerste dateren alle drie de posten van vóór 24 maart 1379, het moment waarop </w:t>
      </w:r>
      <w:proofErr w:type="spellStart"/>
      <w:r w:rsidR="004A3AB3" w:rsidRPr="00C140A8">
        <w:rPr>
          <w:rFonts w:ascii="Georgia" w:hAnsi="Georgia" w:cs="Calibri"/>
          <w:sz w:val="22"/>
          <w:szCs w:val="22"/>
          <w:lang w:val="nl-NL"/>
        </w:rPr>
        <w:t>Mechteld</w:t>
      </w:r>
      <w:proofErr w:type="spellEnd"/>
      <w:r w:rsidR="004A3AB3" w:rsidRPr="00C140A8">
        <w:rPr>
          <w:rFonts w:ascii="Georgia" w:hAnsi="Georgia" w:cs="Calibri"/>
          <w:sz w:val="22"/>
          <w:szCs w:val="22"/>
          <w:lang w:val="nl-NL"/>
        </w:rPr>
        <w:t xml:space="preserve"> officieel afstand deed van de hertogstitel. Tot dan droeg zij de titel waarmee de rekeningen haar aanspreken. Ten tweede sluit die aanspreking aan bij de brieven, waarin Johanna haar nicht consequent als </w:t>
      </w:r>
      <w:r w:rsidR="003C2F79">
        <w:rPr>
          <w:rFonts w:ascii="Georgia" w:hAnsi="Georgia" w:cs="Calibri"/>
          <w:sz w:val="22"/>
          <w:szCs w:val="22"/>
          <w:lang w:val="nl-NL"/>
        </w:rPr>
        <w:t>“</w:t>
      </w:r>
      <w:proofErr w:type="spellStart"/>
      <w:r w:rsidR="004A3AB3" w:rsidRPr="00EE4EC6">
        <w:rPr>
          <w:rFonts w:ascii="Georgia" w:hAnsi="Georgia" w:cs="Calibri"/>
          <w:sz w:val="22"/>
          <w:szCs w:val="22"/>
          <w:lang w:val="nl-NL"/>
        </w:rPr>
        <w:t>hertoginne</w:t>
      </w:r>
      <w:proofErr w:type="spellEnd"/>
      <w:r w:rsidR="004A3AB3" w:rsidRPr="00EE4EC6">
        <w:rPr>
          <w:rFonts w:ascii="Georgia" w:hAnsi="Georgia" w:cs="Calibri"/>
          <w:sz w:val="22"/>
          <w:szCs w:val="22"/>
          <w:lang w:val="nl-NL"/>
        </w:rPr>
        <w:t xml:space="preserve"> van Gelre</w:t>
      </w:r>
      <w:r w:rsidR="003C2F79">
        <w:rPr>
          <w:rFonts w:ascii="Georgia" w:hAnsi="Georgia" w:cs="Calibri"/>
          <w:sz w:val="22"/>
          <w:szCs w:val="22"/>
          <w:lang w:val="nl-NL"/>
        </w:rPr>
        <w:t>”</w:t>
      </w:r>
      <w:r w:rsidR="004A3AB3" w:rsidRPr="00C140A8">
        <w:rPr>
          <w:rFonts w:ascii="Georgia" w:hAnsi="Georgia" w:cs="Calibri"/>
          <w:sz w:val="22"/>
          <w:szCs w:val="22"/>
          <w:lang w:val="nl-NL"/>
        </w:rPr>
        <w:t xml:space="preserve"> erkent.</w:t>
      </w:r>
      <w:r w:rsidR="004A3AB3" w:rsidRPr="00C140A8">
        <w:rPr>
          <w:rStyle w:val="FootnoteReference"/>
          <w:rFonts w:ascii="Georgia" w:hAnsi="Georgia" w:cs="Calibri"/>
          <w:sz w:val="22"/>
          <w:szCs w:val="22"/>
          <w:lang w:val="nl-NL"/>
        </w:rPr>
        <w:footnoteReference w:id="354"/>
      </w:r>
    </w:p>
    <w:p w14:paraId="3E9EA2CD" w14:textId="324572BF" w:rsidR="004A3AB3" w:rsidRPr="00C140A8" w:rsidRDefault="004A3AB3" w:rsidP="007739D6">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Het gaat om slechts drie posten van inkomende geschenken: </w:t>
      </w:r>
      <w:r w:rsidR="00124909" w:rsidRPr="00C140A8">
        <w:rPr>
          <w:rFonts w:ascii="Georgia" w:hAnsi="Georgia" w:cs="Calibri"/>
          <w:sz w:val="22"/>
          <w:szCs w:val="22"/>
          <w:lang w:val="nl-NL"/>
        </w:rPr>
        <w:t>op 25 augustus 1376 een reekalf, op 11 februari 1378 twee zalmen, en op 16 januari 1379 opnieuw twee reekalveren.</w:t>
      </w:r>
      <w:r w:rsidR="00152BD9" w:rsidRPr="00C140A8">
        <w:rPr>
          <w:rStyle w:val="FootnoteReference"/>
          <w:rFonts w:ascii="Georgia" w:hAnsi="Georgia" w:cs="Calibri"/>
          <w:sz w:val="22"/>
          <w:szCs w:val="22"/>
          <w:lang w:val="nl-NL"/>
        </w:rPr>
        <w:footnoteReference w:id="355"/>
      </w:r>
      <w:r w:rsidR="00152BD9" w:rsidRPr="00C140A8">
        <w:rPr>
          <w:rFonts w:ascii="Georgia" w:hAnsi="Georgia" w:cs="Calibri"/>
          <w:sz w:val="22"/>
          <w:szCs w:val="22"/>
          <w:lang w:val="nl-NL"/>
        </w:rPr>
        <w:t xml:space="preserve"> </w:t>
      </w:r>
      <w:r w:rsidR="00124909" w:rsidRPr="00C140A8">
        <w:rPr>
          <w:rFonts w:ascii="Georgia" w:hAnsi="Georgia" w:cs="Calibri"/>
          <w:sz w:val="22"/>
          <w:szCs w:val="22"/>
          <w:lang w:val="nl-NL"/>
        </w:rPr>
        <w:t xml:space="preserve">Hertenvlees en wild in het algemeen genoten aanzienlijk prestige. </w:t>
      </w:r>
      <w:r w:rsidR="007739D6">
        <w:rPr>
          <w:rFonts w:ascii="Georgia" w:hAnsi="Georgia" w:cs="Calibri"/>
          <w:sz w:val="22"/>
          <w:szCs w:val="22"/>
          <w:lang w:val="nl-NL"/>
        </w:rPr>
        <w:t xml:space="preserve">Het was niet voor iedereen beschikbaar en de verwachting van een hoge </w:t>
      </w:r>
      <w:proofErr w:type="spellStart"/>
      <w:r w:rsidR="007739D6">
        <w:rPr>
          <w:rFonts w:ascii="Georgia" w:hAnsi="Georgia" w:cs="Calibri"/>
          <w:sz w:val="22"/>
          <w:szCs w:val="22"/>
          <w:lang w:val="nl-NL"/>
        </w:rPr>
        <w:t>bodesom</w:t>
      </w:r>
      <w:proofErr w:type="spellEnd"/>
      <w:r w:rsidR="007739D6">
        <w:rPr>
          <w:rFonts w:ascii="Georgia" w:hAnsi="Georgia" w:cs="Calibri"/>
          <w:sz w:val="22"/>
          <w:szCs w:val="22"/>
          <w:lang w:val="nl-NL"/>
        </w:rPr>
        <w:t xml:space="preserve"> lag er dan ook voor de hand.</w:t>
      </w:r>
      <w:r w:rsidR="00124909" w:rsidRPr="00C140A8">
        <w:rPr>
          <w:rFonts w:ascii="Georgia" w:hAnsi="Georgia" w:cs="Calibri"/>
          <w:sz w:val="22"/>
          <w:szCs w:val="22"/>
          <w:lang w:val="nl-NL"/>
        </w:rPr>
        <w:t xml:space="preserve"> Toch blijkt dat ze niet konden tippen aan de wijnen en het luxetextiel van Vlaanderen. Volgens Felicity </w:t>
      </w:r>
      <w:proofErr w:type="spellStart"/>
      <w:r w:rsidR="00124909" w:rsidRPr="00C140A8">
        <w:rPr>
          <w:rFonts w:ascii="Georgia" w:hAnsi="Georgia" w:cs="Calibri"/>
          <w:sz w:val="22"/>
          <w:szCs w:val="22"/>
          <w:lang w:val="nl-NL"/>
        </w:rPr>
        <w:t>Heal</w:t>
      </w:r>
      <w:proofErr w:type="spellEnd"/>
      <w:r w:rsidR="00124909" w:rsidRPr="00C140A8">
        <w:rPr>
          <w:rFonts w:ascii="Georgia" w:hAnsi="Georgia" w:cs="Calibri"/>
          <w:sz w:val="22"/>
          <w:szCs w:val="22"/>
          <w:lang w:val="nl-NL"/>
        </w:rPr>
        <w:t xml:space="preserve"> zat de waarde van zulke geschenken voornamelijk in de erkenning van de status van de ontvanger. </w:t>
      </w:r>
      <w:proofErr w:type="spellStart"/>
      <w:r w:rsidR="00124909" w:rsidRPr="00C140A8">
        <w:rPr>
          <w:rFonts w:ascii="Georgia" w:hAnsi="Georgia" w:cs="Calibri"/>
          <w:sz w:val="22"/>
          <w:szCs w:val="22"/>
          <w:lang w:val="nl-NL"/>
        </w:rPr>
        <w:t>Mechteld</w:t>
      </w:r>
      <w:proofErr w:type="spellEnd"/>
      <w:r w:rsidR="00124909" w:rsidRPr="00C140A8">
        <w:rPr>
          <w:rFonts w:ascii="Georgia" w:hAnsi="Georgia" w:cs="Calibri"/>
          <w:sz w:val="22"/>
          <w:szCs w:val="22"/>
          <w:lang w:val="nl-NL"/>
        </w:rPr>
        <w:t xml:space="preserve"> kende Johanna daarmee eer toe als iemand waardig genoeg om zulk voedsel te ontvangen.</w:t>
      </w:r>
      <w:r w:rsidR="00152BD9" w:rsidRPr="00C140A8">
        <w:rPr>
          <w:rStyle w:val="FootnoteReference"/>
          <w:rFonts w:ascii="Georgia" w:hAnsi="Georgia" w:cs="Calibri"/>
          <w:sz w:val="22"/>
          <w:szCs w:val="22"/>
          <w:lang w:val="nl-NL"/>
        </w:rPr>
        <w:t xml:space="preserve"> </w:t>
      </w:r>
      <w:r w:rsidR="00152BD9" w:rsidRPr="00C140A8">
        <w:rPr>
          <w:rStyle w:val="FootnoteReference"/>
          <w:rFonts w:ascii="Georgia" w:hAnsi="Georgia" w:cs="Calibri"/>
          <w:sz w:val="22"/>
          <w:szCs w:val="22"/>
          <w:lang w:val="nl-NL"/>
        </w:rPr>
        <w:footnoteReference w:id="356"/>
      </w:r>
    </w:p>
    <w:p w14:paraId="1DD375FF" w14:textId="717BF45E" w:rsidR="00CC0385" w:rsidRPr="00C140A8" w:rsidRDefault="00DE4A42"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Vanaf 1377 veranderde de situatie in Gelre ingrijpend. Het vijfjarig bestand tussen beide partijen liep af, de </w:t>
      </w:r>
      <w:r w:rsidR="00AD0A52">
        <w:rPr>
          <w:rFonts w:ascii="Georgia" w:hAnsi="Georgia" w:cs="Calibri"/>
          <w:sz w:val="22"/>
          <w:szCs w:val="22"/>
          <w:lang w:val="nl-NL"/>
        </w:rPr>
        <w:t>zoon van Maria en Willem</w:t>
      </w:r>
      <w:r w:rsidRPr="00C140A8">
        <w:rPr>
          <w:rFonts w:ascii="Georgia" w:hAnsi="Georgia" w:cs="Calibri"/>
          <w:sz w:val="22"/>
          <w:szCs w:val="22"/>
          <w:lang w:val="nl-NL"/>
        </w:rPr>
        <w:t xml:space="preserve"> werd meerderjarig en Brabant ging meerdere verdragen met Gulik aan.</w:t>
      </w:r>
      <w:r w:rsidR="00152BD9" w:rsidRPr="00C140A8">
        <w:rPr>
          <w:rStyle w:val="FootnoteReference"/>
          <w:rFonts w:ascii="Georgia" w:hAnsi="Georgia" w:cs="Calibri"/>
          <w:sz w:val="22"/>
          <w:szCs w:val="22"/>
          <w:lang w:val="nl-NL"/>
        </w:rPr>
        <w:footnoteReference w:id="357"/>
      </w:r>
      <w:r w:rsidR="00152BD9" w:rsidRPr="00C140A8">
        <w:rPr>
          <w:rFonts w:ascii="Georgia" w:hAnsi="Georgia" w:cs="Calibri"/>
          <w:sz w:val="22"/>
          <w:szCs w:val="22"/>
          <w:lang w:val="nl-NL"/>
        </w:rPr>
        <w:t xml:space="preserve"> </w:t>
      </w:r>
      <w:r w:rsidRPr="00C140A8">
        <w:rPr>
          <w:rFonts w:ascii="Georgia" w:hAnsi="Georgia" w:cs="Calibri"/>
          <w:sz w:val="22"/>
          <w:szCs w:val="22"/>
          <w:lang w:val="nl-NL"/>
        </w:rPr>
        <w:t xml:space="preserve"> Bovendien kreeg Willem van Gulik nu ook de steun van de Duitse keizer</w:t>
      </w:r>
      <w:r w:rsidR="00152BD9" w:rsidRPr="00C140A8">
        <w:rPr>
          <w:rFonts w:ascii="Georgia" w:hAnsi="Georgia" w:cs="Calibri"/>
          <w:sz w:val="22"/>
          <w:szCs w:val="22"/>
          <w:lang w:val="nl-NL"/>
        </w:rPr>
        <w:t xml:space="preserve">, de broer van </w:t>
      </w:r>
      <w:proofErr w:type="spellStart"/>
      <w:r w:rsidR="00152BD9" w:rsidRPr="00C140A8">
        <w:rPr>
          <w:rFonts w:ascii="Georgia" w:hAnsi="Georgia" w:cs="Calibri"/>
          <w:sz w:val="22"/>
          <w:szCs w:val="22"/>
          <w:lang w:val="nl-NL"/>
        </w:rPr>
        <w:t>Wenceslas</w:t>
      </w:r>
      <w:proofErr w:type="spellEnd"/>
      <w:r w:rsidRPr="00C140A8">
        <w:rPr>
          <w:rFonts w:ascii="Georgia" w:hAnsi="Georgia" w:cs="Calibri"/>
          <w:sz w:val="22"/>
          <w:szCs w:val="22"/>
          <w:lang w:val="nl-NL"/>
        </w:rPr>
        <w:t>.</w:t>
      </w:r>
      <w:r w:rsidR="00152BD9" w:rsidRPr="00C140A8">
        <w:rPr>
          <w:rStyle w:val="FootnoteReference"/>
          <w:rFonts w:ascii="Georgia" w:hAnsi="Georgia" w:cs="Calibri"/>
          <w:sz w:val="22"/>
          <w:szCs w:val="22"/>
          <w:lang w:val="nl-NL"/>
        </w:rPr>
        <w:t xml:space="preserve"> </w:t>
      </w:r>
      <w:r w:rsidR="00152BD9" w:rsidRPr="00C140A8">
        <w:rPr>
          <w:rStyle w:val="FootnoteReference"/>
          <w:rFonts w:ascii="Georgia" w:hAnsi="Georgia" w:cs="Calibri"/>
          <w:sz w:val="22"/>
          <w:szCs w:val="22"/>
          <w:lang w:val="nl-NL"/>
        </w:rPr>
        <w:footnoteReference w:id="358"/>
      </w:r>
      <w:r w:rsidRPr="00C140A8">
        <w:rPr>
          <w:rFonts w:ascii="Georgia" w:hAnsi="Georgia" w:cs="Calibri"/>
          <w:sz w:val="22"/>
          <w:szCs w:val="22"/>
          <w:lang w:val="nl-NL"/>
        </w:rPr>
        <w:t xml:space="preserve"> De alliantie met </w:t>
      </w:r>
      <w:proofErr w:type="spellStart"/>
      <w:r w:rsidRPr="00C140A8">
        <w:rPr>
          <w:rFonts w:ascii="Georgia" w:hAnsi="Georgia" w:cs="Calibri"/>
          <w:sz w:val="22"/>
          <w:szCs w:val="22"/>
          <w:lang w:val="nl-NL"/>
        </w:rPr>
        <w:t>Mechteld</w:t>
      </w:r>
      <w:proofErr w:type="spellEnd"/>
      <w:r w:rsidRPr="00C140A8">
        <w:rPr>
          <w:rFonts w:ascii="Georgia" w:hAnsi="Georgia" w:cs="Calibri"/>
          <w:sz w:val="22"/>
          <w:szCs w:val="22"/>
          <w:lang w:val="nl-NL"/>
        </w:rPr>
        <w:t xml:space="preserve"> verloor voor Brabant geleidelijk alle politieke waarde. </w:t>
      </w:r>
      <w:r w:rsidR="001C1BBC">
        <w:rPr>
          <w:rFonts w:ascii="Georgia" w:hAnsi="Georgia" w:cs="Calibri"/>
          <w:sz w:val="22"/>
          <w:szCs w:val="22"/>
          <w:lang w:val="nl-NL"/>
        </w:rPr>
        <w:t>De bodelonen maken dit scherp zichtbaar</w:t>
      </w:r>
      <w:r w:rsidRPr="00C140A8">
        <w:rPr>
          <w:rFonts w:ascii="Georgia" w:hAnsi="Georgia" w:cs="Calibri"/>
          <w:sz w:val="22"/>
          <w:szCs w:val="22"/>
          <w:lang w:val="nl-NL"/>
        </w:rPr>
        <w:t xml:space="preserve">. Voor de reekalveren en de zalm betaalde Johanna de knapen van Gelre respectievelijk één, twee en twee </w:t>
      </w:r>
      <w:proofErr w:type="spellStart"/>
      <w:r w:rsidRPr="00C140A8">
        <w:rPr>
          <w:rFonts w:ascii="Georgia" w:hAnsi="Georgia" w:cs="Calibri"/>
          <w:sz w:val="22"/>
          <w:szCs w:val="22"/>
          <w:lang w:val="nl-NL"/>
        </w:rPr>
        <w:t>p</w:t>
      </w:r>
      <w:r w:rsidR="001C1BBC">
        <w:rPr>
          <w:rFonts w:ascii="Georgia" w:hAnsi="Georgia" w:cs="Calibri"/>
          <w:sz w:val="22"/>
          <w:szCs w:val="22"/>
          <w:lang w:val="nl-NL"/>
        </w:rPr>
        <w:t>i</w:t>
      </w:r>
      <w:r w:rsidRPr="00C140A8">
        <w:rPr>
          <w:rFonts w:ascii="Georgia" w:hAnsi="Georgia" w:cs="Calibri"/>
          <w:sz w:val="22"/>
          <w:szCs w:val="22"/>
          <w:lang w:val="nl-NL"/>
        </w:rPr>
        <w:t>eters</w:t>
      </w:r>
      <w:proofErr w:type="spellEnd"/>
      <w:r w:rsidRPr="00C140A8">
        <w:rPr>
          <w:rFonts w:ascii="Georgia" w:hAnsi="Georgia" w:cs="Calibri"/>
          <w:sz w:val="22"/>
          <w:szCs w:val="22"/>
          <w:lang w:val="nl-NL"/>
        </w:rPr>
        <w:t>.</w:t>
      </w:r>
      <w:r w:rsidR="00152BD9" w:rsidRPr="00C140A8">
        <w:rPr>
          <w:rStyle w:val="FootnoteReference"/>
          <w:rFonts w:ascii="Georgia" w:hAnsi="Georgia" w:cs="Calibri"/>
          <w:sz w:val="22"/>
          <w:szCs w:val="22"/>
          <w:lang w:val="nl-NL"/>
        </w:rPr>
        <w:t xml:space="preserve"> </w:t>
      </w:r>
      <w:r w:rsidR="00152BD9" w:rsidRPr="00C140A8">
        <w:rPr>
          <w:rStyle w:val="FootnoteReference"/>
          <w:rFonts w:ascii="Georgia" w:hAnsi="Georgia" w:cs="Calibri"/>
          <w:sz w:val="22"/>
          <w:szCs w:val="22"/>
          <w:lang w:val="nl-NL"/>
        </w:rPr>
        <w:footnoteReference w:id="359"/>
      </w:r>
      <w:r w:rsidR="00152BD9" w:rsidRPr="00C140A8">
        <w:rPr>
          <w:rFonts w:ascii="Georgia" w:hAnsi="Georgia" w:cs="Calibri"/>
          <w:sz w:val="22"/>
          <w:szCs w:val="22"/>
          <w:lang w:val="nl-NL"/>
        </w:rPr>
        <w:t xml:space="preserve"> </w:t>
      </w:r>
      <w:r w:rsidRPr="00C140A8">
        <w:rPr>
          <w:rFonts w:ascii="Georgia" w:hAnsi="Georgia" w:cs="Calibri"/>
          <w:sz w:val="22"/>
          <w:szCs w:val="22"/>
          <w:lang w:val="nl-NL"/>
        </w:rPr>
        <w:t xml:space="preserve">Dat steekt sterk af tegen de twintig </w:t>
      </w:r>
      <w:proofErr w:type="spellStart"/>
      <w:r w:rsidRPr="00C140A8">
        <w:rPr>
          <w:rFonts w:ascii="Georgia" w:hAnsi="Georgia" w:cs="Calibri"/>
          <w:sz w:val="22"/>
          <w:szCs w:val="22"/>
          <w:lang w:val="nl-NL"/>
        </w:rPr>
        <w:t>p</w:t>
      </w:r>
      <w:r w:rsidR="00CA413F">
        <w:rPr>
          <w:rFonts w:ascii="Georgia" w:hAnsi="Georgia" w:cs="Calibri"/>
          <w:sz w:val="22"/>
          <w:szCs w:val="22"/>
          <w:lang w:val="nl-NL"/>
        </w:rPr>
        <w:t>i</w:t>
      </w:r>
      <w:r w:rsidRPr="00C140A8">
        <w:rPr>
          <w:rFonts w:ascii="Georgia" w:hAnsi="Georgia" w:cs="Calibri"/>
          <w:sz w:val="22"/>
          <w:szCs w:val="22"/>
          <w:lang w:val="nl-NL"/>
        </w:rPr>
        <w:t>eters</w:t>
      </w:r>
      <w:proofErr w:type="spellEnd"/>
      <w:r w:rsidRPr="00C140A8">
        <w:rPr>
          <w:rFonts w:ascii="Georgia" w:hAnsi="Georgia" w:cs="Calibri"/>
          <w:sz w:val="22"/>
          <w:szCs w:val="22"/>
          <w:lang w:val="nl-NL"/>
        </w:rPr>
        <w:t xml:space="preserve"> die zij betaalde aan de knecht die de twee damespaarden van de graaf van Vlaanderen afleverde, en de zestien </w:t>
      </w:r>
      <w:proofErr w:type="spellStart"/>
      <w:r w:rsidRPr="00C140A8">
        <w:rPr>
          <w:rFonts w:ascii="Georgia" w:hAnsi="Georgia" w:cs="Calibri"/>
          <w:sz w:val="22"/>
          <w:szCs w:val="22"/>
          <w:lang w:val="nl-NL"/>
        </w:rPr>
        <w:t>p</w:t>
      </w:r>
      <w:r w:rsidR="00CA413F">
        <w:rPr>
          <w:rFonts w:ascii="Georgia" w:hAnsi="Georgia" w:cs="Calibri"/>
          <w:sz w:val="22"/>
          <w:szCs w:val="22"/>
          <w:lang w:val="nl-NL"/>
        </w:rPr>
        <w:t>i</w:t>
      </w:r>
      <w:r w:rsidRPr="00C140A8">
        <w:rPr>
          <w:rFonts w:ascii="Georgia" w:hAnsi="Georgia" w:cs="Calibri"/>
          <w:sz w:val="22"/>
          <w:szCs w:val="22"/>
          <w:lang w:val="nl-NL"/>
        </w:rPr>
        <w:t>eters</w:t>
      </w:r>
      <w:proofErr w:type="spellEnd"/>
      <w:r w:rsidRPr="00C140A8">
        <w:rPr>
          <w:rFonts w:ascii="Georgia" w:hAnsi="Georgia" w:cs="Calibri"/>
          <w:sz w:val="22"/>
          <w:szCs w:val="22"/>
          <w:lang w:val="nl-NL"/>
        </w:rPr>
        <w:t xml:space="preserve"> die de Vlaamse boden ontvingen voor </w:t>
      </w:r>
      <w:r w:rsidR="00152BD9" w:rsidRPr="00C140A8">
        <w:rPr>
          <w:rFonts w:ascii="Georgia" w:hAnsi="Georgia" w:cs="Calibri"/>
          <w:sz w:val="22"/>
          <w:szCs w:val="22"/>
          <w:lang w:val="nl-NL"/>
        </w:rPr>
        <w:t>de</w:t>
      </w:r>
      <w:r w:rsidRPr="00C140A8">
        <w:rPr>
          <w:rFonts w:ascii="Georgia" w:hAnsi="Georgia" w:cs="Calibri"/>
          <w:sz w:val="22"/>
          <w:szCs w:val="22"/>
          <w:lang w:val="nl-NL"/>
        </w:rPr>
        <w:t xml:space="preserve"> wijnen.</w:t>
      </w:r>
      <w:r w:rsidR="00152BD9" w:rsidRPr="00C140A8">
        <w:rPr>
          <w:rStyle w:val="FootnoteReference"/>
          <w:rFonts w:ascii="Georgia" w:hAnsi="Georgia" w:cs="Calibri"/>
          <w:sz w:val="22"/>
          <w:szCs w:val="22"/>
          <w:lang w:val="nl-NL"/>
        </w:rPr>
        <w:footnoteReference w:id="360"/>
      </w:r>
      <w:r w:rsidR="00152BD9" w:rsidRPr="00C140A8">
        <w:rPr>
          <w:rFonts w:ascii="Georgia" w:hAnsi="Georgia" w:cs="Calibri"/>
          <w:sz w:val="22"/>
          <w:szCs w:val="22"/>
          <w:lang w:val="nl-NL"/>
        </w:rPr>
        <w:t xml:space="preserve"> </w:t>
      </w:r>
      <w:r w:rsidRPr="00C140A8">
        <w:rPr>
          <w:rFonts w:ascii="Georgia" w:hAnsi="Georgia" w:cs="Calibri"/>
          <w:sz w:val="22"/>
          <w:szCs w:val="22"/>
          <w:lang w:val="nl-NL"/>
        </w:rPr>
        <w:t xml:space="preserve">Zoals </w:t>
      </w:r>
      <w:proofErr w:type="spellStart"/>
      <w:r w:rsidRPr="00C140A8">
        <w:rPr>
          <w:rFonts w:ascii="Georgia" w:hAnsi="Georgia" w:cs="Calibri"/>
          <w:sz w:val="22"/>
          <w:szCs w:val="22"/>
          <w:lang w:val="nl-NL"/>
        </w:rPr>
        <w:t>Seah</w:t>
      </w:r>
      <w:proofErr w:type="spellEnd"/>
      <w:r w:rsidRPr="00C140A8">
        <w:rPr>
          <w:rFonts w:ascii="Georgia" w:hAnsi="Georgia" w:cs="Calibri"/>
          <w:sz w:val="22"/>
          <w:szCs w:val="22"/>
          <w:lang w:val="nl-NL"/>
        </w:rPr>
        <w:t xml:space="preserve"> opmerkt, was de som van het bodeloon geen neutrale </w:t>
      </w:r>
      <w:r w:rsidRPr="00C140A8">
        <w:rPr>
          <w:rFonts w:ascii="Georgia" w:hAnsi="Georgia" w:cs="Calibri"/>
          <w:sz w:val="22"/>
          <w:szCs w:val="22"/>
          <w:lang w:val="nl-NL"/>
        </w:rPr>
        <w:lastRenderedPageBreak/>
        <w:t>administratieve keuze, maar een subtiele manier waarop de vorstin haar waardering voor een relatie kenbaar maakte.</w:t>
      </w:r>
      <w:r w:rsidR="00152BD9" w:rsidRPr="00C140A8">
        <w:rPr>
          <w:rStyle w:val="FootnoteReference"/>
          <w:rFonts w:ascii="Georgia" w:hAnsi="Georgia" w:cs="Calibri"/>
          <w:sz w:val="22"/>
          <w:szCs w:val="22"/>
          <w:lang w:val="nl-NL"/>
        </w:rPr>
        <w:footnoteReference w:id="361"/>
      </w:r>
      <w:r w:rsidR="003C2F79">
        <w:rPr>
          <w:rFonts w:ascii="Georgia" w:hAnsi="Georgia" w:cs="Calibri"/>
          <w:sz w:val="22"/>
          <w:szCs w:val="22"/>
          <w:lang w:val="nl-NL"/>
        </w:rPr>
        <w:t xml:space="preserve"> </w:t>
      </w:r>
      <w:r w:rsidRPr="00C140A8">
        <w:rPr>
          <w:rFonts w:ascii="Georgia" w:hAnsi="Georgia" w:cs="Calibri"/>
          <w:sz w:val="22"/>
          <w:szCs w:val="22"/>
          <w:lang w:val="nl-NL"/>
        </w:rPr>
        <w:t xml:space="preserve">De bescheidenheid van de Gelderse bodelonen weerspiegelt dan ook zowel </w:t>
      </w:r>
      <w:proofErr w:type="spellStart"/>
      <w:r w:rsidRPr="00C140A8">
        <w:rPr>
          <w:rFonts w:ascii="Georgia" w:hAnsi="Georgia" w:cs="Calibri"/>
          <w:sz w:val="22"/>
          <w:szCs w:val="22"/>
          <w:lang w:val="nl-NL"/>
        </w:rPr>
        <w:t>Mechtelds</w:t>
      </w:r>
      <w:proofErr w:type="spellEnd"/>
      <w:r w:rsidRPr="00C140A8">
        <w:rPr>
          <w:rFonts w:ascii="Georgia" w:hAnsi="Georgia" w:cs="Calibri"/>
          <w:sz w:val="22"/>
          <w:szCs w:val="22"/>
          <w:lang w:val="nl-NL"/>
        </w:rPr>
        <w:t xml:space="preserve"> verzwakte politieke positie als de tanende strategische waarde die Johanna aan de relatie hechtte</w:t>
      </w:r>
    </w:p>
    <w:p w14:paraId="6E753BB2" w14:textId="024C3352" w:rsidR="00CC0385" w:rsidRPr="00C140A8" w:rsidRDefault="00CC0385" w:rsidP="00A2279A">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De strategische intenties achter het geschenkenverkeer misten echter soms hun doel. De verwachte loyaliteit in ruil voor een gift bleef vaak slechts een streven. Een relatie kon immers pas tot stand komen als het geschenk ook daadwerkelijk werd geaccepteerd. Een treffend voorbeeld van een dergelijke mislukte diplomatieke poging is te vinden in de rekeningen van 18 juni 1379.</w:t>
      </w:r>
      <w:r w:rsidRPr="00C140A8">
        <w:rPr>
          <w:rStyle w:val="FootnoteReference"/>
          <w:rFonts w:ascii="Georgia" w:hAnsi="Georgia" w:cs="Calibri"/>
          <w:sz w:val="22"/>
          <w:szCs w:val="22"/>
          <w:lang w:val="nl-NL"/>
        </w:rPr>
        <w:footnoteReference w:id="362"/>
      </w:r>
      <w:r w:rsidRPr="00C140A8">
        <w:rPr>
          <w:rFonts w:ascii="Georgia" w:hAnsi="Georgia" w:cs="Calibri"/>
          <w:sz w:val="22"/>
          <w:szCs w:val="22"/>
          <w:lang w:val="nl-NL"/>
        </w:rPr>
        <w:t xml:space="preserve"> De uitbetaling van Johanna's achterstallige weduwegoed in Holland verliep uiterst moeizaam en leidde herhaaldelijk tot conflicten. Toen in 1379 alsnog een deel van het bedrag werd overgemaakt, liet Johanna een gouden beker vervaardigen, vermoedelijk om de relatie met het graafschap goed te houden. </w:t>
      </w:r>
      <w:r w:rsidR="00A2279A" w:rsidRPr="00A2279A">
        <w:rPr>
          <w:rFonts w:ascii="Georgia" w:hAnsi="Georgia" w:cs="Calibri"/>
          <w:sz w:val="22"/>
          <w:szCs w:val="22"/>
        </w:rPr>
        <w:t>Johanna bood deze beker als dank voor de betaling van de Hollandse gelden aan Coenraad, de rentmeester van hertog Albrecht.</w:t>
      </w:r>
      <w:r w:rsidRPr="00C140A8">
        <w:rPr>
          <w:rFonts w:ascii="Georgia" w:hAnsi="Georgia" w:cs="Calibri"/>
          <w:sz w:val="22"/>
          <w:szCs w:val="22"/>
          <w:lang w:val="nl-NL"/>
        </w:rPr>
        <w:t xml:space="preserve"> Hij weigerde </w:t>
      </w:r>
      <w:r w:rsidR="00A2279A">
        <w:rPr>
          <w:rFonts w:ascii="Georgia" w:hAnsi="Georgia" w:cs="Calibri"/>
          <w:sz w:val="22"/>
          <w:szCs w:val="22"/>
          <w:lang w:val="nl-NL"/>
        </w:rPr>
        <w:t>het geschenk</w:t>
      </w:r>
      <w:r w:rsidRPr="00C140A8">
        <w:rPr>
          <w:rFonts w:ascii="Georgia" w:hAnsi="Georgia" w:cs="Calibri"/>
          <w:sz w:val="22"/>
          <w:szCs w:val="22"/>
          <w:lang w:val="nl-NL"/>
        </w:rPr>
        <w:t xml:space="preserve"> echter. Of dit nu zijn eigen beslissing was of een direct bevel van Albrecht, het afwijzen van een geschenk van een naburige hertogin gold als een zware belediging. Johanna nam de beker noodgedwongen terug en schonk hem aan haar petekind. Met een waarde van 35 peters bleek het een duur geschenk dat </w:t>
      </w:r>
      <w:r w:rsidR="000873D5">
        <w:rPr>
          <w:rFonts w:ascii="Georgia" w:hAnsi="Georgia" w:cs="Calibri"/>
          <w:sz w:val="22"/>
          <w:szCs w:val="22"/>
          <w:lang w:val="nl-NL"/>
        </w:rPr>
        <w:t>zijn</w:t>
      </w:r>
      <w:r w:rsidRPr="00C140A8">
        <w:rPr>
          <w:rFonts w:ascii="Georgia" w:hAnsi="Georgia" w:cs="Calibri"/>
          <w:sz w:val="22"/>
          <w:szCs w:val="22"/>
          <w:lang w:val="nl-NL"/>
        </w:rPr>
        <w:t xml:space="preserve"> doel miste. </w:t>
      </w:r>
    </w:p>
    <w:p w14:paraId="63D65022" w14:textId="3249BB22" w:rsidR="00A83076" w:rsidRDefault="005D174E"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Geschenken waren dus essentiële instrumenten van bestuur.</w:t>
      </w:r>
      <w:r w:rsidRPr="00C140A8">
        <w:rPr>
          <w:rStyle w:val="FootnoteReference"/>
          <w:rFonts w:ascii="Georgia" w:hAnsi="Georgia" w:cs="Calibri"/>
          <w:sz w:val="22"/>
          <w:szCs w:val="22"/>
          <w:lang w:val="nl-NL"/>
        </w:rPr>
        <w:footnoteReference w:id="363"/>
      </w:r>
      <w:r w:rsidRPr="00C140A8">
        <w:rPr>
          <w:rFonts w:ascii="Georgia" w:hAnsi="Georgia" w:cs="Calibri"/>
          <w:sz w:val="22"/>
          <w:szCs w:val="22"/>
          <w:lang w:val="nl-NL"/>
        </w:rPr>
        <w:t xml:space="preserve"> Johanna participeerde veelzijdig in het geschenkenverkeer dat op basis van de algemene rekeningen voornamelijk rond haar draaide.</w:t>
      </w:r>
      <w:r w:rsidR="000873D5">
        <w:rPr>
          <w:rFonts w:ascii="Georgia" w:hAnsi="Georgia" w:cs="Calibri"/>
          <w:sz w:val="22"/>
          <w:szCs w:val="22"/>
          <w:lang w:val="nl-NL"/>
        </w:rPr>
        <w:t xml:space="preserve"> </w:t>
      </w:r>
      <w:r w:rsidRPr="00C140A8">
        <w:rPr>
          <w:rFonts w:ascii="Georgia" w:hAnsi="Georgia" w:cs="Calibri"/>
          <w:sz w:val="22"/>
          <w:szCs w:val="22"/>
          <w:lang w:val="nl-NL"/>
        </w:rPr>
        <w:t xml:space="preserve">Zij gaf en ontving giften uit een breed scala aan hoven, en deed dat over de hele bestudeerde periode opvallend vaker dan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Binnen dat verkeer springt de uitwisseling met de graaf van Vlaanderen er bovenuit, niet alleen door de waarde van de geschenken zelf, maar ook door de royale bodelonen die de relatie </w:t>
      </w:r>
      <w:proofErr w:type="gramStart"/>
      <w:r w:rsidRPr="00C140A8">
        <w:rPr>
          <w:rFonts w:ascii="Georgia" w:hAnsi="Georgia" w:cs="Calibri"/>
          <w:sz w:val="22"/>
          <w:szCs w:val="22"/>
          <w:lang w:val="nl-NL"/>
        </w:rPr>
        <w:t>onderstreepten</w:t>
      </w:r>
      <w:proofErr w:type="gramEnd"/>
      <w:r w:rsidRPr="00C140A8">
        <w:rPr>
          <w:rFonts w:ascii="Georgia" w:hAnsi="Georgia" w:cs="Calibri"/>
          <w:sz w:val="22"/>
          <w:szCs w:val="22"/>
          <w:lang w:val="nl-NL"/>
        </w:rPr>
        <w:t>. Het contrast met Gelre is veelzeggend</w:t>
      </w:r>
      <w:r w:rsidR="00A2279A">
        <w:rPr>
          <w:rFonts w:ascii="Georgia" w:hAnsi="Georgia" w:cs="Calibri"/>
          <w:sz w:val="22"/>
          <w:szCs w:val="22"/>
          <w:lang w:val="nl-NL"/>
        </w:rPr>
        <w:t>. O</w:t>
      </w:r>
      <w:r w:rsidRPr="00C140A8">
        <w:rPr>
          <w:rFonts w:ascii="Georgia" w:hAnsi="Georgia" w:cs="Calibri"/>
          <w:sz w:val="22"/>
          <w:szCs w:val="22"/>
          <w:lang w:val="nl-NL"/>
        </w:rPr>
        <w:t xml:space="preserve">ok al waren de prestigieuze geschenken van de hertogin van Gelre op zich waardevol, de bescheiden bodelonen verraden een verminderde strategische belangstelling voor die band. Wederkerigheid bleef tot slot een centraal element in het geschenkverkeer, maar was </w:t>
      </w:r>
      <w:r w:rsidR="00A2279A">
        <w:rPr>
          <w:rFonts w:ascii="Georgia" w:hAnsi="Georgia" w:cs="Calibri"/>
          <w:sz w:val="22"/>
          <w:szCs w:val="22"/>
          <w:lang w:val="nl-NL"/>
        </w:rPr>
        <w:t xml:space="preserve">geen </w:t>
      </w:r>
      <w:r w:rsidRPr="00C140A8">
        <w:rPr>
          <w:rFonts w:ascii="Georgia" w:hAnsi="Georgia" w:cs="Calibri"/>
          <w:sz w:val="22"/>
          <w:szCs w:val="22"/>
          <w:lang w:val="nl-NL"/>
        </w:rPr>
        <w:t>gegarandeerd succes. De afgewezen gouden beker voor de rentmeester van Albrecht van Beieren toont dat zelfs een doordachte gift haar politieke doel kon missen</w:t>
      </w:r>
      <w:r w:rsidR="003B2FB9" w:rsidRPr="00C140A8">
        <w:rPr>
          <w:rFonts w:ascii="Georgia" w:hAnsi="Georgia" w:cs="Calibri"/>
          <w:sz w:val="22"/>
          <w:szCs w:val="22"/>
          <w:lang w:val="nl-NL"/>
        </w:rPr>
        <w:t>.</w:t>
      </w:r>
    </w:p>
    <w:p w14:paraId="362E88FA" w14:textId="4C80A49A" w:rsidR="00D83A0D" w:rsidRPr="00C140A8" w:rsidRDefault="00A83076" w:rsidP="00A83076">
      <w:pPr>
        <w:spacing w:after="160" w:line="278" w:lineRule="auto"/>
        <w:rPr>
          <w:rFonts w:ascii="Georgia" w:hAnsi="Georgia" w:cs="Calibri"/>
          <w:sz w:val="22"/>
          <w:szCs w:val="22"/>
          <w:lang w:val="nl-NL"/>
        </w:rPr>
      </w:pPr>
      <w:r>
        <w:rPr>
          <w:rFonts w:ascii="Georgia" w:hAnsi="Georgia" w:cs="Calibri"/>
          <w:sz w:val="22"/>
          <w:szCs w:val="22"/>
          <w:lang w:val="nl-NL"/>
        </w:rPr>
        <w:br w:type="page"/>
      </w:r>
    </w:p>
    <w:p w14:paraId="179F149D" w14:textId="75211258" w:rsidR="008912DA" w:rsidRPr="00164331" w:rsidRDefault="00D013B9" w:rsidP="0050433C">
      <w:pPr>
        <w:pStyle w:val="ThesisSubheading"/>
        <w:ind w:left="1134" w:hanging="1134"/>
        <w:rPr>
          <w:lang w:val="nl-NL"/>
        </w:rPr>
      </w:pPr>
      <w:bookmarkStart w:id="208" w:name="_Toc228635697"/>
      <w:bookmarkStart w:id="209" w:name="_Toc230171744"/>
      <w:bookmarkStart w:id="210" w:name="_Toc230171774"/>
      <w:bookmarkStart w:id="211" w:name="_Toc230171847"/>
      <w:bookmarkStart w:id="212" w:name="_Toc231153785"/>
      <w:bookmarkStart w:id="213" w:name="_Toc231329854"/>
      <w:bookmarkStart w:id="214" w:name="_Toc231330461"/>
      <w:bookmarkStart w:id="215" w:name="_Toc231428055"/>
      <w:r w:rsidRPr="00C140A8">
        <w:rPr>
          <w:lang w:val="nl-NL"/>
        </w:rPr>
        <w:lastRenderedPageBreak/>
        <w:t xml:space="preserve">Minstrelen en </w:t>
      </w:r>
      <w:r w:rsidRPr="00D83A0D">
        <w:t>entertainment</w:t>
      </w:r>
      <w:bookmarkEnd w:id="208"/>
      <w:bookmarkEnd w:id="209"/>
      <w:bookmarkEnd w:id="210"/>
      <w:bookmarkEnd w:id="211"/>
      <w:bookmarkEnd w:id="212"/>
      <w:bookmarkEnd w:id="213"/>
      <w:bookmarkEnd w:id="214"/>
      <w:bookmarkEnd w:id="215"/>
      <w:r w:rsidRPr="00C140A8">
        <w:rPr>
          <w:lang w:val="nl-NL"/>
        </w:rPr>
        <w:t xml:space="preserve"> </w:t>
      </w:r>
    </w:p>
    <w:p w14:paraId="1B32C14C" w14:textId="356700CC" w:rsidR="008912DA" w:rsidRPr="00C140A8" w:rsidRDefault="008912DA"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Internationale huwelijken legden niet alleen twee machtssferen, maar ook twee cultuurkringen aan elkaar.</w:t>
      </w:r>
      <w:r w:rsidRPr="00C140A8">
        <w:rPr>
          <w:rStyle w:val="FootnoteReference"/>
          <w:rFonts w:ascii="Georgia" w:hAnsi="Georgia" w:cs="Calibri"/>
          <w:sz w:val="22"/>
          <w:szCs w:val="22"/>
          <w:lang w:val="nl-NL"/>
        </w:rPr>
        <w:footnoteReference w:id="364"/>
      </w:r>
      <w:r w:rsidRPr="00C140A8">
        <w:rPr>
          <w:rFonts w:ascii="Georgia" w:hAnsi="Georgia" w:cs="Calibri"/>
          <w:sz w:val="22"/>
          <w:szCs w:val="22"/>
          <w:lang w:val="nl-NL"/>
        </w:rPr>
        <w:t xml:space="preserve"> Onder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en Johanna ontwikkelde het Brabantse hof zich tot een levendig cultureel centrum.</w:t>
      </w:r>
      <w:r w:rsidRPr="00C140A8">
        <w:rPr>
          <w:rStyle w:val="FootnoteReference"/>
          <w:rFonts w:ascii="Georgia" w:hAnsi="Georgia" w:cs="Calibri"/>
          <w:sz w:val="22"/>
          <w:szCs w:val="22"/>
          <w:lang w:val="nl-NL"/>
        </w:rPr>
        <w:footnoteReference w:id="365"/>
      </w:r>
      <w:r w:rsidRPr="00C140A8">
        <w:rPr>
          <w:rFonts w:ascii="Georgia" w:hAnsi="Georgia" w:cs="Calibri"/>
          <w:sz w:val="22"/>
          <w:szCs w:val="22"/>
          <w:lang w:val="nl-NL"/>
        </w:rPr>
        <w:t xml:space="preserve"> Dat het hof aantrekkingskracht uitoefende, blijkt uit de uitgaven voor luxeproducten, gokspelen en feesten en uit de afgezanten die met grote regelmaat vanuit andere hoven aankwamen. Minstens één keer per jaar ontvingen Johanna 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zelfs een buitenlandse soeverein.</w:t>
      </w:r>
      <w:r w:rsidR="00E97819">
        <w:rPr>
          <w:rStyle w:val="FootnoteReference"/>
          <w:rFonts w:ascii="Georgia" w:hAnsi="Georgia" w:cs="Calibri"/>
          <w:sz w:val="22"/>
          <w:szCs w:val="22"/>
          <w:lang w:val="nl-NL"/>
        </w:rPr>
        <w:footnoteReference w:id="366"/>
      </w:r>
      <w:r w:rsidRPr="00C140A8">
        <w:rPr>
          <w:rFonts w:ascii="Georgia" w:hAnsi="Georgia" w:cs="Calibri"/>
          <w:sz w:val="22"/>
          <w:szCs w:val="22"/>
          <w:lang w:val="nl-NL"/>
        </w:rPr>
        <w:t xml:space="preserve"> Zo brachten de rekeningen voor 1377 de doortocht van de Duitse keizer in kaart, van de belangrijkste Brabantse steden tot zijn uiteindelijke ontvangst in het paleis op de </w:t>
      </w:r>
      <w:proofErr w:type="spellStart"/>
      <w:r w:rsidRPr="00C140A8">
        <w:rPr>
          <w:rFonts w:ascii="Georgia" w:hAnsi="Georgia" w:cs="Calibri"/>
          <w:sz w:val="22"/>
          <w:szCs w:val="22"/>
          <w:lang w:val="nl-NL"/>
        </w:rPr>
        <w:t>Coudenberg</w:t>
      </w:r>
      <w:proofErr w:type="spellEnd"/>
      <w:r w:rsidRPr="00C140A8">
        <w:rPr>
          <w:rFonts w:ascii="Georgia" w:hAnsi="Georgia" w:cs="Calibri"/>
          <w:sz w:val="22"/>
          <w:szCs w:val="22"/>
          <w:lang w:val="nl-NL"/>
        </w:rPr>
        <w:t>.</w:t>
      </w:r>
      <w:r w:rsidRPr="00C140A8">
        <w:rPr>
          <w:rStyle w:val="FootnoteReference"/>
          <w:rFonts w:ascii="Georgia" w:hAnsi="Georgia" w:cs="Calibri"/>
          <w:sz w:val="22"/>
          <w:szCs w:val="22"/>
          <w:lang w:val="nl-NL"/>
        </w:rPr>
        <w:footnoteReference w:id="367"/>
      </w:r>
      <w:r w:rsidRPr="00C140A8">
        <w:rPr>
          <w:rFonts w:ascii="Georgia" w:hAnsi="Georgia" w:cs="Calibri"/>
          <w:sz w:val="22"/>
          <w:szCs w:val="22"/>
          <w:lang w:val="nl-NL"/>
        </w:rPr>
        <w:t xml:space="preserve"> Het hof had bovendien een uitgesproken internationaal karakter. Er werden verschillende talen gesproken, waaronder het Diets (de voorkeurstaal van Johanna), het Frans, het Duits en het Tsjechisch, en geregeld bezochten tolken die </w:t>
      </w:r>
      <w:r w:rsidR="00D6184C">
        <w:rPr>
          <w:rFonts w:ascii="Georgia" w:hAnsi="Georgia" w:cs="Calibri"/>
          <w:sz w:val="22"/>
          <w:szCs w:val="22"/>
          <w:lang w:val="nl-NL"/>
        </w:rPr>
        <w:t>“</w:t>
      </w:r>
      <w:r w:rsidRPr="000873D5">
        <w:rPr>
          <w:rFonts w:ascii="Georgia" w:hAnsi="Georgia" w:cs="Calibri"/>
          <w:i/>
          <w:iCs/>
          <w:sz w:val="22"/>
          <w:szCs w:val="22"/>
          <w:lang w:val="nl-NL"/>
        </w:rPr>
        <w:t>diverse spr</w:t>
      </w:r>
      <w:r w:rsidR="000873D5" w:rsidRPr="000873D5">
        <w:rPr>
          <w:rFonts w:ascii="Georgia" w:hAnsi="Georgia" w:cs="Calibri"/>
          <w:i/>
          <w:iCs/>
          <w:sz w:val="22"/>
          <w:szCs w:val="22"/>
          <w:lang w:val="nl-NL"/>
        </w:rPr>
        <w:t>o</w:t>
      </w:r>
      <w:r w:rsidRPr="000873D5">
        <w:rPr>
          <w:rFonts w:ascii="Georgia" w:hAnsi="Georgia" w:cs="Calibri"/>
          <w:i/>
          <w:iCs/>
          <w:sz w:val="22"/>
          <w:szCs w:val="22"/>
          <w:lang w:val="nl-NL"/>
        </w:rPr>
        <w:t>ken spraken</w:t>
      </w:r>
      <w:r w:rsidR="00D6184C">
        <w:rPr>
          <w:rFonts w:ascii="Georgia" w:hAnsi="Georgia" w:cs="Calibri"/>
          <w:sz w:val="22"/>
          <w:szCs w:val="22"/>
          <w:lang w:val="nl-NL"/>
        </w:rPr>
        <w:t xml:space="preserve">” </w:t>
      </w:r>
      <w:r w:rsidRPr="00C140A8">
        <w:rPr>
          <w:rFonts w:ascii="Georgia" w:hAnsi="Georgia" w:cs="Calibri"/>
          <w:sz w:val="22"/>
          <w:szCs w:val="22"/>
          <w:lang w:val="nl-NL"/>
        </w:rPr>
        <w:t>het hof.</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368"/>
      </w:r>
      <w:r w:rsidR="00022BE3" w:rsidRPr="00C140A8">
        <w:rPr>
          <w:rFonts w:ascii="Georgia" w:hAnsi="Georgia" w:cs="Calibri"/>
          <w:sz w:val="22"/>
          <w:szCs w:val="22"/>
          <w:lang w:val="nl-NL"/>
        </w:rPr>
        <w:t xml:space="preserve"> Zelfs tijdens het Luikse conflict in Maastricht ontving Johanna er minstrelen.</w:t>
      </w:r>
      <w:r w:rsidR="00022BE3" w:rsidRPr="00C140A8">
        <w:rPr>
          <w:rStyle w:val="FootnoteReference"/>
          <w:rFonts w:ascii="Georgia" w:hAnsi="Georgia" w:cs="Calibri"/>
          <w:sz w:val="22"/>
          <w:szCs w:val="22"/>
          <w:lang w:val="nl-NL"/>
        </w:rPr>
        <w:footnoteReference w:id="369"/>
      </w:r>
      <w:r w:rsidR="004E51AC" w:rsidRPr="00C140A8">
        <w:rPr>
          <w:rFonts w:ascii="Georgia" w:hAnsi="Georgia" w:cs="Calibri"/>
          <w:sz w:val="22"/>
          <w:szCs w:val="22"/>
          <w:lang w:val="nl-NL"/>
        </w:rPr>
        <w:t xml:space="preserve"> </w:t>
      </w:r>
      <w:r w:rsidR="00D31889" w:rsidRPr="00C140A8">
        <w:rPr>
          <w:rFonts w:ascii="Georgia" w:hAnsi="Georgia" w:cs="Calibri"/>
          <w:sz w:val="22"/>
          <w:szCs w:val="22"/>
          <w:lang w:val="nl-NL"/>
        </w:rPr>
        <w:t>Zowel eigen als buitenlandse minstrelen verzorgden het entertainment tijdens jachtpartijen, banketten en andere feestelijkheden. Door het internationale karakter en de informele diplomatieke waarde van die optredens verdient dit onderdeel van het hofleven een nadere blik</w:t>
      </w:r>
      <w:r w:rsidR="005962E4" w:rsidRPr="00C140A8">
        <w:rPr>
          <w:rFonts w:ascii="Georgia" w:hAnsi="Georgia" w:cs="Calibri"/>
          <w:sz w:val="22"/>
          <w:szCs w:val="22"/>
          <w:lang w:val="nl-NL"/>
        </w:rPr>
        <w:t>.</w:t>
      </w:r>
    </w:p>
    <w:p w14:paraId="50AB402D" w14:textId="48E34BBB" w:rsidR="001160C6" w:rsidRPr="00C140A8" w:rsidRDefault="00D31889"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Betalingen aan minstrelen vormen een opvallend onderdeel van de Brabantse rekeningen. </w:t>
      </w:r>
      <w:r w:rsidR="00D013B9" w:rsidRPr="2D0D95AE">
        <w:rPr>
          <w:rFonts w:ascii="Georgia" w:hAnsi="Georgia" w:cs="Calibri"/>
          <w:sz w:val="22"/>
          <w:szCs w:val="22"/>
          <w:lang w:val="en-US"/>
        </w:rPr>
        <w:t xml:space="preserve">In een Middelnederlandse context wijst deze term op personen die </w:t>
      </w:r>
      <w:r w:rsidR="004B035A" w:rsidRPr="2D0D95AE">
        <w:rPr>
          <w:rFonts w:ascii="Georgia" w:hAnsi="Georgia" w:cs="Calibri"/>
          <w:sz w:val="22"/>
          <w:szCs w:val="22"/>
          <w:lang w:val="en-US"/>
        </w:rPr>
        <w:t>“i</w:t>
      </w:r>
      <w:r w:rsidR="00D013B9" w:rsidRPr="2D0D95AE">
        <w:rPr>
          <w:rFonts w:ascii="Georgia" w:hAnsi="Georgia" w:cs="Calibri"/>
          <w:sz w:val="22"/>
          <w:szCs w:val="22"/>
          <w:lang w:val="en-US"/>
        </w:rPr>
        <w:t>n dienst of ten gevalle van een vorstelijk of aanzienlijk persoon een of andere kunst uitoefenen, bepaaldelijk zang en snarenspel</w:t>
      </w:r>
      <w:r w:rsidR="004B035A" w:rsidRPr="2D0D95AE">
        <w:rPr>
          <w:rFonts w:ascii="Georgia" w:hAnsi="Georgia" w:cs="Calibri"/>
          <w:sz w:val="22"/>
          <w:szCs w:val="22"/>
          <w:lang w:val="en-US"/>
        </w:rPr>
        <w:t>”</w:t>
      </w:r>
      <w:r w:rsidR="00D013B9" w:rsidRPr="2D0D95AE">
        <w:rPr>
          <w:rFonts w:ascii="Georgia" w:hAnsi="Georgia" w:cs="Calibri"/>
          <w:sz w:val="22"/>
          <w:szCs w:val="22"/>
          <w:lang w:val="en-US"/>
        </w:rPr>
        <w:t>.</w:t>
      </w:r>
      <w:r w:rsidRPr="2D0D95AE">
        <w:rPr>
          <w:rStyle w:val="FootnoteReference"/>
          <w:rFonts w:ascii="Georgia" w:hAnsi="Georgia" w:cs="Calibri"/>
          <w:sz w:val="22"/>
          <w:szCs w:val="22"/>
          <w:lang w:val="en-US"/>
        </w:rPr>
        <w:footnoteReference w:id="370"/>
      </w:r>
      <w:r w:rsidR="00D013B9" w:rsidRPr="2D0D95AE">
        <w:rPr>
          <w:rFonts w:ascii="Georgia" w:hAnsi="Georgia" w:cs="Calibri"/>
          <w:sz w:val="22"/>
          <w:szCs w:val="22"/>
          <w:lang w:val="en-US"/>
        </w:rPr>
        <w:t xml:space="preserve"> Binnen het vorstelijk huishouden vervulden zij een reeks taken. Zij traden op tijdens formele ceremonies en grote banketfeesten, voorzagen het hertogelijk koppel van privé-entertainment, en begeleidden zelfs in tijden van oorlog veldslagen met militaire marsen.</w:t>
      </w:r>
      <w:r w:rsidRPr="2D0D95AE">
        <w:rPr>
          <w:rStyle w:val="FootnoteReference"/>
          <w:rFonts w:ascii="Georgia" w:hAnsi="Georgia" w:cs="Calibri"/>
          <w:sz w:val="22"/>
          <w:szCs w:val="22"/>
          <w:lang w:val="en-US"/>
        </w:rPr>
        <w:footnoteReference w:id="371"/>
      </w:r>
      <w:r w:rsidR="00D013B9" w:rsidRPr="2D0D95AE">
        <w:rPr>
          <w:rFonts w:ascii="Georgia" w:hAnsi="Georgia" w:cs="Calibri"/>
          <w:sz w:val="22"/>
          <w:szCs w:val="22"/>
          <w:lang w:val="en-US"/>
        </w:rPr>
        <w:t xml:space="preserve"> </w:t>
      </w:r>
      <w:r w:rsidR="00BE2B6C" w:rsidRPr="2D0D95AE">
        <w:rPr>
          <w:rFonts w:ascii="Georgia" w:hAnsi="Georgia" w:cs="Calibri"/>
          <w:sz w:val="22"/>
          <w:szCs w:val="22"/>
          <w:lang w:val="en-US"/>
        </w:rPr>
        <w:t>Ook lieten edellieden hun minstrelen reizen, niet enkel voor grote evenementen maar ook om concrete boodschappen over te brengen.</w:t>
      </w:r>
      <w:r w:rsidR="00BE2B6C" w:rsidRPr="2D0D95AE">
        <w:rPr>
          <w:rStyle w:val="FootnoteReference"/>
          <w:rFonts w:ascii="Georgia" w:hAnsi="Georgia" w:cs="Calibri"/>
          <w:sz w:val="22"/>
          <w:szCs w:val="22"/>
          <w:lang w:val="en-US"/>
        </w:rPr>
        <w:t xml:space="preserve"> </w:t>
      </w:r>
      <w:r w:rsidRPr="2D0D95AE">
        <w:rPr>
          <w:rStyle w:val="FootnoteReference"/>
          <w:rFonts w:ascii="Georgia" w:hAnsi="Georgia" w:cs="Calibri"/>
          <w:sz w:val="22"/>
          <w:szCs w:val="22"/>
          <w:lang w:val="en-US"/>
        </w:rPr>
        <w:footnoteReference w:id="372"/>
      </w:r>
      <w:r w:rsidR="001160C6" w:rsidRPr="2D0D95AE">
        <w:rPr>
          <w:rFonts w:ascii="Georgia" w:hAnsi="Georgia" w:cs="Calibri"/>
          <w:sz w:val="22"/>
          <w:szCs w:val="22"/>
          <w:lang w:val="en-US"/>
        </w:rPr>
        <w:t xml:space="preserve"> </w:t>
      </w:r>
      <w:r w:rsidR="00D013B9" w:rsidRPr="2D0D95AE">
        <w:rPr>
          <w:rFonts w:ascii="Georgia" w:hAnsi="Georgia" w:cs="Calibri"/>
          <w:sz w:val="22"/>
          <w:szCs w:val="22"/>
          <w:lang w:val="en-US"/>
        </w:rPr>
        <w:t>Zoals eerder bleek, was de term 'boodschapper' moeilijk af te bakenen tot één specifieke groep</w:t>
      </w:r>
      <w:r w:rsidR="002D2056" w:rsidRPr="2D0D95AE">
        <w:rPr>
          <w:rFonts w:ascii="Georgia" w:hAnsi="Georgia" w:cs="Calibri"/>
          <w:sz w:val="22"/>
          <w:szCs w:val="22"/>
          <w:lang w:val="en-US"/>
        </w:rPr>
        <w:t xml:space="preserve">. </w:t>
      </w:r>
      <w:r w:rsidR="001160C6" w:rsidRPr="2D0D95AE">
        <w:rPr>
          <w:rFonts w:ascii="Georgia" w:hAnsi="Georgia" w:cs="Calibri"/>
          <w:sz w:val="22"/>
          <w:szCs w:val="22"/>
          <w:lang w:val="en-US"/>
        </w:rPr>
        <w:t>Het communicatieverkeer was zo omvangrijk dat het hertogelijk huishouden iedereen inzette die men kon missen.</w:t>
      </w:r>
      <w:r w:rsidR="001160C6" w:rsidRPr="2D0D95AE">
        <w:rPr>
          <w:rStyle w:val="FootnoteReference"/>
          <w:rFonts w:ascii="Georgia" w:hAnsi="Georgia" w:cs="Calibri"/>
          <w:sz w:val="22"/>
          <w:szCs w:val="22"/>
          <w:lang w:val="en-US"/>
        </w:rPr>
        <w:t xml:space="preserve"> </w:t>
      </w:r>
      <w:r w:rsidRPr="2D0D95AE">
        <w:rPr>
          <w:rStyle w:val="FootnoteReference"/>
          <w:rFonts w:ascii="Georgia" w:hAnsi="Georgia" w:cs="Calibri"/>
          <w:sz w:val="22"/>
          <w:szCs w:val="22"/>
          <w:lang w:val="en-US"/>
        </w:rPr>
        <w:footnoteReference w:id="373"/>
      </w:r>
      <w:r w:rsidR="001160C6" w:rsidRPr="2D0D95AE">
        <w:rPr>
          <w:rFonts w:ascii="Georgia" w:hAnsi="Georgia" w:cs="Calibri"/>
          <w:sz w:val="22"/>
          <w:szCs w:val="22"/>
          <w:lang w:val="en-US"/>
        </w:rPr>
        <w:t xml:space="preserve"> De minstrelen vormden hiervan een onderdeel.</w:t>
      </w:r>
    </w:p>
    <w:p w14:paraId="19312D3C" w14:textId="49AF61DE" w:rsidR="001160C6" w:rsidRPr="00C140A8" w:rsidRDefault="00856A3C" w:rsidP="00C140A8">
      <w:pPr>
        <w:spacing w:afterLines="80" w:after="192" w:line="360" w:lineRule="auto"/>
        <w:jc w:val="both"/>
        <w:rPr>
          <w:rFonts w:ascii="Georgia" w:hAnsi="Georgia" w:cs="Calibri"/>
          <w:color w:val="000000" w:themeColor="text1"/>
          <w:sz w:val="22"/>
          <w:szCs w:val="22"/>
          <w:lang w:val="nl-NL"/>
        </w:rPr>
      </w:pPr>
      <w:r>
        <w:rPr>
          <w:noProof/>
        </w:rPr>
        <w:lastRenderedPageBreak/>
        <mc:AlternateContent>
          <mc:Choice Requires="wps">
            <w:drawing>
              <wp:anchor distT="0" distB="0" distL="114300" distR="114300" simplePos="0" relativeHeight="251746815" behindDoc="0" locked="0" layoutInCell="1" allowOverlap="1" wp14:anchorId="35AF919F" wp14:editId="004FF083">
                <wp:simplePos x="0" y="0"/>
                <wp:positionH relativeFrom="column">
                  <wp:posOffset>18415</wp:posOffset>
                </wp:positionH>
                <wp:positionV relativeFrom="paragraph">
                  <wp:posOffset>3656965</wp:posOffset>
                </wp:positionV>
                <wp:extent cx="5731510" cy="378460"/>
                <wp:effectExtent l="0" t="0" r="0" b="2540"/>
                <wp:wrapSquare wrapText="bothSides"/>
                <wp:docPr id="632973379" name="Text Box 1"/>
                <wp:cNvGraphicFramePr/>
                <a:graphic xmlns:a="http://schemas.openxmlformats.org/drawingml/2006/main">
                  <a:graphicData uri="http://schemas.microsoft.com/office/word/2010/wordprocessingShape">
                    <wps:wsp>
                      <wps:cNvSpPr txBox="1"/>
                      <wps:spPr>
                        <a:xfrm>
                          <a:off x="0" y="0"/>
                          <a:ext cx="5731510" cy="378460"/>
                        </a:xfrm>
                        <a:prstGeom prst="rect">
                          <a:avLst/>
                        </a:prstGeom>
                        <a:solidFill>
                          <a:prstClr val="white"/>
                        </a:solidFill>
                        <a:ln>
                          <a:noFill/>
                        </a:ln>
                      </wps:spPr>
                      <wps:txbx>
                        <w:txbxContent>
                          <w:p w14:paraId="562ECB35" w14:textId="798DD42F" w:rsidR="00856A3C" w:rsidRDefault="00856A3C" w:rsidP="00856A3C">
                            <w:pPr>
                              <w:pStyle w:val="Caption"/>
                              <w:spacing w:after="0"/>
                            </w:pPr>
                            <w:bookmarkStart w:id="216" w:name="_Toc231462583"/>
                            <w:r w:rsidRPr="00856A3C">
                              <w:rPr>
                                <w:b/>
                                <w:bCs/>
                              </w:rPr>
                              <w:t xml:space="preserve">Figuur </w:t>
                            </w:r>
                            <w:r w:rsidRPr="00856A3C">
                              <w:rPr>
                                <w:b/>
                                <w:bCs/>
                              </w:rPr>
                              <w:fldChar w:fldCharType="begin"/>
                            </w:r>
                            <w:r w:rsidRPr="00856A3C">
                              <w:rPr>
                                <w:b/>
                                <w:bCs/>
                              </w:rPr>
                              <w:instrText xml:space="preserve"> SEQ Figuur \* ARABIC </w:instrText>
                            </w:r>
                            <w:r w:rsidRPr="00856A3C">
                              <w:rPr>
                                <w:b/>
                                <w:bCs/>
                              </w:rPr>
                              <w:fldChar w:fldCharType="separate"/>
                            </w:r>
                            <w:r w:rsidR="00F83A3D">
                              <w:rPr>
                                <w:b/>
                                <w:bCs/>
                                <w:noProof/>
                              </w:rPr>
                              <w:t>3</w:t>
                            </w:r>
                            <w:r w:rsidRPr="00856A3C">
                              <w:rPr>
                                <w:b/>
                                <w:bCs/>
                              </w:rPr>
                              <w:fldChar w:fldCharType="end"/>
                            </w:r>
                            <w:r w:rsidRPr="00856A3C">
                              <w:rPr>
                                <w:b/>
                                <w:bCs/>
                              </w:rPr>
                              <w:t>:</w:t>
                            </w:r>
                            <w:r>
                              <w:t xml:space="preserve"> Herkomst van de minstrelen aan het Brabantse hof in de 'foreine partieen' (1376-1380)</w:t>
                            </w:r>
                            <w:bookmarkEnd w:id="216"/>
                          </w:p>
                          <w:p w14:paraId="468DD774" w14:textId="28ED824D" w:rsidR="00856A3C" w:rsidRPr="00856A3C" w:rsidRDefault="00856A3C" w:rsidP="00856A3C">
                            <w:pPr>
                              <w:rPr>
                                <w:i/>
                                <w:iCs/>
                                <w:sz w:val="18"/>
                                <w:szCs w:val="18"/>
                              </w:rPr>
                            </w:pPr>
                            <w:r w:rsidRPr="00856A3C">
                              <w:rPr>
                                <w:i/>
                                <w:iCs/>
                                <w:sz w:val="18"/>
                                <w:szCs w:val="18"/>
                              </w:rPr>
                              <w:t>Gemaakt met Palladio en Canva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AF919F" id="_x0000_s1033" type="#_x0000_t202" style="position:absolute;left:0;text-align:left;margin-left:1.45pt;margin-top:287.95pt;width:451.3pt;height:29.8pt;z-index:25174681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" stroked="f">
                <v:textbox inset="0,0,0,0">
                  <w:txbxContent>
                    <w:p w14:paraId="562ECB35" w14:textId="798DD42F" w:rsidR="00856A3C" w:rsidRDefault="00856A3C" w:rsidP="00856A3C">
                      <w:pPr>
                        <w:pStyle w:val="Caption"/>
                        <w:spacing w:after="0"/>
                      </w:pPr>
                      <w:bookmarkStart w:id="217" w:name="_Toc231462583"/>
                      <w:r w:rsidRPr="00856A3C">
                        <w:rPr>
                          <w:b/>
                          <w:bCs/>
                        </w:rPr>
                        <w:t xml:space="preserve">Figuur </w:t>
                      </w:r>
                      <w:r w:rsidRPr="00856A3C">
                        <w:rPr>
                          <w:b/>
                          <w:bCs/>
                        </w:rPr>
                        <w:fldChar w:fldCharType="begin"/>
                      </w:r>
                      <w:r w:rsidRPr="00856A3C">
                        <w:rPr>
                          <w:b/>
                          <w:bCs/>
                        </w:rPr>
                        <w:instrText xml:space="preserve"> SEQ Figuur \* ARABIC </w:instrText>
                      </w:r>
                      <w:r w:rsidRPr="00856A3C">
                        <w:rPr>
                          <w:b/>
                          <w:bCs/>
                        </w:rPr>
                        <w:fldChar w:fldCharType="separate"/>
                      </w:r>
                      <w:r w:rsidR="00F83A3D">
                        <w:rPr>
                          <w:b/>
                          <w:bCs/>
                          <w:noProof/>
                        </w:rPr>
                        <w:t>3</w:t>
                      </w:r>
                      <w:r w:rsidRPr="00856A3C">
                        <w:rPr>
                          <w:b/>
                          <w:bCs/>
                        </w:rPr>
                        <w:fldChar w:fldCharType="end"/>
                      </w:r>
                      <w:r w:rsidRPr="00856A3C">
                        <w:rPr>
                          <w:b/>
                          <w:bCs/>
                        </w:rPr>
                        <w:t>:</w:t>
                      </w:r>
                      <w:r>
                        <w:t xml:space="preserve"> Herkomst van de minstrelen aan het Brabantse hof in de 'foreine partieen' (1376-1380)</w:t>
                      </w:r>
                      <w:bookmarkEnd w:id="217"/>
                    </w:p>
                    <w:p w14:paraId="468DD774" w14:textId="28ED824D" w:rsidR="00856A3C" w:rsidRPr="00856A3C" w:rsidRDefault="00856A3C" w:rsidP="00856A3C">
                      <w:pPr>
                        <w:rPr>
                          <w:i/>
                          <w:iCs/>
                          <w:sz w:val="18"/>
                          <w:szCs w:val="18"/>
                        </w:rPr>
                      </w:pPr>
                      <w:r w:rsidRPr="00856A3C">
                        <w:rPr>
                          <w:i/>
                          <w:iCs/>
                          <w:sz w:val="18"/>
                          <w:szCs w:val="18"/>
                        </w:rPr>
                        <w:t>Gemaakt met Palladio en Canva</w:t>
                      </w:r>
                    </w:p>
                  </w:txbxContent>
                </v:textbox>
                <w10:wrap type="square"/>
              </v:shape>
            </w:pict>
          </mc:Fallback>
        </mc:AlternateContent>
      </w:r>
      <w:r w:rsidR="00435542" w:rsidRPr="00C140A8">
        <w:rPr>
          <w:rFonts w:ascii="Georgia" w:hAnsi="Georgia" w:cs="Calibri"/>
          <w:noProof/>
          <w:sz w:val="22"/>
          <w:szCs w:val="22"/>
          <w14:ligatures w14:val="standardContextual"/>
        </w:rPr>
        <w:drawing>
          <wp:anchor distT="0" distB="0" distL="114300" distR="114300" simplePos="0" relativeHeight="251663871" behindDoc="1" locked="0" layoutInCell="1" allowOverlap="1" wp14:anchorId="3AACCC0C" wp14:editId="684A6719">
            <wp:simplePos x="0" y="0"/>
            <wp:positionH relativeFrom="column">
              <wp:posOffset>21112</wp:posOffset>
            </wp:positionH>
            <wp:positionV relativeFrom="paragraph">
              <wp:posOffset>0</wp:posOffset>
            </wp:positionV>
            <wp:extent cx="5731510" cy="3576320"/>
            <wp:effectExtent l="0" t="0" r="0" b="5080"/>
            <wp:wrapSquare wrapText="bothSides"/>
            <wp:docPr id="1950924022" name="Picture 2"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924022" name="Picture 2" descr="A map of the world&#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1510" cy="3576320"/>
                    </a:xfrm>
                    <a:prstGeom prst="rect">
                      <a:avLst/>
                    </a:prstGeom>
                  </pic:spPr>
                </pic:pic>
              </a:graphicData>
            </a:graphic>
            <wp14:sizeRelH relativeFrom="page">
              <wp14:pctWidth>0</wp14:pctWidth>
            </wp14:sizeRelH>
            <wp14:sizeRelV relativeFrom="page">
              <wp14:pctHeight>0</wp14:pctHeight>
            </wp14:sizeRelV>
          </wp:anchor>
        </w:drawing>
      </w:r>
      <w:r w:rsidR="001160C6" w:rsidRPr="00C140A8">
        <w:rPr>
          <w:rFonts w:ascii="Georgia" w:hAnsi="Georgia" w:cs="Calibri"/>
          <w:color w:val="000000" w:themeColor="text1"/>
          <w:sz w:val="22"/>
          <w:szCs w:val="22"/>
          <w:lang w:val="nl-NL"/>
        </w:rPr>
        <w:t xml:space="preserve">Binnen de rekeningen tekenen zich drie groepen entertainers af. De eerste bestaat uit minstrelen uit de regio die voor Johanna en </w:t>
      </w:r>
      <w:proofErr w:type="spellStart"/>
      <w:r w:rsidR="001160C6" w:rsidRPr="00C140A8">
        <w:rPr>
          <w:rFonts w:ascii="Georgia" w:hAnsi="Georgia" w:cs="Calibri"/>
          <w:color w:val="000000" w:themeColor="text1"/>
          <w:sz w:val="22"/>
          <w:szCs w:val="22"/>
          <w:lang w:val="nl-NL"/>
        </w:rPr>
        <w:t>Wenceslas</w:t>
      </w:r>
      <w:proofErr w:type="spellEnd"/>
      <w:r w:rsidR="001160C6" w:rsidRPr="00C140A8">
        <w:rPr>
          <w:rFonts w:ascii="Georgia" w:hAnsi="Georgia" w:cs="Calibri"/>
          <w:color w:val="000000" w:themeColor="text1"/>
          <w:sz w:val="22"/>
          <w:szCs w:val="22"/>
          <w:lang w:val="nl-NL"/>
        </w:rPr>
        <w:t xml:space="preserve"> zelf optraden.</w:t>
      </w:r>
      <w:r w:rsidR="001160C6" w:rsidRPr="00C140A8">
        <w:rPr>
          <w:rStyle w:val="FootnoteReference"/>
          <w:rFonts w:ascii="Georgia" w:hAnsi="Georgia" w:cs="Calibri"/>
          <w:color w:val="000000" w:themeColor="text1"/>
          <w:sz w:val="22"/>
          <w:szCs w:val="22"/>
          <w:lang w:val="nl-NL"/>
        </w:rPr>
        <w:footnoteReference w:id="374"/>
      </w:r>
      <w:r w:rsidR="001160C6" w:rsidRPr="00C140A8">
        <w:rPr>
          <w:rFonts w:ascii="Georgia" w:hAnsi="Georgia" w:cs="Calibri"/>
          <w:color w:val="000000" w:themeColor="text1"/>
          <w:sz w:val="22"/>
          <w:szCs w:val="22"/>
          <w:lang w:val="nl-NL"/>
        </w:rPr>
        <w:t xml:space="preserve"> De tweede omvat minstrelen die het koppel zelf naar andere hoven uitzond. De derde, en omvangrijkste, bestaat uit buitenlandse entertainers die naar het Brabantse hof gezonden werden. </w:t>
      </w:r>
      <w:r w:rsidR="00435542" w:rsidRPr="00C140A8">
        <w:rPr>
          <w:rFonts w:ascii="Georgia" w:hAnsi="Georgia" w:cs="Calibri"/>
          <w:sz w:val="22"/>
          <w:szCs w:val="22"/>
          <w:lang w:val="nl-NL"/>
        </w:rPr>
        <w:t xml:space="preserve">Het zijn vooral deze laatste twee groepen die diplomatiek belang hebben, omdat zij de banden tussen de verschillende hoven én de positie van Johanna en </w:t>
      </w:r>
      <w:proofErr w:type="spellStart"/>
      <w:r w:rsidR="00435542" w:rsidRPr="00C140A8">
        <w:rPr>
          <w:rFonts w:ascii="Georgia" w:hAnsi="Georgia" w:cs="Calibri"/>
          <w:sz w:val="22"/>
          <w:szCs w:val="22"/>
          <w:lang w:val="nl-NL"/>
        </w:rPr>
        <w:t>Wenceslas</w:t>
      </w:r>
      <w:proofErr w:type="spellEnd"/>
      <w:r w:rsidR="00435542" w:rsidRPr="00C140A8">
        <w:rPr>
          <w:rFonts w:ascii="Georgia" w:hAnsi="Georgia" w:cs="Calibri"/>
          <w:sz w:val="22"/>
          <w:szCs w:val="22"/>
          <w:lang w:val="nl-NL"/>
        </w:rPr>
        <w:t xml:space="preserve"> daarin zichtbaar maken.</w:t>
      </w:r>
    </w:p>
    <w:p w14:paraId="0C1FA6D7" w14:textId="76477C51" w:rsidR="009B1C47" w:rsidRDefault="00435542" w:rsidP="00366A90">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De derde categorie, de buitenlandse minstrelen, illustreert de breedte van het Brabantse netwerk treffend. De rekeningen vermelden entertainers afkomstig van minstens 2</w:t>
      </w:r>
      <w:r w:rsidR="00C6302E" w:rsidRPr="00C140A8">
        <w:rPr>
          <w:rFonts w:ascii="Georgia" w:hAnsi="Georgia" w:cs="Calibri"/>
          <w:sz w:val="22"/>
          <w:szCs w:val="22"/>
          <w:lang w:val="nl-NL"/>
        </w:rPr>
        <w:t>8</w:t>
      </w:r>
      <w:r w:rsidRPr="00C140A8">
        <w:rPr>
          <w:rFonts w:ascii="Georgia" w:hAnsi="Georgia" w:cs="Calibri"/>
          <w:sz w:val="22"/>
          <w:szCs w:val="22"/>
          <w:lang w:val="nl-NL"/>
        </w:rPr>
        <w:t xml:space="preserve"> verschillende vorstenhoven en heerlijkheden (</w:t>
      </w:r>
      <w:r w:rsidR="005F300A">
        <w:rPr>
          <w:rFonts w:ascii="Georgia" w:hAnsi="Georgia" w:cs="Calibri"/>
          <w:sz w:val="22"/>
          <w:szCs w:val="22"/>
          <w:lang w:val="nl-NL"/>
        </w:rPr>
        <w:t>Zie figuur 3</w:t>
      </w:r>
      <w:r w:rsidRPr="00C140A8">
        <w:rPr>
          <w:rFonts w:ascii="Georgia" w:hAnsi="Georgia" w:cs="Calibri"/>
          <w:sz w:val="22"/>
          <w:szCs w:val="22"/>
          <w:lang w:val="nl-NL"/>
        </w:rPr>
        <w:t>) Het zwaartepunt lag in de omliggende regio's, wat geografisch en politiek logisch is. De minstrelen van de graaf van Vlaanderen en die van de koning van Frankrijk verschijnen herhaaldelijk.</w:t>
      </w:r>
      <w:r w:rsidR="000A10C9" w:rsidRPr="00C140A8">
        <w:rPr>
          <w:rStyle w:val="FootnoteReference"/>
          <w:rFonts w:ascii="Georgia" w:hAnsi="Georgia" w:cs="Calibri"/>
          <w:sz w:val="22"/>
          <w:szCs w:val="22"/>
          <w:lang w:val="nl-NL"/>
        </w:rPr>
        <w:footnoteReference w:id="375"/>
      </w:r>
      <w:r w:rsidRPr="00C140A8">
        <w:rPr>
          <w:rFonts w:ascii="Georgia" w:hAnsi="Georgia" w:cs="Calibri"/>
          <w:sz w:val="22"/>
          <w:szCs w:val="22"/>
          <w:lang w:val="nl-NL"/>
        </w:rPr>
        <w:t xml:space="preserve"> Toch reikte de spreiding aanzienlijk verder. Brussel ontving gezelschappen van de hertog van Oostenrijk, de markgraaf van </w:t>
      </w:r>
      <w:proofErr w:type="spellStart"/>
      <w:r w:rsidRPr="00C140A8">
        <w:rPr>
          <w:rFonts w:ascii="Georgia" w:hAnsi="Georgia" w:cs="Calibri"/>
          <w:sz w:val="22"/>
          <w:szCs w:val="22"/>
          <w:lang w:val="nl-NL"/>
        </w:rPr>
        <w:t>Meißen</w:t>
      </w:r>
      <w:proofErr w:type="spellEnd"/>
      <w:r w:rsidRPr="00C140A8">
        <w:rPr>
          <w:rFonts w:ascii="Georgia" w:hAnsi="Georgia" w:cs="Calibri"/>
          <w:sz w:val="22"/>
          <w:szCs w:val="22"/>
          <w:lang w:val="nl-NL"/>
        </w:rPr>
        <w:t xml:space="preserve">, de graaf van </w:t>
      </w:r>
      <w:proofErr w:type="spellStart"/>
      <w:r w:rsidRPr="00C140A8">
        <w:rPr>
          <w:rFonts w:ascii="Georgia" w:hAnsi="Georgia" w:cs="Calibri"/>
          <w:sz w:val="22"/>
          <w:szCs w:val="22"/>
          <w:lang w:val="nl-NL"/>
        </w:rPr>
        <w:t>Savoye</w:t>
      </w:r>
      <w:proofErr w:type="spellEnd"/>
      <w:r w:rsidRPr="00C140A8">
        <w:rPr>
          <w:rFonts w:ascii="Georgia" w:hAnsi="Georgia" w:cs="Calibri"/>
          <w:sz w:val="22"/>
          <w:szCs w:val="22"/>
          <w:lang w:val="nl-NL"/>
        </w:rPr>
        <w:t xml:space="preserve"> en de koning van Bohemen, evenals muzikanten </w:t>
      </w:r>
      <w:r w:rsidR="00A83076">
        <w:rPr>
          <w:noProof/>
        </w:rPr>
        <w:lastRenderedPageBreak/>
        <mc:AlternateContent>
          <mc:Choice Requires="wps">
            <w:drawing>
              <wp:anchor distT="0" distB="0" distL="114300" distR="114300" simplePos="0" relativeHeight="251737599" behindDoc="0" locked="0" layoutInCell="1" allowOverlap="1" wp14:anchorId="40E51286" wp14:editId="7E4081A2">
                <wp:simplePos x="0" y="0"/>
                <wp:positionH relativeFrom="column">
                  <wp:posOffset>0</wp:posOffset>
                </wp:positionH>
                <wp:positionV relativeFrom="paragraph">
                  <wp:posOffset>3409950</wp:posOffset>
                </wp:positionV>
                <wp:extent cx="5731510" cy="268605"/>
                <wp:effectExtent l="0" t="0" r="0" b="0"/>
                <wp:wrapSquare wrapText="bothSides"/>
                <wp:docPr id="954864938" name="Text Box 1"/>
                <wp:cNvGraphicFramePr/>
                <a:graphic xmlns:a="http://schemas.openxmlformats.org/drawingml/2006/main">
                  <a:graphicData uri="http://schemas.microsoft.com/office/word/2010/wordprocessingShape">
                    <wps:wsp>
                      <wps:cNvSpPr txBox="1"/>
                      <wps:spPr>
                        <a:xfrm>
                          <a:off x="0" y="0"/>
                          <a:ext cx="5731510" cy="268605"/>
                        </a:xfrm>
                        <a:prstGeom prst="rect">
                          <a:avLst/>
                        </a:prstGeom>
                        <a:solidFill>
                          <a:prstClr val="white"/>
                        </a:solidFill>
                        <a:ln>
                          <a:noFill/>
                        </a:ln>
                      </wps:spPr>
                      <wps:txbx>
                        <w:txbxContent>
                          <w:p w14:paraId="4A513051" w14:textId="596959A8" w:rsidR="00A83076" w:rsidRPr="00CE7AB7" w:rsidRDefault="00A83076" w:rsidP="00A83076">
                            <w:pPr>
                              <w:pStyle w:val="Caption"/>
                              <w:rPr>
                                <w:rFonts w:ascii="Georgia" w:hAnsi="Georgia" w:cs="Calibri"/>
                                <w:sz w:val="22"/>
                                <w:szCs w:val="22"/>
                                <w:lang w:val="nl-NL"/>
                              </w:rPr>
                            </w:pPr>
                            <w:bookmarkStart w:id="218" w:name="_Toc231462068"/>
                            <w:r w:rsidRPr="00A83076">
                              <w:rPr>
                                <w:b/>
                                <w:bCs/>
                              </w:rPr>
                              <w:t xml:space="preserve">Tabel </w:t>
                            </w:r>
                            <w:r w:rsidRPr="00A83076">
                              <w:rPr>
                                <w:b/>
                                <w:bCs/>
                              </w:rPr>
                              <w:fldChar w:fldCharType="begin"/>
                            </w:r>
                            <w:r w:rsidRPr="00A83076">
                              <w:rPr>
                                <w:b/>
                                <w:bCs/>
                              </w:rPr>
                              <w:instrText xml:space="preserve"> SEQ Tabel \* ARABIC </w:instrText>
                            </w:r>
                            <w:r w:rsidRPr="00A83076">
                              <w:rPr>
                                <w:b/>
                                <w:bCs/>
                              </w:rPr>
                              <w:fldChar w:fldCharType="separate"/>
                            </w:r>
                            <w:r w:rsidR="00F83A3D">
                              <w:rPr>
                                <w:b/>
                                <w:bCs/>
                                <w:noProof/>
                              </w:rPr>
                              <w:t>7</w:t>
                            </w:r>
                            <w:r w:rsidRPr="00A83076">
                              <w:rPr>
                                <w:b/>
                                <w:bCs/>
                              </w:rPr>
                              <w:fldChar w:fldCharType="end"/>
                            </w:r>
                            <w:r>
                              <w:t>: Entertainment aan het Brabantse hof in de ‘foreine partieën’ (1376-1380)</w:t>
                            </w:r>
                            <w:bookmarkEnd w:id="218"/>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0E51286" id="_x0000_s1034" type="#_x0000_t202" style="position:absolute;left:0;text-align:left;margin-left:0;margin-top:268.5pt;width:451.3pt;height:21.15pt;z-index:25173759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" stroked="f">
                <v:textbox inset="0,0,0,0">
                  <w:txbxContent>
                    <w:p w14:paraId="4A513051" w14:textId="596959A8" w:rsidR="00A83076" w:rsidRPr="00CE7AB7" w:rsidRDefault="00A83076" w:rsidP="00A83076">
                      <w:pPr>
                        <w:pStyle w:val="Caption"/>
                        <w:rPr>
                          <w:rFonts w:ascii="Georgia" w:hAnsi="Georgia" w:cs="Calibri"/>
                          <w:sz w:val="22"/>
                          <w:szCs w:val="22"/>
                          <w:lang w:val="nl-NL"/>
                        </w:rPr>
                      </w:pPr>
                      <w:bookmarkStart w:id="219" w:name="_Toc231462068"/>
                      <w:r w:rsidRPr="00A83076">
                        <w:rPr>
                          <w:b/>
                          <w:bCs/>
                        </w:rPr>
                        <w:t xml:space="preserve">Tabel </w:t>
                      </w:r>
                      <w:r w:rsidRPr="00A83076">
                        <w:rPr>
                          <w:b/>
                          <w:bCs/>
                        </w:rPr>
                        <w:fldChar w:fldCharType="begin"/>
                      </w:r>
                      <w:r w:rsidRPr="00A83076">
                        <w:rPr>
                          <w:b/>
                          <w:bCs/>
                        </w:rPr>
                        <w:instrText xml:space="preserve"> SEQ Tabel \* ARABIC </w:instrText>
                      </w:r>
                      <w:r w:rsidRPr="00A83076">
                        <w:rPr>
                          <w:b/>
                          <w:bCs/>
                        </w:rPr>
                        <w:fldChar w:fldCharType="separate"/>
                      </w:r>
                      <w:r w:rsidR="00F83A3D">
                        <w:rPr>
                          <w:b/>
                          <w:bCs/>
                          <w:noProof/>
                        </w:rPr>
                        <w:t>7</w:t>
                      </w:r>
                      <w:r w:rsidRPr="00A83076">
                        <w:rPr>
                          <w:b/>
                          <w:bCs/>
                        </w:rPr>
                        <w:fldChar w:fldCharType="end"/>
                      </w:r>
                      <w:r>
                        <w:t>: Entertainment aan het Brabantse hof in de ‘foreine partieën’ (1376-1380)</w:t>
                      </w:r>
                      <w:bookmarkEnd w:id="219"/>
                    </w:p>
                  </w:txbxContent>
                </v:textbox>
                <w10:wrap type="square"/>
              </v:shape>
            </w:pict>
          </mc:Fallback>
        </mc:AlternateContent>
      </w:r>
      <w:r w:rsidRPr="00C140A8">
        <w:rPr>
          <w:rFonts w:ascii="Georgia" w:hAnsi="Georgia" w:cs="Calibri"/>
          <w:sz w:val="22"/>
          <w:szCs w:val="22"/>
          <w:lang w:val="nl-NL"/>
        </w:rPr>
        <w:t xml:space="preserve">van </w:t>
      </w:r>
      <w:r w:rsidR="00B37922">
        <w:rPr>
          <w:rFonts w:ascii="Georgia" w:hAnsi="Georgia" w:cs="Calibri"/>
          <w:sz w:val="22"/>
          <w:szCs w:val="22"/>
          <w:lang w:val="nl-NL"/>
        </w:rPr>
        <w:t>Jan</w:t>
      </w:r>
      <w:r w:rsidRPr="00C140A8">
        <w:rPr>
          <w:rFonts w:ascii="Georgia" w:hAnsi="Georgia" w:cs="Calibri"/>
          <w:sz w:val="22"/>
          <w:szCs w:val="22"/>
          <w:lang w:val="nl-NL"/>
        </w:rPr>
        <w:t xml:space="preserve"> </w:t>
      </w:r>
      <w:r w:rsidR="00B37922">
        <w:rPr>
          <w:rFonts w:ascii="Georgia" w:hAnsi="Georgia" w:cs="Calibri"/>
          <w:sz w:val="22"/>
          <w:szCs w:val="22"/>
          <w:lang w:val="nl-NL"/>
        </w:rPr>
        <w:t>van</w:t>
      </w:r>
      <w:r w:rsidRPr="00C140A8">
        <w:rPr>
          <w:rFonts w:ascii="Georgia" w:hAnsi="Georgia" w:cs="Calibri"/>
          <w:sz w:val="22"/>
          <w:szCs w:val="22"/>
          <w:lang w:val="nl-NL"/>
        </w:rPr>
        <w:t xml:space="preserve"> </w:t>
      </w:r>
      <w:r w:rsidR="00B37922">
        <w:rPr>
          <w:rFonts w:ascii="Georgia" w:hAnsi="Georgia" w:cs="Calibri"/>
          <w:sz w:val="22"/>
          <w:szCs w:val="22"/>
          <w:lang w:val="nl-NL"/>
        </w:rPr>
        <w:t>Gent</w:t>
      </w:r>
      <w:r w:rsidRPr="00C140A8">
        <w:rPr>
          <w:rFonts w:ascii="Georgia" w:hAnsi="Georgia" w:cs="Calibri"/>
          <w:sz w:val="22"/>
          <w:szCs w:val="22"/>
          <w:lang w:val="nl-NL"/>
        </w:rPr>
        <w:t xml:space="preserve">, hertog van Lancaster, en zelfs van de graaf van </w:t>
      </w:r>
      <w:proofErr w:type="spellStart"/>
      <w:r w:rsidRPr="00C140A8">
        <w:rPr>
          <w:rFonts w:ascii="Georgia" w:hAnsi="Georgia" w:cs="Calibri"/>
          <w:sz w:val="22"/>
          <w:szCs w:val="22"/>
          <w:lang w:val="nl-NL"/>
        </w:rPr>
        <w:t>Vertus</w:t>
      </w:r>
      <w:proofErr w:type="spellEnd"/>
      <w:r w:rsidRPr="00C140A8">
        <w:rPr>
          <w:rFonts w:ascii="Georgia" w:hAnsi="Georgia" w:cs="Calibri"/>
          <w:sz w:val="22"/>
          <w:szCs w:val="22"/>
          <w:lang w:val="nl-NL"/>
        </w:rPr>
        <w:t xml:space="preserve">, de </w:t>
      </w:r>
      <w:r w:rsidR="00C71EE9" w:rsidRPr="00C140A8">
        <w:rPr>
          <w:rFonts w:ascii="Georgia" w:hAnsi="Georgia" w:cs="Calibri"/>
          <w:sz w:val="22"/>
          <w:szCs w:val="22"/>
          <w:lang w:val="nl-NL"/>
        </w:rPr>
        <w:t>eerdergenoemde</w:t>
      </w:r>
      <w:r w:rsidRPr="00C140A8">
        <w:rPr>
          <w:rFonts w:ascii="Georgia" w:hAnsi="Georgia" w:cs="Calibri"/>
          <w:sz w:val="22"/>
          <w:szCs w:val="22"/>
          <w:lang w:val="nl-NL"/>
        </w:rPr>
        <w:t xml:space="preserve"> </w:t>
      </w:r>
      <w:proofErr w:type="spellStart"/>
      <w:r w:rsidRPr="00C140A8">
        <w:rPr>
          <w:rFonts w:ascii="Georgia" w:hAnsi="Georgia" w:cs="Calibri"/>
          <w:sz w:val="22"/>
          <w:szCs w:val="22"/>
          <w:lang w:val="nl-NL"/>
        </w:rPr>
        <w:t>Gian</w:t>
      </w:r>
      <w:proofErr w:type="spellEnd"/>
      <w:r w:rsidRPr="00C140A8">
        <w:rPr>
          <w:rFonts w:ascii="Georgia" w:hAnsi="Georgia" w:cs="Calibri"/>
          <w:sz w:val="22"/>
          <w:szCs w:val="22"/>
          <w:lang w:val="nl-NL"/>
        </w:rPr>
        <w:t xml:space="preserve"> </w:t>
      </w:r>
      <w:proofErr w:type="spellStart"/>
      <w:r w:rsidRPr="00C140A8">
        <w:rPr>
          <w:rFonts w:ascii="Georgia" w:hAnsi="Georgia" w:cs="Calibri"/>
          <w:sz w:val="22"/>
          <w:szCs w:val="22"/>
          <w:lang w:val="nl-NL"/>
        </w:rPr>
        <w:t>Galeazzo</w:t>
      </w:r>
      <w:proofErr w:type="spellEnd"/>
      <w:r w:rsidRPr="00C140A8">
        <w:rPr>
          <w:rFonts w:ascii="Georgia" w:hAnsi="Georgia" w:cs="Calibri"/>
          <w:sz w:val="22"/>
          <w:szCs w:val="22"/>
          <w:lang w:val="nl-NL"/>
        </w:rPr>
        <w:t xml:space="preserve"> Visconti.</w:t>
      </w:r>
      <w:r w:rsidRPr="00C140A8">
        <w:rPr>
          <w:rStyle w:val="FootnoteReference"/>
          <w:rFonts w:ascii="Georgia" w:hAnsi="Georgia" w:cs="Calibri"/>
          <w:sz w:val="22"/>
          <w:szCs w:val="22"/>
          <w:lang w:val="nl-NL"/>
        </w:rPr>
        <w:footnoteReference w:id="376"/>
      </w:r>
      <w:r w:rsidR="00537A82" w:rsidRPr="00C140A8">
        <w:rPr>
          <w:rFonts w:ascii="Georgia" w:hAnsi="Georgia"/>
          <w:i/>
          <w:iCs/>
          <w:noProof/>
          <w:sz w:val="22"/>
          <w:szCs w:val="22"/>
          <w14:ligatures w14:val="standardContextual"/>
        </w:rPr>
        <w:drawing>
          <wp:anchor distT="0" distB="0" distL="114300" distR="114300" simplePos="0" relativeHeight="251670015" behindDoc="0" locked="0" layoutInCell="1" allowOverlap="1" wp14:anchorId="5C66A11C" wp14:editId="6BAC44CB">
            <wp:simplePos x="0" y="0"/>
            <wp:positionH relativeFrom="column">
              <wp:posOffset>0</wp:posOffset>
            </wp:positionH>
            <wp:positionV relativeFrom="paragraph">
              <wp:posOffset>121</wp:posOffset>
            </wp:positionV>
            <wp:extent cx="5731510" cy="3361055"/>
            <wp:effectExtent l="0" t="0" r="12700" b="11430"/>
            <wp:wrapSquare wrapText="bothSides"/>
            <wp:docPr id="1414322738" name="Chart 1">
              <a:extLst xmlns:a="http://schemas.openxmlformats.org/drawingml/2006/main">
                <a:ext uri="{FF2B5EF4-FFF2-40B4-BE49-F238E27FC236}">
                  <a16:creationId xmlns:a16="http://schemas.microsoft.com/office/drawing/2014/main" id="{F7D5A322-53E4-5DFD-DA8D-E7DA679DA9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page">
              <wp14:pctWidth>0</wp14:pctWidth>
            </wp14:sizeRelH>
            <wp14:sizeRelV relativeFrom="page">
              <wp14:pctHeight>0</wp14:pctHeight>
            </wp14:sizeRelV>
          </wp:anchor>
        </w:drawing>
      </w:r>
    </w:p>
    <w:p w14:paraId="019692EE" w14:textId="124B254A" w:rsidR="0014371B" w:rsidRPr="00C140A8" w:rsidRDefault="00A83076" w:rsidP="00C140A8">
      <w:pPr>
        <w:spacing w:afterLines="80" w:after="192" w:line="360" w:lineRule="auto"/>
        <w:jc w:val="both"/>
        <w:rPr>
          <w:rFonts w:ascii="Georgia" w:hAnsi="Georgia" w:cs="Calibri"/>
          <w:sz w:val="22"/>
          <w:szCs w:val="22"/>
          <w:lang w:val="nl-NL"/>
        </w:rPr>
      </w:pPr>
      <w:r>
        <w:rPr>
          <w:noProof/>
        </w:rPr>
        <mc:AlternateContent>
          <mc:Choice Requires="wps">
            <w:drawing>
              <wp:anchor distT="0" distB="0" distL="114300" distR="114300" simplePos="0" relativeHeight="251739647" behindDoc="0" locked="0" layoutInCell="1" allowOverlap="1" wp14:anchorId="231C9914" wp14:editId="1F772BBC">
                <wp:simplePos x="0" y="0"/>
                <wp:positionH relativeFrom="column">
                  <wp:posOffset>2140585</wp:posOffset>
                </wp:positionH>
                <wp:positionV relativeFrom="paragraph">
                  <wp:posOffset>3263900</wp:posOffset>
                </wp:positionV>
                <wp:extent cx="3590290" cy="457200"/>
                <wp:effectExtent l="0" t="0" r="3810" b="0"/>
                <wp:wrapSquare wrapText="bothSides"/>
                <wp:docPr id="1388044557" name="Text Box 1"/>
                <wp:cNvGraphicFramePr/>
                <a:graphic xmlns:a="http://schemas.openxmlformats.org/drawingml/2006/main">
                  <a:graphicData uri="http://schemas.microsoft.com/office/word/2010/wordprocessingShape">
                    <wps:wsp>
                      <wps:cNvSpPr txBox="1"/>
                      <wps:spPr>
                        <a:xfrm>
                          <a:off x="0" y="0"/>
                          <a:ext cx="3590290" cy="457200"/>
                        </a:xfrm>
                        <a:prstGeom prst="rect">
                          <a:avLst/>
                        </a:prstGeom>
                        <a:solidFill>
                          <a:prstClr val="white"/>
                        </a:solidFill>
                        <a:ln>
                          <a:noFill/>
                        </a:ln>
                      </wps:spPr>
                      <wps:txbx>
                        <w:txbxContent>
                          <w:p w14:paraId="4040561F" w14:textId="1BD10D8A" w:rsidR="00A83076" w:rsidRPr="003E5C94" w:rsidRDefault="00A83076" w:rsidP="00A83076">
                            <w:pPr>
                              <w:pStyle w:val="Caption"/>
                              <w:rPr>
                                <w:rFonts w:ascii="Georgia" w:hAnsi="Georgia"/>
                                <w:noProof/>
                                <w:sz w:val="22"/>
                                <w:szCs w:val="22"/>
                              </w:rPr>
                            </w:pPr>
                            <w:bookmarkStart w:id="220" w:name="_Toc231462069"/>
                            <w:r w:rsidRPr="00A83076">
                              <w:rPr>
                                <w:b/>
                                <w:bCs/>
                              </w:rPr>
                              <w:t xml:space="preserve">Tabel </w:t>
                            </w:r>
                            <w:r w:rsidRPr="00A83076">
                              <w:rPr>
                                <w:b/>
                                <w:bCs/>
                              </w:rPr>
                              <w:fldChar w:fldCharType="begin"/>
                            </w:r>
                            <w:r w:rsidRPr="00A83076">
                              <w:rPr>
                                <w:b/>
                                <w:bCs/>
                              </w:rPr>
                              <w:instrText xml:space="preserve"> SEQ Tabel \* ARABIC </w:instrText>
                            </w:r>
                            <w:r w:rsidRPr="00A83076">
                              <w:rPr>
                                <w:b/>
                                <w:bCs/>
                              </w:rPr>
                              <w:fldChar w:fldCharType="separate"/>
                            </w:r>
                            <w:r w:rsidR="00F83A3D">
                              <w:rPr>
                                <w:b/>
                                <w:bCs/>
                                <w:noProof/>
                              </w:rPr>
                              <w:t>8</w:t>
                            </w:r>
                            <w:r w:rsidRPr="00A83076">
                              <w:rPr>
                                <w:b/>
                                <w:bCs/>
                              </w:rPr>
                              <w:fldChar w:fldCharType="end"/>
                            </w:r>
                            <w:r>
                              <w:t xml:space="preserve">: </w:t>
                            </w:r>
                            <w:r w:rsidRPr="009B1E79">
                              <w:t xml:space="preserve">Aantal posten van inkomende entertainers in de </w:t>
                            </w:r>
                            <w:r>
                              <w:t>‘</w:t>
                            </w:r>
                            <w:r w:rsidRPr="009B1E79">
                              <w:t>foreine partieën</w:t>
                            </w:r>
                            <w:r>
                              <w:t>’</w:t>
                            </w:r>
                            <w:r w:rsidRPr="009B1E79">
                              <w:t xml:space="preserve"> </w:t>
                            </w:r>
                            <w:r>
                              <w:t>(</w:t>
                            </w:r>
                            <w:r w:rsidRPr="009B1E79">
                              <w:t>1376-1380</w:t>
                            </w:r>
                            <w:r>
                              <w:t>)</w:t>
                            </w:r>
                            <w:bookmarkEnd w:id="22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31C9914" id="_x0000_s1035" type="#_x0000_t202" style="position:absolute;left:0;text-align:left;margin-left:168.55pt;margin-top:257pt;width:282.7pt;height:36pt;z-index:2517396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" stroked="f">
                <v:textbox inset="0,0,0,0">
                  <w:txbxContent>
                    <w:p w14:paraId="4040561F" w14:textId="1BD10D8A" w:rsidR="00A83076" w:rsidRPr="003E5C94" w:rsidRDefault="00A83076" w:rsidP="00A83076">
                      <w:pPr>
                        <w:pStyle w:val="Caption"/>
                        <w:rPr>
                          <w:rFonts w:ascii="Georgia" w:hAnsi="Georgia"/>
                          <w:noProof/>
                          <w:sz w:val="22"/>
                          <w:szCs w:val="22"/>
                        </w:rPr>
                      </w:pPr>
                      <w:bookmarkStart w:id="221" w:name="_Toc231462069"/>
                      <w:r w:rsidRPr="00A83076">
                        <w:rPr>
                          <w:b/>
                          <w:bCs/>
                        </w:rPr>
                        <w:t xml:space="preserve">Tabel </w:t>
                      </w:r>
                      <w:r w:rsidRPr="00A83076">
                        <w:rPr>
                          <w:b/>
                          <w:bCs/>
                        </w:rPr>
                        <w:fldChar w:fldCharType="begin"/>
                      </w:r>
                      <w:r w:rsidRPr="00A83076">
                        <w:rPr>
                          <w:b/>
                          <w:bCs/>
                        </w:rPr>
                        <w:instrText xml:space="preserve"> SEQ Tabel \* ARABIC </w:instrText>
                      </w:r>
                      <w:r w:rsidRPr="00A83076">
                        <w:rPr>
                          <w:b/>
                          <w:bCs/>
                        </w:rPr>
                        <w:fldChar w:fldCharType="separate"/>
                      </w:r>
                      <w:r w:rsidR="00F83A3D">
                        <w:rPr>
                          <w:b/>
                          <w:bCs/>
                          <w:noProof/>
                        </w:rPr>
                        <w:t>8</w:t>
                      </w:r>
                      <w:r w:rsidRPr="00A83076">
                        <w:rPr>
                          <w:b/>
                          <w:bCs/>
                        </w:rPr>
                        <w:fldChar w:fldCharType="end"/>
                      </w:r>
                      <w:r>
                        <w:t xml:space="preserve">: </w:t>
                      </w:r>
                      <w:r w:rsidRPr="009B1E79">
                        <w:t xml:space="preserve">Aantal posten van inkomende entertainers in de </w:t>
                      </w:r>
                      <w:r>
                        <w:t>‘</w:t>
                      </w:r>
                      <w:r w:rsidRPr="009B1E79">
                        <w:t>foreine partieën</w:t>
                      </w:r>
                      <w:r>
                        <w:t>’</w:t>
                      </w:r>
                      <w:r w:rsidRPr="009B1E79">
                        <w:t xml:space="preserve"> </w:t>
                      </w:r>
                      <w:r>
                        <w:t>(</w:t>
                      </w:r>
                      <w:r w:rsidRPr="009B1E79">
                        <w:t>1376-1380</w:t>
                      </w:r>
                      <w:r>
                        <w:t>)</w:t>
                      </w:r>
                      <w:bookmarkEnd w:id="221"/>
                    </w:p>
                  </w:txbxContent>
                </v:textbox>
                <w10:wrap type="square"/>
              </v:shape>
            </w:pict>
          </mc:Fallback>
        </mc:AlternateContent>
      </w:r>
      <w:r w:rsidR="00026FCF">
        <w:rPr>
          <w:rFonts w:ascii="Georgia" w:hAnsi="Georgia" w:cs="Calibri"/>
          <w:noProof/>
          <w:sz w:val="22"/>
          <w:szCs w:val="22"/>
          <w:lang w:val="nl-NL"/>
          <w14:ligatures w14:val="standardContextual"/>
        </w:rPr>
        <w:drawing>
          <wp:anchor distT="0" distB="0" distL="114300" distR="114300" simplePos="0" relativeHeight="251717119" behindDoc="0" locked="0" layoutInCell="1" allowOverlap="1" wp14:anchorId="2E44F6C7" wp14:editId="79C3DA5F">
            <wp:simplePos x="0" y="0"/>
            <wp:positionH relativeFrom="column">
              <wp:posOffset>2002790</wp:posOffset>
            </wp:positionH>
            <wp:positionV relativeFrom="paragraph">
              <wp:posOffset>1198699</wp:posOffset>
            </wp:positionV>
            <wp:extent cx="3846830" cy="2056130"/>
            <wp:effectExtent l="0" t="0" r="1270" b="1270"/>
            <wp:wrapSquare wrapText="bothSides"/>
            <wp:docPr id="1318816281" name="Picture 17" descr="A table with numbers and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816281" name="Picture 17" descr="A table with numbers and letters&#10;&#10;Description automatically generated"/>
                    <pic:cNvPicPr/>
                  </pic:nvPicPr>
                  <pic:blipFill rotWithShape="1">
                    <a:blip r:embed="rId25" cstate="print">
                      <a:extLst>
                        <a:ext uri="{28A0092B-C50C-407E-A947-70E740481C1C}">
                          <a14:useLocalDpi xmlns:a14="http://schemas.microsoft.com/office/drawing/2010/main" val="0"/>
                        </a:ext>
                      </a:extLst>
                    </a:blip>
                    <a:srcRect t="5973"/>
                    <a:stretch/>
                  </pic:blipFill>
                  <pic:spPr bwMode="auto">
                    <a:xfrm>
                      <a:off x="0" y="0"/>
                      <a:ext cx="3846830" cy="2056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8A63B4" w:rsidRPr="00C140A8">
        <w:rPr>
          <w:rFonts w:ascii="Georgia" w:hAnsi="Georgia" w:cs="Calibri"/>
          <w:sz w:val="22"/>
          <w:szCs w:val="22"/>
          <w:lang w:val="nl-NL"/>
        </w:rPr>
        <w:t>Wenceslas</w:t>
      </w:r>
      <w:proofErr w:type="spellEnd"/>
      <w:r w:rsidR="008A63B4" w:rsidRPr="00C140A8">
        <w:rPr>
          <w:rFonts w:ascii="Georgia" w:hAnsi="Georgia" w:cs="Calibri"/>
          <w:sz w:val="22"/>
          <w:szCs w:val="22"/>
          <w:lang w:val="nl-NL"/>
        </w:rPr>
        <w:t xml:space="preserve"> stond bekend om zijn grote belangstelling voor muziek, poëzie en literatuur.</w:t>
      </w:r>
      <w:r w:rsidR="008A63B4" w:rsidRPr="00C140A8">
        <w:rPr>
          <w:rStyle w:val="FootnoteReference"/>
          <w:rFonts w:ascii="Georgia" w:hAnsi="Georgia" w:cs="Calibri"/>
          <w:sz w:val="22"/>
          <w:szCs w:val="22"/>
          <w:lang w:val="nl-NL"/>
        </w:rPr>
        <w:footnoteReference w:id="377"/>
      </w:r>
      <w:r w:rsidR="00CA2E9A" w:rsidRPr="00C140A8">
        <w:rPr>
          <w:rFonts w:ascii="Georgia" w:hAnsi="Georgia" w:cs="Calibri"/>
          <w:sz w:val="22"/>
          <w:szCs w:val="22"/>
          <w:lang w:val="nl-NL"/>
        </w:rPr>
        <w:t xml:space="preserve"> </w:t>
      </w:r>
      <w:r w:rsidR="0014371B" w:rsidRPr="00C140A8">
        <w:rPr>
          <w:rFonts w:ascii="Georgia" w:hAnsi="Georgia" w:cs="Calibri"/>
          <w:sz w:val="22"/>
          <w:szCs w:val="22"/>
          <w:lang w:val="nl-NL"/>
        </w:rPr>
        <w:t>Een interesse die ook in de rekeningen duidelijk naar voren kom</w:t>
      </w:r>
      <w:r w:rsidR="00EB1EE5">
        <w:rPr>
          <w:rFonts w:ascii="Georgia" w:hAnsi="Georgia" w:cs="Calibri"/>
          <w:sz w:val="22"/>
          <w:szCs w:val="22"/>
          <w:lang w:val="nl-NL"/>
        </w:rPr>
        <w:t>t. V</w:t>
      </w:r>
      <w:r w:rsidR="0014371B" w:rsidRPr="00C140A8">
        <w:rPr>
          <w:rFonts w:ascii="Georgia" w:hAnsi="Georgia" w:cs="Calibri"/>
          <w:sz w:val="22"/>
          <w:szCs w:val="22"/>
          <w:lang w:val="nl-NL"/>
        </w:rPr>
        <w:t xml:space="preserve">an de </w:t>
      </w:r>
      <w:r w:rsidR="00DA664B">
        <w:rPr>
          <w:rFonts w:ascii="Georgia" w:hAnsi="Georgia" w:cs="Calibri"/>
          <w:sz w:val="22"/>
          <w:szCs w:val="22"/>
          <w:lang w:val="nl-NL"/>
        </w:rPr>
        <w:t>achtenzestig</w:t>
      </w:r>
      <w:r w:rsidR="0014371B" w:rsidRPr="00C140A8">
        <w:rPr>
          <w:rFonts w:ascii="Georgia" w:hAnsi="Georgia" w:cs="Calibri"/>
          <w:sz w:val="22"/>
          <w:szCs w:val="22"/>
          <w:lang w:val="nl-NL"/>
        </w:rPr>
        <w:t xml:space="preserve"> posten die </w:t>
      </w:r>
      <w:r w:rsidR="00B728A3">
        <w:rPr>
          <w:rFonts w:ascii="Georgia" w:hAnsi="Georgia" w:cs="Calibri"/>
          <w:sz w:val="22"/>
          <w:szCs w:val="22"/>
          <w:lang w:val="nl-NL"/>
        </w:rPr>
        <w:t xml:space="preserve">de centrale administratie in </w:t>
      </w:r>
      <w:r w:rsidR="0014371B" w:rsidRPr="00C140A8">
        <w:rPr>
          <w:rFonts w:ascii="Georgia" w:hAnsi="Georgia" w:cs="Calibri"/>
          <w:sz w:val="22"/>
          <w:szCs w:val="22"/>
          <w:lang w:val="nl-NL"/>
        </w:rPr>
        <w:t>de bestudeerde periode aan entertainers besteed</w:t>
      </w:r>
      <w:r w:rsidR="00B728A3">
        <w:rPr>
          <w:rFonts w:ascii="Georgia" w:hAnsi="Georgia" w:cs="Calibri"/>
          <w:sz w:val="22"/>
          <w:szCs w:val="22"/>
          <w:lang w:val="nl-NL"/>
        </w:rPr>
        <w:t>de</w:t>
      </w:r>
      <w:r w:rsidR="0014371B" w:rsidRPr="00C140A8">
        <w:rPr>
          <w:rFonts w:ascii="Georgia" w:hAnsi="Georgia" w:cs="Calibri"/>
          <w:sz w:val="22"/>
          <w:szCs w:val="22"/>
          <w:lang w:val="nl-NL"/>
        </w:rPr>
        <w:t xml:space="preserve">, gingen er </w:t>
      </w:r>
      <w:r w:rsidR="00DA664B">
        <w:rPr>
          <w:rFonts w:ascii="Georgia" w:hAnsi="Georgia" w:cs="Calibri"/>
          <w:sz w:val="22"/>
          <w:szCs w:val="22"/>
          <w:lang w:val="nl-NL"/>
        </w:rPr>
        <w:t>negenendertig</w:t>
      </w:r>
      <w:r w:rsidR="0014371B" w:rsidRPr="00C140A8">
        <w:rPr>
          <w:rFonts w:ascii="Georgia" w:hAnsi="Georgia" w:cs="Calibri"/>
          <w:sz w:val="22"/>
          <w:szCs w:val="22"/>
          <w:lang w:val="nl-NL"/>
        </w:rPr>
        <w:t xml:space="preserve"> op </w:t>
      </w:r>
      <w:proofErr w:type="spellStart"/>
      <w:r w:rsidR="00B728A3">
        <w:rPr>
          <w:rFonts w:ascii="Georgia" w:hAnsi="Georgia" w:cs="Calibri"/>
          <w:sz w:val="22"/>
          <w:szCs w:val="22"/>
          <w:lang w:val="nl-NL"/>
        </w:rPr>
        <w:t>Wenceslas</w:t>
      </w:r>
      <w:proofErr w:type="spellEnd"/>
      <w:r w:rsidR="00B728A3">
        <w:rPr>
          <w:rFonts w:ascii="Georgia" w:hAnsi="Georgia" w:cs="Calibri"/>
          <w:sz w:val="22"/>
          <w:szCs w:val="22"/>
          <w:lang w:val="nl-NL"/>
        </w:rPr>
        <w:t>’</w:t>
      </w:r>
      <w:r w:rsidR="0014371B" w:rsidRPr="00C140A8">
        <w:rPr>
          <w:rFonts w:ascii="Georgia" w:hAnsi="Georgia" w:cs="Calibri"/>
          <w:sz w:val="22"/>
          <w:szCs w:val="22"/>
          <w:lang w:val="nl-NL"/>
        </w:rPr>
        <w:t xml:space="preserve"> bevel uit, tegenover </w:t>
      </w:r>
      <w:r w:rsidR="00DA664B">
        <w:rPr>
          <w:rFonts w:ascii="Georgia" w:hAnsi="Georgia" w:cs="Calibri"/>
          <w:sz w:val="22"/>
          <w:szCs w:val="22"/>
          <w:lang w:val="nl-NL"/>
        </w:rPr>
        <w:t>achttien</w:t>
      </w:r>
      <w:r w:rsidR="0014371B" w:rsidRPr="00C140A8">
        <w:rPr>
          <w:rFonts w:ascii="Georgia" w:hAnsi="Georgia" w:cs="Calibri"/>
          <w:sz w:val="22"/>
          <w:szCs w:val="22"/>
          <w:lang w:val="nl-NL"/>
        </w:rPr>
        <w:t xml:space="preserve"> op dat van Johanna en </w:t>
      </w:r>
      <w:r w:rsidR="00DA664B">
        <w:rPr>
          <w:rFonts w:ascii="Georgia" w:hAnsi="Georgia" w:cs="Calibri"/>
          <w:sz w:val="22"/>
          <w:szCs w:val="22"/>
          <w:lang w:val="nl-NL"/>
        </w:rPr>
        <w:t>zes</w:t>
      </w:r>
      <w:r w:rsidR="0014371B" w:rsidRPr="00C140A8">
        <w:rPr>
          <w:rFonts w:ascii="Georgia" w:hAnsi="Georgia" w:cs="Calibri"/>
          <w:sz w:val="22"/>
          <w:szCs w:val="22"/>
          <w:lang w:val="nl-NL"/>
        </w:rPr>
        <w:t xml:space="preserve"> op gezamenlijk bevel.</w:t>
      </w:r>
      <w:r w:rsidR="0014371B" w:rsidRPr="005D17A0">
        <w:rPr>
          <w:rFonts w:ascii="Georgia" w:hAnsi="Georgia" w:cs="Calibri"/>
          <w:sz w:val="22"/>
          <w:szCs w:val="22"/>
          <w:lang w:val="nl-NL"/>
        </w:rPr>
        <w:t xml:space="preserve"> </w:t>
      </w:r>
      <w:r w:rsidR="005D17A0" w:rsidRPr="005D17A0">
        <w:rPr>
          <w:rFonts w:ascii="Georgia" w:hAnsi="Georgia" w:cs="Calibri"/>
          <w:sz w:val="22"/>
          <w:szCs w:val="22"/>
          <w:lang w:val="nl-NL"/>
        </w:rPr>
        <w:t>E</w:t>
      </w:r>
      <w:r w:rsidR="005D17A0" w:rsidRPr="005D17A0">
        <w:rPr>
          <w:rFonts w:ascii="Georgia" w:hAnsi="Georgia" w:cs="Calibri"/>
          <w:sz w:val="22"/>
          <w:szCs w:val="22"/>
        </w:rPr>
        <w:t>en splitsing van deze betalingen tussen entertainers binnen en buiten Brabant toont dat het overwicht van Wenceslas zich vooral in het externe circuit manifesteert</w:t>
      </w:r>
      <w:r w:rsidR="001924F5">
        <w:rPr>
          <w:rFonts w:ascii="Georgia" w:hAnsi="Georgia" w:cs="Calibri"/>
          <w:sz w:val="22"/>
          <w:szCs w:val="22"/>
        </w:rPr>
        <w:t xml:space="preserve"> (zie tabel 8)</w:t>
      </w:r>
      <w:r w:rsidR="005D17A0" w:rsidRPr="005D17A0">
        <w:rPr>
          <w:rFonts w:ascii="Georgia" w:hAnsi="Georgia" w:cs="Calibri"/>
          <w:sz w:val="22"/>
          <w:szCs w:val="22"/>
          <w:lang w:val="nl-NL"/>
        </w:rPr>
        <w:t xml:space="preserve">. </w:t>
      </w:r>
      <w:r w:rsidR="0014371B" w:rsidRPr="00C140A8">
        <w:rPr>
          <w:rFonts w:ascii="Georgia" w:hAnsi="Georgia" w:cs="Calibri"/>
          <w:sz w:val="22"/>
          <w:szCs w:val="22"/>
          <w:lang w:val="nl-NL"/>
        </w:rPr>
        <w:t xml:space="preserve">Bij de </w:t>
      </w:r>
      <w:r w:rsidR="00DA664B">
        <w:rPr>
          <w:rFonts w:ascii="Georgia" w:hAnsi="Georgia" w:cs="Calibri"/>
          <w:sz w:val="22"/>
          <w:szCs w:val="22"/>
          <w:lang w:val="nl-NL"/>
        </w:rPr>
        <w:t>vierendertig</w:t>
      </w:r>
      <w:r w:rsidR="0014371B" w:rsidRPr="00C140A8">
        <w:rPr>
          <w:rFonts w:ascii="Georgia" w:hAnsi="Georgia" w:cs="Calibri"/>
          <w:sz w:val="22"/>
          <w:szCs w:val="22"/>
          <w:lang w:val="nl-NL"/>
        </w:rPr>
        <w:t xml:space="preserve"> posten voor buitenlandse minstrelen, herauten en narren staan er </w:t>
      </w:r>
      <w:r w:rsidR="00DA664B">
        <w:rPr>
          <w:rFonts w:ascii="Georgia" w:hAnsi="Georgia" w:cs="Calibri"/>
          <w:sz w:val="22"/>
          <w:szCs w:val="22"/>
          <w:lang w:val="nl-NL"/>
        </w:rPr>
        <w:t>eenentwintig</w:t>
      </w:r>
      <w:r w:rsidR="0014371B" w:rsidRPr="00C140A8">
        <w:rPr>
          <w:rFonts w:ascii="Georgia" w:hAnsi="Georgia" w:cs="Calibri"/>
          <w:sz w:val="22"/>
          <w:szCs w:val="22"/>
          <w:lang w:val="nl-NL"/>
        </w:rPr>
        <w:t xml:space="preserve"> vermeldingen op zijn naam, tegenover slechts </w:t>
      </w:r>
      <w:r w:rsidR="00DA664B">
        <w:rPr>
          <w:rFonts w:ascii="Georgia" w:hAnsi="Georgia" w:cs="Calibri"/>
          <w:sz w:val="22"/>
          <w:szCs w:val="22"/>
          <w:lang w:val="nl-NL"/>
        </w:rPr>
        <w:t>acht</w:t>
      </w:r>
      <w:r w:rsidR="0014371B" w:rsidRPr="00C140A8">
        <w:rPr>
          <w:rFonts w:ascii="Georgia" w:hAnsi="Georgia" w:cs="Calibri"/>
          <w:sz w:val="22"/>
          <w:szCs w:val="22"/>
          <w:lang w:val="nl-NL"/>
        </w:rPr>
        <w:t xml:space="preserve"> voor Johanna.</w:t>
      </w:r>
    </w:p>
    <w:p w14:paraId="61B72861" w14:textId="69FAB521" w:rsidR="001924F5" w:rsidRDefault="00D979D2" w:rsidP="00C140A8">
      <w:pPr>
        <w:spacing w:afterLines="80" w:after="192" w:line="360" w:lineRule="auto"/>
        <w:jc w:val="both"/>
        <w:rPr>
          <w:rFonts w:ascii="Georgia" w:hAnsi="Georgia" w:cs="Calibri"/>
          <w:sz w:val="22"/>
          <w:szCs w:val="22"/>
          <w:lang w:val="nl-NL"/>
        </w:rPr>
      </w:pPr>
      <w:r>
        <w:rPr>
          <w:rFonts w:ascii="Georgia" w:hAnsi="Georgia" w:cs="Calibri"/>
          <w:sz w:val="22"/>
          <w:szCs w:val="22"/>
          <w:lang w:val="nl-NL"/>
        </w:rPr>
        <w:lastRenderedPageBreak/>
        <w:t xml:space="preserve">Dit lijkt samen te vallen met wat de eerdere literatuur </w:t>
      </w:r>
      <w:proofErr w:type="spellStart"/>
      <w:r>
        <w:rPr>
          <w:rFonts w:ascii="Georgia" w:hAnsi="Georgia" w:cs="Calibri"/>
          <w:sz w:val="22"/>
          <w:szCs w:val="22"/>
          <w:lang w:val="nl-NL"/>
        </w:rPr>
        <w:t>Wenceslas</w:t>
      </w:r>
      <w:proofErr w:type="spellEnd"/>
      <w:r>
        <w:rPr>
          <w:rFonts w:ascii="Georgia" w:hAnsi="Georgia" w:cs="Calibri"/>
          <w:sz w:val="22"/>
          <w:szCs w:val="22"/>
          <w:lang w:val="nl-NL"/>
        </w:rPr>
        <w:t xml:space="preserve"> vaak toeschreef. Hij zou de motor achter een bloeiend</w:t>
      </w:r>
      <w:r w:rsidR="0014371B" w:rsidRPr="00C140A8">
        <w:rPr>
          <w:rFonts w:ascii="Georgia" w:hAnsi="Georgia" w:cs="Calibri"/>
          <w:sz w:val="22"/>
          <w:szCs w:val="22"/>
          <w:lang w:val="nl-NL"/>
        </w:rPr>
        <w:t xml:space="preserve"> mecenaat van muzikanten en entertainers </w:t>
      </w:r>
      <w:r>
        <w:rPr>
          <w:rFonts w:ascii="Georgia" w:hAnsi="Georgia" w:cs="Calibri"/>
          <w:sz w:val="22"/>
          <w:szCs w:val="22"/>
          <w:lang w:val="nl-NL"/>
        </w:rPr>
        <w:t>zijn geweest.</w:t>
      </w:r>
      <w:r w:rsidR="0014371B" w:rsidRPr="00C140A8">
        <w:rPr>
          <w:rStyle w:val="FootnoteReference"/>
          <w:rFonts w:ascii="Georgia" w:hAnsi="Georgia" w:cs="Calibri"/>
          <w:sz w:val="22"/>
          <w:szCs w:val="22"/>
          <w:lang w:val="nl-NL"/>
        </w:rPr>
        <w:footnoteReference w:id="378"/>
      </w:r>
      <w:r w:rsidR="0014371B" w:rsidRPr="00C140A8">
        <w:rPr>
          <w:rFonts w:ascii="Georgia" w:hAnsi="Georgia" w:cs="Calibri"/>
          <w:sz w:val="22"/>
          <w:szCs w:val="22"/>
          <w:lang w:val="nl-NL"/>
        </w:rPr>
        <w:t xml:space="preserve"> </w:t>
      </w:r>
      <w:r>
        <w:rPr>
          <w:rFonts w:ascii="Georgia" w:hAnsi="Georgia" w:cs="Calibri"/>
          <w:sz w:val="22"/>
          <w:szCs w:val="22"/>
          <w:lang w:val="nl-NL"/>
        </w:rPr>
        <w:t xml:space="preserve">Inderdaad, de cijfers wijzen erop dat </w:t>
      </w:r>
      <w:proofErr w:type="spellStart"/>
      <w:r w:rsidR="0014371B" w:rsidRPr="00C140A8">
        <w:rPr>
          <w:rFonts w:ascii="Georgia" w:hAnsi="Georgia" w:cs="Calibri"/>
          <w:sz w:val="22"/>
          <w:szCs w:val="22"/>
          <w:lang w:val="nl-NL"/>
        </w:rPr>
        <w:t>Wenceslas</w:t>
      </w:r>
      <w:proofErr w:type="spellEnd"/>
      <w:r w:rsidR="0014371B" w:rsidRPr="00C140A8">
        <w:rPr>
          <w:rFonts w:ascii="Georgia" w:hAnsi="Georgia" w:cs="Calibri"/>
          <w:sz w:val="22"/>
          <w:szCs w:val="22"/>
          <w:lang w:val="nl-NL"/>
        </w:rPr>
        <w:t xml:space="preserve"> het bredere Europese circuit</w:t>
      </w:r>
      <w:r>
        <w:rPr>
          <w:rFonts w:ascii="Georgia" w:hAnsi="Georgia" w:cs="Calibri"/>
          <w:sz w:val="22"/>
          <w:szCs w:val="22"/>
          <w:lang w:val="nl-NL"/>
        </w:rPr>
        <w:t xml:space="preserve"> onderhield</w:t>
      </w:r>
      <w:r w:rsidR="0014371B" w:rsidRPr="00C140A8">
        <w:rPr>
          <w:rFonts w:ascii="Georgia" w:hAnsi="Georgia" w:cs="Calibri"/>
          <w:sz w:val="22"/>
          <w:szCs w:val="22"/>
          <w:lang w:val="nl-NL"/>
        </w:rPr>
        <w:t xml:space="preserve"> van rondreizende entertainers, dat zich uitstrekte van Engeland tot Bohemen. Toch is Johanna's aandeel niet te verwaarlozen. Haar betalingen volgen een patroon in en rond Brabant. Zo betaalde ze</w:t>
      </w:r>
      <w:r w:rsidR="000E0A02">
        <w:rPr>
          <w:rFonts w:ascii="Georgia" w:hAnsi="Georgia" w:cs="Calibri"/>
          <w:sz w:val="22"/>
          <w:szCs w:val="22"/>
          <w:lang w:val="nl-NL"/>
        </w:rPr>
        <w:t xml:space="preserve"> mi</w:t>
      </w:r>
      <w:r w:rsidR="0014371B" w:rsidRPr="00C140A8">
        <w:rPr>
          <w:rFonts w:ascii="Georgia" w:hAnsi="Georgia" w:cs="Calibri"/>
          <w:sz w:val="22"/>
          <w:szCs w:val="22"/>
          <w:lang w:val="nl-NL"/>
        </w:rPr>
        <w:t xml:space="preserve">nstrelen van de graaf van Vlaanderen, </w:t>
      </w:r>
      <w:r w:rsidR="000E0A02">
        <w:rPr>
          <w:rFonts w:ascii="Georgia" w:hAnsi="Georgia" w:cs="Calibri"/>
          <w:sz w:val="22"/>
          <w:szCs w:val="22"/>
          <w:lang w:val="nl-NL"/>
        </w:rPr>
        <w:t xml:space="preserve">van Hertog Albrecht, </w:t>
      </w:r>
      <w:r w:rsidR="0014371B" w:rsidRPr="00C140A8">
        <w:rPr>
          <w:rFonts w:ascii="Georgia" w:hAnsi="Georgia" w:cs="Calibri"/>
          <w:sz w:val="22"/>
          <w:szCs w:val="22"/>
          <w:lang w:val="nl-NL"/>
        </w:rPr>
        <w:t>een nar uit Gelre, en ‘</w:t>
      </w:r>
      <w:proofErr w:type="spellStart"/>
      <w:r w:rsidR="0014371B" w:rsidRPr="00C140A8">
        <w:rPr>
          <w:rFonts w:ascii="Georgia" w:hAnsi="Georgia" w:cs="Calibri"/>
          <w:sz w:val="22"/>
          <w:szCs w:val="22"/>
          <w:lang w:val="nl-NL"/>
        </w:rPr>
        <w:t>Doilget</w:t>
      </w:r>
      <w:proofErr w:type="spellEnd"/>
      <w:r w:rsidR="0014371B" w:rsidRPr="00C140A8">
        <w:rPr>
          <w:rFonts w:ascii="Georgia" w:hAnsi="Georgia" w:cs="Calibri"/>
          <w:sz w:val="22"/>
          <w:szCs w:val="22"/>
          <w:lang w:val="nl-NL"/>
        </w:rPr>
        <w:t>’, de nar van de gravin van Artois, die tweemaal terugkeert.</w:t>
      </w:r>
      <w:r w:rsidR="0014371B" w:rsidRPr="00C140A8">
        <w:rPr>
          <w:rStyle w:val="FootnoteReference"/>
          <w:rFonts w:ascii="Georgia" w:hAnsi="Georgia" w:cs="Calibri"/>
          <w:sz w:val="22"/>
          <w:szCs w:val="22"/>
          <w:lang w:val="nl-NL"/>
        </w:rPr>
        <w:t xml:space="preserve"> </w:t>
      </w:r>
      <w:r w:rsidR="0014371B" w:rsidRPr="00C140A8">
        <w:rPr>
          <w:rStyle w:val="FootnoteReference"/>
          <w:rFonts w:ascii="Georgia" w:hAnsi="Georgia" w:cs="Calibri"/>
          <w:sz w:val="22"/>
          <w:szCs w:val="22"/>
          <w:lang w:val="nl-NL"/>
        </w:rPr>
        <w:footnoteReference w:id="379"/>
      </w:r>
      <w:r w:rsidR="0014371B" w:rsidRPr="00C140A8">
        <w:rPr>
          <w:rFonts w:ascii="Georgia" w:hAnsi="Georgia" w:cs="Calibri"/>
          <w:sz w:val="22"/>
          <w:szCs w:val="22"/>
          <w:lang w:val="nl-NL"/>
        </w:rPr>
        <w:t xml:space="preserve"> Een tweede lijn loopt via haar schoonfamilie</w:t>
      </w:r>
      <w:r w:rsidR="006C649F">
        <w:rPr>
          <w:rFonts w:ascii="Georgia" w:hAnsi="Georgia" w:cs="Calibri"/>
          <w:sz w:val="22"/>
          <w:szCs w:val="22"/>
          <w:lang w:val="nl-NL"/>
        </w:rPr>
        <w:t>,</w:t>
      </w:r>
      <w:r w:rsidR="0014371B" w:rsidRPr="00C140A8">
        <w:rPr>
          <w:rFonts w:ascii="Georgia" w:hAnsi="Georgia" w:cs="Calibri"/>
          <w:sz w:val="22"/>
          <w:szCs w:val="22"/>
          <w:lang w:val="nl-NL"/>
        </w:rPr>
        <w:t xml:space="preserve"> waarbij ze tweemaal genoot van het entertainment van Boheemse minstrelen en een zot van de Boheemse koning.</w:t>
      </w:r>
      <w:r w:rsidR="0014371B" w:rsidRPr="00C140A8">
        <w:rPr>
          <w:rStyle w:val="FootnoteReference"/>
          <w:rFonts w:ascii="Georgia" w:hAnsi="Georgia" w:cs="Calibri"/>
          <w:sz w:val="22"/>
          <w:szCs w:val="22"/>
          <w:lang w:val="nl-NL"/>
        </w:rPr>
        <w:t xml:space="preserve"> </w:t>
      </w:r>
      <w:r w:rsidR="0014371B" w:rsidRPr="00C140A8">
        <w:rPr>
          <w:rStyle w:val="FootnoteReference"/>
          <w:rFonts w:ascii="Georgia" w:hAnsi="Georgia" w:cs="Calibri"/>
          <w:sz w:val="22"/>
          <w:szCs w:val="22"/>
          <w:lang w:val="nl-NL"/>
        </w:rPr>
        <w:footnoteReference w:id="380"/>
      </w:r>
      <w:r w:rsidR="0014371B" w:rsidRPr="00C140A8">
        <w:rPr>
          <w:rFonts w:ascii="Georgia" w:hAnsi="Georgia" w:cs="Calibri"/>
          <w:sz w:val="22"/>
          <w:szCs w:val="22"/>
          <w:lang w:val="nl-NL"/>
        </w:rPr>
        <w:t xml:space="preserve"> Daarnaast verschijnen enkele posten die slechts </w:t>
      </w:r>
      <w:r w:rsidR="006C649F">
        <w:rPr>
          <w:rFonts w:ascii="Georgia" w:hAnsi="Georgia" w:cs="Calibri"/>
          <w:sz w:val="22"/>
          <w:szCs w:val="22"/>
          <w:lang w:val="nl-NL"/>
        </w:rPr>
        <w:t>“</w:t>
      </w:r>
      <w:r w:rsidR="0014371B" w:rsidRPr="00C140A8">
        <w:rPr>
          <w:rFonts w:ascii="Georgia" w:hAnsi="Georgia" w:cs="Calibri"/>
          <w:sz w:val="22"/>
          <w:szCs w:val="22"/>
          <w:lang w:val="nl-NL"/>
        </w:rPr>
        <w:t>vreemde minstrelen</w:t>
      </w:r>
      <w:r w:rsidR="006C649F">
        <w:rPr>
          <w:rFonts w:ascii="Georgia" w:hAnsi="Georgia" w:cs="Calibri"/>
          <w:sz w:val="22"/>
          <w:szCs w:val="22"/>
          <w:lang w:val="nl-NL"/>
        </w:rPr>
        <w:t xml:space="preserve">” </w:t>
      </w:r>
      <w:r w:rsidR="0014371B" w:rsidRPr="00C140A8">
        <w:rPr>
          <w:rFonts w:ascii="Georgia" w:hAnsi="Georgia" w:cs="Calibri"/>
          <w:sz w:val="22"/>
          <w:szCs w:val="22"/>
          <w:lang w:val="nl-NL"/>
        </w:rPr>
        <w:t>vermelden zonder herkomst, en een betaling aan de minstrelen van de minderbroeder, vermoedelijk die van Bergen, gezien Johanna's schenkingen daar.</w:t>
      </w:r>
      <w:r w:rsidR="0014371B" w:rsidRPr="00C140A8">
        <w:rPr>
          <w:rStyle w:val="FootnoteReference"/>
          <w:rFonts w:ascii="Georgia" w:hAnsi="Georgia" w:cs="Calibri"/>
          <w:sz w:val="22"/>
          <w:szCs w:val="22"/>
          <w:lang w:val="nl-NL"/>
        </w:rPr>
        <w:t xml:space="preserve"> </w:t>
      </w:r>
      <w:r w:rsidR="0014371B" w:rsidRPr="00C140A8">
        <w:rPr>
          <w:rStyle w:val="FootnoteReference"/>
          <w:rFonts w:ascii="Georgia" w:hAnsi="Georgia" w:cs="Calibri"/>
          <w:sz w:val="22"/>
          <w:szCs w:val="22"/>
          <w:lang w:val="nl-NL"/>
        </w:rPr>
        <w:footnoteReference w:id="381"/>
      </w:r>
      <w:r w:rsidR="0014371B" w:rsidRPr="00C140A8">
        <w:rPr>
          <w:rFonts w:ascii="Georgia" w:hAnsi="Georgia" w:cs="Calibri"/>
          <w:sz w:val="22"/>
          <w:szCs w:val="22"/>
          <w:lang w:val="nl-NL"/>
        </w:rPr>
        <w:t xml:space="preserve"> Dit verschil in regio’s weerspiegelt mogelijk hun eigen voorkeuren. Waar Johanna bekend stond om haar voorliefde voor het Diets, hield </w:t>
      </w:r>
      <w:proofErr w:type="spellStart"/>
      <w:r w:rsidR="0014371B" w:rsidRPr="00C140A8">
        <w:rPr>
          <w:rFonts w:ascii="Georgia" w:hAnsi="Georgia" w:cs="Calibri"/>
          <w:sz w:val="22"/>
          <w:szCs w:val="22"/>
          <w:lang w:val="nl-NL"/>
        </w:rPr>
        <w:t>Wenceslas</w:t>
      </w:r>
      <w:proofErr w:type="spellEnd"/>
      <w:r w:rsidR="0014371B" w:rsidRPr="00C140A8">
        <w:rPr>
          <w:rFonts w:ascii="Georgia" w:hAnsi="Georgia" w:cs="Calibri"/>
          <w:sz w:val="22"/>
          <w:szCs w:val="22"/>
          <w:lang w:val="nl-NL"/>
        </w:rPr>
        <w:t xml:space="preserve"> vooral Franse contacten vanwege zijn eigen interesse in de Franse taal </w:t>
      </w:r>
      <w:r w:rsidR="002D44ED" w:rsidRPr="00C140A8">
        <w:rPr>
          <w:rFonts w:ascii="Georgia" w:hAnsi="Georgia" w:cs="Calibri"/>
          <w:sz w:val="22"/>
          <w:szCs w:val="22"/>
          <w:lang w:val="nl-NL"/>
        </w:rPr>
        <w:t>die hij ook het machtigst was.</w:t>
      </w:r>
      <w:r w:rsidR="002D44ED" w:rsidRPr="00C140A8">
        <w:rPr>
          <w:rStyle w:val="FootnoteReference"/>
          <w:rFonts w:ascii="Georgia" w:hAnsi="Georgia" w:cs="Calibri"/>
          <w:sz w:val="22"/>
          <w:szCs w:val="22"/>
          <w:lang w:val="nl-NL"/>
        </w:rPr>
        <w:footnoteReference w:id="382"/>
      </w:r>
      <w:r w:rsidR="002D44ED" w:rsidRPr="00C140A8">
        <w:rPr>
          <w:rFonts w:ascii="Georgia" w:hAnsi="Georgia" w:cs="Calibri"/>
          <w:sz w:val="22"/>
          <w:szCs w:val="22"/>
          <w:lang w:val="nl-NL"/>
        </w:rPr>
        <w:t xml:space="preserve"> Het versterkt toch ook de trend die eerder vorige secties al eerder aanhaalde. </w:t>
      </w:r>
      <w:r w:rsidR="006C649F" w:rsidRPr="00C140A8">
        <w:rPr>
          <w:rFonts w:ascii="Georgia" w:hAnsi="Georgia" w:cs="Calibri"/>
          <w:sz w:val="22"/>
          <w:szCs w:val="22"/>
          <w:lang w:val="nl-NL"/>
        </w:rPr>
        <w:t>Op het eerste gezicht</w:t>
      </w:r>
      <w:r w:rsidR="002D44ED" w:rsidRPr="00C140A8">
        <w:rPr>
          <w:rFonts w:ascii="Georgia" w:hAnsi="Georgia" w:cs="Calibri"/>
          <w:sz w:val="22"/>
          <w:szCs w:val="22"/>
          <w:lang w:val="nl-NL"/>
        </w:rPr>
        <w:t xml:space="preserve"> sluiten deze cijfers Johanna uit binnen het internationale netwerk</w:t>
      </w:r>
      <w:r w:rsidR="00605B66" w:rsidRPr="00C140A8">
        <w:rPr>
          <w:rFonts w:ascii="Georgia" w:hAnsi="Georgia" w:cs="Calibri"/>
          <w:sz w:val="22"/>
          <w:szCs w:val="22"/>
          <w:lang w:val="nl-NL"/>
        </w:rPr>
        <w:t xml:space="preserve">. Wie deze cijfers </w:t>
      </w:r>
      <w:r w:rsidR="00A03ADE">
        <w:rPr>
          <w:rFonts w:ascii="Georgia" w:hAnsi="Georgia" w:cs="Calibri"/>
          <w:sz w:val="22"/>
          <w:szCs w:val="22"/>
          <w:lang w:val="nl-NL"/>
        </w:rPr>
        <w:t xml:space="preserve">echter </w:t>
      </w:r>
      <w:r w:rsidR="00605B66" w:rsidRPr="00C140A8">
        <w:rPr>
          <w:rFonts w:ascii="Georgia" w:hAnsi="Georgia" w:cs="Calibri"/>
          <w:sz w:val="22"/>
          <w:szCs w:val="22"/>
          <w:lang w:val="nl-NL"/>
        </w:rPr>
        <w:t>vergelijkt met de andere posten</w:t>
      </w:r>
      <w:r w:rsidR="00AF4706">
        <w:rPr>
          <w:rFonts w:ascii="Georgia" w:hAnsi="Georgia" w:cs="Calibri"/>
          <w:sz w:val="22"/>
          <w:szCs w:val="22"/>
          <w:lang w:val="nl-NL"/>
        </w:rPr>
        <w:t xml:space="preserve"> in de rekeningen</w:t>
      </w:r>
      <w:r w:rsidR="00A03ADE">
        <w:rPr>
          <w:rFonts w:ascii="Georgia" w:hAnsi="Georgia" w:cs="Calibri"/>
          <w:sz w:val="22"/>
          <w:szCs w:val="22"/>
          <w:lang w:val="nl-NL"/>
        </w:rPr>
        <w:t>,</w:t>
      </w:r>
      <w:r w:rsidR="00605B66" w:rsidRPr="00C140A8">
        <w:rPr>
          <w:rFonts w:ascii="Georgia" w:hAnsi="Georgia" w:cs="Calibri"/>
          <w:sz w:val="22"/>
          <w:szCs w:val="22"/>
          <w:lang w:val="nl-NL"/>
        </w:rPr>
        <w:t xml:space="preserve"> merkt al snel op dat Johanna’s focus voornamelijk op Brabant en de buurtregio’s lag, terwijl </w:t>
      </w:r>
      <w:proofErr w:type="spellStart"/>
      <w:r w:rsidR="00605B66" w:rsidRPr="00C140A8">
        <w:rPr>
          <w:rFonts w:ascii="Georgia" w:hAnsi="Georgia" w:cs="Calibri"/>
          <w:sz w:val="22"/>
          <w:szCs w:val="22"/>
          <w:lang w:val="nl-NL"/>
        </w:rPr>
        <w:t>Wenceslas</w:t>
      </w:r>
      <w:proofErr w:type="spellEnd"/>
      <w:r w:rsidR="00605B66" w:rsidRPr="00C140A8">
        <w:rPr>
          <w:rFonts w:ascii="Georgia" w:hAnsi="Georgia" w:cs="Calibri"/>
          <w:sz w:val="22"/>
          <w:szCs w:val="22"/>
          <w:lang w:val="nl-NL"/>
        </w:rPr>
        <w:t xml:space="preserve">, passend bij zijn positie als ‘vreemde vorst’, zijn blik en ambities vooral op het buitenland richtte. Er is wel een methodologische kanttekening </w:t>
      </w:r>
      <w:r w:rsidR="00FD1AA3" w:rsidRPr="00C140A8">
        <w:rPr>
          <w:rFonts w:ascii="Georgia" w:hAnsi="Georgia" w:cs="Calibri"/>
          <w:sz w:val="22"/>
          <w:szCs w:val="22"/>
          <w:lang w:val="nl-NL"/>
        </w:rPr>
        <w:t>bij deze cijfers te maken</w:t>
      </w:r>
      <w:r w:rsidR="00605B66" w:rsidRPr="00C140A8">
        <w:rPr>
          <w:rFonts w:ascii="Georgia" w:hAnsi="Georgia" w:cs="Calibri"/>
          <w:sz w:val="22"/>
          <w:szCs w:val="22"/>
          <w:lang w:val="nl-NL"/>
        </w:rPr>
        <w:t>. De rekening</w:t>
      </w:r>
      <w:r w:rsidR="00FD1AA3" w:rsidRPr="00C140A8">
        <w:rPr>
          <w:rFonts w:ascii="Georgia" w:hAnsi="Georgia" w:cs="Calibri"/>
          <w:sz w:val="22"/>
          <w:szCs w:val="22"/>
          <w:lang w:val="nl-NL"/>
        </w:rPr>
        <w:t xml:space="preserve">en </w:t>
      </w:r>
      <w:r w:rsidR="00605B66" w:rsidRPr="00C140A8">
        <w:rPr>
          <w:rFonts w:ascii="Georgia" w:hAnsi="Georgia" w:cs="Calibri"/>
          <w:sz w:val="22"/>
          <w:szCs w:val="22"/>
          <w:lang w:val="nl-NL"/>
        </w:rPr>
        <w:t>vermel</w:t>
      </w:r>
      <w:r w:rsidR="00FD1AA3" w:rsidRPr="00C140A8">
        <w:rPr>
          <w:rFonts w:ascii="Georgia" w:hAnsi="Georgia" w:cs="Calibri"/>
          <w:sz w:val="22"/>
          <w:szCs w:val="22"/>
          <w:lang w:val="nl-NL"/>
        </w:rPr>
        <w:t>de</w:t>
      </w:r>
      <w:r w:rsidR="00605B66" w:rsidRPr="00C140A8">
        <w:rPr>
          <w:rFonts w:ascii="Georgia" w:hAnsi="Georgia" w:cs="Calibri"/>
          <w:sz w:val="22"/>
          <w:szCs w:val="22"/>
          <w:lang w:val="nl-NL"/>
        </w:rPr>
        <w:t xml:space="preserve">n alleen wie het bevel tot uitbetaling gaf, zoals genoteerd door de klerk. </w:t>
      </w:r>
      <w:r w:rsidR="00FD1AA3" w:rsidRPr="00C140A8">
        <w:rPr>
          <w:rFonts w:ascii="Georgia" w:hAnsi="Georgia" w:cs="Calibri"/>
          <w:sz w:val="22"/>
          <w:szCs w:val="22"/>
          <w:lang w:val="nl-NL"/>
        </w:rPr>
        <w:t xml:space="preserve">Dit betekent niet dat Johanna en </w:t>
      </w:r>
      <w:proofErr w:type="spellStart"/>
      <w:r w:rsidR="00FD1AA3" w:rsidRPr="00C140A8">
        <w:rPr>
          <w:rFonts w:ascii="Georgia" w:hAnsi="Georgia" w:cs="Calibri"/>
          <w:sz w:val="22"/>
          <w:szCs w:val="22"/>
          <w:lang w:val="nl-NL"/>
        </w:rPr>
        <w:t>Wenceslas</w:t>
      </w:r>
      <w:proofErr w:type="spellEnd"/>
      <w:r w:rsidR="00FD1AA3" w:rsidRPr="00C140A8">
        <w:rPr>
          <w:rFonts w:ascii="Georgia" w:hAnsi="Georgia" w:cs="Calibri"/>
          <w:sz w:val="22"/>
          <w:szCs w:val="22"/>
          <w:lang w:val="nl-NL"/>
        </w:rPr>
        <w:t xml:space="preserve"> in isolatie optraden en elk afzonderlijk </w:t>
      </w:r>
      <w:r w:rsidR="008816EF" w:rsidRPr="00C140A8">
        <w:rPr>
          <w:rFonts w:ascii="Georgia" w:hAnsi="Georgia" w:cs="Calibri"/>
          <w:sz w:val="22"/>
          <w:szCs w:val="22"/>
          <w:lang w:val="nl-NL"/>
        </w:rPr>
        <w:t xml:space="preserve">naar deze muzikanten </w:t>
      </w:r>
      <w:r w:rsidR="00F72084">
        <w:rPr>
          <w:rFonts w:ascii="Georgia" w:hAnsi="Georgia" w:cs="Calibri"/>
          <w:sz w:val="22"/>
          <w:szCs w:val="22"/>
          <w:lang w:val="nl-NL"/>
        </w:rPr>
        <w:t>luisterden</w:t>
      </w:r>
      <w:r w:rsidR="00FD1AA3" w:rsidRPr="00C140A8">
        <w:rPr>
          <w:rFonts w:ascii="Georgia" w:hAnsi="Georgia" w:cs="Calibri"/>
          <w:sz w:val="22"/>
          <w:szCs w:val="22"/>
          <w:lang w:val="nl-NL"/>
        </w:rPr>
        <w:t xml:space="preserve">. </w:t>
      </w:r>
      <w:r w:rsidR="00605B66" w:rsidRPr="00C140A8">
        <w:rPr>
          <w:rFonts w:ascii="Georgia" w:hAnsi="Georgia" w:cs="Calibri"/>
          <w:sz w:val="22"/>
          <w:szCs w:val="22"/>
          <w:lang w:val="nl-NL"/>
        </w:rPr>
        <w:t xml:space="preserve">Johanna zal vermoedelijk ook hebben </w:t>
      </w:r>
      <w:r w:rsidR="008816EF" w:rsidRPr="00C140A8">
        <w:rPr>
          <w:rFonts w:ascii="Georgia" w:hAnsi="Georgia" w:cs="Calibri"/>
          <w:sz w:val="22"/>
          <w:szCs w:val="22"/>
          <w:lang w:val="nl-NL"/>
        </w:rPr>
        <w:t>genoten</w:t>
      </w:r>
      <w:r w:rsidR="00605B66" w:rsidRPr="00C140A8">
        <w:rPr>
          <w:rFonts w:ascii="Georgia" w:hAnsi="Georgia" w:cs="Calibri"/>
          <w:sz w:val="22"/>
          <w:szCs w:val="22"/>
          <w:lang w:val="nl-NL"/>
        </w:rPr>
        <w:t xml:space="preserve"> </w:t>
      </w:r>
      <w:r w:rsidR="008816EF" w:rsidRPr="00C140A8">
        <w:rPr>
          <w:rFonts w:ascii="Georgia" w:hAnsi="Georgia" w:cs="Calibri"/>
          <w:sz w:val="22"/>
          <w:szCs w:val="22"/>
          <w:lang w:val="nl-NL"/>
        </w:rPr>
        <w:t>van</w:t>
      </w:r>
      <w:r w:rsidR="00605B66" w:rsidRPr="00C140A8">
        <w:rPr>
          <w:rFonts w:ascii="Georgia" w:hAnsi="Georgia" w:cs="Calibri"/>
          <w:sz w:val="22"/>
          <w:szCs w:val="22"/>
          <w:lang w:val="nl-NL"/>
        </w:rPr>
        <w:t xml:space="preserve"> de minstrelen die op </w:t>
      </w:r>
      <w:proofErr w:type="spellStart"/>
      <w:r w:rsidR="00605B66" w:rsidRPr="00C140A8">
        <w:rPr>
          <w:rFonts w:ascii="Georgia" w:hAnsi="Georgia" w:cs="Calibri"/>
          <w:sz w:val="22"/>
          <w:szCs w:val="22"/>
          <w:lang w:val="nl-NL"/>
        </w:rPr>
        <w:t>Wenceslas</w:t>
      </w:r>
      <w:proofErr w:type="spellEnd"/>
      <w:r w:rsidR="00605B66" w:rsidRPr="00C140A8">
        <w:rPr>
          <w:rFonts w:ascii="Georgia" w:hAnsi="Georgia" w:cs="Calibri"/>
          <w:sz w:val="22"/>
          <w:szCs w:val="22"/>
          <w:lang w:val="nl-NL"/>
        </w:rPr>
        <w:t>' bevel werden ontvangen, en omgekeerd.</w:t>
      </w:r>
    </w:p>
    <w:p w14:paraId="5CAB61CF" w14:textId="40CE6A00" w:rsidR="00571567" w:rsidRDefault="00571567" w:rsidP="00571567">
      <w:pPr>
        <w:pStyle w:val="ThesisHeading"/>
      </w:pPr>
      <w:bookmarkStart w:id="222" w:name="_Toc231463611"/>
      <w:proofErr w:type="spellStart"/>
      <w:r>
        <w:t>Conclusie</w:t>
      </w:r>
      <w:bookmarkEnd w:id="222"/>
      <w:proofErr w:type="spellEnd"/>
    </w:p>
    <w:p w14:paraId="0EF2FD70" w14:textId="77777777" w:rsidR="00704C81" w:rsidRPr="00D75D6E" w:rsidRDefault="00571567" w:rsidP="00933F2B">
      <w:pPr>
        <w:pStyle w:val="ThesisBody"/>
        <w:rPr>
          <w:rFonts w:ascii="Georgia" w:hAnsi="Georgia"/>
          <w:sz w:val="22"/>
          <w:lang w:val="nl-NL"/>
        </w:rPr>
      </w:pPr>
      <w:r w:rsidRPr="00D75D6E">
        <w:rPr>
          <w:rFonts w:ascii="Georgia" w:hAnsi="Georgia"/>
          <w:sz w:val="22"/>
          <w:lang w:val="nl-NL"/>
        </w:rPr>
        <w:t xml:space="preserve">Dit hoofdstuk toonde aan dat Johanna’s diplomatieke rol </w:t>
      </w:r>
      <w:r w:rsidR="00C9036D" w:rsidRPr="00D75D6E">
        <w:rPr>
          <w:rFonts w:ascii="Georgia" w:hAnsi="Georgia"/>
          <w:sz w:val="22"/>
          <w:lang w:val="nl-NL"/>
        </w:rPr>
        <w:t>niet gereduceerd mag worden tot het literaire model van de bemiddelende vorstin binnen de grote politieke taferelen van de veertiende</w:t>
      </w:r>
      <w:r w:rsidR="00343E28" w:rsidRPr="00D75D6E">
        <w:rPr>
          <w:rFonts w:ascii="Georgia" w:hAnsi="Georgia"/>
          <w:sz w:val="22"/>
          <w:lang w:val="nl-NL"/>
        </w:rPr>
        <w:t xml:space="preserve"> eeuw. Waar </w:t>
      </w:r>
      <w:proofErr w:type="spellStart"/>
      <w:r w:rsidR="00343E28" w:rsidRPr="00D75D6E">
        <w:rPr>
          <w:rFonts w:ascii="Georgia" w:hAnsi="Georgia"/>
          <w:sz w:val="22"/>
          <w:lang w:val="nl-NL"/>
        </w:rPr>
        <w:t>Froissart</w:t>
      </w:r>
      <w:proofErr w:type="spellEnd"/>
      <w:r w:rsidR="00343E28" w:rsidRPr="00D75D6E">
        <w:rPr>
          <w:rFonts w:ascii="Georgia" w:hAnsi="Georgia"/>
          <w:sz w:val="22"/>
          <w:lang w:val="nl-NL"/>
        </w:rPr>
        <w:t xml:space="preserve"> haar neerzette als initiatiefneemster van de Vrede van Doornik, bevestigen de rekeningen en oorkonden dat bemiddeling voor Johanna een </w:t>
      </w:r>
      <w:r w:rsidR="00343E28" w:rsidRPr="00D75D6E">
        <w:rPr>
          <w:rFonts w:ascii="Georgia" w:hAnsi="Georgia"/>
          <w:sz w:val="22"/>
          <w:lang w:val="nl-NL"/>
        </w:rPr>
        <w:lastRenderedPageBreak/>
        <w:t>alledaagse bestuurspraktijk was. Zij verleende gratie, beslechtte conflicten en velde oordelen</w:t>
      </w:r>
      <w:r w:rsidR="00933F2B" w:rsidRPr="00D75D6E">
        <w:rPr>
          <w:rFonts w:ascii="Georgia" w:hAnsi="Georgia"/>
          <w:sz w:val="22"/>
          <w:lang w:val="nl-NL"/>
        </w:rPr>
        <w:t xml:space="preserve"> binnen heel haar gebied. </w:t>
      </w:r>
    </w:p>
    <w:p w14:paraId="625B73B1" w14:textId="2E15A1F5" w:rsidR="0011409B" w:rsidRPr="00D75D6E" w:rsidRDefault="00343E28" w:rsidP="00933F2B">
      <w:pPr>
        <w:pStyle w:val="ThesisBody"/>
        <w:rPr>
          <w:rFonts w:ascii="Georgia" w:hAnsi="Georgia"/>
          <w:sz w:val="22"/>
          <w:lang w:val="nl-NL"/>
        </w:rPr>
      </w:pPr>
      <w:r w:rsidRPr="00D75D6E">
        <w:rPr>
          <w:rFonts w:ascii="Georgia" w:hAnsi="Georgia"/>
          <w:sz w:val="22"/>
          <w:lang w:val="nl-NL"/>
        </w:rPr>
        <w:t>Die bemiddeling steunde op een brede waaier aan diplomatieke middelen</w:t>
      </w:r>
      <w:r w:rsidR="00F12F41" w:rsidRPr="00D75D6E">
        <w:rPr>
          <w:rFonts w:ascii="Georgia" w:hAnsi="Georgia"/>
          <w:sz w:val="22"/>
          <w:lang w:val="nl-NL"/>
        </w:rPr>
        <w:t xml:space="preserve"> waarbinnen Johanna in elk van de vier besproken instrumenten</w:t>
      </w:r>
      <w:r w:rsidR="003E57F6" w:rsidRPr="00D75D6E">
        <w:rPr>
          <w:rFonts w:ascii="Georgia" w:hAnsi="Georgia"/>
          <w:sz w:val="22"/>
          <w:lang w:val="nl-NL"/>
        </w:rPr>
        <w:t xml:space="preserve"> een duidelijke politieke oriëntatie had. Zij legde zich eerst en vooral toe op de belangen van Brabant. Waar haar echtgenoot </w:t>
      </w:r>
      <w:r w:rsidR="00933F2B" w:rsidRPr="00D75D6E">
        <w:rPr>
          <w:rFonts w:ascii="Georgia" w:hAnsi="Georgia"/>
          <w:sz w:val="22"/>
          <w:lang w:val="nl-NL"/>
        </w:rPr>
        <w:t>zich richtte op</w:t>
      </w:r>
      <w:r w:rsidR="003E57F6" w:rsidRPr="00D75D6E">
        <w:rPr>
          <w:rFonts w:ascii="Georgia" w:hAnsi="Georgia"/>
          <w:sz w:val="22"/>
          <w:lang w:val="nl-NL"/>
        </w:rPr>
        <w:t xml:space="preserve"> het Heilig Roomse Rijk </w:t>
      </w:r>
      <w:r w:rsidR="00933F2B" w:rsidRPr="00D75D6E">
        <w:rPr>
          <w:rFonts w:ascii="Georgia" w:hAnsi="Georgia"/>
          <w:sz w:val="22"/>
          <w:lang w:val="nl-NL"/>
        </w:rPr>
        <w:t>en</w:t>
      </w:r>
      <w:r w:rsidR="003E57F6" w:rsidRPr="00D75D6E">
        <w:rPr>
          <w:rFonts w:ascii="Georgia" w:hAnsi="Georgia"/>
          <w:sz w:val="22"/>
          <w:lang w:val="nl-NL"/>
        </w:rPr>
        <w:t xml:space="preserve"> Frankrijk, gebruikte Johanna deze diplomatieke instrumenten om de stabiliteit met de buurregio’s van Brabant te bewaren.</w:t>
      </w:r>
      <w:r w:rsidR="00933F2B" w:rsidRPr="00D75D6E">
        <w:rPr>
          <w:rFonts w:ascii="Georgia" w:hAnsi="Georgia"/>
          <w:sz w:val="22"/>
          <w:lang w:val="nl-NL"/>
        </w:rPr>
        <w:t xml:space="preserve"> </w:t>
      </w:r>
      <w:r w:rsidR="0011409B" w:rsidRPr="00D75D6E">
        <w:rPr>
          <w:rFonts w:ascii="Georgia" w:hAnsi="Georgia"/>
          <w:sz w:val="22"/>
          <w:lang w:val="nl-NL"/>
        </w:rPr>
        <w:t xml:space="preserve">Het bodenverkeer en </w:t>
      </w:r>
      <w:r w:rsidR="00933F2B" w:rsidRPr="00D75D6E">
        <w:rPr>
          <w:rFonts w:ascii="Georgia" w:hAnsi="Georgia"/>
          <w:sz w:val="22"/>
          <w:lang w:val="nl-NL"/>
        </w:rPr>
        <w:t xml:space="preserve">het reisverkeer bevestigen dit beeld. Johanna reisde vooral binnen Brabant en op de grenzen ervan, terwijl </w:t>
      </w:r>
      <w:proofErr w:type="spellStart"/>
      <w:r w:rsidR="00933F2B" w:rsidRPr="00D75D6E">
        <w:rPr>
          <w:rFonts w:ascii="Georgia" w:hAnsi="Georgia"/>
          <w:sz w:val="22"/>
          <w:lang w:val="nl-NL"/>
        </w:rPr>
        <w:t>Wenceslas</w:t>
      </w:r>
      <w:proofErr w:type="spellEnd"/>
      <w:r w:rsidR="00933F2B" w:rsidRPr="00D75D6E">
        <w:rPr>
          <w:rFonts w:ascii="Georgia" w:hAnsi="Georgia"/>
          <w:sz w:val="22"/>
          <w:lang w:val="nl-NL"/>
        </w:rPr>
        <w:t xml:space="preserve"> verder trok. Beiden</w:t>
      </w:r>
      <w:r w:rsidR="0011409B" w:rsidRPr="00D75D6E">
        <w:rPr>
          <w:rFonts w:ascii="Georgia" w:hAnsi="Georgia"/>
          <w:sz w:val="22"/>
          <w:lang w:val="nl-NL"/>
        </w:rPr>
        <w:t xml:space="preserve"> stuurden in nagenoeg gelijke mate gezanten naar buitenlandse vorsten en hielden elkaar via brieven op de hoogte wanneer een van beiden afwezig was. Richard </w:t>
      </w:r>
      <w:proofErr w:type="spellStart"/>
      <w:r w:rsidR="0011409B" w:rsidRPr="00D75D6E">
        <w:rPr>
          <w:rFonts w:ascii="Georgia" w:hAnsi="Georgia"/>
          <w:sz w:val="22"/>
          <w:lang w:val="nl-NL"/>
        </w:rPr>
        <w:t>II’s</w:t>
      </w:r>
      <w:proofErr w:type="spellEnd"/>
      <w:r w:rsidR="0011409B" w:rsidRPr="00D75D6E">
        <w:rPr>
          <w:rFonts w:ascii="Georgia" w:hAnsi="Georgia"/>
          <w:sz w:val="22"/>
          <w:lang w:val="nl-NL"/>
        </w:rPr>
        <w:t xml:space="preserve"> brief aan Johanna illustreert </w:t>
      </w:r>
      <w:r w:rsidR="00933F2B" w:rsidRPr="00D75D6E">
        <w:rPr>
          <w:rFonts w:ascii="Georgia" w:hAnsi="Georgia"/>
          <w:sz w:val="22"/>
          <w:lang w:val="nl-NL"/>
        </w:rPr>
        <w:t xml:space="preserve">en erkent </w:t>
      </w:r>
      <w:r w:rsidR="0011409B" w:rsidRPr="00D75D6E">
        <w:rPr>
          <w:rFonts w:ascii="Georgia" w:hAnsi="Georgia"/>
          <w:sz w:val="22"/>
          <w:lang w:val="nl-NL"/>
        </w:rPr>
        <w:t xml:space="preserve">haar internationale positie het treffendst. </w:t>
      </w:r>
      <w:r w:rsidR="00933F2B" w:rsidRPr="00D75D6E">
        <w:rPr>
          <w:rFonts w:ascii="Georgia" w:hAnsi="Georgia"/>
          <w:sz w:val="22"/>
          <w:lang w:val="nl-NL"/>
        </w:rPr>
        <w:t>Vervolgens</w:t>
      </w:r>
      <w:r w:rsidR="0011409B" w:rsidRPr="00D75D6E">
        <w:rPr>
          <w:rFonts w:ascii="Georgia" w:hAnsi="Georgia"/>
          <w:sz w:val="22"/>
          <w:lang w:val="nl-NL"/>
        </w:rPr>
        <w:t xml:space="preserve"> maakt</w:t>
      </w:r>
      <w:r w:rsidR="00933F2B" w:rsidRPr="00D75D6E">
        <w:rPr>
          <w:rFonts w:ascii="Georgia" w:hAnsi="Georgia"/>
          <w:sz w:val="22"/>
          <w:lang w:val="nl-NL"/>
        </w:rPr>
        <w:t>e</w:t>
      </w:r>
      <w:r w:rsidR="0011409B" w:rsidRPr="00D75D6E">
        <w:rPr>
          <w:rFonts w:ascii="Georgia" w:hAnsi="Georgia"/>
          <w:sz w:val="22"/>
          <w:lang w:val="nl-NL"/>
        </w:rPr>
        <w:t xml:space="preserve"> de geschenkuitwisseling de strategische en diplomatieke dimen</w:t>
      </w:r>
      <w:r w:rsidR="0004413F" w:rsidRPr="00D75D6E">
        <w:rPr>
          <w:rFonts w:ascii="Georgia" w:hAnsi="Georgia"/>
          <w:sz w:val="22"/>
          <w:lang w:val="nl-NL"/>
        </w:rPr>
        <w:t>s</w:t>
      </w:r>
      <w:r w:rsidR="0011409B" w:rsidRPr="00D75D6E">
        <w:rPr>
          <w:rFonts w:ascii="Georgia" w:hAnsi="Georgia"/>
          <w:sz w:val="22"/>
          <w:lang w:val="nl-NL"/>
        </w:rPr>
        <w:t>ie zichtbaar.</w:t>
      </w:r>
      <w:r w:rsidR="0094241D" w:rsidRPr="00D75D6E">
        <w:rPr>
          <w:rFonts w:ascii="Georgia" w:hAnsi="Georgia"/>
          <w:sz w:val="22"/>
          <w:lang w:val="nl-NL"/>
        </w:rPr>
        <w:t xml:space="preserve"> Via geschenken trachtte Johanna politieke bondgenoten aan zich te binden, al was dat niet altijd met succes. </w:t>
      </w:r>
      <w:r w:rsidR="0004413F" w:rsidRPr="00D75D6E">
        <w:rPr>
          <w:rFonts w:ascii="Georgia" w:hAnsi="Georgia"/>
          <w:sz w:val="22"/>
          <w:lang w:val="nl-NL"/>
        </w:rPr>
        <w:t xml:space="preserve">Ook de entertainmentposten bevestigden de complementariteit tussen het koppel. </w:t>
      </w:r>
      <w:proofErr w:type="spellStart"/>
      <w:r w:rsidR="0004413F" w:rsidRPr="00D75D6E">
        <w:rPr>
          <w:rFonts w:ascii="Georgia" w:hAnsi="Georgia"/>
          <w:sz w:val="22"/>
          <w:lang w:val="nl-NL"/>
        </w:rPr>
        <w:t>Wenceslas</w:t>
      </w:r>
      <w:proofErr w:type="spellEnd"/>
      <w:r w:rsidR="0004413F" w:rsidRPr="00D75D6E">
        <w:rPr>
          <w:rFonts w:ascii="Georgia" w:hAnsi="Georgia"/>
          <w:sz w:val="22"/>
          <w:lang w:val="nl-NL"/>
        </w:rPr>
        <w:t xml:space="preserve"> onderhield het bredere Europese circuit van rondreizende minstrelen, terwijl Johanna zich richtte op de regionale netwerken. </w:t>
      </w:r>
      <w:r w:rsidR="008348EB" w:rsidRPr="00D75D6E">
        <w:rPr>
          <w:rFonts w:ascii="Georgia" w:hAnsi="Georgia"/>
          <w:sz w:val="22"/>
          <w:lang w:val="nl-NL"/>
        </w:rPr>
        <w:t>Samen wijzen deze vier instrumenten op een echtpaar dat als één gezamenlijk bestuur opereerde, waarbij beiden verschillende maar complementaire taken op zich namen. Johanna was daarin geen bijfiguur, maar een zelfstandige speler wier diplomatieke bijdrage onmisbaar was voor het dagelijks functioneren van het hertogdom</w:t>
      </w:r>
      <w:r w:rsidR="00933F2B" w:rsidRPr="00D75D6E">
        <w:rPr>
          <w:rFonts w:ascii="Georgia" w:hAnsi="Georgia"/>
          <w:sz w:val="22"/>
          <w:lang w:val="nl-NL"/>
        </w:rPr>
        <w:t>.</w:t>
      </w:r>
    </w:p>
    <w:p w14:paraId="0D6B1C11" w14:textId="77777777" w:rsidR="0011409B" w:rsidRPr="00D75D6E" w:rsidRDefault="0011409B" w:rsidP="00343E28">
      <w:pPr>
        <w:pStyle w:val="ThesisBodyIndent"/>
        <w:ind w:firstLine="0"/>
        <w:rPr>
          <w:rFonts w:ascii="Georgia" w:hAnsi="Georgia"/>
          <w:sz w:val="22"/>
          <w:lang w:val="en-BE"/>
        </w:rPr>
      </w:pPr>
    </w:p>
    <w:p w14:paraId="1C6B5498" w14:textId="566D8C31" w:rsidR="00C140A8" w:rsidRDefault="001924F5" w:rsidP="00026FCF">
      <w:pPr>
        <w:spacing w:after="160" w:line="278" w:lineRule="auto"/>
        <w:rPr>
          <w:rFonts w:ascii="Georgia" w:hAnsi="Georgia" w:cs="Calibri"/>
          <w:sz w:val="22"/>
          <w:szCs w:val="22"/>
          <w:lang w:val="nl-NL"/>
        </w:rPr>
      </w:pPr>
      <w:r>
        <w:rPr>
          <w:rFonts w:ascii="Georgia" w:hAnsi="Georgia" w:cs="Calibri"/>
          <w:sz w:val="22"/>
          <w:szCs w:val="22"/>
          <w:lang w:val="nl-NL"/>
        </w:rPr>
        <w:br w:type="page"/>
      </w:r>
    </w:p>
    <w:p w14:paraId="2B463570" w14:textId="37CDE9C5" w:rsidR="00595DBA" w:rsidRPr="00053698" w:rsidRDefault="00DC6B2D" w:rsidP="00AB509C">
      <w:pPr>
        <w:pStyle w:val="ThesisSection"/>
        <w:pBdr>
          <w:bottom w:val="single" w:sz="4" w:space="1" w:color="auto"/>
        </w:pBdr>
        <w:spacing w:before="0" w:after="0"/>
      </w:pPr>
      <w:bookmarkStart w:id="223" w:name="_Toc231463612"/>
      <w:bookmarkStart w:id="224" w:name="OLE_LINK13"/>
      <w:bookmarkStart w:id="225" w:name="OLE_LINK14"/>
      <w:bookmarkStart w:id="226" w:name="OLE_LINK11"/>
      <w:bookmarkStart w:id="227" w:name="OLE_LINK12"/>
      <w:bookmarkEnd w:id="159"/>
      <w:bookmarkEnd w:id="160"/>
      <w:proofErr w:type="spellStart"/>
      <w:r>
        <w:lastRenderedPageBreak/>
        <w:t>Religieuze</w:t>
      </w:r>
      <w:proofErr w:type="spellEnd"/>
      <w:r>
        <w:t xml:space="preserve"> </w:t>
      </w:r>
      <w:proofErr w:type="spellStart"/>
      <w:r>
        <w:t>en</w:t>
      </w:r>
      <w:proofErr w:type="spellEnd"/>
      <w:r>
        <w:t xml:space="preserve"> </w:t>
      </w:r>
      <w:proofErr w:type="spellStart"/>
      <w:r>
        <w:t>literaire</w:t>
      </w:r>
      <w:proofErr w:type="spellEnd"/>
      <w:r>
        <w:t xml:space="preserve"> patronage</w:t>
      </w:r>
      <w:bookmarkEnd w:id="223"/>
    </w:p>
    <w:p w14:paraId="278A656C" w14:textId="77777777" w:rsidR="00595DBA" w:rsidRPr="00C140A8" w:rsidRDefault="00595DBA" w:rsidP="00AB509C">
      <w:pPr>
        <w:spacing w:before="240" w:afterLines="80" w:after="192" w:line="360" w:lineRule="auto"/>
        <w:jc w:val="both"/>
        <w:rPr>
          <w:rFonts w:ascii="Georgia" w:hAnsi="Georgia"/>
          <w:sz w:val="22"/>
          <w:szCs w:val="22"/>
          <w:lang w:val="nl-NL"/>
        </w:rPr>
      </w:pPr>
      <w:r w:rsidRPr="00C140A8">
        <w:rPr>
          <w:rFonts w:ascii="Georgia" w:hAnsi="Georgia"/>
          <w:sz w:val="22"/>
          <w:szCs w:val="22"/>
          <w:lang w:val="nl-NL"/>
        </w:rPr>
        <w:t xml:space="preserve">In 1383 blikt de Franse dichter </w:t>
      </w:r>
      <w:proofErr w:type="spellStart"/>
      <w:r w:rsidRPr="00C140A8">
        <w:rPr>
          <w:rFonts w:ascii="Georgia" w:hAnsi="Georgia"/>
          <w:sz w:val="22"/>
          <w:szCs w:val="22"/>
          <w:lang w:val="nl-NL"/>
        </w:rPr>
        <w:t>Eustache</w:t>
      </w:r>
      <w:proofErr w:type="spellEnd"/>
      <w:r w:rsidRPr="00C140A8">
        <w:rPr>
          <w:rFonts w:ascii="Georgia" w:hAnsi="Georgia"/>
          <w:sz w:val="22"/>
          <w:szCs w:val="22"/>
          <w:lang w:val="nl-NL"/>
        </w:rPr>
        <w:t xml:space="preserve"> </w:t>
      </w:r>
      <w:proofErr w:type="spellStart"/>
      <w:r w:rsidRPr="00C140A8">
        <w:rPr>
          <w:rFonts w:ascii="Georgia" w:hAnsi="Georgia"/>
          <w:sz w:val="22"/>
          <w:szCs w:val="22"/>
          <w:lang w:val="nl-NL"/>
        </w:rPr>
        <w:t>Deschamps</w:t>
      </w:r>
      <w:proofErr w:type="spellEnd"/>
      <w:r w:rsidRPr="00C140A8">
        <w:rPr>
          <w:rFonts w:ascii="Georgia" w:hAnsi="Georgia"/>
          <w:sz w:val="22"/>
          <w:szCs w:val="22"/>
          <w:lang w:val="nl-NL"/>
        </w:rPr>
        <w:t xml:space="preserve"> melancholisch terug op het Brusselse hofleven ten tijde van </w:t>
      </w:r>
      <w:proofErr w:type="spellStart"/>
      <w:r w:rsidRPr="00C140A8">
        <w:rPr>
          <w:rFonts w:ascii="Georgia" w:hAnsi="Georgia"/>
          <w:sz w:val="22"/>
          <w:szCs w:val="22"/>
          <w:lang w:val="nl-NL"/>
        </w:rPr>
        <w:t>Wenceslas</w:t>
      </w:r>
      <w:proofErr w:type="spellEnd"/>
      <w:r w:rsidRPr="00C140A8">
        <w:rPr>
          <w:rFonts w:ascii="Georgia" w:hAnsi="Georgia"/>
          <w:sz w:val="22"/>
          <w:szCs w:val="22"/>
          <w:lang w:val="nl-NL"/>
        </w:rPr>
        <w:t xml:space="preserve"> en Johanna:</w:t>
      </w:r>
    </w:p>
    <w:p w14:paraId="03619510" w14:textId="77777777" w:rsidR="00595DBA" w:rsidRPr="00C140A8" w:rsidRDefault="00595DBA" w:rsidP="005B124B">
      <w:pPr>
        <w:spacing w:afterLines="80" w:after="192"/>
        <w:jc w:val="both"/>
        <w:rPr>
          <w:rFonts w:ascii="Georgia" w:hAnsi="Georgia" w:cs="Calibri"/>
          <w:i/>
          <w:iCs/>
          <w:sz w:val="22"/>
          <w:szCs w:val="22"/>
          <w:lang w:val="nl-NL"/>
        </w:rPr>
      </w:pPr>
      <w:r w:rsidRPr="00C140A8">
        <w:rPr>
          <w:rFonts w:ascii="Georgia" w:hAnsi="Georgia" w:cs="Calibri"/>
          <w:i/>
          <w:iCs/>
          <w:sz w:val="22"/>
          <w:szCs w:val="22"/>
          <w:lang w:val="nl-NL"/>
        </w:rPr>
        <w:t xml:space="preserve">Belles </w:t>
      </w:r>
      <w:proofErr w:type="spellStart"/>
      <w:r w:rsidRPr="00C140A8">
        <w:rPr>
          <w:rFonts w:ascii="Georgia" w:hAnsi="Georgia" w:cs="Calibri"/>
          <w:i/>
          <w:iCs/>
          <w:sz w:val="22"/>
          <w:szCs w:val="22"/>
          <w:lang w:val="nl-NL"/>
        </w:rPr>
        <w:t>chambres</w:t>
      </w:r>
      <w:proofErr w:type="spellEnd"/>
      <w:r w:rsidRPr="00C140A8">
        <w:rPr>
          <w:rFonts w:ascii="Georgia" w:hAnsi="Georgia" w:cs="Calibri"/>
          <w:i/>
          <w:iCs/>
          <w:sz w:val="22"/>
          <w:szCs w:val="22"/>
          <w:lang w:val="nl-NL"/>
        </w:rPr>
        <w:t xml:space="preserve">, </w:t>
      </w:r>
      <w:proofErr w:type="spellStart"/>
      <w:r w:rsidRPr="00C140A8">
        <w:rPr>
          <w:rFonts w:ascii="Georgia" w:hAnsi="Georgia" w:cs="Calibri"/>
          <w:i/>
          <w:iCs/>
          <w:sz w:val="22"/>
          <w:szCs w:val="22"/>
          <w:lang w:val="nl-NL"/>
        </w:rPr>
        <w:t>vins</w:t>
      </w:r>
      <w:proofErr w:type="spellEnd"/>
      <w:r w:rsidRPr="00C140A8">
        <w:rPr>
          <w:rFonts w:ascii="Georgia" w:hAnsi="Georgia" w:cs="Calibri"/>
          <w:i/>
          <w:iCs/>
          <w:sz w:val="22"/>
          <w:szCs w:val="22"/>
          <w:lang w:val="nl-NL"/>
        </w:rPr>
        <w:t xml:space="preserve"> de </w:t>
      </w:r>
      <w:proofErr w:type="spellStart"/>
      <w:r w:rsidRPr="00C140A8">
        <w:rPr>
          <w:rFonts w:ascii="Georgia" w:hAnsi="Georgia" w:cs="Calibri"/>
          <w:i/>
          <w:iCs/>
          <w:sz w:val="22"/>
          <w:szCs w:val="22"/>
          <w:lang w:val="nl-NL"/>
        </w:rPr>
        <w:t>Rin</w:t>
      </w:r>
      <w:proofErr w:type="spellEnd"/>
      <w:r w:rsidRPr="00C140A8">
        <w:rPr>
          <w:rFonts w:ascii="Georgia" w:hAnsi="Georgia" w:cs="Calibri"/>
          <w:i/>
          <w:iCs/>
          <w:sz w:val="22"/>
          <w:szCs w:val="22"/>
          <w:lang w:val="nl-NL"/>
        </w:rPr>
        <w:t xml:space="preserve"> et </w:t>
      </w:r>
      <w:proofErr w:type="spellStart"/>
      <w:r w:rsidRPr="00C140A8">
        <w:rPr>
          <w:rFonts w:ascii="Georgia" w:hAnsi="Georgia" w:cs="Calibri"/>
          <w:i/>
          <w:iCs/>
          <w:sz w:val="22"/>
          <w:szCs w:val="22"/>
          <w:lang w:val="nl-NL"/>
        </w:rPr>
        <w:t>molz</w:t>
      </w:r>
      <w:proofErr w:type="spellEnd"/>
      <w:r w:rsidRPr="00C140A8">
        <w:rPr>
          <w:rFonts w:ascii="Georgia" w:hAnsi="Georgia" w:cs="Calibri"/>
          <w:i/>
          <w:iCs/>
          <w:sz w:val="22"/>
          <w:szCs w:val="22"/>
          <w:lang w:val="nl-NL"/>
        </w:rPr>
        <w:t xml:space="preserve"> </w:t>
      </w:r>
      <w:proofErr w:type="spellStart"/>
      <w:r w:rsidRPr="00C140A8">
        <w:rPr>
          <w:rFonts w:ascii="Georgia" w:hAnsi="Georgia" w:cs="Calibri"/>
          <w:i/>
          <w:iCs/>
          <w:sz w:val="22"/>
          <w:szCs w:val="22"/>
          <w:lang w:val="nl-NL"/>
        </w:rPr>
        <w:t>liz</w:t>
      </w:r>
      <w:proofErr w:type="spellEnd"/>
      <w:r w:rsidRPr="00C140A8">
        <w:rPr>
          <w:rFonts w:ascii="Georgia" w:hAnsi="Georgia" w:cs="Calibri"/>
          <w:i/>
          <w:iCs/>
          <w:sz w:val="22"/>
          <w:szCs w:val="22"/>
          <w:lang w:val="nl-NL"/>
        </w:rPr>
        <w:t>,</w:t>
      </w:r>
    </w:p>
    <w:p w14:paraId="51A03C76" w14:textId="77777777" w:rsidR="00595DBA" w:rsidRPr="00C140A8" w:rsidRDefault="00595DBA" w:rsidP="005B124B">
      <w:pPr>
        <w:spacing w:afterLines="80" w:after="192"/>
        <w:jc w:val="both"/>
        <w:rPr>
          <w:rFonts w:ascii="Georgia" w:hAnsi="Georgia" w:cs="Calibri"/>
          <w:i/>
          <w:iCs/>
          <w:sz w:val="22"/>
          <w:szCs w:val="22"/>
          <w:lang w:val="nl-NL"/>
        </w:rPr>
      </w:pPr>
      <w:proofErr w:type="spellStart"/>
      <w:r w:rsidRPr="00C140A8">
        <w:rPr>
          <w:rFonts w:ascii="Georgia" w:hAnsi="Georgia" w:cs="Calibri"/>
          <w:i/>
          <w:iCs/>
          <w:sz w:val="22"/>
          <w:szCs w:val="22"/>
          <w:lang w:val="nl-NL"/>
        </w:rPr>
        <w:t>Connins</w:t>
      </w:r>
      <w:proofErr w:type="spellEnd"/>
      <w:r w:rsidRPr="00C140A8">
        <w:rPr>
          <w:rFonts w:ascii="Georgia" w:hAnsi="Georgia" w:cs="Calibri"/>
          <w:i/>
          <w:iCs/>
          <w:sz w:val="22"/>
          <w:szCs w:val="22"/>
          <w:lang w:val="nl-NL"/>
        </w:rPr>
        <w:t xml:space="preserve">, </w:t>
      </w:r>
      <w:proofErr w:type="spellStart"/>
      <w:r w:rsidRPr="00C140A8">
        <w:rPr>
          <w:rFonts w:ascii="Georgia" w:hAnsi="Georgia" w:cs="Calibri"/>
          <w:i/>
          <w:iCs/>
          <w:sz w:val="22"/>
          <w:szCs w:val="22"/>
          <w:lang w:val="nl-NL"/>
        </w:rPr>
        <w:t>plouviers</w:t>
      </w:r>
      <w:proofErr w:type="spellEnd"/>
      <w:r w:rsidRPr="00C140A8">
        <w:rPr>
          <w:rFonts w:ascii="Georgia" w:hAnsi="Georgia" w:cs="Calibri"/>
          <w:i/>
          <w:iCs/>
          <w:sz w:val="22"/>
          <w:szCs w:val="22"/>
          <w:lang w:val="nl-NL"/>
        </w:rPr>
        <w:t xml:space="preserve"> et </w:t>
      </w:r>
      <w:proofErr w:type="spellStart"/>
      <w:r w:rsidRPr="00C140A8">
        <w:rPr>
          <w:rFonts w:ascii="Georgia" w:hAnsi="Georgia" w:cs="Calibri"/>
          <w:i/>
          <w:iCs/>
          <w:sz w:val="22"/>
          <w:szCs w:val="22"/>
          <w:lang w:val="nl-NL"/>
        </w:rPr>
        <w:t>capons</w:t>
      </w:r>
      <w:proofErr w:type="spellEnd"/>
      <w:r w:rsidRPr="00C140A8">
        <w:rPr>
          <w:rFonts w:ascii="Georgia" w:hAnsi="Georgia" w:cs="Calibri"/>
          <w:i/>
          <w:iCs/>
          <w:sz w:val="22"/>
          <w:szCs w:val="22"/>
          <w:lang w:val="nl-NL"/>
        </w:rPr>
        <w:t xml:space="preserve"> et </w:t>
      </w:r>
      <w:proofErr w:type="spellStart"/>
      <w:r w:rsidRPr="00C140A8">
        <w:rPr>
          <w:rFonts w:ascii="Georgia" w:hAnsi="Georgia" w:cs="Calibri"/>
          <w:i/>
          <w:iCs/>
          <w:sz w:val="22"/>
          <w:szCs w:val="22"/>
          <w:lang w:val="nl-NL"/>
        </w:rPr>
        <w:t>fesans</w:t>
      </w:r>
      <w:proofErr w:type="spellEnd"/>
      <w:r w:rsidRPr="00C140A8">
        <w:rPr>
          <w:rFonts w:ascii="Georgia" w:hAnsi="Georgia" w:cs="Calibri"/>
          <w:i/>
          <w:iCs/>
          <w:sz w:val="22"/>
          <w:szCs w:val="22"/>
          <w:lang w:val="nl-NL"/>
        </w:rPr>
        <w:t>,</w:t>
      </w:r>
    </w:p>
    <w:p w14:paraId="0B3C56CF" w14:textId="77777777" w:rsidR="00595DBA" w:rsidRPr="00C140A8" w:rsidRDefault="00595DBA" w:rsidP="005B124B">
      <w:pPr>
        <w:spacing w:afterLines="80" w:after="192"/>
        <w:jc w:val="both"/>
        <w:rPr>
          <w:rFonts w:ascii="Georgia" w:hAnsi="Georgia" w:cs="Calibri"/>
          <w:i/>
          <w:iCs/>
          <w:sz w:val="22"/>
          <w:szCs w:val="22"/>
          <w:lang w:val="nl-NL"/>
        </w:rPr>
      </w:pPr>
      <w:proofErr w:type="spellStart"/>
      <w:r w:rsidRPr="00C140A8">
        <w:rPr>
          <w:rFonts w:ascii="Georgia" w:hAnsi="Georgia" w:cs="Calibri"/>
          <w:i/>
          <w:iCs/>
          <w:sz w:val="22"/>
          <w:szCs w:val="22"/>
          <w:lang w:val="nl-NL"/>
        </w:rPr>
        <w:t>compaignie</w:t>
      </w:r>
      <w:proofErr w:type="spellEnd"/>
      <w:r w:rsidRPr="00C140A8">
        <w:rPr>
          <w:rFonts w:ascii="Georgia" w:hAnsi="Georgia" w:cs="Calibri"/>
          <w:i/>
          <w:iCs/>
          <w:sz w:val="22"/>
          <w:szCs w:val="22"/>
          <w:lang w:val="nl-NL"/>
        </w:rPr>
        <w:t xml:space="preserve"> </w:t>
      </w:r>
      <w:proofErr w:type="spellStart"/>
      <w:r w:rsidRPr="00C140A8">
        <w:rPr>
          <w:rFonts w:ascii="Georgia" w:hAnsi="Georgia" w:cs="Calibri"/>
          <w:i/>
          <w:iCs/>
          <w:sz w:val="22"/>
          <w:szCs w:val="22"/>
          <w:lang w:val="nl-NL"/>
        </w:rPr>
        <w:t>douce</w:t>
      </w:r>
      <w:proofErr w:type="spellEnd"/>
      <w:r w:rsidRPr="00C140A8">
        <w:rPr>
          <w:rFonts w:ascii="Georgia" w:hAnsi="Georgia" w:cs="Calibri"/>
          <w:i/>
          <w:iCs/>
          <w:sz w:val="22"/>
          <w:szCs w:val="22"/>
          <w:lang w:val="nl-NL"/>
        </w:rPr>
        <w:t xml:space="preserve"> et </w:t>
      </w:r>
      <w:proofErr w:type="spellStart"/>
      <w:r w:rsidRPr="00C140A8">
        <w:rPr>
          <w:rFonts w:ascii="Georgia" w:hAnsi="Georgia" w:cs="Calibri"/>
          <w:i/>
          <w:iCs/>
          <w:sz w:val="22"/>
          <w:szCs w:val="22"/>
          <w:lang w:val="nl-NL"/>
        </w:rPr>
        <w:t>courtoises</w:t>
      </w:r>
      <w:proofErr w:type="spellEnd"/>
      <w:r w:rsidRPr="00C140A8">
        <w:rPr>
          <w:rFonts w:ascii="Georgia" w:hAnsi="Georgia" w:cs="Calibri"/>
          <w:i/>
          <w:iCs/>
          <w:sz w:val="22"/>
          <w:szCs w:val="22"/>
          <w:lang w:val="nl-NL"/>
        </w:rPr>
        <w:t xml:space="preserve"> </w:t>
      </w:r>
      <w:proofErr w:type="spellStart"/>
      <w:r w:rsidRPr="00C140A8">
        <w:rPr>
          <w:rFonts w:ascii="Georgia" w:hAnsi="Georgia" w:cs="Calibri"/>
          <w:i/>
          <w:iCs/>
          <w:sz w:val="22"/>
          <w:szCs w:val="22"/>
          <w:lang w:val="nl-NL"/>
        </w:rPr>
        <w:t>gens</w:t>
      </w:r>
      <w:proofErr w:type="spellEnd"/>
      <w:r w:rsidRPr="00C140A8">
        <w:rPr>
          <w:rFonts w:ascii="Georgia" w:hAnsi="Georgia" w:cs="Calibri"/>
          <w:i/>
          <w:iCs/>
          <w:sz w:val="22"/>
          <w:szCs w:val="22"/>
          <w:lang w:val="nl-NL"/>
        </w:rPr>
        <w:t>.</w:t>
      </w:r>
    </w:p>
    <w:p w14:paraId="6F9EA1DB" w14:textId="26B2C0A5" w:rsidR="00D67703" w:rsidRPr="00C140A8" w:rsidRDefault="00595DBA" w:rsidP="005B124B">
      <w:pPr>
        <w:spacing w:afterLines="80" w:after="192"/>
        <w:jc w:val="both"/>
        <w:rPr>
          <w:rFonts w:ascii="Georgia" w:hAnsi="Georgia" w:cs="Calibri"/>
          <w:i/>
          <w:iCs/>
          <w:sz w:val="22"/>
          <w:szCs w:val="22"/>
          <w:lang w:val="nl-NL"/>
        </w:rPr>
      </w:pPr>
      <w:r w:rsidRPr="00C140A8">
        <w:rPr>
          <w:rFonts w:ascii="Georgia" w:hAnsi="Georgia" w:cs="Calibri"/>
          <w:i/>
          <w:iCs/>
          <w:sz w:val="22"/>
          <w:szCs w:val="22"/>
          <w:lang w:val="nl-NL"/>
        </w:rPr>
        <w:t xml:space="preserve">Adieu beauté, </w:t>
      </w:r>
      <w:proofErr w:type="spellStart"/>
      <w:r w:rsidRPr="00C140A8">
        <w:rPr>
          <w:rFonts w:ascii="Georgia" w:hAnsi="Georgia" w:cs="Calibri"/>
          <w:i/>
          <w:iCs/>
          <w:sz w:val="22"/>
          <w:szCs w:val="22"/>
          <w:lang w:val="nl-NL"/>
        </w:rPr>
        <w:t>leesse</w:t>
      </w:r>
      <w:proofErr w:type="spellEnd"/>
      <w:r w:rsidRPr="00C140A8">
        <w:rPr>
          <w:rFonts w:ascii="Georgia" w:hAnsi="Georgia" w:cs="Calibri"/>
          <w:i/>
          <w:iCs/>
          <w:sz w:val="22"/>
          <w:szCs w:val="22"/>
          <w:lang w:val="nl-NL"/>
        </w:rPr>
        <w:t xml:space="preserve"> et </w:t>
      </w:r>
      <w:proofErr w:type="spellStart"/>
      <w:r w:rsidRPr="00C140A8">
        <w:rPr>
          <w:rFonts w:ascii="Georgia" w:hAnsi="Georgia" w:cs="Calibri"/>
          <w:i/>
          <w:iCs/>
          <w:sz w:val="22"/>
          <w:szCs w:val="22"/>
          <w:lang w:val="nl-NL"/>
        </w:rPr>
        <w:t>tous</w:t>
      </w:r>
      <w:proofErr w:type="spellEnd"/>
      <w:r w:rsidRPr="00C140A8">
        <w:rPr>
          <w:rFonts w:ascii="Georgia" w:hAnsi="Georgia" w:cs="Calibri"/>
          <w:i/>
          <w:iCs/>
          <w:sz w:val="22"/>
          <w:szCs w:val="22"/>
          <w:lang w:val="nl-NL"/>
        </w:rPr>
        <w:t xml:space="preserve"> </w:t>
      </w:r>
      <w:proofErr w:type="spellStart"/>
      <w:r w:rsidRPr="00C140A8">
        <w:rPr>
          <w:rFonts w:ascii="Georgia" w:hAnsi="Georgia" w:cs="Calibri"/>
          <w:i/>
          <w:iCs/>
          <w:sz w:val="22"/>
          <w:szCs w:val="22"/>
          <w:lang w:val="nl-NL"/>
        </w:rPr>
        <w:t>deliz</w:t>
      </w:r>
      <w:proofErr w:type="spellEnd"/>
      <w:r w:rsidRPr="00C140A8">
        <w:rPr>
          <w:rFonts w:ascii="Georgia" w:hAnsi="Georgia" w:cs="Calibri"/>
          <w:i/>
          <w:iCs/>
          <w:sz w:val="22"/>
          <w:szCs w:val="22"/>
          <w:lang w:val="nl-NL"/>
        </w:rPr>
        <w:t>,</w:t>
      </w:r>
    </w:p>
    <w:p w14:paraId="7E7B44EC" w14:textId="6890FA64" w:rsidR="00595DBA" w:rsidRPr="00C140A8" w:rsidRDefault="00595DBA" w:rsidP="005B124B">
      <w:pPr>
        <w:spacing w:afterLines="80" w:after="192"/>
        <w:jc w:val="both"/>
        <w:rPr>
          <w:rFonts w:ascii="Georgia" w:hAnsi="Georgia" w:cs="Calibri"/>
          <w:i/>
          <w:iCs/>
          <w:sz w:val="22"/>
          <w:szCs w:val="22"/>
          <w:lang w:val="nl-NL"/>
        </w:rPr>
      </w:pPr>
      <w:r w:rsidRPr="00C140A8">
        <w:rPr>
          <w:rFonts w:ascii="Georgia" w:hAnsi="Georgia" w:cs="Calibri"/>
          <w:i/>
          <w:iCs/>
          <w:sz w:val="22"/>
          <w:szCs w:val="22"/>
          <w:lang w:val="nl-NL"/>
        </w:rPr>
        <w:t xml:space="preserve">chanter, </w:t>
      </w:r>
      <w:proofErr w:type="spellStart"/>
      <w:r w:rsidRPr="00C140A8">
        <w:rPr>
          <w:rFonts w:ascii="Georgia" w:hAnsi="Georgia" w:cs="Calibri"/>
          <w:i/>
          <w:iCs/>
          <w:sz w:val="22"/>
          <w:szCs w:val="22"/>
          <w:lang w:val="nl-NL"/>
        </w:rPr>
        <w:t>dancer</w:t>
      </w:r>
      <w:proofErr w:type="spellEnd"/>
      <w:r w:rsidRPr="00C140A8">
        <w:rPr>
          <w:rFonts w:ascii="Georgia" w:hAnsi="Georgia" w:cs="Calibri"/>
          <w:i/>
          <w:iCs/>
          <w:sz w:val="22"/>
          <w:szCs w:val="22"/>
          <w:lang w:val="nl-NL"/>
        </w:rPr>
        <w:t xml:space="preserve"> et </w:t>
      </w:r>
      <w:proofErr w:type="spellStart"/>
      <w:r w:rsidRPr="00C140A8">
        <w:rPr>
          <w:rFonts w:ascii="Georgia" w:hAnsi="Georgia" w:cs="Calibri"/>
          <w:i/>
          <w:iCs/>
          <w:sz w:val="22"/>
          <w:szCs w:val="22"/>
          <w:lang w:val="nl-NL"/>
        </w:rPr>
        <w:t>tous</w:t>
      </w:r>
      <w:proofErr w:type="spellEnd"/>
      <w:r w:rsidRPr="00C140A8">
        <w:rPr>
          <w:rFonts w:ascii="Georgia" w:hAnsi="Georgia" w:cs="Calibri"/>
          <w:i/>
          <w:iCs/>
          <w:sz w:val="22"/>
          <w:szCs w:val="22"/>
          <w:lang w:val="nl-NL"/>
        </w:rPr>
        <w:t xml:space="preserve"> </w:t>
      </w:r>
      <w:proofErr w:type="spellStart"/>
      <w:r w:rsidRPr="00C140A8">
        <w:rPr>
          <w:rFonts w:ascii="Georgia" w:hAnsi="Georgia" w:cs="Calibri"/>
          <w:i/>
          <w:iCs/>
          <w:sz w:val="22"/>
          <w:szCs w:val="22"/>
          <w:lang w:val="nl-NL"/>
        </w:rPr>
        <w:t>esbatemens</w:t>
      </w:r>
      <w:proofErr w:type="spellEnd"/>
      <w:r w:rsidRPr="00C140A8">
        <w:rPr>
          <w:rFonts w:ascii="Georgia" w:hAnsi="Georgia" w:cs="Calibri"/>
          <w:i/>
          <w:iCs/>
          <w:sz w:val="22"/>
          <w:szCs w:val="22"/>
          <w:lang w:val="nl-NL"/>
        </w:rPr>
        <w:t>;</w:t>
      </w:r>
    </w:p>
    <w:p w14:paraId="3F18F792" w14:textId="72B618FE" w:rsidR="009347D4" w:rsidRPr="00C140A8" w:rsidRDefault="00595DBA" w:rsidP="005B124B">
      <w:pPr>
        <w:spacing w:afterLines="80" w:after="192"/>
        <w:jc w:val="both"/>
        <w:rPr>
          <w:rFonts w:ascii="Georgia" w:hAnsi="Georgia" w:cs="Calibri"/>
          <w:i/>
          <w:iCs/>
          <w:sz w:val="22"/>
          <w:szCs w:val="22"/>
          <w:lang w:val="nl-NL"/>
        </w:rPr>
      </w:pPr>
      <w:r w:rsidRPr="00C140A8">
        <w:rPr>
          <w:rFonts w:ascii="Georgia" w:hAnsi="Georgia" w:cs="Calibri"/>
          <w:i/>
          <w:iCs/>
          <w:sz w:val="22"/>
          <w:szCs w:val="22"/>
          <w:lang w:val="nl-NL"/>
        </w:rPr>
        <w:t xml:space="preserve">Cent mille </w:t>
      </w:r>
      <w:proofErr w:type="spellStart"/>
      <w:r w:rsidRPr="00C140A8">
        <w:rPr>
          <w:rFonts w:ascii="Georgia" w:hAnsi="Georgia" w:cs="Calibri"/>
          <w:i/>
          <w:iCs/>
          <w:sz w:val="22"/>
          <w:szCs w:val="22"/>
          <w:lang w:val="nl-NL"/>
        </w:rPr>
        <w:t>foys</w:t>
      </w:r>
      <w:proofErr w:type="spellEnd"/>
      <w:r w:rsidRPr="00C140A8">
        <w:rPr>
          <w:rFonts w:ascii="Georgia" w:hAnsi="Georgia" w:cs="Calibri"/>
          <w:i/>
          <w:iCs/>
          <w:sz w:val="22"/>
          <w:szCs w:val="22"/>
          <w:lang w:val="nl-NL"/>
        </w:rPr>
        <w:t xml:space="preserve"> a </w:t>
      </w:r>
      <w:proofErr w:type="spellStart"/>
      <w:r w:rsidRPr="00C140A8">
        <w:rPr>
          <w:rFonts w:ascii="Georgia" w:hAnsi="Georgia" w:cs="Calibri"/>
          <w:i/>
          <w:iCs/>
          <w:sz w:val="22"/>
          <w:szCs w:val="22"/>
          <w:lang w:val="nl-NL"/>
        </w:rPr>
        <w:t>vous</w:t>
      </w:r>
      <w:proofErr w:type="spellEnd"/>
      <w:r w:rsidRPr="00C140A8">
        <w:rPr>
          <w:rFonts w:ascii="Georgia" w:hAnsi="Georgia" w:cs="Calibri"/>
          <w:i/>
          <w:iCs/>
          <w:sz w:val="22"/>
          <w:szCs w:val="22"/>
          <w:lang w:val="nl-NL"/>
        </w:rPr>
        <w:t xml:space="preserve"> me </w:t>
      </w:r>
      <w:proofErr w:type="spellStart"/>
      <w:r w:rsidRPr="00C140A8">
        <w:rPr>
          <w:rFonts w:ascii="Georgia" w:hAnsi="Georgia" w:cs="Calibri"/>
          <w:i/>
          <w:iCs/>
          <w:sz w:val="22"/>
          <w:szCs w:val="22"/>
          <w:lang w:val="nl-NL"/>
        </w:rPr>
        <w:t>recommans</w:t>
      </w:r>
      <w:proofErr w:type="spellEnd"/>
      <w:r w:rsidRPr="00C140A8">
        <w:rPr>
          <w:rFonts w:ascii="Georgia" w:hAnsi="Georgia" w:cs="Calibri"/>
          <w:i/>
          <w:iCs/>
          <w:sz w:val="22"/>
          <w:szCs w:val="22"/>
          <w:lang w:val="nl-NL"/>
        </w:rPr>
        <w:t>.</w:t>
      </w:r>
      <w:r w:rsidRPr="00C140A8">
        <w:rPr>
          <w:rStyle w:val="FootnoteReference"/>
          <w:rFonts w:ascii="Georgia" w:hAnsi="Georgia" w:cs="Calibri"/>
          <w:i/>
          <w:iCs/>
          <w:sz w:val="22"/>
          <w:szCs w:val="22"/>
          <w:lang w:val="nl-NL"/>
        </w:rPr>
        <w:footnoteReference w:id="383"/>
      </w:r>
    </w:p>
    <w:p w14:paraId="16D74AAF" w14:textId="77777777" w:rsidR="00700B38" w:rsidRDefault="008237BD"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Met de dood van Wenceslas</w:t>
      </w:r>
      <w:r w:rsidR="00780890" w:rsidRPr="2D0D95AE">
        <w:rPr>
          <w:rFonts w:ascii="Georgia" w:hAnsi="Georgia" w:cs="Calibri"/>
          <w:sz w:val="22"/>
          <w:szCs w:val="22"/>
          <w:lang w:val="en-US"/>
        </w:rPr>
        <w:t xml:space="preserve"> </w:t>
      </w:r>
      <w:r w:rsidRPr="2D0D95AE">
        <w:rPr>
          <w:rFonts w:ascii="Georgia" w:hAnsi="Georgia" w:cs="Calibri"/>
          <w:sz w:val="22"/>
          <w:szCs w:val="22"/>
          <w:lang w:val="en-US"/>
        </w:rPr>
        <w:t xml:space="preserve">verdween een tijdperk van culturele bloei. </w:t>
      </w:r>
      <w:r w:rsidR="00700B38" w:rsidRPr="2D0D95AE">
        <w:rPr>
          <w:rFonts w:ascii="Georgia" w:hAnsi="Georgia" w:cs="Calibri"/>
          <w:sz w:val="22"/>
          <w:szCs w:val="22"/>
          <w:lang w:val="en-US"/>
        </w:rPr>
        <w:t>Zo luidt het</w:t>
      </w:r>
      <w:r w:rsidRPr="2D0D95AE">
        <w:rPr>
          <w:rFonts w:ascii="Georgia" w:hAnsi="Georgia" w:cs="Calibri"/>
          <w:sz w:val="22"/>
          <w:szCs w:val="22"/>
          <w:lang w:val="en-US"/>
        </w:rPr>
        <w:t xml:space="preserve"> dominant</w:t>
      </w:r>
      <w:r w:rsidR="00700B38" w:rsidRPr="2D0D95AE">
        <w:rPr>
          <w:rFonts w:ascii="Georgia" w:hAnsi="Georgia" w:cs="Calibri"/>
          <w:sz w:val="22"/>
          <w:szCs w:val="22"/>
          <w:lang w:val="en-US"/>
        </w:rPr>
        <w:t>e</w:t>
      </w:r>
      <w:r w:rsidRPr="2D0D95AE">
        <w:rPr>
          <w:rFonts w:ascii="Georgia" w:hAnsi="Georgia" w:cs="Calibri"/>
          <w:sz w:val="22"/>
          <w:szCs w:val="22"/>
          <w:lang w:val="en-US"/>
        </w:rPr>
        <w:t xml:space="preserve"> beeld binnen de historiografie</w:t>
      </w:r>
      <w:r w:rsidR="00A2574A" w:rsidRPr="2D0D95AE">
        <w:rPr>
          <w:rFonts w:ascii="Georgia" w:hAnsi="Georgia" w:cs="Calibri"/>
          <w:sz w:val="22"/>
          <w:szCs w:val="22"/>
          <w:lang w:val="en-US"/>
        </w:rPr>
        <w:t>.</w:t>
      </w:r>
      <w:r w:rsidRPr="2D0D95AE">
        <w:rPr>
          <w:rFonts w:ascii="Georgia" w:hAnsi="Georgia" w:cs="Calibri"/>
          <w:sz w:val="22"/>
          <w:szCs w:val="22"/>
          <w:lang w:val="en-US"/>
        </w:rPr>
        <w:t xml:space="preserve"> Wenceslas zou de grote culturele motor van het Brabantse hof zijn geweest en zijn dood markeerde een onvermijdelijk </w:t>
      </w:r>
      <w:r w:rsidR="00453F84" w:rsidRPr="2D0D95AE">
        <w:rPr>
          <w:rFonts w:ascii="Georgia" w:hAnsi="Georgia" w:cs="Calibri"/>
          <w:sz w:val="22"/>
          <w:szCs w:val="22"/>
          <w:lang w:val="en-US"/>
        </w:rPr>
        <w:t>‘</w:t>
      </w:r>
      <w:r w:rsidRPr="2D0D95AE">
        <w:rPr>
          <w:rFonts w:ascii="Georgia" w:hAnsi="Georgia" w:cs="Calibri"/>
          <w:sz w:val="22"/>
          <w:szCs w:val="22"/>
          <w:lang w:val="en-US"/>
        </w:rPr>
        <w:t>verval</w:t>
      </w:r>
      <w:r w:rsidR="00453F84" w:rsidRPr="2D0D95AE">
        <w:rPr>
          <w:rFonts w:ascii="Georgia" w:hAnsi="Georgia" w:cs="Calibri"/>
          <w:sz w:val="22"/>
          <w:szCs w:val="22"/>
          <w:lang w:val="en-US"/>
        </w:rPr>
        <w:t>’</w:t>
      </w:r>
      <w:r w:rsidRPr="2D0D95AE">
        <w:rPr>
          <w:rFonts w:ascii="Georgia" w:hAnsi="Georgia" w:cs="Calibri"/>
          <w:sz w:val="22"/>
          <w:szCs w:val="22"/>
          <w:lang w:val="en-US"/>
        </w:rPr>
        <w:t>.</w:t>
      </w:r>
      <w:r w:rsidRPr="2D0D95AE">
        <w:rPr>
          <w:rStyle w:val="FootnoteReference"/>
          <w:rFonts w:ascii="Georgia" w:hAnsi="Georgia"/>
          <w:sz w:val="22"/>
          <w:szCs w:val="22"/>
          <w:lang w:val="en-US"/>
        </w:rPr>
        <w:footnoteReference w:id="384"/>
      </w:r>
      <w:r w:rsidR="000C583C" w:rsidRPr="2D0D95AE">
        <w:rPr>
          <w:rFonts w:ascii="Georgia" w:hAnsi="Georgia"/>
          <w:sz w:val="22"/>
          <w:szCs w:val="22"/>
          <w:lang w:val="en-US"/>
        </w:rPr>
        <w:t xml:space="preserve"> </w:t>
      </w:r>
      <w:r w:rsidR="00A2574A" w:rsidRPr="2D0D95AE">
        <w:rPr>
          <w:rFonts w:ascii="Georgia" w:hAnsi="Georgia" w:cs="Calibri"/>
          <w:sz w:val="22"/>
          <w:szCs w:val="22"/>
          <w:lang w:val="en-US"/>
        </w:rPr>
        <w:t xml:space="preserve">Dit hoofdstuk wil dat beeld nuanceren. </w:t>
      </w:r>
    </w:p>
    <w:p w14:paraId="5CB484B7" w14:textId="7E22DA41" w:rsidR="00703E4F" w:rsidRPr="00C140A8" w:rsidRDefault="00A2574A"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Sinds de doorbraak van de </w:t>
      </w:r>
      <w:proofErr w:type="spellStart"/>
      <w:r w:rsidRPr="00C140A8">
        <w:rPr>
          <w:rFonts w:ascii="Georgia" w:hAnsi="Georgia" w:cs="Calibri"/>
          <w:i/>
          <w:iCs/>
          <w:sz w:val="22"/>
          <w:szCs w:val="22"/>
          <w:lang w:val="nl-NL"/>
        </w:rPr>
        <w:t>queenship</w:t>
      </w:r>
      <w:proofErr w:type="spellEnd"/>
      <w:r w:rsidRPr="00C140A8">
        <w:rPr>
          <w:rFonts w:ascii="Georgia" w:hAnsi="Georgia" w:cs="Calibri"/>
          <w:sz w:val="22"/>
          <w:szCs w:val="22"/>
          <w:lang w:val="nl-NL"/>
        </w:rPr>
        <w:t xml:space="preserve">-studies </w:t>
      </w:r>
      <w:r w:rsidR="005A28FB" w:rsidRPr="00C140A8">
        <w:rPr>
          <w:rFonts w:ascii="Georgia" w:hAnsi="Georgia" w:cs="Calibri"/>
          <w:sz w:val="22"/>
          <w:szCs w:val="22"/>
          <w:lang w:val="nl-NL"/>
        </w:rPr>
        <w:t>erken</w:t>
      </w:r>
      <w:r w:rsidR="008D5F35" w:rsidRPr="00C140A8">
        <w:rPr>
          <w:rFonts w:ascii="Georgia" w:hAnsi="Georgia" w:cs="Calibri"/>
          <w:sz w:val="22"/>
          <w:szCs w:val="22"/>
          <w:lang w:val="nl-NL"/>
        </w:rPr>
        <w:t>t de historiografie</w:t>
      </w:r>
      <w:r w:rsidRPr="00C140A8">
        <w:rPr>
          <w:rFonts w:ascii="Georgia" w:hAnsi="Georgia" w:cs="Calibri"/>
          <w:sz w:val="22"/>
          <w:szCs w:val="22"/>
          <w:lang w:val="nl-NL"/>
        </w:rPr>
        <w:t xml:space="preserve"> patronage als een volwaardig machtsinstrument</w:t>
      </w:r>
      <w:r w:rsidR="00963B0D" w:rsidRPr="00C140A8">
        <w:rPr>
          <w:rFonts w:ascii="Georgia" w:hAnsi="Georgia" w:cs="Calibri"/>
          <w:sz w:val="22"/>
          <w:szCs w:val="22"/>
          <w:lang w:val="nl-NL"/>
        </w:rPr>
        <w:t>.</w:t>
      </w:r>
      <w:r w:rsidR="00963B0D" w:rsidRPr="00C140A8">
        <w:rPr>
          <w:rFonts w:ascii="Georgia" w:hAnsi="Georgia"/>
          <w:sz w:val="22"/>
          <w:szCs w:val="22"/>
          <w:lang w:val="nl-NL"/>
        </w:rPr>
        <w:t xml:space="preserve"> </w:t>
      </w:r>
      <w:r w:rsidR="00A461F0" w:rsidRPr="00C140A8">
        <w:rPr>
          <w:rFonts w:ascii="Georgia" w:hAnsi="Georgia" w:cs="Calibri"/>
          <w:sz w:val="22"/>
          <w:szCs w:val="22"/>
          <w:lang w:val="nl-NL"/>
        </w:rPr>
        <w:t>Naast</w:t>
      </w:r>
      <w:r w:rsidRPr="00C140A8">
        <w:rPr>
          <w:rFonts w:ascii="Georgia" w:hAnsi="Georgia" w:cs="Calibri"/>
          <w:sz w:val="22"/>
          <w:szCs w:val="22"/>
          <w:lang w:val="nl-NL"/>
        </w:rPr>
        <w:t xml:space="preserve"> het verlenen van landen en privileges</w:t>
      </w:r>
      <w:r w:rsidR="005C0A04" w:rsidRPr="00C140A8">
        <w:rPr>
          <w:rFonts w:ascii="Georgia" w:hAnsi="Georgia" w:cs="Calibri"/>
          <w:sz w:val="22"/>
          <w:szCs w:val="22"/>
          <w:lang w:val="nl-NL"/>
        </w:rPr>
        <w:t xml:space="preserve"> behoorden ook</w:t>
      </w:r>
      <w:r w:rsidRPr="00C140A8">
        <w:rPr>
          <w:rFonts w:ascii="Georgia" w:hAnsi="Georgia" w:cs="Calibri"/>
          <w:sz w:val="22"/>
          <w:szCs w:val="22"/>
          <w:lang w:val="nl-NL"/>
        </w:rPr>
        <w:t xml:space="preserve"> religieuze schenkingen en de bescherming van kunstenaars en schrijvers tot de instrumenten die een vorstin ter beschikking had</w:t>
      </w:r>
      <w:r w:rsidR="005C0B35" w:rsidRPr="00C140A8">
        <w:rPr>
          <w:rFonts w:ascii="Georgia" w:hAnsi="Georgia" w:cs="Calibri"/>
          <w:sz w:val="22"/>
          <w:szCs w:val="22"/>
          <w:lang w:val="nl-NL"/>
        </w:rPr>
        <w:t xml:space="preserve"> om haar bestuur vorm te geven</w:t>
      </w:r>
      <w:r w:rsidRPr="00C140A8">
        <w:rPr>
          <w:rFonts w:ascii="Georgia" w:hAnsi="Georgia" w:cs="Calibri"/>
          <w:sz w:val="22"/>
          <w:szCs w:val="22"/>
          <w:lang w:val="nl-NL"/>
        </w:rPr>
        <w:t>.</w:t>
      </w:r>
      <w:r w:rsidR="00F108B3" w:rsidRPr="00C140A8">
        <w:rPr>
          <w:rStyle w:val="FootnoteReference"/>
          <w:rFonts w:ascii="Georgia" w:hAnsi="Georgia"/>
          <w:sz w:val="22"/>
          <w:szCs w:val="22"/>
          <w:lang w:val="nl-NL"/>
        </w:rPr>
        <w:t xml:space="preserve"> </w:t>
      </w:r>
      <w:r w:rsidR="00F108B3" w:rsidRPr="00C140A8">
        <w:rPr>
          <w:rStyle w:val="FootnoteReference"/>
          <w:rFonts w:ascii="Georgia" w:hAnsi="Georgia"/>
          <w:sz w:val="22"/>
          <w:szCs w:val="22"/>
          <w:lang w:val="nl-NL"/>
        </w:rPr>
        <w:footnoteReference w:id="385"/>
      </w:r>
      <w:r w:rsidR="00F108B3" w:rsidRPr="00C140A8">
        <w:rPr>
          <w:rFonts w:ascii="Georgia" w:hAnsi="Georgia"/>
          <w:sz w:val="22"/>
          <w:szCs w:val="22"/>
          <w:lang w:val="nl-NL"/>
        </w:rPr>
        <w:t xml:space="preserve"> </w:t>
      </w:r>
      <w:r w:rsidRPr="00C140A8">
        <w:rPr>
          <w:rFonts w:ascii="Georgia" w:hAnsi="Georgia" w:cs="Calibri"/>
          <w:sz w:val="22"/>
          <w:szCs w:val="22"/>
          <w:lang w:val="nl-NL"/>
        </w:rPr>
        <w:t xml:space="preserve">Johanna's bijdrage aan het culturele en religieuze leven van het hof was groter </w:t>
      </w:r>
      <w:r w:rsidR="00453F84" w:rsidRPr="00C140A8">
        <w:rPr>
          <w:rFonts w:ascii="Georgia" w:hAnsi="Georgia" w:cs="Calibri"/>
          <w:sz w:val="22"/>
          <w:szCs w:val="22"/>
          <w:lang w:val="nl-NL"/>
        </w:rPr>
        <w:t>dan men</w:t>
      </w:r>
      <w:r w:rsidRPr="00C140A8">
        <w:rPr>
          <w:rFonts w:ascii="Georgia" w:hAnsi="Georgia" w:cs="Calibri"/>
          <w:sz w:val="22"/>
          <w:szCs w:val="22"/>
          <w:lang w:val="nl-NL"/>
        </w:rPr>
        <w:t xml:space="preserve"> doorgaans </w:t>
      </w:r>
      <w:r w:rsidR="00804696" w:rsidRPr="00C140A8">
        <w:rPr>
          <w:rFonts w:ascii="Georgia" w:hAnsi="Georgia" w:cs="Calibri"/>
          <w:sz w:val="22"/>
          <w:szCs w:val="22"/>
          <w:lang w:val="nl-NL"/>
        </w:rPr>
        <w:t>aanneemt</w:t>
      </w:r>
      <w:r w:rsidRPr="00C140A8">
        <w:rPr>
          <w:rFonts w:ascii="Georgia" w:hAnsi="Georgia" w:cs="Calibri"/>
          <w:sz w:val="22"/>
          <w:szCs w:val="22"/>
          <w:lang w:val="nl-NL"/>
        </w:rPr>
        <w:t xml:space="preserve">, ook tijdens het leven van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Dat haar inbreng </w:t>
      </w:r>
      <w:r w:rsidR="00804696" w:rsidRPr="00C140A8">
        <w:rPr>
          <w:rFonts w:ascii="Georgia" w:hAnsi="Georgia" w:cs="Calibri"/>
          <w:sz w:val="22"/>
          <w:szCs w:val="22"/>
          <w:lang w:val="nl-NL"/>
        </w:rPr>
        <w:t>minder is opgevallen</w:t>
      </w:r>
      <w:r w:rsidRPr="00C140A8">
        <w:rPr>
          <w:rFonts w:ascii="Georgia" w:hAnsi="Georgia" w:cs="Calibri"/>
          <w:sz w:val="22"/>
          <w:szCs w:val="22"/>
          <w:lang w:val="nl-NL"/>
        </w:rPr>
        <w:t xml:space="preserve">, hangt samen met het overwegend religieuze karakter ervan. </w:t>
      </w:r>
      <w:r w:rsidR="005A28FB" w:rsidRPr="00C140A8">
        <w:rPr>
          <w:rFonts w:ascii="Georgia" w:hAnsi="Georgia" w:cs="Calibri"/>
          <w:sz w:val="22"/>
          <w:szCs w:val="22"/>
          <w:lang w:val="nl-NL"/>
        </w:rPr>
        <w:t xml:space="preserve">Voor zover </w:t>
      </w:r>
      <w:proofErr w:type="spellStart"/>
      <w:r w:rsidR="005A28FB" w:rsidRPr="00C140A8">
        <w:rPr>
          <w:rFonts w:ascii="Georgia" w:hAnsi="Georgia" w:cs="Calibri"/>
          <w:sz w:val="22"/>
          <w:szCs w:val="22"/>
          <w:lang w:val="nl-NL"/>
        </w:rPr>
        <w:t>Wenceslas</w:t>
      </w:r>
      <w:proofErr w:type="spellEnd"/>
      <w:r w:rsidR="005A28FB" w:rsidRPr="00C140A8">
        <w:rPr>
          <w:rFonts w:ascii="Georgia" w:hAnsi="Georgia" w:cs="Calibri"/>
          <w:sz w:val="22"/>
          <w:szCs w:val="22"/>
          <w:lang w:val="nl-NL"/>
        </w:rPr>
        <w:t>’ bijdrage zichtbaar is, valt er een duidelijke grens te trekken tussen een religieuze en hoofs-culturele activiteit</w:t>
      </w:r>
      <w:r w:rsidR="00703E4F" w:rsidRPr="00C140A8">
        <w:rPr>
          <w:rFonts w:ascii="Georgia" w:hAnsi="Georgia" w:cs="Calibri"/>
          <w:sz w:val="22"/>
          <w:szCs w:val="22"/>
          <w:lang w:val="nl-NL"/>
        </w:rPr>
        <w:t>. B</w:t>
      </w:r>
      <w:r w:rsidRPr="00C140A8">
        <w:rPr>
          <w:rFonts w:ascii="Georgia" w:hAnsi="Georgia" w:cs="Calibri"/>
          <w:sz w:val="22"/>
          <w:szCs w:val="22"/>
          <w:lang w:val="nl-NL"/>
        </w:rPr>
        <w:t xml:space="preserve">ij Johanna lopen die twee in elkaar over, en </w:t>
      </w:r>
      <w:r w:rsidR="00844360" w:rsidRPr="00C140A8">
        <w:rPr>
          <w:rFonts w:ascii="Georgia" w:hAnsi="Georgia" w:cs="Calibri"/>
          <w:sz w:val="22"/>
          <w:szCs w:val="22"/>
          <w:lang w:val="nl-NL"/>
        </w:rPr>
        <w:t xml:space="preserve">staat haar </w:t>
      </w:r>
      <w:r w:rsidRPr="00C140A8">
        <w:rPr>
          <w:rFonts w:ascii="Georgia" w:hAnsi="Georgia" w:cs="Calibri"/>
          <w:sz w:val="22"/>
          <w:szCs w:val="22"/>
          <w:lang w:val="nl-NL"/>
        </w:rPr>
        <w:t xml:space="preserve">bijdrage </w:t>
      </w:r>
      <w:r w:rsidR="00844360" w:rsidRPr="00C140A8">
        <w:rPr>
          <w:rFonts w:ascii="Georgia" w:hAnsi="Georgia" w:cs="Calibri"/>
          <w:sz w:val="22"/>
          <w:szCs w:val="22"/>
          <w:lang w:val="nl-NL"/>
        </w:rPr>
        <w:t xml:space="preserve">in </w:t>
      </w:r>
      <w:r w:rsidRPr="00C140A8">
        <w:rPr>
          <w:rFonts w:ascii="Georgia" w:hAnsi="Georgia" w:cs="Calibri"/>
          <w:sz w:val="22"/>
          <w:szCs w:val="22"/>
          <w:lang w:val="nl-NL"/>
        </w:rPr>
        <w:t>het licht van haar vroomheid en het beeld dat zij als hertogin wilde uitdragen</w:t>
      </w:r>
      <w:r w:rsidR="008D375E" w:rsidRPr="00C140A8">
        <w:rPr>
          <w:rFonts w:ascii="Georgia" w:hAnsi="Georgia" w:cs="Calibri"/>
          <w:sz w:val="22"/>
          <w:szCs w:val="22"/>
          <w:lang w:val="nl-NL"/>
        </w:rPr>
        <w:t>.</w:t>
      </w:r>
      <w:r w:rsidR="005A28FB" w:rsidRPr="00C140A8">
        <w:rPr>
          <w:rFonts w:ascii="Georgia" w:hAnsi="Georgia" w:cs="Calibri"/>
          <w:sz w:val="22"/>
          <w:szCs w:val="22"/>
          <w:lang w:val="nl-NL"/>
        </w:rPr>
        <w:t xml:space="preserve"> </w:t>
      </w:r>
      <w:r w:rsidR="00782D9C" w:rsidRPr="00C140A8">
        <w:rPr>
          <w:rFonts w:ascii="Georgia" w:hAnsi="Georgia" w:cs="Calibri"/>
          <w:sz w:val="22"/>
          <w:szCs w:val="22"/>
          <w:lang w:val="nl-NL"/>
        </w:rPr>
        <w:t xml:space="preserve">Zij onderhield in het algemeen </w:t>
      </w:r>
      <w:r w:rsidR="005A28FB" w:rsidRPr="00C140A8">
        <w:rPr>
          <w:rFonts w:ascii="Georgia" w:hAnsi="Georgia" w:cs="Calibri"/>
          <w:sz w:val="22"/>
          <w:szCs w:val="22"/>
          <w:lang w:val="nl-NL"/>
        </w:rPr>
        <w:t>relaties en cultiveerde talrijke religieuze instellingen en gemeenschappen.</w:t>
      </w:r>
      <w:r w:rsidR="00AF7AAC">
        <w:rPr>
          <w:rStyle w:val="FootnoteReference"/>
          <w:rFonts w:ascii="Georgia" w:hAnsi="Georgia" w:cs="Calibri"/>
          <w:sz w:val="22"/>
          <w:szCs w:val="22"/>
          <w:lang w:val="nl-NL"/>
        </w:rPr>
        <w:footnoteReference w:id="386"/>
      </w:r>
      <w:r w:rsidR="005A28FB" w:rsidRPr="00C140A8">
        <w:rPr>
          <w:rFonts w:ascii="Georgia" w:hAnsi="Georgia" w:cs="Calibri"/>
          <w:sz w:val="22"/>
          <w:szCs w:val="22"/>
          <w:lang w:val="nl-NL"/>
        </w:rPr>
        <w:t xml:space="preserve"> </w:t>
      </w:r>
      <w:proofErr w:type="spellStart"/>
      <w:r w:rsidR="005A28FB" w:rsidRPr="00C140A8">
        <w:rPr>
          <w:rFonts w:ascii="Georgia" w:hAnsi="Georgia" w:cs="Calibri"/>
          <w:sz w:val="22"/>
          <w:szCs w:val="22"/>
          <w:lang w:val="nl-NL"/>
        </w:rPr>
        <w:t>Wenceslas</w:t>
      </w:r>
      <w:proofErr w:type="spellEnd"/>
      <w:r w:rsidR="005A28FB" w:rsidRPr="00C140A8">
        <w:rPr>
          <w:rFonts w:ascii="Georgia" w:hAnsi="Georgia" w:cs="Calibri"/>
          <w:sz w:val="22"/>
          <w:szCs w:val="22"/>
          <w:lang w:val="nl-NL"/>
        </w:rPr>
        <w:t xml:space="preserve">' religieuze activiteit </w:t>
      </w:r>
      <w:r w:rsidR="00093F1E" w:rsidRPr="00C140A8">
        <w:rPr>
          <w:rFonts w:ascii="Georgia" w:hAnsi="Georgia" w:cs="Calibri"/>
          <w:sz w:val="22"/>
          <w:szCs w:val="22"/>
          <w:lang w:val="nl-NL"/>
        </w:rPr>
        <w:t xml:space="preserve">heeft </w:t>
      </w:r>
      <w:r w:rsidR="005A28FB" w:rsidRPr="00C140A8">
        <w:rPr>
          <w:rFonts w:ascii="Georgia" w:hAnsi="Georgia" w:cs="Calibri"/>
          <w:sz w:val="22"/>
          <w:szCs w:val="22"/>
          <w:lang w:val="nl-NL"/>
        </w:rPr>
        <w:t>veel minder sporen achtergelaten in de bronnen.</w:t>
      </w:r>
      <w:r w:rsidR="005A28FB" w:rsidRPr="00C140A8">
        <w:rPr>
          <w:rStyle w:val="FootnoteReference"/>
          <w:rFonts w:ascii="Georgia" w:hAnsi="Georgia" w:cs="Calibri"/>
          <w:sz w:val="22"/>
          <w:szCs w:val="22"/>
          <w:lang w:val="nl-NL"/>
        </w:rPr>
        <w:footnoteReference w:id="387"/>
      </w:r>
      <w:r w:rsidR="008D375E" w:rsidRPr="00C140A8">
        <w:rPr>
          <w:rFonts w:ascii="Georgia" w:hAnsi="Georgia" w:cs="Calibri"/>
          <w:sz w:val="22"/>
          <w:szCs w:val="22"/>
          <w:lang w:val="nl-NL"/>
        </w:rPr>
        <w:t xml:space="preserve"> </w:t>
      </w:r>
    </w:p>
    <w:p w14:paraId="4721A2E2" w14:textId="0AEA0626" w:rsidR="00EC4201" w:rsidRPr="00C140A8" w:rsidRDefault="00703E4F"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lastRenderedPageBreak/>
        <w:t>Het zogenaamde 'verval' na 1383 vraagt op zijn beurt om bredere context.</w:t>
      </w:r>
      <w:r w:rsidR="00DC657D" w:rsidRPr="00C140A8">
        <w:rPr>
          <w:rStyle w:val="FootnoteReference"/>
          <w:rFonts w:ascii="Georgia" w:hAnsi="Georgia" w:cs="Calibri"/>
          <w:sz w:val="22"/>
          <w:szCs w:val="22"/>
          <w:lang w:val="nl-NL"/>
        </w:rPr>
        <w:footnoteReference w:id="388"/>
      </w:r>
      <w:r w:rsidRPr="00C140A8">
        <w:rPr>
          <w:rFonts w:ascii="Georgia" w:hAnsi="Georgia" w:cs="Calibri"/>
          <w:sz w:val="22"/>
          <w:szCs w:val="22"/>
          <w:lang w:val="nl-NL"/>
        </w:rPr>
        <w:t xml:space="preserve"> Tegen dat jaar was de Brabantse schatkist nagenoeg leeg</w:t>
      </w:r>
      <w:r w:rsidR="00AA5741" w:rsidRPr="00C140A8">
        <w:rPr>
          <w:rFonts w:ascii="Georgia" w:hAnsi="Georgia" w:cs="Calibri"/>
          <w:sz w:val="22"/>
          <w:szCs w:val="22"/>
          <w:lang w:val="nl-NL"/>
        </w:rPr>
        <w:t>.</w:t>
      </w:r>
      <w:r w:rsidR="00093F1E" w:rsidRPr="00C140A8">
        <w:rPr>
          <w:rStyle w:val="FootnoteReference"/>
          <w:rFonts w:ascii="Georgia" w:hAnsi="Georgia" w:cs="Calibri"/>
          <w:sz w:val="22"/>
          <w:szCs w:val="22"/>
          <w:lang w:val="nl-NL"/>
        </w:rPr>
        <w:footnoteReference w:id="389"/>
      </w:r>
      <w:r w:rsidR="00AE7078" w:rsidRPr="00C140A8">
        <w:rPr>
          <w:rFonts w:ascii="Georgia" w:hAnsi="Georgia" w:cs="Calibri"/>
          <w:sz w:val="22"/>
          <w:szCs w:val="22"/>
          <w:lang w:val="nl-NL"/>
        </w:rPr>
        <w:t xml:space="preserve"> </w:t>
      </w:r>
      <w:r w:rsidR="00AA5741" w:rsidRPr="00C140A8">
        <w:rPr>
          <w:rFonts w:ascii="Georgia" w:hAnsi="Georgia" w:cs="Calibri"/>
          <w:sz w:val="22"/>
          <w:szCs w:val="22"/>
          <w:lang w:val="nl-NL"/>
        </w:rPr>
        <w:t>D</w:t>
      </w:r>
      <w:r w:rsidRPr="00C140A8">
        <w:rPr>
          <w:rFonts w:ascii="Georgia" w:hAnsi="Georgia" w:cs="Calibri"/>
          <w:sz w:val="22"/>
          <w:szCs w:val="22"/>
          <w:lang w:val="nl-NL"/>
        </w:rPr>
        <w:t xml:space="preserve">e kosten van de slag bij </w:t>
      </w:r>
      <w:proofErr w:type="spellStart"/>
      <w:r w:rsidRPr="00C140A8">
        <w:rPr>
          <w:rFonts w:ascii="Georgia" w:hAnsi="Georgia" w:cs="Calibri"/>
          <w:sz w:val="22"/>
          <w:szCs w:val="22"/>
          <w:lang w:val="nl-NL"/>
        </w:rPr>
        <w:t>Baesweiler</w:t>
      </w:r>
      <w:proofErr w:type="spellEnd"/>
      <w:r w:rsidRPr="00C140A8">
        <w:rPr>
          <w:rFonts w:ascii="Georgia" w:hAnsi="Georgia" w:cs="Calibri"/>
          <w:sz w:val="22"/>
          <w:szCs w:val="22"/>
          <w:lang w:val="nl-NL"/>
        </w:rPr>
        <w:t xml:space="preserve"> drukten nog steeds door, de oorlog met Luik van 137</w:t>
      </w:r>
      <w:r w:rsidR="005E021F" w:rsidRPr="00C140A8">
        <w:rPr>
          <w:rFonts w:ascii="Georgia" w:hAnsi="Georgia" w:cs="Calibri"/>
          <w:sz w:val="22"/>
          <w:szCs w:val="22"/>
          <w:lang w:val="nl-NL"/>
        </w:rPr>
        <w:t>8</w:t>
      </w:r>
      <w:r w:rsidRPr="00C140A8">
        <w:rPr>
          <w:rFonts w:ascii="Georgia" w:hAnsi="Georgia" w:cs="Calibri"/>
          <w:sz w:val="22"/>
          <w:szCs w:val="22"/>
          <w:lang w:val="nl-NL"/>
        </w:rPr>
        <w:t>-13</w:t>
      </w:r>
      <w:r w:rsidR="007657EA" w:rsidRPr="00C140A8">
        <w:rPr>
          <w:rFonts w:ascii="Georgia" w:hAnsi="Georgia" w:cs="Calibri"/>
          <w:sz w:val="22"/>
          <w:szCs w:val="22"/>
          <w:lang w:val="nl-NL"/>
        </w:rPr>
        <w:t>79</w:t>
      </w:r>
      <w:r w:rsidRPr="00C140A8">
        <w:rPr>
          <w:rFonts w:ascii="Georgia" w:hAnsi="Georgia" w:cs="Calibri"/>
          <w:sz w:val="22"/>
          <w:szCs w:val="22"/>
          <w:lang w:val="nl-NL"/>
        </w:rPr>
        <w:t xml:space="preserve"> had Brabant nog dieper in de schulden gebracht, en nauwelijks zes maanden na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dood stond de hertog van Gelre opnieuw klaar om de strijd te hervatten.</w:t>
      </w:r>
      <w:r w:rsidR="005E017A" w:rsidRPr="00C140A8">
        <w:rPr>
          <w:rStyle w:val="FootnoteReference"/>
          <w:rFonts w:ascii="Georgia" w:hAnsi="Georgia"/>
          <w:sz w:val="22"/>
          <w:szCs w:val="22"/>
          <w:lang w:val="nl-NL"/>
        </w:rPr>
        <w:footnoteReference w:id="390"/>
      </w:r>
      <w:r w:rsidRPr="00C140A8">
        <w:rPr>
          <w:rFonts w:ascii="Georgia" w:hAnsi="Georgia" w:cs="Calibri"/>
          <w:sz w:val="22"/>
          <w:szCs w:val="22"/>
          <w:lang w:val="nl-NL"/>
        </w:rPr>
        <w:t> </w:t>
      </w:r>
      <w:r w:rsidR="00FC50A2" w:rsidRPr="00C140A8">
        <w:rPr>
          <w:rFonts w:ascii="Georgia" w:hAnsi="Georgia" w:cs="Calibri"/>
          <w:sz w:val="22"/>
          <w:szCs w:val="22"/>
          <w:lang w:val="nl-NL"/>
        </w:rPr>
        <w:t>Het is niet zo dat Johanna minder interesse had in cultuur</w:t>
      </w:r>
      <w:r w:rsidR="00FC69FD">
        <w:rPr>
          <w:rFonts w:ascii="Georgia" w:hAnsi="Georgia" w:cs="Calibri"/>
          <w:sz w:val="22"/>
          <w:szCs w:val="22"/>
          <w:lang w:val="nl-NL"/>
        </w:rPr>
        <w:t>,</w:t>
      </w:r>
      <w:r w:rsidR="007657EA" w:rsidRPr="00C140A8">
        <w:rPr>
          <w:rFonts w:ascii="Georgia" w:hAnsi="Georgia" w:cs="Calibri"/>
          <w:sz w:val="22"/>
          <w:szCs w:val="22"/>
          <w:lang w:val="nl-NL"/>
        </w:rPr>
        <w:t xml:space="preserve"> </w:t>
      </w:r>
      <w:r w:rsidR="00FC69FD">
        <w:rPr>
          <w:rFonts w:ascii="Georgia" w:hAnsi="Georgia" w:cs="Calibri"/>
          <w:sz w:val="22"/>
          <w:szCs w:val="22"/>
          <w:lang w:val="nl-NL"/>
        </w:rPr>
        <w:t>h</w:t>
      </w:r>
      <w:r w:rsidR="00FC50A2" w:rsidRPr="00C140A8">
        <w:rPr>
          <w:rFonts w:ascii="Georgia" w:hAnsi="Georgia" w:cs="Calibri"/>
          <w:sz w:val="22"/>
          <w:szCs w:val="22"/>
          <w:lang w:val="nl-NL"/>
        </w:rPr>
        <w:t>et wa</w:t>
      </w:r>
      <w:r w:rsidR="007657EA" w:rsidRPr="00C140A8">
        <w:rPr>
          <w:rFonts w:ascii="Georgia" w:hAnsi="Georgia" w:cs="Calibri"/>
          <w:sz w:val="22"/>
          <w:szCs w:val="22"/>
          <w:lang w:val="nl-NL"/>
        </w:rPr>
        <w:t>ren</w:t>
      </w:r>
      <w:r w:rsidR="00FC50A2" w:rsidRPr="00C140A8">
        <w:rPr>
          <w:rFonts w:ascii="Georgia" w:hAnsi="Georgia" w:cs="Calibri"/>
          <w:sz w:val="22"/>
          <w:szCs w:val="22"/>
          <w:lang w:val="nl-NL"/>
        </w:rPr>
        <w:t xml:space="preserve"> eerder de financiële omstandigheden die haar het moeilijk maakte</w:t>
      </w:r>
      <w:r w:rsidR="007657EA" w:rsidRPr="00C140A8">
        <w:rPr>
          <w:rFonts w:ascii="Georgia" w:hAnsi="Georgia" w:cs="Calibri"/>
          <w:sz w:val="22"/>
          <w:szCs w:val="22"/>
          <w:lang w:val="nl-NL"/>
        </w:rPr>
        <w:t>n om</w:t>
      </w:r>
      <w:r w:rsidR="00FC50A2" w:rsidRPr="00C140A8">
        <w:rPr>
          <w:rFonts w:ascii="Georgia" w:hAnsi="Georgia" w:cs="Calibri"/>
          <w:sz w:val="22"/>
          <w:szCs w:val="22"/>
          <w:lang w:val="nl-NL"/>
        </w:rPr>
        <w:t xml:space="preserve"> dit </w:t>
      </w:r>
      <w:r w:rsidR="005A4F05" w:rsidRPr="00C140A8">
        <w:rPr>
          <w:rFonts w:ascii="Georgia" w:hAnsi="Georgia" w:cs="Calibri"/>
          <w:sz w:val="22"/>
          <w:szCs w:val="22"/>
          <w:lang w:val="nl-NL"/>
        </w:rPr>
        <w:t>voort te zetten op het eerdere niveau. Johanna bleef kerken sponsoren, minstrelen ontvangen en literaire bijdragen ondersteunen, maar in een context waarin de middelen drastisch afnamen.</w:t>
      </w:r>
      <w:r w:rsidR="008828A2" w:rsidRPr="00C140A8">
        <w:rPr>
          <w:rStyle w:val="FootnoteReference"/>
          <w:rFonts w:ascii="Georgia" w:hAnsi="Georgia" w:cs="Calibri"/>
          <w:sz w:val="22"/>
          <w:szCs w:val="22"/>
          <w:lang w:val="nl-NL"/>
        </w:rPr>
        <w:footnoteReference w:id="391"/>
      </w:r>
      <w:r w:rsidR="008828A2" w:rsidRPr="00C140A8">
        <w:rPr>
          <w:rFonts w:ascii="Georgia" w:hAnsi="Georgia" w:cs="Calibri"/>
          <w:sz w:val="22"/>
          <w:szCs w:val="22"/>
          <w:lang w:val="nl-NL"/>
        </w:rPr>
        <w:t xml:space="preserve"> </w:t>
      </w:r>
      <w:r w:rsidR="005A4F05" w:rsidRPr="00C140A8">
        <w:rPr>
          <w:rFonts w:ascii="Georgia" w:hAnsi="Georgia" w:cs="Calibri"/>
          <w:sz w:val="22"/>
          <w:szCs w:val="22"/>
          <w:lang w:val="nl-NL"/>
        </w:rPr>
        <w:t>Dat haar bijdragen lange tijd zijn onderschat</w:t>
      </w:r>
      <w:r w:rsidR="00FC69FD">
        <w:rPr>
          <w:rFonts w:ascii="Georgia" w:hAnsi="Georgia" w:cs="Calibri"/>
          <w:sz w:val="22"/>
          <w:szCs w:val="22"/>
          <w:lang w:val="nl-NL"/>
        </w:rPr>
        <w:t>,</w:t>
      </w:r>
      <w:r w:rsidR="0009115D" w:rsidRPr="00C140A8">
        <w:rPr>
          <w:rFonts w:ascii="Georgia" w:hAnsi="Georgia" w:cs="Calibri"/>
          <w:sz w:val="22"/>
          <w:szCs w:val="22"/>
          <w:lang w:val="nl-NL"/>
        </w:rPr>
        <w:t xml:space="preserve"> is terug te voeren op een gebrekkige lezing van de rekeningen, en sluit aan bij de lijn die in de vorige hoofdstukken al naar voren kwam. </w:t>
      </w:r>
    </w:p>
    <w:p w14:paraId="548BE786" w14:textId="422097B7" w:rsidR="00026FCF" w:rsidRPr="00026FCF" w:rsidRDefault="00A847D8" w:rsidP="00C140A8">
      <w:pPr>
        <w:spacing w:afterLines="80" w:after="192" w:line="360" w:lineRule="auto"/>
        <w:jc w:val="both"/>
        <w:rPr>
          <w:rFonts w:ascii="Georgia" w:hAnsi="Georgia"/>
          <w:i/>
          <w:iCs/>
          <w:sz w:val="22"/>
          <w:szCs w:val="22"/>
        </w:rPr>
      </w:pPr>
      <w:r w:rsidRPr="00C140A8">
        <w:rPr>
          <w:rFonts w:ascii="Georgia" w:hAnsi="Georgia"/>
          <w:sz w:val="22"/>
          <w:szCs w:val="22"/>
          <w:lang w:val="nl-NL"/>
        </w:rPr>
        <w:t xml:space="preserve">Dit hoofdstuk onderzoekt Johanna's patronage langs drie invalshoeken. Eerst bespreekt het de formele relatie met de clerus, met name het bevestigen van privileges en het stichten van kloosters en </w:t>
      </w:r>
      <w:proofErr w:type="spellStart"/>
      <w:r w:rsidRPr="008C0D49">
        <w:rPr>
          <w:rFonts w:ascii="Georgia" w:hAnsi="Georgia"/>
          <w:i/>
          <w:iCs/>
          <w:sz w:val="22"/>
          <w:szCs w:val="22"/>
          <w:lang w:val="nl-NL"/>
        </w:rPr>
        <w:t>memoriae</w:t>
      </w:r>
      <w:proofErr w:type="spellEnd"/>
      <w:r w:rsidRPr="00C140A8">
        <w:rPr>
          <w:rFonts w:ascii="Georgia" w:hAnsi="Georgia"/>
          <w:sz w:val="22"/>
          <w:szCs w:val="22"/>
          <w:lang w:val="nl-NL"/>
        </w:rPr>
        <w:t>.</w:t>
      </w:r>
      <w:r w:rsidRPr="00C140A8">
        <w:rPr>
          <w:rStyle w:val="FootnoteReference"/>
          <w:rFonts w:ascii="Georgia" w:hAnsi="Georgia"/>
          <w:sz w:val="22"/>
          <w:szCs w:val="22"/>
          <w:lang w:val="nl-NL"/>
        </w:rPr>
        <w:footnoteReference w:id="392"/>
      </w:r>
      <w:r w:rsidRPr="00C140A8">
        <w:rPr>
          <w:rFonts w:ascii="Georgia" w:hAnsi="Georgia"/>
          <w:sz w:val="22"/>
          <w:szCs w:val="22"/>
          <w:lang w:val="nl-NL"/>
        </w:rPr>
        <w:t xml:space="preserve"> Daarbij </w:t>
      </w:r>
      <w:r w:rsidR="00093F1E" w:rsidRPr="00C140A8">
        <w:rPr>
          <w:rFonts w:ascii="Georgia" w:hAnsi="Georgia"/>
          <w:sz w:val="22"/>
          <w:szCs w:val="22"/>
          <w:lang w:val="nl-NL"/>
        </w:rPr>
        <w:t xml:space="preserve">onderzoekt het </w:t>
      </w:r>
      <w:r w:rsidRPr="00C140A8">
        <w:rPr>
          <w:rFonts w:ascii="Georgia" w:hAnsi="Georgia"/>
          <w:sz w:val="22"/>
          <w:szCs w:val="22"/>
          <w:lang w:val="nl-NL"/>
        </w:rPr>
        <w:t>op welke manier Johanna’s schenkingen als politiek-strategisch middel fungeerden. Vervolgens komt de zelfrepresentatie van vroomheid aan bod</w:t>
      </w:r>
      <w:r w:rsidR="00093F1E" w:rsidRPr="00C140A8">
        <w:rPr>
          <w:rFonts w:ascii="Georgia" w:hAnsi="Georgia"/>
          <w:sz w:val="22"/>
          <w:szCs w:val="22"/>
          <w:lang w:val="nl-NL"/>
        </w:rPr>
        <w:t>, m</w:t>
      </w:r>
      <w:r w:rsidRPr="00C140A8">
        <w:rPr>
          <w:rFonts w:ascii="Georgia" w:hAnsi="Georgia"/>
          <w:sz w:val="22"/>
          <w:szCs w:val="22"/>
          <w:lang w:val="nl-NL"/>
        </w:rPr>
        <w:t xml:space="preserve">et name de materiële schenkingen, aalmoezen en pelgrimages waarmee Johanna haar devotie zichtbaar maakte. Hier komt duidelijk een politiek-representatieve ondertoon aan de oppervlakte. Johanna etaleert haar vroomheid openlijk om steun te winnen en een reputatie van barmhartigheid </w:t>
      </w:r>
      <w:r w:rsidR="00093F1E" w:rsidRPr="00C140A8">
        <w:rPr>
          <w:rFonts w:ascii="Georgia" w:hAnsi="Georgia"/>
          <w:sz w:val="22"/>
          <w:szCs w:val="22"/>
          <w:lang w:val="nl-NL"/>
        </w:rPr>
        <w:t>uit</w:t>
      </w:r>
      <w:r w:rsidRPr="00C140A8">
        <w:rPr>
          <w:rFonts w:ascii="Georgia" w:hAnsi="Georgia"/>
          <w:sz w:val="22"/>
          <w:szCs w:val="22"/>
          <w:lang w:val="nl-NL"/>
        </w:rPr>
        <w:t xml:space="preserve"> te zetten. </w:t>
      </w:r>
      <w:r w:rsidR="00300720" w:rsidRPr="00C140A8">
        <w:rPr>
          <w:rFonts w:ascii="Georgia" w:hAnsi="Georgia"/>
          <w:sz w:val="22"/>
          <w:szCs w:val="22"/>
        </w:rPr>
        <w:t>Ten slotte komt haar literaire mecenaat aan bod, dat grotendeels onderbelicht is gebleven doordat de historiografie het steevast afmat aan dat van Wenceslas</w:t>
      </w:r>
      <w:r w:rsidR="00300720" w:rsidRPr="00C140A8">
        <w:rPr>
          <w:rFonts w:ascii="Georgia" w:hAnsi="Georgia"/>
          <w:i/>
          <w:iCs/>
          <w:sz w:val="22"/>
          <w:szCs w:val="22"/>
        </w:rPr>
        <w:t>.</w:t>
      </w:r>
    </w:p>
    <w:p w14:paraId="0F246A87" w14:textId="77777777" w:rsidR="003B7BC3" w:rsidRPr="00C140A8" w:rsidRDefault="003B7BC3" w:rsidP="00AB509C">
      <w:pPr>
        <w:pStyle w:val="ThesisHeading"/>
      </w:pPr>
      <w:bookmarkStart w:id="228" w:name="_Toc229404849"/>
      <w:bookmarkStart w:id="229" w:name="_Toc231153787"/>
      <w:bookmarkStart w:id="230" w:name="_Toc231329856"/>
      <w:bookmarkStart w:id="231" w:name="_Toc231330463"/>
      <w:bookmarkStart w:id="232" w:name="_Toc231428057"/>
      <w:bookmarkStart w:id="233" w:name="_Toc231463613"/>
      <w:proofErr w:type="spellStart"/>
      <w:r w:rsidRPr="00C140A8">
        <w:t>Religieuze</w:t>
      </w:r>
      <w:proofErr w:type="spellEnd"/>
      <w:r w:rsidRPr="00C140A8">
        <w:t xml:space="preserve"> </w:t>
      </w:r>
      <w:r w:rsidRPr="00AB509C">
        <w:t>patronage</w:t>
      </w:r>
      <w:r w:rsidRPr="00C140A8">
        <w:t xml:space="preserve"> </w:t>
      </w:r>
      <w:proofErr w:type="spellStart"/>
      <w:r w:rsidRPr="00C140A8">
        <w:t>als</w:t>
      </w:r>
      <w:proofErr w:type="spellEnd"/>
      <w:r w:rsidRPr="00C140A8">
        <w:t xml:space="preserve"> </w:t>
      </w:r>
      <w:proofErr w:type="spellStart"/>
      <w:r w:rsidRPr="00C140A8">
        <w:t>politiek</w:t>
      </w:r>
      <w:proofErr w:type="spellEnd"/>
      <w:r w:rsidRPr="00C140A8">
        <w:t xml:space="preserve"> instrument</w:t>
      </w:r>
      <w:bookmarkEnd w:id="228"/>
      <w:bookmarkEnd w:id="229"/>
      <w:bookmarkEnd w:id="230"/>
      <w:bookmarkEnd w:id="231"/>
      <w:bookmarkEnd w:id="232"/>
      <w:bookmarkEnd w:id="233"/>
    </w:p>
    <w:p w14:paraId="03176788" w14:textId="508E2711" w:rsidR="003B7BC3" w:rsidRPr="00C140A8" w:rsidRDefault="005901B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De nasleep van de slag bij </w:t>
      </w:r>
      <w:proofErr w:type="spellStart"/>
      <w:r w:rsidRPr="00C140A8">
        <w:rPr>
          <w:rFonts w:ascii="Georgia" w:hAnsi="Georgia" w:cs="Calibri"/>
          <w:sz w:val="22"/>
          <w:szCs w:val="22"/>
          <w:lang w:val="nl-NL"/>
        </w:rPr>
        <w:t>Baesweiler</w:t>
      </w:r>
      <w:proofErr w:type="spellEnd"/>
      <w:r w:rsidRPr="00C140A8">
        <w:rPr>
          <w:rFonts w:ascii="Georgia" w:hAnsi="Georgia" w:cs="Calibri"/>
          <w:sz w:val="22"/>
          <w:szCs w:val="22"/>
          <w:lang w:val="nl-NL"/>
        </w:rPr>
        <w:t xml:space="preserve"> illustreert de delicate relatie tussen de </w:t>
      </w:r>
      <w:r w:rsidR="00173913" w:rsidRPr="00C140A8">
        <w:rPr>
          <w:rFonts w:ascii="Georgia" w:hAnsi="Georgia" w:cs="Calibri"/>
          <w:sz w:val="22"/>
          <w:szCs w:val="22"/>
          <w:lang w:val="nl-NL"/>
        </w:rPr>
        <w:t>hertogelijke</w:t>
      </w:r>
      <w:r w:rsidRPr="00C140A8">
        <w:rPr>
          <w:rFonts w:ascii="Georgia" w:hAnsi="Georgia" w:cs="Calibri"/>
          <w:sz w:val="22"/>
          <w:szCs w:val="22"/>
          <w:lang w:val="nl-NL"/>
        </w:rPr>
        <w:t xml:space="preserve"> macht en de clerus</w:t>
      </w:r>
      <w:r w:rsidR="003B7BC3" w:rsidRPr="00C140A8">
        <w:rPr>
          <w:rFonts w:ascii="Georgia" w:hAnsi="Georgia" w:cs="Calibri"/>
          <w:sz w:val="22"/>
          <w:szCs w:val="22"/>
          <w:lang w:val="nl-NL"/>
        </w:rPr>
        <w:t xml:space="preserve">. Om het losgeld voor de gevangengenomen </w:t>
      </w:r>
      <w:proofErr w:type="spellStart"/>
      <w:r w:rsidR="003B7BC3" w:rsidRPr="00C140A8">
        <w:rPr>
          <w:rFonts w:ascii="Georgia" w:hAnsi="Georgia" w:cs="Calibri"/>
          <w:sz w:val="22"/>
          <w:szCs w:val="22"/>
          <w:lang w:val="nl-NL"/>
        </w:rPr>
        <w:t>Wenceslas</w:t>
      </w:r>
      <w:proofErr w:type="spellEnd"/>
      <w:r w:rsidR="003B7BC3" w:rsidRPr="00C140A8">
        <w:rPr>
          <w:rFonts w:ascii="Georgia" w:hAnsi="Georgia" w:cs="Calibri"/>
          <w:sz w:val="22"/>
          <w:szCs w:val="22"/>
          <w:lang w:val="nl-NL"/>
        </w:rPr>
        <w:t xml:space="preserve"> bijeen te brengen, vroeg het echtpaar in 1373 een buitengewone bede aan waarbij de kloosters één negende moesten bijdragen van een totaal van 900.000 </w:t>
      </w:r>
      <w:proofErr w:type="spellStart"/>
      <w:r w:rsidR="003B7BC3" w:rsidRPr="00C140A8">
        <w:rPr>
          <w:rFonts w:ascii="Georgia" w:hAnsi="Georgia" w:cs="Calibri"/>
          <w:sz w:val="22"/>
          <w:szCs w:val="22"/>
          <w:lang w:val="nl-NL"/>
        </w:rPr>
        <w:t>moutons</w:t>
      </w:r>
      <w:proofErr w:type="spellEnd"/>
      <w:r w:rsidR="003B7BC3" w:rsidRPr="00C140A8">
        <w:rPr>
          <w:rFonts w:ascii="Georgia" w:hAnsi="Georgia" w:cs="Calibri"/>
          <w:sz w:val="22"/>
          <w:szCs w:val="22"/>
          <w:lang w:val="nl-NL"/>
        </w:rPr>
        <w:t>.</w:t>
      </w:r>
      <w:r w:rsidR="003B7BC3" w:rsidRPr="00C140A8">
        <w:rPr>
          <w:rStyle w:val="FootnoteReference"/>
          <w:rFonts w:ascii="Georgia" w:hAnsi="Georgia" w:cs="Calibri"/>
          <w:sz w:val="22"/>
          <w:szCs w:val="22"/>
          <w:lang w:val="nl-NL"/>
        </w:rPr>
        <w:footnoteReference w:id="393"/>
      </w:r>
      <w:r w:rsidR="003B7BC3" w:rsidRPr="00C140A8">
        <w:rPr>
          <w:rFonts w:ascii="Georgia" w:hAnsi="Georgia" w:cs="Calibri"/>
          <w:sz w:val="22"/>
          <w:szCs w:val="22"/>
          <w:lang w:val="nl-NL"/>
        </w:rPr>
        <w:t xml:space="preserve">  De aanvullende bede van 1374 bedroeg 40.000 </w:t>
      </w:r>
      <w:proofErr w:type="spellStart"/>
      <w:r w:rsidR="003B7BC3" w:rsidRPr="00C140A8">
        <w:rPr>
          <w:rFonts w:ascii="Georgia" w:hAnsi="Georgia" w:cs="Calibri"/>
          <w:sz w:val="22"/>
          <w:szCs w:val="22"/>
          <w:lang w:val="nl-NL"/>
        </w:rPr>
        <w:t>moutons</w:t>
      </w:r>
      <w:proofErr w:type="spellEnd"/>
      <w:r w:rsidR="003B7BC3" w:rsidRPr="00C140A8">
        <w:rPr>
          <w:rFonts w:ascii="Georgia" w:hAnsi="Georgia" w:cs="Calibri"/>
          <w:sz w:val="22"/>
          <w:szCs w:val="22"/>
          <w:lang w:val="nl-NL"/>
        </w:rPr>
        <w:t xml:space="preserve">, waarvan de kloosters maar liefst 37,5 procent voor hun rekening moesten </w:t>
      </w:r>
      <w:r w:rsidR="003B7BC3" w:rsidRPr="00C140A8">
        <w:rPr>
          <w:rFonts w:ascii="Georgia" w:hAnsi="Georgia" w:cs="Calibri"/>
          <w:sz w:val="22"/>
          <w:szCs w:val="22"/>
          <w:lang w:val="nl-NL"/>
        </w:rPr>
        <w:lastRenderedPageBreak/>
        <w:t>nemen.</w:t>
      </w:r>
      <w:r w:rsidR="003B7BC3" w:rsidRPr="00C140A8">
        <w:rPr>
          <w:rStyle w:val="FootnoteReference"/>
          <w:rFonts w:ascii="Georgia" w:hAnsi="Georgia" w:cs="Calibri"/>
          <w:sz w:val="22"/>
          <w:szCs w:val="22"/>
          <w:lang w:val="nl-NL"/>
        </w:rPr>
        <w:footnoteReference w:id="394"/>
      </w:r>
      <w:r w:rsidR="003B7BC3" w:rsidRPr="00C140A8">
        <w:rPr>
          <w:rFonts w:ascii="Georgia" w:hAnsi="Georgia" w:cs="Calibri"/>
          <w:sz w:val="22"/>
          <w:szCs w:val="22"/>
          <w:lang w:val="nl-NL"/>
        </w:rPr>
        <w:t xml:space="preserve"> </w:t>
      </w:r>
      <w:r w:rsidR="00173913" w:rsidRPr="00C140A8">
        <w:rPr>
          <w:rFonts w:ascii="Georgia" w:hAnsi="Georgia" w:cs="Calibri"/>
          <w:sz w:val="22"/>
          <w:szCs w:val="22"/>
          <w:lang w:val="nl-NL"/>
        </w:rPr>
        <w:t>Belangrijke deelnemers binnen de Staten van Brabant zo</w:t>
      </w:r>
      <w:r w:rsidR="006826D5" w:rsidRPr="00C140A8">
        <w:rPr>
          <w:rFonts w:ascii="Georgia" w:hAnsi="Georgia" w:cs="Calibri"/>
          <w:sz w:val="22"/>
          <w:szCs w:val="22"/>
          <w:lang w:val="nl-NL"/>
        </w:rPr>
        <w:t>als de abdijen van Tongerlo, Vlierbeek, Affligem en Villers moesten bijleggen om deze grote sommen te betalen.</w:t>
      </w:r>
      <w:r w:rsidR="006826D5" w:rsidRPr="00C140A8">
        <w:rPr>
          <w:rStyle w:val="FootnoteReference"/>
          <w:rFonts w:ascii="Georgia" w:hAnsi="Georgia" w:cs="Calibri"/>
          <w:sz w:val="22"/>
          <w:szCs w:val="22"/>
          <w:lang w:val="nl-NL"/>
        </w:rPr>
        <w:footnoteReference w:id="395"/>
      </w:r>
      <w:r w:rsidR="006826D5" w:rsidRPr="00C140A8">
        <w:rPr>
          <w:rFonts w:ascii="Georgia" w:hAnsi="Georgia" w:cs="Calibri"/>
          <w:sz w:val="22"/>
          <w:szCs w:val="22"/>
          <w:lang w:val="nl-NL"/>
        </w:rPr>
        <w:t xml:space="preserve">  Zij protesteerden fel en na een beroep op de paus viel Brabant in 1375 onder een interdict.  </w:t>
      </w:r>
      <w:r w:rsidR="003B7BC3" w:rsidRPr="00C140A8">
        <w:rPr>
          <w:rFonts w:ascii="Georgia" w:hAnsi="Georgia" w:cs="Calibri"/>
          <w:sz w:val="22"/>
          <w:szCs w:val="22"/>
          <w:lang w:val="nl-NL"/>
        </w:rPr>
        <w:t>De politieke schade was aanzienlijk. Het toonde maar al te goed dat de clerus geen gewillige religieuze partner was, maar een belangrijk machtsblok binnen de Staten van Brabant.</w:t>
      </w:r>
      <w:r w:rsidR="003B7BC3" w:rsidRPr="00C140A8">
        <w:rPr>
          <w:rStyle w:val="FootnoteReference"/>
          <w:rFonts w:ascii="Georgia" w:hAnsi="Georgia" w:cs="Calibri"/>
          <w:sz w:val="22"/>
          <w:szCs w:val="22"/>
          <w:lang w:val="nl-NL"/>
        </w:rPr>
        <w:footnoteReference w:id="396"/>
      </w:r>
    </w:p>
    <w:p w14:paraId="3CEDC203" w14:textId="68AD6150" w:rsidR="00104184" w:rsidRPr="00A0202A" w:rsidRDefault="003B7BC3" w:rsidP="00C140A8">
      <w:pPr>
        <w:spacing w:afterLines="80" w:after="192" w:line="360" w:lineRule="auto"/>
        <w:jc w:val="both"/>
        <w:rPr>
          <w:rFonts w:ascii="Georgia" w:hAnsi="Georgia" w:cs="Calibri"/>
          <w:sz w:val="22"/>
          <w:szCs w:val="22"/>
          <w:vertAlign w:val="superscript"/>
          <w:lang w:val="nl-NL"/>
        </w:rPr>
      </w:pPr>
      <w:r w:rsidRPr="00C140A8">
        <w:rPr>
          <w:rFonts w:ascii="Georgia" w:hAnsi="Georgia" w:cs="Calibri"/>
          <w:sz w:val="22"/>
          <w:szCs w:val="22"/>
          <w:lang w:val="nl-NL"/>
        </w:rPr>
        <w:t xml:space="preserve">Een verstoorde relatie met de kerkelijke instellingen was dus een bestuurlijk probleem dat </w:t>
      </w:r>
      <w:r w:rsidR="008D5F35" w:rsidRPr="00C140A8">
        <w:rPr>
          <w:rFonts w:ascii="Georgia" w:hAnsi="Georgia" w:cs="Calibri"/>
          <w:sz w:val="22"/>
          <w:szCs w:val="22"/>
          <w:lang w:val="nl-NL"/>
        </w:rPr>
        <w:t xml:space="preserve">het hertogelijke paar </w:t>
      </w:r>
      <w:r w:rsidRPr="00C140A8">
        <w:rPr>
          <w:rFonts w:ascii="Georgia" w:hAnsi="Georgia" w:cs="Calibri"/>
          <w:sz w:val="22"/>
          <w:szCs w:val="22"/>
          <w:lang w:val="nl-NL"/>
        </w:rPr>
        <w:t xml:space="preserve">moest </w:t>
      </w:r>
      <w:r w:rsidR="008D5F35" w:rsidRPr="00C140A8">
        <w:rPr>
          <w:rFonts w:ascii="Georgia" w:hAnsi="Georgia" w:cs="Calibri"/>
          <w:sz w:val="22"/>
          <w:szCs w:val="22"/>
          <w:lang w:val="nl-NL"/>
        </w:rPr>
        <w:t>oplossen</w:t>
      </w:r>
      <w:r w:rsidRPr="00C140A8">
        <w:rPr>
          <w:rFonts w:ascii="Georgia" w:hAnsi="Georgia" w:cs="Calibri"/>
          <w:sz w:val="22"/>
          <w:szCs w:val="22"/>
          <w:lang w:val="nl-NL"/>
        </w:rPr>
        <w:t>.</w:t>
      </w:r>
      <w:r w:rsidRPr="00C140A8">
        <w:rPr>
          <w:rStyle w:val="FootnoteReference"/>
          <w:rFonts w:ascii="Georgia" w:hAnsi="Georgia" w:cs="Calibri"/>
          <w:sz w:val="22"/>
          <w:szCs w:val="22"/>
          <w:lang w:val="nl-NL"/>
        </w:rPr>
        <w:footnoteReference w:id="397"/>
      </w:r>
      <w:r w:rsidRPr="00C140A8">
        <w:rPr>
          <w:rFonts w:ascii="Georgia" w:hAnsi="Georgia" w:cs="Calibri"/>
          <w:sz w:val="22"/>
          <w:szCs w:val="22"/>
          <w:lang w:val="nl-NL"/>
        </w:rPr>
        <w:t xml:space="preserve"> Johanna's religieuze schenkingen</w:t>
      </w:r>
      <w:r w:rsidR="009E035B" w:rsidRPr="00C140A8">
        <w:rPr>
          <w:rFonts w:ascii="Georgia" w:hAnsi="Georgia" w:cs="Calibri"/>
          <w:sz w:val="22"/>
          <w:szCs w:val="22"/>
          <w:lang w:val="nl-NL"/>
        </w:rPr>
        <w:t xml:space="preserve"> zijn dan ook het best te begrijpen als instrumenten waarmee ze haar relatie met de clerus actief onderhield.</w:t>
      </w:r>
      <w:r w:rsidRPr="00C140A8">
        <w:rPr>
          <w:rFonts w:ascii="Georgia" w:hAnsi="Georgia" w:cs="Calibri"/>
          <w:sz w:val="22"/>
          <w:szCs w:val="22"/>
          <w:lang w:val="nl-NL"/>
        </w:rPr>
        <w:t xml:space="preserve"> Hoewel vrouwelijke vormen van patronage verweven </w:t>
      </w:r>
      <w:r w:rsidR="009E035B" w:rsidRPr="00C140A8">
        <w:rPr>
          <w:rFonts w:ascii="Georgia" w:hAnsi="Georgia" w:cs="Calibri"/>
          <w:sz w:val="22"/>
          <w:szCs w:val="22"/>
          <w:lang w:val="nl-NL"/>
        </w:rPr>
        <w:t xml:space="preserve">waren </w:t>
      </w:r>
      <w:r w:rsidRPr="00C140A8">
        <w:rPr>
          <w:rFonts w:ascii="Georgia" w:hAnsi="Georgia" w:cs="Calibri"/>
          <w:sz w:val="22"/>
          <w:szCs w:val="22"/>
          <w:lang w:val="nl-NL"/>
        </w:rPr>
        <w:t>met de religieuze sfeer</w:t>
      </w:r>
      <w:r w:rsidR="009E035B" w:rsidRPr="00C140A8">
        <w:rPr>
          <w:rFonts w:ascii="Georgia" w:hAnsi="Georgia" w:cs="Calibri"/>
          <w:sz w:val="22"/>
          <w:szCs w:val="22"/>
          <w:lang w:val="nl-NL"/>
        </w:rPr>
        <w:t xml:space="preserve"> in de Lage Landen</w:t>
      </w:r>
      <w:r w:rsidRPr="00C140A8">
        <w:rPr>
          <w:rFonts w:ascii="Georgia" w:hAnsi="Georgia" w:cs="Calibri"/>
          <w:sz w:val="22"/>
          <w:szCs w:val="22"/>
          <w:lang w:val="nl-NL"/>
        </w:rPr>
        <w:t>, hadden ze tegelijkertijd ook een uitgesproken politieke dimensie.</w:t>
      </w:r>
      <w:r w:rsidR="009E035B" w:rsidRPr="00C140A8">
        <w:rPr>
          <w:rStyle w:val="FootnoteReference"/>
          <w:rFonts w:ascii="Georgia" w:hAnsi="Georgia" w:cs="Calibri"/>
          <w:sz w:val="22"/>
          <w:szCs w:val="22"/>
          <w:lang w:val="nl-NL"/>
        </w:rPr>
        <w:footnoteReference w:id="398"/>
      </w:r>
      <w:r w:rsidRPr="00C140A8">
        <w:rPr>
          <w:rFonts w:ascii="Georgia" w:hAnsi="Georgia" w:cs="Calibri"/>
          <w:sz w:val="22"/>
          <w:szCs w:val="22"/>
          <w:lang w:val="nl-NL"/>
        </w:rPr>
        <w:t xml:space="preserve"> Christene </w:t>
      </w:r>
      <w:proofErr w:type="spellStart"/>
      <w:r w:rsidRPr="00C140A8">
        <w:rPr>
          <w:rFonts w:ascii="Georgia" w:hAnsi="Georgia" w:cs="Calibri"/>
          <w:sz w:val="22"/>
          <w:szCs w:val="22"/>
          <w:lang w:val="nl-NL"/>
        </w:rPr>
        <w:t>D'Anca</w:t>
      </w:r>
      <w:proofErr w:type="spellEnd"/>
      <w:r w:rsidRPr="00C140A8">
        <w:rPr>
          <w:rFonts w:ascii="Georgia" w:hAnsi="Georgia" w:cs="Calibri"/>
          <w:sz w:val="22"/>
          <w:szCs w:val="22"/>
          <w:lang w:val="nl-NL"/>
        </w:rPr>
        <w:t xml:space="preserve"> toont dit aan in haar studie over Maria van Brabant. Religieuze patronage was voor middeleeuwse vorstinnen zelden </w:t>
      </w:r>
      <w:r w:rsidR="00961236" w:rsidRPr="00C140A8">
        <w:rPr>
          <w:rFonts w:ascii="Georgia" w:hAnsi="Georgia" w:cs="Calibri"/>
          <w:sz w:val="22"/>
          <w:szCs w:val="22"/>
          <w:lang w:val="nl-NL"/>
        </w:rPr>
        <w:t>een</w:t>
      </w:r>
      <w:r w:rsidRPr="00C140A8">
        <w:rPr>
          <w:rFonts w:ascii="Georgia" w:hAnsi="Georgia" w:cs="Calibri"/>
          <w:sz w:val="22"/>
          <w:szCs w:val="22"/>
          <w:lang w:val="nl-NL"/>
        </w:rPr>
        <w:t xml:space="preserve"> louter vrome daad. Schenkingen aan kerken en kloosters dienden als instrument van dynastieke legitimering en politieke zelfrepresentatie.</w:t>
      </w:r>
      <w:r w:rsidR="00104184">
        <w:rPr>
          <w:rStyle w:val="FootnoteReference"/>
          <w:rFonts w:ascii="Georgia" w:hAnsi="Georgia" w:cs="Calibri"/>
          <w:sz w:val="22"/>
          <w:szCs w:val="22"/>
          <w:lang w:val="nl-NL"/>
        </w:rPr>
        <w:footnoteReference w:id="399"/>
      </w:r>
      <w:r w:rsidR="002B504F" w:rsidRPr="002B504F">
        <w:rPr>
          <w:rFonts w:ascii="Georgia" w:hAnsi="Georgia" w:cs="Calibri"/>
          <w:sz w:val="22"/>
          <w:szCs w:val="22"/>
          <w:vertAlign w:val="superscript"/>
          <w:lang w:val="nl-NL"/>
        </w:rPr>
        <w:t xml:space="preserve"> </w:t>
      </w:r>
    </w:p>
    <w:p w14:paraId="182FECF4" w14:textId="06679F81" w:rsidR="00026FCF" w:rsidRDefault="003C0A85" w:rsidP="00C140A8">
      <w:pPr>
        <w:spacing w:afterLines="80" w:after="192" w:line="360" w:lineRule="auto"/>
        <w:jc w:val="both"/>
        <w:rPr>
          <w:rFonts w:ascii="Georgia" w:hAnsi="Georgia" w:cs="Calibri"/>
          <w:sz w:val="22"/>
          <w:szCs w:val="22"/>
          <w:lang w:val="nl-NL"/>
        </w:rPr>
      </w:pPr>
      <w:r>
        <w:rPr>
          <w:rFonts w:ascii="Georgia" w:hAnsi="Georgia" w:cs="Calibri"/>
          <w:sz w:val="22"/>
          <w:szCs w:val="22"/>
          <w:lang w:val="nl-NL"/>
        </w:rPr>
        <w:t xml:space="preserve">Het eerder vermelde model van </w:t>
      </w:r>
      <w:proofErr w:type="spellStart"/>
      <w:r>
        <w:rPr>
          <w:rFonts w:ascii="Georgia" w:hAnsi="Georgia" w:cs="Calibri"/>
          <w:sz w:val="22"/>
          <w:szCs w:val="22"/>
          <w:lang w:val="nl-NL"/>
        </w:rPr>
        <w:t>Kettering</w:t>
      </w:r>
      <w:proofErr w:type="spellEnd"/>
      <w:r>
        <w:rPr>
          <w:rFonts w:ascii="Georgia" w:hAnsi="Georgia" w:cs="Calibri"/>
          <w:sz w:val="22"/>
          <w:szCs w:val="22"/>
          <w:lang w:val="nl-NL"/>
        </w:rPr>
        <w:t xml:space="preserve"> stelt dat schenkingen een vorm van wederkerigheid verwachten</w:t>
      </w:r>
      <w:r w:rsidR="00461B2C">
        <w:rPr>
          <w:rFonts w:ascii="Georgia" w:hAnsi="Georgia" w:cs="Calibri"/>
          <w:sz w:val="22"/>
          <w:szCs w:val="22"/>
          <w:lang w:val="nl-NL"/>
        </w:rPr>
        <w:t xml:space="preserve"> en</w:t>
      </w:r>
      <w:r>
        <w:rPr>
          <w:rFonts w:ascii="Georgia" w:hAnsi="Georgia" w:cs="Calibri"/>
          <w:sz w:val="22"/>
          <w:szCs w:val="22"/>
          <w:lang w:val="nl-NL"/>
        </w:rPr>
        <w:t xml:space="preserve"> in het geval van de leden van de Staten van Brabant beteken</w:t>
      </w:r>
      <w:r w:rsidR="00461B2C">
        <w:rPr>
          <w:rFonts w:ascii="Georgia" w:hAnsi="Georgia" w:cs="Calibri"/>
          <w:sz w:val="22"/>
          <w:szCs w:val="22"/>
          <w:lang w:val="nl-NL"/>
        </w:rPr>
        <w:t>de</w:t>
      </w:r>
      <w:r>
        <w:rPr>
          <w:rFonts w:ascii="Georgia" w:hAnsi="Georgia" w:cs="Calibri"/>
          <w:sz w:val="22"/>
          <w:szCs w:val="22"/>
          <w:lang w:val="nl-NL"/>
        </w:rPr>
        <w:t xml:space="preserve"> dit welwillende loyaliteit ten opzichte van hun vorsten</w:t>
      </w:r>
      <w:r w:rsidR="003B7BC3" w:rsidRPr="00C140A8">
        <w:rPr>
          <w:rFonts w:ascii="Georgia" w:hAnsi="Georgia" w:cs="Calibri"/>
          <w:sz w:val="22"/>
          <w:szCs w:val="22"/>
          <w:lang w:val="nl-NL"/>
        </w:rPr>
        <w:t>.</w:t>
      </w:r>
      <w:r w:rsidR="007C6FA4">
        <w:rPr>
          <w:rStyle w:val="FootnoteReference"/>
          <w:rFonts w:ascii="Georgia" w:hAnsi="Georgia" w:cs="Calibri"/>
          <w:sz w:val="22"/>
          <w:szCs w:val="22"/>
          <w:lang w:val="nl-NL"/>
        </w:rPr>
        <w:footnoteReference w:id="400"/>
      </w:r>
      <w:r w:rsidR="003B7BC3" w:rsidRPr="00C140A8">
        <w:rPr>
          <w:rFonts w:ascii="Georgia" w:hAnsi="Georgia" w:cs="Calibri"/>
          <w:sz w:val="22"/>
          <w:szCs w:val="22"/>
          <w:lang w:val="nl-NL"/>
        </w:rPr>
        <w:t xml:space="preserve"> Mario Damen stelt </w:t>
      </w:r>
      <w:r w:rsidR="009E035B" w:rsidRPr="00C140A8">
        <w:rPr>
          <w:rFonts w:ascii="Georgia" w:hAnsi="Georgia" w:cs="Calibri"/>
          <w:sz w:val="22"/>
          <w:szCs w:val="22"/>
          <w:lang w:val="nl-NL"/>
        </w:rPr>
        <w:t>verder</w:t>
      </w:r>
      <w:r w:rsidR="003B7BC3" w:rsidRPr="00C140A8">
        <w:rPr>
          <w:rFonts w:ascii="Georgia" w:hAnsi="Georgia" w:cs="Calibri"/>
          <w:sz w:val="22"/>
          <w:szCs w:val="22"/>
          <w:lang w:val="nl-NL"/>
        </w:rPr>
        <w:t xml:space="preserve"> dat religieuze giften een bijzondere asymmetrie bevatten.</w:t>
      </w:r>
      <w:r w:rsidR="003B7BC3" w:rsidRPr="00C140A8">
        <w:rPr>
          <w:rStyle w:val="FootnoteReference"/>
          <w:rFonts w:ascii="Georgia" w:hAnsi="Georgia" w:cs="Calibri"/>
          <w:sz w:val="22"/>
          <w:szCs w:val="22"/>
          <w:lang w:val="nl-NL"/>
        </w:rPr>
        <w:footnoteReference w:id="401"/>
      </w:r>
      <w:r w:rsidR="003B7BC3" w:rsidRPr="00C140A8">
        <w:rPr>
          <w:rFonts w:ascii="Georgia" w:hAnsi="Georgia" w:cs="Calibri"/>
          <w:sz w:val="22"/>
          <w:szCs w:val="22"/>
          <w:lang w:val="nl-NL"/>
        </w:rPr>
        <w:t xml:space="preserve"> De schenker rekent enerzijds op politieke steun, maar investeert anderzijds in het eigen zielenheil. De gebeden die een religieuze instelling in ruil verricht, werpen hun vruchten pas na de dood af. Beide dimensies zijn </w:t>
      </w:r>
      <w:r w:rsidR="00861338">
        <w:rPr>
          <w:rFonts w:ascii="Georgia" w:hAnsi="Georgia" w:cs="Calibri"/>
          <w:sz w:val="22"/>
          <w:szCs w:val="22"/>
          <w:lang w:val="nl-NL"/>
        </w:rPr>
        <w:t xml:space="preserve">wellicht </w:t>
      </w:r>
      <w:r w:rsidR="003B7BC3" w:rsidRPr="00C140A8">
        <w:rPr>
          <w:rFonts w:ascii="Georgia" w:hAnsi="Georgia" w:cs="Calibri"/>
          <w:sz w:val="22"/>
          <w:szCs w:val="22"/>
          <w:lang w:val="nl-NL"/>
        </w:rPr>
        <w:t xml:space="preserve">aanwezig in Johanna's schenkingen. Het bevestigen of verlenen van privileges diende de onmiddellijke politieke relatie met de clerus, terwijl de stichting van </w:t>
      </w:r>
      <w:proofErr w:type="spellStart"/>
      <w:r w:rsidR="003B7BC3" w:rsidRPr="00F72084">
        <w:rPr>
          <w:rFonts w:ascii="Georgia" w:hAnsi="Georgia" w:cs="Calibri"/>
          <w:i/>
          <w:iCs/>
          <w:sz w:val="22"/>
          <w:szCs w:val="22"/>
          <w:lang w:val="nl-NL"/>
        </w:rPr>
        <w:t>memoriae</w:t>
      </w:r>
      <w:proofErr w:type="spellEnd"/>
      <w:r w:rsidR="003B7BC3" w:rsidRPr="00C140A8">
        <w:rPr>
          <w:rFonts w:ascii="Georgia" w:hAnsi="Georgia" w:cs="Calibri"/>
          <w:sz w:val="22"/>
          <w:szCs w:val="22"/>
          <w:lang w:val="nl-NL"/>
        </w:rPr>
        <w:t xml:space="preserve"> en kloosters op lange termijn gericht was op haar eigen zielenheil en dat van haar voor- en nazaten. In de praktijk waren beide motieven</w:t>
      </w:r>
      <w:r w:rsidR="00861338">
        <w:rPr>
          <w:rFonts w:ascii="Georgia" w:hAnsi="Georgia" w:cs="Calibri"/>
          <w:sz w:val="22"/>
          <w:szCs w:val="22"/>
          <w:lang w:val="nl-NL"/>
        </w:rPr>
        <w:t xml:space="preserve"> </w:t>
      </w:r>
      <w:r w:rsidR="003B7BC3" w:rsidRPr="00C140A8">
        <w:rPr>
          <w:rFonts w:ascii="Georgia" w:hAnsi="Georgia" w:cs="Calibri"/>
          <w:sz w:val="22"/>
          <w:szCs w:val="22"/>
          <w:lang w:val="nl-NL"/>
        </w:rPr>
        <w:t>innig met elkaar verweven.</w:t>
      </w:r>
    </w:p>
    <w:p w14:paraId="4EDCC468" w14:textId="4C979736" w:rsidR="00026FCF" w:rsidRPr="00C140A8" w:rsidRDefault="00026FCF" w:rsidP="00026FCF">
      <w:pPr>
        <w:spacing w:after="160" w:line="278" w:lineRule="auto"/>
        <w:rPr>
          <w:rFonts w:ascii="Georgia" w:hAnsi="Georgia" w:cs="Calibri"/>
          <w:sz w:val="22"/>
          <w:szCs w:val="22"/>
          <w:lang w:val="nl-NL"/>
        </w:rPr>
      </w:pPr>
      <w:r>
        <w:rPr>
          <w:rFonts w:ascii="Georgia" w:hAnsi="Georgia" w:cs="Calibri"/>
          <w:sz w:val="22"/>
          <w:szCs w:val="22"/>
          <w:lang w:val="nl-NL"/>
        </w:rPr>
        <w:br w:type="page"/>
      </w:r>
    </w:p>
    <w:p w14:paraId="2363D4DF" w14:textId="77777777" w:rsidR="003B7BC3" w:rsidRPr="00C140A8" w:rsidRDefault="003B7BC3" w:rsidP="00AB509C">
      <w:pPr>
        <w:pStyle w:val="ThesisSubheading"/>
        <w:ind w:left="1134" w:hanging="1134"/>
      </w:pPr>
      <w:bookmarkStart w:id="234" w:name="_Toc229404850"/>
      <w:bookmarkStart w:id="235" w:name="_Toc231153788"/>
      <w:bookmarkStart w:id="236" w:name="_Toc231329857"/>
      <w:bookmarkStart w:id="237" w:name="_Toc231330464"/>
      <w:bookmarkStart w:id="238" w:name="_Toc231428058"/>
      <w:r w:rsidRPr="00AB509C">
        <w:lastRenderedPageBreak/>
        <w:t>Privileges</w:t>
      </w:r>
      <w:bookmarkEnd w:id="234"/>
      <w:bookmarkEnd w:id="235"/>
      <w:bookmarkEnd w:id="236"/>
      <w:bookmarkEnd w:id="237"/>
      <w:bookmarkEnd w:id="238"/>
    </w:p>
    <w:p w14:paraId="47EA325F" w14:textId="201EC92C" w:rsidR="003B7BC3" w:rsidRPr="00C140A8" w:rsidRDefault="003B7BC3"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Het onderhouden van religieuze relaties was een bestuurlijke noodzaak en Johanna moest de clerus aan zich weten te binden.</w:t>
      </w:r>
      <w:r w:rsidRPr="00C140A8">
        <w:rPr>
          <w:rStyle w:val="FootnoteReference"/>
          <w:rFonts w:ascii="Georgia" w:hAnsi="Georgia" w:cs="Calibri"/>
          <w:sz w:val="22"/>
          <w:szCs w:val="22"/>
          <w:lang w:val="nl-NL"/>
        </w:rPr>
        <w:footnoteReference w:id="402"/>
      </w:r>
      <w:r w:rsidRPr="00C140A8">
        <w:rPr>
          <w:rFonts w:ascii="Georgia" w:hAnsi="Georgia" w:cs="Calibri"/>
          <w:sz w:val="22"/>
          <w:szCs w:val="22"/>
          <w:lang w:val="nl-NL"/>
        </w:rPr>
        <w:t xml:space="preserve"> Ze deed dit ook zorgvuldig, waardoor ze bekend stond als een vorstin die de ontwikkeling van de abdijen en kloosters binnen de Staten ter harte nam.</w:t>
      </w:r>
      <w:r w:rsidRPr="00C140A8">
        <w:rPr>
          <w:rStyle w:val="FootnoteReference"/>
          <w:rFonts w:ascii="Georgia" w:hAnsi="Georgia" w:cs="Calibri"/>
          <w:sz w:val="22"/>
          <w:szCs w:val="22"/>
          <w:lang w:val="nl-NL"/>
        </w:rPr>
        <w:footnoteReference w:id="403"/>
      </w:r>
      <w:r w:rsidRPr="00C140A8">
        <w:rPr>
          <w:rFonts w:ascii="Georgia" w:hAnsi="Georgia" w:cs="Calibri"/>
          <w:sz w:val="22"/>
          <w:szCs w:val="22"/>
          <w:lang w:val="nl-NL"/>
        </w:rPr>
        <w:t xml:space="preserve"> Zo bevestigde en herbevestigde ze regelmatig privileges of ging ze in op verzoeken van de geestelijkheid. Op 7 maart 1377 herbevestigden Johanna 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samen de privileges van de abdij van Vlierbeek te Kessel-Lo nabij Leuven, die oorspronkelijk door Jan III verleend waren.</w:t>
      </w:r>
      <w:r w:rsidRPr="00C140A8">
        <w:rPr>
          <w:rStyle w:val="FootnoteReference"/>
          <w:rFonts w:ascii="Georgia" w:hAnsi="Georgia" w:cs="Calibri"/>
          <w:sz w:val="22"/>
          <w:szCs w:val="22"/>
          <w:lang w:val="nl-NL"/>
        </w:rPr>
        <w:footnoteReference w:id="404"/>
      </w:r>
      <w:r w:rsidRPr="00C140A8">
        <w:rPr>
          <w:rFonts w:ascii="Georgia" w:hAnsi="Georgia" w:cs="Calibri"/>
          <w:sz w:val="22"/>
          <w:szCs w:val="22"/>
          <w:lang w:val="nl-NL"/>
        </w:rPr>
        <w:t xml:space="preserve"> Op 3 juli 1377 deden zij hetzelfde voor de abdij van Sint-Truiden, die buiten Brabants grondgebied lag maar vanwege haar grondbezit in Brabant bijdroeg aan de hertogelijke beden en dus binnen het machtsbereik van Johanna 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viel.</w:t>
      </w:r>
      <w:r w:rsidRPr="00C140A8">
        <w:rPr>
          <w:rStyle w:val="FootnoteReference"/>
          <w:rFonts w:ascii="Georgia" w:hAnsi="Georgia" w:cs="Calibri"/>
          <w:sz w:val="22"/>
          <w:szCs w:val="22"/>
          <w:lang w:val="nl-NL"/>
        </w:rPr>
        <w:footnoteReference w:id="405"/>
      </w:r>
      <w:r w:rsidRPr="00C140A8">
        <w:rPr>
          <w:rFonts w:ascii="Georgia" w:hAnsi="Georgia" w:cs="Calibri"/>
          <w:sz w:val="22"/>
          <w:szCs w:val="22"/>
          <w:lang w:val="nl-NL"/>
        </w:rPr>
        <w:t xml:space="preserve"> Beide abdijen betaalden mee aan de hertogelijke bede die </w:t>
      </w:r>
      <w:r w:rsidR="004A2100" w:rsidRPr="00C140A8">
        <w:rPr>
          <w:rFonts w:ascii="Georgia" w:hAnsi="Georgia" w:cs="Calibri"/>
          <w:sz w:val="22"/>
          <w:szCs w:val="22"/>
          <w:lang w:val="nl-NL"/>
        </w:rPr>
        <w:t xml:space="preserve">het </w:t>
      </w:r>
      <w:r w:rsidR="001C140B">
        <w:rPr>
          <w:rFonts w:ascii="Georgia" w:hAnsi="Georgia" w:cs="Calibri"/>
          <w:sz w:val="22"/>
          <w:szCs w:val="22"/>
          <w:lang w:val="nl-NL"/>
        </w:rPr>
        <w:t>echt</w:t>
      </w:r>
      <w:r w:rsidR="004A2100" w:rsidRPr="00C140A8">
        <w:rPr>
          <w:rFonts w:ascii="Georgia" w:hAnsi="Georgia" w:cs="Calibri"/>
          <w:sz w:val="22"/>
          <w:szCs w:val="22"/>
          <w:lang w:val="nl-NL"/>
        </w:rPr>
        <w:t xml:space="preserve">paar </w:t>
      </w:r>
      <w:r w:rsidRPr="00C140A8">
        <w:rPr>
          <w:rFonts w:ascii="Georgia" w:hAnsi="Georgia" w:cs="Calibri"/>
          <w:sz w:val="22"/>
          <w:szCs w:val="22"/>
          <w:lang w:val="nl-NL"/>
        </w:rPr>
        <w:t xml:space="preserve">na </w:t>
      </w:r>
      <w:proofErr w:type="spellStart"/>
      <w:r w:rsidRPr="00C140A8">
        <w:rPr>
          <w:rFonts w:ascii="Georgia" w:hAnsi="Georgia" w:cs="Calibri"/>
          <w:sz w:val="22"/>
          <w:szCs w:val="22"/>
          <w:lang w:val="nl-NL"/>
        </w:rPr>
        <w:t>Baesweiler</w:t>
      </w:r>
      <w:proofErr w:type="spellEnd"/>
      <w:r w:rsidRPr="00C140A8">
        <w:rPr>
          <w:rFonts w:ascii="Georgia" w:hAnsi="Georgia" w:cs="Calibri"/>
          <w:sz w:val="22"/>
          <w:szCs w:val="22"/>
          <w:lang w:val="nl-NL"/>
        </w:rPr>
        <w:t xml:space="preserve"> </w:t>
      </w:r>
      <w:r w:rsidR="004A2100" w:rsidRPr="00C140A8">
        <w:rPr>
          <w:rFonts w:ascii="Georgia" w:hAnsi="Georgia" w:cs="Calibri"/>
          <w:sz w:val="22"/>
          <w:szCs w:val="22"/>
          <w:lang w:val="nl-NL"/>
        </w:rPr>
        <w:t>inde</w:t>
      </w:r>
      <w:r w:rsidRPr="00C140A8">
        <w:rPr>
          <w:rFonts w:ascii="Georgia" w:hAnsi="Georgia" w:cs="Calibri"/>
          <w:sz w:val="22"/>
          <w:szCs w:val="22"/>
          <w:lang w:val="nl-NL"/>
        </w:rPr>
        <w:t>.</w:t>
      </w:r>
      <w:r w:rsidRPr="00C140A8">
        <w:rPr>
          <w:rStyle w:val="FootnoteReference"/>
          <w:rFonts w:ascii="Georgia" w:hAnsi="Georgia" w:cs="Calibri"/>
          <w:sz w:val="22"/>
          <w:szCs w:val="22"/>
          <w:lang w:val="nl-NL"/>
        </w:rPr>
        <w:footnoteReference w:id="406"/>
      </w:r>
    </w:p>
    <w:p w14:paraId="7E9B4BA9" w14:textId="4A44FA7D" w:rsidR="003B7BC3" w:rsidRPr="00C140A8" w:rsidRDefault="003B7BC3"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Opvallend is dat Johanna voor de abdij van Tongerlo ook zelfstandig optrad, zonder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Twee oorkonden van 15 januari 1378 illustreren dit. In de eerste gaf ze toestemming om drie abdijhoven in </w:t>
      </w:r>
      <w:proofErr w:type="spellStart"/>
      <w:r w:rsidRPr="00C140A8">
        <w:rPr>
          <w:rFonts w:ascii="Georgia" w:hAnsi="Georgia" w:cs="Calibri"/>
          <w:sz w:val="22"/>
          <w:szCs w:val="22"/>
          <w:lang w:val="nl-NL"/>
        </w:rPr>
        <w:t>Orp</w:t>
      </w:r>
      <w:proofErr w:type="spellEnd"/>
      <w:r w:rsidRPr="00C140A8">
        <w:rPr>
          <w:rFonts w:ascii="Georgia" w:hAnsi="Georgia" w:cs="Calibri"/>
          <w:sz w:val="22"/>
          <w:szCs w:val="22"/>
          <w:lang w:val="nl-NL"/>
        </w:rPr>
        <w:t>-</w:t>
      </w:r>
      <w:proofErr w:type="spellStart"/>
      <w:r w:rsidRPr="00C140A8">
        <w:rPr>
          <w:rFonts w:ascii="Georgia" w:hAnsi="Georgia" w:cs="Calibri"/>
          <w:sz w:val="22"/>
          <w:szCs w:val="22"/>
          <w:lang w:val="nl-NL"/>
        </w:rPr>
        <w:t>le</w:t>
      </w:r>
      <w:proofErr w:type="spellEnd"/>
      <w:r w:rsidRPr="00C140A8">
        <w:rPr>
          <w:rFonts w:ascii="Georgia" w:hAnsi="Georgia" w:cs="Calibri"/>
          <w:sz w:val="22"/>
          <w:szCs w:val="22"/>
          <w:lang w:val="nl-NL"/>
        </w:rPr>
        <w:t>-Grand samen te voegen tot één Onze-Lieve-</w:t>
      </w:r>
      <w:proofErr w:type="spellStart"/>
      <w:r w:rsidRPr="00C140A8">
        <w:rPr>
          <w:rFonts w:ascii="Georgia" w:hAnsi="Georgia" w:cs="Calibri"/>
          <w:sz w:val="22"/>
          <w:szCs w:val="22"/>
          <w:lang w:val="nl-NL"/>
        </w:rPr>
        <w:t>Vrouwehof</w:t>
      </w:r>
      <w:proofErr w:type="spellEnd"/>
      <w:r w:rsidRPr="00C140A8">
        <w:rPr>
          <w:rFonts w:ascii="Georgia" w:hAnsi="Georgia" w:cs="Calibri"/>
          <w:sz w:val="22"/>
          <w:szCs w:val="22"/>
          <w:lang w:val="nl-NL"/>
        </w:rPr>
        <w:t>, voortaan beheerd volgens het Leuvense recht door een meier en zeven schepenen.</w:t>
      </w:r>
      <w:r w:rsidRPr="00C140A8">
        <w:rPr>
          <w:rStyle w:val="FootnoteReference"/>
          <w:rFonts w:ascii="Georgia" w:hAnsi="Georgia" w:cs="Calibri"/>
          <w:sz w:val="22"/>
          <w:szCs w:val="22"/>
          <w:lang w:val="nl-NL"/>
        </w:rPr>
        <w:footnoteReference w:id="407"/>
      </w:r>
      <w:r w:rsidRPr="00C140A8">
        <w:rPr>
          <w:rFonts w:ascii="Georgia" w:hAnsi="Georgia" w:cs="Calibri"/>
          <w:sz w:val="22"/>
          <w:szCs w:val="22"/>
          <w:lang w:val="nl-NL"/>
        </w:rPr>
        <w:t xml:space="preserve"> In de tweede voegde ze vijf hoven in Vissenaken samen tot twee, onder </w:t>
      </w:r>
      <w:r w:rsidR="002070DC">
        <w:rPr>
          <w:rFonts w:ascii="Georgia" w:hAnsi="Georgia" w:cs="Calibri"/>
          <w:sz w:val="22"/>
          <w:szCs w:val="22"/>
          <w:lang w:val="nl-NL"/>
        </w:rPr>
        <w:t>het</w:t>
      </w:r>
      <w:r w:rsidRPr="00C140A8">
        <w:rPr>
          <w:rFonts w:ascii="Georgia" w:hAnsi="Georgia" w:cs="Calibri"/>
          <w:sz w:val="22"/>
          <w:szCs w:val="22"/>
          <w:lang w:val="nl-NL"/>
        </w:rPr>
        <w:t xml:space="preserve"> recht</w:t>
      </w:r>
      <w:r w:rsidR="002070DC">
        <w:rPr>
          <w:rFonts w:ascii="Georgia" w:hAnsi="Georgia" w:cs="Calibri"/>
          <w:sz w:val="22"/>
          <w:szCs w:val="22"/>
          <w:lang w:val="nl-NL"/>
        </w:rPr>
        <w:t xml:space="preserve"> van Tienen</w:t>
      </w:r>
      <w:r w:rsidRPr="00C140A8">
        <w:rPr>
          <w:rFonts w:ascii="Georgia" w:hAnsi="Georgia" w:cs="Calibri"/>
          <w:sz w:val="22"/>
          <w:szCs w:val="22"/>
          <w:lang w:val="nl-NL"/>
        </w:rPr>
        <w:t>.</w:t>
      </w:r>
      <w:r w:rsidRPr="00C140A8">
        <w:rPr>
          <w:rStyle w:val="FootnoteReference"/>
          <w:rFonts w:ascii="Georgia" w:hAnsi="Georgia" w:cs="Calibri"/>
          <w:sz w:val="22"/>
          <w:szCs w:val="22"/>
          <w:lang w:val="nl-NL"/>
        </w:rPr>
        <w:footnoteReference w:id="408"/>
      </w:r>
      <w:r w:rsidRPr="00C140A8">
        <w:rPr>
          <w:rFonts w:ascii="Georgia" w:hAnsi="Georgia" w:cs="Calibri"/>
          <w:sz w:val="22"/>
          <w:szCs w:val="22"/>
          <w:lang w:val="nl-NL"/>
        </w:rPr>
        <w:t xml:space="preserve"> Op 4 oktober 1379 verleende ze diezelfde abdij bovendien een privilege dat hen ontsloeg van het </w:t>
      </w:r>
      <w:proofErr w:type="spellStart"/>
      <w:r w:rsidRPr="00C140A8">
        <w:rPr>
          <w:rFonts w:ascii="Georgia" w:hAnsi="Georgia" w:cs="Calibri"/>
          <w:sz w:val="22"/>
          <w:szCs w:val="22"/>
          <w:lang w:val="nl-NL"/>
        </w:rPr>
        <w:t>Herentalse</w:t>
      </w:r>
      <w:proofErr w:type="spellEnd"/>
      <w:r w:rsidRPr="00C140A8">
        <w:rPr>
          <w:rFonts w:ascii="Georgia" w:hAnsi="Georgia" w:cs="Calibri"/>
          <w:sz w:val="22"/>
          <w:szCs w:val="22"/>
          <w:lang w:val="nl-NL"/>
        </w:rPr>
        <w:t xml:space="preserve"> marktreglement dat verbood goederen te verkopen vóór de klok luidde.</w:t>
      </w:r>
      <w:r w:rsidRPr="00C140A8">
        <w:rPr>
          <w:rStyle w:val="FootnoteReference"/>
          <w:rFonts w:ascii="Georgia" w:hAnsi="Georgia" w:cs="Calibri"/>
          <w:sz w:val="22"/>
          <w:szCs w:val="22"/>
          <w:lang w:val="nl-NL"/>
        </w:rPr>
        <w:footnoteReference w:id="409"/>
      </w:r>
      <w:r w:rsidRPr="00C140A8">
        <w:rPr>
          <w:rFonts w:ascii="Georgia" w:hAnsi="Georgia" w:cs="Calibri"/>
          <w:sz w:val="22"/>
          <w:szCs w:val="22"/>
          <w:lang w:val="nl-NL"/>
        </w:rPr>
        <w:t xml:space="preserve"> Dit zijn op het eerste gezicht droge administratieve maatregelen, maar ze tonen Johanna als een vorstin die haar relatie met een grote Brabantse abdij actief en zelfstandig mee vormgaf.</w:t>
      </w:r>
      <w:r w:rsidR="005A28FB" w:rsidRPr="00C140A8">
        <w:rPr>
          <w:rFonts w:ascii="Georgia" w:hAnsi="Georgia" w:cs="Calibri"/>
          <w:sz w:val="22"/>
          <w:szCs w:val="22"/>
          <w:lang w:val="nl-NL"/>
        </w:rPr>
        <w:t xml:space="preserve"> </w:t>
      </w:r>
    </w:p>
    <w:p w14:paraId="26B29AD7" w14:textId="77777777" w:rsidR="003B7BC3" w:rsidRPr="00C140A8" w:rsidRDefault="003B7BC3" w:rsidP="00AB509C">
      <w:pPr>
        <w:pStyle w:val="ThesisSubheading"/>
        <w:tabs>
          <w:tab w:val="left" w:pos="426"/>
        </w:tabs>
        <w:ind w:left="1134" w:hanging="1134"/>
      </w:pPr>
      <w:bookmarkStart w:id="239" w:name="_Toc229404851"/>
      <w:bookmarkStart w:id="240" w:name="_Toc231153789"/>
      <w:bookmarkStart w:id="241" w:name="_Toc231329858"/>
      <w:bookmarkStart w:id="242" w:name="_Toc231330465"/>
      <w:bookmarkStart w:id="243" w:name="_Toc231428059"/>
      <w:proofErr w:type="spellStart"/>
      <w:r w:rsidRPr="00C140A8">
        <w:t>Religieuze</w:t>
      </w:r>
      <w:proofErr w:type="spellEnd"/>
      <w:r w:rsidRPr="00C140A8">
        <w:t xml:space="preserve"> </w:t>
      </w:r>
      <w:proofErr w:type="spellStart"/>
      <w:r w:rsidRPr="00AB509C">
        <w:t>stichtingen</w:t>
      </w:r>
      <w:proofErr w:type="spellEnd"/>
      <w:r w:rsidRPr="00C140A8">
        <w:t xml:space="preserve"> </w:t>
      </w:r>
      <w:proofErr w:type="spellStart"/>
      <w:r w:rsidRPr="00C140A8">
        <w:t>en</w:t>
      </w:r>
      <w:proofErr w:type="spellEnd"/>
      <w:r w:rsidRPr="00C140A8">
        <w:t xml:space="preserve"> </w:t>
      </w:r>
      <w:proofErr w:type="spellStart"/>
      <w:r w:rsidRPr="001C140B">
        <w:rPr>
          <w:i/>
          <w:iCs/>
        </w:rPr>
        <w:t>memoriae</w:t>
      </w:r>
      <w:bookmarkEnd w:id="239"/>
      <w:bookmarkEnd w:id="240"/>
      <w:bookmarkEnd w:id="241"/>
      <w:bookmarkEnd w:id="242"/>
      <w:bookmarkEnd w:id="243"/>
      <w:proofErr w:type="spellEnd"/>
    </w:p>
    <w:p w14:paraId="2CEAFB1B" w14:textId="17E16FFA" w:rsidR="003B7BC3" w:rsidRDefault="00B64D68" w:rsidP="00C140A8">
      <w:pPr>
        <w:spacing w:afterLines="80" w:after="192" w:line="360" w:lineRule="auto"/>
        <w:jc w:val="both"/>
        <w:rPr>
          <w:rFonts w:ascii="Georgia" w:hAnsi="Georgia" w:cs="Calibri"/>
          <w:sz w:val="22"/>
          <w:szCs w:val="22"/>
          <w:lang w:val="nl-NL"/>
        </w:rPr>
      </w:pPr>
      <w:r>
        <w:rPr>
          <w:rFonts w:ascii="Georgia" w:hAnsi="Georgia" w:cs="Calibri"/>
          <w:sz w:val="22"/>
          <w:szCs w:val="22"/>
          <w:lang w:val="nl-NL"/>
        </w:rPr>
        <w:t>Maar s</w:t>
      </w:r>
      <w:r w:rsidR="003B7BC3" w:rsidRPr="00C140A8">
        <w:rPr>
          <w:rFonts w:ascii="Georgia" w:hAnsi="Georgia" w:cs="Calibri"/>
          <w:sz w:val="22"/>
          <w:szCs w:val="22"/>
          <w:lang w:val="nl-NL"/>
        </w:rPr>
        <w:t>chenkingen en privileges aan religieuze instellingen volstonden echter niet om het zielenheil blijvend te verzekeren. Het was van groot belang dat</w:t>
      </w:r>
      <w:r w:rsidR="004459BB">
        <w:rPr>
          <w:rFonts w:ascii="Georgia" w:hAnsi="Georgia" w:cs="Calibri"/>
          <w:sz w:val="22"/>
          <w:szCs w:val="22"/>
          <w:lang w:val="nl-NL"/>
        </w:rPr>
        <w:t xml:space="preserve"> men de goede werken ook postuum voortzette</w:t>
      </w:r>
      <w:r w:rsidR="003B7BC3" w:rsidRPr="00C140A8">
        <w:rPr>
          <w:rFonts w:ascii="Georgia" w:hAnsi="Georgia" w:cs="Calibri"/>
          <w:sz w:val="22"/>
          <w:szCs w:val="22"/>
          <w:lang w:val="nl-NL"/>
        </w:rPr>
        <w:t xml:space="preserve">. Het organiseren van </w:t>
      </w:r>
      <w:r w:rsidR="004459BB">
        <w:rPr>
          <w:rFonts w:ascii="Georgia" w:hAnsi="Georgia" w:cs="Calibri"/>
          <w:sz w:val="22"/>
          <w:szCs w:val="22"/>
          <w:lang w:val="nl-NL"/>
        </w:rPr>
        <w:t>herdenking</w:t>
      </w:r>
      <w:r w:rsidR="003B7BC3" w:rsidRPr="00C140A8">
        <w:rPr>
          <w:rFonts w:ascii="Georgia" w:hAnsi="Georgia" w:cs="Calibri"/>
          <w:sz w:val="22"/>
          <w:szCs w:val="22"/>
          <w:lang w:val="nl-NL"/>
        </w:rPr>
        <w:t>svieringe</w:t>
      </w:r>
      <w:r w:rsidR="004459BB">
        <w:rPr>
          <w:rFonts w:ascii="Georgia" w:hAnsi="Georgia" w:cs="Calibri"/>
          <w:sz w:val="22"/>
          <w:szCs w:val="22"/>
          <w:lang w:val="nl-NL"/>
        </w:rPr>
        <w:t>n</w:t>
      </w:r>
      <w:r w:rsidR="003B7BC3" w:rsidRPr="00C140A8">
        <w:rPr>
          <w:rFonts w:ascii="Georgia" w:hAnsi="Georgia" w:cs="Calibri"/>
          <w:sz w:val="22"/>
          <w:szCs w:val="22"/>
          <w:lang w:val="nl-NL"/>
        </w:rPr>
        <w:t xml:space="preserve"> en jaargetijden was dan ook een belangrijke plicht van de nabestaanden.</w:t>
      </w:r>
      <w:r w:rsidR="003B7BC3" w:rsidRPr="00C140A8">
        <w:rPr>
          <w:rStyle w:val="FootnoteReference"/>
          <w:rFonts w:ascii="Georgia" w:hAnsi="Georgia" w:cs="Calibri"/>
          <w:sz w:val="22"/>
          <w:szCs w:val="22"/>
          <w:lang w:val="nl-NL"/>
        </w:rPr>
        <w:footnoteReference w:id="410"/>
      </w:r>
      <w:r w:rsidR="003B7BC3" w:rsidRPr="00C140A8">
        <w:rPr>
          <w:rFonts w:ascii="Georgia" w:hAnsi="Georgia" w:cs="Calibri"/>
          <w:sz w:val="22"/>
          <w:szCs w:val="22"/>
          <w:lang w:val="nl-NL"/>
        </w:rPr>
        <w:t xml:space="preserve"> Daarnaast hadden deze </w:t>
      </w:r>
      <w:proofErr w:type="spellStart"/>
      <w:r w:rsidR="003B7BC3" w:rsidRPr="001C140B">
        <w:rPr>
          <w:rFonts w:ascii="Georgia" w:hAnsi="Georgia" w:cs="Calibri"/>
          <w:i/>
          <w:iCs/>
          <w:sz w:val="22"/>
          <w:szCs w:val="22"/>
          <w:lang w:val="nl-NL"/>
        </w:rPr>
        <w:t>memoriae</w:t>
      </w:r>
      <w:proofErr w:type="spellEnd"/>
      <w:r w:rsidR="003B7BC3" w:rsidRPr="00C140A8">
        <w:rPr>
          <w:rFonts w:ascii="Georgia" w:hAnsi="Georgia" w:cs="Calibri"/>
          <w:sz w:val="22"/>
          <w:szCs w:val="22"/>
          <w:lang w:val="nl-NL"/>
        </w:rPr>
        <w:t xml:space="preserve"> een </w:t>
      </w:r>
      <w:r w:rsidR="003B7BC3" w:rsidRPr="00C140A8">
        <w:rPr>
          <w:rFonts w:ascii="Georgia" w:hAnsi="Georgia" w:cs="Calibri"/>
          <w:sz w:val="22"/>
          <w:szCs w:val="22"/>
          <w:lang w:val="nl-NL"/>
        </w:rPr>
        <w:lastRenderedPageBreak/>
        <w:t>legitimerende functie, aangezien ze de herinnering aan en de lange traditie van de familie der machthebbers levendig hielden.</w:t>
      </w:r>
      <w:r w:rsidR="003B7BC3" w:rsidRPr="00C140A8">
        <w:rPr>
          <w:rStyle w:val="FootnoteReference"/>
          <w:rFonts w:ascii="Georgia" w:hAnsi="Georgia" w:cs="Calibri"/>
          <w:sz w:val="22"/>
          <w:szCs w:val="22"/>
          <w:lang w:val="nl-NL"/>
        </w:rPr>
        <w:footnoteReference w:id="411"/>
      </w:r>
      <w:r w:rsidR="003B7BC3" w:rsidRPr="00C140A8">
        <w:rPr>
          <w:rFonts w:ascii="Georgia" w:hAnsi="Georgia" w:cs="Calibri"/>
          <w:sz w:val="22"/>
          <w:szCs w:val="22"/>
          <w:lang w:val="nl-NL"/>
        </w:rPr>
        <w:t xml:space="preserve"> </w:t>
      </w:r>
      <w:r w:rsidR="001A1E26" w:rsidRPr="001A1E26">
        <w:rPr>
          <w:rFonts w:ascii="Georgia" w:hAnsi="Georgia" w:cs="Calibri"/>
          <w:sz w:val="22"/>
          <w:szCs w:val="22"/>
        </w:rPr>
        <w:t>Vaak gingen ze gepaard met nieuwe religieuze stichtingen die zulke missen moesten organiseren</w:t>
      </w:r>
      <w:r w:rsidR="003B7BC3" w:rsidRPr="001A1E26">
        <w:rPr>
          <w:rFonts w:ascii="Georgia" w:hAnsi="Georgia" w:cs="Calibri"/>
          <w:sz w:val="22"/>
          <w:szCs w:val="22"/>
          <w:lang w:val="nl-NL"/>
        </w:rPr>
        <w:t>.</w:t>
      </w:r>
      <w:r w:rsidR="003B7BC3" w:rsidRPr="00C140A8">
        <w:rPr>
          <w:rFonts w:ascii="Georgia" w:hAnsi="Georgia" w:cs="Calibri"/>
          <w:sz w:val="22"/>
          <w:szCs w:val="22"/>
          <w:lang w:val="nl-NL"/>
        </w:rPr>
        <w:t xml:space="preserve"> Door deze </w:t>
      </w:r>
      <w:proofErr w:type="spellStart"/>
      <w:r w:rsidR="003B7BC3" w:rsidRPr="001C140B">
        <w:rPr>
          <w:rFonts w:ascii="Georgia" w:hAnsi="Georgia" w:cs="Calibri"/>
          <w:i/>
          <w:iCs/>
          <w:sz w:val="22"/>
          <w:szCs w:val="22"/>
          <w:lang w:val="nl-NL"/>
        </w:rPr>
        <w:t>memoriae</w:t>
      </w:r>
      <w:proofErr w:type="spellEnd"/>
      <w:r w:rsidR="003B7BC3" w:rsidRPr="00C140A8">
        <w:rPr>
          <w:rFonts w:ascii="Georgia" w:hAnsi="Georgia" w:cs="Calibri"/>
          <w:sz w:val="22"/>
          <w:szCs w:val="22"/>
          <w:lang w:val="nl-NL"/>
        </w:rPr>
        <w:t xml:space="preserve"> schreef Johanna zich in binnen de dynastieke traditie van haar voorgangers en verzekerde ze haar eigen voortbestaan in het collectieve geheugen na haar dood.</w:t>
      </w:r>
      <w:r w:rsidR="003B7BC3" w:rsidRPr="00C140A8">
        <w:rPr>
          <w:rStyle w:val="FootnoteReference"/>
          <w:rFonts w:ascii="Georgia" w:hAnsi="Georgia" w:cs="Calibri"/>
          <w:sz w:val="22"/>
          <w:szCs w:val="22"/>
          <w:lang w:val="nl-NL"/>
        </w:rPr>
        <w:footnoteReference w:id="412"/>
      </w:r>
    </w:p>
    <w:p w14:paraId="19EA087F" w14:textId="55E92816" w:rsidR="00AB509C" w:rsidRPr="00AB509C" w:rsidRDefault="00AB509C" w:rsidP="00AB509C">
      <w:pPr>
        <w:pStyle w:val="ThesisSub-subheading"/>
        <w:rPr>
          <w:sz w:val="24"/>
          <w:szCs w:val="24"/>
        </w:rPr>
      </w:pPr>
      <w:proofErr w:type="spellStart"/>
      <w:r>
        <w:rPr>
          <w:rStyle w:val="Emphasis"/>
          <w:rFonts w:ascii="Georgia" w:hAnsi="Georgia" w:cs="Calibri"/>
          <w:sz w:val="24"/>
          <w:szCs w:val="24"/>
          <w:lang w:val="nl-NL"/>
        </w:rPr>
        <w:t>Memoriae</w:t>
      </w:r>
      <w:proofErr w:type="spellEnd"/>
      <w:r>
        <w:rPr>
          <w:rStyle w:val="Emphasis"/>
          <w:rFonts w:ascii="Georgia" w:hAnsi="Georgia" w:cs="Calibri"/>
          <w:sz w:val="24"/>
          <w:szCs w:val="24"/>
          <w:lang w:val="nl-NL"/>
        </w:rPr>
        <w:t xml:space="preserve"> binnen bestaande instellingen</w:t>
      </w:r>
    </w:p>
    <w:p w14:paraId="62F1F055" w14:textId="3CCFBCA0" w:rsidR="001A1E26" w:rsidRDefault="00B64D68" w:rsidP="00C140A8">
      <w:pPr>
        <w:spacing w:afterLines="80" w:after="192" w:line="360" w:lineRule="auto"/>
        <w:jc w:val="both"/>
        <w:rPr>
          <w:rFonts w:ascii="Georgia" w:hAnsi="Georgia" w:cs="Calibri"/>
          <w:sz w:val="22"/>
          <w:szCs w:val="22"/>
          <w:lang w:val="nl-NL"/>
        </w:rPr>
      </w:pPr>
      <w:r>
        <w:rPr>
          <w:rFonts w:ascii="Georgia" w:hAnsi="Georgia" w:cs="Calibri"/>
          <w:sz w:val="22"/>
          <w:szCs w:val="22"/>
          <w:lang w:val="nl-NL"/>
        </w:rPr>
        <w:t>Het</w:t>
      </w:r>
      <w:r w:rsidR="003B7BC3" w:rsidRPr="00C140A8">
        <w:rPr>
          <w:rFonts w:ascii="Georgia" w:hAnsi="Georgia" w:cs="Calibri"/>
          <w:sz w:val="22"/>
          <w:szCs w:val="22"/>
          <w:lang w:val="nl-NL"/>
        </w:rPr>
        <w:t xml:space="preserve"> eerste hoofdstuk </w:t>
      </w:r>
      <w:r>
        <w:rPr>
          <w:rFonts w:ascii="Georgia" w:hAnsi="Georgia" w:cs="Calibri"/>
          <w:sz w:val="22"/>
          <w:szCs w:val="22"/>
          <w:lang w:val="nl-NL"/>
        </w:rPr>
        <w:t>vermeldde</w:t>
      </w:r>
      <w:r w:rsidR="003B7BC3" w:rsidRPr="00C140A8">
        <w:rPr>
          <w:rFonts w:ascii="Georgia" w:hAnsi="Georgia" w:cs="Calibri"/>
          <w:sz w:val="22"/>
          <w:szCs w:val="22"/>
          <w:lang w:val="nl-NL"/>
        </w:rPr>
        <w:t xml:space="preserve"> </w:t>
      </w:r>
      <w:proofErr w:type="gramStart"/>
      <w:r w:rsidR="003B7BC3" w:rsidRPr="00C140A8">
        <w:rPr>
          <w:rFonts w:ascii="Georgia" w:hAnsi="Georgia" w:cs="Calibri"/>
          <w:sz w:val="22"/>
          <w:szCs w:val="22"/>
          <w:lang w:val="nl-NL"/>
        </w:rPr>
        <w:t>reeds</w:t>
      </w:r>
      <w:proofErr w:type="gramEnd"/>
      <w:r w:rsidR="003B7BC3" w:rsidRPr="00C140A8">
        <w:rPr>
          <w:rFonts w:ascii="Georgia" w:hAnsi="Georgia" w:cs="Calibri"/>
          <w:sz w:val="22"/>
          <w:szCs w:val="22"/>
          <w:lang w:val="nl-NL"/>
        </w:rPr>
        <w:t xml:space="preserve"> dat Johanna en </w:t>
      </w:r>
      <w:proofErr w:type="spellStart"/>
      <w:r w:rsidR="003B7BC3" w:rsidRPr="00C140A8">
        <w:rPr>
          <w:rFonts w:ascii="Georgia" w:hAnsi="Georgia" w:cs="Calibri"/>
          <w:sz w:val="22"/>
          <w:szCs w:val="22"/>
          <w:lang w:val="nl-NL"/>
        </w:rPr>
        <w:t>Wenceslas</w:t>
      </w:r>
      <w:proofErr w:type="spellEnd"/>
      <w:r w:rsidR="003B7BC3" w:rsidRPr="00C140A8">
        <w:rPr>
          <w:rFonts w:ascii="Georgia" w:hAnsi="Georgia" w:cs="Calibri"/>
          <w:sz w:val="22"/>
          <w:szCs w:val="22"/>
          <w:lang w:val="nl-NL"/>
        </w:rPr>
        <w:t xml:space="preserve"> in Henegouwen jaargetijden meesponsorden en organiseerden voor het zielenheil van de Henegouwse graven, het huis van Avesnes, waartoe Johanna's eerste echtgenoot Willem IV</w:t>
      </w:r>
      <w:r w:rsidR="00765E49" w:rsidRPr="00C140A8">
        <w:rPr>
          <w:rFonts w:ascii="Georgia" w:hAnsi="Georgia" w:cs="Calibri"/>
          <w:sz w:val="22"/>
          <w:szCs w:val="22"/>
          <w:lang w:val="nl-NL"/>
        </w:rPr>
        <w:t xml:space="preserve">, </w:t>
      </w:r>
      <w:r w:rsidR="003B7BC3" w:rsidRPr="00C140A8">
        <w:rPr>
          <w:rFonts w:ascii="Georgia" w:hAnsi="Georgia" w:cs="Calibri"/>
          <w:sz w:val="22"/>
          <w:szCs w:val="22"/>
          <w:lang w:val="nl-NL"/>
        </w:rPr>
        <w:t>behoorde. Dit gebeurde op drie verschillende plekken</w:t>
      </w:r>
      <w:r w:rsidR="00765E49" w:rsidRPr="00C140A8">
        <w:rPr>
          <w:rFonts w:ascii="Georgia" w:hAnsi="Georgia" w:cs="Calibri"/>
          <w:sz w:val="22"/>
          <w:szCs w:val="22"/>
          <w:lang w:val="nl-NL"/>
        </w:rPr>
        <w:t>. V</w:t>
      </w:r>
      <w:r w:rsidR="003B7BC3" w:rsidRPr="00C140A8">
        <w:rPr>
          <w:rFonts w:ascii="Georgia" w:hAnsi="Georgia" w:cs="Calibri"/>
          <w:sz w:val="22"/>
          <w:szCs w:val="22"/>
          <w:lang w:val="nl-NL"/>
        </w:rPr>
        <w:t xml:space="preserve">ijf posten tonen betalingen van </w:t>
      </w:r>
      <w:r w:rsidR="001A1E26">
        <w:rPr>
          <w:rFonts w:ascii="Georgia" w:hAnsi="Georgia" w:cs="Calibri"/>
          <w:sz w:val="22"/>
          <w:szCs w:val="22"/>
          <w:lang w:val="nl-NL"/>
        </w:rPr>
        <w:t>acht</w:t>
      </w:r>
      <w:r w:rsidR="003B7BC3" w:rsidRPr="00C140A8">
        <w:rPr>
          <w:rFonts w:ascii="Georgia" w:hAnsi="Georgia" w:cs="Calibri"/>
          <w:sz w:val="22"/>
          <w:szCs w:val="22"/>
          <w:lang w:val="nl-NL"/>
        </w:rPr>
        <w:t xml:space="preserve"> witte ponden aan de abdij van Floreffe, alle vijf op Johanna's naam.</w:t>
      </w:r>
      <w:r w:rsidR="003B7BC3" w:rsidRPr="00C140A8">
        <w:rPr>
          <w:rStyle w:val="FootnoteReference"/>
          <w:rFonts w:ascii="Georgia" w:hAnsi="Georgia" w:cs="Calibri"/>
          <w:sz w:val="22"/>
          <w:szCs w:val="22"/>
          <w:lang w:val="nl-NL"/>
        </w:rPr>
        <w:footnoteReference w:id="413"/>
      </w:r>
      <w:r w:rsidR="003B7BC3" w:rsidRPr="00C140A8">
        <w:rPr>
          <w:rFonts w:ascii="Georgia" w:hAnsi="Georgia" w:cs="Calibri"/>
          <w:sz w:val="22"/>
          <w:szCs w:val="22"/>
          <w:lang w:val="nl-NL"/>
        </w:rPr>
        <w:t xml:space="preserve"> Een tweede reeks betalingen ging naar het Sint-Pieterskapittel in Namen, en een derde som, </w:t>
      </w:r>
      <w:r w:rsidR="001A1E26">
        <w:rPr>
          <w:rFonts w:ascii="Georgia" w:hAnsi="Georgia" w:cs="Calibri"/>
          <w:sz w:val="22"/>
          <w:szCs w:val="22"/>
          <w:lang w:val="nl-NL"/>
        </w:rPr>
        <w:t>dertig</w:t>
      </w:r>
      <w:r w:rsidR="003B7BC3" w:rsidRPr="00C140A8">
        <w:rPr>
          <w:rFonts w:ascii="Georgia" w:hAnsi="Georgia" w:cs="Calibri"/>
          <w:sz w:val="22"/>
          <w:szCs w:val="22"/>
          <w:lang w:val="nl-NL"/>
        </w:rPr>
        <w:t xml:space="preserve"> witte ponden, op beide namen,  naar het kapittel van Saint-</w:t>
      </w:r>
      <w:proofErr w:type="spellStart"/>
      <w:r w:rsidR="003B7BC3" w:rsidRPr="00C140A8">
        <w:rPr>
          <w:rFonts w:ascii="Georgia" w:hAnsi="Georgia" w:cs="Calibri"/>
          <w:sz w:val="22"/>
          <w:szCs w:val="22"/>
          <w:lang w:val="nl-NL"/>
        </w:rPr>
        <w:t>Aubin</w:t>
      </w:r>
      <w:proofErr w:type="spellEnd"/>
      <w:r w:rsidR="003B7BC3" w:rsidRPr="00C140A8">
        <w:rPr>
          <w:rFonts w:ascii="Georgia" w:hAnsi="Georgia" w:cs="Calibri"/>
          <w:sz w:val="22"/>
          <w:szCs w:val="22"/>
          <w:lang w:val="nl-NL"/>
        </w:rPr>
        <w:t xml:space="preserve"> in Namen.</w:t>
      </w:r>
      <w:r w:rsidR="003B7BC3" w:rsidRPr="00C140A8">
        <w:rPr>
          <w:rStyle w:val="FootnoteReference"/>
          <w:rFonts w:ascii="Georgia" w:hAnsi="Georgia" w:cs="Calibri"/>
          <w:sz w:val="22"/>
          <w:szCs w:val="22"/>
          <w:lang w:val="nl-NL"/>
        </w:rPr>
        <w:footnoteReference w:id="414"/>
      </w:r>
      <w:r w:rsidR="003B7BC3" w:rsidRPr="00C140A8">
        <w:rPr>
          <w:rFonts w:ascii="Georgia" w:hAnsi="Georgia" w:cs="Calibri"/>
          <w:sz w:val="22"/>
          <w:szCs w:val="22"/>
          <w:lang w:val="nl-NL"/>
        </w:rPr>
        <w:t xml:space="preserve"> Dat Johanna deze jaargetijden uit haar eigen ontvangsten van Binche financierde en overwegend op eigen naam liet vastleggen, wijst erop dat zij de Henegouwse </w:t>
      </w:r>
      <w:proofErr w:type="spellStart"/>
      <w:r w:rsidR="003B7BC3" w:rsidRPr="001A1E26">
        <w:rPr>
          <w:rFonts w:ascii="Georgia" w:hAnsi="Georgia" w:cs="Calibri"/>
          <w:i/>
          <w:iCs/>
          <w:sz w:val="22"/>
          <w:szCs w:val="22"/>
          <w:lang w:val="nl-NL"/>
        </w:rPr>
        <w:t>memoriae</w:t>
      </w:r>
      <w:proofErr w:type="spellEnd"/>
      <w:r w:rsidR="003B7BC3" w:rsidRPr="00C140A8">
        <w:rPr>
          <w:rFonts w:ascii="Georgia" w:hAnsi="Georgia" w:cs="Calibri"/>
          <w:sz w:val="22"/>
          <w:szCs w:val="22"/>
          <w:lang w:val="nl-NL"/>
        </w:rPr>
        <w:t xml:space="preserve"> niet louter als dynastieke plicht ten opzichte van Willem IV beschouwde. Door het hele huis van Avesnes te herdenken, en niet enkel haar overleden echtgenoot, onderhield zij actief haar verbondenheid met de Henegouwse dynastie, hetzelfde graafschap waar haar weduwegoed lag en waar zij regelmatig verbleef. De oorkonde van 11 mei 1377 voor de abt van Floreffe maakt dit expliciet</w:t>
      </w:r>
      <w:r w:rsidR="00765E49" w:rsidRPr="00C140A8">
        <w:rPr>
          <w:rFonts w:ascii="Georgia" w:hAnsi="Georgia" w:cs="Calibri"/>
          <w:sz w:val="22"/>
          <w:szCs w:val="22"/>
          <w:lang w:val="nl-NL"/>
        </w:rPr>
        <w:t>. D</w:t>
      </w:r>
      <w:r w:rsidR="003B7BC3" w:rsidRPr="00C140A8">
        <w:rPr>
          <w:rFonts w:ascii="Georgia" w:hAnsi="Georgia" w:cs="Calibri"/>
          <w:sz w:val="22"/>
          <w:szCs w:val="22"/>
          <w:lang w:val="nl-NL"/>
        </w:rPr>
        <w:t>e mis werd gesticht</w:t>
      </w:r>
      <w:r w:rsidR="00765E49" w:rsidRPr="00C140A8">
        <w:rPr>
          <w:rFonts w:ascii="Georgia" w:hAnsi="Georgia" w:cs="Calibri"/>
          <w:sz w:val="22"/>
          <w:szCs w:val="22"/>
          <w:lang w:val="nl-NL"/>
        </w:rPr>
        <w:t>:</w:t>
      </w:r>
      <w:r w:rsidR="003B7BC3" w:rsidRPr="00C140A8">
        <w:rPr>
          <w:rFonts w:ascii="Georgia" w:hAnsi="Georgia" w:cs="Calibri"/>
          <w:sz w:val="22"/>
          <w:szCs w:val="22"/>
          <w:lang w:val="nl-NL"/>
        </w:rPr>
        <w:t xml:space="preserve"> </w:t>
      </w:r>
    </w:p>
    <w:p w14:paraId="1DFA113A" w14:textId="77777777" w:rsidR="001A1E26" w:rsidRPr="001A1E26" w:rsidRDefault="00A11B9C" w:rsidP="2D0D95AE">
      <w:pPr>
        <w:spacing w:afterLines="80" w:after="192" w:line="360" w:lineRule="auto"/>
        <w:ind w:left="426"/>
        <w:jc w:val="both"/>
        <w:rPr>
          <w:rFonts w:ascii="Georgia" w:hAnsi="Georgia" w:cs="Calibri"/>
          <w:sz w:val="20"/>
          <w:szCs w:val="20"/>
          <w:lang w:val="en-US"/>
        </w:rPr>
      </w:pPr>
      <w:r w:rsidRPr="2D0D95AE">
        <w:rPr>
          <w:rFonts w:ascii="Georgia" w:hAnsi="Georgia" w:cs="Calibri"/>
          <w:sz w:val="20"/>
          <w:szCs w:val="20"/>
          <w:lang w:val="en-US"/>
        </w:rPr>
        <w:t>“</w:t>
      </w:r>
      <w:r w:rsidR="003B7BC3" w:rsidRPr="2D0D95AE">
        <w:rPr>
          <w:rFonts w:ascii="Georgia" w:hAnsi="Georgia" w:cs="Calibri"/>
          <w:sz w:val="20"/>
          <w:szCs w:val="20"/>
          <w:lang w:val="en-US"/>
        </w:rPr>
        <w:t xml:space="preserve">[…] </w:t>
      </w:r>
      <w:r w:rsidR="003B7BC3" w:rsidRPr="2D0D95AE">
        <w:rPr>
          <w:rFonts w:ascii="Georgia" w:hAnsi="Georgia" w:cs="Calibri"/>
          <w:i/>
          <w:iCs/>
          <w:sz w:val="20"/>
          <w:szCs w:val="20"/>
          <w:lang w:val="en-US"/>
        </w:rPr>
        <w:t>par le défunt comte de Hainaut, à charge de célébrer un anniversaire pour le repos des âmes de lui et de ses prédécesseurs et successeurs au dit comté</w:t>
      </w:r>
      <w:r w:rsidRPr="2D0D95AE">
        <w:rPr>
          <w:rFonts w:ascii="Georgia" w:hAnsi="Georgia" w:cs="Calibri"/>
          <w:sz w:val="20"/>
          <w:szCs w:val="20"/>
          <w:lang w:val="en-US"/>
        </w:rPr>
        <w:t>”.</w:t>
      </w:r>
      <w:r w:rsidRPr="2D0D95AE">
        <w:rPr>
          <w:rStyle w:val="FootnoteReference"/>
          <w:rFonts w:ascii="Georgia" w:hAnsi="Georgia" w:cs="Calibri"/>
          <w:sz w:val="20"/>
          <w:szCs w:val="20"/>
          <w:lang w:val="en-US"/>
        </w:rPr>
        <w:footnoteReference w:id="415"/>
      </w:r>
      <w:r w:rsidR="003B7BC3" w:rsidRPr="2D0D95AE">
        <w:rPr>
          <w:rFonts w:ascii="Georgia" w:hAnsi="Georgia" w:cs="Calibri"/>
          <w:sz w:val="20"/>
          <w:szCs w:val="20"/>
          <w:lang w:val="en-US"/>
        </w:rPr>
        <w:t xml:space="preserve"> </w:t>
      </w:r>
    </w:p>
    <w:p w14:paraId="735D80C8" w14:textId="2E86694B" w:rsidR="003B7BC3" w:rsidRPr="00C140A8" w:rsidRDefault="003B7BC3"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Opmerkelijk is dat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regelmatig </w:t>
      </w:r>
      <w:r w:rsidR="00765E49" w:rsidRPr="00C140A8">
        <w:rPr>
          <w:rFonts w:ascii="Georgia" w:hAnsi="Georgia" w:cs="Calibri"/>
          <w:sz w:val="22"/>
          <w:szCs w:val="22"/>
          <w:lang w:val="nl-NL"/>
        </w:rPr>
        <w:t xml:space="preserve">mee </w:t>
      </w:r>
      <w:r w:rsidRPr="00C140A8">
        <w:rPr>
          <w:rFonts w:ascii="Georgia" w:hAnsi="Georgia" w:cs="Calibri"/>
          <w:sz w:val="22"/>
          <w:szCs w:val="22"/>
          <w:lang w:val="nl-NL"/>
        </w:rPr>
        <w:t>als opdrachtgever onder deze posten verschijnt, vooral wanneer het de overleden Henegouwse graaf betreft. Dit kan deels uit eer aan Johanna's eerste echtgenoot worden verklaard, maar lijkt tegelijk een politieke ondertoon te hebben</w:t>
      </w:r>
      <w:r w:rsidR="00CD03F7">
        <w:rPr>
          <w:rFonts w:ascii="Georgia" w:hAnsi="Georgia" w:cs="Calibri"/>
          <w:sz w:val="22"/>
          <w:szCs w:val="22"/>
          <w:lang w:val="nl-NL"/>
        </w:rPr>
        <w:t>.</w:t>
      </w:r>
      <w:r w:rsidRPr="00C140A8">
        <w:rPr>
          <w:rFonts w:ascii="Georgia" w:hAnsi="Georgia" w:cs="Calibri"/>
          <w:sz w:val="22"/>
          <w:szCs w:val="22"/>
          <w:lang w:val="nl-NL"/>
        </w:rPr>
        <w:t xml:space="preserve"> Henegouwen was voor Brabant strategisch van groot belang</w:t>
      </w:r>
      <w:r w:rsidR="00765E49" w:rsidRPr="00C140A8">
        <w:rPr>
          <w:rFonts w:ascii="Georgia" w:hAnsi="Georgia" w:cs="Calibri"/>
          <w:sz w:val="22"/>
          <w:szCs w:val="22"/>
          <w:lang w:val="nl-NL"/>
        </w:rPr>
        <w:t>. H</w:t>
      </w:r>
      <w:r w:rsidRPr="00C140A8">
        <w:rPr>
          <w:rFonts w:ascii="Georgia" w:hAnsi="Georgia" w:cs="Calibri"/>
          <w:sz w:val="22"/>
          <w:szCs w:val="22"/>
          <w:lang w:val="nl-NL"/>
        </w:rPr>
        <w:t>et hertogdom grensde via Holland</w:t>
      </w:r>
      <w:r w:rsidR="00765E49" w:rsidRPr="00C140A8">
        <w:rPr>
          <w:rFonts w:ascii="Georgia" w:hAnsi="Georgia" w:cs="Calibri"/>
          <w:sz w:val="22"/>
          <w:szCs w:val="22"/>
          <w:lang w:val="nl-NL"/>
        </w:rPr>
        <w:t xml:space="preserve"> en </w:t>
      </w:r>
      <w:r w:rsidRPr="00C140A8">
        <w:rPr>
          <w:rFonts w:ascii="Georgia" w:hAnsi="Georgia" w:cs="Calibri"/>
          <w:sz w:val="22"/>
          <w:szCs w:val="22"/>
          <w:lang w:val="nl-NL"/>
        </w:rPr>
        <w:t xml:space="preserve">Henegouwen aan het grondgebied, en de diplomatieke betrekkingen tussen beide dynastieën hadden eerder al hun gewicht aangetoond. Door samen met Johanna deze </w:t>
      </w:r>
      <w:proofErr w:type="spellStart"/>
      <w:r w:rsidRPr="00CD03F7">
        <w:rPr>
          <w:rFonts w:ascii="Georgia" w:hAnsi="Georgia" w:cs="Calibri"/>
          <w:i/>
          <w:iCs/>
          <w:sz w:val="22"/>
          <w:szCs w:val="22"/>
          <w:lang w:val="nl-NL"/>
        </w:rPr>
        <w:lastRenderedPageBreak/>
        <w:t>memoriae</w:t>
      </w:r>
      <w:proofErr w:type="spellEnd"/>
      <w:r w:rsidRPr="00C140A8">
        <w:rPr>
          <w:rFonts w:ascii="Georgia" w:hAnsi="Georgia" w:cs="Calibri"/>
          <w:sz w:val="22"/>
          <w:szCs w:val="22"/>
          <w:lang w:val="nl-NL"/>
        </w:rPr>
        <w:t xml:space="preserve"> te onderhouden, bevestigde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ook de continuïteit van de Brabantse relatie met het graafschap.</w:t>
      </w:r>
    </w:p>
    <w:p w14:paraId="65226766" w14:textId="77777777" w:rsidR="003B7BC3" w:rsidRDefault="003B7BC3"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In Brabant onderhield Johanna ook haar eigen dynastieke jaargetijden. Vanaf januari 1378 organiseerde ze een jaarlijkse </w:t>
      </w:r>
      <w:proofErr w:type="spellStart"/>
      <w:r w:rsidRPr="00C140A8">
        <w:rPr>
          <w:rFonts w:ascii="Georgia" w:hAnsi="Georgia" w:cs="Calibri"/>
          <w:sz w:val="22"/>
          <w:szCs w:val="22"/>
          <w:lang w:val="nl-NL"/>
        </w:rPr>
        <w:t>herdenkingsmis</w:t>
      </w:r>
      <w:proofErr w:type="spellEnd"/>
      <w:r w:rsidRPr="00C140A8">
        <w:rPr>
          <w:rFonts w:ascii="Georgia" w:hAnsi="Georgia" w:cs="Calibri"/>
          <w:sz w:val="22"/>
          <w:szCs w:val="22"/>
          <w:lang w:val="nl-NL"/>
        </w:rPr>
        <w:t xml:space="preserve"> voor haar moeder, Maria van </w:t>
      </w:r>
      <w:proofErr w:type="spellStart"/>
      <w:r w:rsidRPr="00C140A8">
        <w:rPr>
          <w:rFonts w:ascii="Georgia" w:hAnsi="Georgia" w:cs="Calibri"/>
          <w:sz w:val="22"/>
          <w:szCs w:val="22"/>
          <w:lang w:val="nl-NL"/>
        </w:rPr>
        <w:t>Évreux</w:t>
      </w:r>
      <w:proofErr w:type="spellEnd"/>
      <w:r w:rsidRPr="00C140A8">
        <w:rPr>
          <w:rFonts w:ascii="Georgia" w:hAnsi="Georgia" w:cs="Calibri"/>
          <w:sz w:val="22"/>
          <w:szCs w:val="22"/>
          <w:lang w:val="nl-NL"/>
        </w:rPr>
        <w:t>, die ze persoonlijk bijwoonde.</w:t>
      </w:r>
      <w:r w:rsidRPr="00C140A8">
        <w:rPr>
          <w:rStyle w:val="FootnoteReference"/>
          <w:rFonts w:ascii="Georgia" w:hAnsi="Georgia" w:cs="Calibri"/>
          <w:sz w:val="22"/>
          <w:szCs w:val="22"/>
          <w:lang w:val="nl-NL"/>
        </w:rPr>
        <w:footnoteReference w:id="416"/>
      </w:r>
      <w:r w:rsidRPr="00C140A8">
        <w:rPr>
          <w:rFonts w:ascii="Georgia" w:hAnsi="Georgia" w:cs="Calibri"/>
          <w:sz w:val="22"/>
          <w:szCs w:val="22"/>
          <w:lang w:val="nl-NL"/>
        </w:rPr>
        <w:t xml:space="preserve"> Deze mis maakte deel uit van een ruimere reeks memoriediensten voor de hertogen van Brabant. Waar de Henegouwse jaargetijden Johanna verbonden met het huis van Avesnes, verankerden de Brabantse </w:t>
      </w:r>
      <w:proofErr w:type="spellStart"/>
      <w:r w:rsidRPr="00CD03F7">
        <w:rPr>
          <w:rFonts w:ascii="Georgia" w:hAnsi="Georgia" w:cs="Calibri"/>
          <w:i/>
          <w:iCs/>
          <w:sz w:val="22"/>
          <w:szCs w:val="22"/>
          <w:lang w:val="nl-NL"/>
        </w:rPr>
        <w:t>memoriae</w:t>
      </w:r>
      <w:proofErr w:type="spellEnd"/>
      <w:r w:rsidRPr="00C140A8">
        <w:rPr>
          <w:rFonts w:ascii="Georgia" w:hAnsi="Georgia" w:cs="Calibri"/>
          <w:sz w:val="22"/>
          <w:szCs w:val="22"/>
          <w:lang w:val="nl-NL"/>
        </w:rPr>
        <w:t xml:space="preserve"> haar positie als opvolger van haar vader en de hertogelijke lijn.</w:t>
      </w:r>
      <w:r w:rsidRPr="00C140A8">
        <w:rPr>
          <w:rStyle w:val="FootnoteReference"/>
          <w:rFonts w:ascii="Georgia" w:hAnsi="Georgia" w:cs="Calibri"/>
          <w:sz w:val="22"/>
          <w:szCs w:val="22"/>
          <w:lang w:val="nl-NL"/>
        </w:rPr>
        <w:footnoteReference w:id="417"/>
      </w:r>
      <w:r w:rsidRPr="00C140A8">
        <w:rPr>
          <w:rFonts w:ascii="Georgia" w:hAnsi="Georgia" w:cs="Calibri"/>
          <w:sz w:val="22"/>
          <w:szCs w:val="22"/>
          <w:lang w:val="nl-NL"/>
        </w:rPr>
        <w:t xml:space="preserve">  </w:t>
      </w:r>
    </w:p>
    <w:p w14:paraId="77930231" w14:textId="63A3AACC" w:rsidR="00B54A0D" w:rsidRPr="00B54A0D" w:rsidRDefault="00B54A0D" w:rsidP="00B54A0D">
      <w:pPr>
        <w:pStyle w:val="ThesisSub-subheading"/>
        <w:rPr>
          <w:sz w:val="24"/>
          <w:szCs w:val="24"/>
        </w:rPr>
      </w:pPr>
      <w:r>
        <w:rPr>
          <w:rStyle w:val="Emphasis"/>
          <w:rFonts w:ascii="Georgia" w:hAnsi="Georgia" w:cs="Calibri"/>
          <w:sz w:val="24"/>
          <w:szCs w:val="24"/>
          <w:lang w:val="nl-NL"/>
        </w:rPr>
        <w:t>Stichtingen van nieuwe instellingen</w:t>
      </w:r>
    </w:p>
    <w:p w14:paraId="191F0924" w14:textId="28B46DD4" w:rsidR="00BD675E" w:rsidRPr="00C140A8" w:rsidRDefault="00176210"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Vele van de jaargetijden, georganiseerd door Johanna 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gingen samen met stichtingen. Zo heeft Johanna een aantal kloosterstichtingen op haar naam staan.</w:t>
      </w:r>
      <w:r w:rsidR="00DD5A76">
        <w:rPr>
          <w:rStyle w:val="FootnoteReference"/>
          <w:rFonts w:ascii="Georgia" w:hAnsi="Georgia" w:cs="Calibri"/>
          <w:sz w:val="22"/>
          <w:szCs w:val="22"/>
          <w:lang w:val="nl-NL"/>
        </w:rPr>
        <w:footnoteReference w:id="418"/>
      </w:r>
      <w:r w:rsidRPr="00C140A8">
        <w:rPr>
          <w:rFonts w:ascii="Georgia" w:hAnsi="Georgia" w:cs="Calibri"/>
          <w:sz w:val="22"/>
          <w:szCs w:val="22"/>
          <w:lang w:val="nl-NL"/>
        </w:rPr>
        <w:t xml:space="preserve"> </w:t>
      </w:r>
      <w:r w:rsidR="00702EE9" w:rsidRPr="00702EE9">
        <w:rPr>
          <w:rFonts w:ascii="Georgia" w:hAnsi="Georgia" w:cs="Calibri"/>
          <w:sz w:val="22"/>
          <w:szCs w:val="22"/>
        </w:rPr>
        <w:t xml:space="preserve">Kluizenaars die een hoger gelegen plek zochten om zich te vestigen, vroegen Johanna </w:t>
      </w:r>
      <w:r w:rsidR="00702EE9">
        <w:rPr>
          <w:rFonts w:ascii="Georgia" w:hAnsi="Georgia" w:cs="Calibri"/>
          <w:sz w:val="22"/>
          <w:szCs w:val="22"/>
        </w:rPr>
        <w:t>een</w:t>
      </w:r>
      <w:r w:rsidR="00702EE9" w:rsidRPr="00702EE9">
        <w:rPr>
          <w:rFonts w:ascii="Georgia" w:hAnsi="Georgia" w:cs="Calibri"/>
          <w:sz w:val="22"/>
          <w:szCs w:val="22"/>
        </w:rPr>
        <w:t xml:space="preserve"> priorij </w:t>
      </w:r>
      <w:r w:rsidR="00702EE9">
        <w:rPr>
          <w:rFonts w:ascii="Georgia" w:hAnsi="Georgia" w:cs="Calibri"/>
          <w:sz w:val="22"/>
          <w:szCs w:val="22"/>
        </w:rPr>
        <w:t xml:space="preserve">in </w:t>
      </w:r>
      <w:r w:rsidR="00702EE9" w:rsidRPr="00702EE9">
        <w:rPr>
          <w:rFonts w:ascii="Georgia" w:hAnsi="Georgia" w:cs="Calibri"/>
          <w:sz w:val="22"/>
          <w:szCs w:val="22"/>
        </w:rPr>
        <w:t>Oudergem te stichten</w:t>
      </w:r>
      <w:r w:rsidRPr="00702EE9">
        <w:rPr>
          <w:rFonts w:ascii="Georgia" w:hAnsi="Georgia" w:cs="Calibri"/>
          <w:sz w:val="22"/>
          <w:szCs w:val="22"/>
          <w:lang w:val="nl-NL"/>
        </w:rPr>
        <w:t>.</w:t>
      </w:r>
      <w:r w:rsidRPr="00C140A8">
        <w:rPr>
          <w:rFonts w:ascii="Georgia" w:hAnsi="Georgia" w:cs="Calibri"/>
          <w:sz w:val="22"/>
          <w:szCs w:val="22"/>
          <w:lang w:val="nl-NL"/>
        </w:rPr>
        <w:t xml:space="preserve"> Johanna gaf hiervoor de toestemming in 1367 en schonk in 1370 ook de nodige gronden rondom zodat de gemeenschap een grotere priorij kon uitbouwen.</w:t>
      </w:r>
      <w:r w:rsidRPr="00C140A8">
        <w:rPr>
          <w:rStyle w:val="FootnoteReference"/>
          <w:rFonts w:ascii="Georgia" w:hAnsi="Georgia" w:cs="Calibri"/>
          <w:sz w:val="22"/>
          <w:szCs w:val="22"/>
          <w:lang w:val="nl-NL"/>
        </w:rPr>
        <w:footnoteReference w:id="419"/>
      </w:r>
      <w:r w:rsidRPr="00C140A8">
        <w:rPr>
          <w:rFonts w:ascii="Georgia" w:hAnsi="Georgia" w:cs="Calibri"/>
          <w:sz w:val="22"/>
          <w:szCs w:val="22"/>
          <w:lang w:val="nl-NL"/>
        </w:rPr>
        <w:t xml:space="preserve"> In </w:t>
      </w:r>
      <w:proofErr w:type="spellStart"/>
      <w:r w:rsidRPr="00C140A8">
        <w:rPr>
          <w:rFonts w:ascii="Georgia" w:hAnsi="Georgia" w:cs="Calibri"/>
          <w:sz w:val="22"/>
          <w:szCs w:val="22"/>
          <w:lang w:val="nl-NL"/>
        </w:rPr>
        <w:t>Septfontaines</w:t>
      </w:r>
      <w:proofErr w:type="spellEnd"/>
      <w:r w:rsidRPr="00C140A8">
        <w:rPr>
          <w:rFonts w:ascii="Georgia" w:hAnsi="Georgia" w:cs="Calibri"/>
          <w:sz w:val="22"/>
          <w:szCs w:val="22"/>
          <w:lang w:val="nl-NL"/>
        </w:rPr>
        <w:t xml:space="preserve"> besloot een groep kluizenaars om eveneens volgens een regel te gaan leven en met toestemming van Johanna bouwden zij in 1388 een augustijnenklooster uit.</w:t>
      </w:r>
      <w:r w:rsidRPr="00C140A8">
        <w:rPr>
          <w:rStyle w:val="FootnoteReference"/>
          <w:rFonts w:ascii="Georgia" w:hAnsi="Georgia" w:cs="Calibri"/>
          <w:sz w:val="22"/>
          <w:szCs w:val="22"/>
          <w:lang w:val="nl-NL"/>
        </w:rPr>
        <w:footnoteReference w:id="420"/>
      </w:r>
      <w:r w:rsidRPr="00C140A8">
        <w:rPr>
          <w:rFonts w:ascii="Georgia" w:hAnsi="Georgia" w:cs="Calibri"/>
          <w:sz w:val="22"/>
          <w:szCs w:val="22"/>
          <w:lang w:val="nl-NL"/>
        </w:rPr>
        <w:t xml:space="preserve"> In 1372 stichtte Johanna het karmelietenklooster in Tienen, een orde die haar nauw aan het hart lag, aangezien ze deze orde </w:t>
      </w:r>
      <w:r w:rsidR="00442A63">
        <w:rPr>
          <w:rFonts w:ascii="Georgia" w:hAnsi="Georgia" w:cs="Calibri"/>
          <w:sz w:val="22"/>
          <w:szCs w:val="22"/>
          <w:lang w:val="nl-NL"/>
        </w:rPr>
        <w:t xml:space="preserve">herhaaldelijk </w:t>
      </w:r>
      <w:r w:rsidRPr="00C140A8">
        <w:rPr>
          <w:rFonts w:ascii="Georgia" w:hAnsi="Georgia" w:cs="Calibri"/>
          <w:sz w:val="22"/>
          <w:szCs w:val="22"/>
          <w:lang w:val="nl-NL"/>
        </w:rPr>
        <w:t>financieel steunde</w:t>
      </w:r>
      <w:r w:rsidR="00442A63">
        <w:rPr>
          <w:rFonts w:ascii="Georgia" w:hAnsi="Georgia" w:cs="Calibri"/>
          <w:sz w:val="22"/>
          <w:szCs w:val="22"/>
          <w:lang w:val="nl-NL"/>
        </w:rPr>
        <w:t xml:space="preserve">. Ze zou </w:t>
      </w:r>
      <w:r w:rsidRPr="00C140A8">
        <w:rPr>
          <w:rFonts w:ascii="Georgia" w:hAnsi="Georgia" w:cs="Calibri"/>
          <w:sz w:val="22"/>
          <w:szCs w:val="22"/>
          <w:lang w:val="nl-NL"/>
        </w:rPr>
        <w:t>uiteindelijk ook in een karmelietenkerk zou begraven worden.</w:t>
      </w:r>
      <w:r w:rsidRPr="00C140A8">
        <w:rPr>
          <w:rStyle w:val="FootnoteReference"/>
          <w:rFonts w:ascii="Georgia" w:hAnsi="Georgia" w:cs="Calibri"/>
          <w:sz w:val="22"/>
          <w:szCs w:val="22"/>
          <w:lang w:val="nl-NL"/>
        </w:rPr>
        <w:footnoteReference w:id="421"/>
      </w:r>
      <w:r w:rsidRPr="00C140A8">
        <w:rPr>
          <w:rFonts w:ascii="Georgia" w:hAnsi="Georgia" w:cs="Calibri"/>
          <w:sz w:val="22"/>
          <w:szCs w:val="22"/>
          <w:lang w:val="nl-NL"/>
        </w:rPr>
        <w:t xml:space="preserve"> Alle drie de stichtingen stonden mee in voor het bidden voor het zielenheil van de vorstin en haar familie.</w:t>
      </w:r>
    </w:p>
    <w:p w14:paraId="7B1F788E" w14:textId="687188BE" w:rsidR="00BD675E" w:rsidRPr="00C140A8" w:rsidRDefault="00BD675E"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Het klooster van Groenendaal laat zien hoe </w:t>
      </w:r>
      <w:r w:rsidR="005A6CFB" w:rsidRPr="00C140A8">
        <w:rPr>
          <w:rFonts w:ascii="Georgia" w:hAnsi="Georgia" w:cs="Calibri"/>
          <w:sz w:val="22"/>
          <w:szCs w:val="22"/>
          <w:lang w:val="nl-NL"/>
        </w:rPr>
        <w:t xml:space="preserve">ze </w:t>
      </w:r>
      <w:r w:rsidRPr="00C140A8">
        <w:rPr>
          <w:rFonts w:ascii="Georgia" w:hAnsi="Georgia" w:cs="Calibri"/>
          <w:sz w:val="22"/>
          <w:szCs w:val="22"/>
          <w:lang w:val="nl-NL"/>
        </w:rPr>
        <w:t xml:space="preserve">ook bestaande gemeenschappen </w:t>
      </w:r>
      <w:r w:rsidR="005A6CFB" w:rsidRPr="00C140A8">
        <w:rPr>
          <w:rFonts w:ascii="Georgia" w:hAnsi="Georgia" w:cs="Calibri"/>
          <w:sz w:val="22"/>
          <w:szCs w:val="22"/>
          <w:lang w:val="nl-NL"/>
        </w:rPr>
        <w:t>ondersteunde</w:t>
      </w:r>
      <w:r w:rsidRPr="00C140A8">
        <w:rPr>
          <w:rFonts w:ascii="Georgia" w:hAnsi="Georgia" w:cs="Calibri"/>
          <w:sz w:val="22"/>
          <w:szCs w:val="22"/>
          <w:lang w:val="nl-NL"/>
        </w:rPr>
        <w:t xml:space="preserve"> in ruil voor </w:t>
      </w:r>
      <w:proofErr w:type="spellStart"/>
      <w:r w:rsidRPr="00442A63">
        <w:rPr>
          <w:rFonts w:ascii="Georgia" w:hAnsi="Georgia" w:cs="Calibri"/>
          <w:i/>
          <w:iCs/>
          <w:sz w:val="22"/>
          <w:szCs w:val="22"/>
          <w:lang w:val="nl-NL"/>
        </w:rPr>
        <w:t>memoriae</w:t>
      </w:r>
      <w:proofErr w:type="spellEnd"/>
      <w:r w:rsidRPr="00C140A8">
        <w:rPr>
          <w:rFonts w:ascii="Georgia" w:hAnsi="Georgia" w:cs="Calibri"/>
          <w:sz w:val="22"/>
          <w:szCs w:val="22"/>
          <w:lang w:val="nl-NL"/>
        </w:rPr>
        <w:t>.</w:t>
      </w:r>
      <w:r w:rsidR="005A28FB" w:rsidRPr="00C140A8">
        <w:rPr>
          <w:rFonts w:ascii="Georgia" w:hAnsi="Georgia" w:cs="Calibri"/>
          <w:sz w:val="22"/>
          <w:szCs w:val="22"/>
          <w:lang w:val="nl-NL"/>
        </w:rPr>
        <w:t xml:space="preserve"> </w:t>
      </w:r>
      <w:r w:rsidRPr="00C140A8">
        <w:rPr>
          <w:rFonts w:ascii="Georgia" w:hAnsi="Georgia" w:cs="Calibri"/>
          <w:sz w:val="22"/>
          <w:szCs w:val="22"/>
          <w:lang w:val="nl-NL"/>
        </w:rPr>
        <w:t xml:space="preserve"> Net als de priorij in </w:t>
      </w:r>
      <w:r w:rsidR="00C44A48" w:rsidRPr="00C140A8">
        <w:rPr>
          <w:rFonts w:ascii="Georgia" w:hAnsi="Georgia" w:cs="Calibri"/>
          <w:sz w:val="22"/>
          <w:szCs w:val="22"/>
          <w:lang w:val="nl-NL"/>
        </w:rPr>
        <w:t>Oudergem en het</w:t>
      </w:r>
      <w:r w:rsidRPr="00C140A8">
        <w:rPr>
          <w:rFonts w:ascii="Georgia" w:hAnsi="Georgia" w:cs="Calibri"/>
          <w:sz w:val="22"/>
          <w:szCs w:val="22"/>
          <w:lang w:val="nl-NL"/>
        </w:rPr>
        <w:t xml:space="preserve"> klooster van </w:t>
      </w:r>
      <w:proofErr w:type="spellStart"/>
      <w:r w:rsidRPr="00C140A8">
        <w:rPr>
          <w:rFonts w:ascii="Georgia" w:hAnsi="Georgia" w:cs="Calibri"/>
          <w:sz w:val="22"/>
          <w:szCs w:val="22"/>
          <w:lang w:val="nl-NL"/>
        </w:rPr>
        <w:t>Septfontaines</w:t>
      </w:r>
      <w:proofErr w:type="spellEnd"/>
      <w:r w:rsidRPr="00C140A8">
        <w:rPr>
          <w:rFonts w:ascii="Georgia" w:hAnsi="Georgia" w:cs="Calibri"/>
          <w:sz w:val="22"/>
          <w:szCs w:val="22"/>
          <w:lang w:val="nl-NL"/>
        </w:rPr>
        <w:t xml:space="preserve"> was ook Groenendaal begonnen </w:t>
      </w:r>
      <w:r w:rsidR="005A6CFB" w:rsidRPr="00C140A8">
        <w:rPr>
          <w:rFonts w:ascii="Georgia" w:hAnsi="Georgia" w:cs="Calibri"/>
          <w:sz w:val="22"/>
          <w:szCs w:val="22"/>
          <w:lang w:val="nl-NL"/>
        </w:rPr>
        <w:t>als een</w:t>
      </w:r>
      <w:r w:rsidRPr="00C140A8">
        <w:rPr>
          <w:rFonts w:ascii="Georgia" w:hAnsi="Georgia" w:cs="Calibri"/>
          <w:sz w:val="22"/>
          <w:szCs w:val="22"/>
          <w:lang w:val="nl-NL"/>
        </w:rPr>
        <w:t xml:space="preserve"> groep kluizenaars die van Jan III een verblijfplaats kregen en er een kapel bouwden.</w:t>
      </w:r>
      <w:r w:rsidRPr="00C140A8">
        <w:rPr>
          <w:rStyle w:val="FootnoteReference"/>
          <w:rFonts w:ascii="Georgia" w:hAnsi="Georgia" w:cs="Calibri"/>
          <w:sz w:val="22"/>
          <w:szCs w:val="22"/>
          <w:lang w:val="nl-NL"/>
        </w:rPr>
        <w:footnoteReference w:id="422"/>
      </w:r>
      <w:r w:rsidRPr="00C140A8">
        <w:rPr>
          <w:rFonts w:ascii="Georgia" w:hAnsi="Georgia" w:cs="Calibri"/>
          <w:sz w:val="22"/>
          <w:szCs w:val="22"/>
          <w:lang w:val="nl-NL"/>
        </w:rPr>
        <w:t xml:space="preserve"> In 1378 stichtten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en Johanna in </w:t>
      </w:r>
      <w:r w:rsidR="003028DB">
        <w:rPr>
          <w:rFonts w:ascii="Georgia" w:hAnsi="Georgia" w:cs="Calibri"/>
          <w:sz w:val="22"/>
          <w:szCs w:val="22"/>
          <w:lang w:val="nl-NL"/>
        </w:rPr>
        <w:t>dit</w:t>
      </w:r>
      <w:r w:rsidRPr="00C140A8">
        <w:rPr>
          <w:rFonts w:ascii="Georgia" w:hAnsi="Georgia" w:cs="Calibri"/>
          <w:sz w:val="22"/>
          <w:szCs w:val="22"/>
          <w:lang w:val="nl-NL"/>
        </w:rPr>
        <w:t xml:space="preserve"> klooster twee jaarmissen voor hun eigen zielenrust. In ruil hiervoor bevestigden zij de privileges van het klooster en stonden zij toe dat het zou uitbreiden.</w:t>
      </w:r>
      <w:r w:rsidRPr="00C140A8">
        <w:rPr>
          <w:rStyle w:val="FootnoteReference"/>
          <w:rFonts w:ascii="Georgia" w:hAnsi="Georgia" w:cs="Calibri"/>
          <w:sz w:val="22"/>
          <w:szCs w:val="22"/>
          <w:lang w:val="nl-NL"/>
        </w:rPr>
        <w:footnoteReference w:id="423"/>
      </w:r>
      <w:r w:rsidRPr="00C140A8">
        <w:rPr>
          <w:rFonts w:ascii="Georgia" w:hAnsi="Georgia" w:cs="Calibri"/>
          <w:sz w:val="22"/>
          <w:szCs w:val="22"/>
          <w:lang w:val="nl-NL"/>
        </w:rPr>
        <w:t xml:space="preserve"> </w:t>
      </w:r>
      <w:r w:rsidR="00B359D1">
        <w:rPr>
          <w:rFonts w:ascii="Georgia" w:hAnsi="Georgia" w:cs="Calibri"/>
          <w:sz w:val="22"/>
          <w:szCs w:val="22"/>
          <w:lang w:val="nl-NL"/>
        </w:rPr>
        <w:t>Op 24 augustus</w:t>
      </w:r>
      <w:r w:rsidRPr="00C140A8">
        <w:rPr>
          <w:rFonts w:ascii="Georgia" w:hAnsi="Georgia" w:cs="Calibri"/>
          <w:sz w:val="22"/>
          <w:szCs w:val="22"/>
          <w:lang w:val="nl-NL"/>
        </w:rPr>
        <w:t xml:space="preserve"> 1381 was Johanna aanwezig bij de eerstesteenlegging van een nieuwe kerk </w:t>
      </w:r>
      <w:r w:rsidR="00B359D1">
        <w:rPr>
          <w:rFonts w:ascii="Georgia" w:hAnsi="Georgia" w:cs="Calibri"/>
          <w:sz w:val="22"/>
          <w:szCs w:val="22"/>
          <w:lang w:val="nl-NL"/>
        </w:rPr>
        <w:t xml:space="preserve">en een ziekenzaal </w:t>
      </w:r>
      <w:r w:rsidRPr="00C140A8">
        <w:rPr>
          <w:rFonts w:ascii="Georgia" w:hAnsi="Georgia" w:cs="Calibri"/>
          <w:sz w:val="22"/>
          <w:szCs w:val="22"/>
          <w:lang w:val="nl-NL"/>
        </w:rPr>
        <w:t>in dit klooster.</w:t>
      </w:r>
      <w:r w:rsidR="00B359D1">
        <w:rPr>
          <w:rStyle w:val="FootnoteReference"/>
          <w:rFonts w:ascii="Georgia" w:hAnsi="Georgia" w:cs="Calibri"/>
          <w:sz w:val="22"/>
          <w:szCs w:val="22"/>
          <w:lang w:val="nl-NL"/>
        </w:rPr>
        <w:footnoteReference w:id="424"/>
      </w:r>
      <w:r w:rsidRPr="00C140A8">
        <w:rPr>
          <w:rFonts w:ascii="Georgia" w:hAnsi="Georgia" w:cs="Calibri"/>
          <w:sz w:val="22"/>
          <w:szCs w:val="22"/>
          <w:lang w:val="nl-NL"/>
        </w:rPr>
        <w:t xml:space="preserve"> De </w:t>
      </w:r>
      <w:r w:rsidRPr="00C140A8">
        <w:rPr>
          <w:rFonts w:ascii="Georgia" w:hAnsi="Georgia" w:cs="Calibri"/>
          <w:sz w:val="22"/>
          <w:szCs w:val="22"/>
          <w:lang w:val="nl-NL"/>
        </w:rPr>
        <w:lastRenderedPageBreak/>
        <w:t xml:space="preserve">kaft van dit rekeningjaar vermeldt dit ook en stelt dat alle uitgaven aan de bouw van deze kerk vermeld staan in de </w:t>
      </w:r>
      <w:proofErr w:type="spellStart"/>
      <w:r w:rsidRPr="00C140A8">
        <w:rPr>
          <w:rFonts w:ascii="Georgia" w:hAnsi="Georgia" w:cs="Calibri"/>
          <w:i/>
          <w:iCs/>
          <w:sz w:val="22"/>
          <w:szCs w:val="22"/>
          <w:lang w:val="nl-NL"/>
        </w:rPr>
        <w:t>foreine</w:t>
      </w:r>
      <w:proofErr w:type="spellEnd"/>
      <w:r w:rsidRPr="00C140A8">
        <w:rPr>
          <w:rFonts w:ascii="Georgia" w:hAnsi="Georgia" w:cs="Calibri"/>
          <w:i/>
          <w:iCs/>
          <w:sz w:val="22"/>
          <w:szCs w:val="22"/>
          <w:lang w:val="nl-NL"/>
        </w:rPr>
        <w:t xml:space="preserve"> </w:t>
      </w:r>
      <w:proofErr w:type="spellStart"/>
      <w:r w:rsidRPr="00C140A8">
        <w:rPr>
          <w:rFonts w:ascii="Georgia" w:hAnsi="Georgia" w:cs="Calibri"/>
          <w:i/>
          <w:iCs/>
          <w:sz w:val="22"/>
          <w:szCs w:val="22"/>
          <w:lang w:val="nl-NL"/>
        </w:rPr>
        <w:t>partieën</w:t>
      </w:r>
      <w:proofErr w:type="spellEnd"/>
      <w:r w:rsidRPr="00C140A8">
        <w:rPr>
          <w:rFonts w:ascii="Georgia" w:hAnsi="Georgia" w:cs="Calibri"/>
          <w:sz w:val="22"/>
          <w:szCs w:val="22"/>
          <w:lang w:val="nl-NL"/>
        </w:rPr>
        <w:t>.</w:t>
      </w:r>
      <w:r w:rsidRPr="00C140A8">
        <w:rPr>
          <w:rStyle w:val="FootnoteReference"/>
          <w:rFonts w:ascii="Georgia" w:hAnsi="Georgia" w:cs="Calibri"/>
          <w:sz w:val="22"/>
          <w:szCs w:val="22"/>
          <w:lang w:val="nl-NL"/>
        </w:rPr>
        <w:footnoteReference w:id="425"/>
      </w:r>
      <w:r w:rsidRPr="00C140A8">
        <w:rPr>
          <w:rFonts w:ascii="Georgia" w:hAnsi="Georgia" w:cs="Calibri"/>
          <w:sz w:val="22"/>
          <w:szCs w:val="22"/>
          <w:lang w:val="nl-NL"/>
        </w:rPr>
        <w:t xml:space="preserve"> Bij die gelegenheid deed </w:t>
      </w:r>
      <w:r w:rsidR="00442A63">
        <w:rPr>
          <w:rFonts w:ascii="Georgia" w:hAnsi="Georgia" w:cs="Calibri"/>
          <w:sz w:val="22"/>
          <w:szCs w:val="22"/>
          <w:lang w:val="nl-NL"/>
        </w:rPr>
        <w:t>Johanna</w:t>
      </w:r>
      <w:r w:rsidRPr="00C140A8">
        <w:rPr>
          <w:rFonts w:ascii="Georgia" w:hAnsi="Georgia" w:cs="Calibri"/>
          <w:sz w:val="22"/>
          <w:szCs w:val="22"/>
          <w:lang w:val="nl-NL"/>
        </w:rPr>
        <w:t xml:space="preserve"> een donatie aan het klooster. Dit herhaalde zich in 1396</w:t>
      </w:r>
      <w:r w:rsidR="005A6CFB" w:rsidRPr="00C140A8">
        <w:rPr>
          <w:rFonts w:ascii="Georgia" w:hAnsi="Georgia" w:cs="Calibri"/>
          <w:sz w:val="22"/>
          <w:szCs w:val="22"/>
          <w:lang w:val="nl-NL"/>
        </w:rPr>
        <w:t>. N</w:t>
      </w:r>
      <w:r w:rsidRPr="00C140A8">
        <w:rPr>
          <w:rFonts w:ascii="Georgia" w:hAnsi="Georgia" w:cs="Calibri"/>
          <w:sz w:val="22"/>
          <w:szCs w:val="22"/>
          <w:lang w:val="nl-NL"/>
        </w:rPr>
        <w:t xml:space="preserve">aar aanleiding van een verdere uitbreiding stichtte </w:t>
      </w:r>
      <w:r w:rsidR="006411DE">
        <w:rPr>
          <w:rFonts w:ascii="Georgia" w:hAnsi="Georgia" w:cs="Calibri"/>
          <w:sz w:val="22"/>
          <w:szCs w:val="22"/>
          <w:lang w:val="nl-NL"/>
        </w:rPr>
        <w:t>ze</w:t>
      </w:r>
      <w:r w:rsidRPr="00C140A8">
        <w:rPr>
          <w:rFonts w:ascii="Georgia" w:hAnsi="Georgia" w:cs="Calibri"/>
          <w:sz w:val="22"/>
          <w:szCs w:val="22"/>
          <w:lang w:val="nl-NL"/>
        </w:rPr>
        <w:t xml:space="preserve"> wekelijkse zielenmissen voor haar vader Jan III, voor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en voor de toekomstige hertogen van Brabant.</w:t>
      </w:r>
      <w:r w:rsidRPr="00C140A8">
        <w:rPr>
          <w:rStyle w:val="FootnoteReference"/>
          <w:rFonts w:ascii="Georgia" w:hAnsi="Georgia" w:cs="Calibri"/>
          <w:sz w:val="22"/>
          <w:szCs w:val="22"/>
          <w:lang w:val="nl-NL"/>
        </w:rPr>
        <w:footnoteReference w:id="426"/>
      </w:r>
      <w:r w:rsidRPr="00C140A8">
        <w:rPr>
          <w:rFonts w:ascii="Georgia" w:hAnsi="Georgia" w:cs="Calibri"/>
          <w:sz w:val="22"/>
          <w:szCs w:val="22"/>
          <w:lang w:val="nl-NL"/>
        </w:rPr>
        <w:t xml:space="preserve"> </w:t>
      </w:r>
    </w:p>
    <w:p w14:paraId="12DB2CD8" w14:textId="7CC34269" w:rsidR="005A1717" w:rsidRPr="00C140A8" w:rsidRDefault="00BD675E"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De schenkingen van Johanna aan kloosters en abdijen tonen een duidelijke voorliefde voor gemeenschappen die getuigden van een nieuwe religieuze beleving.</w:t>
      </w:r>
      <w:r w:rsidR="00E96BE8" w:rsidRPr="00C140A8">
        <w:rPr>
          <w:rStyle w:val="FootnoteReference"/>
          <w:rFonts w:ascii="Georgia" w:hAnsi="Georgia" w:cs="Calibri"/>
          <w:sz w:val="22"/>
          <w:szCs w:val="22"/>
          <w:lang w:val="nl-NL"/>
        </w:rPr>
        <w:footnoteReference w:id="427"/>
      </w:r>
      <w:r w:rsidRPr="00C140A8">
        <w:rPr>
          <w:rFonts w:ascii="Georgia" w:hAnsi="Georgia" w:cs="Calibri"/>
          <w:sz w:val="22"/>
          <w:szCs w:val="22"/>
          <w:lang w:val="nl-NL"/>
        </w:rPr>
        <w:t xml:space="preserve"> Deze trend zou zich geleidelijk ontwikkelen tot de Moderne Devotie (14e-15e eeuw), een beweging die de nadruk legde op een persoonlijke geloofsbeleving, gericht op de ontmoeting met en de navolging van Christus. Johanna's banden met Groenendaal, waar de mysticus Jan van </w:t>
      </w:r>
      <w:proofErr w:type="spellStart"/>
      <w:r w:rsidRPr="00C140A8">
        <w:rPr>
          <w:rFonts w:ascii="Georgia" w:hAnsi="Georgia" w:cs="Calibri"/>
          <w:sz w:val="22"/>
          <w:szCs w:val="22"/>
          <w:lang w:val="nl-NL"/>
        </w:rPr>
        <w:t>Ruusbroec</w:t>
      </w:r>
      <w:proofErr w:type="spellEnd"/>
      <w:r w:rsidRPr="00C140A8">
        <w:rPr>
          <w:rFonts w:ascii="Georgia" w:hAnsi="Georgia" w:cs="Calibri"/>
          <w:sz w:val="22"/>
          <w:szCs w:val="22"/>
          <w:lang w:val="nl-NL"/>
        </w:rPr>
        <w:t xml:space="preserve"> verbleef</w:t>
      </w:r>
      <w:r w:rsidR="004A2100" w:rsidRPr="00C140A8">
        <w:rPr>
          <w:rFonts w:ascii="Georgia" w:hAnsi="Georgia" w:cs="Calibri"/>
          <w:sz w:val="22"/>
          <w:szCs w:val="22"/>
          <w:lang w:val="nl-NL"/>
        </w:rPr>
        <w:t>, zijn bijzonder veelzeggend</w:t>
      </w:r>
      <w:r w:rsidR="00B5563E" w:rsidRPr="00C140A8">
        <w:rPr>
          <w:rFonts w:ascii="Georgia" w:hAnsi="Georgia" w:cs="Calibri"/>
          <w:sz w:val="22"/>
          <w:szCs w:val="22"/>
          <w:lang w:val="nl-NL"/>
        </w:rPr>
        <w:t xml:space="preserve"> aangezien hij </w:t>
      </w:r>
      <w:r w:rsidRPr="00C140A8">
        <w:rPr>
          <w:rFonts w:ascii="Georgia" w:hAnsi="Georgia" w:cs="Calibri"/>
          <w:sz w:val="22"/>
          <w:szCs w:val="22"/>
          <w:lang w:val="nl-NL"/>
        </w:rPr>
        <w:t>een belangrijke inspiratiebron voor de Moderne Devotie</w:t>
      </w:r>
      <w:r w:rsidR="00B5563E" w:rsidRPr="00C140A8">
        <w:rPr>
          <w:rFonts w:ascii="Georgia" w:hAnsi="Georgia" w:cs="Calibri"/>
          <w:sz w:val="22"/>
          <w:szCs w:val="22"/>
          <w:lang w:val="nl-NL"/>
        </w:rPr>
        <w:t xml:space="preserve"> was. I</w:t>
      </w:r>
      <w:r w:rsidRPr="00C140A8">
        <w:rPr>
          <w:rFonts w:ascii="Georgia" w:hAnsi="Georgia" w:cs="Calibri"/>
          <w:sz w:val="22"/>
          <w:szCs w:val="22"/>
          <w:lang w:val="nl-NL"/>
        </w:rPr>
        <w:t>n zijn werk beschreef hij hoe achter de uiterlijke toewijding aan God, door goede werken, naastenliefde en inzet, een verborgen innerlijke toewijding schuilgaat.</w:t>
      </w:r>
      <w:r w:rsidRPr="00C140A8">
        <w:rPr>
          <w:rStyle w:val="FootnoteReference"/>
          <w:rFonts w:ascii="Georgia" w:hAnsi="Georgia" w:cs="Calibri"/>
          <w:sz w:val="22"/>
          <w:szCs w:val="22"/>
          <w:lang w:val="nl-NL"/>
        </w:rPr>
        <w:footnoteReference w:id="428"/>
      </w:r>
      <w:r w:rsidRPr="00C140A8">
        <w:rPr>
          <w:rFonts w:ascii="Georgia" w:hAnsi="Georgia" w:cs="Calibri"/>
          <w:sz w:val="22"/>
          <w:szCs w:val="22"/>
          <w:lang w:val="nl-NL"/>
        </w:rPr>
        <w:t xml:space="preserve"> Een diepe verbondenheid met God ging volgens hem samen met concrete actie in de wereld, een gedachte die teruggreep op een oudere christelijke traditie, maar binnen de huidige context van de 14</w:t>
      </w:r>
      <w:r w:rsidRPr="00C140A8">
        <w:rPr>
          <w:rFonts w:ascii="Georgia" w:hAnsi="Georgia" w:cs="Calibri"/>
          <w:sz w:val="22"/>
          <w:szCs w:val="22"/>
          <w:vertAlign w:val="superscript"/>
          <w:lang w:val="nl-NL"/>
        </w:rPr>
        <w:t>e</w:t>
      </w:r>
      <w:r w:rsidRPr="00C140A8">
        <w:rPr>
          <w:rFonts w:ascii="Georgia" w:hAnsi="Georgia" w:cs="Calibri"/>
          <w:sz w:val="22"/>
          <w:szCs w:val="22"/>
          <w:lang w:val="nl-NL"/>
        </w:rPr>
        <w:t xml:space="preserve"> eeuw opnieuw moest worden geactualiseerd.</w:t>
      </w:r>
      <w:r w:rsidRPr="00C140A8">
        <w:rPr>
          <w:rStyle w:val="FootnoteReference"/>
          <w:rFonts w:ascii="Georgia" w:hAnsi="Georgia" w:cs="Calibri"/>
          <w:sz w:val="22"/>
          <w:szCs w:val="22"/>
          <w:lang w:val="nl-NL"/>
        </w:rPr>
        <w:footnoteReference w:id="429"/>
      </w:r>
      <w:r w:rsidRPr="00C140A8">
        <w:rPr>
          <w:rFonts w:ascii="Georgia" w:hAnsi="Georgia" w:cs="Calibri"/>
          <w:sz w:val="22"/>
          <w:szCs w:val="22"/>
          <w:lang w:val="nl-NL"/>
        </w:rPr>
        <w:t xml:space="preserve"> Ook voor de hertogin was dit een persoonlijk en doorleefd engagement.</w:t>
      </w:r>
      <w:r w:rsidR="00B5563E" w:rsidRPr="00C140A8">
        <w:rPr>
          <w:rFonts w:ascii="Georgia" w:hAnsi="Georgia" w:cs="Calibri"/>
          <w:sz w:val="22"/>
          <w:szCs w:val="22"/>
          <w:lang w:val="nl-NL"/>
        </w:rPr>
        <w:t xml:space="preserve"> </w:t>
      </w:r>
      <w:r w:rsidR="005A1717" w:rsidRPr="00C140A8">
        <w:rPr>
          <w:rFonts w:ascii="Georgia" w:hAnsi="Georgia" w:cs="Calibri"/>
          <w:sz w:val="22"/>
          <w:szCs w:val="22"/>
        </w:rPr>
        <w:t xml:space="preserve">Johanna onderhield nauwe banden met verschillende </w:t>
      </w:r>
      <w:r w:rsidR="005A6CFB" w:rsidRPr="00C140A8">
        <w:rPr>
          <w:rFonts w:ascii="Georgia" w:hAnsi="Georgia" w:cs="Calibri"/>
          <w:sz w:val="22"/>
          <w:szCs w:val="22"/>
        </w:rPr>
        <w:t xml:space="preserve">van deze </w:t>
      </w:r>
      <w:r w:rsidR="005A1717" w:rsidRPr="00C140A8">
        <w:rPr>
          <w:rFonts w:ascii="Georgia" w:hAnsi="Georgia" w:cs="Calibri"/>
          <w:sz w:val="22"/>
          <w:szCs w:val="22"/>
        </w:rPr>
        <w:t xml:space="preserve">religieuze instellingen en gemeenschappen. Die banden dienden politieke doeleinden en versterkten haar positie binnen een religieus netwerk, maar getuigden tegelijk van haar persoonlijke </w:t>
      </w:r>
      <w:r w:rsidR="0038153E" w:rsidRPr="00C140A8">
        <w:rPr>
          <w:rFonts w:ascii="Georgia" w:hAnsi="Georgia" w:cs="Calibri"/>
          <w:sz w:val="22"/>
          <w:szCs w:val="22"/>
        </w:rPr>
        <w:t>devotie</w:t>
      </w:r>
      <w:r w:rsidR="005A1717" w:rsidRPr="00C140A8">
        <w:rPr>
          <w:rFonts w:ascii="Georgia" w:hAnsi="Georgia" w:cs="Calibri"/>
          <w:sz w:val="22"/>
          <w:szCs w:val="22"/>
        </w:rPr>
        <w:t xml:space="preserve">. De volgende sectie gaat dieper in op de manier waarop zij die toewijding </w:t>
      </w:r>
      <w:r w:rsidR="005A6CFB" w:rsidRPr="00C140A8">
        <w:rPr>
          <w:rFonts w:ascii="Georgia" w:hAnsi="Georgia" w:cs="Calibri"/>
          <w:sz w:val="22"/>
          <w:szCs w:val="22"/>
        </w:rPr>
        <w:t>aan</w:t>
      </w:r>
      <w:r w:rsidR="005A1717" w:rsidRPr="00C140A8">
        <w:rPr>
          <w:rFonts w:ascii="Georgia" w:hAnsi="Georgia" w:cs="Calibri"/>
          <w:sz w:val="22"/>
          <w:szCs w:val="22"/>
        </w:rPr>
        <w:t xml:space="preserve"> een breder publiek etaleerde.</w:t>
      </w:r>
    </w:p>
    <w:p w14:paraId="264413DC" w14:textId="77777777" w:rsidR="00A30C4D" w:rsidRPr="00C140A8" w:rsidRDefault="00A30C4D" w:rsidP="00B54A0D">
      <w:pPr>
        <w:pStyle w:val="ThesisHeading"/>
        <w:spacing w:after="0"/>
        <w:rPr>
          <w:lang w:val="nl-NL"/>
        </w:rPr>
      </w:pPr>
      <w:bookmarkStart w:id="244" w:name="_Toc231153790"/>
      <w:bookmarkStart w:id="245" w:name="_Toc231329859"/>
      <w:bookmarkStart w:id="246" w:name="_Toc231330466"/>
      <w:bookmarkStart w:id="247" w:name="_Toc231428060"/>
      <w:bookmarkStart w:id="248" w:name="_Toc231463614"/>
      <w:r w:rsidRPr="00C140A8">
        <w:rPr>
          <w:lang w:val="nl-NL"/>
        </w:rPr>
        <w:t>Johanna’s religieuze devotie</w:t>
      </w:r>
      <w:bookmarkEnd w:id="244"/>
      <w:bookmarkEnd w:id="245"/>
      <w:bookmarkEnd w:id="246"/>
      <w:bookmarkEnd w:id="247"/>
      <w:bookmarkEnd w:id="248"/>
    </w:p>
    <w:p w14:paraId="1CBA96F9" w14:textId="77777777" w:rsidR="00A30C4D" w:rsidRPr="00C140A8" w:rsidRDefault="00A30C4D" w:rsidP="00B54A0D">
      <w:pPr>
        <w:pStyle w:val="ThesisSubheading"/>
        <w:spacing w:before="0"/>
        <w:ind w:left="1134" w:hanging="1134"/>
      </w:pPr>
      <w:bookmarkStart w:id="249" w:name="_Toc229404853"/>
      <w:bookmarkStart w:id="250" w:name="_Toc231153791"/>
      <w:bookmarkStart w:id="251" w:name="_Toc231329860"/>
      <w:bookmarkStart w:id="252" w:name="_Toc231330467"/>
      <w:bookmarkStart w:id="253" w:name="_Toc231428061"/>
      <w:proofErr w:type="spellStart"/>
      <w:r w:rsidRPr="00B54A0D">
        <w:t>Materiële</w:t>
      </w:r>
      <w:proofErr w:type="spellEnd"/>
      <w:r w:rsidRPr="00C140A8">
        <w:t xml:space="preserve"> </w:t>
      </w:r>
      <w:proofErr w:type="spellStart"/>
      <w:r w:rsidRPr="00C140A8">
        <w:t>schenkingen</w:t>
      </w:r>
      <w:bookmarkEnd w:id="249"/>
      <w:bookmarkEnd w:id="250"/>
      <w:bookmarkEnd w:id="251"/>
      <w:bookmarkEnd w:id="252"/>
      <w:bookmarkEnd w:id="253"/>
      <w:proofErr w:type="spellEnd"/>
      <w:r w:rsidRPr="00C140A8">
        <w:t xml:space="preserve"> </w:t>
      </w:r>
    </w:p>
    <w:p w14:paraId="3D3E7CD7" w14:textId="6453C237" w:rsidR="00A30C4D" w:rsidRPr="00C140A8" w:rsidRDefault="00A30C4D"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Naast de privileges en de stichting van </w:t>
      </w:r>
      <w:proofErr w:type="spellStart"/>
      <w:r w:rsidRPr="007828B2">
        <w:rPr>
          <w:rFonts w:ascii="Georgia" w:hAnsi="Georgia" w:cs="Calibri"/>
          <w:i/>
          <w:iCs/>
          <w:sz w:val="22"/>
          <w:szCs w:val="22"/>
          <w:lang w:val="nl-NL"/>
        </w:rPr>
        <w:t>memoriae</w:t>
      </w:r>
      <w:proofErr w:type="spellEnd"/>
      <w:r w:rsidRPr="00C140A8">
        <w:rPr>
          <w:rFonts w:ascii="Georgia" w:hAnsi="Georgia" w:cs="Calibri"/>
          <w:sz w:val="22"/>
          <w:szCs w:val="22"/>
          <w:lang w:val="nl-NL"/>
        </w:rPr>
        <w:t xml:space="preserve"> kennen de rekeningen en oorkonden ook een reeks eenmalige schenkingen van goederen zoals liturgische voorwerpen of </w:t>
      </w:r>
      <w:r w:rsidR="007828B2">
        <w:rPr>
          <w:rFonts w:ascii="Georgia" w:hAnsi="Georgia" w:cs="Calibri"/>
          <w:sz w:val="22"/>
          <w:szCs w:val="22"/>
          <w:lang w:val="nl-NL"/>
        </w:rPr>
        <w:t>geldsommen</w:t>
      </w:r>
      <w:r w:rsidRPr="00C140A8">
        <w:rPr>
          <w:rFonts w:ascii="Georgia" w:hAnsi="Georgia" w:cs="Calibri"/>
          <w:sz w:val="22"/>
          <w:szCs w:val="22"/>
          <w:lang w:val="nl-NL"/>
        </w:rPr>
        <w:t xml:space="preserve"> aan religieuze instellingen. Johanna’s persoonlijke devotie bleek oprecht te zijn en schemerde sterk door in deze schenkingen. Daarnaast lijken ze ook een meer representatieve functie te hebben waarbij Johanna zichzelf profileert als een vrome vorstin. Waar privileges de formele relatie tussen het hertogelijke paar en een klooster of abdij vastlegden, dienden schenkingen </w:t>
      </w:r>
      <w:r w:rsidRPr="00C140A8">
        <w:rPr>
          <w:rFonts w:ascii="Georgia" w:hAnsi="Georgia" w:cs="Calibri"/>
          <w:sz w:val="22"/>
          <w:szCs w:val="22"/>
          <w:lang w:val="nl-NL"/>
        </w:rPr>
        <w:lastRenderedPageBreak/>
        <w:t>om die relatie zichtbaar te maken, niet alleen voor de ontvangende instelling, maar ook voor een breder publiek. Dit is in feite niet opmerkelijk in de Lage Landen</w:t>
      </w:r>
      <w:r w:rsidR="006411DE">
        <w:rPr>
          <w:rFonts w:ascii="Georgia" w:hAnsi="Georgia" w:cs="Calibri"/>
          <w:sz w:val="22"/>
          <w:szCs w:val="22"/>
          <w:lang w:val="nl-NL"/>
        </w:rPr>
        <w:t xml:space="preserve">. Zo merkt </w:t>
      </w:r>
      <w:r w:rsidRPr="00C140A8">
        <w:rPr>
          <w:rFonts w:ascii="Georgia" w:hAnsi="Georgia" w:cs="Calibri"/>
          <w:sz w:val="22"/>
          <w:szCs w:val="22"/>
          <w:lang w:val="nl-NL"/>
        </w:rPr>
        <w:t xml:space="preserve">Wim Blockmans op in zijn studie over Margareta van York dat er een algemene trend in de Nederlanden bestond waarbij devotie, vrijgevigheid en status binnen vrouwelijke patronage </w:t>
      </w:r>
      <w:r w:rsidR="006411DE">
        <w:rPr>
          <w:rFonts w:ascii="Georgia" w:hAnsi="Georgia" w:cs="Calibri"/>
          <w:sz w:val="22"/>
          <w:szCs w:val="22"/>
          <w:lang w:val="nl-NL"/>
        </w:rPr>
        <w:t>telkens samen</w:t>
      </w:r>
      <w:r w:rsidRPr="00C140A8">
        <w:rPr>
          <w:rFonts w:ascii="Georgia" w:hAnsi="Georgia" w:cs="Calibri"/>
          <w:sz w:val="22"/>
          <w:szCs w:val="22"/>
          <w:lang w:val="nl-NL"/>
        </w:rPr>
        <w:t xml:space="preserve"> </w:t>
      </w:r>
      <w:r w:rsidR="006411DE">
        <w:rPr>
          <w:rFonts w:ascii="Georgia" w:hAnsi="Georgia" w:cs="Calibri"/>
          <w:sz w:val="22"/>
          <w:szCs w:val="22"/>
          <w:lang w:val="nl-NL"/>
        </w:rPr>
        <w:t>voorkwam</w:t>
      </w:r>
      <w:r w:rsidRPr="00C140A8">
        <w:rPr>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430"/>
      </w:r>
    </w:p>
    <w:p w14:paraId="2148084B" w14:textId="2D57E1FB" w:rsidR="00A30C4D" w:rsidRPr="00C140A8" w:rsidRDefault="00A30C4D"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Een sprekend voorbeeld is de schenking van een groot loden glasraam voor de Onze-Lieve-Vrouwekapel van Halle, waarvoor Johanna op 9 september 1379 aan glazenier </w:t>
      </w:r>
      <w:proofErr w:type="spellStart"/>
      <w:r w:rsidRPr="00C140A8">
        <w:rPr>
          <w:rFonts w:ascii="Georgia" w:hAnsi="Georgia" w:cs="Calibri"/>
          <w:sz w:val="22"/>
          <w:szCs w:val="22"/>
          <w:lang w:val="nl-NL"/>
        </w:rPr>
        <w:t>Lonis</w:t>
      </w:r>
      <w:proofErr w:type="spellEnd"/>
      <w:r w:rsidRPr="00C140A8">
        <w:rPr>
          <w:rFonts w:ascii="Georgia" w:hAnsi="Georgia" w:cs="Calibri"/>
          <w:sz w:val="22"/>
          <w:szCs w:val="22"/>
          <w:lang w:val="nl-NL"/>
        </w:rPr>
        <w:t xml:space="preserve"> 51 </w:t>
      </w:r>
      <w:proofErr w:type="spellStart"/>
      <w:r w:rsidRPr="00C140A8">
        <w:rPr>
          <w:rFonts w:ascii="Georgia" w:hAnsi="Georgia" w:cs="Calibri"/>
          <w:sz w:val="22"/>
          <w:szCs w:val="22"/>
          <w:lang w:val="nl-NL"/>
        </w:rPr>
        <w:t>p</w:t>
      </w:r>
      <w:r w:rsidR="007828B2">
        <w:rPr>
          <w:rFonts w:ascii="Georgia" w:hAnsi="Georgia" w:cs="Calibri"/>
          <w:sz w:val="22"/>
          <w:szCs w:val="22"/>
          <w:lang w:val="nl-NL"/>
        </w:rPr>
        <w:t>i</w:t>
      </w:r>
      <w:r w:rsidRPr="00C140A8">
        <w:rPr>
          <w:rFonts w:ascii="Georgia" w:hAnsi="Georgia" w:cs="Calibri"/>
          <w:sz w:val="22"/>
          <w:szCs w:val="22"/>
          <w:lang w:val="nl-NL"/>
        </w:rPr>
        <w:t>eters</w:t>
      </w:r>
      <w:proofErr w:type="spellEnd"/>
      <w:r w:rsidRPr="00C140A8">
        <w:rPr>
          <w:rFonts w:ascii="Georgia" w:hAnsi="Georgia" w:cs="Calibri"/>
          <w:sz w:val="22"/>
          <w:szCs w:val="22"/>
          <w:lang w:val="nl-NL"/>
        </w:rPr>
        <w:t xml:space="preserve"> betaalde.</w:t>
      </w:r>
      <w:r w:rsidRPr="00C140A8">
        <w:rPr>
          <w:rStyle w:val="FootnoteReference"/>
          <w:rFonts w:ascii="Georgia" w:hAnsi="Georgia" w:cs="Calibri"/>
          <w:sz w:val="22"/>
          <w:szCs w:val="22"/>
          <w:lang w:val="nl-NL"/>
        </w:rPr>
        <w:footnoteReference w:id="431"/>
      </w:r>
      <w:r w:rsidRPr="00C140A8">
        <w:rPr>
          <w:rFonts w:ascii="Georgia" w:hAnsi="Georgia" w:cs="Calibri"/>
          <w:sz w:val="22"/>
          <w:szCs w:val="22"/>
          <w:lang w:val="nl-NL"/>
        </w:rPr>
        <w:t xml:space="preserve"> Halle was een belangrijk bedevaartsoord dat Johanna meermaals per jaar bezocht. Een glasraam van die omvang was geen bescheiden privégeschenk.</w:t>
      </w:r>
      <w:r w:rsidRPr="00C140A8">
        <w:rPr>
          <w:rStyle w:val="FootnoteReference"/>
          <w:rFonts w:ascii="Georgia" w:hAnsi="Georgia" w:cs="Calibri"/>
          <w:sz w:val="22"/>
          <w:szCs w:val="22"/>
          <w:lang w:val="nl-NL"/>
        </w:rPr>
        <w:footnoteReference w:id="432"/>
      </w:r>
      <w:r w:rsidRPr="00C140A8">
        <w:rPr>
          <w:rFonts w:ascii="Georgia" w:hAnsi="Georgia" w:cs="Calibri"/>
          <w:sz w:val="22"/>
          <w:szCs w:val="22"/>
          <w:lang w:val="nl-NL"/>
        </w:rPr>
        <w:t xml:space="preserve"> Het was een publiek en zichtbaar object dat het Brabantse huis in het hart van een drukbezocht heiligdom in het graafschap Henegouwen liet plaatsen.</w:t>
      </w:r>
      <w:r w:rsidRPr="00C140A8">
        <w:rPr>
          <w:rStyle w:val="FootnoteReference"/>
          <w:rFonts w:ascii="Georgia" w:hAnsi="Georgia" w:cs="Calibri"/>
          <w:sz w:val="22"/>
          <w:szCs w:val="22"/>
          <w:lang w:val="nl-NL"/>
        </w:rPr>
        <w:t xml:space="preserve"> </w:t>
      </w:r>
      <w:r w:rsidRPr="00C140A8">
        <w:rPr>
          <w:rFonts w:ascii="Georgia" w:hAnsi="Georgia" w:cs="Calibri"/>
          <w:sz w:val="22"/>
          <w:szCs w:val="22"/>
          <w:lang w:val="nl-NL"/>
        </w:rPr>
        <w:t xml:space="preserve">Johanna's vroomheid krijgt hier een visuele representatie. Zij deed dergelijke schenkingen vaker. Zo vermeldt André </w:t>
      </w:r>
      <w:proofErr w:type="spellStart"/>
      <w:r w:rsidRPr="00C140A8">
        <w:rPr>
          <w:rFonts w:ascii="Georgia" w:hAnsi="Georgia" w:cs="Calibri"/>
          <w:sz w:val="22"/>
          <w:szCs w:val="22"/>
          <w:lang w:val="nl-NL"/>
        </w:rPr>
        <w:t>Uyttebrouck</w:t>
      </w:r>
      <w:proofErr w:type="spellEnd"/>
      <w:r w:rsidRPr="00C140A8">
        <w:rPr>
          <w:rFonts w:ascii="Georgia" w:hAnsi="Georgia" w:cs="Calibri"/>
          <w:sz w:val="22"/>
          <w:szCs w:val="22"/>
          <w:lang w:val="nl-NL"/>
        </w:rPr>
        <w:t xml:space="preserve"> dat ze in 1384 een glasraam schonk aan het klooster van Oudergem, dat ze mede had gesticht, en in 1383 aan de Sint-Pieterskerk van Halen.</w:t>
      </w:r>
      <w:r w:rsidRPr="00C140A8">
        <w:rPr>
          <w:rStyle w:val="FootnoteReference"/>
          <w:rFonts w:ascii="Georgia" w:hAnsi="Georgia" w:cs="Calibri"/>
          <w:sz w:val="22"/>
          <w:szCs w:val="22"/>
          <w:lang w:val="nl-NL"/>
        </w:rPr>
        <w:footnoteReference w:id="433"/>
      </w:r>
      <w:r w:rsidRPr="00C140A8">
        <w:rPr>
          <w:rFonts w:ascii="Georgia" w:hAnsi="Georgia" w:cs="Calibri"/>
          <w:sz w:val="22"/>
          <w:szCs w:val="22"/>
          <w:lang w:val="nl-NL"/>
        </w:rPr>
        <w:t xml:space="preserve"> </w:t>
      </w:r>
      <w:r w:rsidR="00961236" w:rsidRPr="00C140A8">
        <w:rPr>
          <w:rFonts w:ascii="Georgia" w:hAnsi="Georgia" w:cs="Calibri"/>
          <w:sz w:val="22"/>
          <w:szCs w:val="22"/>
          <w:lang w:val="nl-NL"/>
        </w:rPr>
        <w:t>De</w:t>
      </w:r>
      <w:r w:rsidRPr="00C140A8">
        <w:rPr>
          <w:rFonts w:ascii="Georgia" w:hAnsi="Georgia" w:cs="Calibri"/>
          <w:sz w:val="22"/>
          <w:szCs w:val="22"/>
          <w:lang w:val="nl-NL"/>
        </w:rPr>
        <w:t xml:space="preserve"> keuze van de ontvangende instelling</w:t>
      </w:r>
      <w:r w:rsidR="00961236" w:rsidRPr="00C140A8">
        <w:rPr>
          <w:rFonts w:ascii="Georgia" w:hAnsi="Georgia" w:cs="Calibri"/>
          <w:sz w:val="22"/>
          <w:szCs w:val="22"/>
          <w:lang w:val="nl-NL"/>
        </w:rPr>
        <w:t xml:space="preserve"> was</w:t>
      </w:r>
      <w:r w:rsidRPr="00C140A8">
        <w:rPr>
          <w:rFonts w:ascii="Georgia" w:hAnsi="Georgia" w:cs="Calibri"/>
          <w:sz w:val="22"/>
          <w:szCs w:val="22"/>
          <w:lang w:val="nl-NL"/>
        </w:rPr>
        <w:t xml:space="preserve"> zelden toevallig</w:t>
      </w:r>
      <w:r w:rsidR="00961236" w:rsidRPr="00C140A8">
        <w:rPr>
          <w:rFonts w:ascii="Georgia" w:hAnsi="Georgia" w:cs="Calibri"/>
          <w:sz w:val="22"/>
          <w:szCs w:val="22"/>
          <w:lang w:val="nl-NL"/>
        </w:rPr>
        <w:t xml:space="preserve"> of willekeurig</w:t>
      </w:r>
      <w:r w:rsidRPr="00C140A8">
        <w:rPr>
          <w:rFonts w:ascii="Georgia" w:hAnsi="Georgia" w:cs="Calibri"/>
          <w:sz w:val="22"/>
          <w:szCs w:val="22"/>
          <w:lang w:val="nl-NL"/>
        </w:rPr>
        <w:t>.</w:t>
      </w:r>
      <w:r w:rsidRPr="00C140A8">
        <w:rPr>
          <w:rStyle w:val="FootnoteReference"/>
          <w:rFonts w:ascii="Georgia" w:hAnsi="Georgia" w:cs="Calibri"/>
          <w:sz w:val="22"/>
          <w:szCs w:val="22"/>
          <w:lang w:val="nl-NL"/>
        </w:rPr>
        <w:footnoteReference w:id="434"/>
      </w:r>
      <w:r w:rsidRPr="00C140A8">
        <w:rPr>
          <w:rFonts w:ascii="Georgia" w:hAnsi="Georgia" w:cs="Calibri"/>
          <w:sz w:val="22"/>
          <w:szCs w:val="22"/>
          <w:lang w:val="nl-NL"/>
        </w:rPr>
        <w:t xml:space="preserve"> Vorstinnen schonken bij voorkeur aan drukbezochte kerken en bedevaartsoorden, waar hun vrijgevigheid maximaal zichtbaar was. Een bedevaartsoord als Halle bood Johanna precies zo'n podium om haar vroomheid publiek te etaleren.</w:t>
      </w:r>
    </w:p>
    <w:p w14:paraId="6372E3F6" w14:textId="4F64DED0" w:rsidR="00A30C4D" w:rsidRPr="00C140A8" w:rsidRDefault="00856A3C" w:rsidP="00C140A8">
      <w:pPr>
        <w:spacing w:afterLines="80" w:after="192" w:line="360" w:lineRule="auto"/>
        <w:jc w:val="both"/>
        <w:rPr>
          <w:rFonts w:ascii="Georgia" w:hAnsi="Georgia" w:cs="Calibri"/>
          <w:sz w:val="22"/>
          <w:szCs w:val="22"/>
          <w:lang w:val="nl-NL"/>
        </w:rPr>
      </w:pPr>
      <w:r>
        <w:rPr>
          <w:noProof/>
        </w:rPr>
        <mc:AlternateContent>
          <mc:Choice Requires="wps">
            <w:drawing>
              <wp:anchor distT="0" distB="0" distL="114300" distR="114300" simplePos="0" relativeHeight="251744767" behindDoc="0" locked="0" layoutInCell="1" allowOverlap="1" wp14:anchorId="25FCCD96" wp14:editId="1624AED4">
                <wp:simplePos x="0" y="0"/>
                <wp:positionH relativeFrom="column">
                  <wp:posOffset>3085465</wp:posOffset>
                </wp:positionH>
                <wp:positionV relativeFrom="paragraph">
                  <wp:posOffset>2544849</wp:posOffset>
                </wp:positionV>
                <wp:extent cx="2777490" cy="635"/>
                <wp:effectExtent l="0" t="0" r="3810" b="12065"/>
                <wp:wrapSquare wrapText="bothSides"/>
                <wp:docPr id="25439181" name="Text Box 1"/>
                <wp:cNvGraphicFramePr/>
                <a:graphic xmlns:a="http://schemas.openxmlformats.org/drawingml/2006/main">
                  <a:graphicData uri="http://schemas.microsoft.com/office/word/2010/wordprocessingShape">
                    <wps:wsp>
                      <wps:cNvSpPr txBox="1"/>
                      <wps:spPr>
                        <a:xfrm>
                          <a:off x="0" y="0"/>
                          <a:ext cx="2777490" cy="635"/>
                        </a:xfrm>
                        <a:prstGeom prst="rect">
                          <a:avLst/>
                        </a:prstGeom>
                        <a:solidFill>
                          <a:prstClr val="white"/>
                        </a:solidFill>
                        <a:ln>
                          <a:noFill/>
                        </a:ln>
                      </wps:spPr>
                      <wps:txbx>
                        <w:txbxContent>
                          <w:p w14:paraId="5A38A866" w14:textId="7898CD3C" w:rsidR="000E69EB" w:rsidRPr="00051D9E" w:rsidRDefault="000E69EB" w:rsidP="000E69EB">
                            <w:pPr>
                              <w:pStyle w:val="Caption"/>
                              <w:rPr>
                                <w:noProof/>
                              </w:rPr>
                            </w:pPr>
                            <w:bookmarkStart w:id="254" w:name="_Toc231462584"/>
                            <w:r w:rsidRPr="00C02335">
                              <w:rPr>
                                <w:b/>
                                <w:bCs/>
                              </w:rPr>
                              <w:t xml:space="preserve">Figuur </w:t>
                            </w:r>
                            <w:r w:rsidRPr="00C02335">
                              <w:rPr>
                                <w:b/>
                                <w:bCs/>
                              </w:rPr>
                              <w:fldChar w:fldCharType="begin"/>
                            </w:r>
                            <w:r w:rsidRPr="00C02335">
                              <w:rPr>
                                <w:b/>
                                <w:bCs/>
                              </w:rPr>
                              <w:instrText xml:space="preserve"> SEQ Figuur \* ARABIC </w:instrText>
                            </w:r>
                            <w:r w:rsidRPr="00C02335">
                              <w:rPr>
                                <w:b/>
                                <w:bCs/>
                              </w:rPr>
                              <w:fldChar w:fldCharType="separate"/>
                            </w:r>
                            <w:r w:rsidR="00F83A3D">
                              <w:rPr>
                                <w:b/>
                                <w:bCs/>
                                <w:noProof/>
                              </w:rPr>
                              <w:t>4</w:t>
                            </w:r>
                            <w:r w:rsidRPr="00C02335">
                              <w:rPr>
                                <w:b/>
                                <w:bCs/>
                              </w:rPr>
                              <w:fldChar w:fldCharType="end"/>
                            </w:r>
                            <w:r>
                              <w:t xml:space="preserve">: </w:t>
                            </w:r>
                            <w:r w:rsidRPr="00022C17">
                              <w:t>De bouw van de nieuwe hertogenlijke burcht 1375-1380. Gravure door Jacques Harrewijn (17e eeuw)</w:t>
                            </w:r>
                            <w:bookmarkEnd w:id="25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5FCCD96" id="_x0000_s1036" type="#_x0000_t202" style="position:absolute;left:0;text-align:left;margin-left:242.95pt;margin-top:200.4pt;width:218.7pt;height:.05pt;z-index:25174476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" stroked="f">
                <v:textbox style="mso-fit-shape-to-text:t" inset="0,0,0,0">
                  <w:txbxContent>
                    <w:p w14:paraId="5A38A866" w14:textId="7898CD3C" w:rsidR="000E69EB" w:rsidRPr="00051D9E" w:rsidRDefault="000E69EB" w:rsidP="000E69EB">
                      <w:pPr>
                        <w:pStyle w:val="Caption"/>
                        <w:rPr>
                          <w:noProof/>
                        </w:rPr>
                      </w:pPr>
                      <w:bookmarkStart w:id="255" w:name="_Toc231462584"/>
                      <w:r w:rsidRPr="00C02335">
                        <w:rPr>
                          <w:b/>
                          <w:bCs/>
                        </w:rPr>
                        <w:t xml:space="preserve">Figuur </w:t>
                      </w:r>
                      <w:r w:rsidRPr="00C02335">
                        <w:rPr>
                          <w:b/>
                          <w:bCs/>
                        </w:rPr>
                        <w:fldChar w:fldCharType="begin"/>
                      </w:r>
                      <w:r w:rsidRPr="00C02335">
                        <w:rPr>
                          <w:b/>
                          <w:bCs/>
                        </w:rPr>
                        <w:instrText xml:space="preserve"> SEQ Figuur \* ARABIC </w:instrText>
                      </w:r>
                      <w:r w:rsidRPr="00C02335">
                        <w:rPr>
                          <w:b/>
                          <w:bCs/>
                        </w:rPr>
                        <w:fldChar w:fldCharType="separate"/>
                      </w:r>
                      <w:r w:rsidR="00F83A3D">
                        <w:rPr>
                          <w:b/>
                          <w:bCs/>
                          <w:noProof/>
                        </w:rPr>
                        <w:t>4</w:t>
                      </w:r>
                      <w:r w:rsidRPr="00C02335">
                        <w:rPr>
                          <w:b/>
                          <w:bCs/>
                        </w:rPr>
                        <w:fldChar w:fldCharType="end"/>
                      </w:r>
                      <w:r>
                        <w:t xml:space="preserve">: </w:t>
                      </w:r>
                      <w:r w:rsidRPr="00022C17">
                        <w:t>De bouw van de nieuwe hertogenlijke burcht 1375-1380. Gravure door Jacques Harrewijn (17e eeuw)</w:t>
                      </w:r>
                      <w:bookmarkEnd w:id="255"/>
                    </w:p>
                  </w:txbxContent>
                </v:textbox>
                <w10:wrap type="square"/>
              </v:shape>
            </w:pict>
          </mc:Fallback>
        </mc:AlternateContent>
      </w:r>
      <w:r w:rsidR="000E69EB">
        <w:rPr>
          <w:rFonts w:ascii="Georgia" w:hAnsi="Georgia" w:cs="Calibri"/>
          <w:noProof/>
          <w:sz w:val="22"/>
          <w:szCs w:val="22"/>
          <w:lang w:val="nl-NL"/>
          <w14:ligatures w14:val="standardContextual"/>
        </w:rPr>
        <w:drawing>
          <wp:anchor distT="0" distB="0" distL="114300" distR="114300" simplePos="0" relativeHeight="251740671" behindDoc="0" locked="0" layoutInCell="1" allowOverlap="1" wp14:anchorId="6B9B557A" wp14:editId="33F89971">
            <wp:simplePos x="0" y="0"/>
            <wp:positionH relativeFrom="column">
              <wp:posOffset>3021330</wp:posOffset>
            </wp:positionH>
            <wp:positionV relativeFrom="paragraph">
              <wp:posOffset>425104</wp:posOffset>
            </wp:positionV>
            <wp:extent cx="2777490" cy="2117090"/>
            <wp:effectExtent l="0" t="0" r="3810" b="3810"/>
            <wp:wrapSquare wrapText="bothSides"/>
            <wp:docPr id="1880425847" name="Picture 17" descr="A drawing of a cas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425847" name="Picture 17" descr="A drawing of a castle&#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77490" cy="2117090"/>
                    </a:xfrm>
                    <a:prstGeom prst="rect">
                      <a:avLst/>
                    </a:prstGeom>
                  </pic:spPr>
                </pic:pic>
              </a:graphicData>
            </a:graphic>
            <wp14:sizeRelH relativeFrom="page">
              <wp14:pctWidth>0</wp14:pctWidth>
            </wp14:sizeRelH>
            <wp14:sizeRelV relativeFrom="page">
              <wp14:pctHeight>0</wp14:pctHeight>
            </wp14:sizeRelV>
          </wp:anchor>
        </w:drawing>
      </w:r>
      <w:r w:rsidR="00A30C4D" w:rsidRPr="00C140A8">
        <w:rPr>
          <w:rFonts w:ascii="Georgia" w:hAnsi="Georgia" w:cs="Calibri"/>
          <w:sz w:val="22"/>
          <w:szCs w:val="22"/>
          <w:lang w:val="nl-NL"/>
        </w:rPr>
        <w:t xml:space="preserve">Ook elders in de rekeningen zijn dergelijke representatieve schenkingen terug te vinden. Het hoogste bedrag, 80 </w:t>
      </w:r>
      <w:proofErr w:type="spellStart"/>
      <w:r w:rsidR="00A30C4D" w:rsidRPr="00C140A8">
        <w:rPr>
          <w:rFonts w:ascii="Georgia" w:hAnsi="Georgia" w:cs="Calibri"/>
          <w:sz w:val="22"/>
          <w:szCs w:val="22"/>
          <w:lang w:val="nl-NL"/>
        </w:rPr>
        <w:t>pieters</w:t>
      </w:r>
      <w:proofErr w:type="spellEnd"/>
      <w:r w:rsidR="00A30C4D" w:rsidRPr="00C140A8">
        <w:rPr>
          <w:rFonts w:ascii="Georgia" w:hAnsi="Georgia" w:cs="Calibri"/>
          <w:sz w:val="22"/>
          <w:szCs w:val="22"/>
          <w:lang w:val="nl-NL"/>
        </w:rPr>
        <w:t>, ging naar de karmelieten van Tienen als bijdrage aan de bouw van de Onze-Lieve-Vrouwekerk, een kerk door Johanna gesticht.</w:t>
      </w:r>
      <w:r w:rsidR="00A30C4D" w:rsidRPr="00C140A8">
        <w:rPr>
          <w:rStyle w:val="FootnoteReference"/>
          <w:rFonts w:ascii="Georgia" w:hAnsi="Georgia" w:cs="Calibri"/>
          <w:sz w:val="22"/>
          <w:szCs w:val="22"/>
          <w:lang w:val="nl-NL"/>
        </w:rPr>
        <w:footnoteReference w:id="435"/>
      </w:r>
      <w:r w:rsidR="00A30C4D" w:rsidRPr="00C140A8">
        <w:rPr>
          <w:rFonts w:ascii="Georgia" w:hAnsi="Georgia" w:cs="Calibri"/>
          <w:sz w:val="22"/>
          <w:szCs w:val="22"/>
          <w:lang w:val="nl-NL"/>
        </w:rPr>
        <w:t xml:space="preserve"> Op 15 april deed Johanna een donatie aan de Sint-Katelijnekapel in Brussel en op 4 mei betaalde ze de werklieden die aan de Onze-Lieve-Vrouw-van-Goede-Hoopkerk in Vilvoorde bouwden, een project dat reeds onder Jan III was begonnen onder leiding van bouwmeester Adam </w:t>
      </w:r>
      <w:proofErr w:type="spellStart"/>
      <w:r w:rsidR="00A30C4D" w:rsidRPr="00C140A8">
        <w:rPr>
          <w:rFonts w:ascii="Georgia" w:hAnsi="Georgia" w:cs="Calibri"/>
          <w:sz w:val="22"/>
          <w:szCs w:val="22"/>
          <w:lang w:val="nl-NL"/>
        </w:rPr>
        <w:t>Gherijs</w:t>
      </w:r>
      <w:proofErr w:type="spellEnd"/>
      <w:r w:rsidR="00A30C4D" w:rsidRPr="00C140A8">
        <w:rPr>
          <w:rFonts w:ascii="Georgia" w:hAnsi="Georgia" w:cs="Calibri"/>
          <w:sz w:val="22"/>
          <w:szCs w:val="22"/>
          <w:lang w:val="nl-NL"/>
        </w:rPr>
        <w:t>.</w:t>
      </w:r>
      <w:r w:rsidR="00A30C4D" w:rsidRPr="00C140A8">
        <w:rPr>
          <w:rStyle w:val="FootnoteReference"/>
          <w:rFonts w:ascii="Georgia" w:hAnsi="Georgia" w:cs="Calibri"/>
          <w:sz w:val="22"/>
          <w:szCs w:val="22"/>
          <w:lang w:val="nl-NL"/>
        </w:rPr>
        <w:footnoteReference w:id="436"/>
      </w:r>
      <w:r w:rsidR="00A30C4D" w:rsidRPr="00C140A8">
        <w:rPr>
          <w:rFonts w:ascii="Georgia" w:hAnsi="Georgia" w:cs="Calibri"/>
          <w:sz w:val="22"/>
          <w:szCs w:val="22"/>
          <w:lang w:val="nl-NL"/>
        </w:rPr>
        <w:t xml:space="preserve"> De kerkbouw liep parallel met de oprichting van een nieuw hertogelijke paleis in Vilvoorde dat </w:t>
      </w:r>
      <w:r w:rsidR="00A30C4D" w:rsidRPr="00C140A8">
        <w:rPr>
          <w:rFonts w:ascii="Georgia" w:hAnsi="Georgia" w:cs="Calibri"/>
          <w:sz w:val="22"/>
          <w:szCs w:val="22"/>
          <w:lang w:val="nl-NL"/>
        </w:rPr>
        <w:lastRenderedPageBreak/>
        <w:t>diende als tweede verblijfplaats van het hertogelijk paar in geval van conflict</w:t>
      </w:r>
      <w:r w:rsidR="00BF4952">
        <w:rPr>
          <w:rFonts w:ascii="Georgia" w:hAnsi="Georgia" w:cs="Calibri"/>
          <w:sz w:val="22"/>
          <w:szCs w:val="22"/>
          <w:lang w:val="nl-NL"/>
        </w:rPr>
        <w:t xml:space="preserve"> (zie </w:t>
      </w:r>
      <w:r>
        <w:rPr>
          <w:rFonts w:ascii="Georgia" w:hAnsi="Georgia" w:cs="Calibri"/>
          <w:sz w:val="22"/>
          <w:szCs w:val="22"/>
          <w:lang w:val="nl-NL"/>
        </w:rPr>
        <w:t>figuur 4)</w:t>
      </w:r>
      <w:r w:rsidR="00A30C4D" w:rsidRPr="00C140A8">
        <w:rPr>
          <w:rFonts w:ascii="Georgia" w:hAnsi="Georgia" w:cs="Calibri"/>
          <w:sz w:val="22"/>
          <w:szCs w:val="22"/>
          <w:lang w:val="nl-NL"/>
        </w:rPr>
        <w:t>.</w:t>
      </w:r>
      <w:r w:rsidR="00A30C4D" w:rsidRPr="00C140A8">
        <w:rPr>
          <w:rStyle w:val="FootnoteReference"/>
          <w:rFonts w:ascii="Georgia" w:hAnsi="Georgia" w:cs="Calibri"/>
          <w:sz w:val="22"/>
          <w:szCs w:val="22"/>
          <w:lang w:val="nl-NL"/>
        </w:rPr>
        <w:footnoteReference w:id="437"/>
      </w:r>
      <w:r w:rsidR="00A30C4D" w:rsidRPr="00C140A8">
        <w:rPr>
          <w:rFonts w:ascii="Georgia" w:hAnsi="Georgia" w:cs="Calibri"/>
          <w:sz w:val="22"/>
          <w:szCs w:val="22"/>
          <w:lang w:val="nl-NL"/>
        </w:rPr>
        <w:t xml:space="preserve"> </w:t>
      </w:r>
    </w:p>
    <w:p w14:paraId="49A02F7B" w14:textId="77777777" w:rsidR="00A30C4D" w:rsidRPr="00C140A8" w:rsidRDefault="00A30C4D" w:rsidP="00B54A0D">
      <w:pPr>
        <w:pStyle w:val="ThesisSubheading"/>
        <w:tabs>
          <w:tab w:val="left" w:pos="426"/>
        </w:tabs>
        <w:ind w:left="1134" w:hanging="1134"/>
      </w:pPr>
      <w:bookmarkStart w:id="256" w:name="_Toc229404854"/>
      <w:bookmarkStart w:id="257" w:name="_Toc231153792"/>
      <w:bookmarkStart w:id="258" w:name="_Toc231329861"/>
      <w:bookmarkStart w:id="259" w:name="_Toc231330468"/>
      <w:bookmarkStart w:id="260" w:name="_Toc231428062"/>
      <w:proofErr w:type="spellStart"/>
      <w:r w:rsidRPr="00C140A8">
        <w:t>Aalmoezen</w:t>
      </w:r>
      <w:bookmarkEnd w:id="256"/>
      <w:bookmarkEnd w:id="257"/>
      <w:bookmarkEnd w:id="258"/>
      <w:bookmarkEnd w:id="259"/>
      <w:bookmarkEnd w:id="260"/>
      <w:proofErr w:type="spellEnd"/>
    </w:p>
    <w:p w14:paraId="214A56BB" w14:textId="43BFB1AB" w:rsidR="00A30C4D" w:rsidRPr="00C140A8" w:rsidRDefault="00C02335" w:rsidP="00C140A8">
      <w:pPr>
        <w:spacing w:afterLines="80" w:after="192" w:line="360" w:lineRule="auto"/>
        <w:jc w:val="both"/>
        <w:rPr>
          <w:rFonts w:ascii="Georgia" w:hAnsi="Georgia" w:cs="Calibri"/>
          <w:sz w:val="22"/>
          <w:szCs w:val="22"/>
          <w:lang w:val="nl-NL"/>
        </w:rPr>
      </w:pPr>
      <w:r>
        <w:rPr>
          <w:rFonts w:ascii="Georgia" w:hAnsi="Georgia" w:cs="Calibri"/>
          <w:noProof/>
          <w:sz w:val="22"/>
          <w:szCs w:val="22"/>
          <w:lang w:val="nl-NL"/>
          <w14:ligatures w14:val="standardContextual"/>
        </w:rPr>
        <w:drawing>
          <wp:anchor distT="0" distB="0" distL="114300" distR="114300" simplePos="0" relativeHeight="251747839" behindDoc="0" locked="0" layoutInCell="1" allowOverlap="1" wp14:anchorId="02686C53" wp14:editId="6BDF9F15">
            <wp:simplePos x="0" y="0"/>
            <wp:positionH relativeFrom="column">
              <wp:posOffset>3343275</wp:posOffset>
            </wp:positionH>
            <wp:positionV relativeFrom="paragraph">
              <wp:posOffset>1738976</wp:posOffset>
            </wp:positionV>
            <wp:extent cx="2491105" cy="1052830"/>
            <wp:effectExtent l="0" t="0" r="0" b="1270"/>
            <wp:wrapSquare wrapText="bothSides"/>
            <wp:docPr id="1781174125" name="Picture 19"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74125" name="Picture 19" descr="A table with numbers and text&#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2491105" cy="1052830"/>
                    </a:xfrm>
                    <a:prstGeom prst="rect">
                      <a:avLst/>
                    </a:prstGeom>
                  </pic:spPr>
                </pic:pic>
              </a:graphicData>
            </a:graphic>
            <wp14:sizeRelH relativeFrom="page">
              <wp14:pctWidth>0</wp14:pctWidth>
            </wp14:sizeRelH>
            <wp14:sizeRelV relativeFrom="page">
              <wp14:pctHeight>0</wp14:pctHeight>
            </wp14:sizeRelV>
          </wp:anchor>
        </w:drawing>
      </w:r>
      <w:r w:rsidR="00A30C4D" w:rsidRPr="00C140A8">
        <w:rPr>
          <w:rFonts w:ascii="Georgia" w:hAnsi="Georgia" w:cs="Calibri"/>
          <w:sz w:val="22"/>
          <w:szCs w:val="22"/>
          <w:lang w:val="nl-NL"/>
        </w:rPr>
        <w:t>Naast de verschillende religieuze schenkingen gaf Johanna ook in grote mate aan de armen. Haar weldadigheid moet bekend zijn geweest bij het hele volk.</w:t>
      </w:r>
      <w:r w:rsidR="00A30C4D" w:rsidRPr="00C140A8">
        <w:rPr>
          <w:rStyle w:val="FootnoteReference"/>
          <w:rFonts w:ascii="Georgia" w:hAnsi="Georgia" w:cs="Calibri"/>
          <w:sz w:val="22"/>
          <w:szCs w:val="22"/>
          <w:lang w:val="nl-NL"/>
        </w:rPr>
        <w:footnoteReference w:id="438"/>
      </w:r>
      <w:r w:rsidR="00A30C4D" w:rsidRPr="00C140A8">
        <w:rPr>
          <w:rFonts w:ascii="Georgia" w:hAnsi="Georgia" w:cs="Calibri"/>
          <w:sz w:val="22"/>
          <w:szCs w:val="22"/>
          <w:lang w:val="nl-NL"/>
        </w:rPr>
        <w:t xml:space="preserve"> </w:t>
      </w:r>
      <w:proofErr w:type="spellStart"/>
      <w:r w:rsidR="00A30C4D" w:rsidRPr="00C140A8">
        <w:rPr>
          <w:rFonts w:ascii="Georgia" w:hAnsi="Georgia" w:cs="Calibri"/>
          <w:sz w:val="22"/>
          <w:szCs w:val="22"/>
          <w:lang w:val="nl-NL"/>
        </w:rPr>
        <w:t>Pinchard</w:t>
      </w:r>
      <w:proofErr w:type="spellEnd"/>
      <w:r w:rsidR="00A30C4D" w:rsidRPr="00C140A8">
        <w:rPr>
          <w:rFonts w:ascii="Georgia" w:hAnsi="Georgia" w:cs="Calibri"/>
          <w:sz w:val="22"/>
          <w:szCs w:val="22"/>
          <w:lang w:val="nl-NL"/>
        </w:rPr>
        <w:t xml:space="preserve"> beschrijft in 1855 dat men “niet zou </w:t>
      </w:r>
      <w:proofErr w:type="spellStart"/>
      <w:r w:rsidR="00A30C4D" w:rsidRPr="00C140A8">
        <w:rPr>
          <w:rFonts w:ascii="Georgia" w:hAnsi="Georgia" w:cs="Calibri"/>
          <w:sz w:val="22"/>
          <w:szCs w:val="22"/>
          <w:lang w:val="nl-NL"/>
        </w:rPr>
        <w:t>klaargeraken</w:t>
      </w:r>
      <w:proofErr w:type="spellEnd"/>
      <w:r w:rsidR="00A30C4D" w:rsidRPr="00C140A8">
        <w:rPr>
          <w:rFonts w:ascii="Georgia" w:hAnsi="Georgia" w:cs="Calibri"/>
          <w:sz w:val="22"/>
          <w:szCs w:val="22"/>
          <w:lang w:val="nl-NL"/>
        </w:rPr>
        <w:t xml:space="preserve"> met het opsommen van alle liefdadigheidsdaden van de goede hertogin”.</w:t>
      </w:r>
      <w:r w:rsidR="00A30C4D" w:rsidRPr="00C140A8">
        <w:rPr>
          <w:rStyle w:val="FootnoteReference"/>
          <w:rFonts w:ascii="Georgia" w:hAnsi="Georgia" w:cs="Calibri"/>
          <w:sz w:val="22"/>
          <w:szCs w:val="22"/>
          <w:lang w:val="nl-NL"/>
        </w:rPr>
        <w:footnoteReference w:id="439"/>
      </w:r>
      <w:r w:rsidR="00A30C4D" w:rsidRPr="00C140A8">
        <w:rPr>
          <w:rFonts w:ascii="Georgia" w:hAnsi="Georgia" w:cs="Calibri"/>
          <w:sz w:val="22"/>
          <w:szCs w:val="22"/>
          <w:lang w:val="nl-NL"/>
        </w:rPr>
        <w:t xml:space="preserve"> Het geven van aalmoezen aan armen of minderbedeelden was een belangrijke taak van de vorstin. Het was een uiting van een waardige ingesteldheid tegenover God en voor het eigen zielenheil en had tegelijk een representatieve functie</w:t>
      </w:r>
      <w:r w:rsidR="00746790">
        <w:rPr>
          <w:rFonts w:ascii="Georgia" w:hAnsi="Georgia" w:cs="Calibri"/>
          <w:sz w:val="22"/>
          <w:szCs w:val="22"/>
          <w:lang w:val="nl-NL"/>
        </w:rPr>
        <w:t>. H</w:t>
      </w:r>
      <w:r w:rsidR="00A30C4D" w:rsidRPr="00C140A8">
        <w:rPr>
          <w:rFonts w:ascii="Georgia" w:hAnsi="Georgia" w:cs="Calibri"/>
          <w:sz w:val="22"/>
          <w:szCs w:val="22"/>
          <w:lang w:val="nl-NL"/>
        </w:rPr>
        <w:t>et onderscheidde Johanna als een vorstin die zich bekommerde om haar onderdanen.</w:t>
      </w:r>
      <w:r w:rsidR="00A30C4D" w:rsidRPr="00C140A8">
        <w:rPr>
          <w:rStyle w:val="FootnoteReference"/>
          <w:rFonts w:ascii="Georgia" w:hAnsi="Georgia" w:cs="Calibri"/>
          <w:sz w:val="22"/>
          <w:szCs w:val="22"/>
          <w:lang w:val="nl-NL"/>
        </w:rPr>
        <w:t xml:space="preserve"> </w:t>
      </w:r>
    </w:p>
    <w:p w14:paraId="3427DE15" w14:textId="0DEFCE08" w:rsidR="00A30C4D" w:rsidRPr="00C140A8" w:rsidRDefault="00C02335" w:rsidP="00C140A8">
      <w:pPr>
        <w:spacing w:afterLines="80" w:after="192" w:line="360" w:lineRule="auto"/>
        <w:jc w:val="both"/>
        <w:rPr>
          <w:rFonts w:ascii="Georgia" w:hAnsi="Georgia" w:cs="Calibri"/>
          <w:sz w:val="22"/>
          <w:szCs w:val="22"/>
          <w:lang w:val="nl-NL"/>
        </w:rPr>
      </w:pPr>
      <w:r>
        <w:rPr>
          <w:noProof/>
        </w:rPr>
        <mc:AlternateContent>
          <mc:Choice Requires="wps">
            <w:drawing>
              <wp:anchor distT="0" distB="0" distL="114300" distR="114300" simplePos="0" relativeHeight="251749887" behindDoc="0" locked="0" layoutInCell="1" allowOverlap="1" wp14:anchorId="6707F83F" wp14:editId="458B9FD3">
                <wp:simplePos x="0" y="0"/>
                <wp:positionH relativeFrom="column">
                  <wp:posOffset>3435350</wp:posOffset>
                </wp:positionH>
                <wp:positionV relativeFrom="paragraph">
                  <wp:posOffset>949671</wp:posOffset>
                </wp:positionV>
                <wp:extent cx="2308860" cy="396875"/>
                <wp:effectExtent l="0" t="0" r="2540" b="0"/>
                <wp:wrapSquare wrapText="bothSides"/>
                <wp:docPr id="513222358" name="Text Box 1"/>
                <wp:cNvGraphicFramePr/>
                <a:graphic xmlns:a="http://schemas.openxmlformats.org/drawingml/2006/main">
                  <a:graphicData uri="http://schemas.microsoft.com/office/word/2010/wordprocessingShape">
                    <wps:wsp>
                      <wps:cNvSpPr txBox="1"/>
                      <wps:spPr>
                        <a:xfrm>
                          <a:off x="0" y="0"/>
                          <a:ext cx="2308860" cy="396875"/>
                        </a:xfrm>
                        <a:prstGeom prst="rect">
                          <a:avLst/>
                        </a:prstGeom>
                        <a:solidFill>
                          <a:prstClr val="white"/>
                        </a:solidFill>
                        <a:ln>
                          <a:noFill/>
                        </a:ln>
                      </wps:spPr>
                      <wps:txbx>
                        <w:txbxContent>
                          <w:p w14:paraId="095198E4" w14:textId="5A727874" w:rsidR="00C02335" w:rsidRPr="008B544D" w:rsidRDefault="00C02335" w:rsidP="00C02335">
                            <w:pPr>
                              <w:pStyle w:val="Caption"/>
                              <w:rPr>
                                <w:rFonts w:ascii="Georgia" w:hAnsi="Georgia" w:cs="Calibri"/>
                                <w:noProof/>
                                <w:sz w:val="22"/>
                                <w:szCs w:val="22"/>
                                <w:lang w:val="nl-NL"/>
                              </w:rPr>
                            </w:pPr>
                            <w:bookmarkStart w:id="261" w:name="_Toc231462070"/>
                            <w:r w:rsidRPr="00C02335">
                              <w:rPr>
                                <w:b/>
                                <w:bCs/>
                              </w:rPr>
                              <w:t xml:space="preserve">Tabel </w:t>
                            </w:r>
                            <w:r w:rsidRPr="00C02335">
                              <w:rPr>
                                <w:b/>
                                <w:bCs/>
                              </w:rPr>
                              <w:fldChar w:fldCharType="begin"/>
                            </w:r>
                            <w:r w:rsidRPr="00C02335">
                              <w:rPr>
                                <w:b/>
                                <w:bCs/>
                              </w:rPr>
                              <w:instrText xml:space="preserve"> SEQ Tabel \* ARABIC </w:instrText>
                            </w:r>
                            <w:r w:rsidRPr="00C02335">
                              <w:rPr>
                                <w:b/>
                                <w:bCs/>
                              </w:rPr>
                              <w:fldChar w:fldCharType="separate"/>
                            </w:r>
                            <w:r w:rsidR="00F83A3D">
                              <w:rPr>
                                <w:b/>
                                <w:bCs/>
                                <w:noProof/>
                              </w:rPr>
                              <w:t>9</w:t>
                            </w:r>
                            <w:r w:rsidRPr="00C02335">
                              <w:rPr>
                                <w:b/>
                                <w:bCs/>
                              </w:rPr>
                              <w:fldChar w:fldCharType="end"/>
                            </w:r>
                            <w:r>
                              <w:t xml:space="preserve">: </w:t>
                            </w:r>
                            <w:r w:rsidRPr="007830F9">
                              <w:t>Aalmoezen (‘omme Gode te geven’) die Johanna over 1376-1380 schonk</w:t>
                            </w:r>
                            <w:bookmarkEnd w:id="261"/>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07F83F" id="_x0000_s1037" type="#_x0000_t202" style="position:absolute;left:0;text-align:left;margin-left:270.5pt;margin-top:74.8pt;width:181.8pt;height:31.25pt;z-index:2517498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" stroked="f">
                <v:textbox inset="0,0,0,0">
                  <w:txbxContent>
                    <w:p w14:paraId="095198E4" w14:textId="5A727874" w:rsidR="00C02335" w:rsidRPr="008B544D" w:rsidRDefault="00C02335" w:rsidP="00C02335">
                      <w:pPr>
                        <w:pStyle w:val="Caption"/>
                        <w:rPr>
                          <w:rFonts w:ascii="Georgia" w:hAnsi="Georgia" w:cs="Calibri"/>
                          <w:noProof/>
                          <w:sz w:val="22"/>
                          <w:szCs w:val="22"/>
                          <w:lang w:val="nl-NL"/>
                        </w:rPr>
                      </w:pPr>
                      <w:bookmarkStart w:id="262" w:name="_Toc231462070"/>
                      <w:r w:rsidRPr="00C02335">
                        <w:rPr>
                          <w:b/>
                          <w:bCs/>
                        </w:rPr>
                        <w:t xml:space="preserve">Tabel </w:t>
                      </w:r>
                      <w:r w:rsidRPr="00C02335">
                        <w:rPr>
                          <w:b/>
                          <w:bCs/>
                        </w:rPr>
                        <w:fldChar w:fldCharType="begin"/>
                      </w:r>
                      <w:r w:rsidRPr="00C02335">
                        <w:rPr>
                          <w:b/>
                          <w:bCs/>
                        </w:rPr>
                        <w:instrText xml:space="preserve"> SEQ Tabel \* ARABIC </w:instrText>
                      </w:r>
                      <w:r w:rsidRPr="00C02335">
                        <w:rPr>
                          <w:b/>
                          <w:bCs/>
                        </w:rPr>
                        <w:fldChar w:fldCharType="separate"/>
                      </w:r>
                      <w:r w:rsidR="00F83A3D">
                        <w:rPr>
                          <w:b/>
                          <w:bCs/>
                          <w:noProof/>
                        </w:rPr>
                        <w:t>9</w:t>
                      </w:r>
                      <w:r w:rsidRPr="00C02335">
                        <w:rPr>
                          <w:b/>
                          <w:bCs/>
                        </w:rPr>
                        <w:fldChar w:fldCharType="end"/>
                      </w:r>
                      <w:r>
                        <w:t xml:space="preserve">: </w:t>
                      </w:r>
                      <w:r w:rsidRPr="007830F9">
                        <w:t>Aalmoezen (‘omme Gode te geven’) die Johanna over 1376-1380 schonk</w:t>
                      </w:r>
                      <w:bookmarkEnd w:id="262"/>
                    </w:p>
                  </w:txbxContent>
                </v:textbox>
                <w10:wrap type="square"/>
              </v:shape>
            </w:pict>
          </mc:Fallback>
        </mc:AlternateContent>
      </w:r>
      <w:r w:rsidR="00A30C4D" w:rsidRPr="00C140A8">
        <w:rPr>
          <w:rFonts w:ascii="Georgia" w:hAnsi="Georgia" w:cs="Calibri"/>
          <w:sz w:val="22"/>
          <w:szCs w:val="22"/>
          <w:lang w:val="nl-NL"/>
        </w:rPr>
        <w:t>De aalmoezen in de rekeningen van 1376</w:t>
      </w:r>
      <w:r w:rsidR="00746790">
        <w:rPr>
          <w:rFonts w:ascii="Georgia" w:hAnsi="Georgia" w:cs="Calibri"/>
          <w:sz w:val="22"/>
          <w:szCs w:val="22"/>
          <w:lang w:val="nl-NL"/>
        </w:rPr>
        <w:t>-</w:t>
      </w:r>
      <w:r w:rsidR="00A30C4D" w:rsidRPr="00C140A8">
        <w:rPr>
          <w:rFonts w:ascii="Georgia" w:hAnsi="Georgia" w:cs="Calibri"/>
          <w:sz w:val="22"/>
          <w:szCs w:val="22"/>
          <w:lang w:val="nl-NL"/>
        </w:rPr>
        <w:t xml:space="preserve">1380 vielen bijna uitsluitend op Johanna's naam. Van de </w:t>
      </w:r>
      <w:r w:rsidR="00746790">
        <w:rPr>
          <w:rFonts w:ascii="Georgia" w:hAnsi="Georgia" w:cs="Calibri"/>
          <w:sz w:val="22"/>
          <w:szCs w:val="22"/>
          <w:lang w:val="nl-NL"/>
        </w:rPr>
        <w:t>eenendertig</w:t>
      </w:r>
      <w:r w:rsidR="00A30C4D" w:rsidRPr="00C140A8">
        <w:rPr>
          <w:rFonts w:ascii="Georgia" w:hAnsi="Georgia" w:cs="Calibri"/>
          <w:sz w:val="22"/>
          <w:szCs w:val="22"/>
          <w:lang w:val="nl-NL"/>
        </w:rPr>
        <w:t xml:space="preserve"> posten die expliciet "</w:t>
      </w:r>
      <w:r w:rsidR="00A30C4D" w:rsidRPr="00746790">
        <w:rPr>
          <w:rFonts w:ascii="Georgia" w:hAnsi="Georgia" w:cs="Calibri"/>
          <w:i/>
          <w:iCs/>
          <w:sz w:val="22"/>
          <w:szCs w:val="22"/>
          <w:lang w:val="nl-NL"/>
        </w:rPr>
        <w:t>om</w:t>
      </w:r>
      <w:r w:rsidR="00542358" w:rsidRPr="00746790">
        <w:rPr>
          <w:rFonts w:ascii="Georgia" w:hAnsi="Georgia" w:cs="Calibri"/>
          <w:i/>
          <w:iCs/>
          <w:sz w:val="22"/>
          <w:szCs w:val="22"/>
          <w:lang w:val="nl-NL"/>
        </w:rPr>
        <w:t>me</w:t>
      </w:r>
      <w:r w:rsidR="00A30C4D" w:rsidRPr="00746790">
        <w:rPr>
          <w:rFonts w:ascii="Georgia" w:hAnsi="Georgia" w:cs="Calibri"/>
          <w:i/>
          <w:iCs/>
          <w:sz w:val="22"/>
          <w:szCs w:val="22"/>
          <w:lang w:val="nl-NL"/>
        </w:rPr>
        <w:t xml:space="preserve"> </w:t>
      </w:r>
      <w:proofErr w:type="spellStart"/>
      <w:r w:rsidR="00A30C4D" w:rsidRPr="00746790">
        <w:rPr>
          <w:rFonts w:ascii="Georgia" w:hAnsi="Georgia" w:cs="Calibri"/>
          <w:i/>
          <w:iCs/>
          <w:sz w:val="22"/>
          <w:szCs w:val="22"/>
          <w:lang w:val="nl-NL"/>
        </w:rPr>
        <w:t>Gode</w:t>
      </w:r>
      <w:proofErr w:type="spellEnd"/>
      <w:r w:rsidR="00A30C4D" w:rsidRPr="00746790">
        <w:rPr>
          <w:rFonts w:ascii="Georgia" w:hAnsi="Georgia" w:cs="Calibri"/>
          <w:i/>
          <w:iCs/>
          <w:sz w:val="22"/>
          <w:szCs w:val="22"/>
          <w:lang w:val="nl-NL"/>
        </w:rPr>
        <w:t xml:space="preserve"> te geven</w:t>
      </w:r>
      <w:r w:rsidR="00A30C4D" w:rsidRPr="00C140A8">
        <w:rPr>
          <w:rFonts w:ascii="Georgia" w:hAnsi="Georgia" w:cs="Calibri"/>
          <w:sz w:val="22"/>
          <w:szCs w:val="22"/>
          <w:lang w:val="nl-NL"/>
        </w:rPr>
        <w:t xml:space="preserve">" vermelden, staan er </w:t>
      </w:r>
      <w:r w:rsidR="00746790">
        <w:rPr>
          <w:rFonts w:ascii="Georgia" w:hAnsi="Georgia" w:cs="Calibri"/>
          <w:sz w:val="22"/>
          <w:szCs w:val="22"/>
          <w:lang w:val="nl-NL"/>
        </w:rPr>
        <w:t>dertig</w:t>
      </w:r>
      <w:r w:rsidR="00A30C4D" w:rsidRPr="00C140A8">
        <w:rPr>
          <w:rFonts w:ascii="Georgia" w:hAnsi="Georgia" w:cs="Calibri"/>
          <w:sz w:val="22"/>
          <w:szCs w:val="22"/>
          <w:lang w:val="nl-NL"/>
        </w:rPr>
        <w:t xml:space="preserve"> op haar naam. Wie de opdrachtgever was van </w:t>
      </w:r>
      <w:r w:rsidR="00746790">
        <w:rPr>
          <w:rFonts w:ascii="Georgia" w:hAnsi="Georgia" w:cs="Calibri"/>
          <w:sz w:val="22"/>
          <w:szCs w:val="22"/>
          <w:lang w:val="nl-NL"/>
        </w:rPr>
        <w:t>de</w:t>
      </w:r>
      <w:r w:rsidR="00A30C4D" w:rsidRPr="00C140A8">
        <w:rPr>
          <w:rFonts w:ascii="Georgia" w:hAnsi="Georgia" w:cs="Calibri"/>
          <w:sz w:val="22"/>
          <w:szCs w:val="22"/>
          <w:lang w:val="nl-NL"/>
        </w:rPr>
        <w:t xml:space="preserve"> </w:t>
      </w:r>
      <w:r w:rsidR="005C76F5" w:rsidRPr="00C140A8">
        <w:rPr>
          <w:rFonts w:ascii="Georgia" w:hAnsi="Georgia" w:cs="Calibri"/>
          <w:sz w:val="22"/>
          <w:szCs w:val="22"/>
          <w:lang w:val="nl-NL"/>
        </w:rPr>
        <w:t>ene schenking</w:t>
      </w:r>
      <w:r w:rsidR="00A30C4D" w:rsidRPr="00C140A8">
        <w:rPr>
          <w:rFonts w:ascii="Georgia" w:hAnsi="Georgia" w:cs="Calibri"/>
          <w:sz w:val="22"/>
          <w:szCs w:val="22"/>
          <w:lang w:val="nl-NL"/>
        </w:rPr>
        <w:t xml:space="preserve"> aan een bedelorde in Diest die </w:t>
      </w:r>
      <w:r w:rsidR="00746790">
        <w:rPr>
          <w:rFonts w:ascii="Georgia" w:hAnsi="Georgia" w:cs="Calibri"/>
          <w:sz w:val="22"/>
          <w:szCs w:val="22"/>
          <w:lang w:val="nl-NL"/>
        </w:rPr>
        <w:t xml:space="preserve">de klerk </w:t>
      </w:r>
      <w:r w:rsidR="00A30C4D" w:rsidRPr="00C140A8">
        <w:rPr>
          <w:rFonts w:ascii="Georgia" w:hAnsi="Georgia" w:cs="Calibri"/>
          <w:sz w:val="22"/>
          <w:szCs w:val="22"/>
          <w:lang w:val="nl-NL"/>
        </w:rPr>
        <w:t xml:space="preserve">in het register nadien werd </w:t>
      </w:r>
      <w:r w:rsidR="00746790">
        <w:rPr>
          <w:rFonts w:ascii="Georgia" w:hAnsi="Georgia" w:cs="Calibri"/>
          <w:sz w:val="22"/>
          <w:szCs w:val="22"/>
          <w:lang w:val="nl-NL"/>
        </w:rPr>
        <w:t>doorstreepte</w:t>
      </w:r>
      <w:r w:rsidR="00A30C4D" w:rsidRPr="00C140A8">
        <w:rPr>
          <w:rFonts w:ascii="Georgia" w:hAnsi="Georgia" w:cs="Calibri"/>
          <w:sz w:val="22"/>
          <w:szCs w:val="22"/>
          <w:lang w:val="nl-NL"/>
        </w:rPr>
        <w:t>, is vooralsnog niet opgehelderd.</w:t>
      </w:r>
      <w:r w:rsidR="00A30C4D" w:rsidRPr="00C140A8">
        <w:rPr>
          <w:rStyle w:val="FootnoteReference"/>
          <w:rFonts w:ascii="Georgia" w:hAnsi="Georgia" w:cs="Calibri"/>
          <w:sz w:val="22"/>
          <w:szCs w:val="22"/>
          <w:lang w:val="nl-NL"/>
        </w:rPr>
        <w:footnoteReference w:id="440"/>
      </w:r>
      <w:r w:rsidR="00A30C4D" w:rsidRPr="00C140A8">
        <w:rPr>
          <w:rFonts w:ascii="Georgia" w:hAnsi="Georgia" w:cs="Calibri"/>
          <w:sz w:val="22"/>
          <w:szCs w:val="22"/>
          <w:lang w:val="nl-NL"/>
        </w:rPr>
        <w:t xml:space="preserve"> </w:t>
      </w:r>
      <w:proofErr w:type="spellStart"/>
      <w:r w:rsidR="00BA765C" w:rsidRPr="00C140A8">
        <w:rPr>
          <w:rFonts w:ascii="Georgia" w:hAnsi="Georgia" w:cs="Calibri"/>
          <w:sz w:val="22"/>
          <w:szCs w:val="22"/>
          <w:lang w:val="nl-NL"/>
        </w:rPr>
        <w:t>Wenceslas</w:t>
      </w:r>
      <w:proofErr w:type="spellEnd"/>
      <w:r w:rsidR="00BA765C" w:rsidRPr="00C140A8">
        <w:rPr>
          <w:rFonts w:ascii="Georgia" w:hAnsi="Georgia" w:cs="Calibri"/>
          <w:sz w:val="22"/>
          <w:szCs w:val="22"/>
          <w:lang w:val="nl-NL"/>
        </w:rPr>
        <w:t xml:space="preserve"> heeft geen posten op zijn naam staan. </w:t>
      </w:r>
      <w:r w:rsidR="00A30C4D" w:rsidRPr="00C140A8">
        <w:rPr>
          <w:rFonts w:ascii="Georgia" w:hAnsi="Georgia" w:cs="Calibri"/>
          <w:sz w:val="22"/>
          <w:szCs w:val="22"/>
          <w:lang w:val="nl-NL"/>
        </w:rPr>
        <w:t>Misschien liet hij die taak over aan zijn echtgenote</w:t>
      </w:r>
      <w:r w:rsidR="00BA765C" w:rsidRPr="00C140A8">
        <w:rPr>
          <w:rFonts w:ascii="Georgia" w:hAnsi="Georgia" w:cs="Calibri"/>
          <w:sz w:val="22"/>
          <w:szCs w:val="22"/>
          <w:lang w:val="nl-NL"/>
        </w:rPr>
        <w:t>, of deed hij ze wel, maar zijn deze nooit opgetekend in de centrale kas</w:t>
      </w:r>
      <w:r w:rsidR="00A30C4D" w:rsidRPr="00C140A8">
        <w:rPr>
          <w:rFonts w:ascii="Georgia" w:hAnsi="Georgia" w:cs="Calibri"/>
          <w:sz w:val="22"/>
          <w:szCs w:val="22"/>
          <w:lang w:val="nl-NL"/>
        </w:rPr>
        <w:t xml:space="preserve">. </w:t>
      </w:r>
      <w:r w:rsidR="00BE1E08" w:rsidRPr="00C140A8">
        <w:rPr>
          <w:rFonts w:ascii="Georgia" w:hAnsi="Georgia" w:cs="Calibri"/>
          <w:sz w:val="22"/>
          <w:szCs w:val="22"/>
          <w:lang w:val="nl-NL"/>
        </w:rPr>
        <w:t>Hoe dan ook, beperkte Johanna’s liefdadigheid zich niet tot het geven van aalmoezen.</w:t>
      </w:r>
      <w:r w:rsidR="00A30C4D" w:rsidRPr="00C140A8">
        <w:rPr>
          <w:rFonts w:ascii="Georgia" w:hAnsi="Georgia" w:cs="Calibri"/>
          <w:sz w:val="22"/>
          <w:szCs w:val="22"/>
          <w:lang w:val="nl-NL"/>
        </w:rPr>
        <w:t xml:space="preserve"> Zoals eerder vermeld op het lokale niveau</w:t>
      </w:r>
      <w:r w:rsidR="00E8719B" w:rsidRPr="00C140A8">
        <w:rPr>
          <w:rFonts w:ascii="Georgia" w:hAnsi="Georgia" w:cs="Calibri"/>
          <w:sz w:val="22"/>
          <w:szCs w:val="22"/>
          <w:lang w:val="nl-NL"/>
        </w:rPr>
        <w:t xml:space="preserve"> van Binche</w:t>
      </w:r>
      <w:r w:rsidR="00A30C4D" w:rsidRPr="00C140A8">
        <w:rPr>
          <w:rFonts w:ascii="Georgia" w:hAnsi="Georgia" w:cs="Calibri"/>
          <w:sz w:val="22"/>
          <w:szCs w:val="22"/>
          <w:lang w:val="nl-NL"/>
        </w:rPr>
        <w:t xml:space="preserve">, was </w:t>
      </w:r>
      <w:r w:rsidR="00E8719B" w:rsidRPr="00C140A8">
        <w:rPr>
          <w:rFonts w:ascii="Georgia" w:hAnsi="Georgia" w:cs="Calibri"/>
          <w:sz w:val="22"/>
          <w:szCs w:val="22"/>
          <w:lang w:val="nl-NL"/>
        </w:rPr>
        <w:t xml:space="preserve">ze </w:t>
      </w:r>
      <w:r w:rsidR="00A30C4D" w:rsidRPr="00C140A8">
        <w:rPr>
          <w:rFonts w:ascii="Georgia" w:hAnsi="Georgia" w:cs="Calibri"/>
          <w:sz w:val="22"/>
          <w:szCs w:val="22"/>
          <w:lang w:val="nl-NL"/>
        </w:rPr>
        <w:t>actief betrokken bij de zorg voor haar personeel, schold cijnzen kwijt van armenhospitalen en religieuze instellingen, en schonk sommen weg bij geboortes, verjaardagen en overlijdens.</w:t>
      </w:r>
      <w:r w:rsidR="00A30C4D" w:rsidRPr="00C140A8">
        <w:rPr>
          <w:rStyle w:val="FootnoteReference"/>
          <w:rFonts w:ascii="Georgia" w:hAnsi="Georgia" w:cs="Calibri"/>
          <w:sz w:val="22"/>
          <w:szCs w:val="22"/>
          <w:lang w:val="nl-NL"/>
        </w:rPr>
        <w:footnoteReference w:id="441"/>
      </w:r>
      <w:r w:rsidR="00E8719B" w:rsidRPr="00C140A8">
        <w:rPr>
          <w:rFonts w:ascii="Georgia" w:hAnsi="Georgia" w:cs="Calibri"/>
          <w:sz w:val="22"/>
          <w:szCs w:val="22"/>
          <w:lang w:val="nl-NL"/>
        </w:rPr>
        <w:t xml:space="preserve"> Een patroon dat zich ook doortrekt binnen de Brabantse rekeningen.</w:t>
      </w:r>
    </w:p>
    <w:p w14:paraId="5466197B" w14:textId="584F7164" w:rsidR="00A30C4D" w:rsidRPr="00C140A8" w:rsidRDefault="00A30C4D"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Veel van die aalmoezen werden systematisch gegeven op bepaalde feestdagen, wat wijst op een ritueel karakter. Op Allerheiligen gaf Johanna steevast een som geld aan de armen</w:t>
      </w:r>
      <w:r w:rsidR="009B3957" w:rsidRPr="00C140A8">
        <w:rPr>
          <w:rFonts w:ascii="Georgia" w:hAnsi="Georgia" w:cs="Calibri"/>
          <w:sz w:val="22"/>
          <w:szCs w:val="22"/>
          <w:lang w:val="nl-NL"/>
        </w:rPr>
        <w:t>. In</w:t>
      </w:r>
      <w:r w:rsidRPr="00C140A8">
        <w:rPr>
          <w:rFonts w:ascii="Georgia" w:hAnsi="Georgia" w:cs="Calibri"/>
          <w:sz w:val="22"/>
          <w:szCs w:val="22"/>
          <w:lang w:val="nl-NL"/>
        </w:rPr>
        <w:t xml:space="preserve"> 1376</w:t>
      </w:r>
      <w:r w:rsidR="009B3957" w:rsidRPr="00C140A8">
        <w:rPr>
          <w:rFonts w:ascii="Georgia" w:hAnsi="Georgia" w:cs="Calibri"/>
          <w:sz w:val="22"/>
          <w:szCs w:val="22"/>
          <w:lang w:val="nl-NL"/>
        </w:rPr>
        <w:t>-</w:t>
      </w:r>
      <w:r w:rsidRPr="00C140A8">
        <w:rPr>
          <w:rFonts w:ascii="Georgia" w:hAnsi="Georgia" w:cs="Calibri"/>
          <w:sz w:val="22"/>
          <w:szCs w:val="22"/>
          <w:lang w:val="nl-NL"/>
        </w:rPr>
        <w:t>77 vier peters, in 1377</w:t>
      </w:r>
      <w:r w:rsidR="009B3957" w:rsidRPr="00C140A8">
        <w:rPr>
          <w:rFonts w:ascii="Georgia" w:hAnsi="Georgia" w:cs="Calibri"/>
          <w:sz w:val="22"/>
          <w:szCs w:val="22"/>
          <w:lang w:val="nl-NL"/>
        </w:rPr>
        <w:t>-</w:t>
      </w:r>
      <w:r w:rsidRPr="00C140A8">
        <w:rPr>
          <w:rFonts w:ascii="Georgia" w:hAnsi="Georgia" w:cs="Calibri"/>
          <w:sz w:val="22"/>
          <w:szCs w:val="22"/>
          <w:lang w:val="nl-NL"/>
        </w:rPr>
        <w:t>78 tien peters, in 1378</w:t>
      </w:r>
      <w:r w:rsidR="009B3957" w:rsidRPr="00C140A8">
        <w:rPr>
          <w:rFonts w:ascii="Georgia" w:hAnsi="Georgia" w:cs="Calibri"/>
          <w:sz w:val="22"/>
          <w:szCs w:val="22"/>
          <w:lang w:val="nl-NL"/>
        </w:rPr>
        <w:t>-</w:t>
      </w:r>
      <w:r w:rsidRPr="00C140A8">
        <w:rPr>
          <w:rFonts w:ascii="Georgia" w:hAnsi="Georgia" w:cs="Calibri"/>
          <w:sz w:val="22"/>
          <w:szCs w:val="22"/>
          <w:lang w:val="nl-NL"/>
        </w:rPr>
        <w:t>79 vijf peters en in 1379</w:t>
      </w:r>
      <w:r w:rsidR="009B3957" w:rsidRPr="00C140A8">
        <w:rPr>
          <w:rFonts w:ascii="Georgia" w:hAnsi="Georgia" w:cs="Calibri"/>
          <w:sz w:val="22"/>
          <w:szCs w:val="22"/>
          <w:lang w:val="nl-NL"/>
        </w:rPr>
        <w:t>-</w:t>
      </w:r>
      <w:r w:rsidRPr="00C140A8">
        <w:rPr>
          <w:rFonts w:ascii="Georgia" w:hAnsi="Georgia" w:cs="Calibri"/>
          <w:sz w:val="22"/>
          <w:szCs w:val="22"/>
          <w:lang w:val="nl-NL"/>
        </w:rPr>
        <w:t>80 vier peters.</w:t>
      </w:r>
      <w:r w:rsidRPr="00C140A8">
        <w:rPr>
          <w:rStyle w:val="FootnoteReference"/>
          <w:rFonts w:ascii="Georgia" w:hAnsi="Georgia" w:cs="Calibri"/>
          <w:sz w:val="22"/>
          <w:szCs w:val="22"/>
          <w:lang w:val="nl-NL"/>
        </w:rPr>
        <w:footnoteReference w:id="442"/>
      </w:r>
      <w:r w:rsidRPr="00C140A8">
        <w:rPr>
          <w:rFonts w:ascii="Georgia" w:hAnsi="Georgia" w:cs="Calibri"/>
          <w:sz w:val="22"/>
          <w:szCs w:val="22"/>
          <w:lang w:val="nl-NL"/>
        </w:rPr>
        <w:t xml:space="preserve"> De bedragen waren aanzienlijk hoger rond Pasen, met name op Witte Donderdag, na het voetwassingsritueel. In 1376</w:t>
      </w:r>
      <w:r w:rsidR="009B3957" w:rsidRPr="00C140A8">
        <w:rPr>
          <w:rFonts w:ascii="Georgia" w:hAnsi="Georgia" w:cs="Calibri"/>
          <w:sz w:val="22"/>
          <w:szCs w:val="22"/>
          <w:lang w:val="nl-NL"/>
        </w:rPr>
        <w:t>-</w:t>
      </w:r>
      <w:r w:rsidRPr="00C140A8">
        <w:rPr>
          <w:rFonts w:ascii="Georgia" w:hAnsi="Georgia" w:cs="Calibri"/>
          <w:sz w:val="22"/>
          <w:szCs w:val="22"/>
          <w:lang w:val="nl-NL"/>
        </w:rPr>
        <w:t xml:space="preserve">77 gaf Johanna </w:t>
      </w:r>
      <w:r w:rsidR="009B3957" w:rsidRPr="00C140A8">
        <w:rPr>
          <w:rFonts w:ascii="Georgia" w:hAnsi="Georgia" w:cs="Calibri"/>
          <w:sz w:val="22"/>
          <w:szCs w:val="22"/>
          <w:lang w:val="nl-NL"/>
        </w:rPr>
        <w:t>vierendertig</w:t>
      </w:r>
      <w:r w:rsidRPr="00C140A8">
        <w:rPr>
          <w:rFonts w:ascii="Georgia" w:hAnsi="Georgia" w:cs="Calibri"/>
          <w:sz w:val="22"/>
          <w:szCs w:val="22"/>
          <w:lang w:val="nl-NL"/>
        </w:rPr>
        <w:t xml:space="preserve"> peters, in 1377</w:t>
      </w:r>
      <w:r w:rsidR="009B3957" w:rsidRPr="00C140A8">
        <w:rPr>
          <w:rFonts w:ascii="Georgia" w:hAnsi="Georgia" w:cs="Calibri"/>
          <w:sz w:val="22"/>
          <w:szCs w:val="22"/>
          <w:lang w:val="nl-NL"/>
        </w:rPr>
        <w:t>-</w:t>
      </w:r>
      <w:r w:rsidRPr="00C140A8">
        <w:rPr>
          <w:rFonts w:ascii="Georgia" w:hAnsi="Georgia" w:cs="Calibri"/>
          <w:sz w:val="22"/>
          <w:szCs w:val="22"/>
          <w:lang w:val="nl-NL"/>
        </w:rPr>
        <w:t xml:space="preserve">78 </w:t>
      </w:r>
      <w:r w:rsidR="009B3957" w:rsidRPr="00C140A8">
        <w:rPr>
          <w:rFonts w:ascii="Georgia" w:hAnsi="Georgia" w:cs="Calibri"/>
          <w:sz w:val="22"/>
          <w:szCs w:val="22"/>
          <w:lang w:val="nl-NL"/>
        </w:rPr>
        <w:t>dertig</w:t>
      </w:r>
      <w:r w:rsidRPr="00C140A8">
        <w:rPr>
          <w:rFonts w:ascii="Georgia" w:hAnsi="Georgia" w:cs="Calibri"/>
          <w:sz w:val="22"/>
          <w:szCs w:val="22"/>
          <w:lang w:val="nl-NL"/>
        </w:rPr>
        <w:t xml:space="preserve"> peters en in 1378</w:t>
      </w:r>
      <w:r w:rsidR="009B3957" w:rsidRPr="00C140A8">
        <w:rPr>
          <w:rFonts w:ascii="Georgia" w:hAnsi="Georgia" w:cs="Calibri"/>
          <w:sz w:val="22"/>
          <w:szCs w:val="22"/>
          <w:lang w:val="nl-NL"/>
        </w:rPr>
        <w:t>-</w:t>
      </w:r>
      <w:r w:rsidRPr="00C140A8">
        <w:rPr>
          <w:rFonts w:ascii="Georgia" w:hAnsi="Georgia" w:cs="Calibri"/>
          <w:sz w:val="22"/>
          <w:szCs w:val="22"/>
          <w:lang w:val="nl-NL"/>
        </w:rPr>
        <w:t xml:space="preserve">79 </w:t>
      </w:r>
      <w:r w:rsidR="009B3957" w:rsidRPr="00C140A8">
        <w:rPr>
          <w:rFonts w:ascii="Georgia" w:hAnsi="Georgia" w:cs="Calibri"/>
          <w:sz w:val="22"/>
          <w:szCs w:val="22"/>
          <w:lang w:val="nl-NL"/>
        </w:rPr>
        <w:t>twintig</w:t>
      </w:r>
      <w:r w:rsidRPr="00C140A8">
        <w:rPr>
          <w:rFonts w:ascii="Georgia" w:hAnsi="Georgia" w:cs="Calibri"/>
          <w:sz w:val="22"/>
          <w:szCs w:val="22"/>
          <w:lang w:val="nl-NL"/>
        </w:rPr>
        <w:t xml:space="preserve"> peters.</w:t>
      </w:r>
      <w:r w:rsidRPr="00C140A8">
        <w:rPr>
          <w:rStyle w:val="FootnoteReference"/>
          <w:rFonts w:ascii="Georgia" w:hAnsi="Georgia" w:cs="Calibri"/>
          <w:sz w:val="22"/>
          <w:szCs w:val="22"/>
          <w:lang w:val="nl-NL"/>
        </w:rPr>
        <w:footnoteReference w:id="443"/>
      </w:r>
      <w:r w:rsidRPr="00C140A8">
        <w:rPr>
          <w:rFonts w:ascii="Georgia" w:hAnsi="Georgia" w:cs="Calibri"/>
          <w:sz w:val="22"/>
          <w:szCs w:val="22"/>
          <w:lang w:val="nl-NL"/>
        </w:rPr>
        <w:t xml:space="preserve"> </w:t>
      </w:r>
      <w:r w:rsidR="009B3957" w:rsidRPr="00C140A8">
        <w:rPr>
          <w:rFonts w:ascii="Georgia" w:hAnsi="Georgia" w:cs="Calibri"/>
          <w:sz w:val="22"/>
          <w:szCs w:val="22"/>
          <w:lang w:val="nl-NL"/>
        </w:rPr>
        <w:t>Daarnaast gaf ze niet alleen geld weg.</w:t>
      </w:r>
      <w:r w:rsidRPr="00C140A8">
        <w:rPr>
          <w:rFonts w:ascii="Georgia" w:hAnsi="Georgia" w:cs="Calibri"/>
          <w:sz w:val="22"/>
          <w:szCs w:val="22"/>
          <w:lang w:val="nl-NL"/>
        </w:rPr>
        <w:t xml:space="preserve"> Zo kocht Johanna op 12 </w:t>
      </w:r>
      <w:r w:rsidRPr="00C140A8">
        <w:rPr>
          <w:rFonts w:ascii="Georgia" w:hAnsi="Georgia" w:cs="Calibri"/>
          <w:sz w:val="22"/>
          <w:szCs w:val="22"/>
          <w:lang w:val="nl-NL"/>
        </w:rPr>
        <w:lastRenderedPageBreak/>
        <w:t xml:space="preserve">december 1376 maar liefst </w:t>
      </w:r>
      <w:r w:rsidR="000A01CD">
        <w:rPr>
          <w:rFonts w:ascii="Georgia" w:hAnsi="Georgia" w:cs="Calibri"/>
          <w:sz w:val="22"/>
          <w:szCs w:val="22"/>
          <w:lang w:val="nl-NL"/>
        </w:rPr>
        <w:t>zesenveertig</w:t>
      </w:r>
      <w:r w:rsidRPr="00C140A8">
        <w:rPr>
          <w:rFonts w:ascii="Georgia" w:hAnsi="Georgia" w:cs="Calibri"/>
          <w:sz w:val="22"/>
          <w:szCs w:val="22"/>
          <w:lang w:val="nl-NL"/>
        </w:rPr>
        <w:t xml:space="preserve"> paar schoenen die ze </w:t>
      </w:r>
      <w:r w:rsidR="00746790">
        <w:rPr>
          <w:rFonts w:ascii="Georgia" w:hAnsi="Georgia" w:cs="Calibri"/>
          <w:sz w:val="22"/>
          <w:szCs w:val="22"/>
          <w:lang w:val="nl-NL"/>
        </w:rPr>
        <w:t>‘</w:t>
      </w:r>
      <w:r w:rsidRPr="00C140A8">
        <w:rPr>
          <w:rFonts w:ascii="Georgia" w:hAnsi="Georgia" w:cs="Calibri"/>
          <w:sz w:val="22"/>
          <w:szCs w:val="22"/>
          <w:lang w:val="nl-NL"/>
        </w:rPr>
        <w:t>in Gods naam</w:t>
      </w:r>
      <w:r w:rsidR="00746790">
        <w:rPr>
          <w:rFonts w:ascii="Georgia" w:hAnsi="Georgia" w:cs="Calibri"/>
          <w:sz w:val="22"/>
          <w:szCs w:val="22"/>
          <w:lang w:val="nl-NL"/>
        </w:rPr>
        <w:t>’</w:t>
      </w:r>
      <w:r w:rsidRPr="00C140A8">
        <w:rPr>
          <w:rFonts w:ascii="Georgia" w:hAnsi="Georgia" w:cs="Calibri"/>
          <w:sz w:val="22"/>
          <w:szCs w:val="22"/>
          <w:lang w:val="nl-NL"/>
        </w:rPr>
        <w:t xml:space="preserve"> weggaf, goed voor een som van </w:t>
      </w:r>
      <w:r w:rsidR="000A01CD">
        <w:rPr>
          <w:rFonts w:ascii="Georgia" w:hAnsi="Georgia" w:cs="Calibri"/>
          <w:sz w:val="22"/>
          <w:szCs w:val="22"/>
          <w:lang w:val="nl-NL"/>
        </w:rPr>
        <w:t>honderdachtendertig</w:t>
      </w:r>
      <w:r w:rsidRPr="00C140A8">
        <w:rPr>
          <w:rFonts w:ascii="Georgia" w:hAnsi="Georgia" w:cs="Calibri"/>
          <w:sz w:val="22"/>
          <w:szCs w:val="22"/>
          <w:lang w:val="nl-NL"/>
        </w:rPr>
        <w:t xml:space="preserve"> pond, ongeveer </w:t>
      </w:r>
      <w:r w:rsidR="000A01CD">
        <w:rPr>
          <w:rFonts w:ascii="Georgia" w:hAnsi="Georgia" w:cs="Calibri"/>
          <w:sz w:val="22"/>
          <w:szCs w:val="22"/>
          <w:lang w:val="nl-NL"/>
        </w:rPr>
        <w:t>éénentwintig</w:t>
      </w:r>
      <w:r w:rsidRPr="00C140A8">
        <w:rPr>
          <w:rFonts w:ascii="Georgia" w:hAnsi="Georgia" w:cs="Calibri"/>
          <w:sz w:val="22"/>
          <w:szCs w:val="22"/>
          <w:lang w:val="nl-NL"/>
        </w:rPr>
        <w:t xml:space="preserve"> peters.</w:t>
      </w:r>
      <w:r w:rsidRPr="00C140A8">
        <w:rPr>
          <w:rStyle w:val="FootnoteReference"/>
          <w:rFonts w:ascii="Georgia" w:hAnsi="Georgia" w:cs="Calibri"/>
          <w:sz w:val="22"/>
          <w:szCs w:val="22"/>
          <w:lang w:val="nl-NL"/>
        </w:rPr>
        <w:footnoteReference w:id="444"/>
      </w:r>
      <w:r w:rsidRPr="00C140A8">
        <w:rPr>
          <w:rFonts w:ascii="Georgia" w:hAnsi="Georgia" w:cs="Calibri"/>
          <w:sz w:val="22"/>
          <w:szCs w:val="22"/>
          <w:lang w:val="nl-NL"/>
        </w:rPr>
        <w:t xml:space="preserve"> Op Kerstdag 1376 betaalde zij </w:t>
      </w:r>
      <w:r w:rsidR="000A01CD">
        <w:rPr>
          <w:rFonts w:ascii="Georgia" w:hAnsi="Georgia" w:cs="Calibri"/>
          <w:sz w:val="22"/>
          <w:szCs w:val="22"/>
          <w:lang w:val="nl-NL"/>
        </w:rPr>
        <w:t>vijftig</w:t>
      </w:r>
      <w:r w:rsidRPr="00C140A8">
        <w:rPr>
          <w:rFonts w:ascii="Georgia" w:hAnsi="Georgia" w:cs="Calibri"/>
          <w:sz w:val="22"/>
          <w:szCs w:val="22"/>
          <w:lang w:val="nl-NL"/>
        </w:rPr>
        <w:t xml:space="preserve"> peters uit aan </w:t>
      </w:r>
      <w:proofErr w:type="spellStart"/>
      <w:r w:rsidRPr="00C140A8">
        <w:rPr>
          <w:rFonts w:ascii="Georgia" w:hAnsi="Georgia" w:cs="Calibri"/>
          <w:sz w:val="22"/>
          <w:szCs w:val="22"/>
          <w:lang w:val="nl-NL"/>
        </w:rPr>
        <w:t>Lijsbeth</w:t>
      </w:r>
      <w:proofErr w:type="spellEnd"/>
      <w:r w:rsidRPr="00C140A8">
        <w:rPr>
          <w:rFonts w:ascii="Georgia" w:hAnsi="Georgia" w:cs="Calibri"/>
          <w:sz w:val="22"/>
          <w:szCs w:val="22"/>
          <w:lang w:val="nl-NL"/>
        </w:rPr>
        <w:t xml:space="preserve"> </w:t>
      </w:r>
      <w:proofErr w:type="spellStart"/>
      <w:r w:rsidRPr="00C140A8">
        <w:rPr>
          <w:rFonts w:ascii="Georgia" w:hAnsi="Georgia" w:cs="Calibri"/>
          <w:sz w:val="22"/>
          <w:szCs w:val="22"/>
          <w:lang w:val="nl-NL"/>
        </w:rPr>
        <w:t>Borys</w:t>
      </w:r>
      <w:proofErr w:type="spellEnd"/>
      <w:r w:rsidRPr="00C140A8">
        <w:rPr>
          <w:rFonts w:ascii="Georgia" w:hAnsi="Georgia" w:cs="Calibri"/>
          <w:sz w:val="22"/>
          <w:szCs w:val="22"/>
          <w:lang w:val="nl-NL"/>
        </w:rPr>
        <w:t>, haar linnenleverancier, om lakens weg te schenken.</w:t>
      </w:r>
      <w:r w:rsidRPr="00C140A8">
        <w:rPr>
          <w:rStyle w:val="FootnoteReference"/>
          <w:rFonts w:ascii="Georgia" w:hAnsi="Georgia" w:cs="Calibri"/>
          <w:sz w:val="22"/>
          <w:szCs w:val="22"/>
          <w:lang w:val="nl-NL"/>
        </w:rPr>
        <w:footnoteReference w:id="445"/>
      </w:r>
      <w:r w:rsidRPr="00C140A8">
        <w:rPr>
          <w:rFonts w:ascii="Georgia" w:hAnsi="Georgia" w:cs="Calibri"/>
          <w:sz w:val="22"/>
          <w:szCs w:val="22"/>
          <w:lang w:val="nl-NL"/>
        </w:rPr>
        <w:t xml:space="preserve"> Het jaar daarop deed ze hetzelfde en beval ze haar hofdame Alice om voor </w:t>
      </w:r>
      <w:r w:rsidR="000A01CD">
        <w:rPr>
          <w:rFonts w:ascii="Georgia" w:hAnsi="Georgia" w:cs="Calibri"/>
          <w:sz w:val="22"/>
          <w:szCs w:val="22"/>
          <w:lang w:val="nl-NL"/>
        </w:rPr>
        <w:t>tweeëntwintig</w:t>
      </w:r>
      <w:r w:rsidRPr="00C140A8">
        <w:rPr>
          <w:rFonts w:ascii="Georgia" w:hAnsi="Georgia" w:cs="Calibri"/>
          <w:sz w:val="22"/>
          <w:szCs w:val="22"/>
          <w:lang w:val="nl-NL"/>
        </w:rPr>
        <w:t xml:space="preserve"> peters linnen te kopen voor "</w:t>
      </w:r>
      <w:r w:rsidRPr="000A01CD">
        <w:rPr>
          <w:rFonts w:ascii="Georgia" w:hAnsi="Georgia" w:cs="Calibri"/>
          <w:i/>
          <w:iCs/>
          <w:sz w:val="22"/>
          <w:szCs w:val="22"/>
          <w:lang w:val="nl-NL"/>
        </w:rPr>
        <w:t>arme lieden, om</w:t>
      </w:r>
      <w:r w:rsidR="009B3957" w:rsidRPr="000A01CD">
        <w:rPr>
          <w:rFonts w:ascii="Georgia" w:hAnsi="Georgia" w:cs="Calibri"/>
          <w:i/>
          <w:iCs/>
          <w:sz w:val="22"/>
          <w:szCs w:val="22"/>
          <w:lang w:val="nl-NL"/>
        </w:rPr>
        <w:t>me</w:t>
      </w:r>
      <w:r w:rsidRPr="000A01CD">
        <w:rPr>
          <w:rFonts w:ascii="Georgia" w:hAnsi="Georgia" w:cs="Calibri"/>
          <w:i/>
          <w:iCs/>
          <w:sz w:val="22"/>
          <w:szCs w:val="22"/>
          <w:lang w:val="nl-NL"/>
        </w:rPr>
        <w:t xml:space="preserve"> </w:t>
      </w:r>
      <w:proofErr w:type="spellStart"/>
      <w:r w:rsidRPr="000A01CD">
        <w:rPr>
          <w:rFonts w:ascii="Georgia" w:hAnsi="Georgia" w:cs="Calibri"/>
          <w:i/>
          <w:iCs/>
          <w:sz w:val="22"/>
          <w:szCs w:val="22"/>
          <w:lang w:val="nl-NL"/>
        </w:rPr>
        <w:t>Gode</w:t>
      </w:r>
      <w:proofErr w:type="spellEnd"/>
      <w:r w:rsidRPr="000A01CD">
        <w:rPr>
          <w:rFonts w:ascii="Georgia" w:hAnsi="Georgia" w:cs="Calibri"/>
          <w:i/>
          <w:iCs/>
          <w:sz w:val="22"/>
          <w:szCs w:val="22"/>
          <w:lang w:val="nl-NL"/>
        </w:rPr>
        <w:t xml:space="preserve"> te geven</w:t>
      </w:r>
      <w:r w:rsidRPr="00C140A8">
        <w:rPr>
          <w:rFonts w:ascii="Georgia" w:hAnsi="Georgia" w:cs="Calibri"/>
          <w:sz w:val="22"/>
          <w:szCs w:val="22"/>
          <w:lang w:val="nl-NL"/>
        </w:rPr>
        <w:t>."</w:t>
      </w:r>
      <w:r w:rsidRPr="00C140A8">
        <w:rPr>
          <w:rStyle w:val="FootnoteReference"/>
          <w:rFonts w:ascii="Georgia" w:hAnsi="Georgia" w:cs="Calibri"/>
          <w:sz w:val="22"/>
          <w:szCs w:val="22"/>
          <w:lang w:val="nl-NL"/>
        </w:rPr>
        <w:footnoteReference w:id="446"/>
      </w:r>
    </w:p>
    <w:p w14:paraId="6BEC5E1F" w14:textId="0CF91DE1" w:rsidR="00A30C4D" w:rsidRPr="00C140A8" w:rsidRDefault="00A30C4D"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Johanna's vrijgevigheid beperkte zich niet tot vaste uitgaven gelinkt aan </w:t>
      </w:r>
      <w:r w:rsidR="00D218A2" w:rsidRPr="00C140A8">
        <w:rPr>
          <w:rFonts w:ascii="Georgia" w:hAnsi="Georgia" w:cs="Calibri"/>
          <w:sz w:val="22"/>
          <w:szCs w:val="22"/>
          <w:lang w:val="nl-NL"/>
        </w:rPr>
        <w:t>specifieke feestdagen</w:t>
      </w:r>
      <w:r w:rsidRPr="00C140A8">
        <w:rPr>
          <w:rFonts w:ascii="Georgia" w:hAnsi="Georgia" w:cs="Calibri"/>
          <w:sz w:val="22"/>
          <w:szCs w:val="22"/>
          <w:lang w:val="nl-NL"/>
        </w:rPr>
        <w:t xml:space="preserve">, maar ging het hele jaar door. Wanneer ze op reis vertrok, kreeg ze </w:t>
      </w:r>
      <w:r w:rsidR="007B25BB">
        <w:rPr>
          <w:rFonts w:ascii="Georgia" w:hAnsi="Georgia" w:cs="Calibri"/>
          <w:sz w:val="22"/>
          <w:szCs w:val="22"/>
          <w:lang w:val="nl-NL"/>
        </w:rPr>
        <w:t>“</w:t>
      </w:r>
      <w:proofErr w:type="spellStart"/>
      <w:r w:rsidR="00096D6B">
        <w:rPr>
          <w:rFonts w:ascii="Georgia" w:hAnsi="Georgia" w:cs="Calibri"/>
          <w:i/>
          <w:iCs/>
          <w:sz w:val="22"/>
          <w:szCs w:val="22"/>
          <w:lang w:val="nl-NL"/>
        </w:rPr>
        <w:t>c</w:t>
      </w:r>
      <w:r w:rsidRPr="007B25BB">
        <w:rPr>
          <w:rFonts w:ascii="Georgia" w:hAnsi="Georgia" w:cs="Calibri"/>
          <w:i/>
          <w:iCs/>
          <w:sz w:val="22"/>
          <w:szCs w:val="22"/>
          <w:lang w:val="nl-NL"/>
        </w:rPr>
        <w:t>offergeld</w:t>
      </w:r>
      <w:r w:rsidR="00096D6B">
        <w:rPr>
          <w:rFonts w:ascii="Georgia" w:hAnsi="Georgia" w:cs="Calibri"/>
          <w:i/>
          <w:iCs/>
          <w:sz w:val="22"/>
          <w:szCs w:val="22"/>
          <w:lang w:val="nl-NL"/>
        </w:rPr>
        <w:t>e</w:t>
      </w:r>
      <w:proofErr w:type="spellEnd"/>
      <w:r w:rsidR="007B25BB">
        <w:rPr>
          <w:rFonts w:ascii="Georgia" w:hAnsi="Georgia" w:cs="Calibri"/>
          <w:sz w:val="22"/>
          <w:szCs w:val="22"/>
          <w:lang w:val="nl-NL"/>
        </w:rPr>
        <w:t>”</w:t>
      </w:r>
      <w:r w:rsidRPr="00C140A8">
        <w:rPr>
          <w:rFonts w:ascii="Georgia" w:hAnsi="Georgia" w:cs="Calibri"/>
          <w:sz w:val="22"/>
          <w:szCs w:val="22"/>
          <w:lang w:val="nl-NL"/>
        </w:rPr>
        <w:t xml:space="preserve"> mee, waarvan vaak een deel gereserveerd was voor aalmoezen.</w:t>
      </w:r>
      <w:r w:rsidRPr="00C140A8">
        <w:rPr>
          <w:rStyle w:val="FootnoteReference"/>
          <w:rFonts w:ascii="Georgia" w:hAnsi="Georgia" w:cs="Calibri"/>
          <w:sz w:val="22"/>
          <w:szCs w:val="22"/>
          <w:lang w:val="nl-NL"/>
        </w:rPr>
        <w:footnoteReference w:id="447"/>
      </w:r>
      <w:r w:rsidRPr="00C140A8">
        <w:rPr>
          <w:rFonts w:ascii="Georgia" w:hAnsi="Georgia" w:cs="Calibri"/>
          <w:sz w:val="22"/>
          <w:szCs w:val="22"/>
          <w:lang w:val="nl-NL"/>
        </w:rPr>
        <w:t xml:space="preserve"> Toen ze een feest bijwoonde in Gent, zag ze twee bedelaars en gaf ze beiden een aalmoes, goed voor drie </w:t>
      </w:r>
      <w:proofErr w:type="spellStart"/>
      <w:r w:rsidRPr="00C140A8">
        <w:rPr>
          <w:rFonts w:ascii="Georgia" w:hAnsi="Georgia" w:cs="Calibri"/>
          <w:sz w:val="22"/>
          <w:szCs w:val="22"/>
          <w:lang w:val="nl-NL"/>
        </w:rPr>
        <w:t>pieters</w:t>
      </w:r>
      <w:proofErr w:type="spellEnd"/>
      <w:r w:rsidRPr="00C140A8">
        <w:rPr>
          <w:rFonts w:ascii="Georgia" w:hAnsi="Georgia" w:cs="Calibri"/>
          <w:sz w:val="22"/>
          <w:szCs w:val="22"/>
          <w:lang w:val="nl-NL"/>
        </w:rPr>
        <w:t>.</w:t>
      </w:r>
      <w:r w:rsidRPr="00C140A8">
        <w:rPr>
          <w:rStyle w:val="FootnoteReference"/>
          <w:rFonts w:ascii="Georgia" w:hAnsi="Georgia" w:cs="Calibri"/>
          <w:sz w:val="22"/>
          <w:szCs w:val="22"/>
          <w:lang w:val="nl-NL"/>
        </w:rPr>
        <w:footnoteReference w:id="448"/>
      </w:r>
      <w:r w:rsidRPr="00C140A8">
        <w:rPr>
          <w:rFonts w:ascii="Georgia" w:hAnsi="Georgia" w:cs="Calibri"/>
          <w:sz w:val="22"/>
          <w:szCs w:val="22"/>
          <w:lang w:val="nl-NL"/>
        </w:rPr>
        <w:t xml:space="preserve"> Vaak gebeurden de aalmoezen op haar bevel, maar ze had ook een aalmoezenier, broeder Godfried, die aan het hof het grotere logistieke werk regelde.</w:t>
      </w:r>
      <w:r w:rsidRPr="00C140A8">
        <w:rPr>
          <w:rStyle w:val="FootnoteReference"/>
          <w:rFonts w:ascii="Georgia" w:hAnsi="Georgia" w:cs="Calibri"/>
          <w:sz w:val="22"/>
          <w:szCs w:val="22"/>
          <w:lang w:val="nl-NL"/>
        </w:rPr>
        <w:footnoteReference w:id="449"/>
      </w:r>
      <w:r w:rsidRPr="00C140A8">
        <w:rPr>
          <w:rFonts w:ascii="Georgia" w:hAnsi="Georgia" w:cs="Calibri"/>
          <w:sz w:val="22"/>
          <w:szCs w:val="22"/>
          <w:lang w:val="nl-NL"/>
        </w:rPr>
        <w:t xml:space="preserve"> Dit patroon van spontane en georganiseerde liefdadigheid bevestigt dat Johanna's aalmoezen niet willekeurig waren, maar deel uitmaakten van een bewuste praktijk van vorstelijke representatie waarin zij naar voren komt als een vrijgevige vorstin.</w:t>
      </w:r>
    </w:p>
    <w:p w14:paraId="65E3AE51" w14:textId="77777777" w:rsidR="00A30C4D" w:rsidRPr="00C140A8" w:rsidRDefault="00A30C4D" w:rsidP="00B54A0D">
      <w:pPr>
        <w:pStyle w:val="ThesisSubheading"/>
        <w:ind w:left="1134" w:hanging="1134"/>
      </w:pPr>
      <w:bookmarkStart w:id="263" w:name="_Toc229404855"/>
      <w:bookmarkStart w:id="264" w:name="_Toc231153793"/>
      <w:bookmarkStart w:id="265" w:name="_Toc231329862"/>
      <w:bookmarkStart w:id="266" w:name="_Toc231330469"/>
      <w:bookmarkStart w:id="267" w:name="_Toc231428063"/>
      <w:proofErr w:type="spellStart"/>
      <w:r w:rsidRPr="00C140A8">
        <w:t>Pelgrimages</w:t>
      </w:r>
      <w:bookmarkEnd w:id="263"/>
      <w:bookmarkEnd w:id="264"/>
      <w:bookmarkEnd w:id="265"/>
      <w:bookmarkEnd w:id="266"/>
      <w:bookmarkEnd w:id="267"/>
      <w:proofErr w:type="spellEnd"/>
    </w:p>
    <w:p w14:paraId="6AA33835" w14:textId="34FD0F04" w:rsidR="00A30C4D" w:rsidRPr="00C140A8" w:rsidRDefault="00A30C4D"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De meest publieke vorm van Johanna's vroomheid waren haar pelgrimages. De praktijk kwam in alle lagen van de bevolking voor en kende uiteenlopende motieven, van boetedoening tot het afsmeken van hulp bij ziekte of voor het eigen zielenheil.</w:t>
      </w:r>
      <w:r w:rsidRPr="00C140A8">
        <w:rPr>
          <w:rStyle w:val="FootnoteReference"/>
          <w:rFonts w:ascii="Georgia" w:hAnsi="Georgia" w:cs="Calibri"/>
          <w:sz w:val="22"/>
          <w:szCs w:val="22"/>
          <w:lang w:val="nl-NL"/>
        </w:rPr>
        <w:footnoteReference w:id="450"/>
      </w:r>
      <w:r w:rsidRPr="00C140A8">
        <w:rPr>
          <w:rFonts w:ascii="Georgia" w:hAnsi="Georgia" w:cs="Calibri"/>
          <w:sz w:val="22"/>
          <w:szCs w:val="22"/>
          <w:lang w:val="nl-NL"/>
        </w:rPr>
        <w:t xml:space="preserve"> Binnen de vorstelijke milieus was de politieke dimensie van zulke tochten ruim gekend. De pelgrimage en de daaropvolgende schenkingen van luxeproducten en giften aan bedevaartsoorden waren middelen waarmee Johanna haar vroomheid kon etaleren.</w:t>
      </w:r>
      <w:r w:rsidR="007D1813" w:rsidRPr="00C140A8">
        <w:rPr>
          <w:rStyle w:val="FootnoteReference"/>
          <w:rFonts w:ascii="Georgia" w:hAnsi="Georgia" w:cs="Calibri"/>
          <w:sz w:val="22"/>
          <w:szCs w:val="22"/>
          <w:lang w:val="nl-NL"/>
        </w:rPr>
        <w:footnoteReference w:id="451"/>
      </w:r>
      <w:r w:rsidRPr="00C140A8">
        <w:rPr>
          <w:rFonts w:ascii="Georgia" w:hAnsi="Georgia" w:cs="Calibri"/>
          <w:sz w:val="22"/>
          <w:szCs w:val="22"/>
          <w:lang w:val="nl-NL"/>
        </w:rPr>
        <w:t xml:space="preserve"> Ze hadden een hoog </w:t>
      </w:r>
      <w:proofErr w:type="spellStart"/>
      <w:r w:rsidRPr="00C140A8">
        <w:rPr>
          <w:rFonts w:ascii="Georgia" w:hAnsi="Georgia" w:cs="Calibri"/>
          <w:sz w:val="22"/>
          <w:szCs w:val="22"/>
          <w:lang w:val="nl-NL"/>
        </w:rPr>
        <w:t>performatief</w:t>
      </w:r>
      <w:proofErr w:type="spellEnd"/>
      <w:r w:rsidRPr="00C140A8">
        <w:rPr>
          <w:rFonts w:ascii="Georgia" w:hAnsi="Georgia" w:cs="Calibri"/>
          <w:sz w:val="22"/>
          <w:szCs w:val="22"/>
          <w:lang w:val="nl-NL"/>
        </w:rPr>
        <w:t xml:space="preserve"> karakter en maakten Johanna's devotie zichtbaar voor een breed publiek.</w:t>
      </w:r>
      <w:r w:rsidRPr="00C140A8">
        <w:rPr>
          <w:rStyle w:val="FootnoteReference"/>
          <w:rFonts w:ascii="Georgia" w:hAnsi="Georgia" w:cs="Calibri"/>
          <w:sz w:val="22"/>
          <w:szCs w:val="22"/>
          <w:lang w:val="nl-NL"/>
        </w:rPr>
        <w:footnoteReference w:id="452"/>
      </w:r>
    </w:p>
    <w:p w14:paraId="01555502" w14:textId="0B91B6C9" w:rsidR="00D67703" w:rsidRPr="00C140A8" w:rsidRDefault="00A30C4D"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Het dichtstbijzijnde bedevaartsoord waar Johanna vaak vertoefde, was dat van Halle in het graafschap Henegouwen waar ze een glasraam had geschonken</w:t>
      </w:r>
      <w:r w:rsidR="00D7125F">
        <w:rPr>
          <w:rFonts w:ascii="Georgia" w:hAnsi="Georgia" w:cs="Calibri"/>
          <w:sz w:val="22"/>
          <w:szCs w:val="22"/>
          <w:lang w:val="nl-NL"/>
        </w:rPr>
        <w:t>.</w:t>
      </w:r>
      <w:r w:rsidRPr="00C140A8">
        <w:rPr>
          <w:rFonts w:ascii="Georgia" w:hAnsi="Georgia" w:cs="Calibri"/>
          <w:sz w:val="22"/>
          <w:szCs w:val="22"/>
          <w:lang w:val="nl-NL"/>
        </w:rPr>
        <w:t xml:space="preserve"> De rekeningen vermelden vele bezoeken. Ze vermelden het koffergeld dat Johanna meenam en waarvan ze vaak een deel </w:t>
      </w:r>
      <w:r w:rsidRPr="00C140A8">
        <w:rPr>
          <w:rFonts w:ascii="Georgia" w:hAnsi="Georgia" w:cs="Calibri"/>
          <w:sz w:val="22"/>
          <w:szCs w:val="22"/>
          <w:lang w:val="nl-NL"/>
        </w:rPr>
        <w:lastRenderedPageBreak/>
        <w:t>offerde in de kapel en weggaf als aalmoes.</w:t>
      </w:r>
      <w:r w:rsidRPr="2D0D95AE">
        <w:rPr>
          <w:rStyle w:val="FootnoteReference"/>
          <w:rFonts w:ascii="Georgia" w:hAnsi="Georgia" w:cs="Calibri"/>
          <w:sz w:val="22"/>
          <w:szCs w:val="22"/>
          <w:lang w:val="nl-NL"/>
        </w:rPr>
        <w:footnoteReference w:id="453"/>
      </w:r>
      <w:r w:rsidRPr="00C140A8">
        <w:rPr>
          <w:rFonts w:ascii="Georgia" w:hAnsi="Georgia" w:cs="Calibri"/>
          <w:sz w:val="22"/>
          <w:szCs w:val="22"/>
          <w:lang w:val="nl-NL"/>
        </w:rPr>
        <w:t xml:space="preserve"> Halle diende ook als tussenstop op haar reizen richting Binche of Luxemburg. In de </w:t>
      </w:r>
      <w:r w:rsidR="009B3957" w:rsidRPr="2D0D95AE">
        <w:rPr>
          <w:rFonts w:ascii="Georgia" w:hAnsi="Georgia" w:cs="Calibri"/>
          <w:i/>
          <w:iCs/>
          <w:sz w:val="22"/>
          <w:szCs w:val="22"/>
          <w:lang w:val="nl-NL"/>
        </w:rPr>
        <w:t>f</w:t>
      </w:r>
      <w:r w:rsidRPr="2D0D95AE">
        <w:rPr>
          <w:rFonts w:ascii="Georgia" w:hAnsi="Georgia" w:cs="Calibri"/>
          <w:i/>
          <w:iCs/>
          <w:sz w:val="22"/>
          <w:szCs w:val="22"/>
          <w:lang w:val="nl-NL"/>
        </w:rPr>
        <w:t>oreine partie</w:t>
      </w:r>
      <w:r w:rsidR="009B3957" w:rsidRPr="2D0D95AE">
        <w:rPr>
          <w:rFonts w:ascii="Georgia" w:hAnsi="Georgia" w:cs="Calibri"/>
          <w:i/>
          <w:iCs/>
          <w:sz w:val="22"/>
          <w:szCs w:val="22"/>
          <w:lang w:val="nl-NL"/>
        </w:rPr>
        <w:t>ë</w:t>
      </w:r>
      <w:r w:rsidRPr="2D0D95AE">
        <w:rPr>
          <w:rFonts w:ascii="Georgia" w:hAnsi="Georgia" w:cs="Calibri"/>
          <w:i/>
          <w:iCs/>
          <w:sz w:val="22"/>
          <w:szCs w:val="22"/>
          <w:lang w:val="nl-NL"/>
        </w:rPr>
        <w:t>n</w:t>
      </w:r>
      <w:r w:rsidRPr="00C140A8">
        <w:rPr>
          <w:rFonts w:ascii="Georgia" w:hAnsi="Georgia" w:cs="Calibri"/>
          <w:sz w:val="22"/>
          <w:szCs w:val="22"/>
          <w:lang w:val="nl-NL"/>
        </w:rPr>
        <w:t xml:space="preserve"> van de rekeningen zijn zes meldingen terug te vinden van 'zakgeld' of '</w:t>
      </w:r>
      <w:r w:rsidR="007D1813">
        <w:rPr>
          <w:rFonts w:ascii="Georgia" w:hAnsi="Georgia" w:cs="Calibri"/>
          <w:sz w:val="22"/>
          <w:szCs w:val="22"/>
          <w:lang w:val="nl-NL"/>
        </w:rPr>
        <w:t>k</w:t>
      </w:r>
      <w:r w:rsidRPr="00C140A8">
        <w:rPr>
          <w:rFonts w:ascii="Georgia" w:hAnsi="Georgia" w:cs="Calibri"/>
          <w:sz w:val="22"/>
          <w:szCs w:val="22"/>
          <w:lang w:val="nl-NL"/>
        </w:rPr>
        <w:t xml:space="preserve">offergeld'. Een paar keer staat er ook bij vermeld dat het bestemd was om </w:t>
      </w:r>
      <w:r w:rsidR="009B3957" w:rsidRPr="00C140A8">
        <w:rPr>
          <w:rFonts w:ascii="Georgia" w:hAnsi="Georgia" w:cs="Calibri"/>
          <w:sz w:val="22"/>
          <w:szCs w:val="22"/>
          <w:lang w:val="nl-NL"/>
        </w:rPr>
        <w:t>“</w:t>
      </w:r>
      <w:r w:rsidR="009B3957" w:rsidRPr="2D0D95AE">
        <w:rPr>
          <w:rFonts w:ascii="Georgia" w:hAnsi="Georgia" w:cs="Calibri"/>
          <w:i/>
          <w:iCs/>
          <w:sz w:val="22"/>
          <w:szCs w:val="22"/>
          <w:lang w:val="nl-NL"/>
        </w:rPr>
        <w:t xml:space="preserve">omme </w:t>
      </w:r>
      <w:r w:rsidRPr="2D0D95AE">
        <w:rPr>
          <w:rFonts w:ascii="Georgia" w:hAnsi="Georgia" w:cs="Calibri"/>
          <w:i/>
          <w:iCs/>
          <w:sz w:val="22"/>
          <w:szCs w:val="22"/>
          <w:lang w:val="nl-NL"/>
        </w:rPr>
        <w:t>Gode te geven</w:t>
      </w:r>
      <w:r w:rsidR="009B3957" w:rsidRPr="00C140A8">
        <w:rPr>
          <w:rFonts w:ascii="Georgia" w:hAnsi="Georgia" w:cs="Calibri"/>
          <w:sz w:val="22"/>
          <w:szCs w:val="22"/>
          <w:lang w:val="nl-NL"/>
        </w:rPr>
        <w:t>”.</w:t>
      </w:r>
      <w:r w:rsidRPr="00C140A8">
        <w:rPr>
          <w:rFonts w:ascii="Georgia" w:hAnsi="Georgia" w:cs="Calibri"/>
          <w:sz w:val="22"/>
          <w:szCs w:val="22"/>
          <w:lang w:val="nl-NL"/>
        </w:rPr>
        <w:t xml:space="preserve"> De reisrekeningen zijn explicieter en vermelden het doel: een bedevaart. Driemaal ging ze naar Halle in 1380</w:t>
      </w:r>
      <w:r w:rsidR="009B3957" w:rsidRPr="00C140A8">
        <w:rPr>
          <w:rFonts w:ascii="Georgia" w:hAnsi="Georgia" w:cs="Calibri"/>
          <w:sz w:val="22"/>
          <w:szCs w:val="22"/>
          <w:lang w:val="nl-NL"/>
        </w:rPr>
        <w:t>. E</w:t>
      </w:r>
      <w:r w:rsidRPr="00C140A8">
        <w:rPr>
          <w:rFonts w:ascii="Georgia" w:hAnsi="Georgia" w:cs="Calibri"/>
          <w:sz w:val="22"/>
          <w:szCs w:val="22"/>
          <w:lang w:val="nl-NL"/>
        </w:rPr>
        <w:t>enmaal op de donderdag na Pasen en tweemaal op donderdagen in juni, waarbij ze op 21 juni de graaf en de gravin van Henegouwen ontmoette, Albrecht van Beieren en zijn echtgenote Margaretha.</w:t>
      </w:r>
      <w:r w:rsidRPr="2D0D95AE">
        <w:rPr>
          <w:rStyle w:val="FootnoteReference"/>
          <w:rFonts w:ascii="Georgia" w:hAnsi="Georgia" w:cs="Calibri"/>
          <w:sz w:val="22"/>
          <w:szCs w:val="22"/>
          <w:lang w:val="nl-NL"/>
        </w:rPr>
        <w:footnoteReference w:id="454"/>
      </w:r>
      <w:r w:rsidRPr="00C140A8">
        <w:rPr>
          <w:rFonts w:ascii="Georgia" w:hAnsi="Georgia" w:cs="Calibri"/>
          <w:sz w:val="22"/>
          <w:szCs w:val="22"/>
          <w:lang w:val="nl-NL"/>
        </w:rPr>
        <w:t xml:space="preserve"> Het lijkt erop dat Halle naast geliefd bedevaartsoord ook een politieke functie had als strategisch ontmoetingspunt tussen het graafschap Henegouwen en het hertogdom Brabant.</w:t>
      </w:r>
      <w:r w:rsidRPr="2D0D95AE">
        <w:rPr>
          <w:rStyle w:val="FootnoteReference"/>
          <w:rFonts w:ascii="Georgia" w:hAnsi="Georgia" w:cs="Calibri"/>
          <w:sz w:val="22"/>
          <w:szCs w:val="22"/>
          <w:lang w:val="nl-NL"/>
        </w:rPr>
        <w:footnoteReference w:id="455"/>
      </w:r>
      <w:r w:rsidRPr="00C140A8">
        <w:rPr>
          <w:rFonts w:ascii="Georgia" w:hAnsi="Georgia" w:cs="Calibri"/>
          <w:sz w:val="22"/>
          <w:szCs w:val="22"/>
          <w:lang w:val="nl-NL"/>
        </w:rPr>
        <w:t xml:space="preserve"> Johanna's bereik reikte uiteraard verder. Ze sponsorde bijvoorbeeld ook reizen van geestelijken, zoals die keer toen monnik Jan Blacs uit Cambron-Casteau in 1378 naar Rome trok om aan de paus de absolutie te vragen.</w:t>
      </w:r>
      <w:r w:rsidRPr="2D0D95AE">
        <w:rPr>
          <w:rStyle w:val="FootnoteReference"/>
          <w:rFonts w:ascii="Georgia" w:hAnsi="Georgia" w:cs="Calibri"/>
          <w:sz w:val="22"/>
          <w:szCs w:val="22"/>
          <w:lang w:val="nl-NL"/>
        </w:rPr>
        <w:footnoteReference w:id="456"/>
      </w:r>
    </w:p>
    <w:p w14:paraId="5E02B081" w14:textId="29EE66B5" w:rsidR="00A31BD1" w:rsidRPr="00C140A8" w:rsidRDefault="00A31BD1" w:rsidP="00B54A0D">
      <w:pPr>
        <w:pStyle w:val="ThesisHeading"/>
        <w:ind w:left="1134" w:hanging="1134"/>
        <w:rPr>
          <w:lang w:val="nl-NL"/>
        </w:rPr>
      </w:pPr>
      <w:bookmarkStart w:id="268" w:name="_Toc231153794"/>
      <w:bookmarkStart w:id="269" w:name="_Toc231329863"/>
      <w:bookmarkStart w:id="270" w:name="_Toc231330470"/>
      <w:bookmarkStart w:id="271" w:name="_Toc231428064"/>
      <w:bookmarkStart w:id="272" w:name="_Toc231463615"/>
      <w:bookmarkStart w:id="273" w:name="_Toc229404856"/>
      <w:proofErr w:type="spellStart"/>
      <w:r w:rsidRPr="00B54A0D">
        <w:t>Literair</w:t>
      </w:r>
      <w:proofErr w:type="spellEnd"/>
      <w:r w:rsidRPr="00C140A8">
        <w:rPr>
          <w:lang w:val="nl-NL"/>
        </w:rPr>
        <w:t xml:space="preserve"> mecenaat</w:t>
      </w:r>
      <w:bookmarkEnd w:id="268"/>
      <w:bookmarkEnd w:id="269"/>
      <w:bookmarkEnd w:id="270"/>
      <w:bookmarkEnd w:id="271"/>
      <w:bookmarkEnd w:id="272"/>
      <w:r w:rsidRPr="00C140A8">
        <w:rPr>
          <w:lang w:val="nl-NL"/>
        </w:rPr>
        <w:t xml:space="preserve"> </w:t>
      </w:r>
      <w:bookmarkEnd w:id="273"/>
    </w:p>
    <w:p w14:paraId="2E4E7119" w14:textId="488E7218" w:rsidR="0033161A" w:rsidRPr="00C140A8" w:rsidRDefault="0040538E"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Het beeld van Johanna's literaire patronage is grotendeels gevormd </w:t>
      </w:r>
      <w:r w:rsidR="007D1813" w:rsidRPr="2D0D95AE">
        <w:rPr>
          <w:rFonts w:ascii="Georgia" w:hAnsi="Georgia" w:cs="Calibri"/>
          <w:sz w:val="22"/>
          <w:szCs w:val="22"/>
          <w:lang w:val="en-US"/>
        </w:rPr>
        <w:t>in</w:t>
      </w:r>
      <w:r w:rsidRPr="2D0D95AE">
        <w:rPr>
          <w:rFonts w:ascii="Georgia" w:hAnsi="Georgia" w:cs="Calibri"/>
          <w:sz w:val="22"/>
          <w:szCs w:val="22"/>
          <w:lang w:val="en-US"/>
        </w:rPr>
        <w:t xml:space="preserve"> vergelijking met dat van Wenceslas. Zijn relatie met Jean Froissart, zijn eigen lyrische productie en zijn uitgesproken interesse in muziek en zang hebben een hoge zichtbaarheid in de bronnen.</w:t>
      </w:r>
      <w:r w:rsidRPr="2D0D95AE">
        <w:rPr>
          <w:rStyle w:val="FootnoteReference"/>
          <w:rFonts w:ascii="Georgia" w:hAnsi="Georgia" w:cs="Calibri"/>
          <w:sz w:val="22"/>
          <w:szCs w:val="22"/>
          <w:lang w:val="en-US"/>
        </w:rPr>
        <w:footnoteReference w:id="457"/>
      </w:r>
      <w:r w:rsidRPr="2D0D95AE">
        <w:rPr>
          <w:rFonts w:ascii="Georgia" w:hAnsi="Georgia" w:cs="Calibri"/>
          <w:sz w:val="22"/>
          <w:szCs w:val="22"/>
          <w:lang w:val="en-US"/>
        </w:rPr>
        <w:t xml:space="preserve"> Tegen die achtergrond verschijnt Johanna's literaire mecenaat al snel als bescheiden, devotioneel en in essentie weinig vernieuwend. Op die vergelijking berust ook Remco Sleiderinks beeld van een bloeiend </w:t>
      </w:r>
      <w:r w:rsidR="00E541DA" w:rsidRPr="2D0D95AE">
        <w:rPr>
          <w:rFonts w:ascii="Georgia" w:hAnsi="Georgia" w:cs="Calibri"/>
          <w:sz w:val="22"/>
          <w:szCs w:val="22"/>
          <w:lang w:val="en-US"/>
        </w:rPr>
        <w:t xml:space="preserve">literair </w:t>
      </w:r>
      <w:r w:rsidRPr="2D0D95AE">
        <w:rPr>
          <w:rFonts w:ascii="Georgia" w:hAnsi="Georgia" w:cs="Calibri"/>
          <w:sz w:val="22"/>
          <w:szCs w:val="22"/>
          <w:lang w:val="en-US"/>
        </w:rPr>
        <w:t xml:space="preserve">mecenaat dat na 1383 </w:t>
      </w:r>
      <w:r w:rsidR="007D1813" w:rsidRPr="2D0D95AE">
        <w:rPr>
          <w:rFonts w:ascii="Georgia" w:hAnsi="Georgia" w:cs="Calibri"/>
          <w:sz w:val="22"/>
          <w:szCs w:val="22"/>
          <w:lang w:val="en-US"/>
        </w:rPr>
        <w:t>“</w:t>
      </w:r>
      <w:r w:rsidRPr="2D0D95AE">
        <w:rPr>
          <w:rFonts w:ascii="Georgia" w:hAnsi="Georgia" w:cs="Calibri"/>
          <w:sz w:val="22"/>
          <w:szCs w:val="22"/>
          <w:lang w:val="en-US"/>
        </w:rPr>
        <w:t>binnen de kortste keren zijn glans verloor</w:t>
      </w:r>
      <w:r w:rsidR="007D1813" w:rsidRPr="2D0D95AE">
        <w:rPr>
          <w:rFonts w:ascii="Georgia" w:hAnsi="Georgia" w:cs="Calibri"/>
          <w:sz w:val="22"/>
          <w:szCs w:val="22"/>
          <w:lang w:val="en-US"/>
        </w:rPr>
        <w:t>”.</w:t>
      </w:r>
      <w:r w:rsidRPr="2D0D95AE">
        <w:rPr>
          <w:rStyle w:val="FootnoteReference"/>
          <w:rFonts w:ascii="Georgia" w:hAnsi="Georgia" w:cs="Calibri"/>
          <w:sz w:val="22"/>
          <w:szCs w:val="22"/>
          <w:lang w:val="en-US"/>
        </w:rPr>
        <w:footnoteReference w:id="458"/>
      </w:r>
    </w:p>
    <w:p w14:paraId="285BCA63" w14:textId="5E08BFFB" w:rsidR="0040538E" w:rsidRPr="00C140A8" w:rsidRDefault="0040538E"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 Dat Johanna's literaire output overwegend religieus van aard was, is op zichzelf niet opvallend. Hanno </w:t>
      </w:r>
      <w:proofErr w:type="spellStart"/>
      <w:r w:rsidRPr="00C140A8">
        <w:rPr>
          <w:rFonts w:ascii="Georgia" w:hAnsi="Georgia" w:cs="Calibri"/>
          <w:sz w:val="22"/>
          <w:szCs w:val="22"/>
          <w:lang w:val="nl-NL"/>
        </w:rPr>
        <w:t>Wijsman</w:t>
      </w:r>
      <w:proofErr w:type="spellEnd"/>
      <w:r w:rsidRPr="00C140A8">
        <w:rPr>
          <w:rFonts w:ascii="Georgia" w:hAnsi="Georgia" w:cs="Calibri"/>
          <w:sz w:val="22"/>
          <w:szCs w:val="22"/>
          <w:lang w:val="nl-NL"/>
        </w:rPr>
        <w:t xml:space="preserve"> toont op basis van een grootschalig handschriftencorpus uit de Bourgondische Nederlanden aan dat elitevrouwen met literaire collecties zich overwegend richtten op devotionele en moraal-didactische teksten, terwijl hun mannelijke tegenhangers eerder kozen voor historiografische, hoofse of wetenschappelijke werken.</w:t>
      </w:r>
      <w:r w:rsidR="00B720A0">
        <w:rPr>
          <w:rStyle w:val="FootnoteReference"/>
          <w:rFonts w:ascii="Georgia" w:hAnsi="Georgia" w:cs="Calibri"/>
          <w:sz w:val="22"/>
          <w:szCs w:val="22"/>
          <w:lang w:val="nl-NL"/>
        </w:rPr>
        <w:footnoteReference w:id="459"/>
      </w:r>
      <w:r w:rsidRPr="00C140A8">
        <w:rPr>
          <w:rFonts w:ascii="Georgia" w:hAnsi="Georgia" w:cs="Calibri"/>
          <w:sz w:val="22"/>
          <w:szCs w:val="22"/>
          <w:lang w:val="nl-NL"/>
        </w:rPr>
        <w:t xml:space="preserve"> </w:t>
      </w:r>
      <w:proofErr w:type="spellStart"/>
      <w:r w:rsidRPr="00C140A8">
        <w:rPr>
          <w:rFonts w:ascii="Georgia" w:hAnsi="Georgia" w:cs="Calibri"/>
          <w:sz w:val="22"/>
          <w:szCs w:val="22"/>
          <w:lang w:val="nl-NL"/>
        </w:rPr>
        <w:t>Wijsman</w:t>
      </w:r>
      <w:proofErr w:type="spellEnd"/>
      <w:r w:rsidRPr="00C140A8">
        <w:rPr>
          <w:rFonts w:ascii="Georgia" w:hAnsi="Georgia" w:cs="Calibri"/>
          <w:sz w:val="22"/>
          <w:szCs w:val="22"/>
          <w:lang w:val="nl-NL"/>
        </w:rPr>
        <w:t xml:space="preserve"> nuanceert dit patroon. Hij stelt dat vrouwen met een actieve </w:t>
      </w:r>
      <w:proofErr w:type="spellStart"/>
      <w:r w:rsidRPr="00C140A8">
        <w:rPr>
          <w:rFonts w:ascii="Georgia" w:hAnsi="Georgia" w:cs="Calibri"/>
          <w:sz w:val="22"/>
          <w:szCs w:val="22"/>
          <w:lang w:val="nl-NL"/>
        </w:rPr>
        <w:t>bestuursrol</w:t>
      </w:r>
      <w:proofErr w:type="spellEnd"/>
      <w:r w:rsidRPr="00C140A8">
        <w:rPr>
          <w:rFonts w:ascii="Georgia" w:hAnsi="Georgia" w:cs="Calibri"/>
          <w:sz w:val="22"/>
          <w:szCs w:val="22"/>
          <w:lang w:val="nl-NL"/>
        </w:rPr>
        <w:t xml:space="preserve">, zoals Margaretha van Male of Margaretha van Oostenrijk, beschikten over een veelzijdiger bibliotheek en deze </w:t>
      </w:r>
      <w:proofErr w:type="spellStart"/>
      <w:r w:rsidRPr="00C140A8">
        <w:rPr>
          <w:rFonts w:ascii="Georgia" w:hAnsi="Georgia" w:cs="Calibri"/>
          <w:sz w:val="22"/>
          <w:szCs w:val="22"/>
          <w:lang w:val="nl-NL"/>
        </w:rPr>
        <w:t>gegenderde</w:t>
      </w:r>
      <w:proofErr w:type="spellEnd"/>
      <w:r w:rsidRPr="00C140A8">
        <w:rPr>
          <w:rFonts w:ascii="Georgia" w:hAnsi="Georgia" w:cs="Calibri"/>
          <w:sz w:val="22"/>
          <w:szCs w:val="22"/>
          <w:lang w:val="nl-NL"/>
        </w:rPr>
        <w:t xml:space="preserve"> tweedeling doorbraken, in tegenstelling tot vorstinnen die enkel als </w:t>
      </w:r>
      <w:r w:rsidR="007D1813">
        <w:rPr>
          <w:rFonts w:ascii="Georgia" w:hAnsi="Georgia" w:cs="Calibri"/>
          <w:sz w:val="22"/>
          <w:szCs w:val="22"/>
          <w:lang w:val="nl-NL"/>
        </w:rPr>
        <w:t>gemalin</w:t>
      </w:r>
      <w:r w:rsidRPr="00C140A8">
        <w:rPr>
          <w:rFonts w:ascii="Georgia" w:hAnsi="Georgia" w:cs="Calibri"/>
          <w:sz w:val="22"/>
          <w:szCs w:val="22"/>
          <w:lang w:val="nl-NL"/>
        </w:rPr>
        <w:t xml:space="preserve"> </w:t>
      </w:r>
      <w:r w:rsidRPr="00C140A8">
        <w:rPr>
          <w:rFonts w:ascii="Georgia" w:hAnsi="Georgia" w:cs="Calibri"/>
          <w:sz w:val="22"/>
          <w:szCs w:val="22"/>
          <w:lang w:val="nl-NL"/>
        </w:rPr>
        <w:lastRenderedPageBreak/>
        <w:t>optraden, zoals Isabella van Portugal of Margaretha van Beieren.</w:t>
      </w:r>
      <w:r w:rsidR="00B720A0">
        <w:rPr>
          <w:rStyle w:val="FootnoteReference"/>
          <w:rFonts w:ascii="Georgia" w:hAnsi="Georgia" w:cs="Calibri"/>
          <w:sz w:val="22"/>
          <w:szCs w:val="22"/>
          <w:lang w:val="nl-NL"/>
        </w:rPr>
        <w:footnoteReference w:id="460"/>
      </w:r>
      <w:r w:rsidRPr="00C140A8">
        <w:rPr>
          <w:rFonts w:ascii="Georgia" w:hAnsi="Georgia" w:cs="Calibri"/>
          <w:sz w:val="22"/>
          <w:szCs w:val="22"/>
          <w:lang w:val="nl-NL"/>
        </w:rPr>
        <w:t xml:space="preserve"> De vraag is dan waar Johanna past. Zij had een actieve </w:t>
      </w:r>
      <w:proofErr w:type="spellStart"/>
      <w:r w:rsidRPr="00C140A8">
        <w:rPr>
          <w:rFonts w:ascii="Georgia" w:hAnsi="Georgia" w:cs="Calibri"/>
          <w:sz w:val="22"/>
          <w:szCs w:val="22"/>
          <w:lang w:val="nl-NL"/>
        </w:rPr>
        <w:t>bestuursrol</w:t>
      </w:r>
      <w:proofErr w:type="spellEnd"/>
      <w:r w:rsidRPr="00C140A8">
        <w:rPr>
          <w:rFonts w:ascii="Georgia" w:hAnsi="Georgia" w:cs="Calibri"/>
          <w:sz w:val="22"/>
          <w:szCs w:val="22"/>
          <w:lang w:val="nl-NL"/>
        </w:rPr>
        <w:t xml:space="preserve">, en zou volgens Wijsmans patroon dus een breder literair profiel moeten vertonen. </w:t>
      </w:r>
    </w:p>
    <w:p w14:paraId="49911355" w14:textId="15FD6025" w:rsidR="00164B62" w:rsidRPr="00C140A8" w:rsidRDefault="00BC0189" w:rsidP="007D2A99">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De volgende secties onderzoeken daarom twee aanwijzingen</w:t>
      </w:r>
      <w:r w:rsidR="0040538E" w:rsidRPr="00C140A8">
        <w:rPr>
          <w:rFonts w:ascii="Georgia" w:hAnsi="Georgia" w:cs="Calibri"/>
          <w:sz w:val="22"/>
          <w:szCs w:val="22"/>
          <w:lang w:val="nl-NL"/>
        </w:rPr>
        <w:t xml:space="preserve"> die op een breder literair profiel </w:t>
      </w:r>
      <w:r w:rsidR="00CE0972">
        <w:rPr>
          <w:rFonts w:ascii="Georgia" w:hAnsi="Georgia" w:cs="Calibri"/>
          <w:sz w:val="22"/>
          <w:szCs w:val="22"/>
          <w:lang w:val="nl-NL"/>
        </w:rPr>
        <w:t xml:space="preserve">en interesse </w:t>
      </w:r>
      <w:r w:rsidR="0040538E" w:rsidRPr="00C140A8">
        <w:rPr>
          <w:rFonts w:ascii="Georgia" w:hAnsi="Georgia" w:cs="Calibri"/>
          <w:sz w:val="22"/>
          <w:szCs w:val="22"/>
          <w:lang w:val="nl-NL"/>
        </w:rPr>
        <w:t xml:space="preserve">wijzen. Eerst komt Johanna's verhouding tot </w:t>
      </w:r>
      <w:proofErr w:type="spellStart"/>
      <w:r w:rsidR="0040538E" w:rsidRPr="00C140A8">
        <w:rPr>
          <w:rFonts w:ascii="Georgia" w:hAnsi="Georgia" w:cs="Calibri"/>
          <w:sz w:val="22"/>
          <w:szCs w:val="22"/>
          <w:lang w:val="nl-NL"/>
        </w:rPr>
        <w:t>Froissart</w:t>
      </w:r>
      <w:proofErr w:type="spellEnd"/>
      <w:r w:rsidR="0040538E" w:rsidRPr="00C140A8">
        <w:rPr>
          <w:rFonts w:ascii="Georgia" w:hAnsi="Georgia" w:cs="Calibri"/>
          <w:sz w:val="22"/>
          <w:szCs w:val="22"/>
          <w:lang w:val="nl-NL"/>
        </w:rPr>
        <w:t xml:space="preserve"> aan bod</w:t>
      </w:r>
      <w:r w:rsidR="00CE0972">
        <w:rPr>
          <w:rFonts w:ascii="Georgia" w:hAnsi="Georgia" w:cs="Calibri"/>
          <w:sz w:val="22"/>
          <w:szCs w:val="22"/>
          <w:lang w:val="nl-NL"/>
        </w:rPr>
        <w:t>. H</w:t>
      </w:r>
      <w:r w:rsidR="0040538E" w:rsidRPr="00C140A8">
        <w:rPr>
          <w:rFonts w:ascii="Georgia" w:hAnsi="Georgia" w:cs="Calibri"/>
          <w:sz w:val="22"/>
          <w:szCs w:val="22"/>
          <w:lang w:val="nl-NL"/>
        </w:rPr>
        <w:t>oewel</w:t>
      </w:r>
      <w:r w:rsidR="00CE0972">
        <w:rPr>
          <w:rFonts w:ascii="Georgia" w:hAnsi="Georgia" w:cs="Calibri"/>
          <w:sz w:val="22"/>
          <w:szCs w:val="22"/>
          <w:lang w:val="nl-NL"/>
        </w:rPr>
        <w:t xml:space="preserve"> men</w:t>
      </w:r>
      <w:r w:rsidR="0040538E" w:rsidRPr="00C140A8">
        <w:rPr>
          <w:rFonts w:ascii="Georgia" w:hAnsi="Georgia" w:cs="Calibri"/>
          <w:sz w:val="22"/>
          <w:szCs w:val="22"/>
          <w:lang w:val="nl-NL"/>
        </w:rPr>
        <w:t xml:space="preserve"> zijn relatie met het hof doorgaans aan </w:t>
      </w:r>
      <w:proofErr w:type="spellStart"/>
      <w:r w:rsidR="0040538E" w:rsidRPr="00C140A8">
        <w:rPr>
          <w:rFonts w:ascii="Georgia" w:hAnsi="Georgia" w:cs="Calibri"/>
          <w:sz w:val="22"/>
          <w:szCs w:val="22"/>
          <w:lang w:val="nl-NL"/>
        </w:rPr>
        <w:t>Wenceslas</w:t>
      </w:r>
      <w:proofErr w:type="spellEnd"/>
      <w:r w:rsidR="0040538E" w:rsidRPr="00C140A8">
        <w:rPr>
          <w:rFonts w:ascii="Georgia" w:hAnsi="Georgia" w:cs="Calibri"/>
          <w:sz w:val="22"/>
          <w:szCs w:val="22"/>
          <w:lang w:val="nl-NL"/>
        </w:rPr>
        <w:t xml:space="preserve"> </w:t>
      </w:r>
      <w:r w:rsidR="00CE0972">
        <w:rPr>
          <w:rFonts w:ascii="Georgia" w:hAnsi="Georgia" w:cs="Calibri"/>
          <w:sz w:val="22"/>
          <w:szCs w:val="22"/>
          <w:lang w:val="nl-NL"/>
        </w:rPr>
        <w:t>toeschreef</w:t>
      </w:r>
      <w:r w:rsidR="0040538E" w:rsidRPr="00C140A8">
        <w:rPr>
          <w:rFonts w:ascii="Georgia" w:hAnsi="Georgia" w:cs="Calibri"/>
          <w:sz w:val="22"/>
          <w:szCs w:val="22"/>
          <w:lang w:val="nl-NL"/>
        </w:rPr>
        <w:t xml:space="preserve">, tonen verschillende posten een eigen patronageverhouding tussen Johanna en de schrijver. Vervolgens </w:t>
      </w:r>
      <w:r w:rsidR="00110DE9">
        <w:rPr>
          <w:rFonts w:ascii="Georgia" w:hAnsi="Georgia" w:cs="Calibri"/>
          <w:sz w:val="22"/>
          <w:szCs w:val="22"/>
          <w:lang w:val="nl-NL"/>
        </w:rPr>
        <w:t xml:space="preserve">komt haar rol als opdrachtgever van handschriften aan bod, en </w:t>
      </w:r>
      <w:r w:rsidR="007D2A99" w:rsidRPr="007D2A99">
        <w:rPr>
          <w:rFonts w:ascii="Georgia" w:hAnsi="Georgia" w:cs="Calibri"/>
          <w:sz w:val="22"/>
          <w:szCs w:val="22"/>
        </w:rPr>
        <w:t xml:space="preserve">de hypothese dat zij het </w:t>
      </w:r>
      <w:r w:rsidR="007D2A99">
        <w:rPr>
          <w:rFonts w:ascii="Georgia" w:hAnsi="Georgia" w:cs="Calibri"/>
          <w:sz w:val="22"/>
          <w:szCs w:val="22"/>
        </w:rPr>
        <w:t>‘</w:t>
      </w:r>
      <w:r w:rsidR="007D2A99" w:rsidRPr="007D2A99">
        <w:rPr>
          <w:rFonts w:ascii="Georgia" w:hAnsi="Georgia" w:cs="Calibri"/>
          <w:sz w:val="22"/>
          <w:szCs w:val="22"/>
        </w:rPr>
        <w:t>Beatrijshandschrift</w:t>
      </w:r>
      <w:r w:rsidR="007D2A99">
        <w:rPr>
          <w:rFonts w:ascii="Georgia" w:hAnsi="Georgia" w:cs="Calibri"/>
          <w:sz w:val="22"/>
          <w:szCs w:val="22"/>
        </w:rPr>
        <w:t>’</w:t>
      </w:r>
      <w:r w:rsidR="007D2A99" w:rsidRPr="007D2A99">
        <w:rPr>
          <w:rFonts w:ascii="Georgia" w:hAnsi="Georgia" w:cs="Calibri"/>
          <w:sz w:val="22"/>
          <w:szCs w:val="22"/>
        </w:rPr>
        <w:t xml:space="preserve"> liet vervaardigen</w:t>
      </w:r>
      <w:r w:rsidR="007D2A99">
        <w:rPr>
          <w:rFonts w:ascii="Georgia" w:hAnsi="Georgia" w:cs="Calibri"/>
          <w:sz w:val="22"/>
          <w:szCs w:val="22"/>
          <w:lang w:val="nl-NL"/>
        </w:rPr>
        <w:t xml:space="preserve">. </w:t>
      </w:r>
      <w:r w:rsidR="0040538E" w:rsidRPr="00C140A8">
        <w:rPr>
          <w:rFonts w:ascii="Georgia" w:hAnsi="Georgia" w:cs="Calibri"/>
          <w:sz w:val="22"/>
          <w:szCs w:val="22"/>
          <w:lang w:val="nl-NL"/>
        </w:rPr>
        <w:t>Beide voorbeelden samen tonen dat haar literaire interesse aanzienlijker was dan de historiografie tot nu toe heeft erkend.</w:t>
      </w:r>
    </w:p>
    <w:p w14:paraId="490EE6AD" w14:textId="77777777" w:rsidR="00593D34" w:rsidRPr="00C140A8" w:rsidRDefault="00593D34" w:rsidP="00B54A0D">
      <w:pPr>
        <w:pStyle w:val="ThesisSubheading"/>
        <w:ind w:left="1134" w:hanging="1134"/>
      </w:pPr>
      <w:bookmarkStart w:id="274" w:name="_Toc229404857"/>
      <w:bookmarkStart w:id="275" w:name="_Toc231153795"/>
      <w:bookmarkStart w:id="276" w:name="_Toc231329864"/>
      <w:bookmarkStart w:id="277" w:name="_Toc231330471"/>
      <w:bookmarkStart w:id="278" w:name="_Toc231428065"/>
      <w:r w:rsidRPr="00C140A8">
        <w:t>Jean Froissart</w:t>
      </w:r>
      <w:bookmarkEnd w:id="274"/>
      <w:bookmarkEnd w:id="275"/>
      <w:bookmarkEnd w:id="276"/>
      <w:bookmarkEnd w:id="277"/>
      <w:bookmarkEnd w:id="278"/>
    </w:p>
    <w:p w14:paraId="5BB44699" w14:textId="68A885E6" w:rsidR="00593D34" w:rsidRPr="00C140A8" w:rsidRDefault="007D2A99" w:rsidP="0070397D">
      <w:pPr>
        <w:spacing w:afterLines="80" w:after="192" w:line="360" w:lineRule="auto"/>
        <w:jc w:val="both"/>
        <w:rPr>
          <w:rFonts w:ascii="Georgia" w:hAnsi="Georgia" w:cs="Calibri"/>
          <w:sz w:val="22"/>
          <w:szCs w:val="22"/>
          <w:lang w:val="nl-NL"/>
        </w:rPr>
      </w:pPr>
      <w:r>
        <w:rPr>
          <w:rFonts w:ascii="Georgia" w:hAnsi="Georgia" w:cs="Calibri"/>
          <w:sz w:val="22"/>
          <w:szCs w:val="22"/>
          <w:lang w:val="nl-NL"/>
        </w:rPr>
        <w:t xml:space="preserve">Jean </w:t>
      </w:r>
      <w:proofErr w:type="spellStart"/>
      <w:r>
        <w:rPr>
          <w:rFonts w:ascii="Georgia" w:hAnsi="Georgia" w:cs="Calibri"/>
          <w:sz w:val="22"/>
          <w:szCs w:val="22"/>
          <w:lang w:val="nl-NL"/>
        </w:rPr>
        <w:t>Froissart</w:t>
      </w:r>
      <w:proofErr w:type="spellEnd"/>
      <w:r>
        <w:rPr>
          <w:rFonts w:ascii="Georgia" w:hAnsi="Georgia" w:cs="Calibri"/>
          <w:sz w:val="22"/>
          <w:szCs w:val="22"/>
          <w:lang w:val="nl-NL"/>
        </w:rPr>
        <w:t xml:space="preserve"> </w:t>
      </w:r>
      <w:r w:rsidRPr="00C140A8">
        <w:rPr>
          <w:rFonts w:ascii="Georgia" w:hAnsi="Georgia" w:cs="Calibri"/>
          <w:sz w:val="22"/>
          <w:szCs w:val="22"/>
          <w:lang w:val="nl-NL"/>
        </w:rPr>
        <w:t>(1337-1404)</w:t>
      </w:r>
      <w:r>
        <w:rPr>
          <w:rFonts w:ascii="Georgia" w:hAnsi="Georgia" w:cs="Calibri"/>
          <w:sz w:val="22"/>
          <w:szCs w:val="22"/>
          <w:lang w:val="nl-NL"/>
        </w:rPr>
        <w:t xml:space="preserve"> was een</w:t>
      </w:r>
      <w:r w:rsidR="00593D34" w:rsidRPr="00C140A8">
        <w:rPr>
          <w:rFonts w:ascii="Georgia" w:hAnsi="Georgia" w:cs="Calibri"/>
          <w:sz w:val="22"/>
          <w:szCs w:val="22"/>
          <w:lang w:val="nl-NL"/>
        </w:rPr>
        <w:t xml:space="preserve"> van de bekendste schrijvers die aan het Brabantse hof te gast was.</w:t>
      </w:r>
      <w:r w:rsidR="00593D34" w:rsidRPr="00C140A8">
        <w:rPr>
          <w:rStyle w:val="FootnoteReference"/>
          <w:rFonts w:ascii="Georgia" w:hAnsi="Georgia" w:cs="Calibri"/>
          <w:sz w:val="22"/>
          <w:szCs w:val="22"/>
          <w:lang w:val="nl-NL"/>
        </w:rPr>
        <w:footnoteReference w:id="461"/>
      </w:r>
      <w:r w:rsidR="00593D34" w:rsidRPr="00C140A8">
        <w:rPr>
          <w:rFonts w:ascii="Georgia" w:hAnsi="Georgia" w:cs="Calibri"/>
          <w:sz w:val="22"/>
          <w:szCs w:val="22"/>
          <w:lang w:val="nl-NL"/>
        </w:rPr>
        <w:t xml:space="preserve"> </w:t>
      </w:r>
      <w:r w:rsidR="0070397D" w:rsidRPr="0070397D">
        <w:rPr>
          <w:rFonts w:ascii="Georgia" w:hAnsi="Georgia" w:cs="Calibri"/>
          <w:sz w:val="22"/>
          <w:szCs w:val="22"/>
        </w:rPr>
        <w:t>Vaak schrijven historici zijn relatie met het hof uitsluitend toe aan Wenceslas, omdat Froissart twee werken voor hem vervaardigde</w:t>
      </w:r>
      <w:r w:rsidR="0070397D">
        <w:rPr>
          <w:rFonts w:ascii="Georgia" w:hAnsi="Georgia" w:cs="Calibri"/>
          <w:sz w:val="22"/>
          <w:szCs w:val="22"/>
          <w:lang w:val="nl-NL"/>
        </w:rPr>
        <w:t>: d</w:t>
      </w:r>
      <w:r w:rsidR="00593D34" w:rsidRPr="00C140A8">
        <w:rPr>
          <w:rFonts w:ascii="Georgia" w:hAnsi="Georgia" w:cs="Calibri"/>
          <w:sz w:val="22"/>
          <w:szCs w:val="22"/>
          <w:lang w:val="nl-NL"/>
        </w:rPr>
        <w:t xml:space="preserve">e </w:t>
      </w:r>
      <w:r w:rsidR="00593D34" w:rsidRPr="00C140A8">
        <w:rPr>
          <w:rFonts w:ascii="Georgia" w:hAnsi="Georgia" w:cs="Calibri"/>
          <w:i/>
          <w:iCs/>
          <w:sz w:val="22"/>
          <w:szCs w:val="22"/>
          <w:lang w:val="nl-NL"/>
        </w:rPr>
        <w:t xml:space="preserve">Prison </w:t>
      </w:r>
      <w:proofErr w:type="spellStart"/>
      <w:r w:rsidR="00593D34" w:rsidRPr="00C140A8">
        <w:rPr>
          <w:rFonts w:ascii="Georgia" w:hAnsi="Georgia" w:cs="Calibri"/>
          <w:i/>
          <w:iCs/>
          <w:sz w:val="22"/>
          <w:szCs w:val="22"/>
          <w:lang w:val="nl-NL"/>
        </w:rPr>
        <w:t>amoureuse</w:t>
      </w:r>
      <w:proofErr w:type="spellEnd"/>
      <w:r w:rsidR="00593D34" w:rsidRPr="00C140A8">
        <w:rPr>
          <w:rFonts w:ascii="Georgia" w:hAnsi="Georgia" w:cs="Calibri"/>
          <w:sz w:val="22"/>
          <w:szCs w:val="22"/>
          <w:lang w:val="nl-NL"/>
        </w:rPr>
        <w:t xml:space="preserve">, een allegorie op </w:t>
      </w:r>
      <w:proofErr w:type="spellStart"/>
      <w:r w:rsidR="00593D34" w:rsidRPr="00C140A8">
        <w:rPr>
          <w:rFonts w:ascii="Georgia" w:hAnsi="Georgia" w:cs="Calibri"/>
          <w:sz w:val="22"/>
          <w:szCs w:val="22"/>
          <w:lang w:val="nl-NL"/>
        </w:rPr>
        <w:t>Wenceslas</w:t>
      </w:r>
      <w:proofErr w:type="spellEnd"/>
      <w:r w:rsidR="00593D34" w:rsidRPr="00C140A8">
        <w:rPr>
          <w:rFonts w:ascii="Georgia" w:hAnsi="Georgia" w:cs="Calibri"/>
          <w:sz w:val="22"/>
          <w:szCs w:val="22"/>
          <w:lang w:val="nl-NL"/>
        </w:rPr>
        <w:t xml:space="preserve">' gevangenschap na de slag bij </w:t>
      </w:r>
      <w:proofErr w:type="spellStart"/>
      <w:r w:rsidR="00593D34" w:rsidRPr="00C140A8">
        <w:rPr>
          <w:rFonts w:ascii="Georgia" w:hAnsi="Georgia" w:cs="Calibri"/>
          <w:sz w:val="22"/>
          <w:szCs w:val="22"/>
          <w:lang w:val="nl-NL"/>
        </w:rPr>
        <w:t>Baesweiler</w:t>
      </w:r>
      <w:proofErr w:type="spellEnd"/>
      <w:r w:rsidR="00593D34" w:rsidRPr="00C140A8">
        <w:rPr>
          <w:rFonts w:ascii="Georgia" w:hAnsi="Georgia" w:cs="Calibri"/>
          <w:sz w:val="22"/>
          <w:szCs w:val="22"/>
          <w:lang w:val="nl-NL"/>
        </w:rPr>
        <w:t xml:space="preserve">, en de </w:t>
      </w:r>
      <w:r w:rsidR="00593D34" w:rsidRPr="00C140A8">
        <w:rPr>
          <w:rFonts w:ascii="Georgia" w:hAnsi="Georgia" w:cs="Calibri"/>
          <w:i/>
          <w:iCs/>
          <w:sz w:val="22"/>
          <w:szCs w:val="22"/>
          <w:lang w:val="nl-NL"/>
        </w:rPr>
        <w:t>Méliador</w:t>
      </w:r>
      <w:r w:rsidR="00593D34" w:rsidRPr="00C140A8">
        <w:rPr>
          <w:rFonts w:ascii="Georgia" w:hAnsi="Georgia" w:cs="Calibri"/>
          <w:sz w:val="22"/>
          <w:szCs w:val="22"/>
          <w:lang w:val="nl-NL"/>
        </w:rPr>
        <w:t xml:space="preserve">, een Arthurroman waarin </w:t>
      </w:r>
      <w:proofErr w:type="spellStart"/>
      <w:r w:rsidR="004A2100" w:rsidRPr="00C140A8">
        <w:rPr>
          <w:rFonts w:ascii="Georgia" w:hAnsi="Georgia" w:cs="Calibri"/>
          <w:sz w:val="22"/>
          <w:szCs w:val="22"/>
          <w:lang w:val="nl-NL"/>
        </w:rPr>
        <w:t>Froissart</w:t>
      </w:r>
      <w:proofErr w:type="spellEnd"/>
      <w:r w:rsidR="004A2100" w:rsidRPr="00C140A8">
        <w:rPr>
          <w:rFonts w:ascii="Georgia" w:hAnsi="Georgia" w:cs="Calibri"/>
          <w:sz w:val="22"/>
          <w:szCs w:val="22"/>
          <w:lang w:val="nl-NL"/>
        </w:rPr>
        <w:t xml:space="preserve"> </w:t>
      </w:r>
      <w:r w:rsidR="0070397D">
        <w:rPr>
          <w:rFonts w:ascii="Georgia" w:hAnsi="Georgia" w:cs="Calibri"/>
          <w:sz w:val="22"/>
          <w:szCs w:val="22"/>
          <w:lang w:val="nl-NL"/>
        </w:rPr>
        <w:t>negenenzeventig</w:t>
      </w:r>
      <w:r w:rsidR="00593D34" w:rsidRPr="00C140A8">
        <w:rPr>
          <w:rFonts w:ascii="Georgia" w:hAnsi="Georgia" w:cs="Calibri"/>
          <w:sz w:val="22"/>
          <w:szCs w:val="22"/>
          <w:lang w:val="nl-NL"/>
        </w:rPr>
        <w:t xml:space="preserve"> liederen van </w:t>
      </w:r>
      <w:proofErr w:type="spellStart"/>
      <w:r w:rsidR="00593D34" w:rsidRPr="00C140A8">
        <w:rPr>
          <w:rFonts w:ascii="Georgia" w:hAnsi="Georgia" w:cs="Calibri"/>
          <w:sz w:val="22"/>
          <w:szCs w:val="22"/>
          <w:lang w:val="nl-NL"/>
        </w:rPr>
        <w:t>Wenceslas</w:t>
      </w:r>
      <w:proofErr w:type="spellEnd"/>
      <w:r w:rsidR="00593D34" w:rsidRPr="00C140A8">
        <w:rPr>
          <w:rFonts w:ascii="Georgia" w:hAnsi="Georgia" w:cs="Calibri"/>
          <w:sz w:val="22"/>
          <w:szCs w:val="22"/>
          <w:lang w:val="nl-NL"/>
        </w:rPr>
        <w:t xml:space="preserve"> zelf </w:t>
      </w:r>
      <w:r w:rsidR="004A2100" w:rsidRPr="00C140A8">
        <w:rPr>
          <w:rFonts w:ascii="Georgia" w:hAnsi="Georgia" w:cs="Calibri"/>
          <w:sz w:val="22"/>
          <w:szCs w:val="22"/>
          <w:lang w:val="nl-NL"/>
        </w:rPr>
        <w:t>opnam</w:t>
      </w:r>
      <w:r w:rsidR="00593D34" w:rsidRPr="00C140A8">
        <w:rPr>
          <w:rFonts w:ascii="Georgia" w:hAnsi="Georgia" w:cs="Calibri"/>
          <w:sz w:val="22"/>
          <w:szCs w:val="22"/>
          <w:lang w:val="nl-NL"/>
        </w:rPr>
        <w:t>.</w:t>
      </w:r>
      <w:r w:rsidR="00593D34" w:rsidRPr="00C140A8">
        <w:rPr>
          <w:rStyle w:val="FootnoteReference"/>
          <w:rFonts w:ascii="Georgia" w:hAnsi="Georgia" w:cs="Calibri"/>
          <w:sz w:val="22"/>
          <w:szCs w:val="22"/>
          <w:lang w:val="nl-NL"/>
        </w:rPr>
        <w:footnoteReference w:id="462"/>
      </w:r>
      <w:r w:rsidR="00593D34" w:rsidRPr="00C140A8">
        <w:rPr>
          <w:rFonts w:ascii="Georgia" w:hAnsi="Georgia" w:cs="Calibri"/>
          <w:sz w:val="22"/>
          <w:szCs w:val="22"/>
          <w:lang w:val="nl-NL"/>
        </w:rPr>
        <w:t xml:space="preserve">  Deze hoofse, wereldlijke smaak blijkt ook uit het </w:t>
      </w:r>
      <w:proofErr w:type="spellStart"/>
      <w:r w:rsidR="00593D34" w:rsidRPr="00C140A8">
        <w:rPr>
          <w:rFonts w:ascii="Georgia" w:hAnsi="Georgia" w:cs="Calibri"/>
          <w:sz w:val="22"/>
          <w:szCs w:val="22"/>
          <w:lang w:val="nl-NL"/>
        </w:rPr>
        <w:t>Mandeville</w:t>
      </w:r>
      <w:proofErr w:type="spellEnd"/>
      <w:r w:rsidR="00593D34" w:rsidRPr="00C140A8">
        <w:rPr>
          <w:rFonts w:ascii="Georgia" w:hAnsi="Georgia" w:cs="Calibri"/>
          <w:sz w:val="22"/>
          <w:szCs w:val="22"/>
          <w:lang w:val="nl-NL"/>
        </w:rPr>
        <w:t xml:space="preserve">-handschrift dat hij in 1377 van de hertog van </w:t>
      </w:r>
      <w:proofErr w:type="spellStart"/>
      <w:r w:rsidR="00C44A48" w:rsidRPr="00C140A8">
        <w:rPr>
          <w:rFonts w:ascii="Georgia" w:hAnsi="Georgia" w:cs="Calibri"/>
          <w:sz w:val="22"/>
          <w:szCs w:val="22"/>
          <w:lang w:val="nl-NL"/>
        </w:rPr>
        <w:t>Lüneburg</w:t>
      </w:r>
      <w:proofErr w:type="spellEnd"/>
      <w:r w:rsidR="00593D34" w:rsidRPr="00C140A8">
        <w:rPr>
          <w:rFonts w:ascii="Georgia" w:hAnsi="Georgia" w:cs="Calibri"/>
          <w:sz w:val="22"/>
          <w:szCs w:val="22"/>
          <w:lang w:val="nl-NL"/>
        </w:rPr>
        <w:t xml:space="preserve"> ontving.</w:t>
      </w:r>
      <w:r w:rsidR="00593D34" w:rsidRPr="00C140A8">
        <w:rPr>
          <w:rStyle w:val="FootnoteReference"/>
          <w:rFonts w:ascii="Georgia" w:hAnsi="Georgia" w:cs="Calibri"/>
          <w:sz w:val="22"/>
          <w:szCs w:val="22"/>
          <w:lang w:val="nl-NL"/>
        </w:rPr>
        <w:footnoteReference w:id="463"/>
      </w:r>
      <w:r w:rsidR="00593D34" w:rsidRPr="00C140A8">
        <w:rPr>
          <w:rFonts w:ascii="Georgia" w:hAnsi="Georgia" w:cs="Calibri"/>
          <w:sz w:val="22"/>
          <w:szCs w:val="22"/>
          <w:lang w:val="nl-NL"/>
        </w:rPr>
        <w:t xml:space="preserve"> Maar Johanna was evenzeer betrokken bij de relatie met </w:t>
      </w:r>
      <w:proofErr w:type="spellStart"/>
      <w:r w:rsidR="00593D34" w:rsidRPr="00C140A8">
        <w:rPr>
          <w:rFonts w:ascii="Georgia" w:hAnsi="Georgia" w:cs="Calibri"/>
          <w:sz w:val="22"/>
          <w:szCs w:val="22"/>
          <w:lang w:val="nl-NL"/>
        </w:rPr>
        <w:t>Froissart</w:t>
      </w:r>
      <w:proofErr w:type="spellEnd"/>
      <w:r w:rsidR="00593D34" w:rsidRPr="00C140A8">
        <w:rPr>
          <w:rFonts w:ascii="Georgia" w:hAnsi="Georgia" w:cs="Calibri"/>
          <w:sz w:val="22"/>
          <w:szCs w:val="22"/>
          <w:lang w:val="nl-NL"/>
        </w:rPr>
        <w:t>. Er zijn zelfs aanwijzingen dat hij op haar verzoek naar het Brabantse hof kwam.</w:t>
      </w:r>
      <w:r w:rsidR="00B56639" w:rsidRPr="00C140A8">
        <w:rPr>
          <w:rStyle w:val="FootnoteReference"/>
          <w:rFonts w:ascii="Georgia" w:hAnsi="Georgia" w:cs="Calibri"/>
          <w:sz w:val="22"/>
          <w:szCs w:val="22"/>
          <w:lang w:val="nl-NL"/>
        </w:rPr>
        <w:footnoteReference w:id="464"/>
      </w:r>
    </w:p>
    <w:p w14:paraId="2E054DED" w14:textId="7518371B" w:rsidR="00593D34" w:rsidRPr="00C140A8" w:rsidRDefault="00593D34" w:rsidP="00B53B9B">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Een eerste vermelding van de schrijver in de rekeningen dateert uit 1366, toen </w:t>
      </w:r>
      <w:proofErr w:type="spellStart"/>
      <w:r w:rsidRPr="00C140A8">
        <w:rPr>
          <w:rFonts w:ascii="Georgia" w:hAnsi="Georgia" w:cs="Calibri"/>
          <w:sz w:val="22"/>
          <w:szCs w:val="22"/>
          <w:lang w:val="nl-NL"/>
        </w:rPr>
        <w:t>Froissart</w:t>
      </w:r>
      <w:proofErr w:type="spellEnd"/>
      <w:r w:rsidRPr="00C140A8">
        <w:rPr>
          <w:rFonts w:ascii="Georgia" w:hAnsi="Georgia" w:cs="Calibri"/>
          <w:sz w:val="22"/>
          <w:szCs w:val="22"/>
          <w:lang w:val="nl-NL"/>
        </w:rPr>
        <w:t xml:space="preserve"> nog onder de patronage stond van </w:t>
      </w:r>
      <w:proofErr w:type="spellStart"/>
      <w:r w:rsidRPr="00C140A8">
        <w:rPr>
          <w:rFonts w:ascii="Georgia" w:hAnsi="Georgia" w:cs="Calibri"/>
          <w:sz w:val="22"/>
          <w:szCs w:val="22"/>
          <w:lang w:val="nl-NL"/>
        </w:rPr>
        <w:t>Filip</w:t>
      </w:r>
      <w:r w:rsidR="00C44A48" w:rsidRPr="00C140A8">
        <w:rPr>
          <w:rFonts w:ascii="Georgia" w:hAnsi="Georgia" w:cs="Calibri"/>
          <w:sz w:val="22"/>
          <w:szCs w:val="22"/>
          <w:lang w:val="nl-NL"/>
        </w:rPr>
        <w:t>p</w:t>
      </w:r>
      <w:r w:rsidRPr="00C140A8">
        <w:rPr>
          <w:rFonts w:ascii="Georgia" w:hAnsi="Georgia" w:cs="Calibri"/>
          <w:sz w:val="22"/>
          <w:szCs w:val="22"/>
          <w:lang w:val="nl-NL"/>
        </w:rPr>
        <w:t>a</w:t>
      </w:r>
      <w:proofErr w:type="spellEnd"/>
      <w:r w:rsidRPr="00C140A8">
        <w:rPr>
          <w:rFonts w:ascii="Georgia" w:hAnsi="Georgia" w:cs="Calibri"/>
          <w:sz w:val="22"/>
          <w:szCs w:val="22"/>
          <w:lang w:val="nl-NL"/>
        </w:rPr>
        <w:t xml:space="preserve"> van Henegouwen, koningin van Engeland.</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465"/>
      </w:r>
      <w:r w:rsidRPr="00C140A8">
        <w:rPr>
          <w:rFonts w:ascii="Georgia" w:hAnsi="Georgia" w:cs="Calibri"/>
          <w:sz w:val="22"/>
          <w:szCs w:val="22"/>
          <w:lang w:val="nl-NL"/>
        </w:rPr>
        <w:t xml:space="preserve">  Op zijn doortocht naar Engeland deed hij Brussel aan, waar Johanna hem ontving en een bedrag van </w:t>
      </w:r>
      <w:r w:rsidR="0070397D">
        <w:rPr>
          <w:rFonts w:ascii="Georgia" w:hAnsi="Georgia" w:cs="Calibri"/>
          <w:sz w:val="22"/>
          <w:szCs w:val="22"/>
          <w:lang w:val="nl-NL"/>
        </w:rPr>
        <w:t>zes</w:t>
      </w:r>
      <w:r w:rsidRPr="00C140A8">
        <w:rPr>
          <w:rFonts w:ascii="Georgia" w:hAnsi="Georgia" w:cs="Calibri"/>
          <w:sz w:val="22"/>
          <w:szCs w:val="22"/>
          <w:lang w:val="nl-NL"/>
        </w:rPr>
        <w:t xml:space="preserve"> </w:t>
      </w:r>
      <w:proofErr w:type="spellStart"/>
      <w:r w:rsidRPr="00C140A8">
        <w:rPr>
          <w:rFonts w:ascii="Georgia" w:hAnsi="Georgia" w:cs="Calibri"/>
          <w:sz w:val="22"/>
          <w:szCs w:val="22"/>
          <w:lang w:val="nl-NL"/>
        </w:rPr>
        <w:t>mo</w:t>
      </w:r>
      <w:r w:rsidR="005D28F2">
        <w:rPr>
          <w:rFonts w:ascii="Georgia" w:hAnsi="Georgia" w:cs="Calibri"/>
          <w:sz w:val="22"/>
          <w:szCs w:val="22"/>
          <w:lang w:val="nl-NL"/>
        </w:rPr>
        <w:t>u</w:t>
      </w:r>
      <w:r w:rsidRPr="00C140A8">
        <w:rPr>
          <w:rFonts w:ascii="Georgia" w:hAnsi="Georgia" w:cs="Calibri"/>
          <w:sz w:val="22"/>
          <w:szCs w:val="22"/>
          <w:lang w:val="nl-NL"/>
        </w:rPr>
        <w:t>ttoenen</w:t>
      </w:r>
      <w:proofErr w:type="spellEnd"/>
      <w:r w:rsidRPr="00C140A8">
        <w:rPr>
          <w:rFonts w:ascii="Georgia" w:hAnsi="Georgia" w:cs="Calibri"/>
          <w:sz w:val="22"/>
          <w:szCs w:val="22"/>
          <w:lang w:val="nl-NL"/>
        </w:rPr>
        <w:t xml:space="preserve"> betaalde. Een jaar later was hij opnieuw te gast in Brabant en ontving</w:t>
      </w:r>
      <w:r w:rsidR="005D28F2">
        <w:rPr>
          <w:rFonts w:ascii="Georgia" w:hAnsi="Georgia" w:cs="Calibri"/>
          <w:sz w:val="22"/>
          <w:szCs w:val="22"/>
          <w:lang w:val="nl-NL"/>
        </w:rPr>
        <w:t xml:space="preserve"> hij</w:t>
      </w:r>
      <w:r w:rsidRPr="00C140A8">
        <w:rPr>
          <w:rFonts w:ascii="Georgia" w:hAnsi="Georgia" w:cs="Calibri"/>
          <w:sz w:val="22"/>
          <w:szCs w:val="22"/>
          <w:lang w:val="nl-NL"/>
        </w:rPr>
        <w:t xml:space="preserve"> van Johanna dezelfde som.</w:t>
      </w:r>
      <w:r w:rsidRPr="00C140A8">
        <w:rPr>
          <w:rStyle w:val="FootnoteReference"/>
          <w:rFonts w:ascii="Georgia" w:hAnsi="Georgia" w:cs="Calibri"/>
          <w:sz w:val="22"/>
          <w:szCs w:val="22"/>
          <w:lang w:val="nl-NL"/>
        </w:rPr>
        <w:footnoteReference w:id="466"/>
      </w:r>
      <w:r w:rsidRPr="00C140A8">
        <w:rPr>
          <w:rFonts w:ascii="Georgia" w:hAnsi="Georgia" w:cs="Calibri"/>
          <w:sz w:val="22"/>
          <w:szCs w:val="22"/>
          <w:lang w:val="nl-NL"/>
        </w:rPr>
        <w:t xml:space="preserve">  In 1368 betaalde Johanna hem </w:t>
      </w:r>
      <w:r w:rsidR="0070397D">
        <w:rPr>
          <w:rFonts w:ascii="Georgia" w:hAnsi="Georgia" w:cs="Calibri"/>
          <w:sz w:val="22"/>
          <w:szCs w:val="22"/>
          <w:lang w:val="nl-NL"/>
        </w:rPr>
        <w:t>twintig</w:t>
      </w:r>
      <w:r w:rsidRPr="00C140A8">
        <w:rPr>
          <w:rFonts w:ascii="Georgia" w:hAnsi="Georgia" w:cs="Calibri"/>
          <w:sz w:val="22"/>
          <w:szCs w:val="22"/>
          <w:lang w:val="nl-NL"/>
        </w:rPr>
        <w:t xml:space="preserve"> </w:t>
      </w:r>
      <w:proofErr w:type="spellStart"/>
      <w:r w:rsidRPr="00C140A8">
        <w:rPr>
          <w:rFonts w:ascii="Georgia" w:hAnsi="Georgia" w:cs="Calibri"/>
          <w:sz w:val="22"/>
          <w:szCs w:val="22"/>
          <w:lang w:val="nl-NL"/>
        </w:rPr>
        <w:t>mo</w:t>
      </w:r>
      <w:r w:rsidR="005D28F2">
        <w:rPr>
          <w:rFonts w:ascii="Georgia" w:hAnsi="Georgia" w:cs="Calibri"/>
          <w:sz w:val="22"/>
          <w:szCs w:val="22"/>
          <w:lang w:val="nl-NL"/>
        </w:rPr>
        <w:t>u</w:t>
      </w:r>
      <w:r w:rsidRPr="00C140A8">
        <w:rPr>
          <w:rFonts w:ascii="Georgia" w:hAnsi="Georgia" w:cs="Calibri"/>
          <w:sz w:val="22"/>
          <w:szCs w:val="22"/>
          <w:lang w:val="nl-NL"/>
        </w:rPr>
        <w:t>ttoenen</w:t>
      </w:r>
      <w:proofErr w:type="spellEnd"/>
      <w:r w:rsidRPr="00C140A8">
        <w:rPr>
          <w:rFonts w:ascii="Georgia" w:hAnsi="Georgia" w:cs="Calibri"/>
          <w:sz w:val="22"/>
          <w:szCs w:val="22"/>
          <w:lang w:val="nl-NL"/>
        </w:rPr>
        <w:t xml:space="preserve"> voor een boek dat hij in haar opdracht had afgewerkt.</w:t>
      </w:r>
      <w:r w:rsidRPr="00C140A8">
        <w:rPr>
          <w:rStyle w:val="FootnoteReference"/>
          <w:rFonts w:ascii="Georgia" w:hAnsi="Georgia" w:cs="Calibri"/>
          <w:sz w:val="22"/>
          <w:szCs w:val="22"/>
          <w:lang w:val="nl-NL"/>
        </w:rPr>
        <w:footnoteReference w:id="467"/>
      </w:r>
      <w:r w:rsidRPr="00C140A8">
        <w:rPr>
          <w:rFonts w:ascii="Georgia" w:hAnsi="Georgia" w:cs="Calibri"/>
          <w:sz w:val="22"/>
          <w:szCs w:val="22"/>
          <w:lang w:val="nl-NL"/>
        </w:rPr>
        <w:t xml:space="preserve">  Dat is alleszins wat de rekening registreert. Over welk boek het precies gaat, is onduidelijk. Pas wanneer </w:t>
      </w:r>
      <w:proofErr w:type="spellStart"/>
      <w:r w:rsidRPr="00C140A8">
        <w:rPr>
          <w:rFonts w:ascii="Georgia" w:hAnsi="Georgia" w:cs="Calibri"/>
          <w:sz w:val="22"/>
          <w:szCs w:val="22"/>
          <w:lang w:val="nl-NL"/>
        </w:rPr>
        <w:t>Filip</w:t>
      </w:r>
      <w:r w:rsidR="00C44A48" w:rsidRPr="00C140A8">
        <w:rPr>
          <w:rFonts w:ascii="Georgia" w:hAnsi="Georgia" w:cs="Calibri"/>
          <w:sz w:val="22"/>
          <w:szCs w:val="22"/>
          <w:lang w:val="nl-NL"/>
        </w:rPr>
        <w:t>p</w:t>
      </w:r>
      <w:r w:rsidRPr="00C140A8">
        <w:rPr>
          <w:rFonts w:ascii="Georgia" w:hAnsi="Georgia" w:cs="Calibri"/>
          <w:sz w:val="22"/>
          <w:szCs w:val="22"/>
          <w:lang w:val="nl-NL"/>
        </w:rPr>
        <w:t>a</w:t>
      </w:r>
      <w:proofErr w:type="spellEnd"/>
      <w:r w:rsidRPr="00C140A8">
        <w:rPr>
          <w:rFonts w:ascii="Georgia" w:hAnsi="Georgia" w:cs="Calibri"/>
          <w:sz w:val="22"/>
          <w:szCs w:val="22"/>
          <w:lang w:val="nl-NL"/>
        </w:rPr>
        <w:t xml:space="preserve"> sterft en </w:t>
      </w:r>
      <w:proofErr w:type="spellStart"/>
      <w:r w:rsidRPr="00C140A8">
        <w:rPr>
          <w:rFonts w:ascii="Georgia" w:hAnsi="Georgia" w:cs="Calibri"/>
          <w:sz w:val="22"/>
          <w:szCs w:val="22"/>
          <w:lang w:val="nl-NL"/>
        </w:rPr>
        <w:t>Froissart</w:t>
      </w:r>
      <w:proofErr w:type="spellEnd"/>
      <w:r w:rsidRPr="00C140A8">
        <w:rPr>
          <w:rFonts w:ascii="Georgia" w:hAnsi="Georgia" w:cs="Calibri"/>
          <w:sz w:val="22"/>
          <w:szCs w:val="22"/>
          <w:lang w:val="nl-NL"/>
        </w:rPr>
        <w:t xml:space="preserve"> een nieuwe </w:t>
      </w:r>
      <w:r w:rsidRPr="00C140A8">
        <w:rPr>
          <w:rFonts w:ascii="Georgia" w:hAnsi="Georgia" w:cs="Calibri"/>
          <w:sz w:val="22"/>
          <w:szCs w:val="22"/>
          <w:lang w:val="nl-NL"/>
        </w:rPr>
        <w:lastRenderedPageBreak/>
        <w:t xml:space="preserve">beschermheer zoekt, komt hij onder de gezamenlijke hoede van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en Johanna. </w:t>
      </w:r>
      <w:r w:rsidR="00B53B9B">
        <w:rPr>
          <w:rFonts w:ascii="Georgia" w:hAnsi="Georgia" w:cs="Calibri"/>
          <w:sz w:val="22"/>
          <w:szCs w:val="22"/>
          <w:lang w:val="nl-NL"/>
        </w:rPr>
        <w:t xml:space="preserve">Het echtpaar stelde hem uiteindelijk aan als pastoor in </w:t>
      </w:r>
      <w:r w:rsidRPr="00C140A8">
        <w:rPr>
          <w:rFonts w:ascii="Georgia" w:hAnsi="Georgia" w:cs="Calibri"/>
          <w:sz w:val="22"/>
          <w:szCs w:val="22"/>
          <w:lang w:val="nl-NL"/>
        </w:rPr>
        <w:t xml:space="preserve">Estinnes-au-Mont, onderdeel van Johanna's weduwegoed te Binche, en </w:t>
      </w:r>
      <w:r w:rsidR="00EC6F07">
        <w:rPr>
          <w:rFonts w:ascii="Georgia" w:hAnsi="Georgia" w:cs="Calibri"/>
          <w:sz w:val="22"/>
          <w:szCs w:val="22"/>
          <w:lang w:val="nl-NL"/>
        </w:rPr>
        <w:t>betaalde hem</w:t>
      </w:r>
      <w:r w:rsidRPr="00C140A8">
        <w:rPr>
          <w:rFonts w:ascii="Georgia" w:hAnsi="Georgia" w:cs="Calibri"/>
          <w:sz w:val="22"/>
          <w:szCs w:val="22"/>
          <w:lang w:val="nl-NL"/>
        </w:rPr>
        <w:t xml:space="preserve"> gedurende de jaren 1370 op basis van de ontvangsten van Binche.</w:t>
      </w:r>
      <w:r w:rsidR="00B56639" w:rsidRPr="00C140A8">
        <w:rPr>
          <w:rStyle w:val="FootnoteReference"/>
          <w:rFonts w:ascii="Georgia" w:hAnsi="Georgia" w:cs="Calibri"/>
          <w:sz w:val="22"/>
          <w:szCs w:val="22"/>
          <w:lang w:val="nl-NL"/>
        </w:rPr>
        <w:footnoteReference w:id="468"/>
      </w:r>
      <w:r w:rsidRPr="00C140A8">
        <w:rPr>
          <w:rFonts w:ascii="Georgia" w:hAnsi="Georgia" w:cs="Calibri"/>
          <w:sz w:val="22"/>
          <w:szCs w:val="22"/>
          <w:lang w:val="nl-NL"/>
        </w:rPr>
        <w:t xml:space="preserve"> </w:t>
      </w:r>
    </w:p>
    <w:p w14:paraId="1C8B379F" w14:textId="77777777" w:rsidR="00593D34" w:rsidRPr="00C140A8" w:rsidRDefault="00593D34" w:rsidP="00B54A0D">
      <w:pPr>
        <w:pStyle w:val="ThesisSubheading"/>
        <w:ind w:left="1134" w:hanging="1134"/>
      </w:pPr>
      <w:bookmarkStart w:id="279" w:name="_Toc229404858"/>
      <w:bookmarkStart w:id="280" w:name="_Toc231153796"/>
      <w:bookmarkStart w:id="281" w:name="_Toc231329865"/>
      <w:bookmarkStart w:id="282" w:name="_Toc231330472"/>
      <w:bookmarkStart w:id="283" w:name="_Toc231428066"/>
      <w:proofErr w:type="spellStart"/>
      <w:r w:rsidRPr="00C140A8">
        <w:t>Gebedenboeken</w:t>
      </w:r>
      <w:proofErr w:type="spellEnd"/>
      <w:r w:rsidRPr="00C140A8">
        <w:t xml:space="preserve"> </w:t>
      </w:r>
      <w:proofErr w:type="spellStart"/>
      <w:r w:rsidRPr="00C140A8">
        <w:t>en</w:t>
      </w:r>
      <w:proofErr w:type="spellEnd"/>
      <w:r w:rsidRPr="00C140A8">
        <w:t xml:space="preserve"> </w:t>
      </w:r>
      <w:r w:rsidRPr="00B54A0D">
        <w:t>het</w:t>
      </w:r>
      <w:r w:rsidRPr="00C140A8">
        <w:t xml:space="preserve"> ‘</w:t>
      </w:r>
      <w:proofErr w:type="spellStart"/>
      <w:r w:rsidRPr="00C140A8">
        <w:t>Beatrijshandschrift</w:t>
      </w:r>
      <w:proofErr w:type="spellEnd"/>
      <w:r w:rsidRPr="00C140A8">
        <w:t>’</w:t>
      </w:r>
      <w:bookmarkEnd w:id="279"/>
      <w:bookmarkEnd w:id="280"/>
      <w:bookmarkEnd w:id="281"/>
      <w:bookmarkEnd w:id="282"/>
      <w:bookmarkEnd w:id="283"/>
    </w:p>
    <w:p w14:paraId="23E17CEB" w14:textId="70E5A198" w:rsidR="00593D34" w:rsidRPr="00C140A8" w:rsidRDefault="00593D34"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Johanna's literair mecenaat was onlosmakelijk verbonden met haar religieuze </w:t>
      </w:r>
      <w:r w:rsidR="003E2A83">
        <w:rPr>
          <w:rFonts w:ascii="Georgia" w:hAnsi="Georgia" w:cs="Calibri"/>
          <w:sz w:val="22"/>
          <w:szCs w:val="22"/>
          <w:lang w:val="nl-NL"/>
        </w:rPr>
        <w:t>toewijding</w:t>
      </w:r>
      <w:r w:rsidRPr="00C140A8">
        <w:rPr>
          <w:rFonts w:ascii="Georgia" w:hAnsi="Georgia" w:cs="Calibri"/>
          <w:sz w:val="22"/>
          <w:szCs w:val="22"/>
          <w:lang w:val="nl-NL"/>
        </w:rPr>
        <w:t xml:space="preserve">.  </w:t>
      </w:r>
      <w:r w:rsidR="003E2A83">
        <w:rPr>
          <w:rFonts w:ascii="Georgia" w:hAnsi="Georgia" w:cs="Calibri"/>
          <w:sz w:val="22"/>
          <w:szCs w:val="22"/>
          <w:lang w:val="nl-NL"/>
        </w:rPr>
        <w:t>Ze</w:t>
      </w:r>
      <w:r w:rsidRPr="00C140A8">
        <w:rPr>
          <w:rFonts w:ascii="Georgia" w:hAnsi="Georgia" w:cs="Calibri"/>
          <w:sz w:val="22"/>
          <w:szCs w:val="22"/>
          <w:lang w:val="nl-NL"/>
        </w:rPr>
        <w:t xml:space="preserve"> liet een reeks gebedenboeken vervaardigen, ook tijdens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xml:space="preserve">' leven, en besteedde daar aanzienlijke sommen aan. Een exemplaar uit 1376 kostte </w:t>
      </w:r>
      <w:r w:rsidR="00EC6F07">
        <w:rPr>
          <w:rFonts w:ascii="Georgia" w:hAnsi="Georgia" w:cs="Calibri"/>
          <w:sz w:val="22"/>
          <w:szCs w:val="22"/>
          <w:lang w:val="nl-NL"/>
        </w:rPr>
        <w:t>vijf</w:t>
      </w:r>
      <w:r w:rsidRPr="00C140A8">
        <w:rPr>
          <w:rFonts w:ascii="Georgia" w:hAnsi="Georgia" w:cs="Calibri"/>
          <w:sz w:val="22"/>
          <w:szCs w:val="22"/>
          <w:lang w:val="nl-NL"/>
        </w:rPr>
        <w:t xml:space="preserve"> </w:t>
      </w:r>
      <w:proofErr w:type="spellStart"/>
      <w:r w:rsidRPr="00C140A8">
        <w:rPr>
          <w:rFonts w:ascii="Georgia" w:hAnsi="Georgia" w:cs="Calibri"/>
          <w:sz w:val="22"/>
          <w:szCs w:val="22"/>
          <w:lang w:val="nl-NL"/>
        </w:rPr>
        <w:t>p</w:t>
      </w:r>
      <w:r w:rsidR="00EC6F07">
        <w:rPr>
          <w:rFonts w:ascii="Georgia" w:hAnsi="Georgia" w:cs="Calibri"/>
          <w:sz w:val="22"/>
          <w:szCs w:val="22"/>
          <w:lang w:val="nl-NL"/>
        </w:rPr>
        <w:t>i</w:t>
      </w:r>
      <w:r w:rsidRPr="00C140A8">
        <w:rPr>
          <w:rFonts w:ascii="Georgia" w:hAnsi="Georgia" w:cs="Calibri"/>
          <w:sz w:val="22"/>
          <w:szCs w:val="22"/>
          <w:lang w:val="nl-NL"/>
        </w:rPr>
        <w:t>eters</w:t>
      </w:r>
      <w:proofErr w:type="spellEnd"/>
      <w:r w:rsidRPr="00C140A8">
        <w:rPr>
          <w:rFonts w:ascii="Georgia" w:hAnsi="Georgia" w:cs="Calibri"/>
          <w:sz w:val="22"/>
          <w:szCs w:val="22"/>
          <w:lang w:val="nl-NL"/>
        </w:rPr>
        <w:t xml:space="preserve"> voor het schrijven van de tekst, maar liefst </w:t>
      </w:r>
      <w:r w:rsidR="00EC6F07">
        <w:rPr>
          <w:rFonts w:ascii="Georgia" w:hAnsi="Georgia" w:cs="Calibri"/>
          <w:sz w:val="22"/>
          <w:szCs w:val="22"/>
          <w:lang w:val="nl-NL"/>
        </w:rPr>
        <w:t>honderdeenenzestig</w:t>
      </w:r>
      <w:r w:rsidRPr="00C140A8">
        <w:rPr>
          <w:rFonts w:ascii="Georgia" w:hAnsi="Georgia" w:cs="Calibri"/>
          <w:sz w:val="22"/>
          <w:szCs w:val="22"/>
          <w:lang w:val="nl-NL"/>
        </w:rPr>
        <w:t xml:space="preserve"> </w:t>
      </w:r>
      <w:proofErr w:type="spellStart"/>
      <w:r w:rsidRPr="00C140A8">
        <w:rPr>
          <w:rFonts w:ascii="Georgia" w:hAnsi="Georgia" w:cs="Calibri"/>
          <w:sz w:val="22"/>
          <w:szCs w:val="22"/>
          <w:lang w:val="nl-NL"/>
        </w:rPr>
        <w:t>p</w:t>
      </w:r>
      <w:r w:rsidR="00EC6F07">
        <w:rPr>
          <w:rFonts w:ascii="Georgia" w:hAnsi="Georgia" w:cs="Calibri"/>
          <w:sz w:val="22"/>
          <w:szCs w:val="22"/>
          <w:lang w:val="nl-NL"/>
        </w:rPr>
        <w:t>i</w:t>
      </w:r>
      <w:r w:rsidRPr="00C140A8">
        <w:rPr>
          <w:rFonts w:ascii="Georgia" w:hAnsi="Georgia" w:cs="Calibri"/>
          <w:sz w:val="22"/>
          <w:szCs w:val="22"/>
          <w:lang w:val="nl-NL"/>
        </w:rPr>
        <w:t>eters</w:t>
      </w:r>
      <w:proofErr w:type="spellEnd"/>
      <w:r w:rsidRPr="00C140A8">
        <w:rPr>
          <w:rFonts w:ascii="Georgia" w:hAnsi="Georgia" w:cs="Calibri"/>
          <w:sz w:val="22"/>
          <w:szCs w:val="22"/>
          <w:lang w:val="nl-NL"/>
        </w:rPr>
        <w:t xml:space="preserve"> voor de verluchting en </w:t>
      </w:r>
      <w:r w:rsidR="00EC6F07">
        <w:rPr>
          <w:rFonts w:ascii="Georgia" w:hAnsi="Georgia" w:cs="Calibri"/>
          <w:sz w:val="22"/>
          <w:szCs w:val="22"/>
          <w:lang w:val="nl-NL"/>
        </w:rPr>
        <w:t>twee</w:t>
      </w:r>
      <w:r w:rsidRPr="00C140A8">
        <w:rPr>
          <w:rFonts w:ascii="Georgia" w:hAnsi="Georgia" w:cs="Calibri"/>
          <w:sz w:val="22"/>
          <w:szCs w:val="22"/>
          <w:lang w:val="nl-NL"/>
        </w:rPr>
        <w:t xml:space="preserve"> </w:t>
      </w:r>
      <w:proofErr w:type="spellStart"/>
      <w:r w:rsidRPr="00C140A8">
        <w:rPr>
          <w:rFonts w:ascii="Georgia" w:hAnsi="Georgia" w:cs="Calibri"/>
          <w:sz w:val="22"/>
          <w:szCs w:val="22"/>
          <w:lang w:val="nl-NL"/>
        </w:rPr>
        <w:t>p</w:t>
      </w:r>
      <w:r w:rsidR="00EC6F07">
        <w:rPr>
          <w:rFonts w:ascii="Georgia" w:hAnsi="Georgia" w:cs="Calibri"/>
          <w:sz w:val="22"/>
          <w:szCs w:val="22"/>
          <w:lang w:val="nl-NL"/>
        </w:rPr>
        <w:t>i</w:t>
      </w:r>
      <w:r w:rsidRPr="00C140A8">
        <w:rPr>
          <w:rFonts w:ascii="Georgia" w:hAnsi="Georgia" w:cs="Calibri"/>
          <w:sz w:val="22"/>
          <w:szCs w:val="22"/>
          <w:lang w:val="nl-NL"/>
        </w:rPr>
        <w:t>eters</w:t>
      </w:r>
      <w:proofErr w:type="spellEnd"/>
      <w:r w:rsidRPr="00C140A8">
        <w:rPr>
          <w:rFonts w:ascii="Georgia" w:hAnsi="Georgia" w:cs="Calibri"/>
          <w:sz w:val="22"/>
          <w:szCs w:val="22"/>
          <w:lang w:val="nl-NL"/>
        </w:rPr>
        <w:t xml:space="preserve"> voor het inbinden. Het jaar daarop bestelde ze een kleiner gebedenboekje en kocht ze boeken voor </w:t>
      </w:r>
      <w:r w:rsidR="00002B98" w:rsidRPr="00C140A8">
        <w:rPr>
          <w:rFonts w:ascii="Georgia" w:hAnsi="Georgia" w:cs="Calibri"/>
          <w:sz w:val="22"/>
          <w:szCs w:val="22"/>
          <w:lang w:val="nl-NL"/>
        </w:rPr>
        <w:t>een</w:t>
      </w:r>
      <w:r w:rsidRPr="00C140A8">
        <w:rPr>
          <w:rFonts w:ascii="Georgia" w:hAnsi="Georgia" w:cs="Calibri"/>
          <w:sz w:val="22"/>
          <w:szCs w:val="22"/>
          <w:lang w:val="nl-NL"/>
        </w:rPr>
        <w:t xml:space="preserve"> klooster </w:t>
      </w:r>
      <w:r w:rsidR="00002B98" w:rsidRPr="00C140A8">
        <w:rPr>
          <w:rFonts w:ascii="Georgia" w:hAnsi="Georgia" w:cs="Calibri"/>
          <w:sz w:val="22"/>
          <w:szCs w:val="22"/>
          <w:lang w:val="nl-NL"/>
        </w:rPr>
        <w:t>in</w:t>
      </w:r>
      <w:r w:rsidRPr="00C140A8">
        <w:rPr>
          <w:rFonts w:ascii="Georgia" w:hAnsi="Georgia" w:cs="Calibri"/>
          <w:sz w:val="22"/>
          <w:szCs w:val="22"/>
          <w:lang w:val="nl-NL"/>
        </w:rPr>
        <w:t xml:space="preserve"> Leuven.</w:t>
      </w:r>
      <w:r w:rsidR="00002B98" w:rsidRPr="00C140A8">
        <w:rPr>
          <w:rStyle w:val="FootnoteReference"/>
          <w:rFonts w:ascii="Georgia" w:hAnsi="Georgia" w:cs="Calibri"/>
          <w:sz w:val="22"/>
          <w:szCs w:val="22"/>
          <w:lang w:val="nl-NL"/>
        </w:rPr>
        <w:footnoteReference w:id="469"/>
      </w:r>
      <w:r w:rsidRPr="00C140A8">
        <w:rPr>
          <w:rFonts w:ascii="Georgia" w:hAnsi="Georgia" w:cs="Calibri"/>
          <w:sz w:val="22"/>
          <w:szCs w:val="22"/>
          <w:lang w:val="nl-NL"/>
        </w:rPr>
        <w:t xml:space="preserve"> In 1378 begon meester Hendrik aan twee nieuwe handschriften: </w:t>
      </w:r>
      <w:r w:rsidRPr="00C140A8">
        <w:rPr>
          <w:rFonts w:ascii="Georgia" w:hAnsi="Georgia" w:cs="Calibri"/>
          <w:i/>
          <w:iCs/>
          <w:sz w:val="22"/>
          <w:szCs w:val="22"/>
          <w:lang w:val="nl-NL"/>
        </w:rPr>
        <w:t xml:space="preserve">Vanden VII </w:t>
      </w:r>
      <w:proofErr w:type="spellStart"/>
      <w:r w:rsidRPr="00C140A8">
        <w:rPr>
          <w:rFonts w:ascii="Georgia" w:hAnsi="Georgia" w:cs="Calibri"/>
          <w:i/>
          <w:iCs/>
          <w:sz w:val="22"/>
          <w:szCs w:val="22"/>
          <w:lang w:val="nl-NL"/>
        </w:rPr>
        <w:t>ghetiden</w:t>
      </w:r>
      <w:proofErr w:type="spellEnd"/>
      <w:r w:rsidRPr="00C140A8">
        <w:rPr>
          <w:rFonts w:ascii="Georgia" w:hAnsi="Georgia" w:cs="Calibri"/>
          <w:sz w:val="22"/>
          <w:szCs w:val="22"/>
          <w:lang w:val="nl-NL"/>
        </w:rPr>
        <w:t xml:space="preserve"> en een boek voor haar secretaris Pieter </w:t>
      </w:r>
      <w:proofErr w:type="spellStart"/>
      <w:r w:rsidRPr="00C140A8">
        <w:rPr>
          <w:rFonts w:ascii="Georgia" w:hAnsi="Georgia" w:cs="Calibri"/>
          <w:sz w:val="22"/>
          <w:szCs w:val="22"/>
          <w:lang w:val="nl-NL"/>
        </w:rPr>
        <w:t>Braen</w:t>
      </w:r>
      <w:proofErr w:type="spellEnd"/>
      <w:r w:rsidRPr="00C140A8">
        <w:rPr>
          <w:rFonts w:ascii="Georgia" w:hAnsi="Georgia" w:cs="Calibri"/>
          <w:sz w:val="22"/>
          <w:szCs w:val="22"/>
          <w:lang w:val="nl-NL"/>
        </w:rPr>
        <w:t>, die veelvuldig in de bronnen terugkomt.</w:t>
      </w:r>
      <w:r w:rsidR="006A36AE">
        <w:rPr>
          <w:rStyle w:val="FootnoteReference"/>
          <w:rFonts w:ascii="Georgia" w:hAnsi="Georgia" w:cs="Calibri"/>
          <w:sz w:val="22"/>
          <w:szCs w:val="22"/>
          <w:lang w:val="nl-NL"/>
        </w:rPr>
        <w:footnoteReference w:id="470"/>
      </w:r>
      <w:r w:rsidRPr="00C140A8">
        <w:rPr>
          <w:rFonts w:ascii="Georgia" w:hAnsi="Georgia" w:cs="Calibri"/>
          <w:sz w:val="22"/>
          <w:szCs w:val="22"/>
          <w:lang w:val="nl-NL"/>
        </w:rPr>
        <w:t xml:space="preserve"> </w:t>
      </w:r>
      <w:r w:rsidR="00C96CDC" w:rsidRPr="00C140A8">
        <w:rPr>
          <w:rFonts w:ascii="Georgia" w:hAnsi="Georgia" w:cs="Calibri"/>
          <w:sz w:val="22"/>
          <w:szCs w:val="22"/>
          <w:lang w:val="nl-NL"/>
        </w:rPr>
        <w:t xml:space="preserve">In 1380 </w:t>
      </w:r>
      <w:r w:rsidR="00CD39F7" w:rsidRPr="00C140A8">
        <w:rPr>
          <w:rFonts w:ascii="Georgia" w:hAnsi="Georgia" w:cs="Calibri"/>
          <w:sz w:val="22"/>
          <w:szCs w:val="22"/>
          <w:lang w:val="nl-NL"/>
        </w:rPr>
        <w:t xml:space="preserve">verluchtte Jan van </w:t>
      </w:r>
      <w:proofErr w:type="spellStart"/>
      <w:r w:rsidR="00CD39F7" w:rsidRPr="00C140A8">
        <w:rPr>
          <w:rFonts w:ascii="Georgia" w:hAnsi="Georgia" w:cs="Calibri"/>
          <w:sz w:val="22"/>
          <w:szCs w:val="22"/>
          <w:lang w:val="nl-NL"/>
        </w:rPr>
        <w:t>Woluwe</w:t>
      </w:r>
      <w:proofErr w:type="spellEnd"/>
      <w:r w:rsidR="00CD39F7" w:rsidRPr="00C140A8">
        <w:rPr>
          <w:rFonts w:ascii="Georgia" w:hAnsi="Georgia" w:cs="Calibri"/>
          <w:sz w:val="22"/>
          <w:szCs w:val="22"/>
          <w:lang w:val="nl-NL"/>
        </w:rPr>
        <w:t>, schilder aan het Brabantse hof, nog andere werken voor haar, waaronder een boek met de zeven boetepsalmen en een gebedenboek dat opende met de dodenvigiliën.</w:t>
      </w:r>
      <w:r w:rsidR="006A36AE">
        <w:rPr>
          <w:rStyle w:val="FootnoteReference"/>
          <w:rFonts w:ascii="Georgia" w:hAnsi="Georgia" w:cs="Calibri"/>
          <w:sz w:val="22"/>
          <w:szCs w:val="22"/>
          <w:lang w:val="nl-NL"/>
        </w:rPr>
        <w:footnoteReference w:id="471"/>
      </w:r>
      <w:r w:rsidR="00CD39F7" w:rsidRPr="00C140A8">
        <w:rPr>
          <w:rFonts w:ascii="Georgia" w:hAnsi="Georgia" w:cs="Calibri"/>
          <w:sz w:val="22"/>
          <w:szCs w:val="22"/>
          <w:lang w:val="nl-NL"/>
        </w:rPr>
        <w:t xml:space="preserve"> Dit laatste voltooide hij kort voor het overlijden van </w:t>
      </w:r>
      <w:proofErr w:type="spellStart"/>
      <w:r w:rsidR="00CD39F7" w:rsidRPr="00C140A8">
        <w:rPr>
          <w:rFonts w:ascii="Georgia" w:hAnsi="Georgia" w:cs="Calibri"/>
          <w:sz w:val="22"/>
          <w:szCs w:val="22"/>
          <w:lang w:val="nl-NL"/>
        </w:rPr>
        <w:t>Wenceslas</w:t>
      </w:r>
      <w:proofErr w:type="spellEnd"/>
      <w:r w:rsidR="009572D5" w:rsidRPr="00C140A8">
        <w:rPr>
          <w:rFonts w:ascii="Georgia" w:hAnsi="Georgia" w:cs="Calibri"/>
          <w:sz w:val="22"/>
          <w:szCs w:val="22"/>
          <w:lang w:val="nl-NL"/>
        </w:rPr>
        <w:t>.</w:t>
      </w:r>
      <w:r w:rsidR="009572D5" w:rsidRPr="00C140A8">
        <w:rPr>
          <w:rStyle w:val="FootnoteReference"/>
          <w:rFonts w:ascii="Georgia" w:hAnsi="Georgia" w:cs="Calibri"/>
          <w:sz w:val="22"/>
          <w:szCs w:val="22"/>
        </w:rPr>
        <w:t xml:space="preserve"> </w:t>
      </w:r>
      <w:r w:rsidR="009572D5" w:rsidRPr="00C140A8">
        <w:rPr>
          <w:rStyle w:val="FootnoteReference"/>
          <w:rFonts w:ascii="Georgia" w:hAnsi="Georgia" w:cs="Calibri"/>
          <w:sz w:val="22"/>
          <w:szCs w:val="22"/>
        </w:rPr>
        <w:footnoteReference w:id="472"/>
      </w:r>
      <w:r w:rsidR="009572D5" w:rsidRPr="00C140A8">
        <w:rPr>
          <w:rFonts w:ascii="Georgia" w:hAnsi="Georgia" w:cs="Calibri"/>
          <w:sz w:val="22"/>
          <w:szCs w:val="22"/>
          <w:lang w:val="nl-NL"/>
        </w:rPr>
        <w:t xml:space="preserve"> </w:t>
      </w:r>
      <w:r w:rsidRPr="00C140A8">
        <w:rPr>
          <w:rFonts w:ascii="Georgia" w:hAnsi="Georgia" w:cs="Calibri"/>
          <w:sz w:val="22"/>
          <w:szCs w:val="22"/>
          <w:lang w:val="nl-NL"/>
        </w:rPr>
        <w:t>Het zijn geen wereldlijke teksten, maar het zijn wel degelijk vormen van literair mecenaat, gefinancierd door Johanna, uitgevoerd door professionele verluchters en schrijvers en ingebed in een bredere cultuur van boekenproductie in en rond Brussel.</w:t>
      </w:r>
    </w:p>
    <w:p w14:paraId="1C821904" w14:textId="38F734C3" w:rsidR="00593D34" w:rsidRPr="00C140A8" w:rsidRDefault="00593D34"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Het is in die context dat de hypothese rond het ‘Beatrijshandschrift’ een mogelijke invulling kan krijgen.</w:t>
      </w:r>
      <w:r w:rsidR="00176838">
        <w:rPr>
          <w:rStyle w:val="FootnoteReference"/>
          <w:rFonts w:ascii="Georgia" w:hAnsi="Georgia" w:cs="Calibri"/>
          <w:sz w:val="22"/>
          <w:szCs w:val="22"/>
          <w:lang w:val="nl-NL"/>
        </w:rPr>
        <w:footnoteReference w:id="473"/>
      </w:r>
      <w:r w:rsidRPr="00C140A8">
        <w:rPr>
          <w:rFonts w:ascii="Georgia" w:hAnsi="Georgia" w:cs="Calibri"/>
          <w:sz w:val="22"/>
          <w:szCs w:val="22"/>
          <w:lang w:val="nl-NL"/>
        </w:rPr>
        <w:t xml:space="preserve"> Het manuscript dateert uit 1374 en </w:t>
      </w:r>
      <w:r w:rsidR="004A2100" w:rsidRPr="00C140A8">
        <w:rPr>
          <w:rFonts w:ascii="Georgia" w:hAnsi="Georgia" w:cs="Calibri"/>
          <w:sz w:val="22"/>
          <w:szCs w:val="22"/>
          <w:lang w:val="nl-NL"/>
        </w:rPr>
        <w:t>ontston</w:t>
      </w:r>
      <w:r w:rsidRPr="00C140A8">
        <w:rPr>
          <w:rFonts w:ascii="Georgia" w:hAnsi="Georgia" w:cs="Calibri"/>
          <w:sz w:val="22"/>
          <w:szCs w:val="22"/>
          <w:lang w:val="nl-NL"/>
        </w:rPr>
        <w:t xml:space="preserve">d nabij Brussel. Het bevat een samenstelling van verschillende teksten, waaronder het verhaal van </w:t>
      </w:r>
      <w:r w:rsidRPr="00C140A8">
        <w:rPr>
          <w:rFonts w:ascii="Georgia" w:hAnsi="Georgia" w:cs="Calibri"/>
          <w:i/>
          <w:iCs/>
          <w:sz w:val="22"/>
          <w:szCs w:val="22"/>
          <w:lang w:val="nl-NL"/>
        </w:rPr>
        <w:t>Beatrijs</w:t>
      </w:r>
      <w:r w:rsidRPr="00C140A8">
        <w:rPr>
          <w:rFonts w:ascii="Georgia" w:hAnsi="Georgia" w:cs="Calibri"/>
          <w:sz w:val="22"/>
          <w:szCs w:val="22"/>
          <w:lang w:val="nl-NL"/>
        </w:rPr>
        <w:t xml:space="preserve">, waarin het centrale thema de </w:t>
      </w:r>
      <w:r w:rsidR="00E82B5F">
        <w:rPr>
          <w:rFonts w:ascii="Georgia" w:hAnsi="Georgia" w:cs="Calibri"/>
          <w:sz w:val="22"/>
          <w:szCs w:val="22"/>
          <w:lang w:val="nl-NL"/>
        </w:rPr>
        <w:t>M</w:t>
      </w:r>
      <w:r w:rsidRPr="00C140A8">
        <w:rPr>
          <w:rFonts w:ascii="Georgia" w:hAnsi="Georgia" w:cs="Calibri"/>
          <w:sz w:val="22"/>
          <w:szCs w:val="22"/>
          <w:lang w:val="nl-NL"/>
        </w:rPr>
        <w:t>ariadevotie is.</w:t>
      </w:r>
      <w:r w:rsidR="00A12318">
        <w:rPr>
          <w:rStyle w:val="FootnoteReference"/>
          <w:rFonts w:ascii="Georgia" w:hAnsi="Georgia" w:cs="Calibri"/>
          <w:sz w:val="22"/>
          <w:szCs w:val="22"/>
          <w:lang w:val="nl-NL"/>
        </w:rPr>
        <w:footnoteReference w:id="474"/>
      </w:r>
      <w:r w:rsidRPr="00C140A8">
        <w:rPr>
          <w:rFonts w:ascii="Georgia" w:hAnsi="Georgia" w:cs="Calibri"/>
          <w:sz w:val="22"/>
          <w:szCs w:val="22"/>
          <w:lang w:val="nl-NL"/>
        </w:rPr>
        <w:t xml:space="preserve"> Hoewel Johanna niet de enige adellijke vrouw in de Brusselse omgeving was die de waarde van boeken kon appreciëren, zijn er aanwijzingen die haar patronage ondersteunen. Een daarvan zijn de excerpten van Jan van </w:t>
      </w:r>
      <w:proofErr w:type="spellStart"/>
      <w:r w:rsidRPr="00C140A8">
        <w:rPr>
          <w:rFonts w:ascii="Georgia" w:hAnsi="Georgia" w:cs="Calibri"/>
          <w:sz w:val="22"/>
          <w:szCs w:val="22"/>
          <w:lang w:val="nl-NL"/>
        </w:rPr>
        <w:t>Ruusbroec</w:t>
      </w:r>
      <w:proofErr w:type="spellEnd"/>
      <w:r w:rsidRPr="00C140A8">
        <w:rPr>
          <w:rFonts w:ascii="Georgia" w:hAnsi="Georgia" w:cs="Calibri"/>
          <w:sz w:val="22"/>
          <w:szCs w:val="22"/>
          <w:lang w:val="nl-NL"/>
        </w:rPr>
        <w:t xml:space="preserve"> die in het handschrift zijn opgenomen. De samensteller m</w:t>
      </w:r>
      <w:r w:rsidR="004A214A">
        <w:rPr>
          <w:rFonts w:ascii="Georgia" w:hAnsi="Georgia" w:cs="Calibri"/>
          <w:sz w:val="22"/>
          <w:szCs w:val="22"/>
          <w:lang w:val="nl-NL"/>
        </w:rPr>
        <w:t xml:space="preserve">oet </w:t>
      </w:r>
      <w:r w:rsidRPr="00C140A8">
        <w:rPr>
          <w:rFonts w:ascii="Georgia" w:hAnsi="Georgia" w:cs="Calibri"/>
          <w:sz w:val="22"/>
          <w:szCs w:val="22"/>
          <w:lang w:val="nl-NL"/>
        </w:rPr>
        <w:t xml:space="preserve">kennis hebben gehad van </w:t>
      </w:r>
      <w:proofErr w:type="spellStart"/>
      <w:r w:rsidRPr="00C140A8">
        <w:rPr>
          <w:rFonts w:ascii="Georgia" w:hAnsi="Georgia" w:cs="Calibri"/>
          <w:sz w:val="22"/>
          <w:szCs w:val="22"/>
          <w:lang w:val="nl-NL"/>
        </w:rPr>
        <w:t>Ruusbroecs</w:t>
      </w:r>
      <w:proofErr w:type="spellEnd"/>
      <w:r w:rsidRPr="00C140A8">
        <w:rPr>
          <w:rFonts w:ascii="Georgia" w:hAnsi="Georgia" w:cs="Calibri"/>
          <w:sz w:val="22"/>
          <w:szCs w:val="22"/>
          <w:lang w:val="nl-NL"/>
        </w:rPr>
        <w:t xml:space="preserve"> oeuvre, wat de vraag oproept of hij niet in diens nabijheid heeft gewerkt.</w:t>
      </w:r>
      <w:r w:rsidRPr="00C140A8">
        <w:rPr>
          <w:rStyle w:val="FootnoteReference"/>
          <w:rFonts w:ascii="Georgia" w:hAnsi="Georgia" w:cs="Calibri"/>
          <w:sz w:val="22"/>
          <w:szCs w:val="22"/>
          <w:lang w:val="nl-NL"/>
        </w:rPr>
        <w:footnoteReference w:id="475"/>
      </w:r>
      <w:r w:rsidRPr="00C140A8">
        <w:rPr>
          <w:rFonts w:ascii="Georgia" w:hAnsi="Georgia" w:cs="Calibri"/>
          <w:sz w:val="22"/>
          <w:szCs w:val="22"/>
          <w:lang w:val="nl-NL"/>
        </w:rPr>
        <w:t xml:space="preserve"> </w:t>
      </w:r>
      <w:proofErr w:type="spellStart"/>
      <w:r w:rsidRPr="00C140A8">
        <w:rPr>
          <w:rFonts w:ascii="Georgia" w:hAnsi="Georgia" w:cs="Calibri"/>
          <w:sz w:val="22"/>
          <w:szCs w:val="22"/>
          <w:lang w:val="nl-NL"/>
        </w:rPr>
        <w:t>Ruusbroec</w:t>
      </w:r>
      <w:proofErr w:type="spellEnd"/>
      <w:r w:rsidRPr="00C140A8">
        <w:rPr>
          <w:rFonts w:ascii="Georgia" w:hAnsi="Georgia" w:cs="Calibri"/>
          <w:sz w:val="22"/>
          <w:szCs w:val="22"/>
          <w:lang w:val="nl-NL"/>
        </w:rPr>
        <w:t xml:space="preserve"> verbleef op dat moment in het klooster van Groenendaal, midden in het </w:t>
      </w:r>
      <w:proofErr w:type="spellStart"/>
      <w:r w:rsidRPr="00C140A8">
        <w:rPr>
          <w:rFonts w:ascii="Georgia" w:hAnsi="Georgia" w:cs="Calibri"/>
          <w:sz w:val="22"/>
          <w:szCs w:val="22"/>
          <w:lang w:val="nl-NL"/>
        </w:rPr>
        <w:t>Zoniënwoud</w:t>
      </w:r>
      <w:proofErr w:type="spellEnd"/>
      <w:r w:rsidRPr="00C140A8">
        <w:rPr>
          <w:rFonts w:ascii="Georgia" w:hAnsi="Georgia" w:cs="Calibri"/>
          <w:sz w:val="22"/>
          <w:szCs w:val="22"/>
          <w:lang w:val="nl-NL"/>
        </w:rPr>
        <w:t xml:space="preserve">, in een gemeenschap waarmee Johanna aantoonbare contacten onderhield. Zo </w:t>
      </w:r>
      <w:r w:rsidR="00C44A48" w:rsidRPr="00C140A8">
        <w:rPr>
          <w:rFonts w:ascii="Georgia" w:hAnsi="Georgia" w:cs="Calibri"/>
          <w:sz w:val="22"/>
          <w:szCs w:val="22"/>
          <w:lang w:val="nl-NL"/>
        </w:rPr>
        <w:t xml:space="preserve">bevestigde ze </w:t>
      </w:r>
      <w:r w:rsidR="00C44A48" w:rsidRPr="00C140A8">
        <w:rPr>
          <w:rFonts w:ascii="Georgia" w:hAnsi="Georgia" w:cs="Calibri"/>
          <w:sz w:val="22"/>
          <w:szCs w:val="22"/>
          <w:lang w:val="nl-NL"/>
        </w:rPr>
        <w:lastRenderedPageBreak/>
        <w:t xml:space="preserve">verschillende privileges voor het klooster en woonde ze de eerstesteenlegging van een uitbreiding bij. </w:t>
      </w:r>
      <w:proofErr w:type="spellStart"/>
      <w:r w:rsidR="00C44A48" w:rsidRPr="00C140A8">
        <w:rPr>
          <w:rFonts w:ascii="Georgia" w:hAnsi="Georgia" w:cs="Calibri"/>
          <w:sz w:val="22"/>
          <w:szCs w:val="22"/>
          <w:lang w:val="nl-NL"/>
        </w:rPr>
        <w:t>Ruusbroec</w:t>
      </w:r>
      <w:proofErr w:type="spellEnd"/>
      <w:r w:rsidR="00C44A48" w:rsidRPr="00C140A8">
        <w:rPr>
          <w:rFonts w:ascii="Georgia" w:hAnsi="Georgia" w:cs="Calibri"/>
          <w:sz w:val="22"/>
          <w:szCs w:val="22"/>
          <w:lang w:val="nl-NL"/>
        </w:rPr>
        <w:t xml:space="preserve"> was daarbij eveneens</w:t>
      </w:r>
      <w:r w:rsidRPr="00C140A8">
        <w:rPr>
          <w:rFonts w:ascii="Georgia" w:hAnsi="Georgia" w:cs="Calibri"/>
          <w:sz w:val="22"/>
          <w:szCs w:val="22"/>
          <w:lang w:val="nl-NL"/>
        </w:rPr>
        <w:t xml:space="preserve"> aanwezig. Een mogelijke piste zou dus kunnen zijn dat het handschrift is vervaardigd binnen de bloeiende schrijversgemeenschap die zich aan het einde van de veertiende eeuw rond Groenendaal had gevormd.</w:t>
      </w:r>
      <w:r w:rsidRPr="00C140A8">
        <w:rPr>
          <w:rStyle w:val="FootnoteReference"/>
          <w:rFonts w:ascii="Georgia" w:hAnsi="Georgia" w:cs="Calibri"/>
          <w:sz w:val="22"/>
          <w:szCs w:val="22"/>
          <w:lang w:val="nl-NL"/>
        </w:rPr>
        <w:footnoteReference w:id="476"/>
      </w:r>
      <w:r w:rsidRPr="00C140A8">
        <w:rPr>
          <w:rFonts w:ascii="Georgia" w:hAnsi="Georgia" w:cs="Calibri"/>
          <w:sz w:val="22"/>
          <w:szCs w:val="22"/>
          <w:lang w:val="nl-NL"/>
        </w:rPr>
        <w:t xml:space="preserve"> Dit blijft uiteraard een hypothese, aangezien harde bewijzen vooralsnog ontbreken.</w:t>
      </w:r>
    </w:p>
    <w:p w14:paraId="46067988" w14:textId="4F0603BB" w:rsidR="00593D34" w:rsidRPr="00C140A8" w:rsidRDefault="00593D34"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Bart </w:t>
      </w:r>
      <w:proofErr w:type="spellStart"/>
      <w:r w:rsidRPr="00C140A8">
        <w:rPr>
          <w:rFonts w:ascii="Georgia" w:hAnsi="Georgia" w:cs="Calibri"/>
          <w:sz w:val="22"/>
          <w:szCs w:val="22"/>
          <w:lang w:val="nl-NL"/>
        </w:rPr>
        <w:t>Besamusca</w:t>
      </w:r>
      <w:proofErr w:type="spellEnd"/>
      <w:r w:rsidRPr="00C140A8">
        <w:rPr>
          <w:rFonts w:ascii="Georgia" w:hAnsi="Georgia" w:cs="Calibri"/>
          <w:sz w:val="22"/>
          <w:szCs w:val="22"/>
          <w:lang w:val="nl-NL"/>
        </w:rPr>
        <w:t xml:space="preserve"> stelt bovendien dat de opdrachtgever van een codex niet noodzakelijk ook de gebruiker ervan was.</w:t>
      </w:r>
      <w:r w:rsidR="00BB2041" w:rsidRPr="00C140A8">
        <w:rPr>
          <w:rStyle w:val="FootnoteReference"/>
          <w:rFonts w:ascii="Georgia" w:hAnsi="Georgia" w:cs="Calibri"/>
          <w:sz w:val="22"/>
          <w:szCs w:val="22"/>
          <w:lang w:val="nl-NL"/>
        </w:rPr>
        <w:footnoteReference w:id="477"/>
      </w:r>
      <w:r w:rsidR="00BB2041">
        <w:rPr>
          <w:rFonts w:ascii="Georgia" w:hAnsi="Georgia" w:cs="Calibri"/>
          <w:sz w:val="22"/>
          <w:szCs w:val="22"/>
          <w:lang w:val="nl-NL"/>
        </w:rPr>
        <w:t xml:space="preserve"> </w:t>
      </w:r>
      <w:r w:rsidRPr="00C140A8">
        <w:rPr>
          <w:rFonts w:ascii="Georgia" w:hAnsi="Georgia" w:cs="Calibri"/>
          <w:sz w:val="22"/>
          <w:szCs w:val="22"/>
          <w:lang w:val="nl-NL"/>
        </w:rPr>
        <w:t>Hoewel hij Johanna niet uitsluit als opdrachtgever, stelt hij dat de inhoud van het handschrift eerder wijst op een patricische stedelijke familie als beoogd lezerspubliek.</w:t>
      </w:r>
      <w:r w:rsidR="003F6182">
        <w:rPr>
          <w:rStyle w:val="FootnoteReference"/>
          <w:rFonts w:ascii="Georgia" w:hAnsi="Georgia" w:cs="Calibri"/>
          <w:sz w:val="22"/>
          <w:szCs w:val="22"/>
          <w:lang w:val="nl-NL"/>
        </w:rPr>
        <w:footnoteReference w:id="478"/>
      </w:r>
      <w:r w:rsidRPr="00C140A8">
        <w:rPr>
          <w:rFonts w:ascii="Georgia" w:hAnsi="Georgia" w:cs="Calibri"/>
          <w:sz w:val="22"/>
          <w:szCs w:val="22"/>
          <w:lang w:val="nl-NL"/>
        </w:rPr>
        <w:t xml:space="preserve"> Maar deze twee vaststellingen sluiten elkaar niet uit. Johanna kan het handschrift hebben besteld als geschenk voor een </w:t>
      </w:r>
      <w:r w:rsidR="00697344" w:rsidRPr="00C140A8">
        <w:rPr>
          <w:rFonts w:ascii="Georgia" w:hAnsi="Georgia" w:cs="Calibri"/>
          <w:sz w:val="22"/>
          <w:szCs w:val="22"/>
          <w:lang w:val="nl-NL"/>
        </w:rPr>
        <w:t>stedelijke familie</w:t>
      </w:r>
      <w:r w:rsidRPr="00C140A8">
        <w:rPr>
          <w:rFonts w:ascii="Georgia" w:hAnsi="Georgia" w:cs="Calibri"/>
          <w:sz w:val="22"/>
          <w:szCs w:val="22"/>
          <w:lang w:val="nl-NL"/>
        </w:rPr>
        <w:t>, wat ze aantoonbaar ook deed met andere boeken.</w:t>
      </w:r>
      <w:r w:rsidRPr="00C140A8">
        <w:rPr>
          <w:rStyle w:val="FootnoteReference"/>
          <w:rFonts w:ascii="Georgia" w:hAnsi="Georgia" w:cs="Calibri"/>
          <w:sz w:val="22"/>
          <w:szCs w:val="22"/>
          <w:lang w:val="nl-NL"/>
        </w:rPr>
        <w:t xml:space="preserve"> </w:t>
      </w:r>
      <w:r w:rsidRPr="00C140A8">
        <w:rPr>
          <w:rStyle w:val="FootnoteReference"/>
          <w:rFonts w:ascii="Georgia" w:hAnsi="Georgia" w:cs="Calibri"/>
          <w:sz w:val="22"/>
          <w:szCs w:val="22"/>
          <w:lang w:val="nl-NL"/>
        </w:rPr>
        <w:footnoteReference w:id="479"/>
      </w:r>
      <w:r w:rsidRPr="00C140A8">
        <w:rPr>
          <w:rFonts w:ascii="Georgia" w:hAnsi="Georgia" w:cs="Calibri"/>
          <w:sz w:val="22"/>
          <w:szCs w:val="22"/>
          <w:lang w:val="nl-NL"/>
        </w:rPr>
        <w:t xml:space="preserve"> </w:t>
      </w:r>
      <w:r w:rsidR="00A45BEB" w:rsidRPr="00C140A8">
        <w:rPr>
          <w:rFonts w:ascii="Georgia" w:hAnsi="Georgia" w:cs="Calibri"/>
          <w:sz w:val="22"/>
          <w:szCs w:val="22"/>
          <w:lang w:val="nl-NL"/>
        </w:rPr>
        <w:t xml:space="preserve">Daarnaast </w:t>
      </w:r>
      <w:r w:rsidR="00C12E1C" w:rsidRPr="00C140A8">
        <w:rPr>
          <w:rFonts w:ascii="Georgia" w:hAnsi="Georgia" w:cs="Calibri"/>
          <w:sz w:val="22"/>
          <w:szCs w:val="22"/>
          <w:lang w:val="nl-NL"/>
        </w:rPr>
        <w:t>zou dit ook in haar eerdere schenkingspatroon passen.</w:t>
      </w:r>
    </w:p>
    <w:p w14:paraId="44850D4C" w14:textId="096524F0" w:rsidR="00B5128B" w:rsidRPr="00C140A8" w:rsidRDefault="00E5158A"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D</w:t>
      </w:r>
      <w:r w:rsidR="00B5128B" w:rsidRPr="00C140A8">
        <w:rPr>
          <w:rFonts w:ascii="Georgia" w:hAnsi="Georgia" w:cs="Calibri"/>
          <w:sz w:val="22"/>
          <w:szCs w:val="22"/>
          <w:lang w:val="nl-NL"/>
        </w:rPr>
        <w:t xml:space="preserve">e voorbeelden </w:t>
      </w:r>
      <w:r w:rsidRPr="00C140A8">
        <w:rPr>
          <w:rFonts w:ascii="Georgia" w:hAnsi="Georgia" w:cs="Calibri"/>
          <w:sz w:val="22"/>
          <w:szCs w:val="22"/>
          <w:lang w:val="nl-NL"/>
        </w:rPr>
        <w:t xml:space="preserve">tonen </w:t>
      </w:r>
      <w:r w:rsidR="00B5128B" w:rsidRPr="00C140A8">
        <w:rPr>
          <w:rFonts w:ascii="Georgia" w:hAnsi="Georgia" w:cs="Calibri"/>
          <w:sz w:val="22"/>
          <w:szCs w:val="22"/>
          <w:lang w:val="nl-NL"/>
        </w:rPr>
        <w:t>dat Johanna</w:t>
      </w:r>
      <w:r w:rsidRPr="00C140A8">
        <w:rPr>
          <w:rFonts w:ascii="Georgia" w:hAnsi="Georgia" w:cs="Calibri"/>
          <w:sz w:val="22"/>
          <w:szCs w:val="22"/>
          <w:lang w:val="nl-NL"/>
        </w:rPr>
        <w:t>'</w:t>
      </w:r>
      <w:r w:rsidR="00B5128B" w:rsidRPr="00C140A8">
        <w:rPr>
          <w:rFonts w:ascii="Georgia" w:hAnsi="Georgia" w:cs="Calibri"/>
          <w:sz w:val="22"/>
          <w:szCs w:val="22"/>
          <w:lang w:val="nl-NL"/>
        </w:rPr>
        <w:t xml:space="preserve">s literaire mecenaat het patroon dat </w:t>
      </w:r>
      <w:proofErr w:type="spellStart"/>
      <w:r w:rsidR="00B5128B" w:rsidRPr="00C140A8">
        <w:rPr>
          <w:rFonts w:ascii="Georgia" w:hAnsi="Georgia" w:cs="Calibri"/>
          <w:sz w:val="22"/>
          <w:szCs w:val="22"/>
          <w:lang w:val="nl-NL"/>
        </w:rPr>
        <w:t>Wijsman</w:t>
      </w:r>
      <w:proofErr w:type="spellEnd"/>
      <w:r w:rsidR="00B5128B" w:rsidRPr="00C140A8">
        <w:rPr>
          <w:rFonts w:ascii="Georgia" w:hAnsi="Georgia" w:cs="Calibri"/>
          <w:sz w:val="22"/>
          <w:szCs w:val="22"/>
          <w:lang w:val="nl-NL"/>
        </w:rPr>
        <w:t xml:space="preserve"> voorstelde niet volgt. Hij stelde dat een vorstin met een actieve </w:t>
      </w:r>
      <w:proofErr w:type="spellStart"/>
      <w:r w:rsidR="00B5128B" w:rsidRPr="00C140A8">
        <w:rPr>
          <w:rFonts w:ascii="Georgia" w:hAnsi="Georgia" w:cs="Calibri"/>
          <w:sz w:val="22"/>
          <w:szCs w:val="22"/>
          <w:lang w:val="nl-NL"/>
        </w:rPr>
        <w:t>bestuursrol</w:t>
      </w:r>
      <w:proofErr w:type="spellEnd"/>
      <w:r w:rsidR="00B5128B" w:rsidRPr="00C140A8">
        <w:rPr>
          <w:rFonts w:ascii="Georgia" w:hAnsi="Georgia" w:cs="Calibri"/>
          <w:sz w:val="22"/>
          <w:szCs w:val="22"/>
          <w:lang w:val="nl-NL"/>
        </w:rPr>
        <w:t xml:space="preserve"> een veelzijdiger literair profiel zou moeten vertonen dan louter devotionele werken.</w:t>
      </w:r>
      <w:r w:rsidR="00BB2041">
        <w:rPr>
          <w:rStyle w:val="FootnoteReference"/>
          <w:rFonts w:ascii="Georgia" w:hAnsi="Georgia" w:cs="Calibri"/>
          <w:sz w:val="22"/>
          <w:szCs w:val="22"/>
          <w:lang w:val="nl-NL"/>
        </w:rPr>
        <w:footnoteReference w:id="480"/>
      </w:r>
      <w:r w:rsidR="00B5128B" w:rsidRPr="00C140A8">
        <w:rPr>
          <w:rFonts w:ascii="Georgia" w:hAnsi="Georgia" w:cs="Calibri"/>
          <w:sz w:val="22"/>
          <w:szCs w:val="22"/>
          <w:lang w:val="nl-NL"/>
        </w:rPr>
        <w:t xml:space="preserve"> De bewaarde bronnen bevestigen dat beeld niet. Het kan uiteraard zijn dat Johanna nog andere werken bezat, maar die zijn niet overgeleverd. Het boek dat </w:t>
      </w:r>
      <w:proofErr w:type="spellStart"/>
      <w:r w:rsidR="00B5128B" w:rsidRPr="00C140A8">
        <w:rPr>
          <w:rFonts w:ascii="Georgia" w:hAnsi="Georgia" w:cs="Calibri"/>
          <w:sz w:val="22"/>
          <w:szCs w:val="22"/>
          <w:lang w:val="nl-NL"/>
        </w:rPr>
        <w:t>Froissart</w:t>
      </w:r>
      <w:proofErr w:type="spellEnd"/>
      <w:r w:rsidR="00B5128B" w:rsidRPr="00C140A8">
        <w:rPr>
          <w:rFonts w:ascii="Georgia" w:hAnsi="Georgia" w:cs="Calibri"/>
          <w:sz w:val="22"/>
          <w:szCs w:val="22"/>
          <w:lang w:val="nl-NL"/>
        </w:rPr>
        <w:t xml:space="preserve"> in 1368 in haar opdracht afwerkte, kan daar een illustratie van zijn. Hoewel het werk zelf verloren is gegaan, wijzen de nauwe contacten die zij met de schrijver onderhield wel degelijk op een eigen literaire band. </w:t>
      </w:r>
    </w:p>
    <w:p w14:paraId="74BF7D9B" w14:textId="5F91467F" w:rsidR="00B54A0D" w:rsidRDefault="00B5128B"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 xml:space="preserve">Buiten dit ene spoor blijven in de geregistreerde en bewaarde bronnen inderdaad enkel religieuze werken over. Toch betekent dit niet dat haar literaire interesse moet onderdoen voor die van </w:t>
      </w:r>
      <w:proofErr w:type="spellStart"/>
      <w:r w:rsidRPr="00C140A8">
        <w:rPr>
          <w:rFonts w:ascii="Georgia" w:hAnsi="Georgia" w:cs="Calibri"/>
          <w:sz w:val="22"/>
          <w:szCs w:val="22"/>
          <w:lang w:val="nl-NL"/>
        </w:rPr>
        <w:t>Wenceslas</w:t>
      </w:r>
      <w:proofErr w:type="spellEnd"/>
      <w:r w:rsidRPr="00C140A8">
        <w:rPr>
          <w:rFonts w:ascii="Georgia" w:hAnsi="Georgia" w:cs="Calibri"/>
          <w:sz w:val="22"/>
          <w:szCs w:val="22"/>
          <w:lang w:val="nl-NL"/>
        </w:rPr>
        <w:t>. Johanna bestelde en bekostigde ook zelf verschillende verluchte manuscripten en gebedenboeken.</w:t>
      </w:r>
      <w:r w:rsidR="00DF2FB1" w:rsidRPr="00C140A8">
        <w:rPr>
          <w:rFonts w:ascii="Georgia" w:hAnsi="Georgia" w:cs="Calibri"/>
          <w:sz w:val="22"/>
          <w:szCs w:val="22"/>
          <w:lang w:val="nl-NL"/>
        </w:rPr>
        <w:t xml:space="preserve"> Ze had geen gebrek aan interesse, maar haar bestuur kenmerkte zich door een grote devotie, die zich versterkte nadat haar echtgenoot overleed. Haar rol als </w:t>
      </w:r>
      <w:r w:rsidR="00697344" w:rsidRPr="00C140A8">
        <w:rPr>
          <w:rFonts w:ascii="Georgia" w:hAnsi="Georgia" w:cs="Calibri"/>
          <w:sz w:val="22"/>
          <w:szCs w:val="22"/>
          <w:lang w:val="nl-NL"/>
        </w:rPr>
        <w:t>opdrachtgeefster</w:t>
      </w:r>
      <w:r w:rsidR="00DF2FB1" w:rsidRPr="00C140A8">
        <w:rPr>
          <w:rFonts w:ascii="Georgia" w:hAnsi="Georgia" w:cs="Calibri"/>
          <w:sz w:val="22"/>
          <w:szCs w:val="22"/>
          <w:lang w:val="nl-NL"/>
        </w:rPr>
        <w:t xml:space="preserve"> voor de aanmaak van religieuze boeken was zeker een vrucht van oprechte vroomheid.</w:t>
      </w:r>
      <w:r w:rsidR="00BB2041">
        <w:rPr>
          <w:rStyle w:val="FootnoteReference"/>
          <w:rFonts w:ascii="Georgia" w:hAnsi="Georgia" w:cs="Calibri"/>
          <w:sz w:val="22"/>
          <w:szCs w:val="22"/>
          <w:lang w:val="nl-NL"/>
        </w:rPr>
        <w:footnoteReference w:id="481"/>
      </w:r>
      <w:r w:rsidR="00DF2FB1" w:rsidRPr="00C140A8">
        <w:rPr>
          <w:rFonts w:ascii="Georgia" w:hAnsi="Georgia" w:cs="Calibri"/>
          <w:sz w:val="22"/>
          <w:szCs w:val="22"/>
          <w:lang w:val="nl-NL"/>
        </w:rPr>
        <w:t xml:space="preserve"> Daarnaast </w:t>
      </w:r>
      <w:r w:rsidR="00697344" w:rsidRPr="00C140A8">
        <w:rPr>
          <w:rFonts w:ascii="Georgia" w:hAnsi="Georgia" w:cs="Calibri"/>
          <w:sz w:val="22"/>
          <w:szCs w:val="22"/>
          <w:lang w:val="nl-NL"/>
        </w:rPr>
        <w:t xml:space="preserve">passen deze literaire keuzes hoe ze dit naar de buitenwereld wilde uitdragen. Ze cultiveerde dit beeld van een vrome vrouw ook in haar schenkingen en stichtingen. </w:t>
      </w:r>
      <w:r w:rsidRPr="00C140A8">
        <w:rPr>
          <w:rFonts w:ascii="Georgia" w:hAnsi="Georgia" w:cs="Calibri"/>
          <w:sz w:val="22"/>
          <w:szCs w:val="22"/>
          <w:lang w:val="nl-NL"/>
        </w:rPr>
        <w:t xml:space="preserve">Haar literaire opdrachten </w:t>
      </w:r>
      <w:r w:rsidR="00697344" w:rsidRPr="00C140A8">
        <w:rPr>
          <w:rFonts w:ascii="Georgia" w:hAnsi="Georgia" w:cs="Calibri"/>
          <w:sz w:val="22"/>
          <w:szCs w:val="22"/>
          <w:lang w:val="nl-NL"/>
        </w:rPr>
        <w:t>vallen</w:t>
      </w:r>
      <w:r w:rsidRPr="00C140A8">
        <w:rPr>
          <w:rFonts w:ascii="Georgia" w:hAnsi="Georgia" w:cs="Calibri"/>
          <w:sz w:val="22"/>
          <w:szCs w:val="22"/>
          <w:lang w:val="nl-NL"/>
        </w:rPr>
        <w:t xml:space="preserve"> </w:t>
      </w:r>
      <w:r w:rsidR="00697344" w:rsidRPr="00C140A8">
        <w:rPr>
          <w:rFonts w:ascii="Georgia" w:hAnsi="Georgia" w:cs="Calibri"/>
          <w:sz w:val="22"/>
          <w:szCs w:val="22"/>
          <w:lang w:val="nl-NL"/>
        </w:rPr>
        <w:t>daarom binnen</w:t>
      </w:r>
      <w:r w:rsidRPr="00C140A8">
        <w:rPr>
          <w:rFonts w:ascii="Georgia" w:hAnsi="Georgia" w:cs="Calibri"/>
          <w:sz w:val="22"/>
          <w:szCs w:val="22"/>
          <w:lang w:val="nl-NL"/>
        </w:rPr>
        <w:t xml:space="preserve"> die termen </w:t>
      </w:r>
      <w:r w:rsidR="00697344" w:rsidRPr="00C140A8">
        <w:rPr>
          <w:rFonts w:ascii="Georgia" w:hAnsi="Georgia" w:cs="Calibri"/>
          <w:sz w:val="22"/>
          <w:szCs w:val="22"/>
          <w:lang w:val="nl-NL"/>
        </w:rPr>
        <w:t xml:space="preserve">te </w:t>
      </w:r>
      <w:bookmarkEnd w:id="224"/>
      <w:bookmarkEnd w:id="225"/>
      <w:r w:rsidR="00697344" w:rsidRPr="00C140A8">
        <w:rPr>
          <w:rFonts w:ascii="Georgia" w:hAnsi="Georgia" w:cs="Calibri"/>
          <w:sz w:val="22"/>
          <w:szCs w:val="22"/>
          <w:lang w:val="nl-NL"/>
        </w:rPr>
        <w:t>lezen.</w:t>
      </w:r>
    </w:p>
    <w:p w14:paraId="6145C309" w14:textId="77777777" w:rsidR="00C02335" w:rsidRPr="00C140A8" w:rsidRDefault="00C02335" w:rsidP="00C140A8">
      <w:pPr>
        <w:spacing w:afterLines="80" w:after="192" w:line="360" w:lineRule="auto"/>
        <w:jc w:val="both"/>
        <w:rPr>
          <w:rFonts w:ascii="Georgia" w:hAnsi="Georgia" w:cs="Calibri"/>
          <w:sz w:val="22"/>
          <w:szCs w:val="22"/>
          <w:lang w:val="nl-NL"/>
        </w:rPr>
      </w:pPr>
    </w:p>
    <w:p w14:paraId="6E5BAC3D" w14:textId="4CE845BF" w:rsidR="00B5128B" w:rsidRPr="00C140A8" w:rsidRDefault="00B5128B" w:rsidP="00B54A0D">
      <w:pPr>
        <w:pStyle w:val="ThesisHeading"/>
        <w:rPr>
          <w:lang w:val="nl-NL"/>
        </w:rPr>
      </w:pPr>
      <w:bookmarkStart w:id="284" w:name="_Toc231153797"/>
      <w:bookmarkStart w:id="285" w:name="_Toc231329866"/>
      <w:bookmarkStart w:id="286" w:name="_Toc231330473"/>
      <w:bookmarkStart w:id="287" w:name="_Toc231428067"/>
      <w:bookmarkStart w:id="288" w:name="_Toc231463616"/>
      <w:r w:rsidRPr="00C140A8">
        <w:rPr>
          <w:lang w:val="nl-NL"/>
        </w:rPr>
        <w:lastRenderedPageBreak/>
        <w:t>Conclusie</w:t>
      </w:r>
      <w:bookmarkEnd w:id="284"/>
      <w:bookmarkEnd w:id="285"/>
      <w:bookmarkEnd w:id="286"/>
      <w:bookmarkEnd w:id="287"/>
      <w:bookmarkEnd w:id="288"/>
    </w:p>
    <w:p w14:paraId="7268B95C" w14:textId="63E99ABF" w:rsidR="00B55BD5" w:rsidRDefault="00B50567" w:rsidP="00C140A8">
      <w:pPr>
        <w:spacing w:afterLines="80" w:after="192" w:line="360" w:lineRule="auto"/>
        <w:jc w:val="both"/>
        <w:rPr>
          <w:rFonts w:ascii="Georgia" w:hAnsi="Georgia" w:cs="Calibri"/>
          <w:sz w:val="22"/>
          <w:szCs w:val="22"/>
          <w:lang w:val="nl-NL"/>
        </w:rPr>
      </w:pPr>
      <w:r w:rsidRPr="00C140A8">
        <w:rPr>
          <w:rFonts w:ascii="Georgia" w:hAnsi="Georgia" w:cs="Calibri"/>
          <w:sz w:val="22"/>
          <w:szCs w:val="22"/>
          <w:lang w:val="nl-NL"/>
        </w:rPr>
        <w:t>De patronage van een vorstin is veelzeggend, omdat ze een kijk geeft in haar overtuigingen en aspiraties.</w:t>
      </w:r>
      <w:r w:rsidRPr="00C140A8">
        <w:rPr>
          <w:rStyle w:val="FootnoteReference"/>
          <w:rFonts w:ascii="Georgia" w:hAnsi="Georgia" w:cs="Calibri"/>
          <w:sz w:val="22"/>
          <w:szCs w:val="22"/>
          <w:lang w:val="nl-NL"/>
        </w:rPr>
        <w:footnoteReference w:id="482"/>
      </w:r>
      <w:r w:rsidRPr="00C140A8">
        <w:rPr>
          <w:rFonts w:ascii="Georgia" w:hAnsi="Georgia" w:cs="Calibri"/>
          <w:sz w:val="22"/>
          <w:szCs w:val="22"/>
          <w:lang w:val="nl-NL"/>
        </w:rPr>
        <w:t xml:space="preserve"> </w:t>
      </w:r>
      <w:r w:rsidR="00FD4E4B" w:rsidRPr="00C140A8">
        <w:rPr>
          <w:rFonts w:ascii="Georgia" w:hAnsi="Georgia" w:cs="Calibri"/>
          <w:sz w:val="22"/>
          <w:szCs w:val="22"/>
          <w:lang w:val="nl-NL"/>
        </w:rPr>
        <w:t xml:space="preserve">Johanna's religieuze patronage en mecenaat onthullen zo één van de instrumenten waarmee zij haar macht vormgaf. Dat was niet uitzonderlijk. Patronage en devotie gingen nauw samen bij vorstinnen in de Lage Landen, en pasten binnen een wijdverspreid </w:t>
      </w:r>
      <w:r w:rsidR="00BC3FBB" w:rsidRPr="00C140A8">
        <w:rPr>
          <w:rFonts w:ascii="Georgia" w:hAnsi="Georgia" w:cs="Calibri"/>
          <w:sz w:val="22"/>
          <w:szCs w:val="22"/>
          <w:lang w:val="nl-NL"/>
        </w:rPr>
        <w:t>patroon.</w:t>
      </w:r>
      <w:r w:rsidR="00FD4E4B" w:rsidRPr="00C140A8">
        <w:rPr>
          <w:rStyle w:val="FootnoteReference"/>
          <w:rFonts w:ascii="Georgia" w:hAnsi="Georgia" w:cs="Calibri"/>
          <w:sz w:val="22"/>
          <w:szCs w:val="22"/>
          <w:lang w:val="nl-NL"/>
        </w:rPr>
        <w:footnoteReference w:id="483"/>
      </w:r>
      <w:r w:rsidR="00FD4E4B" w:rsidRPr="00C140A8">
        <w:rPr>
          <w:rFonts w:ascii="Georgia" w:hAnsi="Georgia" w:cs="Calibri"/>
          <w:sz w:val="22"/>
          <w:szCs w:val="22"/>
          <w:lang w:val="nl-NL"/>
        </w:rPr>
        <w:t xml:space="preserve"> </w:t>
      </w:r>
      <w:r w:rsidR="00B5128B" w:rsidRPr="00C140A8">
        <w:rPr>
          <w:rFonts w:ascii="Georgia" w:hAnsi="Georgia" w:cs="Calibri"/>
          <w:sz w:val="22"/>
          <w:szCs w:val="22"/>
          <w:lang w:val="nl-NL"/>
        </w:rPr>
        <w:t>Johanna's schenkingen aan religieuze instellingen stonden in een lange Brabantse traditie van dynastieke zelfrepresentatie via religieuze kunst en architectuur.</w:t>
      </w:r>
      <w:r w:rsidR="003E2A83">
        <w:rPr>
          <w:rStyle w:val="FootnoteReference"/>
          <w:rFonts w:ascii="Georgia" w:hAnsi="Georgia" w:cs="Calibri"/>
          <w:sz w:val="22"/>
          <w:szCs w:val="22"/>
          <w:lang w:val="nl-NL"/>
        </w:rPr>
        <w:footnoteReference w:id="484"/>
      </w:r>
      <w:r w:rsidR="00B5128B" w:rsidRPr="00C140A8">
        <w:rPr>
          <w:rFonts w:ascii="Georgia" w:hAnsi="Georgia" w:cs="Calibri"/>
          <w:sz w:val="22"/>
          <w:szCs w:val="22"/>
          <w:lang w:val="nl-NL"/>
        </w:rPr>
        <w:t xml:space="preserve"> Zoals haar voorgangers koos ook Johanna bewust voor drukbezochte kerken en bedevaartsoorden, waarbij haar schenkingen telkens politieke claims inschreven in de religieuze ruimte.</w:t>
      </w:r>
      <w:r w:rsidR="00B5128B" w:rsidRPr="00C140A8">
        <w:rPr>
          <w:rStyle w:val="FootnoteReference"/>
          <w:rFonts w:ascii="Georgia" w:hAnsi="Georgia" w:cs="Calibri"/>
          <w:sz w:val="22"/>
          <w:szCs w:val="22"/>
          <w:lang w:val="nl-NL"/>
        </w:rPr>
        <w:footnoteReference w:id="485"/>
      </w:r>
      <w:r w:rsidR="00B5128B" w:rsidRPr="00C140A8">
        <w:rPr>
          <w:rFonts w:ascii="Georgia" w:hAnsi="Georgia" w:cs="Calibri"/>
          <w:sz w:val="22"/>
          <w:szCs w:val="22"/>
          <w:lang w:val="nl-NL"/>
        </w:rPr>
        <w:t xml:space="preserve"> Haar schenkingen waren niet enkel uitingen van persoonlijke devotie, maar maakten het Brabantse huis en haar eigen positie, als actieve </w:t>
      </w:r>
      <w:r w:rsidR="00CD39F7" w:rsidRPr="00C140A8">
        <w:rPr>
          <w:rFonts w:ascii="Georgia" w:hAnsi="Georgia" w:cs="Calibri"/>
          <w:sz w:val="22"/>
          <w:szCs w:val="22"/>
          <w:lang w:val="nl-NL"/>
        </w:rPr>
        <w:t>gesprek</w:t>
      </w:r>
      <w:r w:rsidR="00B5128B" w:rsidRPr="00C140A8">
        <w:rPr>
          <w:rFonts w:ascii="Georgia" w:hAnsi="Georgia" w:cs="Calibri"/>
          <w:sz w:val="22"/>
          <w:szCs w:val="22"/>
          <w:lang w:val="nl-NL"/>
        </w:rPr>
        <w:t>spartner van de kloosters en als vrome vrouw,</w:t>
      </w:r>
      <w:r w:rsidR="00544AAA" w:rsidRPr="00C140A8">
        <w:rPr>
          <w:rFonts w:ascii="Georgia" w:hAnsi="Georgia" w:cs="Calibri"/>
          <w:sz w:val="22"/>
          <w:szCs w:val="22"/>
          <w:lang w:val="nl-NL"/>
        </w:rPr>
        <w:t xml:space="preserve"> </w:t>
      </w:r>
      <w:r w:rsidR="00B5128B" w:rsidRPr="00C140A8">
        <w:rPr>
          <w:rFonts w:ascii="Georgia" w:hAnsi="Georgia" w:cs="Calibri"/>
          <w:sz w:val="22"/>
          <w:szCs w:val="22"/>
          <w:lang w:val="nl-NL"/>
        </w:rPr>
        <w:t xml:space="preserve">zichtbaar in het religieuze landschap. Die vrome zelfrepresentatie richtte zich ook op een breder publiek. Bedevaarten, het geven van aalmoezen en de materiële geschenken etaleren openlijk haar vrijgevigheid en liefdadigheid. Johanna’s devotie uit zich in een door haar gesteund mecenaat van kunst en literatuur. Waar </w:t>
      </w:r>
      <w:proofErr w:type="spellStart"/>
      <w:r w:rsidR="00B5128B" w:rsidRPr="00C140A8">
        <w:rPr>
          <w:rFonts w:ascii="Georgia" w:hAnsi="Georgia" w:cs="Calibri"/>
          <w:sz w:val="22"/>
          <w:szCs w:val="22"/>
          <w:lang w:val="nl-NL"/>
        </w:rPr>
        <w:t>Wenceslas</w:t>
      </w:r>
      <w:proofErr w:type="spellEnd"/>
      <w:r w:rsidR="00B5128B" w:rsidRPr="00C140A8">
        <w:rPr>
          <w:rFonts w:ascii="Georgia" w:hAnsi="Georgia" w:cs="Calibri"/>
          <w:sz w:val="22"/>
          <w:szCs w:val="22"/>
          <w:lang w:val="nl-NL"/>
        </w:rPr>
        <w:t xml:space="preserve"> investeerde in wereldlijke hoofse literatuur, richtte Johanna zich bijna uitsluitend op religieuze geschriften en gebedenboeken. Dat is geen gebrek aan interesse, maar een andere oriëntatie, geworteld in dezelfde devotie die haar schenkingen kenmerkte. </w:t>
      </w:r>
      <w:r w:rsidR="0086551C" w:rsidRPr="0086551C">
        <w:rPr>
          <w:rFonts w:ascii="Georgia" w:hAnsi="Georgia" w:cs="Calibri"/>
          <w:sz w:val="22"/>
          <w:szCs w:val="22"/>
        </w:rPr>
        <w:t>Het zogenaamde verval van de hofcultuur na 1383 verdient dan ook een heroverweging</w:t>
      </w:r>
      <w:r w:rsidR="0086551C">
        <w:rPr>
          <w:rFonts w:ascii="Georgia" w:hAnsi="Georgia" w:cs="Calibri"/>
          <w:sz w:val="22"/>
          <w:szCs w:val="22"/>
        </w:rPr>
        <w:t xml:space="preserve">. </w:t>
      </w:r>
      <w:r w:rsidR="00B5128B" w:rsidRPr="00C140A8">
        <w:rPr>
          <w:rFonts w:ascii="Georgia" w:hAnsi="Georgia" w:cs="Calibri"/>
          <w:sz w:val="22"/>
          <w:szCs w:val="22"/>
          <w:lang w:val="nl-NL"/>
        </w:rPr>
        <w:t xml:space="preserve">De financiële </w:t>
      </w:r>
      <w:r w:rsidR="00CD39F7" w:rsidRPr="00C140A8">
        <w:rPr>
          <w:rFonts w:ascii="Georgia" w:hAnsi="Georgia" w:cs="Calibri"/>
          <w:sz w:val="22"/>
          <w:szCs w:val="22"/>
          <w:lang w:val="nl-NL"/>
        </w:rPr>
        <w:t>moeilijkheden als gevolg</w:t>
      </w:r>
      <w:r w:rsidR="00B5128B" w:rsidRPr="00C140A8">
        <w:rPr>
          <w:rFonts w:ascii="Georgia" w:hAnsi="Georgia" w:cs="Calibri"/>
          <w:sz w:val="22"/>
          <w:szCs w:val="22"/>
          <w:lang w:val="nl-NL"/>
        </w:rPr>
        <w:t xml:space="preserve"> van </w:t>
      </w:r>
      <w:proofErr w:type="spellStart"/>
      <w:r w:rsidR="00B5128B" w:rsidRPr="00C140A8">
        <w:rPr>
          <w:rFonts w:ascii="Georgia" w:hAnsi="Georgia" w:cs="Calibri"/>
          <w:sz w:val="22"/>
          <w:szCs w:val="22"/>
          <w:lang w:val="nl-NL"/>
        </w:rPr>
        <w:t>Baesweiler</w:t>
      </w:r>
      <w:proofErr w:type="spellEnd"/>
      <w:r w:rsidR="00B5128B" w:rsidRPr="00C140A8">
        <w:rPr>
          <w:rFonts w:ascii="Georgia" w:hAnsi="Georgia" w:cs="Calibri"/>
          <w:sz w:val="22"/>
          <w:szCs w:val="22"/>
          <w:lang w:val="nl-NL"/>
        </w:rPr>
        <w:t>, de oorlog met Luik van 1379</w:t>
      </w:r>
      <w:r w:rsidR="00AB73D2">
        <w:rPr>
          <w:rFonts w:ascii="Georgia" w:hAnsi="Georgia" w:cs="Calibri"/>
          <w:sz w:val="22"/>
          <w:szCs w:val="22"/>
          <w:lang w:val="nl-NL"/>
        </w:rPr>
        <w:t>-</w:t>
      </w:r>
      <w:r w:rsidR="00B5128B" w:rsidRPr="00C140A8">
        <w:rPr>
          <w:rFonts w:ascii="Georgia" w:hAnsi="Georgia" w:cs="Calibri"/>
          <w:sz w:val="22"/>
          <w:szCs w:val="22"/>
          <w:lang w:val="nl-NL"/>
        </w:rPr>
        <w:t xml:space="preserve">1380 en de hernieuwde dreiging van Gelre maakte grootschalig mecenaat moeilijk, ongeacht de persoonlijke interesses van de vorstin. Het was niet Johanna's devotie die </w:t>
      </w:r>
      <w:r w:rsidR="00697344" w:rsidRPr="00C140A8">
        <w:rPr>
          <w:rFonts w:ascii="Georgia" w:hAnsi="Georgia" w:cs="Calibri"/>
          <w:sz w:val="22"/>
          <w:szCs w:val="22"/>
          <w:lang w:val="nl-NL"/>
        </w:rPr>
        <w:t>het mecenaat</w:t>
      </w:r>
      <w:r w:rsidR="00B5128B" w:rsidRPr="00C140A8">
        <w:rPr>
          <w:rFonts w:ascii="Georgia" w:hAnsi="Georgia" w:cs="Calibri"/>
          <w:sz w:val="22"/>
          <w:szCs w:val="22"/>
          <w:lang w:val="nl-NL"/>
        </w:rPr>
        <w:t xml:space="preserve"> deed krimpen, maar de lege schatkist.</w:t>
      </w:r>
    </w:p>
    <w:p w14:paraId="3E0112E3" w14:textId="436E2C51" w:rsidR="00B5128B" w:rsidRPr="00C140A8" w:rsidRDefault="00B55BD5" w:rsidP="00B55BD5">
      <w:pPr>
        <w:spacing w:after="160" w:line="278" w:lineRule="auto"/>
        <w:rPr>
          <w:rFonts w:ascii="Georgia" w:hAnsi="Georgia" w:cs="Calibri"/>
          <w:sz w:val="22"/>
          <w:szCs w:val="22"/>
          <w:lang w:val="nl-NL"/>
        </w:rPr>
      </w:pPr>
      <w:r>
        <w:rPr>
          <w:rFonts w:ascii="Georgia" w:hAnsi="Georgia" w:cs="Calibri"/>
          <w:sz w:val="22"/>
          <w:szCs w:val="22"/>
          <w:lang w:val="nl-NL"/>
        </w:rPr>
        <w:br w:type="page"/>
      </w:r>
    </w:p>
    <w:p w14:paraId="2DCC8A2C" w14:textId="29200EF2" w:rsidR="001279EA" w:rsidRPr="00C140A8" w:rsidRDefault="001279EA" w:rsidP="00B54A0D">
      <w:pPr>
        <w:pStyle w:val="ThesisSection"/>
        <w:pBdr>
          <w:bottom w:val="single" w:sz="4" w:space="1" w:color="auto"/>
        </w:pBdr>
        <w:spacing w:after="0"/>
      </w:pPr>
      <w:bookmarkStart w:id="289" w:name="_Toc231153798"/>
      <w:bookmarkStart w:id="290" w:name="_Toc231329867"/>
      <w:bookmarkStart w:id="291" w:name="_Toc231330474"/>
      <w:bookmarkStart w:id="292" w:name="_Toc231428068"/>
      <w:bookmarkStart w:id="293" w:name="_Toc231463617"/>
      <w:bookmarkEnd w:id="226"/>
      <w:bookmarkEnd w:id="227"/>
      <w:proofErr w:type="spellStart"/>
      <w:r w:rsidRPr="00C140A8">
        <w:lastRenderedPageBreak/>
        <w:t>A</w:t>
      </w:r>
      <w:r w:rsidR="005035CD" w:rsidRPr="00C140A8">
        <w:t>l</w:t>
      </w:r>
      <w:r w:rsidRPr="00C140A8">
        <w:t>gemene</w:t>
      </w:r>
      <w:proofErr w:type="spellEnd"/>
      <w:r w:rsidRPr="00C140A8">
        <w:t xml:space="preserve"> </w:t>
      </w:r>
      <w:proofErr w:type="spellStart"/>
      <w:r w:rsidRPr="00B54A0D">
        <w:t>conclusie</w:t>
      </w:r>
      <w:bookmarkEnd w:id="289"/>
      <w:bookmarkEnd w:id="290"/>
      <w:bookmarkEnd w:id="291"/>
      <w:bookmarkEnd w:id="292"/>
      <w:bookmarkEnd w:id="293"/>
      <w:proofErr w:type="spellEnd"/>
      <w:r w:rsidRPr="00C140A8">
        <w:t xml:space="preserve"> </w:t>
      </w:r>
    </w:p>
    <w:p w14:paraId="1ADD9866" w14:textId="64B3FB9C" w:rsidR="001279EA" w:rsidRDefault="001279EA" w:rsidP="2D0D95AE">
      <w:pPr>
        <w:spacing w:before="240" w:afterLines="80" w:after="192" w:line="360" w:lineRule="auto"/>
        <w:jc w:val="both"/>
        <w:rPr>
          <w:rFonts w:ascii="Georgia" w:hAnsi="Georgia"/>
          <w:sz w:val="22"/>
          <w:szCs w:val="22"/>
          <w:lang w:val="en-US"/>
        </w:rPr>
      </w:pPr>
      <w:r w:rsidRPr="2D0D95AE">
        <w:rPr>
          <w:rFonts w:ascii="Georgia" w:hAnsi="Georgia"/>
          <w:sz w:val="22"/>
          <w:szCs w:val="22"/>
          <w:lang w:val="en-US"/>
        </w:rPr>
        <w:t xml:space="preserve">Dit onderzoek vertrok vanuit de hypothese dat de </w:t>
      </w:r>
      <w:r w:rsidR="00AB73D2" w:rsidRPr="2D0D95AE">
        <w:rPr>
          <w:rFonts w:ascii="Georgia" w:hAnsi="Georgia"/>
          <w:sz w:val="22"/>
          <w:szCs w:val="22"/>
          <w:lang w:val="en-US"/>
        </w:rPr>
        <w:t>bestuursbijdrage</w:t>
      </w:r>
      <w:r w:rsidRPr="2D0D95AE">
        <w:rPr>
          <w:rFonts w:ascii="Georgia" w:hAnsi="Georgia"/>
          <w:sz w:val="22"/>
          <w:szCs w:val="22"/>
          <w:lang w:val="en-US"/>
        </w:rPr>
        <w:t xml:space="preserve"> van Johanna van Brabant in de bestaande historiografie lange tijd onderbelicht is gebleven, meer nog, vergaand werd onderschat. Dat beeld laat zich deels methodologisch verklaren omdat de geschiedschrijving te lang steunde op narratieve bronnen, die een geïdealiseerd en eerder passief beeld van vrouwelijke macht voorstelden. </w:t>
      </w:r>
      <w:r w:rsidR="00B750B5" w:rsidRPr="2D0D95AE">
        <w:rPr>
          <w:rFonts w:ascii="Georgia" w:hAnsi="Georgia"/>
          <w:sz w:val="22"/>
          <w:szCs w:val="22"/>
          <w:lang w:val="en-US"/>
        </w:rPr>
        <w:t>Deze studie toont aan dat narratieve bronnen alleen een te eenzijdig beeld opleveren, en dat oorkonden en rekeningen onmisbaar zijn om de dagelijkse bestuurspraktijk te reconstrueren.</w:t>
      </w:r>
      <w:r w:rsidR="00AE09F5" w:rsidRPr="2D0D95AE">
        <w:rPr>
          <w:rFonts w:ascii="Georgia" w:hAnsi="Georgia"/>
          <w:sz w:val="22"/>
          <w:szCs w:val="22"/>
          <w:lang w:val="en-US"/>
        </w:rPr>
        <w:t xml:space="preserve"> </w:t>
      </w:r>
      <w:r w:rsidRPr="2D0D95AE">
        <w:rPr>
          <w:rFonts w:ascii="Georgia" w:hAnsi="Georgia"/>
          <w:sz w:val="22"/>
          <w:szCs w:val="22"/>
          <w:lang w:val="en-US"/>
        </w:rPr>
        <w:t xml:space="preserve">De centrale vraag van deze studie is wat Johanna’s </w:t>
      </w:r>
      <w:r w:rsidR="00AE09F5" w:rsidRPr="2D0D95AE">
        <w:rPr>
          <w:rFonts w:ascii="Georgia" w:hAnsi="Georgia"/>
          <w:sz w:val="22"/>
          <w:szCs w:val="22"/>
          <w:lang w:val="en-US"/>
        </w:rPr>
        <w:t>bestuursbijdrage</w:t>
      </w:r>
      <w:r w:rsidRPr="2D0D95AE">
        <w:rPr>
          <w:rFonts w:ascii="Georgia" w:hAnsi="Georgia"/>
          <w:sz w:val="22"/>
          <w:szCs w:val="22"/>
          <w:lang w:val="en-US"/>
        </w:rPr>
        <w:t xml:space="preserve"> is geweest in het hertogdom Brabant tussen 1376 en 1380, en hoe die zich verhield tot die van Wenceslas. Welke middelen zette zij in en uit welke bronnen putte zij gezag? Om die vraag te beantwoorden, </w:t>
      </w:r>
      <w:proofErr w:type="gramStart"/>
      <w:r w:rsidRPr="2D0D95AE">
        <w:rPr>
          <w:rFonts w:ascii="Georgia" w:hAnsi="Georgia"/>
          <w:sz w:val="22"/>
          <w:szCs w:val="22"/>
          <w:lang w:val="en-US"/>
        </w:rPr>
        <w:t>vergeleek  dit</w:t>
      </w:r>
      <w:proofErr w:type="gramEnd"/>
      <w:r w:rsidRPr="2D0D95AE">
        <w:rPr>
          <w:rFonts w:ascii="Georgia" w:hAnsi="Georgia"/>
          <w:sz w:val="22"/>
          <w:szCs w:val="22"/>
          <w:lang w:val="en-US"/>
        </w:rPr>
        <w:t xml:space="preserve"> onderzoek de hertogelijke rekeningen en oorkonden en stelde het beeld bij vanuit de dagelijkse bestuurspraktijk.  De rode draad doorheen de drie hoofdstukken is een patroon van complementariteit. Johanna’s rol was verre van passief of ondergeschikt aan Wenceslas, maar een van </w:t>
      </w:r>
      <w:r w:rsidR="00AB73D2" w:rsidRPr="2D0D95AE">
        <w:rPr>
          <w:rFonts w:ascii="Georgia" w:hAnsi="Georgia"/>
          <w:sz w:val="22"/>
          <w:szCs w:val="22"/>
          <w:lang w:val="en-US"/>
        </w:rPr>
        <w:t xml:space="preserve">een </w:t>
      </w:r>
      <w:r w:rsidRPr="2D0D95AE">
        <w:rPr>
          <w:rFonts w:ascii="Georgia" w:hAnsi="Georgia"/>
          <w:sz w:val="22"/>
          <w:szCs w:val="22"/>
          <w:lang w:val="en-US"/>
        </w:rPr>
        <w:t xml:space="preserve">co-bestuur waarin Johanna en Wenceslas elkaar op verschillende terreinen aanvulden vanuit een gedeeld Brabants perspectief, maar met een eigen en dus verschillende invulling.  </w:t>
      </w:r>
    </w:p>
    <w:p w14:paraId="511C6CFB" w14:textId="7ECB5568" w:rsidR="00033B1B" w:rsidRPr="00E14667" w:rsidRDefault="00033B1B" w:rsidP="2D0D95AE">
      <w:pPr>
        <w:spacing w:afterLines="80" w:after="192" w:line="360" w:lineRule="auto"/>
        <w:jc w:val="both"/>
        <w:rPr>
          <w:rFonts w:ascii="Georgia" w:hAnsi="Georgia"/>
          <w:sz w:val="22"/>
          <w:szCs w:val="22"/>
          <w:lang w:val="en-US"/>
        </w:rPr>
      </w:pPr>
      <w:r w:rsidRPr="2D0D95AE">
        <w:rPr>
          <w:rFonts w:ascii="Georgia" w:hAnsi="Georgia"/>
          <w:sz w:val="22"/>
          <w:szCs w:val="22"/>
          <w:lang w:val="en-US"/>
        </w:rPr>
        <w:t xml:space="preserve">Het beheer van haar weduwegoederen laat zien dat Johanna, naast wat haar uit de Brabantse schatkist toeviel, over eigen financiële middelen beschikte. Vanaf 1366 droeg Albrecht van Beieren haar weduwegoed op papier over aan Wenceslas, maar in de praktijk was zij zelf nog steeds nauw betrokken bij al wat haar eigen domeinen en bezittingen aanbelangde. Ze handelde zelfstandig en samen met haar echtgenoot op het vlak van lokale politiek, jurisdictie en de zorg voor de bevolking en voor haar eigen personeel. Die financiële basis kreeg vervolgens een diplomatieke vertaling. De narratieve bronnen schieten tekort om de routineuze politieke en juridische praktijk van de bemiddelende vorstin recht te doen. </w:t>
      </w:r>
      <w:r w:rsidR="008C6025" w:rsidRPr="2D0D95AE">
        <w:rPr>
          <w:rFonts w:ascii="Georgia" w:hAnsi="Georgia"/>
          <w:sz w:val="22"/>
          <w:szCs w:val="22"/>
          <w:lang w:val="en-US"/>
        </w:rPr>
        <w:t xml:space="preserve">Haar handelen betreft veeleer het smeden en onderhouden van netwerken in een middeleeuws politiek stelsel waarin persoonlijke relaties cruciaal waren. </w:t>
      </w:r>
      <w:r w:rsidRPr="2D0D95AE">
        <w:rPr>
          <w:rFonts w:ascii="Georgia" w:hAnsi="Georgia"/>
          <w:sz w:val="22"/>
          <w:szCs w:val="22"/>
          <w:lang w:val="en-US"/>
        </w:rPr>
        <w:t xml:space="preserve">Binnen het echtpaar tekent zich een duidelijke taakverdeling af. Wenceslas richtte zich voornamelijk op het bredere Europese circuit, met bijzondere aandacht voor Frankrijk en het Heilig Roomse Rijk en voor zijn erfland Luxemburg. Johanna was in de eerste plaats bekommerd om Brabant. Dat betekent niet dat zij geen Europese contacten onderhield. Ze communiceerde met en ontving geschenken van de koningen van Engeland en Frankrijk, van de Duitse keizer en van andere politieke spelers in West-Europa. Wanneer het er echter op aankwam, lag haar ware focus op Brabant en vooral ook haar buurregio's, waarmee ze zeer intensieve contacten onderhield. Beide sferen ontmoetten elkaar in de voortdurende wederzijdse communicatie van het echtpaar. Wanneer </w:t>
      </w:r>
      <w:r w:rsidRPr="2D0D95AE">
        <w:rPr>
          <w:rFonts w:ascii="Georgia" w:hAnsi="Georgia"/>
          <w:sz w:val="22"/>
          <w:szCs w:val="22"/>
          <w:lang w:val="en-US"/>
        </w:rPr>
        <w:lastRenderedPageBreak/>
        <w:t>Wenceslas in Luxemburg verbleef, hield Johanna hem op de hoogte van wat in Brabant gebeurde. Reizen, communicatie, geschenken en het entertainment aan het hof verduidelijken hun eigen politieke ambities en bevestigen de wederzijdse afstemming ervan.</w:t>
      </w:r>
    </w:p>
    <w:p w14:paraId="4F5442F5" w14:textId="58CB2BD4" w:rsidR="005D5BDC" w:rsidRPr="00C140A8" w:rsidRDefault="00033B1B" w:rsidP="2D0D95AE">
      <w:pPr>
        <w:spacing w:afterLines="80" w:after="192" w:line="360" w:lineRule="auto"/>
        <w:jc w:val="both"/>
        <w:rPr>
          <w:rFonts w:ascii="Georgia" w:hAnsi="Georgia"/>
          <w:sz w:val="22"/>
          <w:szCs w:val="22"/>
          <w:lang w:val="en-US"/>
        </w:rPr>
      </w:pPr>
      <w:r w:rsidRPr="2D0D95AE">
        <w:rPr>
          <w:rFonts w:ascii="Georgia" w:hAnsi="Georgia"/>
          <w:sz w:val="22"/>
          <w:szCs w:val="22"/>
          <w:lang w:val="en-US"/>
        </w:rPr>
        <w:t xml:space="preserve">Diezelfde lijn loopt door in het culturele en religieuze domein. Het gangbare beeld van Wenceslas als de literair-culturele motor en van Johanna als een passieve en vrome echtgenote lijkt eerder het product van historiografische verwaarlozing dan gebaseerd op de bronnen zelf. Wie Johanna's patronage en mecenaat ernstig neemt, maakt kennis met een vorstin die haar religieuze schenkingen bewust als politiek instrument inzette en haar vroomheid cultiveerde als onderdeel van haar reputatie van weldoenende hertogin. Die activiteit was wel contextgebonden. Mecenaat bloeit in tijden van politieke en economische rust, terwijl de oorlog met Gelre kort na Wenceslas' dood en de verdere uitputting van de hertogelijke kas de ruimte hiervoor verkleinden. Ook de </w:t>
      </w:r>
      <w:r w:rsidR="00E14667" w:rsidRPr="2D0D95AE">
        <w:rPr>
          <w:rFonts w:ascii="Georgia" w:hAnsi="Georgia"/>
          <w:sz w:val="22"/>
          <w:szCs w:val="22"/>
          <w:lang w:val="en-US"/>
        </w:rPr>
        <w:t>‘r</w:t>
      </w:r>
      <w:r w:rsidRPr="2D0D95AE">
        <w:rPr>
          <w:rFonts w:ascii="Georgia" w:hAnsi="Georgia"/>
          <w:sz w:val="22"/>
          <w:szCs w:val="22"/>
          <w:lang w:val="en-US"/>
        </w:rPr>
        <w:t>igide vroomheid</w:t>
      </w:r>
      <w:r w:rsidR="00E14667" w:rsidRPr="2D0D95AE">
        <w:rPr>
          <w:rFonts w:ascii="Georgia" w:hAnsi="Georgia"/>
          <w:sz w:val="22"/>
          <w:szCs w:val="22"/>
          <w:lang w:val="en-US"/>
        </w:rPr>
        <w:t>’</w:t>
      </w:r>
      <w:r w:rsidRPr="2D0D95AE">
        <w:rPr>
          <w:rFonts w:ascii="Georgia" w:hAnsi="Georgia"/>
          <w:sz w:val="22"/>
          <w:szCs w:val="22"/>
          <w:lang w:val="en-US"/>
        </w:rPr>
        <w:t xml:space="preserve"> die haar als bejaarde weduwe wordt toegeschreven, verdient een andere duiding. Die vroomheid past binnen het imago van een vorstin voor wie religieuze representatie altijd al deel uitmaakte van haar publieke rol. Ook na Wenceslas’ dood zette ze dit patroon voort, mede in het bewustzijn, als gelovige vrouw, dat haar levensweg ten einde liep en de zorg (en bezorgdheid) voor haar eigen zielenheil aan belang won.</w:t>
      </w:r>
    </w:p>
    <w:p w14:paraId="0E9C3BC7" w14:textId="1452FB1F" w:rsidR="00EB240F" w:rsidRPr="00B55BD5" w:rsidRDefault="001279EA" w:rsidP="2D0D95AE">
      <w:pPr>
        <w:spacing w:afterLines="80" w:after="192" w:line="360" w:lineRule="auto"/>
        <w:jc w:val="both"/>
        <w:rPr>
          <w:rFonts w:ascii="Georgia" w:hAnsi="Georgia"/>
          <w:sz w:val="22"/>
          <w:szCs w:val="22"/>
          <w:lang w:val="en-US"/>
        </w:rPr>
      </w:pPr>
      <w:r w:rsidRPr="2D0D95AE">
        <w:rPr>
          <w:rFonts w:ascii="Georgia" w:hAnsi="Georgia"/>
          <w:sz w:val="22"/>
          <w:szCs w:val="22"/>
          <w:lang w:val="en-US"/>
        </w:rPr>
        <w:t xml:space="preserve">Daarmee wil dit onderzoek een bijdrage leveren aan een vernieuwende lezing van Johanna's regeerperiode op basis van de geselecteerde steekproef van 1376-80.  Ze was een actieve medebestuurder die een eigen stempel op het bestuur drukte. Haar gezag liet zich niet herleiden tot louter haar dynastieke positie als erfdochter van </w:t>
      </w:r>
      <w:proofErr w:type="gramStart"/>
      <w:r w:rsidRPr="2D0D95AE">
        <w:rPr>
          <w:rFonts w:ascii="Georgia" w:hAnsi="Georgia"/>
          <w:sz w:val="22"/>
          <w:szCs w:val="22"/>
          <w:lang w:val="en-US"/>
        </w:rPr>
        <w:t>Brabant,  want</w:t>
      </w:r>
      <w:proofErr w:type="gramEnd"/>
      <w:r w:rsidRPr="2D0D95AE">
        <w:rPr>
          <w:rFonts w:ascii="Georgia" w:hAnsi="Georgia"/>
          <w:sz w:val="22"/>
          <w:szCs w:val="22"/>
          <w:lang w:val="en-US"/>
        </w:rPr>
        <w:t xml:space="preserve"> dat zou een te enge en eenzijdige benadering zijn van een complexe en rijke bestuurspraktijk. Johanna’s handelen was complementair </w:t>
      </w:r>
      <w:r w:rsidR="00EB240F" w:rsidRPr="2D0D95AE">
        <w:rPr>
          <w:rFonts w:ascii="Georgia" w:hAnsi="Georgia"/>
          <w:sz w:val="22"/>
          <w:szCs w:val="22"/>
          <w:lang w:val="en-US"/>
        </w:rPr>
        <w:t>aan</w:t>
      </w:r>
      <w:r w:rsidRPr="2D0D95AE">
        <w:rPr>
          <w:rFonts w:ascii="Georgia" w:hAnsi="Georgia"/>
          <w:sz w:val="22"/>
          <w:szCs w:val="22"/>
          <w:lang w:val="en-US"/>
        </w:rPr>
        <w:t xml:space="preserve"> dat van haar echtgenoot. Zij vulden elkaar aan en hadden binnen die bestuurspraktijk een gemeenschappelijk doel voor ogen: de uitbouw van een stevige personele unie Brabant-Luxemburg.</w:t>
      </w:r>
      <w:r w:rsidR="00852FA6" w:rsidRPr="2D0D95AE">
        <w:rPr>
          <w:rFonts w:ascii="Georgia" w:hAnsi="Georgia"/>
          <w:sz w:val="22"/>
          <w:szCs w:val="22"/>
          <w:lang w:val="en-US"/>
        </w:rPr>
        <w:t xml:space="preserve"> </w:t>
      </w:r>
      <w:r w:rsidR="000E0CC1" w:rsidRPr="2D0D95AE">
        <w:rPr>
          <w:rFonts w:ascii="Georgia" w:hAnsi="Georgia"/>
          <w:sz w:val="22"/>
          <w:szCs w:val="22"/>
          <w:lang w:val="en-US"/>
        </w:rPr>
        <w:t xml:space="preserve">Anderzijds heeft haar gezag ook een relationele dimensie, niet alleen ten opzichte van Wenceslas, maar breder uitgetrokken over Brabant en daarbuiten. Johanna wendde haar financiële middelen aan om netwerken te bouwen en te onderhouden, en behartigde de diplomatieke belangen van Brabant via een brede waaier van middelen die ze gepast wist in te zetten. Ze patroneerde religieuze instellingen en stuurde mee een culturele motor aan, waardoor zij zich naar haar volk toe profileerde als een welwillende en bekommerde vorstin. </w:t>
      </w:r>
      <w:r w:rsidR="00B55BD5" w:rsidRPr="2D0D95AE">
        <w:rPr>
          <w:rFonts w:ascii="Georgia" w:hAnsi="Georgia"/>
          <w:sz w:val="22"/>
          <w:szCs w:val="22"/>
          <w:lang w:val="en-US"/>
        </w:rPr>
        <w:t>Dat actieve medebestuur heeft echter ook een keerzijde</w:t>
      </w:r>
      <w:r w:rsidR="00EB240F" w:rsidRPr="2D0D95AE">
        <w:rPr>
          <w:rFonts w:ascii="Georgia" w:hAnsi="Georgia"/>
          <w:sz w:val="22"/>
          <w:szCs w:val="22"/>
          <w:lang w:val="en-US"/>
        </w:rPr>
        <w:t xml:space="preserve">. Het ongelukkige drama van Baesweiler, het conflict met Luik, de moeizame banden met de clerus en de steden, en de politiek die daartoe leidde, schrijft de oudere historiografie </w:t>
      </w:r>
      <w:r w:rsidR="00305C83" w:rsidRPr="2D0D95AE">
        <w:rPr>
          <w:rFonts w:ascii="Georgia" w:hAnsi="Georgia"/>
          <w:sz w:val="22"/>
          <w:szCs w:val="22"/>
          <w:lang w:val="en-US"/>
        </w:rPr>
        <w:t>doorgaans</w:t>
      </w:r>
      <w:r w:rsidR="00EB240F" w:rsidRPr="2D0D95AE">
        <w:rPr>
          <w:rFonts w:ascii="Georgia" w:hAnsi="Georgia"/>
          <w:sz w:val="22"/>
          <w:szCs w:val="22"/>
          <w:lang w:val="en-US"/>
        </w:rPr>
        <w:t xml:space="preserve"> op naam van</w:t>
      </w:r>
      <w:r w:rsidR="00305C83" w:rsidRPr="2D0D95AE">
        <w:rPr>
          <w:rFonts w:ascii="Georgia" w:hAnsi="Georgia"/>
          <w:sz w:val="22"/>
          <w:szCs w:val="22"/>
          <w:lang w:val="en-US"/>
        </w:rPr>
        <w:t xml:space="preserve"> de ‘vreemde vorst’, </w:t>
      </w:r>
      <w:r w:rsidR="00EB240F" w:rsidRPr="2D0D95AE">
        <w:rPr>
          <w:rFonts w:ascii="Georgia" w:hAnsi="Georgia"/>
          <w:sz w:val="22"/>
          <w:szCs w:val="22"/>
          <w:lang w:val="en-US"/>
        </w:rPr>
        <w:t xml:space="preserve">Wenceslas. In een lezing van gedeeld bestuur past dat alles echter evenzeer in Johanna's verantwoordelijkheid. Haar intensieve netwerkvorming met bijvoorbeeld Gelre en Luik toont dat zij dat conflict probeerde mee te sturen, ook al draaide </w:t>
      </w:r>
      <w:r w:rsidR="00EB240F" w:rsidRPr="2D0D95AE">
        <w:rPr>
          <w:rFonts w:ascii="Georgia" w:hAnsi="Georgia"/>
          <w:sz w:val="22"/>
          <w:szCs w:val="22"/>
          <w:lang w:val="en-US"/>
        </w:rPr>
        <w:lastRenderedPageBreak/>
        <w:t>het uiteindelijk noodlottig uit. Zoals hierboven bleek, betekende het hebben van macht niet per se dat de vorstin in kwestie ook succesvol was. Uitblijvend succes maakt deze vorstinnen echter niet zwak. Hun handelingsruimte verdient de aandacht, ongeacht de afloop.</w:t>
      </w:r>
    </w:p>
    <w:p w14:paraId="41D4B4A3" w14:textId="77777777" w:rsidR="001279EA" w:rsidRPr="00B54A0D" w:rsidRDefault="001279EA" w:rsidP="00B54A0D">
      <w:pPr>
        <w:pStyle w:val="ThesisHeading"/>
        <w:rPr>
          <w:rStyle w:val="IntenseEmphasis"/>
          <w:i w:val="0"/>
          <w:iCs w:val="0"/>
          <w:color w:val="auto"/>
        </w:rPr>
      </w:pPr>
      <w:bookmarkStart w:id="294" w:name="_Toc231153799"/>
      <w:bookmarkStart w:id="295" w:name="_Toc231329868"/>
      <w:bookmarkStart w:id="296" w:name="_Toc231330475"/>
      <w:bookmarkStart w:id="297" w:name="_Toc231428069"/>
      <w:bookmarkStart w:id="298" w:name="_Toc231463618"/>
      <w:proofErr w:type="spellStart"/>
      <w:r w:rsidRPr="00B54A0D">
        <w:rPr>
          <w:rStyle w:val="IntenseEmphasis"/>
          <w:i w:val="0"/>
          <w:iCs w:val="0"/>
          <w:color w:val="auto"/>
        </w:rPr>
        <w:t>Verder</w:t>
      </w:r>
      <w:proofErr w:type="spellEnd"/>
      <w:r w:rsidRPr="00B54A0D">
        <w:rPr>
          <w:rStyle w:val="IntenseEmphasis"/>
          <w:i w:val="0"/>
          <w:iCs w:val="0"/>
          <w:color w:val="auto"/>
        </w:rPr>
        <w:t xml:space="preserve"> </w:t>
      </w:r>
      <w:proofErr w:type="spellStart"/>
      <w:r w:rsidRPr="00B54A0D">
        <w:rPr>
          <w:rStyle w:val="IntenseEmphasis"/>
          <w:i w:val="0"/>
          <w:iCs w:val="0"/>
          <w:color w:val="auto"/>
        </w:rPr>
        <w:t>onderzoek</w:t>
      </w:r>
      <w:bookmarkEnd w:id="294"/>
      <w:bookmarkEnd w:id="295"/>
      <w:bookmarkEnd w:id="296"/>
      <w:bookmarkEnd w:id="297"/>
      <w:bookmarkEnd w:id="298"/>
      <w:proofErr w:type="spellEnd"/>
    </w:p>
    <w:p w14:paraId="3D7C68DB" w14:textId="77777777" w:rsidR="00305C83" w:rsidRDefault="001279EA" w:rsidP="2D0D95AE">
      <w:pPr>
        <w:spacing w:afterLines="80" w:after="192" w:line="360" w:lineRule="auto"/>
        <w:jc w:val="both"/>
        <w:rPr>
          <w:rFonts w:ascii="Georgia" w:hAnsi="Georgia"/>
          <w:sz w:val="22"/>
          <w:szCs w:val="22"/>
          <w:lang w:val="en-US"/>
        </w:rPr>
      </w:pPr>
      <w:r w:rsidRPr="2D0D95AE">
        <w:rPr>
          <w:rFonts w:ascii="Georgia" w:hAnsi="Georgia"/>
          <w:sz w:val="22"/>
          <w:szCs w:val="22"/>
          <w:lang w:val="en-US"/>
        </w:rPr>
        <w:t xml:space="preserve">Deze scriptie licht slechts een tipje van de sluier op. Verder onderzoek naar Johanna’s bestuursbijdrage is nodig om een volledig beeld te krijgen van haar regeerperiode. Een eerste voor de hand liggende stap is de studie van Johanna's weduwschap na 1383. </w:t>
      </w:r>
      <w:r w:rsidR="00305C83" w:rsidRPr="2D0D95AE">
        <w:rPr>
          <w:rFonts w:ascii="Georgia" w:hAnsi="Georgia"/>
          <w:sz w:val="22"/>
          <w:szCs w:val="22"/>
          <w:lang w:val="en-US"/>
        </w:rPr>
        <w:t>Dit</w:t>
      </w:r>
      <w:r w:rsidRPr="2D0D95AE">
        <w:rPr>
          <w:rFonts w:ascii="Georgia" w:hAnsi="Georgia"/>
          <w:sz w:val="22"/>
          <w:szCs w:val="22"/>
          <w:lang w:val="en-US"/>
        </w:rPr>
        <w:t xml:space="preserve"> onderzoek wil aantonen dat haar bestuur in de co-bestuursperiode een eigen uitgesproken Brabantse stempel droeg. De voor de hand liggende vraag en eventueel voor een vervolgstudie is of die stempel na het overlijden van Wenceslas wegviel of wijzigde. Zette ze haar aanpak door of veranderde ze van koers? Dat die vervolgstudie geen eenvoudig antwoord zal opleveren, blijkt al uit de bronnen. De historiografie schetst van haar in deze periode een overwegend negatief beeld.</w:t>
      </w:r>
      <w:r w:rsidRPr="2D0D95AE">
        <w:rPr>
          <w:rStyle w:val="FootnoteReference"/>
          <w:rFonts w:ascii="Georgia" w:hAnsi="Georgia"/>
          <w:sz w:val="22"/>
          <w:szCs w:val="22"/>
          <w:lang w:val="en-US"/>
        </w:rPr>
        <w:footnoteReference w:id="486"/>
      </w:r>
      <w:r w:rsidRPr="2D0D95AE">
        <w:rPr>
          <w:rFonts w:ascii="Georgia" w:hAnsi="Georgia"/>
          <w:sz w:val="22"/>
          <w:szCs w:val="22"/>
          <w:lang w:val="en-US"/>
        </w:rPr>
        <w:t xml:space="preserve">  Een </w:t>
      </w:r>
      <w:proofErr w:type="gramStart"/>
      <w:r w:rsidRPr="2D0D95AE">
        <w:rPr>
          <w:rFonts w:ascii="Georgia" w:hAnsi="Georgia"/>
          <w:sz w:val="22"/>
          <w:szCs w:val="22"/>
          <w:lang w:val="en-US"/>
        </w:rPr>
        <w:t>brief  van</w:t>
      </w:r>
      <w:proofErr w:type="gramEnd"/>
      <w:r w:rsidRPr="2D0D95AE">
        <w:rPr>
          <w:rFonts w:ascii="Georgia" w:hAnsi="Georgia"/>
          <w:sz w:val="22"/>
          <w:szCs w:val="22"/>
          <w:lang w:val="en-US"/>
        </w:rPr>
        <w:t xml:space="preserve"> een Bourgondische gezant gericht aan de Bourgondische hertog, Filips de Stoute, in 1395 stelt: </w:t>
      </w:r>
    </w:p>
    <w:p w14:paraId="26D8EE43" w14:textId="77777777" w:rsidR="00305C83" w:rsidRPr="00305C83" w:rsidRDefault="0026374E" w:rsidP="2D0D95AE">
      <w:pPr>
        <w:spacing w:afterLines="80" w:after="192" w:line="360" w:lineRule="auto"/>
        <w:ind w:left="426"/>
        <w:jc w:val="both"/>
        <w:rPr>
          <w:rFonts w:ascii="Georgia" w:hAnsi="Georgia"/>
          <w:sz w:val="20"/>
          <w:szCs w:val="20"/>
          <w:lang w:val="en-US"/>
        </w:rPr>
      </w:pPr>
      <w:r w:rsidRPr="2D0D95AE">
        <w:rPr>
          <w:rFonts w:ascii="Georgia" w:hAnsi="Georgia"/>
          <w:i/>
          <w:iCs/>
          <w:sz w:val="20"/>
          <w:szCs w:val="20"/>
          <w:lang w:val="en-US"/>
        </w:rPr>
        <w:t>plusieurs gens demandent se vous savez comment le pays est si petitiement gouverné, et ont grant merveille que vous laiss[ez] ainsi perdre ce qui doit escheoir à vous et à vos enfants</w:t>
      </w:r>
      <w:r w:rsidRPr="2D0D95AE">
        <w:rPr>
          <w:rFonts w:ascii="Georgia" w:hAnsi="Georgia"/>
          <w:sz w:val="20"/>
          <w:szCs w:val="20"/>
          <w:lang w:val="en-US"/>
        </w:rPr>
        <w:t xml:space="preserve">, </w:t>
      </w:r>
      <w:r w:rsidR="00305C83" w:rsidRPr="2D0D95AE">
        <w:rPr>
          <w:rFonts w:ascii="Georgia" w:hAnsi="Georgia"/>
          <w:sz w:val="20"/>
          <w:szCs w:val="20"/>
          <w:lang w:val="en-US"/>
        </w:rPr>
        <w:t>[…]</w:t>
      </w:r>
      <w:r w:rsidRPr="2D0D95AE">
        <w:rPr>
          <w:rFonts w:ascii="Georgia" w:hAnsi="Georgia"/>
          <w:sz w:val="20"/>
          <w:szCs w:val="20"/>
          <w:lang w:val="en-US"/>
        </w:rPr>
        <w:t xml:space="preserve"> </w:t>
      </w:r>
      <w:r w:rsidR="00343142" w:rsidRPr="2D0D95AE">
        <w:rPr>
          <w:rFonts w:ascii="Georgia" w:hAnsi="Georgia"/>
          <w:i/>
          <w:iCs/>
          <w:sz w:val="20"/>
          <w:szCs w:val="20"/>
          <w:lang w:val="en-US"/>
        </w:rPr>
        <w:t>et pusique madame n’a envoié de son conseil, ainsi qu’elle avoit dit et escript; et elle est moult foible, et est à doubter qu’elle ne porra longuement vivre, quar elle prend grand desplaisance à son cuer qu’elle ne puet satifier à ceulz à q</w:t>
      </w:r>
      <w:r w:rsidR="001B1736" w:rsidRPr="2D0D95AE">
        <w:rPr>
          <w:rFonts w:ascii="Georgia" w:hAnsi="Georgia"/>
          <w:i/>
          <w:iCs/>
          <w:sz w:val="20"/>
          <w:szCs w:val="20"/>
          <w:lang w:val="en-US"/>
        </w:rPr>
        <w:t>ui elle est tenue</w:t>
      </w:r>
      <w:r w:rsidR="001B1736" w:rsidRPr="2D0D95AE">
        <w:rPr>
          <w:rFonts w:ascii="Georgia" w:hAnsi="Georgia"/>
          <w:sz w:val="20"/>
          <w:szCs w:val="20"/>
          <w:lang w:val="en-US"/>
        </w:rPr>
        <w:t>.”</w:t>
      </w:r>
      <w:r w:rsidRPr="2D0D95AE">
        <w:rPr>
          <w:rStyle w:val="FootnoteReference"/>
          <w:rFonts w:ascii="Georgia" w:hAnsi="Georgia"/>
          <w:sz w:val="20"/>
          <w:szCs w:val="20"/>
          <w:lang w:val="en-US"/>
        </w:rPr>
        <w:footnoteReference w:id="487"/>
      </w:r>
    </w:p>
    <w:p w14:paraId="0CFE652B" w14:textId="77777777" w:rsidR="00305C83" w:rsidRPr="0064412F" w:rsidRDefault="00DB52E1" w:rsidP="00C140A8">
      <w:pPr>
        <w:spacing w:afterLines="80" w:after="192" w:line="360" w:lineRule="auto"/>
        <w:jc w:val="both"/>
        <w:rPr>
          <w:rFonts w:ascii="Georgia" w:hAnsi="Georgia"/>
          <w:sz w:val="22"/>
          <w:szCs w:val="22"/>
          <w:lang w:val="nl-NL"/>
        </w:rPr>
      </w:pPr>
      <w:r w:rsidRPr="0064412F">
        <w:rPr>
          <w:rFonts w:ascii="Georgia" w:hAnsi="Georgia"/>
          <w:sz w:val="22"/>
          <w:szCs w:val="22"/>
          <w:lang w:val="nl-NL"/>
        </w:rPr>
        <w:t xml:space="preserve"> Een anonieme memorie van datzelfde jaar vult dit beeld aan: </w:t>
      </w:r>
    </w:p>
    <w:p w14:paraId="16C0B622" w14:textId="2A8EAF33" w:rsidR="0026374E" w:rsidRPr="00305C83" w:rsidRDefault="00DB52E1" w:rsidP="00305C83">
      <w:pPr>
        <w:spacing w:afterLines="80" w:after="192" w:line="360" w:lineRule="auto"/>
        <w:ind w:left="426"/>
        <w:jc w:val="both"/>
        <w:rPr>
          <w:rFonts w:ascii="Georgia" w:hAnsi="Georgia"/>
          <w:sz w:val="20"/>
          <w:szCs w:val="20"/>
        </w:rPr>
      </w:pPr>
      <w:r w:rsidRPr="00305C83">
        <w:rPr>
          <w:rFonts w:ascii="Georgia" w:hAnsi="Georgia"/>
          <w:i/>
          <w:iCs/>
          <w:sz w:val="20"/>
          <w:szCs w:val="20"/>
          <w:lang w:val="fr-BE"/>
        </w:rPr>
        <w:t xml:space="preserve">Premiers, que en </w:t>
      </w:r>
      <w:proofErr w:type="spellStart"/>
      <w:r w:rsidRPr="00305C83">
        <w:rPr>
          <w:rFonts w:ascii="Georgia" w:hAnsi="Georgia"/>
          <w:i/>
          <w:iCs/>
          <w:sz w:val="20"/>
          <w:szCs w:val="20"/>
          <w:lang w:val="fr-BE"/>
        </w:rPr>
        <w:t>l'ostel</w:t>
      </w:r>
      <w:proofErr w:type="spellEnd"/>
      <w:r w:rsidRPr="00305C83">
        <w:rPr>
          <w:rFonts w:ascii="Georgia" w:hAnsi="Georgia"/>
          <w:i/>
          <w:iCs/>
          <w:sz w:val="20"/>
          <w:szCs w:val="20"/>
          <w:lang w:val="fr-BE"/>
        </w:rPr>
        <w:t xml:space="preserve"> de ma dame (Johanna) aucune chose ne se fait, </w:t>
      </w:r>
      <w:proofErr w:type="spellStart"/>
      <w:r w:rsidRPr="00305C83">
        <w:rPr>
          <w:rFonts w:ascii="Georgia" w:hAnsi="Georgia"/>
          <w:i/>
          <w:iCs/>
          <w:sz w:val="20"/>
          <w:szCs w:val="20"/>
          <w:lang w:val="fr-BE"/>
        </w:rPr>
        <w:t>se</w:t>
      </w:r>
      <w:proofErr w:type="spellEnd"/>
      <w:r w:rsidRPr="00305C83">
        <w:rPr>
          <w:rFonts w:ascii="Georgia" w:hAnsi="Georgia"/>
          <w:i/>
          <w:iCs/>
          <w:sz w:val="20"/>
          <w:szCs w:val="20"/>
          <w:lang w:val="fr-BE"/>
        </w:rPr>
        <w:t xml:space="preserve"> ce n'est par deux femmes qui portent le </w:t>
      </w:r>
      <w:proofErr w:type="spellStart"/>
      <w:r w:rsidRPr="00305C83">
        <w:rPr>
          <w:rFonts w:ascii="Georgia" w:hAnsi="Georgia"/>
          <w:i/>
          <w:iCs/>
          <w:sz w:val="20"/>
          <w:szCs w:val="20"/>
          <w:lang w:val="fr-BE"/>
        </w:rPr>
        <w:t>seel</w:t>
      </w:r>
      <w:proofErr w:type="spellEnd"/>
      <w:r w:rsidRPr="00305C83">
        <w:rPr>
          <w:rFonts w:ascii="Georgia" w:hAnsi="Georgia"/>
          <w:i/>
          <w:iCs/>
          <w:sz w:val="20"/>
          <w:szCs w:val="20"/>
          <w:lang w:val="fr-BE"/>
        </w:rPr>
        <w:t xml:space="preserve">, et que nulle chose qui soit </w:t>
      </w:r>
      <w:proofErr w:type="spellStart"/>
      <w:r w:rsidRPr="00305C83">
        <w:rPr>
          <w:rFonts w:ascii="Georgia" w:hAnsi="Georgia"/>
          <w:i/>
          <w:iCs/>
          <w:sz w:val="20"/>
          <w:szCs w:val="20"/>
          <w:lang w:val="fr-BE"/>
        </w:rPr>
        <w:t>a</w:t>
      </w:r>
      <w:proofErr w:type="spellEnd"/>
      <w:r w:rsidRPr="00305C83">
        <w:rPr>
          <w:rFonts w:ascii="Georgia" w:hAnsi="Georgia"/>
          <w:i/>
          <w:iCs/>
          <w:sz w:val="20"/>
          <w:szCs w:val="20"/>
          <w:lang w:val="fr-BE"/>
        </w:rPr>
        <w:t xml:space="preserve"> faire ne </w:t>
      </w:r>
      <w:proofErr w:type="spellStart"/>
      <w:r w:rsidRPr="00305C83">
        <w:rPr>
          <w:rFonts w:ascii="Georgia" w:hAnsi="Georgia"/>
          <w:i/>
          <w:iCs/>
          <w:sz w:val="20"/>
          <w:szCs w:val="20"/>
          <w:lang w:val="fr-BE"/>
        </w:rPr>
        <w:t>expedier</w:t>
      </w:r>
      <w:proofErr w:type="spellEnd"/>
      <w:r w:rsidRPr="00305C83">
        <w:rPr>
          <w:rFonts w:ascii="Georgia" w:hAnsi="Georgia"/>
          <w:i/>
          <w:iCs/>
          <w:sz w:val="20"/>
          <w:szCs w:val="20"/>
          <w:lang w:val="fr-BE"/>
        </w:rPr>
        <w:t xml:space="preserve"> ou pays n'est </w:t>
      </w:r>
      <w:proofErr w:type="spellStart"/>
      <w:r w:rsidRPr="00305C83">
        <w:rPr>
          <w:rFonts w:ascii="Georgia" w:hAnsi="Georgia"/>
          <w:i/>
          <w:iCs/>
          <w:sz w:val="20"/>
          <w:szCs w:val="20"/>
          <w:lang w:val="fr-BE"/>
        </w:rPr>
        <w:t>faicte</w:t>
      </w:r>
      <w:proofErr w:type="spellEnd"/>
      <w:r w:rsidRPr="00305C83">
        <w:rPr>
          <w:rFonts w:ascii="Georgia" w:hAnsi="Georgia"/>
          <w:i/>
          <w:iCs/>
          <w:sz w:val="20"/>
          <w:szCs w:val="20"/>
          <w:lang w:val="fr-BE"/>
        </w:rPr>
        <w:t xml:space="preserve">, se ce n'est par le </w:t>
      </w:r>
      <w:proofErr w:type="spellStart"/>
      <w:r w:rsidRPr="00305C83">
        <w:rPr>
          <w:rFonts w:ascii="Georgia" w:hAnsi="Georgia"/>
          <w:i/>
          <w:iCs/>
          <w:sz w:val="20"/>
          <w:szCs w:val="20"/>
          <w:lang w:val="fr-BE"/>
        </w:rPr>
        <w:t>moien</w:t>
      </w:r>
      <w:proofErr w:type="spellEnd"/>
      <w:r w:rsidRPr="00305C83">
        <w:rPr>
          <w:rFonts w:ascii="Georgia" w:hAnsi="Georgia"/>
          <w:i/>
          <w:iCs/>
          <w:sz w:val="20"/>
          <w:szCs w:val="20"/>
          <w:lang w:val="fr-BE"/>
        </w:rPr>
        <w:t xml:space="preserve"> de ces.</w:t>
      </w:r>
      <w:r w:rsidRPr="00305C83">
        <w:rPr>
          <w:rStyle w:val="FootnoteReference"/>
          <w:rFonts w:ascii="Georgia" w:hAnsi="Georgia"/>
          <w:sz w:val="20"/>
          <w:szCs w:val="20"/>
          <w:lang w:val="nl-NL"/>
        </w:rPr>
        <w:footnoteReference w:id="488"/>
      </w:r>
      <w:r w:rsidRPr="00305C83">
        <w:rPr>
          <w:rFonts w:ascii="Georgia" w:hAnsi="Georgia"/>
          <w:sz w:val="20"/>
          <w:szCs w:val="20"/>
          <w:lang w:val="fr-BE"/>
        </w:rPr>
        <w:t xml:space="preserve">  </w:t>
      </w:r>
    </w:p>
    <w:p w14:paraId="60806E89" w14:textId="18FD5A28" w:rsidR="00622942" w:rsidRPr="00305C83" w:rsidRDefault="00AA4792" w:rsidP="2D0D95AE">
      <w:pPr>
        <w:spacing w:afterLines="80" w:after="192" w:line="360" w:lineRule="auto"/>
        <w:jc w:val="both"/>
        <w:rPr>
          <w:rFonts w:ascii="Georgia" w:hAnsi="Georgia"/>
          <w:sz w:val="22"/>
          <w:szCs w:val="22"/>
          <w:lang w:val="en-US"/>
        </w:rPr>
      </w:pPr>
      <w:r w:rsidRPr="2D0D95AE">
        <w:rPr>
          <w:rFonts w:ascii="Georgia" w:hAnsi="Georgia"/>
          <w:sz w:val="22"/>
          <w:szCs w:val="22"/>
          <w:lang w:val="en-US"/>
        </w:rPr>
        <w:t xml:space="preserve">Deze scriptie heeft aangetoond dat dergelijke beweringen onderworpen moeten worden aan een brede analyse van uiteenlopende brontypen, vooraleer vast te stellen in welke mate dat bestuur werkelijk </w:t>
      </w:r>
      <w:r w:rsidR="00305C83" w:rsidRPr="2D0D95AE">
        <w:rPr>
          <w:rFonts w:ascii="Georgia" w:hAnsi="Georgia"/>
          <w:sz w:val="22"/>
          <w:szCs w:val="22"/>
          <w:lang w:val="en-US"/>
        </w:rPr>
        <w:t>‘</w:t>
      </w:r>
      <w:r w:rsidRPr="2D0D95AE">
        <w:rPr>
          <w:rFonts w:ascii="Georgia" w:hAnsi="Georgia"/>
          <w:sz w:val="22"/>
          <w:szCs w:val="22"/>
          <w:lang w:val="en-US"/>
        </w:rPr>
        <w:t>zwak</w:t>
      </w:r>
      <w:r w:rsidR="00305C83" w:rsidRPr="2D0D95AE">
        <w:rPr>
          <w:rFonts w:ascii="Georgia" w:hAnsi="Georgia"/>
          <w:sz w:val="22"/>
          <w:szCs w:val="22"/>
          <w:lang w:val="en-US"/>
        </w:rPr>
        <w:t xml:space="preserve">’ </w:t>
      </w:r>
      <w:r w:rsidRPr="2D0D95AE">
        <w:rPr>
          <w:rFonts w:ascii="Georgia" w:hAnsi="Georgia"/>
          <w:sz w:val="22"/>
          <w:szCs w:val="22"/>
          <w:lang w:val="en-US"/>
        </w:rPr>
        <w:t>was. Meer nog, de studie van de voorafgaande periode suggereert dat dit niet het geval was. Dit onderzoek hoopt daarom een methodologische impuls te geven aan het onderzoek naar vorstinnen, die ook voor Johanna's weduweperiode zal moeten gelden</w:t>
      </w:r>
      <w:r w:rsidR="00756CEF" w:rsidRPr="2D0D95AE">
        <w:rPr>
          <w:rFonts w:ascii="Georgia" w:hAnsi="Georgia"/>
          <w:sz w:val="22"/>
          <w:szCs w:val="22"/>
          <w:lang w:val="en-US"/>
        </w:rPr>
        <w:t xml:space="preserve">, en </w:t>
      </w:r>
      <w:r w:rsidR="00756CEF" w:rsidRPr="2D0D95AE">
        <w:rPr>
          <w:rFonts w:ascii="Georgia" w:hAnsi="Georgia"/>
          <w:sz w:val="22"/>
          <w:szCs w:val="22"/>
          <w:lang w:val="en-US"/>
        </w:rPr>
        <w:lastRenderedPageBreak/>
        <w:t xml:space="preserve">bij uitbreiding voor een studie van haar volledige regeerperiode (1356-1406). </w:t>
      </w:r>
      <w:r w:rsidRPr="2D0D95AE">
        <w:rPr>
          <w:rFonts w:ascii="Georgia" w:hAnsi="Georgia"/>
          <w:sz w:val="22"/>
          <w:szCs w:val="22"/>
          <w:lang w:val="en-US"/>
        </w:rPr>
        <w:t xml:space="preserve"> Een beeld van vorstinnen opbouwen uit kronieken en verhalende bronnen zoals diplomatieke brieven blijft onbetrouwbaar zolang interne administratieve documenten, zoals rekeningen, oorkonden en andere bestuursdocumenten, buiten beeld blijven. </w:t>
      </w:r>
      <w:r w:rsidR="0033284E" w:rsidRPr="2D0D95AE">
        <w:rPr>
          <w:rFonts w:ascii="Georgia" w:hAnsi="Georgia"/>
          <w:sz w:val="22"/>
          <w:szCs w:val="22"/>
          <w:lang w:val="en-US"/>
        </w:rPr>
        <w:t>Juist die interne bronnen geven inzicht in het dagelijkse functioneren van het bestuur, veel meer dan de eenzijdige blik van buitenstaanders, zoals die uit de brieven van Filips de Stoute en zijn gezanten</w:t>
      </w:r>
      <w:r w:rsidR="00756CEF" w:rsidRPr="2D0D95AE">
        <w:rPr>
          <w:rFonts w:ascii="Georgia" w:hAnsi="Georgia"/>
          <w:sz w:val="22"/>
          <w:szCs w:val="22"/>
          <w:lang w:val="en-US"/>
        </w:rPr>
        <w:t xml:space="preserve">. </w:t>
      </w:r>
      <w:r w:rsidR="00BE66E1" w:rsidRPr="2D0D95AE">
        <w:rPr>
          <w:rFonts w:ascii="Georgia" w:hAnsi="Georgia"/>
          <w:sz w:val="22"/>
          <w:szCs w:val="22"/>
          <w:lang w:val="en-US"/>
        </w:rPr>
        <w:t xml:space="preserve">Dat betekent niet dat narratieve bronnen waardeloos zijn. Integendeel, beeldvorming is een cruciaal gegeven in het onderzoek naar een vorstin van Johanna's niveau. Een waardevol vertrekpunt biedt de studie van Camille Rutsaert, die op basis van de kronieken nagaat hoe affectie en liefde in Johanna's leven gestalte </w:t>
      </w:r>
      <w:r w:rsidR="0086614C" w:rsidRPr="2D0D95AE">
        <w:rPr>
          <w:rFonts w:ascii="Georgia" w:hAnsi="Georgia"/>
          <w:sz w:val="22"/>
          <w:szCs w:val="22"/>
          <w:lang w:val="en-US"/>
        </w:rPr>
        <w:t>kreeg</w:t>
      </w:r>
      <w:r w:rsidR="00BE66E1" w:rsidRPr="2D0D95AE">
        <w:rPr>
          <w:rFonts w:ascii="Georgia" w:hAnsi="Georgia"/>
          <w:sz w:val="22"/>
          <w:szCs w:val="22"/>
          <w:lang w:val="en-US"/>
        </w:rPr>
        <w:t>, zowel in de relatie tot haar echtgenoot als in die tot haar volk.</w:t>
      </w:r>
      <w:r w:rsidR="0086614C" w:rsidRPr="2D0D95AE">
        <w:rPr>
          <w:rStyle w:val="FootnoteReference"/>
          <w:rFonts w:ascii="Georgia" w:hAnsi="Georgia"/>
          <w:sz w:val="22"/>
          <w:szCs w:val="22"/>
          <w:lang w:val="en-US"/>
        </w:rPr>
        <w:t xml:space="preserve"> </w:t>
      </w:r>
      <w:r w:rsidRPr="2D0D95AE">
        <w:rPr>
          <w:rStyle w:val="FootnoteReference"/>
          <w:rFonts w:ascii="Georgia" w:hAnsi="Georgia"/>
          <w:sz w:val="22"/>
          <w:szCs w:val="22"/>
          <w:lang w:val="en-US"/>
        </w:rPr>
        <w:footnoteReference w:id="489"/>
      </w:r>
      <w:r w:rsidR="0086614C" w:rsidRPr="2D0D95AE">
        <w:rPr>
          <w:rFonts w:ascii="Georgia" w:hAnsi="Georgia"/>
          <w:sz w:val="22"/>
          <w:szCs w:val="22"/>
          <w:lang w:val="en-US"/>
        </w:rPr>
        <w:t xml:space="preserve"> </w:t>
      </w:r>
      <w:r w:rsidR="00A6734E" w:rsidRPr="2D0D95AE">
        <w:rPr>
          <w:rFonts w:ascii="Georgia" w:hAnsi="Georgia"/>
          <w:sz w:val="22"/>
          <w:szCs w:val="22"/>
          <w:lang w:val="en-US"/>
        </w:rPr>
        <w:t>Dergelijke bronnen kunnen rijke aanvullingen geven, op voorwaarde dat men ze in combinatie met de rekeningen en oorkonden leest</w:t>
      </w:r>
      <w:r w:rsidR="0086614C" w:rsidRPr="2D0D95AE">
        <w:rPr>
          <w:rFonts w:ascii="Georgia" w:hAnsi="Georgia"/>
          <w:sz w:val="22"/>
          <w:szCs w:val="22"/>
          <w:lang w:val="en-US"/>
        </w:rPr>
        <w:t>. Daarnaast openen ook materiële bronnen nieuwe pistes om vrouwelijke macht te onderzoeken. Lucie Jardots studie van vorstinnenzegels als instrumenten van beleid, voor Vlaamse en Henegouwse casussen, is een eerste stap.</w:t>
      </w:r>
      <w:r w:rsidR="0086614C" w:rsidRPr="2D0D95AE">
        <w:rPr>
          <w:rStyle w:val="FootnoteReference"/>
          <w:rFonts w:ascii="Georgia" w:hAnsi="Georgia"/>
          <w:sz w:val="22"/>
          <w:szCs w:val="22"/>
          <w:lang w:val="en-US"/>
        </w:rPr>
        <w:t xml:space="preserve"> </w:t>
      </w:r>
      <w:r w:rsidRPr="2D0D95AE">
        <w:rPr>
          <w:rStyle w:val="FootnoteReference"/>
          <w:rFonts w:ascii="Georgia" w:hAnsi="Georgia"/>
          <w:sz w:val="22"/>
          <w:szCs w:val="22"/>
          <w:lang w:val="en-US"/>
        </w:rPr>
        <w:footnoteReference w:id="490"/>
      </w:r>
      <w:r w:rsidR="0086614C" w:rsidRPr="2D0D95AE">
        <w:rPr>
          <w:rFonts w:ascii="Georgia" w:hAnsi="Georgia"/>
          <w:sz w:val="22"/>
          <w:szCs w:val="22"/>
          <w:lang w:val="en-US"/>
        </w:rPr>
        <w:t xml:space="preserve"> Johanna's eigen zegels, waarvan verschillende exemplaren bewaard zijn, onder meer in het Rijksarchief te Leuven, wachten eveneens op verder onderzoek.</w:t>
      </w:r>
    </w:p>
    <w:p w14:paraId="133559A6" w14:textId="51656516" w:rsidR="00617831" w:rsidRDefault="001279EA" w:rsidP="00C140A8">
      <w:pPr>
        <w:spacing w:afterLines="80" w:after="192" w:line="360" w:lineRule="auto"/>
        <w:jc w:val="both"/>
        <w:rPr>
          <w:rFonts w:ascii="Georgia" w:hAnsi="Georgia"/>
          <w:sz w:val="22"/>
          <w:szCs w:val="22"/>
        </w:rPr>
      </w:pPr>
      <w:r w:rsidRPr="00C140A8">
        <w:rPr>
          <w:rFonts w:ascii="Georgia" w:hAnsi="Georgia"/>
          <w:sz w:val="22"/>
          <w:szCs w:val="22"/>
        </w:rPr>
        <w:t xml:space="preserve">Een derde suggestie heeft betrekking op Johanna’s positie in de Lage Landen. </w:t>
      </w:r>
      <w:r w:rsidRPr="00C140A8">
        <w:rPr>
          <w:rFonts w:ascii="Georgia" w:hAnsi="Georgia"/>
          <w:sz w:val="22"/>
          <w:szCs w:val="22"/>
          <w:lang w:val="nl-NL"/>
        </w:rPr>
        <w:t xml:space="preserve">Zoals het huidige </w:t>
      </w:r>
      <w:proofErr w:type="spellStart"/>
      <w:r w:rsidRPr="00C140A8">
        <w:rPr>
          <w:rFonts w:ascii="Georgia" w:hAnsi="Georgia"/>
          <w:i/>
          <w:iCs/>
          <w:sz w:val="22"/>
          <w:szCs w:val="22"/>
          <w:lang w:val="nl-NL"/>
        </w:rPr>
        <w:t>Queenship</w:t>
      </w:r>
      <w:proofErr w:type="spellEnd"/>
      <w:r w:rsidRPr="00C140A8">
        <w:rPr>
          <w:rFonts w:ascii="Georgia" w:hAnsi="Georgia"/>
          <w:sz w:val="22"/>
          <w:szCs w:val="22"/>
          <w:lang w:val="nl-NL"/>
        </w:rPr>
        <w:t xml:space="preserve">-onderzoek stelt, </w:t>
      </w:r>
      <w:r w:rsidR="00025E5D">
        <w:rPr>
          <w:rFonts w:ascii="Georgia" w:hAnsi="Georgia"/>
          <w:sz w:val="22"/>
          <w:szCs w:val="22"/>
          <w:lang w:val="nl-NL"/>
        </w:rPr>
        <w:t>mag</w:t>
      </w:r>
      <w:r w:rsidR="00733C0B">
        <w:rPr>
          <w:rFonts w:ascii="Georgia" w:hAnsi="Georgia"/>
          <w:sz w:val="22"/>
          <w:szCs w:val="22"/>
          <w:lang w:val="nl-NL"/>
        </w:rPr>
        <w:t xml:space="preserve"> </w:t>
      </w:r>
      <w:r w:rsidR="00025E5D">
        <w:rPr>
          <w:rFonts w:ascii="Georgia" w:hAnsi="Georgia"/>
          <w:sz w:val="22"/>
          <w:szCs w:val="22"/>
          <w:lang w:val="nl-NL"/>
        </w:rPr>
        <w:t>men</w:t>
      </w:r>
      <w:r w:rsidR="00733C0B">
        <w:rPr>
          <w:rFonts w:ascii="Georgia" w:hAnsi="Georgia"/>
          <w:sz w:val="22"/>
          <w:szCs w:val="22"/>
          <w:lang w:val="nl-NL"/>
        </w:rPr>
        <w:t xml:space="preserve"> </w:t>
      </w:r>
      <w:r w:rsidRPr="00C140A8">
        <w:rPr>
          <w:rFonts w:ascii="Georgia" w:hAnsi="Georgia"/>
          <w:sz w:val="22"/>
          <w:szCs w:val="22"/>
          <w:lang w:val="nl-NL"/>
        </w:rPr>
        <w:t xml:space="preserve">Johanna niet zomaar als een uitzondering </w:t>
      </w:r>
      <w:r w:rsidR="00733C0B">
        <w:rPr>
          <w:rFonts w:ascii="Georgia" w:hAnsi="Georgia"/>
          <w:sz w:val="22"/>
          <w:szCs w:val="22"/>
          <w:lang w:val="nl-NL"/>
        </w:rPr>
        <w:t>of</w:t>
      </w:r>
      <w:r w:rsidRPr="00C140A8">
        <w:rPr>
          <w:rFonts w:ascii="Georgia" w:hAnsi="Georgia"/>
          <w:sz w:val="22"/>
          <w:szCs w:val="22"/>
          <w:lang w:val="nl-NL"/>
        </w:rPr>
        <w:t xml:space="preserve"> als een alleenstaande casus benad</w:t>
      </w:r>
      <w:r w:rsidR="00733C0B">
        <w:rPr>
          <w:rFonts w:ascii="Georgia" w:hAnsi="Georgia"/>
          <w:sz w:val="22"/>
          <w:szCs w:val="22"/>
          <w:lang w:val="nl-NL"/>
        </w:rPr>
        <w:t>eren</w:t>
      </w:r>
      <w:r w:rsidRPr="00C140A8">
        <w:rPr>
          <w:rFonts w:ascii="Georgia" w:hAnsi="Georgia"/>
          <w:sz w:val="22"/>
          <w:szCs w:val="22"/>
          <w:lang w:val="nl-NL"/>
        </w:rPr>
        <w:t xml:space="preserve">. </w:t>
      </w:r>
      <w:r w:rsidRPr="00C140A8">
        <w:rPr>
          <w:rFonts w:ascii="Georgia" w:hAnsi="Georgia"/>
          <w:sz w:val="22"/>
          <w:szCs w:val="22"/>
        </w:rPr>
        <w:t xml:space="preserve">De Lage Landen kenden in de hoge en late middeleeuwen meerdere vrouwen die in eigen naam politieke macht uitoefenden. Johanna en Margaretha van Constantinopel in het dertiende-eeuwse Vlaanderen, Margaretha van Male die Vlaanderen erfde maar het na de dood van haar vader feitelijk in handen van Filips de Stoute en het Bourgondische huis zag overgaan, Margaretha van Bourgondië en haar dochter Jacoba van Beieren die Jacobas erfaanspraken op Henegouwen, Holland en Zeeland strijdvaardig verdedigde tegen haar oom Jan van Beieren en later Filips de Goede, </w:t>
      </w:r>
      <w:r w:rsidRPr="00617831">
        <w:rPr>
          <w:rFonts w:ascii="Georgia" w:hAnsi="Georgia"/>
          <w:sz w:val="22"/>
          <w:szCs w:val="22"/>
        </w:rPr>
        <w:t>enz.</w:t>
      </w:r>
      <w:r w:rsidR="00F31934" w:rsidRPr="00617831">
        <w:rPr>
          <w:rFonts w:ascii="Georgia" w:hAnsi="Georgia"/>
          <w:sz w:val="22"/>
          <w:szCs w:val="22"/>
        </w:rPr>
        <w:t xml:space="preserve"> </w:t>
      </w:r>
      <w:r w:rsidR="00617831" w:rsidRPr="00617831">
        <w:rPr>
          <w:rFonts w:ascii="Georgia" w:hAnsi="Georgia"/>
          <w:sz w:val="22"/>
          <w:szCs w:val="22"/>
        </w:rPr>
        <w:t>Het onderzoek naar middeleeuwse vorstinnen heeft keer op keer aangetoond dat zij meer in hun mars hadden dan de oudere historiografie hen toeschr</w:t>
      </w:r>
      <w:r w:rsidR="007E7D3C">
        <w:rPr>
          <w:rFonts w:ascii="Georgia" w:hAnsi="Georgia"/>
          <w:sz w:val="22"/>
          <w:szCs w:val="22"/>
        </w:rPr>
        <w:t>e</w:t>
      </w:r>
      <w:r w:rsidR="00617831" w:rsidRPr="00617831">
        <w:rPr>
          <w:rFonts w:ascii="Georgia" w:hAnsi="Georgia"/>
          <w:sz w:val="22"/>
          <w:szCs w:val="22"/>
        </w:rPr>
        <w:t>e</w:t>
      </w:r>
      <w:r w:rsidR="007E7D3C">
        <w:rPr>
          <w:rFonts w:ascii="Georgia" w:hAnsi="Georgia"/>
          <w:sz w:val="22"/>
          <w:szCs w:val="22"/>
        </w:rPr>
        <w:t>f</w:t>
      </w:r>
      <w:r w:rsidR="00617831" w:rsidRPr="00617831">
        <w:rPr>
          <w:rFonts w:ascii="Georgia" w:hAnsi="Georgia"/>
          <w:sz w:val="22"/>
          <w:szCs w:val="22"/>
        </w:rPr>
        <w:t>. Dit zijn stuk voor stuk vrouwen met macht, maar dat gegeven mag geen eindpunt van het onderzoek zijn. Het moet juist als beginpunt dienen voor verdere analyse. De algemene historiografie over vorstenparen is op basis van deze bevindingen aan herziening toe</w:t>
      </w:r>
      <w:r w:rsidR="00617831">
        <w:rPr>
          <w:rFonts w:ascii="Georgia" w:hAnsi="Georgia"/>
          <w:i/>
          <w:iCs/>
          <w:sz w:val="22"/>
          <w:szCs w:val="22"/>
        </w:rPr>
        <w:t>.</w:t>
      </w:r>
      <w:r w:rsidR="00617831">
        <w:rPr>
          <w:rStyle w:val="FootnoteReference"/>
          <w:rFonts w:ascii="Georgia" w:hAnsi="Georgia"/>
          <w:i/>
          <w:iCs/>
          <w:sz w:val="22"/>
          <w:szCs w:val="22"/>
        </w:rPr>
        <w:footnoteReference w:id="491"/>
      </w:r>
    </w:p>
    <w:p w14:paraId="1E11D3E9" w14:textId="6F0444EE" w:rsidR="001279EA" w:rsidRPr="00C140A8" w:rsidRDefault="001279EA" w:rsidP="2D0D95AE">
      <w:pPr>
        <w:spacing w:afterLines="80" w:after="192" w:line="360" w:lineRule="auto"/>
        <w:jc w:val="both"/>
        <w:rPr>
          <w:rFonts w:ascii="Georgia" w:hAnsi="Georgia"/>
          <w:sz w:val="22"/>
          <w:szCs w:val="22"/>
          <w:lang w:val="en-US"/>
        </w:rPr>
      </w:pPr>
      <w:r w:rsidRPr="2D0D95AE">
        <w:rPr>
          <w:rFonts w:ascii="Georgia" w:hAnsi="Georgia"/>
          <w:sz w:val="22"/>
          <w:szCs w:val="22"/>
          <w:lang w:val="en-US"/>
        </w:rPr>
        <w:t>Ter illustratie biedt de casus van Maria van Bourgondië een interessante grond voor vergelijking.  Ze was erfdochter van een machtige dynastie, trouwde met een impopulaire buitenlandse echtgenoot en trof een Bourgondisch rijk aan in chaos.</w:t>
      </w:r>
      <w:r w:rsidRPr="2D0D95AE">
        <w:rPr>
          <w:rStyle w:val="FootnoteReference"/>
          <w:rFonts w:ascii="Georgia" w:hAnsi="Georgia"/>
          <w:sz w:val="22"/>
          <w:szCs w:val="22"/>
          <w:lang w:val="en-US"/>
        </w:rPr>
        <w:footnoteReference w:id="492"/>
      </w:r>
      <w:r w:rsidRPr="2D0D95AE">
        <w:rPr>
          <w:rFonts w:ascii="Georgia" w:hAnsi="Georgia"/>
          <w:sz w:val="22"/>
          <w:szCs w:val="22"/>
          <w:lang w:val="en-US"/>
        </w:rPr>
        <w:t xml:space="preserve"> Ook zij is lange tijd </w:t>
      </w:r>
      <w:r w:rsidRPr="2D0D95AE">
        <w:rPr>
          <w:rFonts w:ascii="Georgia" w:hAnsi="Georgia"/>
          <w:sz w:val="22"/>
          <w:szCs w:val="22"/>
          <w:lang w:val="en-US"/>
        </w:rPr>
        <w:lastRenderedPageBreak/>
        <w:t xml:space="preserve">voorgesteld als een </w:t>
      </w:r>
      <w:r w:rsidR="006566E6" w:rsidRPr="2D0D95AE">
        <w:rPr>
          <w:rFonts w:ascii="Georgia" w:hAnsi="Georgia"/>
          <w:sz w:val="22"/>
          <w:szCs w:val="22"/>
          <w:lang w:val="en-US"/>
        </w:rPr>
        <w:t>passief</w:t>
      </w:r>
      <w:r w:rsidRPr="2D0D95AE">
        <w:rPr>
          <w:rFonts w:ascii="Georgia" w:hAnsi="Georgia"/>
          <w:sz w:val="22"/>
          <w:szCs w:val="22"/>
          <w:lang w:val="en-US"/>
        </w:rPr>
        <w:t xml:space="preserve"> figuur, de </w:t>
      </w:r>
      <w:r w:rsidR="00025E5D" w:rsidRPr="2D0D95AE">
        <w:rPr>
          <w:rFonts w:ascii="Georgia" w:hAnsi="Georgia"/>
          <w:sz w:val="22"/>
          <w:szCs w:val="22"/>
          <w:lang w:val="en-US"/>
        </w:rPr>
        <w:t>‘</w:t>
      </w:r>
      <w:r w:rsidRPr="2D0D95AE">
        <w:rPr>
          <w:rFonts w:ascii="Georgia" w:hAnsi="Georgia"/>
          <w:i/>
          <w:iCs/>
          <w:sz w:val="22"/>
          <w:szCs w:val="22"/>
          <w:lang w:val="en-US"/>
        </w:rPr>
        <w:t>damsel in distress</w:t>
      </w:r>
      <w:r w:rsidR="00025E5D" w:rsidRPr="2D0D95AE">
        <w:rPr>
          <w:rFonts w:ascii="Georgia" w:hAnsi="Georgia"/>
          <w:sz w:val="22"/>
          <w:szCs w:val="22"/>
          <w:lang w:val="en-US"/>
        </w:rPr>
        <w:t>’</w:t>
      </w:r>
      <w:r w:rsidRPr="2D0D95AE">
        <w:rPr>
          <w:rFonts w:ascii="Georgia" w:hAnsi="Georgia"/>
          <w:i/>
          <w:iCs/>
          <w:sz w:val="22"/>
          <w:szCs w:val="22"/>
          <w:lang w:val="en-US"/>
        </w:rPr>
        <w:t xml:space="preserve"> </w:t>
      </w:r>
      <w:r w:rsidR="006566E6" w:rsidRPr="2D0D95AE">
        <w:rPr>
          <w:rFonts w:ascii="Georgia" w:hAnsi="Georgia"/>
          <w:sz w:val="22"/>
          <w:szCs w:val="22"/>
          <w:lang w:val="en-US"/>
        </w:rPr>
        <w:t>wiens echtgenoot, Maximilaan, haar moest redden</w:t>
      </w:r>
      <w:r w:rsidRPr="2D0D95AE">
        <w:rPr>
          <w:rFonts w:ascii="Georgia" w:hAnsi="Georgia"/>
          <w:sz w:val="22"/>
          <w:szCs w:val="22"/>
          <w:lang w:val="en-US"/>
        </w:rPr>
        <w:t>, terwijl de praktijkbronnen dit beeld sterk nuanceren.</w:t>
      </w:r>
      <w:r w:rsidRPr="2D0D95AE">
        <w:rPr>
          <w:rStyle w:val="FootnoteReference"/>
          <w:rFonts w:ascii="Georgia" w:hAnsi="Georgia"/>
          <w:sz w:val="22"/>
          <w:szCs w:val="22"/>
          <w:lang w:val="en-US"/>
        </w:rPr>
        <w:footnoteReference w:id="493"/>
      </w:r>
      <w:r w:rsidRPr="2D0D95AE">
        <w:rPr>
          <w:rFonts w:ascii="Georgia" w:hAnsi="Georgia"/>
          <w:sz w:val="22"/>
          <w:szCs w:val="22"/>
          <w:lang w:val="en-US"/>
        </w:rPr>
        <w:t xml:space="preserve"> Wat de vergelijking met Maria van Bourgondië aantoont en wat Janna Bianchini eerder ook illustreerde met een Spaans voorbeeld, is dat de betwisting van vrouwelijke macht zelden uitsluitend om geslacht draait. Kathleen Daly toont aan dat het genderargument in de Franse juridische propaganda rond 1477 eerder instrumenteel was.</w:t>
      </w:r>
      <w:r w:rsidRPr="2D0D95AE">
        <w:rPr>
          <w:rStyle w:val="FootnoteReference"/>
          <w:rFonts w:ascii="Georgia" w:hAnsi="Georgia"/>
          <w:sz w:val="22"/>
          <w:szCs w:val="22"/>
          <w:lang w:val="en-US"/>
        </w:rPr>
        <w:footnoteReference w:id="494"/>
      </w:r>
      <w:r w:rsidRPr="2D0D95AE">
        <w:rPr>
          <w:rFonts w:ascii="Georgia" w:hAnsi="Georgia"/>
          <w:sz w:val="22"/>
          <w:szCs w:val="22"/>
          <w:lang w:val="en-US"/>
        </w:rPr>
        <w:t xml:space="preserve"> </w:t>
      </w:r>
      <w:proofErr w:type="gramStart"/>
      <w:r w:rsidRPr="2D0D95AE">
        <w:rPr>
          <w:rFonts w:ascii="Georgia" w:hAnsi="Georgia"/>
          <w:sz w:val="22"/>
          <w:szCs w:val="22"/>
          <w:lang w:val="en-US"/>
        </w:rPr>
        <w:t>Voor  de</w:t>
      </w:r>
      <w:proofErr w:type="gramEnd"/>
      <w:r w:rsidRPr="2D0D95AE">
        <w:rPr>
          <w:rFonts w:ascii="Georgia" w:hAnsi="Georgia"/>
          <w:sz w:val="22"/>
          <w:szCs w:val="22"/>
          <w:lang w:val="en-US"/>
        </w:rPr>
        <w:t xml:space="preserve"> Franse koning Lodewijk XI was niet het erfrecht van vrouwen op zichzelf het kernprobleem, maar de bredere politieke dreiging die het Bourgondische huis al decennia voor de Franse kroon vormde.</w:t>
      </w:r>
      <w:r w:rsidRPr="2D0D95AE">
        <w:rPr>
          <w:rStyle w:val="FootnoteReference"/>
          <w:rFonts w:ascii="Georgia" w:hAnsi="Georgia"/>
          <w:sz w:val="22"/>
          <w:szCs w:val="22"/>
          <w:lang w:val="en-US"/>
        </w:rPr>
        <w:footnoteReference w:id="495"/>
      </w:r>
      <w:r w:rsidRPr="2D0D95AE">
        <w:rPr>
          <w:rFonts w:ascii="Georgia" w:hAnsi="Georgia"/>
          <w:sz w:val="22"/>
          <w:szCs w:val="22"/>
          <w:lang w:val="en-US"/>
        </w:rPr>
        <w:t xml:space="preserve"> Maria's geslacht bood slechts een juridisch aanknopingspunt in een conflict dat veel ouder was. Ook bij Johanna's betwisting ging het om meer dan haar geslacht,</w:t>
      </w:r>
      <w:r w:rsidR="00943D85" w:rsidRPr="2D0D95AE">
        <w:rPr>
          <w:rFonts w:ascii="Georgia" w:hAnsi="Georgia"/>
          <w:sz w:val="22"/>
          <w:szCs w:val="22"/>
          <w:lang w:val="en-US"/>
        </w:rPr>
        <w:t xml:space="preserve"> </w:t>
      </w:r>
      <w:r w:rsidRPr="2D0D95AE">
        <w:rPr>
          <w:rFonts w:ascii="Georgia" w:hAnsi="Georgia"/>
          <w:sz w:val="22"/>
          <w:szCs w:val="22"/>
          <w:lang w:val="en-US"/>
        </w:rPr>
        <w:t xml:space="preserve">vrouwelijke erfopvolging was in Brabant immers institutioneel verankerd, maar het conflict speelde zich af op het terrein van externe vorsten en van de drie standen, die elk hun eigen belangen verdedigden. </w:t>
      </w:r>
    </w:p>
    <w:p w14:paraId="2CFB4220" w14:textId="47BC8079" w:rsidR="001279EA" w:rsidRPr="00C140A8" w:rsidRDefault="001279EA" w:rsidP="2D0D95AE">
      <w:pPr>
        <w:spacing w:afterLines="80" w:after="192" w:line="360" w:lineRule="auto"/>
        <w:jc w:val="both"/>
        <w:rPr>
          <w:rFonts w:ascii="Georgia" w:hAnsi="Georgia"/>
          <w:sz w:val="22"/>
          <w:szCs w:val="22"/>
          <w:lang w:val="en-US"/>
        </w:rPr>
      </w:pPr>
      <w:r w:rsidRPr="2D0D95AE">
        <w:rPr>
          <w:rFonts w:ascii="Georgia" w:hAnsi="Georgia"/>
          <w:sz w:val="22"/>
          <w:szCs w:val="22"/>
          <w:lang w:val="en-US"/>
        </w:rPr>
        <w:t>Toch was Maria geenszins een passieve figuur. Ze was de grondslag van Maximiliaans macht en legitimiteit als regent, iets wat hij bij haar uitvaart zelf uitdrukkelijk onderstreepte door haar op gelijke hoogte te plaatsen met haar Bourgondische mannelijke voorgangers.</w:t>
      </w:r>
      <w:r w:rsidRPr="2D0D95AE">
        <w:rPr>
          <w:rStyle w:val="FootnoteReference"/>
          <w:rFonts w:ascii="Georgia" w:hAnsi="Georgia"/>
          <w:sz w:val="22"/>
          <w:szCs w:val="22"/>
          <w:lang w:val="en-US"/>
        </w:rPr>
        <w:footnoteReference w:id="496"/>
      </w:r>
      <w:r w:rsidRPr="2D0D95AE">
        <w:rPr>
          <w:rFonts w:ascii="Georgia" w:hAnsi="Georgia"/>
          <w:sz w:val="22"/>
          <w:szCs w:val="22"/>
          <w:lang w:val="en-US"/>
        </w:rPr>
        <w:t xml:space="preserve"> </w:t>
      </w:r>
      <w:r w:rsidR="00943D85" w:rsidRPr="2D0D95AE">
        <w:rPr>
          <w:rFonts w:ascii="Georgia" w:hAnsi="Georgia"/>
          <w:sz w:val="22"/>
          <w:szCs w:val="22"/>
          <w:lang w:val="en-US"/>
        </w:rPr>
        <w:t xml:space="preserve"> Tegelijk verschilt de historiografische uitdaging bij Maria wezenlijk van die bij Johanna. Bij Maria is het moeilijker om haar eigen invloed te </w:t>
      </w:r>
      <w:proofErr w:type="gramStart"/>
      <w:r w:rsidR="00943D85" w:rsidRPr="2D0D95AE">
        <w:rPr>
          <w:rFonts w:ascii="Georgia" w:hAnsi="Georgia"/>
          <w:sz w:val="22"/>
          <w:szCs w:val="22"/>
          <w:lang w:val="en-US"/>
        </w:rPr>
        <w:t>isoleren.</w:t>
      </w:r>
      <w:r w:rsidR="006F2892" w:rsidRPr="2D0D95AE">
        <w:rPr>
          <w:rFonts w:ascii="Georgia" w:hAnsi="Georgia"/>
          <w:sz w:val="22"/>
          <w:szCs w:val="22"/>
          <w:lang w:val="en-US"/>
        </w:rPr>
        <w:t>Vanaf</w:t>
      </w:r>
      <w:proofErr w:type="gramEnd"/>
      <w:r w:rsidR="006F2892" w:rsidRPr="2D0D95AE">
        <w:rPr>
          <w:rFonts w:ascii="Georgia" w:hAnsi="Georgia"/>
          <w:sz w:val="22"/>
          <w:szCs w:val="22"/>
          <w:lang w:val="en-US"/>
        </w:rPr>
        <w:t xml:space="preserve"> haar huwelijk hadden Maximiliaan en zijn entourage een stevige greep op de besluitvorming, waardoor de bronnen moeilijk toelaten te bepalen wie welk initiatief nam</w:t>
      </w:r>
      <w:r w:rsidR="00943D85" w:rsidRPr="2D0D95AE">
        <w:rPr>
          <w:rFonts w:ascii="Georgia" w:hAnsi="Georgia"/>
          <w:sz w:val="22"/>
          <w:szCs w:val="22"/>
          <w:lang w:val="en-US"/>
        </w:rPr>
        <w:t>.</w:t>
      </w:r>
      <w:r w:rsidRPr="2D0D95AE">
        <w:rPr>
          <w:rStyle w:val="FootnoteReference"/>
          <w:rFonts w:ascii="Georgia" w:hAnsi="Georgia"/>
          <w:sz w:val="22"/>
          <w:szCs w:val="22"/>
          <w:lang w:val="en-US"/>
        </w:rPr>
        <w:footnoteReference w:id="497"/>
      </w:r>
      <w:r w:rsidRPr="2D0D95AE">
        <w:rPr>
          <w:rFonts w:ascii="Georgia" w:hAnsi="Georgia"/>
          <w:sz w:val="22"/>
          <w:szCs w:val="22"/>
          <w:lang w:val="en-US"/>
        </w:rPr>
        <w:t xml:space="preserve"> Johanna daarentegen verschijnt in de hertogelijke rekeningen en oorkonden veel vaker als zelfstandige vorstin</w:t>
      </w:r>
      <w:r w:rsidR="006F2892" w:rsidRPr="2D0D95AE">
        <w:rPr>
          <w:rFonts w:ascii="Georgia" w:hAnsi="Georgia"/>
          <w:sz w:val="22"/>
          <w:szCs w:val="22"/>
          <w:lang w:val="en-US"/>
        </w:rPr>
        <w:t>. Z</w:t>
      </w:r>
      <w:r w:rsidRPr="2D0D95AE">
        <w:rPr>
          <w:rFonts w:ascii="Georgia" w:hAnsi="Georgia"/>
          <w:sz w:val="22"/>
          <w:szCs w:val="22"/>
          <w:lang w:val="en-US"/>
        </w:rPr>
        <w:t xml:space="preserve">ij geeft bevelen, beheert domeinen en treedt in eigen naam op als bemiddelaarster in conflicten. De vergelijking met Johanna kan op dit vlak evenwel interessante invalshoeken bieden. Wat bij Johanna helder leesbaar is in de praktijkbronnen, kan helpen om bij Maria de juiste vragen te stellen. Een vergelijking van beide </w:t>
      </w:r>
      <w:proofErr w:type="gramStart"/>
      <w:r w:rsidRPr="2D0D95AE">
        <w:rPr>
          <w:rFonts w:ascii="Georgia" w:hAnsi="Georgia"/>
          <w:sz w:val="22"/>
          <w:szCs w:val="22"/>
          <w:lang w:val="en-US"/>
        </w:rPr>
        <w:t>erfdochters,  niet</w:t>
      </w:r>
      <w:proofErr w:type="gramEnd"/>
      <w:r w:rsidRPr="2D0D95AE">
        <w:rPr>
          <w:rFonts w:ascii="Georgia" w:hAnsi="Georgia"/>
          <w:sz w:val="22"/>
          <w:szCs w:val="22"/>
          <w:lang w:val="en-US"/>
        </w:rPr>
        <w:t xml:space="preserve"> om hen als tegengestelden af te meten, maar om de structurele contexten te bestuderen die hun handelingsruimte bepaalden, zou een vruchtbare bijdrage leveren aan het </w:t>
      </w:r>
      <w:r w:rsidRPr="2D0D95AE">
        <w:rPr>
          <w:rFonts w:ascii="Georgia" w:hAnsi="Georgia"/>
          <w:i/>
          <w:iCs/>
          <w:sz w:val="22"/>
          <w:szCs w:val="22"/>
          <w:lang w:val="en-US"/>
        </w:rPr>
        <w:t>queenship</w:t>
      </w:r>
      <w:r w:rsidRPr="2D0D95AE">
        <w:rPr>
          <w:rFonts w:ascii="Georgia" w:hAnsi="Georgia"/>
          <w:sz w:val="22"/>
          <w:szCs w:val="22"/>
          <w:lang w:val="en-US"/>
        </w:rPr>
        <w:t>-onderzoek in de Lage Landen.</w:t>
      </w:r>
    </w:p>
    <w:p w14:paraId="3E248D1B" w14:textId="77777777" w:rsidR="001279EA" w:rsidRPr="00C140A8" w:rsidRDefault="001279EA" w:rsidP="00C140A8">
      <w:pPr>
        <w:spacing w:afterLines="80" w:after="192" w:line="360" w:lineRule="auto"/>
        <w:jc w:val="both"/>
        <w:rPr>
          <w:rFonts w:ascii="Georgia" w:hAnsi="Georgia"/>
          <w:sz w:val="22"/>
          <w:szCs w:val="22"/>
        </w:rPr>
      </w:pPr>
      <w:r w:rsidRPr="00C140A8">
        <w:rPr>
          <w:rFonts w:ascii="Georgia" w:hAnsi="Georgia"/>
          <w:sz w:val="22"/>
          <w:szCs w:val="22"/>
          <w:lang w:val="nl-NL"/>
        </w:rPr>
        <w:t>Uiteindelijk kan een bredere comparatieve studie, gericht op de bredere politieke en institutionele context van de Lage Landen, het beeld van het middeleeuwse bestuur verder bijstellen. Daarmee verlegt het perspectief zich naar het bestuur waarin vorstinnen opereerden. Verschillende historici hebben het beeld van de autoritaire mannelijke vorst inmiddels grondig genuanceerd door de geschiedschrijving van onderuit te benaderen.</w:t>
      </w:r>
      <w:r w:rsidRPr="00C140A8">
        <w:rPr>
          <w:rStyle w:val="FootnoteReference"/>
          <w:rFonts w:ascii="Georgia" w:hAnsi="Georgia"/>
          <w:sz w:val="22"/>
          <w:szCs w:val="22"/>
          <w:lang w:val="nl-NL"/>
        </w:rPr>
        <w:footnoteReference w:id="498"/>
      </w:r>
      <w:r w:rsidRPr="00C140A8">
        <w:rPr>
          <w:rFonts w:ascii="Georgia" w:hAnsi="Georgia"/>
          <w:sz w:val="22"/>
          <w:szCs w:val="22"/>
          <w:lang w:val="nl-NL"/>
        </w:rPr>
        <w:t xml:space="preserve"> Het </w:t>
      </w:r>
      <w:r w:rsidRPr="00C140A8">
        <w:rPr>
          <w:rFonts w:ascii="Georgia" w:hAnsi="Georgia"/>
          <w:sz w:val="22"/>
          <w:szCs w:val="22"/>
          <w:lang w:val="nl-NL"/>
        </w:rPr>
        <w:lastRenderedPageBreak/>
        <w:t>laatmiddeleeuwse bestuur kwam tot stand in voortdurend overleg of geschil met verschillende belangengroepen: de adel, de clerus, de steden, de ambachten, inwoners met of zonder burgerrechten, enz. Zij hadden elk een eigen invulling van wat het ‘gemeen goed’ precies was en zij zetten dat concept ideologisch in om hun eigen belangen te behartigen.</w:t>
      </w:r>
      <w:r w:rsidRPr="00C140A8">
        <w:rPr>
          <w:rStyle w:val="FootnoteReference"/>
          <w:rFonts w:ascii="Georgia" w:hAnsi="Georgia"/>
          <w:sz w:val="22"/>
          <w:szCs w:val="22"/>
          <w:lang w:val="nl-NL"/>
        </w:rPr>
        <w:footnoteReference w:id="499"/>
      </w:r>
      <w:r w:rsidRPr="00C140A8">
        <w:rPr>
          <w:rFonts w:ascii="Georgia" w:hAnsi="Georgia"/>
          <w:sz w:val="22"/>
          <w:szCs w:val="22"/>
          <w:lang w:val="nl-NL"/>
        </w:rPr>
        <w:t xml:space="preserve"> Dit perspectief is uiterst interessant, zeker als het ook rekening houdt met vrouwelijke belangengroepen en in eerste instantie met de vorstin zelf. Johanna's regeerperiode toont aan dat zij geen randfiguur was in dat overleg, maar er een actieve rol in speelde. Een logische volgende stap is dan ook verder onderzoek naar haar relatie met de Brabantse steden, de adel en de kerk, niet om haar opnieuw als uitzondering te markeren, maar om vrouwen hun rechtmatige plaats te geven in een bestuursmodel dat hen tot nu toe heeft uitgesloten. </w:t>
      </w:r>
    </w:p>
    <w:p w14:paraId="1B462997" w14:textId="77777777" w:rsidR="001279EA" w:rsidRPr="00C140A8" w:rsidRDefault="001279EA" w:rsidP="00C140A8">
      <w:pPr>
        <w:spacing w:afterLines="80" w:after="192" w:line="360" w:lineRule="auto"/>
        <w:jc w:val="both"/>
        <w:rPr>
          <w:rFonts w:ascii="Georgia" w:hAnsi="Georgia"/>
          <w:sz w:val="22"/>
          <w:szCs w:val="22"/>
        </w:rPr>
      </w:pPr>
    </w:p>
    <w:p w14:paraId="6DB64518" w14:textId="77777777" w:rsidR="001279EA" w:rsidRPr="00C140A8" w:rsidRDefault="001279EA" w:rsidP="00C140A8">
      <w:pPr>
        <w:spacing w:afterLines="80" w:after="192" w:line="360" w:lineRule="auto"/>
        <w:jc w:val="both"/>
        <w:rPr>
          <w:rFonts w:ascii="Georgia" w:hAnsi="Georgia"/>
          <w:sz w:val="22"/>
          <w:szCs w:val="22"/>
        </w:rPr>
      </w:pPr>
    </w:p>
    <w:p w14:paraId="62F32968" w14:textId="5222D73B" w:rsidR="00D67703" w:rsidRPr="00E26FCC" w:rsidRDefault="00E26FCC" w:rsidP="00E26FCC">
      <w:pPr>
        <w:spacing w:after="160" w:line="278" w:lineRule="auto"/>
        <w:rPr>
          <w:rFonts w:ascii="Georgia" w:hAnsi="Georgia"/>
          <w:sz w:val="22"/>
          <w:szCs w:val="22"/>
        </w:rPr>
      </w:pPr>
      <w:r>
        <w:rPr>
          <w:rFonts w:ascii="Georgia" w:hAnsi="Georgia"/>
          <w:sz w:val="22"/>
          <w:szCs w:val="22"/>
        </w:rPr>
        <w:br w:type="page"/>
      </w:r>
    </w:p>
    <w:p w14:paraId="30450555" w14:textId="369D51C9" w:rsidR="00FB6EAE" w:rsidRDefault="008832DE" w:rsidP="001C05AD">
      <w:pPr>
        <w:pStyle w:val="ThesisSection"/>
        <w:numPr>
          <w:ilvl w:val="0"/>
          <w:numId w:val="0"/>
        </w:numPr>
        <w:pBdr>
          <w:bottom w:val="single" w:sz="4" w:space="1" w:color="auto"/>
        </w:pBdr>
        <w:spacing w:before="0" w:after="0"/>
      </w:pPr>
      <w:bookmarkStart w:id="299" w:name="_Toc231329869"/>
      <w:bookmarkStart w:id="300" w:name="_Toc231330476"/>
      <w:bookmarkStart w:id="301" w:name="_Toc231428070"/>
      <w:bookmarkStart w:id="302" w:name="_Toc231463619"/>
      <w:proofErr w:type="spellStart"/>
      <w:r>
        <w:lastRenderedPageBreak/>
        <w:t>Bibliografie</w:t>
      </w:r>
      <w:bookmarkEnd w:id="299"/>
      <w:bookmarkEnd w:id="300"/>
      <w:bookmarkEnd w:id="301"/>
      <w:bookmarkEnd w:id="302"/>
      <w:proofErr w:type="spellEnd"/>
    </w:p>
    <w:p w14:paraId="13F1B26C" w14:textId="77777777" w:rsidR="006779C0" w:rsidRDefault="006779C0" w:rsidP="00AE711A">
      <w:pPr>
        <w:pStyle w:val="ThesisHeading"/>
      </w:pPr>
      <w:bookmarkStart w:id="303" w:name="_Toc231329870"/>
      <w:bookmarkStart w:id="304" w:name="_Toc231330477"/>
      <w:bookmarkStart w:id="305" w:name="_Toc231428071"/>
      <w:bookmarkStart w:id="306" w:name="_Toc231463620"/>
      <w:proofErr w:type="spellStart"/>
      <w:r>
        <w:t>Primaire</w:t>
      </w:r>
      <w:proofErr w:type="spellEnd"/>
      <w:r>
        <w:t xml:space="preserve"> </w:t>
      </w:r>
      <w:proofErr w:type="spellStart"/>
      <w:r>
        <w:t>bronnen</w:t>
      </w:r>
      <w:bookmarkEnd w:id="303"/>
      <w:bookmarkEnd w:id="304"/>
      <w:bookmarkEnd w:id="305"/>
      <w:bookmarkEnd w:id="306"/>
      <w:proofErr w:type="spellEnd"/>
    </w:p>
    <w:p w14:paraId="5F1F15E0" w14:textId="50C162B3" w:rsidR="00607B53" w:rsidRDefault="00607B53" w:rsidP="2D0D95AE">
      <w:pPr>
        <w:rPr>
          <w:rStyle w:val="Strong"/>
          <w:sz w:val="28"/>
          <w:szCs w:val="28"/>
          <w:lang w:val="en-US"/>
        </w:rPr>
      </w:pPr>
      <w:r w:rsidRPr="2D0D95AE">
        <w:rPr>
          <w:rStyle w:val="Strong"/>
          <w:sz w:val="28"/>
          <w:szCs w:val="28"/>
          <w:lang w:val="en-US"/>
        </w:rPr>
        <w:t>Archivalische bronnen</w:t>
      </w:r>
    </w:p>
    <w:p w14:paraId="5815C56A" w14:textId="72BE15AD" w:rsidR="00066382" w:rsidRDefault="00066382" w:rsidP="00607B53">
      <w:pPr>
        <w:rPr>
          <w:rStyle w:val="Strong"/>
          <w:sz w:val="28"/>
          <w:szCs w:val="28"/>
        </w:rPr>
      </w:pPr>
    </w:p>
    <w:p w14:paraId="57233A44" w14:textId="11E99A44" w:rsidR="00066382" w:rsidRPr="00066382" w:rsidRDefault="00066382" w:rsidP="2D0D95AE">
      <w:pPr>
        <w:rPr>
          <w:rStyle w:val="Strong"/>
          <w:rFonts w:ascii="Georgia" w:hAnsi="Georgia"/>
          <w:b w:val="0"/>
          <w:bCs w:val="0"/>
          <w:sz w:val="22"/>
          <w:szCs w:val="22"/>
          <w:u w:val="single"/>
          <w:lang w:val="en-US"/>
        </w:rPr>
      </w:pPr>
      <w:r w:rsidRPr="2D0D95AE">
        <w:rPr>
          <w:rStyle w:val="Strong"/>
          <w:rFonts w:ascii="Georgia" w:hAnsi="Georgia"/>
          <w:b w:val="0"/>
          <w:bCs w:val="0"/>
          <w:sz w:val="22"/>
          <w:szCs w:val="22"/>
          <w:u w:val="single"/>
          <w:lang w:val="en-US"/>
        </w:rPr>
        <w:t>ARAB: Algemeen rijksarchief, Brussel</w:t>
      </w:r>
    </w:p>
    <w:p w14:paraId="3B927041" w14:textId="3DB3A0A5" w:rsidR="002202F1" w:rsidRPr="004768CC" w:rsidRDefault="006779C0" w:rsidP="002202F1">
      <w:pPr>
        <w:pStyle w:val="ThesisBody"/>
        <w:spacing w:after="0"/>
        <w:rPr>
          <w:rFonts w:ascii="Georgia" w:hAnsi="Georgia"/>
          <w:i/>
          <w:iCs/>
          <w:sz w:val="22"/>
        </w:rPr>
      </w:pPr>
      <w:r w:rsidRPr="004768CC">
        <w:rPr>
          <w:rFonts w:ascii="Georgia" w:hAnsi="Georgia"/>
          <w:sz w:val="22"/>
        </w:rPr>
        <w:t xml:space="preserve">Brussel, </w:t>
      </w:r>
      <w:proofErr w:type="spellStart"/>
      <w:r w:rsidRPr="004768CC">
        <w:rPr>
          <w:rFonts w:ascii="Georgia" w:hAnsi="Georgia"/>
          <w:sz w:val="22"/>
        </w:rPr>
        <w:t>Algemeen</w:t>
      </w:r>
      <w:proofErr w:type="spellEnd"/>
      <w:r w:rsidRPr="004768CC">
        <w:rPr>
          <w:rFonts w:ascii="Georgia" w:hAnsi="Georgia"/>
          <w:sz w:val="22"/>
        </w:rPr>
        <w:t xml:space="preserve"> </w:t>
      </w:r>
      <w:proofErr w:type="spellStart"/>
      <w:r w:rsidRPr="004768CC">
        <w:rPr>
          <w:rFonts w:ascii="Georgia" w:hAnsi="Georgia"/>
          <w:sz w:val="22"/>
        </w:rPr>
        <w:t>Rijksarchief</w:t>
      </w:r>
      <w:proofErr w:type="spellEnd"/>
      <w:r w:rsidRPr="004768CC">
        <w:rPr>
          <w:rFonts w:ascii="Georgia" w:hAnsi="Georgia"/>
          <w:sz w:val="22"/>
        </w:rPr>
        <w:t xml:space="preserve">, </w:t>
      </w:r>
      <w:proofErr w:type="spellStart"/>
      <w:r w:rsidRPr="004768CC">
        <w:rPr>
          <w:rFonts w:ascii="Georgia" w:hAnsi="Georgia"/>
          <w:i/>
          <w:iCs/>
          <w:sz w:val="22"/>
        </w:rPr>
        <w:t>Rekenkamer</w:t>
      </w:r>
      <w:proofErr w:type="spellEnd"/>
      <w:r w:rsidRPr="004768CC">
        <w:rPr>
          <w:rFonts w:ascii="Georgia" w:hAnsi="Georgia"/>
          <w:i/>
          <w:iCs/>
          <w:sz w:val="22"/>
        </w:rPr>
        <w:t xml:space="preserve"> van Brabant</w:t>
      </w:r>
      <w:r w:rsidRPr="004768CC">
        <w:rPr>
          <w:rFonts w:ascii="Georgia" w:hAnsi="Georgia"/>
          <w:sz w:val="22"/>
        </w:rPr>
        <w:t>, Nr. 2362</w:t>
      </w:r>
      <w:r w:rsidR="00A562E4" w:rsidRPr="004768CC">
        <w:rPr>
          <w:rFonts w:ascii="Georgia" w:hAnsi="Georgia"/>
          <w:sz w:val="22"/>
        </w:rPr>
        <w:t xml:space="preserve">: </w:t>
      </w:r>
      <w:proofErr w:type="spellStart"/>
      <w:r w:rsidR="00A562E4" w:rsidRPr="004768CC">
        <w:rPr>
          <w:rFonts w:ascii="Georgia" w:hAnsi="Georgia"/>
          <w:i/>
          <w:iCs/>
          <w:sz w:val="22"/>
        </w:rPr>
        <w:t>foreine</w:t>
      </w:r>
      <w:proofErr w:type="spellEnd"/>
      <w:r w:rsidR="00A562E4" w:rsidRPr="004768CC">
        <w:rPr>
          <w:rFonts w:ascii="Georgia" w:hAnsi="Georgia"/>
          <w:i/>
          <w:iCs/>
          <w:sz w:val="22"/>
        </w:rPr>
        <w:t xml:space="preserve"> </w:t>
      </w:r>
      <w:proofErr w:type="spellStart"/>
      <w:r w:rsidR="00A562E4" w:rsidRPr="004768CC">
        <w:rPr>
          <w:rFonts w:ascii="Georgia" w:hAnsi="Georgia"/>
          <w:i/>
          <w:iCs/>
          <w:sz w:val="22"/>
        </w:rPr>
        <w:t>partieën</w:t>
      </w:r>
      <w:proofErr w:type="spellEnd"/>
      <w:r w:rsidR="00A562E4" w:rsidRPr="004768CC">
        <w:rPr>
          <w:rFonts w:ascii="Georgia" w:hAnsi="Georgia"/>
          <w:i/>
          <w:iCs/>
          <w:sz w:val="22"/>
        </w:rPr>
        <w:t>.</w:t>
      </w:r>
    </w:p>
    <w:p w14:paraId="3D4F577E" w14:textId="7F73BB6F" w:rsidR="00A562E4" w:rsidRPr="004768CC" w:rsidRDefault="00DD346F" w:rsidP="004768CC">
      <w:pPr>
        <w:pStyle w:val="ThesisBodyIndent"/>
        <w:spacing w:after="0"/>
        <w:ind w:firstLine="0"/>
        <w:rPr>
          <w:rFonts w:ascii="Georgia" w:hAnsi="Georgia"/>
          <w:i/>
          <w:iCs/>
          <w:sz w:val="22"/>
        </w:rPr>
      </w:pPr>
      <w:r w:rsidRPr="004768CC">
        <w:rPr>
          <w:rFonts w:ascii="Georgia" w:hAnsi="Georgia"/>
          <w:sz w:val="22"/>
        </w:rPr>
        <w:t xml:space="preserve">Brussel, </w:t>
      </w:r>
      <w:proofErr w:type="spellStart"/>
      <w:r w:rsidRPr="004768CC">
        <w:rPr>
          <w:rFonts w:ascii="Georgia" w:hAnsi="Georgia"/>
          <w:sz w:val="22"/>
        </w:rPr>
        <w:t>Algemeen</w:t>
      </w:r>
      <w:proofErr w:type="spellEnd"/>
      <w:r w:rsidRPr="004768CC">
        <w:rPr>
          <w:rFonts w:ascii="Georgia" w:hAnsi="Georgia"/>
          <w:sz w:val="22"/>
        </w:rPr>
        <w:t xml:space="preserve"> </w:t>
      </w:r>
      <w:proofErr w:type="spellStart"/>
      <w:r w:rsidRPr="004768CC">
        <w:rPr>
          <w:rFonts w:ascii="Georgia" w:hAnsi="Georgia"/>
          <w:sz w:val="22"/>
        </w:rPr>
        <w:t>Rijksarchief</w:t>
      </w:r>
      <w:proofErr w:type="spellEnd"/>
      <w:r w:rsidRPr="004768CC">
        <w:rPr>
          <w:rFonts w:ascii="Georgia" w:hAnsi="Georgia"/>
          <w:sz w:val="22"/>
        </w:rPr>
        <w:t xml:space="preserve">, </w:t>
      </w:r>
      <w:proofErr w:type="spellStart"/>
      <w:r w:rsidRPr="004768CC">
        <w:rPr>
          <w:rFonts w:ascii="Georgia" w:hAnsi="Georgia"/>
          <w:i/>
          <w:iCs/>
          <w:sz w:val="22"/>
        </w:rPr>
        <w:t>Rekenkamer</w:t>
      </w:r>
      <w:proofErr w:type="spellEnd"/>
      <w:r w:rsidRPr="004768CC">
        <w:rPr>
          <w:rFonts w:ascii="Georgia" w:hAnsi="Georgia"/>
          <w:i/>
          <w:iCs/>
          <w:sz w:val="22"/>
        </w:rPr>
        <w:t xml:space="preserve"> van Brabant</w:t>
      </w:r>
      <w:r w:rsidRPr="004768CC">
        <w:rPr>
          <w:rFonts w:ascii="Georgia" w:hAnsi="Georgia"/>
          <w:sz w:val="22"/>
        </w:rPr>
        <w:t>, Nr. 2363</w:t>
      </w:r>
      <w:r w:rsidR="00A562E4" w:rsidRPr="004768CC">
        <w:rPr>
          <w:rFonts w:ascii="Georgia" w:hAnsi="Georgia"/>
          <w:sz w:val="22"/>
        </w:rPr>
        <w:t xml:space="preserve">: </w:t>
      </w:r>
      <w:proofErr w:type="spellStart"/>
      <w:r w:rsidR="00A562E4" w:rsidRPr="004768CC">
        <w:rPr>
          <w:rFonts w:ascii="Georgia" w:hAnsi="Georgia"/>
          <w:i/>
          <w:iCs/>
          <w:sz w:val="22"/>
        </w:rPr>
        <w:t>foreine</w:t>
      </w:r>
      <w:proofErr w:type="spellEnd"/>
      <w:r w:rsidR="00A562E4" w:rsidRPr="004768CC">
        <w:rPr>
          <w:rFonts w:ascii="Georgia" w:hAnsi="Georgia"/>
          <w:i/>
          <w:iCs/>
          <w:sz w:val="22"/>
        </w:rPr>
        <w:t xml:space="preserve"> </w:t>
      </w:r>
      <w:proofErr w:type="spellStart"/>
      <w:r w:rsidR="00A562E4" w:rsidRPr="004768CC">
        <w:rPr>
          <w:rFonts w:ascii="Georgia" w:hAnsi="Georgia"/>
          <w:i/>
          <w:iCs/>
          <w:sz w:val="22"/>
        </w:rPr>
        <w:t>partieën</w:t>
      </w:r>
      <w:proofErr w:type="spellEnd"/>
      <w:r w:rsidR="00A562E4" w:rsidRPr="004768CC">
        <w:rPr>
          <w:rFonts w:ascii="Georgia" w:hAnsi="Georgia"/>
          <w:i/>
          <w:iCs/>
          <w:sz w:val="22"/>
        </w:rPr>
        <w:t>.</w:t>
      </w:r>
    </w:p>
    <w:p w14:paraId="7A8C942C" w14:textId="25BC95EB" w:rsidR="002202F1" w:rsidRPr="004768CC" w:rsidRDefault="002202F1" w:rsidP="004768CC">
      <w:pPr>
        <w:pStyle w:val="ThesisBodyIndent"/>
        <w:spacing w:before="0"/>
        <w:ind w:left="1418" w:hanging="1418"/>
        <w:rPr>
          <w:rFonts w:ascii="Georgia" w:hAnsi="Georgia"/>
          <w:sz w:val="22"/>
        </w:rPr>
      </w:pPr>
      <w:r w:rsidRPr="004768CC">
        <w:rPr>
          <w:rFonts w:ascii="Georgia" w:hAnsi="Georgia"/>
          <w:i/>
          <w:iCs/>
          <w:sz w:val="22"/>
        </w:rPr>
        <w:tab/>
      </w:r>
      <w:r w:rsidRPr="004768CC">
        <w:rPr>
          <w:rFonts w:ascii="Georgia" w:hAnsi="Georgia"/>
          <w:i/>
          <w:iCs/>
          <w:sz w:val="22"/>
        </w:rPr>
        <w:tab/>
      </w:r>
      <w:r w:rsidRPr="004768CC">
        <w:rPr>
          <w:rFonts w:ascii="Georgia" w:hAnsi="Georgia"/>
          <w:i/>
          <w:iCs/>
          <w:sz w:val="22"/>
        </w:rPr>
        <w:tab/>
      </w:r>
      <w:r w:rsidRPr="004768CC">
        <w:rPr>
          <w:rFonts w:ascii="Georgia" w:hAnsi="Georgia"/>
          <w:i/>
          <w:iCs/>
          <w:sz w:val="22"/>
        </w:rPr>
        <w:tab/>
      </w:r>
      <w:r w:rsidRPr="004768CC">
        <w:rPr>
          <w:rFonts w:ascii="Georgia" w:hAnsi="Georgia"/>
          <w:i/>
          <w:iCs/>
          <w:sz w:val="22"/>
        </w:rPr>
        <w:tab/>
      </w:r>
      <w:r w:rsidRPr="004768CC">
        <w:rPr>
          <w:rFonts w:ascii="Georgia" w:hAnsi="Georgia"/>
          <w:i/>
          <w:iCs/>
          <w:sz w:val="22"/>
        </w:rPr>
        <w:tab/>
      </w:r>
      <w:r w:rsidRPr="004768CC">
        <w:rPr>
          <w:rFonts w:ascii="Georgia" w:hAnsi="Georgia"/>
          <w:i/>
          <w:iCs/>
          <w:sz w:val="22"/>
        </w:rPr>
        <w:tab/>
      </w:r>
      <w:r w:rsidRPr="004768CC">
        <w:rPr>
          <w:rFonts w:ascii="Georgia" w:hAnsi="Georgia"/>
          <w:i/>
          <w:iCs/>
          <w:sz w:val="22"/>
        </w:rPr>
        <w:tab/>
      </w:r>
      <w:r w:rsidR="004768CC">
        <w:rPr>
          <w:rFonts w:ascii="Georgia" w:hAnsi="Georgia"/>
          <w:i/>
          <w:iCs/>
          <w:sz w:val="22"/>
        </w:rPr>
        <w:t xml:space="preserve"> </w:t>
      </w:r>
      <w:r w:rsidRPr="004768CC">
        <w:rPr>
          <w:rFonts w:ascii="Georgia" w:hAnsi="Georgia"/>
          <w:sz w:val="22"/>
        </w:rPr>
        <w:t>Nr. 2363: fol. 111</w:t>
      </w:r>
      <w:r w:rsidR="004768CC">
        <w:rPr>
          <w:rFonts w:ascii="Georgia" w:hAnsi="Georgia"/>
          <w:sz w:val="22"/>
        </w:rPr>
        <w:t>.</w:t>
      </w:r>
    </w:p>
    <w:p w14:paraId="5C7E026A" w14:textId="3DCDB59A" w:rsidR="00DD346F" w:rsidRPr="004768CC" w:rsidRDefault="00DD346F" w:rsidP="00DD346F">
      <w:pPr>
        <w:pStyle w:val="ThesisBodyIndent"/>
        <w:ind w:firstLine="0"/>
        <w:rPr>
          <w:rFonts w:ascii="Georgia" w:hAnsi="Georgia"/>
          <w:sz w:val="22"/>
        </w:rPr>
      </w:pPr>
      <w:r w:rsidRPr="004768CC">
        <w:rPr>
          <w:rFonts w:ascii="Georgia" w:hAnsi="Georgia"/>
          <w:sz w:val="22"/>
        </w:rPr>
        <w:t xml:space="preserve">Brussel, </w:t>
      </w:r>
      <w:proofErr w:type="spellStart"/>
      <w:r w:rsidRPr="004768CC">
        <w:rPr>
          <w:rFonts w:ascii="Georgia" w:hAnsi="Georgia"/>
          <w:sz w:val="22"/>
        </w:rPr>
        <w:t>Algemeen</w:t>
      </w:r>
      <w:proofErr w:type="spellEnd"/>
      <w:r w:rsidRPr="004768CC">
        <w:rPr>
          <w:rFonts w:ascii="Georgia" w:hAnsi="Georgia"/>
          <w:sz w:val="22"/>
        </w:rPr>
        <w:t xml:space="preserve"> </w:t>
      </w:r>
      <w:proofErr w:type="spellStart"/>
      <w:r w:rsidRPr="004768CC">
        <w:rPr>
          <w:rFonts w:ascii="Georgia" w:hAnsi="Georgia"/>
          <w:sz w:val="22"/>
        </w:rPr>
        <w:t>Rijksarchief</w:t>
      </w:r>
      <w:proofErr w:type="spellEnd"/>
      <w:r w:rsidRPr="004768CC">
        <w:rPr>
          <w:rFonts w:ascii="Georgia" w:hAnsi="Georgia"/>
          <w:sz w:val="22"/>
        </w:rPr>
        <w:t xml:space="preserve">, </w:t>
      </w:r>
      <w:proofErr w:type="spellStart"/>
      <w:r w:rsidRPr="004768CC">
        <w:rPr>
          <w:rFonts w:ascii="Georgia" w:hAnsi="Georgia"/>
          <w:i/>
          <w:iCs/>
          <w:sz w:val="22"/>
        </w:rPr>
        <w:t>Rekenkamer</w:t>
      </w:r>
      <w:proofErr w:type="spellEnd"/>
      <w:r w:rsidRPr="004768CC">
        <w:rPr>
          <w:rFonts w:ascii="Georgia" w:hAnsi="Georgia"/>
          <w:i/>
          <w:iCs/>
          <w:sz w:val="22"/>
        </w:rPr>
        <w:t xml:space="preserve"> van Brabant</w:t>
      </w:r>
      <w:r w:rsidRPr="004768CC">
        <w:rPr>
          <w:rFonts w:ascii="Georgia" w:hAnsi="Georgia"/>
          <w:sz w:val="22"/>
        </w:rPr>
        <w:t>, Nr. 2364</w:t>
      </w:r>
      <w:r w:rsidR="00A562E4" w:rsidRPr="004768CC">
        <w:rPr>
          <w:rFonts w:ascii="Georgia" w:hAnsi="Georgia"/>
          <w:sz w:val="22"/>
        </w:rPr>
        <w:t xml:space="preserve">: </w:t>
      </w:r>
      <w:proofErr w:type="spellStart"/>
      <w:r w:rsidR="00A562E4" w:rsidRPr="004768CC">
        <w:rPr>
          <w:rFonts w:ascii="Georgia" w:hAnsi="Georgia"/>
          <w:i/>
          <w:iCs/>
          <w:sz w:val="22"/>
        </w:rPr>
        <w:t>foreine</w:t>
      </w:r>
      <w:proofErr w:type="spellEnd"/>
      <w:r w:rsidR="00A562E4" w:rsidRPr="004768CC">
        <w:rPr>
          <w:rFonts w:ascii="Georgia" w:hAnsi="Georgia"/>
          <w:i/>
          <w:iCs/>
          <w:sz w:val="22"/>
        </w:rPr>
        <w:t xml:space="preserve"> </w:t>
      </w:r>
      <w:proofErr w:type="spellStart"/>
      <w:r w:rsidR="00A562E4" w:rsidRPr="004768CC">
        <w:rPr>
          <w:rFonts w:ascii="Georgia" w:hAnsi="Georgia"/>
          <w:i/>
          <w:iCs/>
          <w:sz w:val="22"/>
        </w:rPr>
        <w:t>partieën</w:t>
      </w:r>
      <w:proofErr w:type="spellEnd"/>
      <w:r w:rsidR="00A562E4" w:rsidRPr="004768CC">
        <w:rPr>
          <w:rFonts w:ascii="Georgia" w:hAnsi="Georgia"/>
          <w:i/>
          <w:iCs/>
          <w:sz w:val="22"/>
        </w:rPr>
        <w:t>.</w:t>
      </w:r>
    </w:p>
    <w:p w14:paraId="3CC69D72" w14:textId="19C6325A" w:rsidR="00DD346F" w:rsidRDefault="00DD346F" w:rsidP="004F053B">
      <w:pPr>
        <w:pStyle w:val="ThesisBodyIndent"/>
        <w:spacing w:after="0"/>
        <w:ind w:firstLine="0"/>
        <w:rPr>
          <w:rFonts w:ascii="Georgia" w:hAnsi="Georgia"/>
          <w:i/>
          <w:iCs/>
          <w:sz w:val="22"/>
        </w:rPr>
      </w:pPr>
      <w:r w:rsidRPr="004768CC">
        <w:rPr>
          <w:rFonts w:ascii="Georgia" w:hAnsi="Georgia"/>
          <w:sz w:val="22"/>
        </w:rPr>
        <w:t xml:space="preserve">Brussel, </w:t>
      </w:r>
      <w:proofErr w:type="spellStart"/>
      <w:r w:rsidRPr="004768CC">
        <w:rPr>
          <w:rFonts w:ascii="Georgia" w:hAnsi="Georgia"/>
          <w:sz w:val="22"/>
        </w:rPr>
        <w:t>Algemeen</w:t>
      </w:r>
      <w:proofErr w:type="spellEnd"/>
      <w:r w:rsidRPr="004768CC">
        <w:rPr>
          <w:rFonts w:ascii="Georgia" w:hAnsi="Georgia"/>
          <w:sz w:val="22"/>
        </w:rPr>
        <w:t xml:space="preserve"> </w:t>
      </w:r>
      <w:proofErr w:type="spellStart"/>
      <w:r w:rsidRPr="004768CC">
        <w:rPr>
          <w:rFonts w:ascii="Georgia" w:hAnsi="Georgia"/>
          <w:sz w:val="22"/>
        </w:rPr>
        <w:t>Rijksarchief</w:t>
      </w:r>
      <w:proofErr w:type="spellEnd"/>
      <w:r w:rsidRPr="004768CC">
        <w:rPr>
          <w:rFonts w:ascii="Georgia" w:hAnsi="Georgia"/>
          <w:sz w:val="22"/>
        </w:rPr>
        <w:t xml:space="preserve">, </w:t>
      </w:r>
      <w:proofErr w:type="spellStart"/>
      <w:r w:rsidRPr="004768CC">
        <w:rPr>
          <w:rFonts w:ascii="Georgia" w:hAnsi="Georgia"/>
          <w:i/>
          <w:iCs/>
          <w:sz w:val="22"/>
        </w:rPr>
        <w:t>Rekenkamer</w:t>
      </w:r>
      <w:proofErr w:type="spellEnd"/>
      <w:r w:rsidRPr="004768CC">
        <w:rPr>
          <w:rFonts w:ascii="Georgia" w:hAnsi="Georgia"/>
          <w:i/>
          <w:iCs/>
          <w:sz w:val="22"/>
        </w:rPr>
        <w:t xml:space="preserve"> van Brabant</w:t>
      </w:r>
      <w:r w:rsidRPr="004768CC">
        <w:rPr>
          <w:rFonts w:ascii="Georgia" w:hAnsi="Georgia"/>
          <w:sz w:val="22"/>
        </w:rPr>
        <w:t>, Nr. 2365</w:t>
      </w:r>
      <w:r w:rsidR="00A562E4" w:rsidRPr="004768CC">
        <w:rPr>
          <w:rFonts w:ascii="Georgia" w:hAnsi="Georgia"/>
          <w:sz w:val="22"/>
        </w:rPr>
        <w:t xml:space="preserve">: </w:t>
      </w:r>
      <w:proofErr w:type="spellStart"/>
      <w:r w:rsidR="00A562E4" w:rsidRPr="004768CC">
        <w:rPr>
          <w:rFonts w:ascii="Georgia" w:hAnsi="Georgia"/>
          <w:i/>
          <w:iCs/>
          <w:sz w:val="22"/>
        </w:rPr>
        <w:t>foreine</w:t>
      </w:r>
      <w:proofErr w:type="spellEnd"/>
      <w:r w:rsidR="00A562E4" w:rsidRPr="004768CC">
        <w:rPr>
          <w:rFonts w:ascii="Georgia" w:hAnsi="Georgia"/>
          <w:i/>
          <w:iCs/>
          <w:sz w:val="22"/>
        </w:rPr>
        <w:t xml:space="preserve"> </w:t>
      </w:r>
      <w:proofErr w:type="spellStart"/>
      <w:r w:rsidR="00A562E4" w:rsidRPr="004768CC">
        <w:rPr>
          <w:rFonts w:ascii="Georgia" w:hAnsi="Georgia"/>
          <w:i/>
          <w:iCs/>
          <w:sz w:val="22"/>
        </w:rPr>
        <w:t>partieën</w:t>
      </w:r>
      <w:proofErr w:type="spellEnd"/>
      <w:r w:rsidR="00A562E4" w:rsidRPr="004768CC">
        <w:rPr>
          <w:rFonts w:ascii="Georgia" w:hAnsi="Georgia"/>
          <w:i/>
          <w:iCs/>
          <w:sz w:val="22"/>
        </w:rPr>
        <w:t>.</w:t>
      </w:r>
    </w:p>
    <w:p w14:paraId="7583F0E3" w14:textId="1D59D6B3" w:rsidR="004F053B" w:rsidRDefault="004F053B" w:rsidP="004F053B">
      <w:pPr>
        <w:pStyle w:val="ThesisBodyIndent"/>
        <w:spacing w:before="0"/>
        <w:ind w:firstLine="0"/>
        <w:rPr>
          <w:rFonts w:ascii="Georgia" w:hAnsi="Georgia"/>
          <w:sz w:val="22"/>
        </w:rPr>
      </w:pPr>
      <w:r>
        <w:rPr>
          <w:rFonts w:ascii="Georgia" w:hAnsi="Georgia"/>
          <w:i/>
          <w:iCs/>
          <w:sz w:val="22"/>
        </w:rPr>
        <w:tab/>
      </w:r>
      <w:r>
        <w:rPr>
          <w:rFonts w:ascii="Georgia" w:hAnsi="Georgia"/>
          <w:i/>
          <w:iCs/>
          <w:sz w:val="22"/>
        </w:rPr>
        <w:tab/>
      </w:r>
      <w:r>
        <w:rPr>
          <w:rFonts w:ascii="Georgia" w:hAnsi="Georgia"/>
          <w:i/>
          <w:iCs/>
          <w:sz w:val="22"/>
        </w:rPr>
        <w:tab/>
      </w:r>
      <w:r>
        <w:rPr>
          <w:rFonts w:ascii="Georgia" w:hAnsi="Georgia"/>
          <w:i/>
          <w:iCs/>
          <w:sz w:val="22"/>
        </w:rPr>
        <w:tab/>
      </w:r>
      <w:r>
        <w:rPr>
          <w:rFonts w:ascii="Georgia" w:hAnsi="Georgia"/>
          <w:i/>
          <w:iCs/>
          <w:sz w:val="22"/>
        </w:rPr>
        <w:tab/>
      </w:r>
      <w:r>
        <w:rPr>
          <w:rFonts w:ascii="Georgia" w:hAnsi="Georgia"/>
          <w:i/>
          <w:iCs/>
          <w:sz w:val="22"/>
        </w:rPr>
        <w:tab/>
      </w:r>
      <w:r>
        <w:rPr>
          <w:rFonts w:ascii="Georgia" w:hAnsi="Georgia"/>
          <w:i/>
          <w:iCs/>
          <w:sz w:val="22"/>
        </w:rPr>
        <w:tab/>
      </w:r>
      <w:r>
        <w:rPr>
          <w:rFonts w:ascii="Georgia" w:hAnsi="Georgia"/>
          <w:i/>
          <w:iCs/>
          <w:sz w:val="22"/>
        </w:rPr>
        <w:tab/>
      </w:r>
      <w:r w:rsidRPr="004F053B">
        <w:rPr>
          <w:rFonts w:ascii="Georgia" w:hAnsi="Georgia"/>
          <w:sz w:val="22"/>
        </w:rPr>
        <w:t>Nr. 2365: fol. 94.</w:t>
      </w:r>
    </w:p>
    <w:p w14:paraId="30C0EBAC" w14:textId="26310EFE" w:rsidR="004A2294" w:rsidRDefault="004A2294" w:rsidP="004A2294">
      <w:pPr>
        <w:pStyle w:val="ThesisBodyIndent"/>
        <w:spacing w:after="0"/>
        <w:ind w:firstLine="0"/>
        <w:rPr>
          <w:rFonts w:ascii="Georgia" w:hAnsi="Georgia"/>
          <w:i/>
          <w:iCs/>
          <w:sz w:val="22"/>
        </w:rPr>
      </w:pPr>
      <w:r w:rsidRPr="004768CC">
        <w:rPr>
          <w:rFonts w:ascii="Georgia" w:hAnsi="Georgia"/>
          <w:sz w:val="22"/>
        </w:rPr>
        <w:t xml:space="preserve">Brussel, </w:t>
      </w:r>
      <w:proofErr w:type="spellStart"/>
      <w:r w:rsidRPr="004768CC">
        <w:rPr>
          <w:rFonts w:ascii="Georgia" w:hAnsi="Georgia"/>
          <w:sz w:val="22"/>
        </w:rPr>
        <w:t>Algemeen</w:t>
      </w:r>
      <w:proofErr w:type="spellEnd"/>
      <w:r w:rsidRPr="004768CC">
        <w:rPr>
          <w:rFonts w:ascii="Georgia" w:hAnsi="Georgia"/>
          <w:sz w:val="22"/>
        </w:rPr>
        <w:t xml:space="preserve"> </w:t>
      </w:r>
      <w:proofErr w:type="spellStart"/>
      <w:r w:rsidRPr="004768CC">
        <w:rPr>
          <w:rFonts w:ascii="Georgia" w:hAnsi="Georgia"/>
          <w:sz w:val="22"/>
        </w:rPr>
        <w:t>Rijksarchief</w:t>
      </w:r>
      <w:proofErr w:type="spellEnd"/>
      <w:r w:rsidRPr="004768CC">
        <w:rPr>
          <w:rFonts w:ascii="Georgia" w:hAnsi="Georgia"/>
          <w:sz w:val="22"/>
        </w:rPr>
        <w:t xml:space="preserve">, </w:t>
      </w:r>
      <w:proofErr w:type="spellStart"/>
      <w:r w:rsidRPr="004768CC">
        <w:rPr>
          <w:rFonts w:ascii="Georgia" w:hAnsi="Georgia"/>
          <w:i/>
          <w:iCs/>
          <w:sz w:val="22"/>
        </w:rPr>
        <w:t>Rekenkamer</w:t>
      </w:r>
      <w:proofErr w:type="spellEnd"/>
      <w:r w:rsidRPr="004768CC">
        <w:rPr>
          <w:rFonts w:ascii="Georgia" w:hAnsi="Georgia"/>
          <w:i/>
          <w:iCs/>
          <w:sz w:val="22"/>
        </w:rPr>
        <w:t xml:space="preserve"> van Brabant</w:t>
      </w:r>
      <w:r w:rsidRPr="004768CC">
        <w:rPr>
          <w:rFonts w:ascii="Georgia" w:hAnsi="Georgia"/>
          <w:sz w:val="22"/>
        </w:rPr>
        <w:t>, Nr. 236</w:t>
      </w:r>
      <w:r>
        <w:rPr>
          <w:rFonts w:ascii="Georgia" w:hAnsi="Georgia"/>
          <w:sz w:val="22"/>
        </w:rPr>
        <w:t>7</w:t>
      </w:r>
      <w:r w:rsidRPr="004768CC">
        <w:rPr>
          <w:rFonts w:ascii="Georgia" w:hAnsi="Georgia"/>
          <w:sz w:val="22"/>
        </w:rPr>
        <w:t xml:space="preserve">: </w:t>
      </w:r>
      <w:r w:rsidRPr="003C2BCA">
        <w:rPr>
          <w:rFonts w:ascii="Georgia" w:hAnsi="Georgia"/>
          <w:sz w:val="22"/>
        </w:rPr>
        <w:t>fol. 69.</w:t>
      </w:r>
    </w:p>
    <w:p w14:paraId="4EA58515" w14:textId="77777777" w:rsidR="004A2294" w:rsidRPr="004F053B" w:rsidRDefault="004A2294" w:rsidP="004F053B">
      <w:pPr>
        <w:pStyle w:val="ThesisBodyIndent"/>
        <w:spacing w:before="0"/>
        <w:ind w:firstLine="0"/>
        <w:rPr>
          <w:rFonts w:ascii="Georgia" w:hAnsi="Georgia"/>
          <w:sz w:val="22"/>
        </w:rPr>
      </w:pPr>
    </w:p>
    <w:p w14:paraId="51F9BDBE" w14:textId="406C32E7" w:rsidR="00066382" w:rsidRPr="00066382" w:rsidRDefault="00066382" w:rsidP="00DD346F">
      <w:pPr>
        <w:pStyle w:val="ThesisBodyIndent"/>
        <w:ind w:firstLine="0"/>
        <w:rPr>
          <w:rFonts w:ascii="Georgia" w:hAnsi="Georgia"/>
          <w:b/>
          <w:bCs/>
          <w:sz w:val="22"/>
          <w:u w:val="single"/>
        </w:rPr>
      </w:pPr>
      <w:r w:rsidRPr="00066382">
        <w:rPr>
          <w:rStyle w:val="Strong"/>
          <w:rFonts w:ascii="Georgia" w:hAnsi="Georgia"/>
          <w:b w:val="0"/>
          <w:bCs w:val="0"/>
          <w:sz w:val="22"/>
          <w:u w:val="single"/>
        </w:rPr>
        <w:t xml:space="preserve">AGA: </w:t>
      </w:r>
      <w:proofErr w:type="spellStart"/>
      <w:r w:rsidRPr="00066382">
        <w:rPr>
          <w:rStyle w:val="Strong"/>
          <w:rFonts w:ascii="Georgia" w:hAnsi="Georgia"/>
          <w:b w:val="0"/>
          <w:bCs w:val="0"/>
          <w:sz w:val="22"/>
          <w:u w:val="single"/>
        </w:rPr>
        <w:t>Gelders</w:t>
      </w:r>
      <w:proofErr w:type="spellEnd"/>
      <w:r w:rsidRPr="00066382">
        <w:rPr>
          <w:rStyle w:val="Strong"/>
          <w:rFonts w:ascii="Georgia" w:hAnsi="Georgia"/>
          <w:b w:val="0"/>
          <w:bCs w:val="0"/>
          <w:sz w:val="22"/>
          <w:u w:val="single"/>
        </w:rPr>
        <w:t xml:space="preserve"> </w:t>
      </w:r>
      <w:proofErr w:type="spellStart"/>
      <w:r w:rsidRPr="00066382">
        <w:rPr>
          <w:rStyle w:val="Strong"/>
          <w:rFonts w:ascii="Georgia" w:hAnsi="Georgia"/>
          <w:b w:val="0"/>
          <w:bCs w:val="0"/>
          <w:sz w:val="22"/>
          <w:u w:val="single"/>
        </w:rPr>
        <w:t>Archief</w:t>
      </w:r>
      <w:proofErr w:type="spellEnd"/>
      <w:r w:rsidRPr="00066382">
        <w:rPr>
          <w:rStyle w:val="Strong"/>
          <w:rFonts w:ascii="Georgia" w:hAnsi="Georgia"/>
          <w:b w:val="0"/>
          <w:bCs w:val="0"/>
          <w:sz w:val="22"/>
          <w:u w:val="single"/>
        </w:rPr>
        <w:t>, Arnhem</w:t>
      </w:r>
    </w:p>
    <w:p w14:paraId="56C36539" w14:textId="2FA5D267" w:rsidR="00607B53" w:rsidRPr="004768CC" w:rsidRDefault="00607B53" w:rsidP="2D0D95AE">
      <w:pPr>
        <w:pStyle w:val="ThesisBodyIndent"/>
        <w:ind w:firstLine="0"/>
        <w:rPr>
          <w:rFonts w:ascii="Georgia" w:hAnsi="Georgia"/>
          <w:sz w:val="22"/>
          <w:lang w:val="en-US"/>
        </w:rPr>
      </w:pPr>
      <w:r w:rsidRPr="2D0D95AE">
        <w:rPr>
          <w:rFonts w:ascii="Georgia" w:hAnsi="Georgia"/>
          <w:sz w:val="22"/>
          <w:lang w:val="en-US"/>
        </w:rPr>
        <w:t xml:space="preserve">Arnhem, Gelders Archief, </w:t>
      </w:r>
      <w:r w:rsidRPr="2D0D95AE">
        <w:rPr>
          <w:rFonts w:ascii="Georgia" w:hAnsi="Georgia"/>
          <w:i/>
          <w:iCs/>
          <w:sz w:val="22"/>
          <w:lang w:val="en-US"/>
        </w:rPr>
        <w:t>Hertogelijk Archief van Gelre</w:t>
      </w:r>
      <w:r w:rsidRPr="2D0D95AE">
        <w:rPr>
          <w:rFonts w:ascii="Georgia" w:hAnsi="Georgia"/>
          <w:sz w:val="22"/>
          <w:lang w:val="en-US"/>
        </w:rPr>
        <w:t>, Nr. 0001.2.07.3.3.553.</w:t>
      </w:r>
    </w:p>
    <w:p w14:paraId="6F4EEA90" w14:textId="638674FE" w:rsidR="00EE70CD" w:rsidRPr="004768CC" w:rsidRDefault="00EE70CD" w:rsidP="2D0D95AE">
      <w:pPr>
        <w:pStyle w:val="ThesisBodyIndent"/>
        <w:ind w:firstLine="0"/>
        <w:rPr>
          <w:rFonts w:ascii="Georgia" w:hAnsi="Georgia"/>
          <w:sz w:val="22"/>
          <w:lang w:val="en-US"/>
        </w:rPr>
      </w:pPr>
      <w:r w:rsidRPr="2D0D95AE">
        <w:rPr>
          <w:rFonts w:ascii="Georgia" w:hAnsi="Georgia"/>
          <w:sz w:val="22"/>
          <w:lang w:val="en-US"/>
        </w:rPr>
        <w:t xml:space="preserve">Arnhem, Gelders Archief, </w:t>
      </w:r>
      <w:r w:rsidRPr="2D0D95AE">
        <w:rPr>
          <w:rFonts w:ascii="Georgia" w:hAnsi="Georgia"/>
          <w:i/>
          <w:iCs/>
          <w:sz w:val="22"/>
          <w:lang w:val="en-US"/>
        </w:rPr>
        <w:t>Hertogelijk Archief van Gelre</w:t>
      </w:r>
      <w:r w:rsidRPr="2D0D95AE">
        <w:rPr>
          <w:rFonts w:ascii="Georgia" w:hAnsi="Georgia"/>
          <w:sz w:val="22"/>
          <w:lang w:val="en-US"/>
        </w:rPr>
        <w:t xml:space="preserve">, nr. 0001.2.07.3.3.555 </w:t>
      </w:r>
    </w:p>
    <w:p w14:paraId="67E28968" w14:textId="35D2B3F7" w:rsidR="00EE70CD" w:rsidRPr="004768CC" w:rsidRDefault="00EE70CD" w:rsidP="2D0D95AE">
      <w:pPr>
        <w:pStyle w:val="ThesisBodyIndent"/>
        <w:ind w:firstLine="0"/>
        <w:rPr>
          <w:rFonts w:ascii="Georgia" w:hAnsi="Georgia"/>
          <w:sz w:val="22"/>
          <w:lang w:val="en-US"/>
        </w:rPr>
      </w:pPr>
      <w:r w:rsidRPr="2D0D95AE">
        <w:rPr>
          <w:rFonts w:ascii="Georgia" w:hAnsi="Georgia"/>
          <w:sz w:val="22"/>
          <w:lang w:val="en-US"/>
        </w:rPr>
        <w:t xml:space="preserve">Arnhem, Gelders Archief, </w:t>
      </w:r>
      <w:r w:rsidRPr="2D0D95AE">
        <w:rPr>
          <w:rFonts w:ascii="Georgia" w:hAnsi="Georgia"/>
          <w:i/>
          <w:iCs/>
          <w:sz w:val="22"/>
          <w:lang w:val="en-US"/>
        </w:rPr>
        <w:t>Hertogelijk Archief van Gelre</w:t>
      </w:r>
      <w:r w:rsidRPr="2D0D95AE">
        <w:rPr>
          <w:rFonts w:ascii="Georgia" w:hAnsi="Georgia"/>
          <w:sz w:val="22"/>
          <w:lang w:val="en-US"/>
        </w:rPr>
        <w:t>, nr. 0001.2.07.3.3.556.</w:t>
      </w:r>
    </w:p>
    <w:p w14:paraId="7699DEE4" w14:textId="799AE2BC" w:rsidR="00607B53" w:rsidRDefault="00607B53" w:rsidP="2D0D95AE">
      <w:pPr>
        <w:rPr>
          <w:rStyle w:val="Strong"/>
          <w:sz w:val="28"/>
          <w:szCs w:val="28"/>
          <w:lang w:val="en-US"/>
        </w:rPr>
      </w:pPr>
      <w:r w:rsidRPr="2D0D95AE">
        <w:rPr>
          <w:rStyle w:val="Strong"/>
          <w:sz w:val="28"/>
          <w:szCs w:val="28"/>
          <w:lang w:val="en-US"/>
        </w:rPr>
        <w:t>Uitgegeven bronnen</w:t>
      </w:r>
    </w:p>
    <w:p w14:paraId="6EA2C28B" w14:textId="77777777" w:rsidR="00BC7A4B" w:rsidRDefault="00BC7A4B" w:rsidP="006779C0">
      <w:pPr>
        <w:spacing w:line="360" w:lineRule="auto"/>
        <w:jc w:val="both"/>
        <w:rPr>
          <w:rFonts w:ascii="Georgia" w:hAnsi="Georgia"/>
          <w:sz w:val="22"/>
          <w:szCs w:val="22"/>
        </w:rPr>
      </w:pPr>
    </w:p>
    <w:p w14:paraId="1A37396E" w14:textId="60CB7A88" w:rsidR="00BC7A4B" w:rsidRDefault="00BC7A4B" w:rsidP="2D0D95AE">
      <w:pPr>
        <w:spacing w:after="240" w:line="360" w:lineRule="auto"/>
        <w:jc w:val="both"/>
        <w:rPr>
          <w:rFonts w:ascii="Georgia" w:hAnsi="Georgia"/>
          <w:sz w:val="22"/>
          <w:szCs w:val="22"/>
          <w:lang w:val="en-US"/>
        </w:rPr>
      </w:pPr>
      <w:r w:rsidRPr="2D0D95AE">
        <w:rPr>
          <w:rFonts w:ascii="Georgia" w:hAnsi="Georgia"/>
          <w:sz w:val="22"/>
          <w:szCs w:val="22"/>
          <w:lang w:val="en-US"/>
        </w:rPr>
        <w:t xml:space="preserve">Christine De Pizan. </w:t>
      </w:r>
      <w:r w:rsidRPr="2D0D95AE">
        <w:rPr>
          <w:rFonts w:ascii="Georgia" w:hAnsi="Georgia"/>
          <w:i/>
          <w:iCs/>
          <w:sz w:val="22"/>
          <w:szCs w:val="22"/>
          <w:lang w:val="en-US"/>
        </w:rPr>
        <w:t>Le livre des trois vertus: édition critique</w:t>
      </w:r>
      <w:r w:rsidRPr="2D0D95AE">
        <w:rPr>
          <w:rFonts w:ascii="Georgia" w:hAnsi="Georgia"/>
          <w:sz w:val="22"/>
          <w:szCs w:val="22"/>
          <w:lang w:val="en-US"/>
        </w:rPr>
        <w:t>. Wetenschappelijke uitgave door Charity C. Willard en Eric Hicks. Parijs: Librairie Honoré Champion, 1989.</w:t>
      </w:r>
    </w:p>
    <w:p w14:paraId="3DCBFEC8" w14:textId="77777777" w:rsidR="00BC7A4B" w:rsidRPr="00717B05" w:rsidRDefault="00BC7A4B" w:rsidP="2D0D95AE">
      <w:pPr>
        <w:spacing w:after="240" w:line="360" w:lineRule="auto"/>
        <w:jc w:val="both"/>
        <w:rPr>
          <w:rFonts w:ascii="Georgia" w:hAnsi="Georgia"/>
          <w:sz w:val="22"/>
          <w:szCs w:val="22"/>
          <w:lang w:val="en-US"/>
        </w:rPr>
      </w:pPr>
      <w:r w:rsidRPr="2D0D95AE">
        <w:rPr>
          <w:rFonts w:ascii="Georgia" w:hAnsi="Georgia"/>
          <w:sz w:val="22"/>
          <w:szCs w:val="22"/>
          <w:lang w:val="en-US"/>
        </w:rPr>
        <w:t xml:space="preserve">Devillers, Léopold. </w:t>
      </w:r>
      <w:r w:rsidRPr="2D0D95AE">
        <w:rPr>
          <w:rFonts w:ascii="Georgia" w:hAnsi="Georgia"/>
          <w:i/>
          <w:iCs/>
          <w:sz w:val="22"/>
          <w:szCs w:val="22"/>
          <w:lang w:val="en-US"/>
        </w:rPr>
        <w:t>Cartulaire des comtes de Hainaut, de l’avènement de Guillaume II à la mort de Jacqueline de Bavière</w:t>
      </w:r>
      <w:r w:rsidRPr="2D0D95AE">
        <w:rPr>
          <w:rFonts w:ascii="Georgia" w:hAnsi="Georgia"/>
          <w:sz w:val="22"/>
          <w:szCs w:val="22"/>
          <w:lang w:val="en-US"/>
        </w:rPr>
        <w:t>. Brussel: Hayez, 1881.</w:t>
      </w:r>
    </w:p>
    <w:p w14:paraId="55FA16FF" w14:textId="77777777" w:rsidR="00BC7A4B" w:rsidRPr="00624D6B" w:rsidRDefault="00BC7A4B" w:rsidP="2D0D95AE">
      <w:pPr>
        <w:spacing w:after="240" w:line="360" w:lineRule="auto"/>
        <w:jc w:val="both"/>
        <w:rPr>
          <w:rFonts w:ascii="Georgia" w:hAnsi="Georgia"/>
          <w:sz w:val="22"/>
          <w:szCs w:val="22"/>
          <w:lang w:val="en-US"/>
        </w:rPr>
      </w:pPr>
      <w:r w:rsidRPr="2D0D95AE">
        <w:rPr>
          <w:rFonts w:ascii="Georgia" w:hAnsi="Georgia"/>
          <w:sz w:val="22"/>
          <w:szCs w:val="22"/>
          <w:lang w:val="en-US"/>
        </w:rPr>
        <w:lastRenderedPageBreak/>
        <w:t xml:space="preserve">Eustache Dechamps. </w:t>
      </w:r>
      <w:r w:rsidRPr="2D0D95AE">
        <w:rPr>
          <w:rFonts w:ascii="Georgia" w:hAnsi="Georgia"/>
          <w:i/>
          <w:iCs/>
          <w:sz w:val="22"/>
          <w:szCs w:val="22"/>
          <w:lang w:val="en-US"/>
        </w:rPr>
        <w:t>Eustache Deschamps en son temps</w:t>
      </w:r>
      <w:r w:rsidRPr="2D0D95AE">
        <w:rPr>
          <w:rFonts w:ascii="Georgia" w:hAnsi="Georgia"/>
          <w:sz w:val="22"/>
          <w:szCs w:val="22"/>
          <w:lang w:val="en-US"/>
        </w:rPr>
        <w:t>. Wetenschappelijke uitgave door Jean-Patrice Boudet en Hélène Millet. Parijs: Publications de la Sorbonne, 1997.</w:t>
      </w:r>
    </w:p>
    <w:p w14:paraId="76511464" w14:textId="77777777" w:rsidR="00BC7A4B" w:rsidRPr="00717B05" w:rsidRDefault="00BC7A4B" w:rsidP="2D0D95AE">
      <w:pPr>
        <w:spacing w:after="240" w:line="360" w:lineRule="auto"/>
        <w:jc w:val="both"/>
        <w:rPr>
          <w:rFonts w:ascii="Georgia" w:hAnsi="Georgia"/>
          <w:sz w:val="22"/>
          <w:szCs w:val="22"/>
          <w:lang w:val="en-US"/>
        </w:rPr>
      </w:pPr>
      <w:r w:rsidRPr="2D0D95AE">
        <w:rPr>
          <w:rFonts w:ascii="Georgia" w:hAnsi="Georgia"/>
          <w:sz w:val="22"/>
          <w:szCs w:val="22"/>
          <w:lang w:val="en-US"/>
        </w:rPr>
        <w:t xml:space="preserve">Graffart, Arlette, en André Uyttebrouck. </w:t>
      </w:r>
      <w:r w:rsidRPr="2D0D95AE">
        <w:rPr>
          <w:rFonts w:ascii="Georgia" w:hAnsi="Georgia"/>
          <w:i/>
          <w:iCs/>
          <w:sz w:val="22"/>
          <w:szCs w:val="22"/>
          <w:lang w:val="en-US"/>
        </w:rPr>
        <w:t>Quelques documents inédits concernant l’accession de la Maison de Bourgogne au duché de Brabant 1395-1404</w:t>
      </w:r>
      <w:r w:rsidRPr="2D0D95AE">
        <w:rPr>
          <w:rFonts w:ascii="Georgia" w:hAnsi="Georgia"/>
          <w:sz w:val="22"/>
          <w:szCs w:val="22"/>
          <w:lang w:val="en-US"/>
        </w:rPr>
        <w:t>. Brussel: Palais des Académies, 1971.</w:t>
      </w:r>
    </w:p>
    <w:p w14:paraId="1F8845C7" w14:textId="77777777" w:rsidR="00BC7A4B" w:rsidRDefault="00BC7A4B" w:rsidP="2D0D95AE">
      <w:pPr>
        <w:spacing w:after="240" w:line="360" w:lineRule="auto"/>
        <w:jc w:val="both"/>
        <w:rPr>
          <w:rFonts w:ascii="Georgia" w:hAnsi="Georgia"/>
          <w:sz w:val="22"/>
          <w:szCs w:val="22"/>
          <w:lang w:val="en-US"/>
        </w:rPr>
      </w:pPr>
      <w:r w:rsidRPr="2D0D95AE">
        <w:rPr>
          <w:rFonts w:ascii="Georgia" w:hAnsi="Georgia"/>
          <w:sz w:val="22"/>
          <w:szCs w:val="22"/>
          <w:lang w:val="en-US"/>
        </w:rPr>
        <w:t xml:space="preserve">Guillebert van Lannoy. </w:t>
      </w:r>
      <w:r w:rsidRPr="2D0D95AE">
        <w:rPr>
          <w:rFonts w:ascii="Georgia" w:hAnsi="Georgia"/>
          <w:i/>
          <w:iCs/>
          <w:sz w:val="22"/>
          <w:szCs w:val="22"/>
          <w:lang w:val="en-US"/>
        </w:rPr>
        <w:t>Denkbeelden van een vliesridder: de Instruction d’un jeune prince van Guillebert van Lannoy</w:t>
      </w:r>
      <w:r w:rsidRPr="2D0D95AE">
        <w:rPr>
          <w:rFonts w:ascii="Georgia" w:hAnsi="Georgia"/>
          <w:sz w:val="22"/>
          <w:szCs w:val="22"/>
          <w:lang w:val="en-US"/>
        </w:rPr>
        <w:t>.  Wetenschappelijke uitgave door C. G Van Leeuwen. Amsterdam: Graduate press, 1975.</w:t>
      </w:r>
    </w:p>
    <w:p w14:paraId="49E9AA1A" w14:textId="77777777" w:rsidR="00BC7A4B" w:rsidRPr="00717B05" w:rsidRDefault="00BC7A4B" w:rsidP="2D0D95AE">
      <w:pPr>
        <w:spacing w:after="240" w:line="360" w:lineRule="auto"/>
        <w:jc w:val="both"/>
        <w:rPr>
          <w:rFonts w:ascii="Georgia" w:hAnsi="Georgia"/>
          <w:sz w:val="22"/>
          <w:szCs w:val="22"/>
          <w:lang w:val="en-US"/>
        </w:rPr>
      </w:pPr>
      <w:r w:rsidRPr="2D0D95AE">
        <w:rPr>
          <w:rFonts w:ascii="Georgia" w:hAnsi="Georgia"/>
          <w:sz w:val="22"/>
          <w:szCs w:val="22"/>
          <w:lang w:val="en-US"/>
        </w:rPr>
        <w:t xml:space="preserve">Jan van Boendale, e.a. </w:t>
      </w:r>
      <w:r w:rsidRPr="2D0D95AE">
        <w:rPr>
          <w:rFonts w:ascii="Georgia" w:hAnsi="Georgia"/>
          <w:i/>
          <w:iCs/>
          <w:sz w:val="22"/>
          <w:szCs w:val="22"/>
          <w:lang w:val="en-US"/>
        </w:rPr>
        <w:t>De Brabantsche Yeesten of Rymkronyk van Braband</w:t>
      </w:r>
      <w:r w:rsidRPr="2D0D95AE">
        <w:rPr>
          <w:rFonts w:ascii="Georgia" w:hAnsi="Georgia"/>
          <w:sz w:val="22"/>
          <w:szCs w:val="22"/>
          <w:lang w:val="en-US"/>
        </w:rPr>
        <w:t>. Wetenschappelijke uitgave door J.F., Willems. Vol. 2. Brussel: Hayez, 1843.</w:t>
      </w:r>
    </w:p>
    <w:p w14:paraId="242F73E0" w14:textId="77777777" w:rsidR="00BC7A4B" w:rsidRDefault="00BC7A4B" w:rsidP="2D0D95AE">
      <w:pPr>
        <w:spacing w:after="240" w:line="360" w:lineRule="auto"/>
        <w:jc w:val="both"/>
        <w:rPr>
          <w:rFonts w:ascii="Georgia" w:hAnsi="Georgia"/>
          <w:sz w:val="22"/>
          <w:szCs w:val="22"/>
          <w:lang w:val="en-US"/>
        </w:rPr>
      </w:pPr>
      <w:r w:rsidRPr="2D0D95AE">
        <w:rPr>
          <w:rFonts w:ascii="Georgia" w:hAnsi="Georgia"/>
          <w:sz w:val="22"/>
          <w:szCs w:val="22"/>
          <w:lang w:val="en-US"/>
        </w:rPr>
        <w:t xml:space="preserve">Jean Froissart, </w:t>
      </w:r>
      <w:r w:rsidRPr="2D0D95AE">
        <w:rPr>
          <w:rFonts w:ascii="Georgia" w:hAnsi="Georgia"/>
          <w:i/>
          <w:iCs/>
          <w:sz w:val="22"/>
          <w:szCs w:val="22"/>
          <w:lang w:val="en-US"/>
        </w:rPr>
        <w:t>La prison amoureuse</w:t>
      </w:r>
      <w:r w:rsidRPr="2D0D95AE">
        <w:rPr>
          <w:rFonts w:ascii="Georgia" w:hAnsi="Georgia"/>
          <w:sz w:val="22"/>
          <w:szCs w:val="22"/>
          <w:lang w:val="en-US"/>
        </w:rPr>
        <w:t>. Wetenschappelijke uitgave door Anthime Fourrier.  Parijs: Klincksieck, 1974.</w:t>
      </w:r>
    </w:p>
    <w:p w14:paraId="506A79FC" w14:textId="7FF8E911" w:rsidR="00702CB7" w:rsidRDefault="00702CB7" w:rsidP="2D0D95AE">
      <w:pPr>
        <w:spacing w:after="240" w:line="360" w:lineRule="auto"/>
        <w:jc w:val="both"/>
        <w:rPr>
          <w:rFonts w:ascii="Georgia" w:hAnsi="Georgia"/>
          <w:sz w:val="22"/>
          <w:szCs w:val="22"/>
          <w:lang w:val="en-US"/>
        </w:rPr>
      </w:pPr>
      <w:r w:rsidRPr="2D0D95AE">
        <w:rPr>
          <w:rFonts w:ascii="Georgia" w:hAnsi="Georgia"/>
          <w:sz w:val="22"/>
          <w:szCs w:val="22"/>
          <w:lang w:val="en-US"/>
        </w:rPr>
        <w:t xml:space="preserve">Jean Froissart, </w:t>
      </w:r>
      <w:r>
        <w:br/>
      </w:r>
      <w:r w:rsidR="00E63A55" w:rsidRPr="2D0D95AE">
        <w:rPr>
          <w:rFonts w:ascii="Georgia" w:hAnsi="Georgia"/>
          <w:i/>
          <w:iCs/>
          <w:sz w:val="22"/>
          <w:szCs w:val="22"/>
          <w:lang w:val="en-US"/>
        </w:rPr>
        <w:t>Les chroniques de Jean Froissart</w:t>
      </w:r>
      <w:r w:rsidR="00E63A55" w:rsidRPr="2D0D95AE">
        <w:rPr>
          <w:rFonts w:ascii="Georgia" w:hAnsi="Georgia"/>
          <w:sz w:val="22"/>
          <w:szCs w:val="22"/>
          <w:lang w:val="en-US"/>
        </w:rPr>
        <w:t>. vol. 2. Wetenschappelijke uitgave door Jean Creton. Parijs: Verdière, 1824.</w:t>
      </w:r>
    </w:p>
    <w:p w14:paraId="521FFD74" w14:textId="7A4A6AA0" w:rsidR="00E63A55" w:rsidRPr="00717B05" w:rsidRDefault="00835DB8" w:rsidP="2D0D95AE">
      <w:pPr>
        <w:spacing w:after="240" w:line="360" w:lineRule="auto"/>
        <w:jc w:val="both"/>
        <w:rPr>
          <w:rFonts w:ascii="Georgia" w:hAnsi="Georgia"/>
          <w:sz w:val="22"/>
          <w:szCs w:val="22"/>
          <w:lang w:val="en-US"/>
        </w:rPr>
      </w:pPr>
      <w:r w:rsidRPr="2D0D95AE">
        <w:rPr>
          <w:rFonts w:ascii="Georgia" w:hAnsi="Georgia"/>
          <w:sz w:val="22"/>
          <w:szCs w:val="22"/>
          <w:lang w:val="en-US"/>
        </w:rPr>
        <w:t xml:space="preserve">Jean Froissart, </w:t>
      </w:r>
      <w:r w:rsidRPr="2D0D95AE">
        <w:rPr>
          <w:rFonts w:ascii="Georgia" w:hAnsi="Georgia"/>
          <w:i/>
          <w:iCs/>
          <w:sz w:val="22"/>
          <w:szCs w:val="22"/>
          <w:lang w:val="en-US"/>
        </w:rPr>
        <w:t>Chroniques de J. Froissart</w:t>
      </w:r>
      <w:r w:rsidRPr="2D0D95AE">
        <w:rPr>
          <w:rFonts w:ascii="Georgia" w:hAnsi="Georgia"/>
          <w:sz w:val="22"/>
          <w:szCs w:val="22"/>
          <w:lang w:val="en-US"/>
        </w:rPr>
        <w:t>, vol. 11</w:t>
      </w:r>
      <w:r w:rsidR="009374B8" w:rsidRPr="2D0D95AE">
        <w:rPr>
          <w:rFonts w:ascii="Georgia" w:hAnsi="Georgia"/>
          <w:sz w:val="22"/>
          <w:szCs w:val="22"/>
          <w:lang w:val="en-US"/>
        </w:rPr>
        <w:t>. Wetenschappelijke uitgave door Siméon Luce, Gaston Raynaud, Albert Mirot en Léon Mirot. Parijs: Librairie de la societé de l’histoire de France: 18</w:t>
      </w:r>
      <w:r w:rsidR="001659EC" w:rsidRPr="2D0D95AE">
        <w:rPr>
          <w:rFonts w:ascii="Georgia" w:hAnsi="Georgia"/>
          <w:sz w:val="22"/>
          <w:szCs w:val="22"/>
          <w:lang w:val="en-US"/>
        </w:rPr>
        <w:t>69-1975.</w:t>
      </w:r>
    </w:p>
    <w:p w14:paraId="4B7D1657" w14:textId="77777777" w:rsidR="00BC7A4B" w:rsidRPr="00717B05" w:rsidRDefault="00BC7A4B" w:rsidP="2D0D95AE">
      <w:pPr>
        <w:spacing w:after="240" w:line="360" w:lineRule="auto"/>
        <w:jc w:val="both"/>
        <w:rPr>
          <w:rFonts w:ascii="Georgia" w:hAnsi="Georgia"/>
          <w:sz w:val="22"/>
          <w:szCs w:val="22"/>
          <w:lang w:val="en-US"/>
        </w:rPr>
      </w:pPr>
      <w:r w:rsidRPr="2D0D95AE">
        <w:rPr>
          <w:rFonts w:ascii="Georgia" w:hAnsi="Georgia"/>
          <w:sz w:val="22"/>
          <w:szCs w:val="22"/>
          <w:lang w:val="en-US"/>
        </w:rPr>
        <w:t xml:space="preserve">Laurent, Henri, en Fritz Quicke. “Documents pour servir à l’histoire de la maison de Bourgogne en Brabant et en Limbourg (fin du XIVe siècle)”. </w:t>
      </w:r>
      <w:r w:rsidRPr="2D0D95AE">
        <w:rPr>
          <w:rFonts w:ascii="Georgia" w:hAnsi="Georgia"/>
          <w:i/>
          <w:iCs/>
          <w:sz w:val="22"/>
          <w:szCs w:val="22"/>
          <w:lang w:val="en-US"/>
        </w:rPr>
        <w:t>Bulletin de la commission royale d’histoire</w:t>
      </w:r>
      <w:r w:rsidRPr="2D0D95AE">
        <w:rPr>
          <w:rFonts w:ascii="Georgia" w:hAnsi="Georgia"/>
          <w:sz w:val="22"/>
          <w:szCs w:val="22"/>
          <w:lang w:val="en-US"/>
        </w:rPr>
        <w:t xml:space="preserve"> 97 (1933): 39-188.</w:t>
      </w:r>
    </w:p>
    <w:p w14:paraId="18CEE9C4" w14:textId="77777777" w:rsidR="00BC7A4B" w:rsidRPr="00BB723C" w:rsidRDefault="00BC7A4B" w:rsidP="2D0D95AE">
      <w:pPr>
        <w:spacing w:after="240" w:line="360" w:lineRule="auto"/>
        <w:jc w:val="both"/>
        <w:rPr>
          <w:rFonts w:ascii="Georgia" w:hAnsi="Georgia"/>
          <w:sz w:val="22"/>
          <w:szCs w:val="22"/>
          <w:lang w:val="en-US"/>
        </w:rPr>
      </w:pPr>
      <w:r w:rsidRPr="2D0D95AE">
        <w:rPr>
          <w:rFonts w:ascii="Georgia" w:hAnsi="Georgia"/>
          <w:sz w:val="22"/>
          <w:szCs w:val="22"/>
          <w:lang w:val="en-US"/>
        </w:rPr>
        <w:t xml:space="preserve">Vanden Bussche, Emile. “Une Complaincte ecclésiastique au duc de Brabant et au comte de Hainaut. Document inédit du XIVe siècle.” </w:t>
      </w:r>
      <w:r w:rsidRPr="2D0D95AE">
        <w:rPr>
          <w:rFonts w:ascii="Georgia" w:hAnsi="Georgia"/>
          <w:i/>
          <w:iCs/>
          <w:sz w:val="22"/>
          <w:szCs w:val="22"/>
          <w:lang w:val="en-US"/>
        </w:rPr>
        <w:t>Compte-rendu des séances de la commission royale d’histoire</w:t>
      </w:r>
      <w:r w:rsidRPr="2D0D95AE">
        <w:rPr>
          <w:rFonts w:ascii="Georgia" w:hAnsi="Georgia"/>
          <w:sz w:val="22"/>
          <w:szCs w:val="22"/>
          <w:lang w:val="en-US"/>
        </w:rPr>
        <w:t xml:space="preserve"> 55, nr. 13 (1886): 109-25. </w:t>
      </w:r>
    </w:p>
    <w:p w14:paraId="54EAB5BB" w14:textId="77777777" w:rsidR="00BC7A4B" w:rsidRPr="00717B05" w:rsidRDefault="00BC7A4B" w:rsidP="2D0D95AE">
      <w:pPr>
        <w:spacing w:before="240" w:after="240" w:line="360" w:lineRule="auto"/>
        <w:jc w:val="both"/>
        <w:rPr>
          <w:rFonts w:ascii="Georgia" w:hAnsi="Georgia"/>
          <w:sz w:val="22"/>
          <w:szCs w:val="22"/>
          <w:lang w:val="en-US"/>
        </w:rPr>
      </w:pPr>
      <w:r w:rsidRPr="2D0D95AE">
        <w:rPr>
          <w:rFonts w:ascii="Georgia" w:hAnsi="Georgia"/>
          <w:sz w:val="22"/>
          <w:szCs w:val="22"/>
          <w:lang w:val="en-US"/>
        </w:rPr>
        <w:t xml:space="preserve">Verkooren, Alphonse. </w:t>
      </w:r>
      <w:r w:rsidRPr="2D0D95AE">
        <w:rPr>
          <w:rFonts w:ascii="Georgia" w:hAnsi="Georgia"/>
          <w:i/>
          <w:iCs/>
          <w:sz w:val="22"/>
          <w:szCs w:val="22"/>
          <w:lang w:val="en-US"/>
        </w:rPr>
        <w:t>Inventaire des chartes &amp; cartulaires du Luxembourg (comté puis duché)</w:t>
      </w:r>
      <w:r w:rsidRPr="2D0D95AE">
        <w:rPr>
          <w:rFonts w:ascii="Georgia" w:hAnsi="Georgia"/>
          <w:sz w:val="22"/>
          <w:szCs w:val="22"/>
          <w:lang w:val="en-US"/>
        </w:rPr>
        <w:t>. 5 v. Brussel: Guyot, 1914.</w:t>
      </w:r>
    </w:p>
    <w:p w14:paraId="4B4AA33F" w14:textId="77777777" w:rsidR="00BC7A4B" w:rsidRDefault="00BC7A4B" w:rsidP="2D0D95AE">
      <w:pPr>
        <w:spacing w:before="240" w:after="240" w:line="360" w:lineRule="auto"/>
        <w:jc w:val="both"/>
        <w:rPr>
          <w:rFonts w:ascii="Georgia" w:hAnsi="Georgia"/>
          <w:sz w:val="22"/>
          <w:szCs w:val="22"/>
          <w:lang w:val="en-US"/>
        </w:rPr>
      </w:pPr>
      <w:r w:rsidRPr="2D0D95AE">
        <w:rPr>
          <w:rFonts w:ascii="Georgia" w:hAnsi="Georgia"/>
          <w:sz w:val="22"/>
          <w:szCs w:val="22"/>
          <w:lang w:val="en-US"/>
        </w:rPr>
        <w:t xml:space="preserve">Verkooren, Alphonse. </w:t>
      </w:r>
      <w:r w:rsidRPr="2D0D95AE">
        <w:rPr>
          <w:rFonts w:ascii="Georgia" w:hAnsi="Georgia"/>
          <w:i/>
          <w:iCs/>
          <w:sz w:val="22"/>
          <w:szCs w:val="22"/>
          <w:lang w:val="en-US"/>
        </w:rPr>
        <w:t xml:space="preserve">Inventaire des chartes et cartulaires des Duchés de Brabant et de Limbourg et des pays d’Outre-Meuse. </w:t>
      </w:r>
      <w:proofErr w:type="gramStart"/>
      <w:r w:rsidRPr="2D0D95AE">
        <w:rPr>
          <w:rFonts w:ascii="Georgia" w:hAnsi="Georgia"/>
          <w:i/>
          <w:iCs/>
          <w:sz w:val="22"/>
          <w:szCs w:val="22"/>
          <w:lang w:val="en-US"/>
        </w:rPr>
        <w:t>1</w:t>
      </w:r>
      <w:r w:rsidRPr="2D0D95AE">
        <w:rPr>
          <w:i/>
          <w:iCs/>
          <w:sz w:val="22"/>
          <w:szCs w:val="22"/>
          <w:lang w:val="en-US"/>
        </w:rPr>
        <w:t> </w:t>
      </w:r>
      <w:r w:rsidRPr="2D0D95AE">
        <w:rPr>
          <w:rFonts w:ascii="Georgia" w:hAnsi="Georgia"/>
          <w:i/>
          <w:iCs/>
          <w:sz w:val="22"/>
          <w:szCs w:val="22"/>
          <w:lang w:val="en-US"/>
        </w:rPr>
        <w:t>:</w:t>
      </w:r>
      <w:proofErr w:type="gramEnd"/>
      <w:r w:rsidRPr="2D0D95AE">
        <w:rPr>
          <w:rFonts w:ascii="Georgia" w:hAnsi="Georgia"/>
          <w:i/>
          <w:iCs/>
          <w:sz w:val="22"/>
          <w:szCs w:val="22"/>
          <w:lang w:val="en-US"/>
        </w:rPr>
        <w:t xml:space="preserve"> Chartes originales et vidimées</w:t>
      </w:r>
      <w:r w:rsidRPr="2D0D95AE">
        <w:rPr>
          <w:rFonts w:ascii="Georgia" w:hAnsi="Georgia"/>
          <w:sz w:val="22"/>
          <w:szCs w:val="22"/>
          <w:lang w:val="en-US"/>
        </w:rPr>
        <w:t>. Vols. 7 en 8. Brussel: Archives générales du royaume, 1999.</w:t>
      </w:r>
    </w:p>
    <w:p w14:paraId="2EAC6885" w14:textId="07381E05" w:rsidR="00BC7A4B" w:rsidRPr="00717B05" w:rsidRDefault="00BC7A4B" w:rsidP="2D0D95AE">
      <w:pPr>
        <w:spacing w:before="240" w:after="240" w:line="360" w:lineRule="auto"/>
        <w:jc w:val="both"/>
        <w:rPr>
          <w:rFonts w:ascii="Georgia" w:hAnsi="Georgia"/>
          <w:sz w:val="22"/>
          <w:szCs w:val="22"/>
          <w:lang w:val="en-US"/>
        </w:rPr>
      </w:pPr>
      <w:r w:rsidRPr="2D0D95AE">
        <w:rPr>
          <w:rFonts w:ascii="Georgia" w:hAnsi="Georgia"/>
          <w:sz w:val="22"/>
          <w:szCs w:val="22"/>
          <w:lang w:val="en-US"/>
        </w:rPr>
        <w:lastRenderedPageBreak/>
        <w:t xml:space="preserve">Verkooren, Alphonse. </w:t>
      </w:r>
      <w:r w:rsidRPr="2D0D95AE">
        <w:rPr>
          <w:rFonts w:ascii="Georgia" w:hAnsi="Georgia"/>
          <w:i/>
          <w:iCs/>
          <w:sz w:val="22"/>
          <w:szCs w:val="22"/>
          <w:lang w:val="en-US"/>
        </w:rPr>
        <w:t>Inventaire des chartes et cartulaires des Duchés de Brabant et de Limbourg et des pays d’Outre-Meuse</w:t>
      </w:r>
      <w:r w:rsidRPr="2D0D95AE">
        <w:rPr>
          <w:rFonts w:ascii="Georgia" w:hAnsi="Georgia"/>
          <w:sz w:val="22"/>
          <w:szCs w:val="22"/>
          <w:lang w:val="en-US"/>
        </w:rPr>
        <w:t>. Vol 2.2, Brussel: Archives générales du royaume, 1910-1988.</w:t>
      </w:r>
    </w:p>
    <w:p w14:paraId="07A1AF76" w14:textId="47723362" w:rsidR="00BC7A4B" w:rsidRPr="00BC7A4B" w:rsidRDefault="00B7487F" w:rsidP="00BC7A4B">
      <w:pPr>
        <w:pStyle w:val="ThesisHeading"/>
      </w:pPr>
      <w:bookmarkStart w:id="307" w:name="_Toc231329871"/>
      <w:bookmarkStart w:id="308" w:name="_Toc231330478"/>
      <w:bookmarkStart w:id="309" w:name="_Toc231428072"/>
      <w:bookmarkStart w:id="310" w:name="_Toc231463621"/>
      <w:proofErr w:type="spellStart"/>
      <w:r>
        <w:t>Secundaire</w:t>
      </w:r>
      <w:proofErr w:type="spellEnd"/>
      <w:r>
        <w:t xml:space="preserve"> </w:t>
      </w:r>
      <w:proofErr w:type="spellStart"/>
      <w:r>
        <w:t>literatuur</w:t>
      </w:r>
      <w:bookmarkEnd w:id="307"/>
      <w:bookmarkEnd w:id="308"/>
      <w:bookmarkEnd w:id="309"/>
      <w:bookmarkEnd w:id="310"/>
      <w:proofErr w:type="spellEnd"/>
    </w:p>
    <w:p w14:paraId="3FFBAEF3" w14:textId="0952F1FB" w:rsidR="00BC7A4B" w:rsidRPr="009F00C4" w:rsidRDefault="00BC7A4B" w:rsidP="2D0D95AE">
      <w:pPr>
        <w:rPr>
          <w:b/>
          <w:bCs/>
          <w:sz w:val="28"/>
          <w:szCs w:val="28"/>
          <w:lang w:val="en-US"/>
        </w:rPr>
      </w:pPr>
      <w:r w:rsidRPr="2D0D95AE">
        <w:rPr>
          <w:rStyle w:val="Strong"/>
          <w:sz w:val="28"/>
          <w:szCs w:val="28"/>
          <w:lang w:val="en-US"/>
        </w:rPr>
        <w:t>Werken</w:t>
      </w:r>
    </w:p>
    <w:p w14:paraId="654C7728" w14:textId="77777777" w:rsidR="009F00C4" w:rsidRPr="009F00C4" w:rsidRDefault="009F00C4" w:rsidP="00AE25D3">
      <w:pPr>
        <w:spacing w:line="276" w:lineRule="auto"/>
        <w:jc w:val="both"/>
        <w:rPr>
          <w:rFonts w:ascii="Georgia" w:hAnsi="Georgia" w:cs="Calibri"/>
          <w:sz w:val="22"/>
          <w:szCs w:val="22"/>
          <w:lang w:val="fr-FR"/>
        </w:rPr>
      </w:pPr>
    </w:p>
    <w:p w14:paraId="418422CE"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Adams, Tracy. “Anne de France and Gift-Giving”. In </w:t>
      </w:r>
      <w:r w:rsidRPr="2D0D95AE">
        <w:rPr>
          <w:rFonts w:ascii="Georgia" w:hAnsi="Georgia" w:cs="Calibri"/>
          <w:i/>
          <w:iCs/>
          <w:sz w:val="22"/>
          <w:szCs w:val="22"/>
          <w:lang w:val="en-US"/>
        </w:rPr>
        <w:t>Women and Power at the French Court, 1483-1563</w:t>
      </w:r>
      <w:r w:rsidRPr="2D0D95AE">
        <w:rPr>
          <w:rFonts w:ascii="Georgia" w:hAnsi="Georgia" w:cs="Calibri"/>
          <w:sz w:val="22"/>
          <w:szCs w:val="22"/>
          <w:lang w:val="en-US"/>
        </w:rPr>
        <w:t xml:space="preserve">, Onder redactie van Carla Freccero, Susan Broomhall, Pollie Bromilow, Mawy Bouchard, en Cynthia J. Brown: 65-84. Routledge, 2025. </w:t>
      </w:r>
    </w:p>
    <w:p w14:paraId="05381A8C"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Alberts, Jappe. </w:t>
      </w:r>
      <w:r w:rsidRPr="2D0D95AE">
        <w:rPr>
          <w:rFonts w:ascii="Georgia" w:hAnsi="Georgia" w:cs="Calibri"/>
          <w:i/>
          <w:iCs/>
          <w:sz w:val="22"/>
          <w:szCs w:val="22"/>
          <w:lang w:val="en-US"/>
        </w:rPr>
        <w:t>Geschiedenis van Gelderland: van de vroegste tijden tot het einde der middeleeuwen</w:t>
      </w:r>
      <w:r w:rsidRPr="2D0D95AE">
        <w:rPr>
          <w:rFonts w:ascii="Georgia" w:hAnsi="Georgia" w:cs="Calibri"/>
          <w:sz w:val="22"/>
          <w:szCs w:val="22"/>
          <w:lang w:val="en-US"/>
        </w:rPr>
        <w:t>. Den Haag: Nijhoff, 1966.</w:t>
      </w:r>
    </w:p>
    <w:p w14:paraId="545F1AF0"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Armstrong, C.A.J. La Politique matrimoniale des ducs de Bourgogne de la maison de Valois”. </w:t>
      </w:r>
      <w:r w:rsidRPr="2D0D95AE">
        <w:rPr>
          <w:rFonts w:ascii="Georgia" w:hAnsi="Georgia" w:cs="Calibri"/>
          <w:i/>
          <w:iCs/>
          <w:sz w:val="22"/>
          <w:szCs w:val="22"/>
          <w:lang w:val="en-US"/>
        </w:rPr>
        <w:t>Annales de Bourgogne</w:t>
      </w:r>
      <w:r w:rsidRPr="2D0D95AE">
        <w:rPr>
          <w:rFonts w:ascii="Georgia" w:hAnsi="Georgia" w:cs="Calibri"/>
          <w:sz w:val="22"/>
          <w:szCs w:val="22"/>
          <w:lang w:val="en-US"/>
        </w:rPr>
        <w:t>. Nr. 157 (1968): 5-139.</w:t>
      </w:r>
    </w:p>
    <w:p w14:paraId="5F995E39"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Avonds, P. Brabant tijdens de regering van Hertog Jan III (1312 - 1356): land en instellingen. Verhandelingen van de Koninklijke Academie voor Wetenschappen, Letteren en Schone Kunsten van Belgie, Klasse der Letteren, Nr. 136. Brussel: Paleis der Academiën, 1991.</w:t>
      </w:r>
    </w:p>
    <w:p w14:paraId="19C0A646"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Avonds, Piet. “Brabant en Limburg”. In </w:t>
      </w:r>
      <w:r w:rsidRPr="2D0D95AE">
        <w:rPr>
          <w:rFonts w:ascii="Georgia" w:hAnsi="Georgia" w:cs="Calibri"/>
          <w:i/>
          <w:iCs/>
          <w:sz w:val="22"/>
          <w:szCs w:val="22"/>
          <w:lang w:val="en-US"/>
        </w:rPr>
        <w:t>Algemene Geschiedenis der Nederlanden: 2 Middeleeuwen</w:t>
      </w:r>
      <w:r w:rsidRPr="2D0D95AE">
        <w:rPr>
          <w:rFonts w:ascii="Georgia" w:hAnsi="Georgia" w:cs="Calibri"/>
          <w:sz w:val="22"/>
          <w:szCs w:val="22"/>
          <w:lang w:val="en-US"/>
        </w:rPr>
        <w:t>. Onder redactie van D. P. Blok: 453-482. Bussum: Fibula-Van Dishoeck, 1982.</w:t>
      </w:r>
    </w:p>
    <w:p w14:paraId="0EB77EAF"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Avonds, Piet. </w:t>
      </w:r>
      <w:r w:rsidRPr="2D0D95AE">
        <w:rPr>
          <w:rFonts w:ascii="Georgia" w:hAnsi="Georgia" w:cs="Calibri"/>
          <w:i/>
          <w:iCs/>
          <w:sz w:val="22"/>
          <w:szCs w:val="22"/>
          <w:lang w:val="en-US"/>
        </w:rPr>
        <w:t>Brabant tijdens de regering van hertog Jan III, 1312-1356: de grote politieke krisissen.</w:t>
      </w:r>
      <w:r w:rsidRPr="2D0D95AE">
        <w:rPr>
          <w:rFonts w:ascii="Georgia" w:hAnsi="Georgia" w:cs="Calibri"/>
          <w:sz w:val="22"/>
          <w:szCs w:val="22"/>
          <w:lang w:val="en-US"/>
        </w:rPr>
        <w:t xml:space="preserve"> Verhandelingen van de Koninklijke academie voor wetenschappen, letteren en schone kunsten van België 114. Brussel: Koninklijke academie voor wetenschappen letteren en schone kunsten von België, 1984.</w:t>
      </w:r>
    </w:p>
    <w:p w14:paraId="3083BC58"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Besamusca, Bart. “The Patronand the Implied Readership of The Hague, Koninklijke Bibliotheek, MS 76 E5”. In </w:t>
      </w:r>
      <w:r w:rsidRPr="2D0D95AE">
        <w:rPr>
          <w:rFonts w:ascii="Georgia" w:hAnsi="Georgia" w:cs="Calibri"/>
          <w:i/>
          <w:iCs/>
          <w:sz w:val="22"/>
          <w:szCs w:val="22"/>
          <w:lang w:val="en-US"/>
        </w:rPr>
        <w:t>The Dynamics of the Medieval Manuscript: Text Collections from a European Perspective</w:t>
      </w:r>
      <w:r w:rsidRPr="2D0D95AE">
        <w:rPr>
          <w:rFonts w:ascii="Georgia" w:hAnsi="Georgia" w:cs="Calibri"/>
          <w:sz w:val="22"/>
          <w:szCs w:val="22"/>
          <w:lang w:val="en-US"/>
        </w:rPr>
        <w:t>. Onder redactie van Karen Pratt, Bart Besamusca, Florian Kragl, Matthias meyer, Ad Putter: 41-56 Göttingen: V&amp;R Unipress, 2017.</w:t>
      </w:r>
    </w:p>
    <w:p w14:paraId="48DD3B5C"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Bianchini, Janna. “A Mirror for a Queen? Constructions of Queenship in Twelfth- and </w:t>
      </w:r>
      <w:proofErr w:type="gramStart"/>
      <w:r w:rsidRPr="2D0D95AE">
        <w:rPr>
          <w:rFonts w:ascii="Georgia" w:hAnsi="Georgia" w:cs="Calibri"/>
          <w:sz w:val="22"/>
          <w:szCs w:val="22"/>
          <w:lang w:val="en-US"/>
        </w:rPr>
        <w:t>Thirteenth-Century León</w:t>
      </w:r>
      <w:proofErr w:type="gramEnd"/>
      <w:r w:rsidRPr="2D0D95AE">
        <w:rPr>
          <w:rFonts w:ascii="Georgia" w:hAnsi="Georgia" w:cs="Calibri"/>
          <w:sz w:val="22"/>
          <w:szCs w:val="22"/>
          <w:lang w:val="en-US"/>
        </w:rPr>
        <w:t xml:space="preserve">-Castile”. </w:t>
      </w:r>
      <w:r w:rsidRPr="2D0D95AE">
        <w:rPr>
          <w:rFonts w:ascii="Georgia" w:hAnsi="Georgia" w:cs="Calibri"/>
          <w:i/>
          <w:iCs/>
          <w:sz w:val="22"/>
          <w:szCs w:val="22"/>
          <w:lang w:val="en-US"/>
        </w:rPr>
        <w:t>Journal of Medieval History</w:t>
      </w:r>
      <w:r w:rsidRPr="2D0D95AE">
        <w:rPr>
          <w:rFonts w:ascii="Georgia" w:hAnsi="Georgia" w:cs="Calibri"/>
          <w:sz w:val="22"/>
          <w:szCs w:val="22"/>
          <w:lang w:val="en-US"/>
        </w:rPr>
        <w:t xml:space="preserve"> 45, nr. 4 (2019): 432-56. </w:t>
      </w:r>
    </w:p>
    <w:p w14:paraId="6A3B0585"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Bijsterveld, Arnould-Jan. </w:t>
      </w:r>
      <w:r w:rsidRPr="2D0D95AE">
        <w:rPr>
          <w:rFonts w:ascii="Georgia" w:hAnsi="Georgia" w:cs="Calibri"/>
          <w:i/>
          <w:iCs/>
          <w:sz w:val="22"/>
          <w:szCs w:val="22"/>
          <w:lang w:val="en-US"/>
        </w:rPr>
        <w:t>Do ut des: Gift giving, Memoria, and conflict management in the Medieval Low Countries</w:t>
      </w:r>
      <w:r w:rsidRPr="2D0D95AE">
        <w:rPr>
          <w:rFonts w:ascii="Georgia" w:hAnsi="Georgia" w:cs="Calibri"/>
          <w:sz w:val="22"/>
          <w:szCs w:val="22"/>
          <w:lang w:val="en-US"/>
        </w:rPr>
        <w:t>. Hilversum: Verloren, 2007.</w:t>
      </w:r>
    </w:p>
    <w:p w14:paraId="754FBBFF"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lastRenderedPageBreak/>
        <w:t xml:space="preserve">Birrell, Jean. “Procuring, Preparing and Serving Venison in Late Medieval England”. In </w:t>
      </w:r>
      <w:r w:rsidRPr="2D0D95AE">
        <w:rPr>
          <w:rFonts w:ascii="Georgia" w:hAnsi="Georgia" w:cs="Calibri"/>
          <w:i/>
          <w:iCs/>
          <w:sz w:val="22"/>
          <w:szCs w:val="22"/>
          <w:lang w:val="en-US"/>
        </w:rPr>
        <w:t>Food in Medieval England: Diet and Nutrition</w:t>
      </w:r>
      <w:r w:rsidRPr="2D0D95AE">
        <w:rPr>
          <w:rFonts w:ascii="Georgia" w:hAnsi="Georgia" w:cs="Calibri"/>
          <w:sz w:val="22"/>
          <w:szCs w:val="22"/>
          <w:lang w:val="en-US"/>
        </w:rPr>
        <w:t>, onder redactie van Christopher Michael Woolgar, D. Serjeantson, en Tony Waldron:</w:t>
      </w:r>
      <w:r w:rsidRPr="2D0D95AE">
        <w:rPr>
          <w:rFonts w:ascii="Georgia" w:hAnsi="Georgia"/>
          <w:sz w:val="22"/>
          <w:szCs w:val="22"/>
          <w:lang w:val="en-US"/>
        </w:rPr>
        <w:t xml:space="preserve"> </w:t>
      </w:r>
      <w:r w:rsidRPr="2D0D95AE">
        <w:rPr>
          <w:rFonts w:ascii="Georgia" w:hAnsi="Georgia" w:cs="Calibri"/>
          <w:sz w:val="22"/>
          <w:szCs w:val="22"/>
          <w:lang w:val="en-US"/>
        </w:rPr>
        <w:t xml:space="preserve">176-188. Oxford: Oxford University Press, 2023. </w:t>
      </w:r>
    </w:p>
    <w:p w14:paraId="0EEC0912"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Blockmans, Wim. “The Devotion of a lonely Duchess”. In </w:t>
      </w:r>
      <w:r w:rsidRPr="2D0D95AE">
        <w:rPr>
          <w:rFonts w:ascii="Georgia" w:hAnsi="Georgia" w:cs="Calibri"/>
          <w:i/>
          <w:iCs/>
          <w:sz w:val="22"/>
          <w:szCs w:val="22"/>
          <w:lang w:val="en-US"/>
        </w:rPr>
        <w:t xml:space="preserve">Margaret of York, Simon Marmion, and </w:t>
      </w:r>
      <w:proofErr w:type="gramStart"/>
      <w:r w:rsidRPr="2D0D95AE">
        <w:rPr>
          <w:rFonts w:ascii="Georgia" w:hAnsi="Georgia" w:cs="Calibri"/>
          <w:i/>
          <w:iCs/>
          <w:sz w:val="22"/>
          <w:szCs w:val="22"/>
          <w:lang w:val="en-US"/>
        </w:rPr>
        <w:t>The</w:t>
      </w:r>
      <w:proofErr w:type="gramEnd"/>
      <w:r w:rsidRPr="2D0D95AE">
        <w:rPr>
          <w:rFonts w:ascii="Georgia" w:hAnsi="Georgia" w:cs="Calibri"/>
          <w:i/>
          <w:iCs/>
          <w:sz w:val="22"/>
          <w:szCs w:val="22"/>
          <w:lang w:val="en-US"/>
        </w:rPr>
        <w:t xml:space="preserve"> visions of Tondal</w:t>
      </w:r>
      <w:r w:rsidRPr="2D0D95AE">
        <w:rPr>
          <w:rFonts w:ascii="Georgia" w:hAnsi="Georgia" w:cs="Calibri"/>
          <w:sz w:val="22"/>
          <w:szCs w:val="22"/>
          <w:lang w:val="en-US"/>
        </w:rPr>
        <w:t>. Onder redactie van Thomas Kren. 29-46. Los Angeles: Getty Museum, 1992.</w:t>
      </w:r>
    </w:p>
    <w:p w14:paraId="1024AC84"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Boffa, Serge. “Art de la guerre et stratégie dans le duché de Brabant pendant la seconde moitié du XIVe siècle”. </w:t>
      </w:r>
      <w:r w:rsidRPr="2D0D95AE">
        <w:rPr>
          <w:rFonts w:ascii="Georgia" w:hAnsi="Georgia" w:cs="Calibri"/>
          <w:i/>
          <w:iCs/>
          <w:sz w:val="22"/>
          <w:szCs w:val="22"/>
          <w:lang w:val="en-US"/>
        </w:rPr>
        <w:t>Revue belge de philologie et d’histoire</w:t>
      </w:r>
      <w:r w:rsidRPr="2D0D95AE">
        <w:rPr>
          <w:rFonts w:ascii="Georgia" w:hAnsi="Georgia" w:cs="Calibri"/>
          <w:sz w:val="22"/>
          <w:szCs w:val="22"/>
          <w:lang w:val="en-US"/>
        </w:rPr>
        <w:t xml:space="preserve"> 82, nr. 4 (2004): 855-88. </w:t>
      </w:r>
    </w:p>
    <w:p w14:paraId="69FB0789"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Boffa, Serge. “Les Mariages de Jeanne de Brabant avec Guillaume de Hainaut et Wencesals de Bohême (Janvier 1331 et décembre 1351/mars 1352)”. In </w:t>
      </w:r>
      <w:r w:rsidRPr="2D0D95AE">
        <w:rPr>
          <w:rFonts w:ascii="Georgia" w:hAnsi="Georgia" w:cs="Calibri"/>
          <w:i/>
          <w:iCs/>
          <w:sz w:val="22"/>
          <w:szCs w:val="22"/>
          <w:lang w:val="en-US"/>
        </w:rPr>
        <w:t>Die Erbtochter, der fremde Fürst und das Land: die Ehe Johanns des Blinden und Elisabeths von Böhmen in vergleichender europäischer Perspektive. = L’héritière, le prince étranger et le pays: le mariage de Jean L’Aveugle et d’Elisabeth de Bohême dans une perspective comparative européenne,</w:t>
      </w:r>
      <w:r w:rsidRPr="2D0D95AE">
        <w:rPr>
          <w:rFonts w:ascii="Georgia" w:hAnsi="Georgia" w:cs="Calibri"/>
          <w:sz w:val="22"/>
          <w:szCs w:val="22"/>
          <w:lang w:val="en-US"/>
        </w:rPr>
        <w:t xml:space="preserve"> onder redactie van Michel Pauly. 181-208. Luxemburg: CLUDEM, 2013.</w:t>
      </w:r>
    </w:p>
    <w:p w14:paraId="5E5D0CD4"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Boffa, Sergio. “The Duchy of Brabant Caught Between France and England: Geopolitics and Diplomacy during the First Half of the Hundred Years War”. In The Hundred Years War, onder redactie van Andrew Villalon en Donald Kagay:</w:t>
      </w:r>
      <w:r w:rsidRPr="2D0D95AE">
        <w:rPr>
          <w:rFonts w:ascii="Georgia" w:hAnsi="Georgia"/>
          <w:sz w:val="22"/>
          <w:szCs w:val="22"/>
          <w:lang w:val="en-US"/>
        </w:rPr>
        <w:t xml:space="preserve"> </w:t>
      </w:r>
      <w:r w:rsidRPr="2D0D95AE">
        <w:rPr>
          <w:rFonts w:ascii="Georgia" w:hAnsi="Georgia" w:cs="Calibri"/>
          <w:sz w:val="22"/>
          <w:szCs w:val="22"/>
          <w:lang w:val="en-US"/>
        </w:rPr>
        <w:t xml:space="preserve">211-240 BRILL, 2005. </w:t>
      </w:r>
    </w:p>
    <w:p w14:paraId="32C1F6BC"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Boffa, Sergio. </w:t>
      </w:r>
      <w:r w:rsidRPr="2D0D95AE">
        <w:rPr>
          <w:rFonts w:ascii="Georgia" w:hAnsi="Georgia" w:cs="Calibri"/>
          <w:i/>
          <w:iCs/>
          <w:sz w:val="22"/>
          <w:szCs w:val="22"/>
          <w:lang w:val="en-US"/>
        </w:rPr>
        <w:t>Warfare in Medieval Brabant, 1356-1406</w:t>
      </w:r>
      <w:r w:rsidRPr="2D0D95AE">
        <w:rPr>
          <w:rFonts w:ascii="Georgia" w:hAnsi="Georgia" w:cs="Calibri"/>
          <w:sz w:val="22"/>
          <w:szCs w:val="22"/>
          <w:lang w:val="en-US"/>
        </w:rPr>
        <w:t>. Warfare in History. Suffolk: Boydell Press, 2004.</w:t>
      </w:r>
    </w:p>
    <w:p w14:paraId="56235C58"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Bonnefant, P., R. Aubert, R. Van Caenegem, L.-E. Halkin. </w:t>
      </w:r>
      <w:r w:rsidRPr="2D0D95AE">
        <w:rPr>
          <w:rFonts w:ascii="Georgia" w:hAnsi="Georgia" w:cs="Calibri"/>
          <w:i/>
          <w:iCs/>
          <w:sz w:val="22"/>
          <w:szCs w:val="22"/>
          <w:lang w:val="en-US"/>
        </w:rPr>
        <w:t>Monasticon Belge Tome IV Province de Brabant</w:t>
      </w:r>
      <w:r w:rsidRPr="2D0D95AE">
        <w:rPr>
          <w:rFonts w:ascii="Georgia" w:hAnsi="Georgia" w:cs="Calibri"/>
          <w:sz w:val="22"/>
          <w:szCs w:val="22"/>
          <w:lang w:val="en-US"/>
        </w:rPr>
        <w:t>. Luik: Centre National de recherches d’histoire religieuse, 1964.</w:t>
      </w:r>
    </w:p>
    <w:p w14:paraId="259A71D7"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Boone, Marc. “Muntgeschiedenis Middeleeuwen”. In </w:t>
      </w:r>
      <w:r w:rsidRPr="2D0D95AE">
        <w:rPr>
          <w:rFonts w:ascii="Georgia" w:hAnsi="Georgia" w:cs="Calibri"/>
          <w:i/>
          <w:iCs/>
          <w:sz w:val="22"/>
          <w:szCs w:val="22"/>
          <w:lang w:val="en-US"/>
        </w:rPr>
        <w:t xml:space="preserve">Hoe Schrijf Ik de Geschiedenis van Mijn </w:t>
      </w:r>
      <w:proofErr w:type="gramStart"/>
      <w:r w:rsidRPr="2D0D95AE">
        <w:rPr>
          <w:rFonts w:ascii="Georgia" w:hAnsi="Georgia" w:cs="Calibri"/>
          <w:i/>
          <w:iCs/>
          <w:sz w:val="22"/>
          <w:szCs w:val="22"/>
          <w:lang w:val="en-US"/>
        </w:rPr>
        <w:t>Gemeente?,</w:t>
      </w:r>
      <w:proofErr w:type="gramEnd"/>
      <w:r w:rsidRPr="2D0D95AE">
        <w:rPr>
          <w:rFonts w:ascii="Georgia" w:hAnsi="Georgia" w:cs="Calibri"/>
          <w:i/>
          <w:iCs/>
          <w:sz w:val="22"/>
          <w:szCs w:val="22"/>
          <w:lang w:val="en-US"/>
        </w:rPr>
        <w:t xml:space="preserve"> Deel 3a</w:t>
      </w:r>
      <w:r w:rsidRPr="2D0D95AE">
        <w:rPr>
          <w:i/>
          <w:iCs/>
          <w:sz w:val="22"/>
          <w:szCs w:val="22"/>
          <w:lang w:val="en-US"/>
        </w:rPr>
        <w:t> </w:t>
      </w:r>
      <w:r w:rsidRPr="2D0D95AE">
        <w:rPr>
          <w:rFonts w:ascii="Georgia" w:hAnsi="Georgia" w:cs="Calibri"/>
          <w:i/>
          <w:iCs/>
          <w:sz w:val="22"/>
          <w:szCs w:val="22"/>
          <w:lang w:val="en-US"/>
        </w:rPr>
        <w:t>: Hulpwetenschappen</w:t>
      </w:r>
      <w:r w:rsidRPr="2D0D95AE">
        <w:rPr>
          <w:rFonts w:ascii="Georgia" w:hAnsi="Georgia" w:cs="Calibri"/>
          <w:sz w:val="22"/>
          <w:szCs w:val="22"/>
          <w:lang w:val="en-US"/>
        </w:rPr>
        <w:t>, onder redactie van Jan Art: 149-165. Gent: Stichting Mens en Kultuur, 1995.</w:t>
      </w:r>
    </w:p>
    <w:p w14:paraId="310DFEBA"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Bos-Rops, J. A. M. Y. “De Hollandse douarie van Johanna van Brabant (1322-1413). Een voorbeeld van middeleeuwse betalingspraktijken”. </w:t>
      </w:r>
      <w:r w:rsidRPr="2D0D95AE">
        <w:rPr>
          <w:rFonts w:ascii="Georgia" w:hAnsi="Georgia" w:cs="Calibri"/>
          <w:i/>
          <w:iCs/>
          <w:sz w:val="22"/>
          <w:szCs w:val="22"/>
          <w:lang w:val="en-US"/>
        </w:rPr>
        <w:t>Holland Historisch Tijdschrift</w:t>
      </w:r>
      <w:r w:rsidRPr="2D0D95AE">
        <w:rPr>
          <w:rFonts w:ascii="Georgia" w:hAnsi="Georgia" w:cs="Calibri"/>
          <w:sz w:val="22"/>
          <w:szCs w:val="22"/>
          <w:lang w:val="en-US"/>
        </w:rPr>
        <w:t xml:space="preserve"> 24 (1992): 78-93.</w:t>
      </w:r>
    </w:p>
    <w:p w14:paraId="00F1F333" w14:textId="77777777" w:rsidR="009F00C4" w:rsidRPr="009F00C4" w:rsidRDefault="009F00C4" w:rsidP="007406C5">
      <w:pPr>
        <w:spacing w:afterLines="80" w:after="192" w:line="360" w:lineRule="auto"/>
        <w:jc w:val="both"/>
        <w:rPr>
          <w:rFonts w:ascii="Georgia" w:hAnsi="Georgia" w:cs="Calibri"/>
          <w:sz w:val="22"/>
          <w:szCs w:val="22"/>
        </w:rPr>
      </w:pPr>
      <w:proofErr w:type="spellStart"/>
      <w:r w:rsidRPr="009F00C4">
        <w:rPr>
          <w:rFonts w:ascii="Georgia" w:hAnsi="Georgia" w:cs="Calibri"/>
          <w:sz w:val="22"/>
          <w:szCs w:val="22"/>
          <w:lang w:val="nl-NL"/>
        </w:rPr>
        <w:t>Bousmar</w:t>
      </w:r>
      <w:proofErr w:type="spellEnd"/>
      <w:r w:rsidRPr="009F00C4">
        <w:rPr>
          <w:rFonts w:ascii="Georgia" w:hAnsi="Georgia" w:cs="Calibri"/>
          <w:sz w:val="22"/>
          <w:szCs w:val="22"/>
          <w:lang w:val="nl-NL"/>
        </w:rPr>
        <w:t xml:space="preserve">, </w:t>
      </w:r>
      <w:proofErr w:type="spellStart"/>
      <w:r w:rsidRPr="009F00C4">
        <w:rPr>
          <w:rFonts w:ascii="Georgia" w:hAnsi="Georgia" w:cs="Calibri"/>
          <w:sz w:val="22"/>
          <w:szCs w:val="22"/>
          <w:lang w:val="nl-NL"/>
        </w:rPr>
        <w:t>Éric</w:t>
      </w:r>
      <w:proofErr w:type="spellEnd"/>
      <w:r w:rsidRPr="009F00C4">
        <w:rPr>
          <w:rFonts w:ascii="Georgia" w:hAnsi="Georgia" w:cs="Calibri"/>
          <w:sz w:val="22"/>
          <w:szCs w:val="22"/>
          <w:lang w:val="nl-NL"/>
        </w:rPr>
        <w:t xml:space="preserve"> en Jelle </w:t>
      </w:r>
      <w:proofErr w:type="spellStart"/>
      <w:r w:rsidRPr="009F00C4">
        <w:rPr>
          <w:rFonts w:ascii="Georgia" w:hAnsi="Georgia" w:cs="Calibri"/>
          <w:sz w:val="22"/>
          <w:szCs w:val="22"/>
          <w:lang w:val="nl-NL"/>
        </w:rPr>
        <w:t>Haemers</w:t>
      </w:r>
      <w:proofErr w:type="spellEnd"/>
      <w:r w:rsidRPr="009F00C4">
        <w:rPr>
          <w:rFonts w:ascii="Georgia" w:hAnsi="Georgia" w:cs="Calibri"/>
          <w:sz w:val="22"/>
          <w:szCs w:val="22"/>
          <w:lang w:val="nl-NL"/>
        </w:rPr>
        <w:t xml:space="preserve">. “Triste </w:t>
      </w:r>
      <w:proofErr w:type="spellStart"/>
      <w:r w:rsidRPr="009F00C4">
        <w:rPr>
          <w:rFonts w:ascii="Georgia" w:hAnsi="Georgia" w:cs="Calibri"/>
          <w:sz w:val="22"/>
          <w:szCs w:val="22"/>
          <w:lang w:val="nl-NL"/>
        </w:rPr>
        <w:t>Plaisir</w:t>
      </w:r>
      <w:proofErr w:type="spellEnd"/>
      <w:r w:rsidRPr="009F00C4">
        <w:rPr>
          <w:rFonts w:ascii="Georgia" w:hAnsi="Georgia" w:cs="Calibri"/>
          <w:sz w:val="22"/>
          <w:szCs w:val="22"/>
          <w:lang w:val="nl-NL"/>
        </w:rPr>
        <w:t xml:space="preserve">. Mary of </w:t>
      </w:r>
      <w:proofErr w:type="spellStart"/>
      <w:r w:rsidRPr="009F00C4">
        <w:rPr>
          <w:rFonts w:ascii="Georgia" w:hAnsi="Georgia" w:cs="Calibri"/>
          <w:sz w:val="22"/>
          <w:szCs w:val="22"/>
          <w:lang w:val="nl-NL"/>
        </w:rPr>
        <w:t>Burgundy</w:t>
      </w:r>
      <w:proofErr w:type="spellEnd"/>
      <w:r w:rsidRPr="009F00C4">
        <w:rPr>
          <w:rFonts w:ascii="Georgia" w:hAnsi="Georgia" w:cs="Calibri"/>
          <w:sz w:val="22"/>
          <w:szCs w:val="22"/>
          <w:lang w:val="nl-NL"/>
        </w:rPr>
        <w:t xml:space="preserve"> in a Turbulent Era”. In </w:t>
      </w:r>
      <w:r w:rsidRPr="009F00C4">
        <w:rPr>
          <w:rFonts w:ascii="Georgia" w:hAnsi="Georgia" w:cs="Calibri"/>
          <w:i/>
          <w:iCs/>
          <w:sz w:val="22"/>
          <w:szCs w:val="22"/>
        </w:rPr>
        <w:t>Marie de Bourgogne: Figure, principat et postérité d'une duchesse tardo-médiévale</w:t>
      </w:r>
      <w:r w:rsidRPr="009F00C4">
        <w:rPr>
          <w:rFonts w:ascii="Georgia" w:hAnsi="Georgia" w:cs="Calibri"/>
          <w:sz w:val="22"/>
          <w:szCs w:val="22"/>
        </w:rPr>
        <w:t>. Onde redactie van Michael Depreter, Jonathan Dumont, Elizabeth l’Estrange, Samuel Mareel: 395-406. Turnhout: Brepols, 2021.</w:t>
      </w:r>
    </w:p>
    <w:p w14:paraId="5D0BA5E5"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lastRenderedPageBreak/>
        <w:t xml:space="preserve">Brandsma, Margreet. “Riches and Power? Princely Widows in the Burgundian Period: The Case of Margaret of Burgundy (1374-1441)”. </w:t>
      </w:r>
      <w:r w:rsidRPr="2D0D95AE">
        <w:rPr>
          <w:rFonts w:ascii="Georgia" w:hAnsi="Georgia" w:cs="Calibri"/>
          <w:i/>
          <w:iCs/>
          <w:sz w:val="22"/>
          <w:szCs w:val="22"/>
          <w:lang w:val="en-US"/>
        </w:rPr>
        <w:t>The Medieval Low Countries</w:t>
      </w:r>
      <w:r w:rsidRPr="2D0D95AE">
        <w:rPr>
          <w:rFonts w:ascii="Georgia" w:hAnsi="Georgia" w:cs="Calibri"/>
          <w:sz w:val="22"/>
          <w:szCs w:val="22"/>
          <w:lang w:val="en-US"/>
        </w:rPr>
        <w:t xml:space="preserve"> 5 (2018): 39-122. </w:t>
      </w:r>
    </w:p>
    <w:p w14:paraId="22E82F24"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Brandsma, Margreet. </w:t>
      </w:r>
      <w:r w:rsidRPr="2D0D95AE">
        <w:rPr>
          <w:rFonts w:ascii="Georgia" w:hAnsi="Georgia" w:cs="Calibri"/>
          <w:i/>
          <w:iCs/>
          <w:sz w:val="22"/>
          <w:szCs w:val="22"/>
          <w:lang w:val="en-US"/>
        </w:rPr>
        <w:t>Tussen twee dynastieën: Margaretha van Bourgondië, gravin van Henegouwen, Holland en Zeeland</w:t>
      </w:r>
      <w:r w:rsidRPr="2D0D95AE">
        <w:rPr>
          <w:rFonts w:ascii="Georgia" w:hAnsi="Georgia" w:cs="Calibri"/>
          <w:sz w:val="22"/>
          <w:szCs w:val="22"/>
          <w:lang w:val="en-US"/>
        </w:rPr>
        <w:t>. Hilversum: Verloren, 2022.</w:t>
      </w:r>
    </w:p>
    <w:p w14:paraId="40653B10"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Buettner, Brigitte. “Past Presents: New Year’s Gifts at the Valois Courts, ca. 1400”. </w:t>
      </w:r>
      <w:r w:rsidRPr="2D0D95AE">
        <w:rPr>
          <w:rFonts w:ascii="Georgia" w:hAnsi="Georgia" w:cs="Calibri"/>
          <w:i/>
          <w:iCs/>
          <w:sz w:val="22"/>
          <w:szCs w:val="22"/>
          <w:lang w:val="en-US"/>
        </w:rPr>
        <w:t>The Art Bulletin</w:t>
      </w:r>
      <w:r w:rsidRPr="2D0D95AE">
        <w:rPr>
          <w:rFonts w:ascii="Georgia" w:hAnsi="Georgia" w:cs="Calibri"/>
          <w:sz w:val="22"/>
          <w:szCs w:val="22"/>
          <w:lang w:val="en-US"/>
        </w:rPr>
        <w:t xml:space="preserve"> 83, nr. 4 (2001): 598. </w:t>
      </w:r>
    </w:p>
    <w:p w14:paraId="0697BD7E"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Buylaert, Frederik, </w:t>
      </w:r>
      <w:r w:rsidRPr="2D0D95AE">
        <w:rPr>
          <w:rFonts w:ascii="Georgia" w:hAnsi="Georgia" w:cs="Calibri"/>
          <w:i/>
          <w:iCs/>
          <w:sz w:val="22"/>
          <w:szCs w:val="22"/>
          <w:lang w:val="en-US"/>
        </w:rPr>
        <w:t>Eeuwen van ambitie: de adel in laatmiddeleeuws Vlaanderen</w:t>
      </w:r>
      <w:r w:rsidRPr="2D0D95AE">
        <w:rPr>
          <w:rFonts w:ascii="Georgia" w:hAnsi="Georgia" w:cs="Calibri"/>
          <w:sz w:val="22"/>
          <w:szCs w:val="22"/>
          <w:lang w:val="en-US"/>
        </w:rPr>
        <w:t>. Brussel: KVAB, 2010.</w:t>
      </w:r>
    </w:p>
    <w:p w14:paraId="064D34BD"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Carmi Parsons, John. “Introduction: Family, Sex, and Power: The Rhythms of Medieval Queenship.” in </w:t>
      </w:r>
      <w:r w:rsidRPr="2D0D95AE">
        <w:rPr>
          <w:rFonts w:ascii="Georgia" w:hAnsi="Georgia" w:cs="Calibri"/>
          <w:i/>
          <w:iCs/>
          <w:sz w:val="22"/>
          <w:szCs w:val="22"/>
          <w:lang w:val="en-US"/>
        </w:rPr>
        <w:t>Medieval queenship</w:t>
      </w:r>
      <w:r w:rsidRPr="2D0D95AE">
        <w:rPr>
          <w:rFonts w:ascii="Georgia" w:hAnsi="Georgia" w:cs="Calibri"/>
          <w:sz w:val="22"/>
          <w:szCs w:val="22"/>
          <w:lang w:val="en-US"/>
        </w:rPr>
        <w:t>. Onder redactie van John Carmi Parsons: 1-12. New York: Palgrave Macmillan, 1993.</w:t>
      </w:r>
    </w:p>
    <w:p w14:paraId="5AECDF58"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Cazilhac, Jean-Marc. </w:t>
      </w:r>
      <w:r w:rsidRPr="2D0D95AE">
        <w:rPr>
          <w:rFonts w:ascii="Georgia" w:hAnsi="Georgia" w:cs="Calibri"/>
          <w:i/>
          <w:iCs/>
          <w:sz w:val="22"/>
          <w:szCs w:val="22"/>
          <w:lang w:val="en-US"/>
        </w:rPr>
        <w:t>Le douaire des reines de France à la fin du Moyen Âge</w:t>
      </w:r>
      <w:r w:rsidRPr="2D0D95AE">
        <w:rPr>
          <w:rFonts w:ascii="Georgia" w:hAnsi="Georgia" w:cs="Calibri"/>
          <w:sz w:val="22"/>
          <w:szCs w:val="22"/>
          <w:lang w:val="en-US"/>
        </w:rPr>
        <w:t>. Parijs: L’Harmattan, 2017.</w:t>
      </w:r>
    </w:p>
    <w:p w14:paraId="4C412502"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Coomans, Thomas. “Entre France et Empire: l’architecture dans le duché de Brabant au temps de Jeanne de Brabant et Wenceslas de Luxembourg (1355-1406)”. </w:t>
      </w:r>
      <w:r w:rsidRPr="2D0D95AE">
        <w:rPr>
          <w:rFonts w:ascii="Georgia" w:hAnsi="Georgia" w:cs="Calibri"/>
          <w:i/>
          <w:iCs/>
          <w:sz w:val="22"/>
          <w:szCs w:val="22"/>
          <w:lang w:val="en-US"/>
        </w:rPr>
        <w:t>Revue de l’Art</w:t>
      </w:r>
      <w:r w:rsidRPr="2D0D95AE">
        <w:rPr>
          <w:rFonts w:ascii="Georgia" w:hAnsi="Georgia" w:cs="Calibri"/>
          <w:sz w:val="22"/>
          <w:szCs w:val="22"/>
          <w:lang w:val="en-US"/>
        </w:rPr>
        <w:t xml:space="preserve"> 166, nr. 166 (2009): 9-25.</w:t>
      </w:r>
    </w:p>
    <w:p w14:paraId="7A35A918"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D’Anca, Christene. </w:t>
      </w:r>
      <w:r w:rsidRPr="2D0D95AE">
        <w:rPr>
          <w:rFonts w:ascii="Georgia" w:hAnsi="Georgia" w:cs="Calibri"/>
          <w:i/>
          <w:iCs/>
          <w:sz w:val="22"/>
          <w:szCs w:val="22"/>
          <w:lang w:val="en-US"/>
        </w:rPr>
        <w:t>Medieval Mausoleums, Monuments, and Manuscripts: French Royal Women’s Patronage from the Twelfth to the Fourteenth Centuries</w:t>
      </w:r>
      <w:r w:rsidRPr="2D0D95AE">
        <w:rPr>
          <w:rFonts w:ascii="Georgia" w:hAnsi="Georgia" w:cs="Calibri"/>
          <w:sz w:val="22"/>
          <w:szCs w:val="22"/>
          <w:lang w:val="en-US"/>
        </w:rPr>
        <w:t>. Turnhout: Brepols Publishers, 2024.</w:t>
      </w:r>
    </w:p>
    <w:p w14:paraId="77A50915"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Damen, Mario. “Gift exchange at the court of charles the bold”. </w:t>
      </w:r>
      <w:r w:rsidRPr="2D0D95AE">
        <w:rPr>
          <w:rFonts w:ascii="Georgia" w:hAnsi="Georgia" w:cs="Calibri"/>
          <w:i/>
          <w:iCs/>
          <w:sz w:val="22"/>
          <w:szCs w:val="22"/>
          <w:lang w:val="en-US"/>
        </w:rPr>
        <w:t>In but not of the market: movable goods in the late medieval and early modern Economy</w:t>
      </w:r>
      <w:r w:rsidRPr="2D0D95AE">
        <w:rPr>
          <w:rFonts w:ascii="Georgia" w:hAnsi="Georgia" w:cs="Calibri"/>
          <w:sz w:val="22"/>
          <w:szCs w:val="22"/>
          <w:lang w:val="en-US"/>
        </w:rPr>
        <w:t xml:space="preserve">, onder redactie van Marc Boone en Martha Howell: 81-99. </w:t>
      </w:r>
      <w:proofErr w:type="gramStart"/>
      <w:r w:rsidRPr="2D0D95AE">
        <w:rPr>
          <w:rFonts w:ascii="Georgia" w:hAnsi="Georgia" w:cs="Calibri"/>
          <w:sz w:val="22"/>
          <w:szCs w:val="22"/>
          <w:lang w:val="en-US"/>
        </w:rPr>
        <w:t>Brussel:Koninklijke</w:t>
      </w:r>
      <w:proofErr w:type="gramEnd"/>
      <w:r w:rsidRPr="2D0D95AE">
        <w:rPr>
          <w:rFonts w:ascii="Georgia" w:hAnsi="Georgia" w:cs="Calibri"/>
          <w:sz w:val="22"/>
          <w:szCs w:val="22"/>
          <w:lang w:val="en-US"/>
        </w:rPr>
        <w:t xml:space="preserve"> Vlaamse academie van België voor wetenschappen en kunsten., 2007.</w:t>
      </w:r>
    </w:p>
    <w:p w14:paraId="115A6524"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Damen, Mario. “Gift Exchange in the Burgundian Low Countries: A Crucial Link in Late Medieval Political Culture”. </w:t>
      </w:r>
      <w:r w:rsidRPr="2D0D95AE">
        <w:rPr>
          <w:rFonts w:ascii="Georgia" w:hAnsi="Georgia" w:cs="Calibri"/>
          <w:i/>
          <w:iCs/>
          <w:sz w:val="22"/>
          <w:szCs w:val="22"/>
          <w:lang w:val="en-US"/>
        </w:rPr>
        <w:t>Journal of Medieval History</w:t>
      </w:r>
      <w:r w:rsidRPr="2D0D95AE">
        <w:rPr>
          <w:rFonts w:ascii="Georgia" w:hAnsi="Georgia" w:cs="Calibri"/>
          <w:sz w:val="22"/>
          <w:szCs w:val="22"/>
          <w:lang w:val="en-US"/>
        </w:rPr>
        <w:t xml:space="preserve"> 33, nr. 3 (2007): 233-49. </w:t>
      </w:r>
    </w:p>
    <w:p w14:paraId="53E6C8F4"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Damen, Mario. “Prelaten, edelen en steden. De samenstelling van de Staten van Brabant in de vijftiende eeuw”. </w:t>
      </w:r>
      <w:r w:rsidRPr="2D0D95AE">
        <w:rPr>
          <w:rFonts w:ascii="Georgia" w:hAnsi="Georgia" w:cs="Calibri"/>
          <w:i/>
          <w:iCs/>
          <w:sz w:val="22"/>
          <w:szCs w:val="22"/>
          <w:lang w:val="en-US"/>
        </w:rPr>
        <w:t>Bulletin de la Commission royale d’histoire</w:t>
      </w:r>
      <w:r w:rsidRPr="2D0D95AE">
        <w:rPr>
          <w:rFonts w:ascii="Georgia" w:hAnsi="Georgia" w:cs="Calibri"/>
          <w:sz w:val="22"/>
          <w:szCs w:val="22"/>
          <w:lang w:val="en-US"/>
        </w:rPr>
        <w:t xml:space="preserve">. 182, nr. 1 (2016): 5-274. </w:t>
      </w:r>
    </w:p>
    <w:p w14:paraId="57B81F4B"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Damen, Mario. “Vorstelijke vensters. Glasraamschenkingen als instrument van devotie, memorie en representatie (1419-1519)”. </w:t>
      </w:r>
      <w:r w:rsidRPr="2D0D95AE">
        <w:rPr>
          <w:rFonts w:ascii="Georgia" w:hAnsi="Georgia" w:cs="Calibri"/>
          <w:i/>
          <w:iCs/>
          <w:sz w:val="22"/>
          <w:szCs w:val="22"/>
          <w:lang w:val="en-US"/>
        </w:rPr>
        <w:t>Jaarboek voor Middeleeuwse Geschiedenis</w:t>
      </w:r>
      <w:r w:rsidRPr="2D0D95AE">
        <w:rPr>
          <w:rFonts w:ascii="Georgia" w:hAnsi="Georgia" w:cs="Calibri"/>
          <w:sz w:val="22"/>
          <w:szCs w:val="22"/>
          <w:lang w:val="en-US"/>
        </w:rPr>
        <w:t xml:space="preserve"> 8 (2005): 140-200.</w:t>
      </w:r>
    </w:p>
    <w:p w14:paraId="4D95543D"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lastRenderedPageBreak/>
        <w:t xml:space="preserve">Dauchy, Serge. “Le douaire de Marguerite d’York, la minorité de Philippe le Beau et le Parlement de Paris 1477-1494”. </w:t>
      </w:r>
      <w:r w:rsidRPr="2D0D95AE">
        <w:rPr>
          <w:rFonts w:ascii="Georgia" w:hAnsi="Georgia" w:cs="Calibri"/>
          <w:i/>
          <w:iCs/>
          <w:sz w:val="22"/>
          <w:szCs w:val="22"/>
          <w:lang w:val="en-US"/>
        </w:rPr>
        <w:t>Bulletin de la Commission royale d’histoire. Académie royale de Belgique</w:t>
      </w:r>
      <w:r w:rsidRPr="2D0D95AE">
        <w:rPr>
          <w:rFonts w:ascii="Georgia" w:hAnsi="Georgia" w:cs="Calibri"/>
          <w:sz w:val="22"/>
          <w:szCs w:val="22"/>
          <w:lang w:val="en-US"/>
        </w:rPr>
        <w:t xml:space="preserve"> 155, nr. 1 (1989): 49-127. </w:t>
      </w:r>
    </w:p>
    <w:p w14:paraId="74CD99C0"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De Boodt, Minne. ‘“Hoe haer die ghemeente sette jeghen die heren”. Politieke literatuur en opstanden in het veertiende-eeuwse Brabant’. </w:t>
      </w:r>
      <w:r w:rsidRPr="2D0D95AE">
        <w:rPr>
          <w:rFonts w:ascii="Georgia" w:hAnsi="Georgia" w:cs="Calibri"/>
          <w:i/>
          <w:iCs/>
          <w:sz w:val="22"/>
          <w:szCs w:val="22"/>
          <w:lang w:val="en-US"/>
        </w:rPr>
        <w:t>BMGN - Low Countries Historical Review</w:t>
      </w:r>
      <w:r w:rsidRPr="2D0D95AE">
        <w:rPr>
          <w:rFonts w:ascii="Georgia" w:hAnsi="Georgia" w:cs="Calibri"/>
          <w:sz w:val="22"/>
          <w:szCs w:val="22"/>
          <w:lang w:val="en-US"/>
        </w:rPr>
        <w:t xml:space="preserve"> 134, nr. 2 (2019): 71-95. </w:t>
      </w:r>
    </w:p>
    <w:p w14:paraId="0E9042AE"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De Maesschalck, Edward. </w:t>
      </w:r>
      <w:r w:rsidRPr="2D0D95AE">
        <w:rPr>
          <w:rFonts w:ascii="Georgia" w:hAnsi="Georgia" w:cs="Calibri"/>
          <w:i/>
          <w:iCs/>
          <w:sz w:val="22"/>
          <w:szCs w:val="22"/>
          <w:lang w:val="en-US"/>
        </w:rPr>
        <w:t>De hertogen van Brabant 640-1430</w:t>
      </w:r>
      <w:r w:rsidRPr="2D0D95AE">
        <w:rPr>
          <w:rFonts w:ascii="Georgia" w:hAnsi="Georgia" w:cs="Calibri"/>
          <w:sz w:val="22"/>
          <w:szCs w:val="22"/>
          <w:lang w:val="en-US"/>
        </w:rPr>
        <w:t>. Gorredijk: Sterck &amp; De Vreese, 2024.</w:t>
      </w:r>
    </w:p>
    <w:p w14:paraId="4F5ABE4A"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De Witte, Alphonse. </w:t>
      </w:r>
      <w:r w:rsidRPr="2D0D95AE">
        <w:rPr>
          <w:rFonts w:ascii="Georgia" w:hAnsi="Georgia" w:cs="Calibri"/>
          <w:i/>
          <w:iCs/>
          <w:sz w:val="22"/>
          <w:szCs w:val="22"/>
          <w:lang w:val="en-US"/>
        </w:rPr>
        <w:t xml:space="preserve">Histoire monétaire des comtes de Louvain, ducs de Brabant et marquis du Saint-Empire romain </w:t>
      </w:r>
      <w:r w:rsidRPr="2D0D95AE">
        <w:rPr>
          <w:rFonts w:ascii="Georgia" w:hAnsi="Georgia" w:cs="Calibri"/>
          <w:sz w:val="22"/>
          <w:szCs w:val="22"/>
          <w:lang w:val="en-US"/>
        </w:rPr>
        <w:t>I. Antwerpen: Veuve de Backer, 1894.</w:t>
      </w:r>
    </w:p>
    <w:p w14:paraId="6742F5BF"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Deen, Femke, en Ineke Huysman (red.) </w:t>
      </w:r>
      <w:r w:rsidRPr="2D0D95AE">
        <w:rPr>
          <w:rFonts w:ascii="Georgia" w:hAnsi="Georgia" w:cs="Calibri"/>
          <w:i/>
          <w:iCs/>
          <w:sz w:val="22"/>
          <w:szCs w:val="22"/>
          <w:lang w:val="en-US"/>
        </w:rPr>
        <w:t>Moeders des vaderlands: de vrouwen die de Nederlanden vormden</w:t>
      </w:r>
      <w:r w:rsidRPr="2D0D95AE">
        <w:rPr>
          <w:rFonts w:ascii="Georgia" w:hAnsi="Georgia" w:cs="Calibri"/>
          <w:sz w:val="22"/>
          <w:szCs w:val="22"/>
          <w:lang w:val="en-US"/>
        </w:rPr>
        <w:t>. Amsterdam: Uitgeverij Atlas Contact, 2024.</w:t>
      </w:r>
    </w:p>
    <w:p w14:paraId="0EDA8A90"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Delameillieure, Chanelle. ‘Trouwende vrouwen: Partnerkeuze, huwelijksconflicten en relaties”. In </w:t>
      </w:r>
      <w:r w:rsidRPr="2D0D95AE">
        <w:rPr>
          <w:rFonts w:ascii="Georgia" w:hAnsi="Georgia" w:cs="Calibri"/>
          <w:i/>
          <w:iCs/>
          <w:sz w:val="22"/>
          <w:szCs w:val="22"/>
          <w:lang w:val="en-US"/>
        </w:rPr>
        <w:t>Wijvenwereld: vrouwen in de middeleeuwse stad</w:t>
      </w:r>
      <w:r w:rsidRPr="2D0D95AE">
        <w:rPr>
          <w:rFonts w:ascii="Georgia" w:hAnsi="Georgia" w:cs="Calibri"/>
          <w:sz w:val="22"/>
          <w:szCs w:val="22"/>
          <w:lang w:val="en-US"/>
        </w:rPr>
        <w:t>, onder redactie van Jelle Haemers, Chanelle Delameillieure, Andrea Bardyn: 51-76. Antwerpen: Vrijdag, 2019.</w:t>
      </w:r>
    </w:p>
    <w:p w14:paraId="7102788C"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Delameillieure, Chanelle. “Contentious consent. Abduction, control over marriage and legal strategy in the late medieval Low Countries”. Onuitgegeven doctoraatsproef: Katholieke Universiteit Leuven, 2020.</w:t>
      </w:r>
    </w:p>
    <w:p w14:paraId="06D78295"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Delvaux, Jean. “A vostre priere et parole il en vauldra grandement </w:t>
      </w:r>
      <w:proofErr w:type="gramStart"/>
      <w:r w:rsidRPr="2D0D95AE">
        <w:rPr>
          <w:rFonts w:ascii="Georgia" w:hAnsi="Georgia" w:cs="Calibri"/>
          <w:sz w:val="22"/>
          <w:szCs w:val="22"/>
          <w:lang w:val="en-US"/>
        </w:rPr>
        <w:t>mieulx :</w:t>
      </w:r>
      <w:proofErr w:type="gramEnd"/>
      <w:r w:rsidRPr="2D0D95AE">
        <w:rPr>
          <w:rFonts w:ascii="Georgia" w:hAnsi="Georgia" w:cs="Calibri"/>
          <w:sz w:val="22"/>
          <w:szCs w:val="22"/>
          <w:lang w:val="en-US"/>
        </w:rPr>
        <w:t xml:space="preserve"> images de la médiatrice dans les Chroniques de Froissart” in </w:t>
      </w:r>
      <w:r w:rsidRPr="2D0D95AE">
        <w:rPr>
          <w:rFonts w:ascii="Georgia" w:hAnsi="Georgia" w:cs="Calibri"/>
          <w:i/>
          <w:iCs/>
          <w:sz w:val="22"/>
          <w:szCs w:val="22"/>
          <w:lang w:val="en-US"/>
        </w:rPr>
        <w:t>Femmes de pouvoir, femmes politiques durant les derniers siècles du Moyen Âge et au cours de la première Renaissance</w:t>
      </w:r>
      <w:r w:rsidRPr="2D0D95AE">
        <w:rPr>
          <w:rFonts w:ascii="Georgia" w:hAnsi="Georgia" w:cs="Calibri"/>
          <w:sz w:val="22"/>
          <w:szCs w:val="22"/>
          <w:lang w:val="en-US"/>
        </w:rPr>
        <w:t xml:space="preserve">. Onder redactie van Éric Bousmar, Alain Marchandisse, Bertrand Schnerb, Jonathan Dumont: 601-615. Brussel: De Boeck, 2012. </w:t>
      </w:r>
    </w:p>
    <w:p w14:paraId="14B93B04"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Depreter, Michael; Jonathan Dumont, Elizabeth L’estrange en Samuel Mareel. “Mary of Burgundy: Agency, Government and Memory”. in</w:t>
      </w:r>
      <w:r w:rsidRPr="2D0D95AE">
        <w:rPr>
          <w:rFonts w:ascii="Georgia" w:hAnsi="Georgia" w:cs="Calibri"/>
          <w:i/>
          <w:iCs/>
          <w:sz w:val="22"/>
          <w:szCs w:val="22"/>
          <w:lang w:val="en-US"/>
        </w:rPr>
        <w:t xml:space="preserve"> Marie de Bourgogne: Figure, principat et postérité d'une duchesse tardo-médiévale</w:t>
      </w:r>
      <w:r w:rsidRPr="2D0D95AE">
        <w:rPr>
          <w:rFonts w:ascii="Georgia" w:hAnsi="Georgia" w:cs="Calibri"/>
          <w:sz w:val="22"/>
          <w:szCs w:val="22"/>
          <w:lang w:val="en-US"/>
        </w:rPr>
        <w:t>. Onde redactie van Michael Depreter, Jonathan Dumont, Elizabeth l’Estrange, Samuel Mareel: 13-36. Turnhout: Brepols, 2021.</w:t>
      </w:r>
    </w:p>
    <w:p w14:paraId="2119B45D"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Earenfight, Theresa. “A Lifetime of Power: Beyond Binaries of Gender”. In </w:t>
      </w:r>
      <w:r w:rsidRPr="2D0D95AE">
        <w:rPr>
          <w:rFonts w:ascii="Georgia" w:hAnsi="Georgia" w:cs="Calibri"/>
          <w:i/>
          <w:iCs/>
          <w:sz w:val="22"/>
          <w:szCs w:val="22"/>
          <w:lang w:val="en-US"/>
        </w:rPr>
        <w:t>Medieval Elite Women and the Exercise of Power, 1100–1400</w:t>
      </w:r>
      <w:r w:rsidRPr="2D0D95AE">
        <w:rPr>
          <w:rFonts w:ascii="Georgia" w:hAnsi="Georgia" w:cs="Calibri"/>
          <w:sz w:val="22"/>
          <w:szCs w:val="22"/>
          <w:lang w:val="en-US"/>
        </w:rPr>
        <w:t xml:space="preserve">, onder redactie van Heather J. Tanner. The New Middle Ages. Cham: Springer International Publishing, 2019. </w:t>
      </w:r>
    </w:p>
    <w:p w14:paraId="72291831" w14:textId="05AF7BA4"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Earenfight, Theresa. “Medieval Queenship”. </w:t>
      </w:r>
      <w:r w:rsidRPr="2D0D95AE">
        <w:rPr>
          <w:rFonts w:ascii="Georgia" w:hAnsi="Georgia" w:cs="Calibri"/>
          <w:i/>
          <w:iCs/>
          <w:sz w:val="22"/>
          <w:szCs w:val="22"/>
          <w:lang w:val="en-US"/>
        </w:rPr>
        <w:t>History Compass</w:t>
      </w:r>
      <w:r w:rsidRPr="2D0D95AE">
        <w:rPr>
          <w:rFonts w:ascii="Georgia" w:hAnsi="Georgia" w:cs="Calibri"/>
          <w:sz w:val="22"/>
          <w:szCs w:val="22"/>
          <w:lang w:val="en-US"/>
        </w:rPr>
        <w:t xml:space="preserve"> 15, nr. 3 (2017): </w:t>
      </w:r>
      <w:r w:rsidR="001665A5" w:rsidRPr="2D0D95AE">
        <w:rPr>
          <w:rFonts w:ascii="Georgia" w:hAnsi="Georgia" w:cs="Calibri"/>
          <w:sz w:val="22"/>
          <w:szCs w:val="22"/>
          <w:lang w:val="en-US"/>
        </w:rPr>
        <w:t>1-9</w:t>
      </w:r>
      <w:r w:rsidRPr="2D0D95AE">
        <w:rPr>
          <w:rFonts w:ascii="Georgia" w:hAnsi="Georgia" w:cs="Calibri"/>
          <w:sz w:val="22"/>
          <w:szCs w:val="22"/>
          <w:lang w:val="en-US"/>
        </w:rPr>
        <w:t xml:space="preserve">. </w:t>
      </w:r>
    </w:p>
    <w:p w14:paraId="2D9209C9" w14:textId="77777777" w:rsidR="009F00C4" w:rsidRPr="009F00C4" w:rsidRDefault="009F00C4" w:rsidP="007406C5">
      <w:pPr>
        <w:spacing w:afterLines="80" w:after="192" w:line="360" w:lineRule="auto"/>
        <w:jc w:val="both"/>
        <w:rPr>
          <w:rFonts w:ascii="Georgia" w:hAnsi="Georgia" w:cs="Calibri"/>
          <w:sz w:val="22"/>
          <w:szCs w:val="22"/>
        </w:rPr>
      </w:pPr>
      <w:r w:rsidRPr="009F00C4">
        <w:rPr>
          <w:rFonts w:ascii="Georgia" w:hAnsi="Georgia" w:cs="Calibri"/>
          <w:sz w:val="22"/>
          <w:szCs w:val="22"/>
        </w:rPr>
        <w:lastRenderedPageBreak/>
        <w:t xml:space="preserve">Earenfight, Theresa. </w:t>
      </w:r>
      <w:r w:rsidRPr="009F00C4">
        <w:rPr>
          <w:rFonts w:ascii="Georgia" w:hAnsi="Georgia" w:cs="Calibri"/>
          <w:i/>
          <w:iCs/>
          <w:sz w:val="22"/>
          <w:szCs w:val="22"/>
        </w:rPr>
        <w:t>Queenship in Medieval Europe. Queenship and Power</w:t>
      </w:r>
      <w:r w:rsidRPr="009F00C4">
        <w:rPr>
          <w:rFonts w:ascii="Georgia" w:hAnsi="Georgia" w:cs="Calibri"/>
          <w:sz w:val="22"/>
          <w:szCs w:val="22"/>
        </w:rPr>
        <w:t>. New York: Palgrave Macmillan, 2013.</w:t>
      </w:r>
    </w:p>
    <w:p w14:paraId="568E32C5"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Faesen, Robertus. “Inspiratie uit Groenendaal: Jan van Ruusbroec en de Moderne Devotie”. </w:t>
      </w:r>
      <w:r w:rsidRPr="2D0D95AE">
        <w:rPr>
          <w:rFonts w:ascii="Georgia" w:hAnsi="Georgia" w:cs="Calibri"/>
          <w:i/>
          <w:iCs/>
          <w:sz w:val="22"/>
          <w:szCs w:val="22"/>
          <w:lang w:val="en-US"/>
        </w:rPr>
        <w:t>De Kovel</w:t>
      </w:r>
      <w:r w:rsidRPr="2D0D95AE">
        <w:rPr>
          <w:rFonts w:ascii="Georgia" w:hAnsi="Georgia" w:cs="Calibri"/>
          <w:sz w:val="22"/>
          <w:szCs w:val="22"/>
          <w:lang w:val="en-US"/>
        </w:rPr>
        <w:t>, nr. 66 (2021): 26-36.</w:t>
      </w:r>
    </w:p>
    <w:p w14:paraId="283E85BC"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Fantysová-Matějková, Jana. </w:t>
      </w:r>
      <w:r w:rsidRPr="2D0D95AE">
        <w:rPr>
          <w:rFonts w:ascii="Georgia" w:hAnsi="Georgia" w:cs="Calibri"/>
          <w:i/>
          <w:iCs/>
          <w:sz w:val="22"/>
          <w:szCs w:val="22"/>
          <w:lang w:val="en-US"/>
        </w:rPr>
        <w:t>Wenceslas de Bohême: un prince au carrefour de l’Europe</w:t>
      </w:r>
      <w:r w:rsidRPr="2D0D95AE">
        <w:rPr>
          <w:rFonts w:ascii="Georgia" w:hAnsi="Georgia" w:cs="Calibri"/>
          <w:sz w:val="22"/>
          <w:szCs w:val="22"/>
          <w:lang w:val="en-US"/>
        </w:rPr>
        <w:t>. Parijs: Presses de l’Université Paris-Sorbonne, 2013.</w:t>
      </w:r>
    </w:p>
    <w:p w14:paraId="019D52CB"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Fletcher, Christopher. “Theresa Earenfight, Queenship in Medieval </w:t>
      </w:r>
      <w:proofErr w:type="gramStart"/>
      <w:r w:rsidRPr="2D0D95AE">
        <w:rPr>
          <w:rFonts w:ascii="Georgia" w:hAnsi="Georgia" w:cs="Calibri"/>
          <w:sz w:val="22"/>
          <w:szCs w:val="22"/>
          <w:lang w:val="en-US"/>
        </w:rPr>
        <w:t>Europe ,</w:t>
      </w:r>
      <w:proofErr w:type="gramEnd"/>
      <w:r w:rsidRPr="2D0D95AE">
        <w:rPr>
          <w:rFonts w:ascii="Georgia" w:hAnsi="Georgia" w:cs="Calibri"/>
          <w:sz w:val="22"/>
          <w:szCs w:val="22"/>
          <w:lang w:val="en-US"/>
        </w:rPr>
        <w:t xml:space="preserve"> Basingstoke, Palgrave Macmillan, 2013, XI + 356 p.” </w:t>
      </w:r>
      <w:r w:rsidRPr="2D0D95AE">
        <w:rPr>
          <w:rFonts w:ascii="Georgia" w:hAnsi="Georgia" w:cs="Calibri"/>
          <w:i/>
          <w:iCs/>
          <w:sz w:val="22"/>
          <w:szCs w:val="22"/>
          <w:lang w:val="en-US"/>
        </w:rPr>
        <w:t>Revue historique</w:t>
      </w:r>
      <w:r w:rsidRPr="2D0D95AE">
        <w:rPr>
          <w:rFonts w:ascii="Georgia" w:hAnsi="Georgia" w:cs="Calibri"/>
          <w:sz w:val="22"/>
          <w:szCs w:val="22"/>
          <w:lang w:val="en-US"/>
        </w:rPr>
        <w:t xml:space="preserve"> 674, nr. 2 (2015): 424-26. </w:t>
      </w:r>
    </w:p>
    <w:p w14:paraId="0B7DF2E4"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Fößel, Amalie. “The Political Traditions of Female Rulership in Medieval Europe”. In </w:t>
      </w:r>
      <w:r w:rsidRPr="2D0D95AE">
        <w:rPr>
          <w:rFonts w:ascii="Georgia" w:hAnsi="Georgia" w:cs="Calibri"/>
          <w:i/>
          <w:iCs/>
          <w:sz w:val="22"/>
          <w:szCs w:val="22"/>
          <w:lang w:val="en-US"/>
        </w:rPr>
        <w:t>The Oxford Handbook of Women and Gender in Medieval Europe</w:t>
      </w:r>
      <w:r w:rsidRPr="2D0D95AE">
        <w:rPr>
          <w:rFonts w:ascii="Georgia" w:hAnsi="Georgia" w:cs="Calibri"/>
          <w:sz w:val="22"/>
          <w:szCs w:val="22"/>
          <w:lang w:val="en-US"/>
        </w:rPr>
        <w:t>, onder redactie van Judith Mackenzie Bennett. Oxford: Oxford University Press, 2013.</w:t>
      </w:r>
    </w:p>
    <w:p w14:paraId="79DBD0B2"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Fößel, Amalie. “The Queen’s Wealth in the Middle Ages”. </w:t>
      </w:r>
      <w:r w:rsidRPr="2D0D95AE">
        <w:rPr>
          <w:rFonts w:ascii="Georgia" w:hAnsi="Georgia" w:cs="Calibri"/>
          <w:i/>
          <w:iCs/>
          <w:sz w:val="22"/>
          <w:szCs w:val="22"/>
          <w:lang w:val="en-US"/>
        </w:rPr>
        <w:t>Majestas</w:t>
      </w:r>
      <w:r w:rsidRPr="2D0D95AE">
        <w:rPr>
          <w:rFonts w:ascii="Georgia" w:hAnsi="Georgia" w:cs="Calibri"/>
          <w:sz w:val="22"/>
          <w:szCs w:val="22"/>
          <w:lang w:val="en-US"/>
        </w:rPr>
        <w:t xml:space="preserve"> 13 (2005): 23-45.</w:t>
      </w:r>
    </w:p>
    <w:p w14:paraId="00E22707"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Ganshof, F. L. “Jean Froissart. Bij gelegenheid van de zeshonderdste verjaring van zijn geboorte”. </w:t>
      </w:r>
      <w:r w:rsidRPr="2D0D95AE">
        <w:rPr>
          <w:rFonts w:ascii="Georgia" w:hAnsi="Georgia" w:cs="Calibri"/>
          <w:i/>
          <w:iCs/>
          <w:sz w:val="22"/>
          <w:szCs w:val="22"/>
          <w:lang w:val="en-US"/>
        </w:rPr>
        <w:t>De Vlaamsche Gids</w:t>
      </w:r>
      <w:r w:rsidRPr="2D0D95AE">
        <w:rPr>
          <w:rFonts w:ascii="Georgia" w:hAnsi="Georgia" w:cs="Calibri"/>
          <w:sz w:val="22"/>
          <w:szCs w:val="22"/>
          <w:lang w:val="en-US"/>
        </w:rPr>
        <w:t xml:space="preserve"> 26 (1938-1937): 252-62.</w:t>
      </w:r>
    </w:p>
    <w:p w14:paraId="7EFFF80D"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Govaerts, Sander. ‘“Mannen van Wapenen”: The Baesweiler Campaign and the Military Labor Market of the County of Loon in the Fourteenth Century’. </w:t>
      </w:r>
      <w:r w:rsidRPr="2D0D95AE">
        <w:rPr>
          <w:rFonts w:ascii="Georgia" w:hAnsi="Georgia" w:cs="Calibri"/>
          <w:i/>
          <w:iCs/>
          <w:sz w:val="22"/>
          <w:szCs w:val="22"/>
          <w:lang w:val="en-US"/>
        </w:rPr>
        <w:t>Viator</w:t>
      </w:r>
      <w:r w:rsidRPr="2D0D95AE">
        <w:rPr>
          <w:rFonts w:ascii="Georgia" w:hAnsi="Georgia" w:cs="Calibri"/>
          <w:sz w:val="22"/>
          <w:szCs w:val="22"/>
          <w:lang w:val="en-US"/>
        </w:rPr>
        <w:t xml:space="preserve"> 47, nr. 3 (2016): 297-342. </w:t>
      </w:r>
    </w:p>
    <w:p w14:paraId="3CDC19FD" w14:textId="77777777" w:rsidR="009F00C4" w:rsidRPr="009F00C4" w:rsidRDefault="009F00C4" w:rsidP="007406C5">
      <w:pPr>
        <w:spacing w:afterLines="80" w:after="192" w:line="360" w:lineRule="auto"/>
        <w:jc w:val="both"/>
        <w:rPr>
          <w:rFonts w:ascii="Georgia" w:hAnsi="Georgia" w:cs="Calibri"/>
          <w:sz w:val="22"/>
          <w:szCs w:val="22"/>
        </w:rPr>
      </w:pPr>
      <w:r w:rsidRPr="009F00C4">
        <w:rPr>
          <w:rFonts w:ascii="Georgia" w:hAnsi="Georgia" w:cs="Calibri"/>
          <w:sz w:val="22"/>
          <w:szCs w:val="22"/>
        </w:rPr>
        <w:t xml:space="preserve">Groebner, Valentin. </w:t>
      </w:r>
      <w:r w:rsidRPr="009F00C4">
        <w:rPr>
          <w:rFonts w:ascii="Georgia" w:hAnsi="Georgia" w:cs="Calibri"/>
          <w:i/>
          <w:iCs/>
          <w:sz w:val="22"/>
          <w:szCs w:val="22"/>
        </w:rPr>
        <w:t>Liquid Assets, Dangerous Gifts: Presents and Politics at the End of the Middle Ages</w:t>
      </w:r>
      <w:r w:rsidRPr="009F00C4">
        <w:rPr>
          <w:rFonts w:ascii="Georgia" w:hAnsi="Georgia" w:cs="Calibri"/>
          <w:sz w:val="22"/>
          <w:szCs w:val="22"/>
        </w:rPr>
        <w:t>. Pennsylvania: University of Pennsylvania Press, 2002.</w:t>
      </w:r>
    </w:p>
    <w:p w14:paraId="62DDC950"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Haemers, Jelle. </w:t>
      </w:r>
      <w:r w:rsidRPr="2D0D95AE">
        <w:rPr>
          <w:rFonts w:ascii="Georgia" w:hAnsi="Georgia" w:cs="Calibri"/>
          <w:i/>
          <w:iCs/>
          <w:sz w:val="22"/>
          <w:szCs w:val="22"/>
          <w:lang w:val="en-US"/>
        </w:rPr>
        <w:t>For the Common Good: State Power and Urban Revolts in the Reign of Mary of Burgundy (1477-1482</w:t>
      </w:r>
      <w:r w:rsidRPr="2D0D95AE">
        <w:rPr>
          <w:rFonts w:ascii="Georgia" w:hAnsi="Georgia" w:cs="Calibri"/>
          <w:sz w:val="22"/>
          <w:szCs w:val="22"/>
          <w:lang w:val="en-US"/>
        </w:rPr>
        <w:t>). SEUH 17. Turnhout: Brepols, 2009.</w:t>
      </w:r>
    </w:p>
    <w:p w14:paraId="7180EA0F" w14:textId="77777777" w:rsidR="009F00C4" w:rsidRPr="009F00C4" w:rsidRDefault="009F00C4" w:rsidP="007406C5">
      <w:pPr>
        <w:spacing w:afterLines="80" w:after="192" w:line="360" w:lineRule="auto"/>
        <w:jc w:val="both"/>
        <w:rPr>
          <w:rFonts w:ascii="Georgia" w:hAnsi="Georgia" w:cs="Calibri"/>
          <w:sz w:val="22"/>
          <w:szCs w:val="22"/>
        </w:rPr>
      </w:pPr>
      <w:r w:rsidRPr="009F00C4">
        <w:rPr>
          <w:rFonts w:ascii="Georgia" w:hAnsi="Georgia" w:cs="Calibri"/>
          <w:sz w:val="22"/>
          <w:szCs w:val="22"/>
        </w:rPr>
        <w:t xml:space="preserve">Heal, Felicity. </w:t>
      </w:r>
      <w:r w:rsidRPr="009F00C4">
        <w:rPr>
          <w:rFonts w:ascii="Georgia" w:hAnsi="Georgia" w:cs="Calibri"/>
          <w:i/>
          <w:iCs/>
          <w:sz w:val="22"/>
          <w:szCs w:val="22"/>
        </w:rPr>
        <w:t>The Power of Gifts: Gift-Exchange in Early Modern England</w:t>
      </w:r>
      <w:r w:rsidRPr="009F00C4">
        <w:rPr>
          <w:rFonts w:ascii="Georgia" w:hAnsi="Georgia" w:cs="Calibri"/>
          <w:sz w:val="22"/>
          <w:szCs w:val="22"/>
        </w:rPr>
        <w:t>. Oxford University Press, 2014.</w:t>
      </w:r>
    </w:p>
    <w:p w14:paraId="79A04625"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Henri, Laurent, en Quicke Fritz. </w:t>
      </w:r>
      <w:r w:rsidRPr="2D0D95AE">
        <w:rPr>
          <w:rFonts w:ascii="Georgia" w:hAnsi="Georgia" w:cs="Calibri"/>
          <w:i/>
          <w:iCs/>
          <w:sz w:val="22"/>
          <w:szCs w:val="22"/>
          <w:lang w:val="en-US"/>
        </w:rPr>
        <w:t xml:space="preserve">Les origines de l’Etat bourguignon. L’accession de la Maison de Bourgogne aux duchés de Brabant et de Limbourg (1383-1407). </w:t>
      </w:r>
      <w:proofErr w:type="gramStart"/>
      <w:r w:rsidRPr="2D0D95AE">
        <w:rPr>
          <w:rFonts w:ascii="Georgia" w:hAnsi="Georgia" w:cs="Calibri"/>
          <w:i/>
          <w:iCs/>
          <w:sz w:val="22"/>
          <w:szCs w:val="22"/>
          <w:lang w:val="en-US"/>
        </w:rPr>
        <w:t>1</w:t>
      </w:r>
      <w:r w:rsidRPr="2D0D95AE">
        <w:rPr>
          <w:i/>
          <w:iCs/>
          <w:sz w:val="22"/>
          <w:szCs w:val="22"/>
          <w:lang w:val="en-US"/>
        </w:rPr>
        <w:t> </w:t>
      </w:r>
      <w:r w:rsidRPr="2D0D95AE">
        <w:rPr>
          <w:rFonts w:ascii="Georgia" w:hAnsi="Georgia" w:cs="Calibri"/>
          <w:i/>
          <w:iCs/>
          <w:sz w:val="22"/>
          <w:szCs w:val="22"/>
          <w:lang w:val="en-US"/>
        </w:rPr>
        <w:t>:</w:t>
      </w:r>
      <w:proofErr w:type="gramEnd"/>
      <w:r w:rsidRPr="2D0D95AE">
        <w:rPr>
          <w:rFonts w:ascii="Georgia" w:hAnsi="Georgia" w:cs="Calibri"/>
          <w:i/>
          <w:iCs/>
          <w:sz w:val="22"/>
          <w:szCs w:val="22"/>
          <w:lang w:val="en-US"/>
        </w:rPr>
        <w:t xml:space="preserve"> Jusqu’à l’acquisition du duché de Limbourg et des terres d’Outre-Meuse (1383-1396).</w:t>
      </w:r>
      <w:r w:rsidRPr="2D0D95AE">
        <w:rPr>
          <w:rFonts w:ascii="Georgia" w:hAnsi="Georgia" w:cs="Calibri"/>
          <w:sz w:val="22"/>
          <w:szCs w:val="22"/>
          <w:lang w:val="en-US"/>
        </w:rPr>
        <w:t xml:space="preserve"> Brussel: Palais des Académies, 1939.</w:t>
      </w:r>
    </w:p>
    <w:p w14:paraId="14AFEDA8"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Houthuys, Astrid. </w:t>
      </w:r>
      <w:r w:rsidRPr="2D0D95AE">
        <w:rPr>
          <w:rFonts w:ascii="Georgia" w:hAnsi="Georgia" w:cs="Calibri"/>
          <w:i/>
          <w:iCs/>
          <w:sz w:val="22"/>
          <w:szCs w:val="22"/>
          <w:lang w:val="en-US"/>
        </w:rPr>
        <w:t>Middeleeuws kladwerk: de autograaf van de Brabantsche yeesten, boek VI (vijftiende eeuw</w:t>
      </w:r>
      <w:r w:rsidRPr="2D0D95AE">
        <w:rPr>
          <w:rFonts w:ascii="Georgia" w:hAnsi="Georgia" w:cs="Calibri"/>
          <w:sz w:val="22"/>
          <w:szCs w:val="22"/>
          <w:lang w:val="en-US"/>
        </w:rPr>
        <w:t>). Hilversum: Verloren, 2009.</w:t>
      </w:r>
    </w:p>
    <w:p w14:paraId="3C3D1562"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lastRenderedPageBreak/>
        <w:t xml:space="preserve">Howell, Martha. “The Problem of Women’s Agency in Late Medieval and Early Modern Europe”. In </w:t>
      </w:r>
      <w:r w:rsidRPr="2D0D95AE">
        <w:rPr>
          <w:rFonts w:ascii="Georgia" w:hAnsi="Georgia" w:cs="Calibri"/>
          <w:i/>
          <w:iCs/>
          <w:sz w:val="22"/>
          <w:szCs w:val="22"/>
          <w:lang w:val="en-US"/>
        </w:rPr>
        <w:t>Women and Gender in the Early Modern Low Countries, 1500 - 1750</w:t>
      </w:r>
      <w:r w:rsidRPr="2D0D95AE">
        <w:rPr>
          <w:rFonts w:ascii="Georgia" w:hAnsi="Georgia" w:cs="Calibri"/>
          <w:sz w:val="22"/>
          <w:szCs w:val="22"/>
          <w:lang w:val="en-US"/>
        </w:rPr>
        <w:t>, onder redactie van Sarah Joan Moran en Amanda Pipkin: 21-31. Leiden: BRILL, 2019.</w:t>
      </w:r>
    </w:p>
    <w:p w14:paraId="0E6A11CB"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Huneycutt, Lois. “Medieval Queenship”. History today 39, nr. 6 (1989): 16-22.</w:t>
      </w:r>
    </w:p>
    <w:p w14:paraId="16394D46"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Jardot, Lucie, en Olivier Mattéoni. </w:t>
      </w:r>
      <w:r w:rsidRPr="2D0D95AE">
        <w:rPr>
          <w:rFonts w:ascii="Georgia" w:hAnsi="Georgia" w:cs="Calibri"/>
          <w:i/>
          <w:iCs/>
          <w:sz w:val="22"/>
          <w:szCs w:val="22"/>
          <w:lang w:val="en-US"/>
        </w:rPr>
        <w:t>Sceller et gouverner</w:t>
      </w:r>
      <w:r w:rsidRPr="2D0D95AE">
        <w:rPr>
          <w:rFonts w:ascii="Georgia" w:hAnsi="Georgia" w:cs="Calibri"/>
          <w:sz w:val="22"/>
          <w:szCs w:val="22"/>
          <w:lang w:val="en-US"/>
        </w:rPr>
        <w:t>: pratiques et représentations du pouvoir des comtesses de Flandre et de Hainaut (XIIIe-XVe siècle). Rennes: Presses universitaires de Rennes, 2020.</w:t>
      </w:r>
    </w:p>
    <w:p w14:paraId="2F563692"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Kanao, Takemi. “Les Messagers Du Duc de Bourgogne Au Début Du XV° Siècle”. </w:t>
      </w:r>
      <w:r w:rsidRPr="2D0D95AE">
        <w:rPr>
          <w:rFonts w:ascii="Georgia" w:hAnsi="Georgia" w:cs="Calibri"/>
          <w:i/>
          <w:iCs/>
          <w:sz w:val="22"/>
          <w:szCs w:val="22"/>
          <w:lang w:val="en-US"/>
        </w:rPr>
        <w:t>Journal of Medieval History</w:t>
      </w:r>
      <w:r w:rsidRPr="2D0D95AE">
        <w:rPr>
          <w:rFonts w:ascii="Georgia" w:hAnsi="Georgia" w:cs="Calibri"/>
          <w:sz w:val="22"/>
          <w:szCs w:val="22"/>
          <w:lang w:val="en-US"/>
        </w:rPr>
        <w:t xml:space="preserve"> 21, nr. 2 (1995): 195-226. </w:t>
      </w:r>
    </w:p>
    <w:p w14:paraId="1978451A"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Karaskova, Olga. “Le mécénat de Marie de </w:t>
      </w:r>
      <w:proofErr w:type="gramStart"/>
      <w:r w:rsidRPr="2D0D95AE">
        <w:rPr>
          <w:rFonts w:ascii="Georgia" w:hAnsi="Georgia" w:cs="Calibri"/>
          <w:sz w:val="22"/>
          <w:szCs w:val="22"/>
          <w:lang w:val="en-US"/>
        </w:rPr>
        <w:t>Bourgogne</w:t>
      </w:r>
      <w:r w:rsidRPr="2D0D95AE">
        <w:rPr>
          <w:sz w:val="22"/>
          <w:szCs w:val="22"/>
          <w:lang w:val="en-US"/>
        </w:rPr>
        <w:t> </w:t>
      </w:r>
      <w:r w:rsidRPr="2D0D95AE">
        <w:rPr>
          <w:rFonts w:ascii="Georgia" w:hAnsi="Georgia" w:cs="Calibri"/>
          <w:sz w:val="22"/>
          <w:szCs w:val="22"/>
          <w:lang w:val="en-US"/>
        </w:rPr>
        <w:t>:</w:t>
      </w:r>
      <w:proofErr w:type="gramEnd"/>
      <w:r w:rsidRPr="2D0D95AE">
        <w:rPr>
          <w:rFonts w:ascii="Georgia" w:hAnsi="Georgia" w:cs="Calibri"/>
          <w:sz w:val="22"/>
          <w:szCs w:val="22"/>
          <w:lang w:val="en-US"/>
        </w:rPr>
        <w:t xml:space="preserve"> entre dévotion privée et nécessité politique.” </w:t>
      </w:r>
      <w:r w:rsidRPr="2D0D95AE">
        <w:rPr>
          <w:rFonts w:ascii="Georgia" w:hAnsi="Georgia" w:cs="Calibri"/>
          <w:i/>
          <w:iCs/>
          <w:sz w:val="22"/>
          <w:szCs w:val="22"/>
          <w:lang w:val="en-US"/>
        </w:rPr>
        <w:t>Le Moyen Age</w:t>
      </w:r>
      <w:r w:rsidRPr="2D0D95AE">
        <w:rPr>
          <w:rFonts w:ascii="Georgia" w:hAnsi="Georgia" w:cs="Calibri"/>
          <w:sz w:val="22"/>
          <w:szCs w:val="22"/>
          <w:lang w:val="en-US"/>
        </w:rPr>
        <w:t>, nr. 3 (2011): 507-29.</w:t>
      </w:r>
    </w:p>
    <w:p w14:paraId="35FFA38E"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Kettering, Sharon. “Gift-giving and patronage in early modern France”. </w:t>
      </w:r>
      <w:r w:rsidRPr="2D0D95AE">
        <w:rPr>
          <w:rFonts w:ascii="Georgia" w:hAnsi="Georgia" w:cs="Calibri"/>
          <w:i/>
          <w:iCs/>
          <w:sz w:val="22"/>
          <w:szCs w:val="22"/>
          <w:lang w:val="en-US"/>
        </w:rPr>
        <w:t>French History</w:t>
      </w:r>
      <w:r w:rsidRPr="2D0D95AE">
        <w:rPr>
          <w:rFonts w:ascii="Georgia" w:hAnsi="Georgia" w:cs="Calibri"/>
          <w:sz w:val="22"/>
          <w:szCs w:val="22"/>
          <w:lang w:val="en-US"/>
        </w:rPr>
        <w:t xml:space="preserve"> 2, nr. 2 (1988): 131-51.</w:t>
      </w:r>
    </w:p>
    <w:p w14:paraId="2B323F67"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Lejeune, Théophile. </w:t>
      </w:r>
      <w:r w:rsidRPr="2D0D95AE">
        <w:rPr>
          <w:rFonts w:ascii="Georgia" w:hAnsi="Georgia" w:cs="Calibri"/>
          <w:i/>
          <w:iCs/>
          <w:sz w:val="22"/>
          <w:szCs w:val="22"/>
          <w:lang w:val="en-US"/>
        </w:rPr>
        <w:t>Histoire de la ville de Binche</w:t>
      </w:r>
      <w:r w:rsidRPr="2D0D95AE">
        <w:rPr>
          <w:rFonts w:ascii="Georgia" w:hAnsi="Georgia" w:cs="Calibri"/>
          <w:sz w:val="22"/>
          <w:szCs w:val="22"/>
          <w:lang w:val="en-US"/>
        </w:rPr>
        <w:t>. Binche: Culture et Civilisation, 1981.</w:t>
      </w:r>
    </w:p>
    <w:p w14:paraId="41B70A77" w14:textId="77777777" w:rsidR="009F00C4" w:rsidRPr="009F00C4" w:rsidRDefault="009F00C4" w:rsidP="001665A5">
      <w:pPr>
        <w:spacing w:before="240" w:line="360" w:lineRule="auto"/>
        <w:jc w:val="both"/>
        <w:rPr>
          <w:rFonts w:ascii="Georgia" w:hAnsi="Georgia" w:cs="Calibri"/>
          <w:sz w:val="22"/>
          <w:szCs w:val="22"/>
          <w:lang w:val="fr-FR"/>
        </w:rPr>
      </w:pPr>
      <w:r w:rsidRPr="009F00C4">
        <w:rPr>
          <w:rFonts w:ascii="Georgia" w:hAnsi="Georgia" w:cs="Calibri"/>
          <w:sz w:val="22"/>
          <w:szCs w:val="22"/>
          <w:lang w:val="fr-FR"/>
        </w:rPr>
        <w:t xml:space="preserve">Lemaire, Thiery. </w:t>
      </w:r>
      <w:r w:rsidRPr="009F00C4">
        <w:rPr>
          <w:rFonts w:ascii="Georgia" w:hAnsi="Georgia" w:cs="Calibri"/>
          <w:i/>
          <w:iCs/>
          <w:sz w:val="22"/>
          <w:szCs w:val="22"/>
          <w:lang w:val="fr-FR"/>
        </w:rPr>
        <w:t xml:space="preserve">Les travaux publics et domaniaux à Binche (1363-1413). </w:t>
      </w:r>
      <w:r w:rsidRPr="009F00C4">
        <w:rPr>
          <w:rFonts w:ascii="Georgia" w:hAnsi="Georgia" w:cs="Calibri"/>
          <w:sz w:val="22"/>
          <w:szCs w:val="22"/>
          <w:lang w:val="fr-FR"/>
        </w:rPr>
        <w:t xml:space="preserve">Aspects matériels, économique et humains. </w:t>
      </w:r>
      <w:proofErr w:type="gramStart"/>
      <w:r w:rsidRPr="009F00C4">
        <w:rPr>
          <w:rFonts w:ascii="Georgia" w:hAnsi="Georgia" w:cs="Calibri"/>
          <w:sz w:val="22"/>
          <w:szCs w:val="22"/>
          <w:lang w:val="fr-FR"/>
        </w:rPr>
        <w:t>Binche:</w:t>
      </w:r>
      <w:proofErr w:type="gramEnd"/>
      <w:r w:rsidRPr="009F00C4">
        <w:rPr>
          <w:rFonts w:ascii="Georgia" w:hAnsi="Georgia" w:cs="Calibri"/>
          <w:sz w:val="22"/>
          <w:szCs w:val="22"/>
          <w:lang w:val="fr-FR"/>
        </w:rPr>
        <w:t xml:space="preserve"> Société d'archéologie et des amis du musée de Binche, 2006</w:t>
      </w:r>
    </w:p>
    <w:p w14:paraId="26194BFA" w14:textId="77777777" w:rsidR="009F00C4" w:rsidRPr="009F00C4" w:rsidRDefault="009F00C4" w:rsidP="2D0D95AE">
      <w:pPr>
        <w:spacing w:before="240"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Magnette, Felix. </w:t>
      </w:r>
      <w:r w:rsidRPr="2D0D95AE">
        <w:rPr>
          <w:rFonts w:ascii="Georgia" w:hAnsi="Georgia" w:cs="Calibri"/>
          <w:i/>
          <w:iCs/>
          <w:sz w:val="22"/>
          <w:szCs w:val="22"/>
          <w:lang w:val="en-US"/>
        </w:rPr>
        <w:t>Précis d’histoire liégeoise à l’usage de l’enseignement moyen</w:t>
      </w:r>
      <w:r w:rsidRPr="2D0D95AE">
        <w:rPr>
          <w:rFonts w:ascii="Georgia" w:hAnsi="Georgia" w:cs="Calibri"/>
          <w:sz w:val="22"/>
          <w:szCs w:val="22"/>
          <w:lang w:val="en-US"/>
        </w:rPr>
        <w:t>. Luik: Vaillant-Carmanne, 1928.</w:t>
      </w:r>
    </w:p>
    <w:p w14:paraId="33847A02"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Marchandisse, Alain, Christophe Masson en Bertrand Schnerb. “l’ultime voyage de Marie de Bourgogne: Des funérailles de duc ou de duchesse?” in</w:t>
      </w:r>
      <w:r w:rsidRPr="2D0D95AE">
        <w:rPr>
          <w:rFonts w:ascii="Georgia" w:hAnsi="Georgia" w:cs="Calibri"/>
          <w:i/>
          <w:iCs/>
          <w:sz w:val="22"/>
          <w:szCs w:val="22"/>
          <w:lang w:val="en-US"/>
        </w:rPr>
        <w:t xml:space="preserve"> Marie de Bourgogne: Figure, principat et postérité d'une duchesse tardo-médiévale</w:t>
      </w:r>
      <w:r w:rsidRPr="2D0D95AE">
        <w:rPr>
          <w:rFonts w:ascii="Georgia" w:hAnsi="Georgia" w:cs="Calibri"/>
          <w:sz w:val="22"/>
          <w:szCs w:val="22"/>
          <w:lang w:val="en-US"/>
        </w:rPr>
        <w:t>. Onde redactie van Michael Depreter Jonathan Dumont, Elizabeth l’Estrange, Samuel Mareel: 309-322. Turnhout: Brepols, 2021.</w:t>
      </w:r>
    </w:p>
    <w:p w14:paraId="7C495D70"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Margue, Michel. “Die Erbtochter, die fremde Fürst und die Stände. “Internationale” Heiraten als Mittel der Machtpolitik im Spannungsfeld zwischen Hausmacht und Land”. In </w:t>
      </w:r>
      <w:r w:rsidRPr="2D0D95AE">
        <w:rPr>
          <w:rFonts w:ascii="Georgia" w:hAnsi="Georgia" w:cs="Calibri"/>
          <w:i/>
          <w:iCs/>
          <w:sz w:val="22"/>
          <w:szCs w:val="22"/>
          <w:lang w:val="en-US"/>
        </w:rPr>
        <w:t>Die Erbtochter, der fremde Fürst und das Land: die Ehe Johanns des Blinden und Elisabeths von Böhmen in vergleichender europäischer Perspektive = L’héritière, le prince étranger et le pays: le mariage de Jean l’Aveugle et d’Elisabeth de Bohême dans une perspective comparative européenne,</w:t>
      </w:r>
      <w:r w:rsidRPr="2D0D95AE">
        <w:rPr>
          <w:rFonts w:ascii="Georgia" w:hAnsi="Georgia" w:cs="Calibri"/>
          <w:sz w:val="22"/>
          <w:szCs w:val="22"/>
          <w:lang w:val="en-US"/>
        </w:rPr>
        <w:t xml:space="preserve"> onder redactie van Michel Pauly, Jan, Eliška. Musée d’histoire et d’art (Luxembourg), en Centre luxembourgeois de documentation et d’études médiévales. Luxemburg: CLUDEM, 2013.</w:t>
      </w:r>
    </w:p>
    <w:p w14:paraId="2592932A"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lastRenderedPageBreak/>
        <w:t xml:space="preserve">Mauss, Marcel, en W. D. Halls. </w:t>
      </w:r>
      <w:r w:rsidRPr="2D0D95AE">
        <w:rPr>
          <w:rFonts w:ascii="Georgia" w:hAnsi="Georgia" w:cs="Calibri"/>
          <w:i/>
          <w:iCs/>
          <w:sz w:val="22"/>
          <w:szCs w:val="22"/>
          <w:lang w:val="en-US"/>
        </w:rPr>
        <w:t>The gift: the form and reason for exchange in archaic societies</w:t>
      </w:r>
      <w:r w:rsidRPr="2D0D95AE">
        <w:rPr>
          <w:rFonts w:ascii="Georgia" w:hAnsi="Georgia" w:cs="Calibri"/>
          <w:sz w:val="22"/>
          <w:szCs w:val="22"/>
          <w:lang w:val="en-US"/>
        </w:rPr>
        <w:t>. Londen: Routledge, 1996.</w:t>
      </w:r>
    </w:p>
    <w:p w14:paraId="0324874E" w14:textId="77777777" w:rsidR="009F00C4" w:rsidRPr="009F00C4" w:rsidRDefault="009F00C4" w:rsidP="007406C5">
      <w:pPr>
        <w:spacing w:afterLines="80" w:after="192" w:line="360" w:lineRule="auto"/>
        <w:jc w:val="both"/>
        <w:rPr>
          <w:rFonts w:ascii="Georgia" w:hAnsi="Georgia" w:cs="Calibri"/>
          <w:sz w:val="22"/>
          <w:szCs w:val="22"/>
        </w:rPr>
      </w:pPr>
      <w:r w:rsidRPr="009F00C4">
        <w:rPr>
          <w:rFonts w:ascii="Georgia" w:hAnsi="Georgia" w:cs="Calibri"/>
          <w:sz w:val="22"/>
          <w:szCs w:val="22"/>
        </w:rPr>
        <w:t xml:space="preserve">McCash, June Hall, (red). </w:t>
      </w:r>
      <w:r w:rsidRPr="009F00C4">
        <w:rPr>
          <w:rFonts w:ascii="Georgia" w:hAnsi="Georgia" w:cs="Calibri"/>
          <w:i/>
          <w:iCs/>
          <w:sz w:val="22"/>
          <w:szCs w:val="22"/>
        </w:rPr>
        <w:t>The Cultural Patronage of Medieval Women</w:t>
      </w:r>
      <w:r w:rsidRPr="009F00C4">
        <w:rPr>
          <w:rFonts w:ascii="Georgia" w:hAnsi="Georgia" w:cs="Calibri"/>
          <w:sz w:val="22"/>
          <w:szCs w:val="22"/>
        </w:rPr>
        <w:t>. Georgia: University of Georgia Press, 1996.</w:t>
      </w:r>
    </w:p>
    <w:p w14:paraId="2B677508"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McNamara, Jo ann, en Suzanne Wemple. “The Power of Women through the Family in Medieval Europe: 500-1100”. </w:t>
      </w:r>
      <w:r w:rsidRPr="2D0D95AE">
        <w:rPr>
          <w:rFonts w:ascii="Georgia" w:hAnsi="Georgia" w:cs="Calibri"/>
          <w:i/>
          <w:iCs/>
          <w:sz w:val="22"/>
          <w:szCs w:val="22"/>
          <w:lang w:val="en-US"/>
        </w:rPr>
        <w:t>Feminist studies</w:t>
      </w:r>
      <w:r w:rsidRPr="2D0D95AE">
        <w:rPr>
          <w:rFonts w:ascii="Georgia" w:hAnsi="Georgia" w:cs="Calibri"/>
          <w:sz w:val="22"/>
          <w:szCs w:val="22"/>
          <w:lang w:val="en-US"/>
        </w:rPr>
        <w:t xml:space="preserve"> 1, nr. 3/4 (1973): 126-41.</w:t>
      </w:r>
    </w:p>
    <w:p w14:paraId="3B018881" w14:textId="0DA00C51"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Martens</w:t>
      </w:r>
      <w:r w:rsidR="001665A5" w:rsidRPr="2D0D95AE">
        <w:rPr>
          <w:rFonts w:ascii="Georgia" w:hAnsi="Georgia" w:cs="Calibri"/>
          <w:sz w:val="22"/>
          <w:szCs w:val="22"/>
          <w:lang w:val="en-US"/>
        </w:rPr>
        <w:t>, Mina.</w:t>
      </w:r>
      <w:r w:rsidRPr="2D0D95AE">
        <w:rPr>
          <w:rFonts w:ascii="Georgia" w:hAnsi="Georgia" w:cs="Calibri"/>
          <w:sz w:val="22"/>
          <w:szCs w:val="22"/>
          <w:lang w:val="en-US"/>
        </w:rPr>
        <w:t xml:space="preserve"> </w:t>
      </w:r>
      <w:r w:rsidRPr="2D0D95AE">
        <w:rPr>
          <w:rFonts w:ascii="Georgia" w:hAnsi="Georgia" w:cs="Calibri"/>
          <w:i/>
          <w:iCs/>
          <w:sz w:val="22"/>
          <w:szCs w:val="22"/>
          <w:lang w:val="en-US"/>
        </w:rPr>
        <w:t>L’administration du domaine ducal en Brabant au Moyen Âge (1250 - 1406).</w:t>
      </w:r>
      <w:r w:rsidRPr="2D0D95AE">
        <w:rPr>
          <w:rFonts w:ascii="Georgia" w:hAnsi="Georgia" w:cs="Calibri"/>
          <w:sz w:val="22"/>
          <w:szCs w:val="22"/>
          <w:lang w:val="en-US"/>
        </w:rPr>
        <w:t xml:space="preserve"> Brussel: Palais des Académies, 1954.</w:t>
      </w:r>
    </w:p>
    <w:p w14:paraId="44DE8A1D"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Musson, Anthony. “Queenship, Lordship and Petitioning in Late Medieval England”. In Medieval </w:t>
      </w:r>
      <w:proofErr w:type="gramStart"/>
      <w:r w:rsidRPr="2D0D95AE">
        <w:rPr>
          <w:rFonts w:ascii="Georgia" w:hAnsi="Georgia" w:cs="Calibri"/>
          <w:sz w:val="22"/>
          <w:szCs w:val="22"/>
          <w:lang w:val="en-US"/>
        </w:rPr>
        <w:t>Petitions,  onder</w:t>
      </w:r>
      <w:proofErr w:type="gramEnd"/>
      <w:r w:rsidRPr="2D0D95AE">
        <w:rPr>
          <w:rFonts w:ascii="Georgia" w:hAnsi="Georgia" w:cs="Calibri"/>
          <w:sz w:val="22"/>
          <w:szCs w:val="22"/>
          <w:lang w:val="en-US"/>
        </w:rPr>
        <w:t xml:space="preserve"> redactie van W. Mark Ormrod, Gwilym Dodd, en Anthony Musson: 156-172. Suffolk: Boydell and Brewer Limited, 2009. </w:t>
      </w:r>
    </w:p>
    <w:p w14:paraId="28655ECA"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Napolitano, David, en Kenneth J. Pennington, (red.) </w:t>
      </w:r>
      <w:r w:rsidRPr="2D0D95AE">
        <w:rPr>
          <w:rFonts w:ascii="Georgia" w:hAnsi="Georgia" w:cs="Calibri"/>
          <w:i/>
          <w:iCs/>
          <w:sz w:val="22"/>
          <w:szCs w:val="22"/>
          <w:lang w:val="en-US"/>
        </w:rPr>
        <w:t>A Cultural History of Democracy in the Medieval Age.</w:t>
      </w:r>
      <w:r w:rsidRPr="2D0D95AE">
        <w:rPr>
          <w:rFonts w:ascii="Georgia" w:hAnsi="Georgia" w:cs="Calibri"/>
          <w:sz w:val="22"/>
          <w:szCs w:val="22"/>
          <w:lang w:val="en-US"/>
        </w:rPr>
        <w:t xml:space="preserve"> Londen: Bloomsbury Publishing Plc, 2021. </w:t>
      </w:r>
    </w:p>
    <w:p w14:paraId="53F24692"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Pièrard, Christiane. “Les douaires de Jeanne de Brabant en Hainaut.” Onuitgegeven Masterproef: KU Leuven, 1956.</w:t>
      </w:r>
    </w:p>
    <w:p w14:paraId="108A2B0E"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Pinchart, André. “La cour de Jeanne et de Wenceslas et les arts en Brabant, pendant la seconde moitié du xive siècle”. Revue trimestrielle 6, nr. 2 (1855): 5-31.</w:t>
      </w:r>
    </w:p>
    <w:p w14:paraId="1FA26DA9"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Pinchart, André. “La cour de Jeanne et de Wenceslas et les arts en Brabant, pendant la seconde moitié du xive siècle”. Revue trimestrielle 13, nr. 1 (1857): 25-67.</w:t>
      </w:r>
    </w:p>
    <w:p w14:paraId="3555C15D"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Pirenne, Henri. “Jeanne”. In Biographie nationale de Belgique, vol. 10, onder redactie van P. J. Van Beneden. Académie royale de Belgique, 1888.</w:t>
      </w:r>
    </w:p>
    <w:p w14:paraId="35E7E5E0"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Poullet, Edmond. “Sur la Joyeuse-Entrée ou Constitution brabançonne”. Mémoires couronnés et mémoires des savants étrangers, publiés par l’Académie royale des sciences, des lettres et des beaux-arts de Bruxelles. Collection in-4° 31, nr. 1 (1863): 1-408. </w:t>
      </w:r>
    </w:p>
    <w:p w14:paraId="1C6A9B18"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Quicke, Fritz. </w:t>
      </w:r>
      <w:r w:rsidRPr="2D0D95AE">
        <w:rPr>
          <w:rFonts w:ascii="Georgia" w:hAnsi="Georgia" w:cs="Calibri"/>
          <w:i/>
          <w:iCs/>
          <w:sz w:val="22"/>
          <w:szCs w:val="22"/>
          <w:lang w:val="en-US"/>
        </w:rPr>
        <w:t>Les Pays-Bas à la veille de la période bourguignonne 1356-</w:t>
      </w:r>
      <w:proofErr w:type="gramStart"/>
      <w:r w:rsidRPr="2D0D95AE">
        <w:rPr>
          <w:rFonts w:ascii="Georgia" w:hAnsi="Georgia" w:cs="Calibri"/>
          <w:i/>
          <w:iCs/>
          <w:sz w:val="22"/>
          <w:szCs w:val="22"/>
          <w:lang w:val="en-US"/>
        </w:rPr>
        <w:t>1384</w:t>
      </w:r>
      <w:r w:rsidRPr="2D0D95AE">
        <w:rPr>
          <w:i/>
          <w:iCs/>
          <w:sz w:val="22"/>
          <w:szCs w:val="22"/>
          <w:lang w:val="en-US"/>
        </w:rPr>
        <w:t> </w:t>
      </w:r>
      <w:r w:rsidRPr="2D0D95AE">
        <w:rPr>
          <w:rFonts w:ascii="Georgia" w:hAnsi="Georgia" w:cs="Calibri"/>
          <w:i/>
          <w:iCs/>
          <w:sz w:val="22"/>
          <w:szCs w:val="22"/>
          <w:lang w:val="en-US"/>
        </w:rPr>
        <w:t>:</w:t>
      </w:r>
      <w:proofErr w:type="gramEnd"/>
      <w:r w:rsidRPr="2D0D95AE">
        <w:rPr>
          <w:rFonts w:ascii="Georgia" w:hAnsi="Georgia" w:cs="Calibri"/>
          <w:i/>
          <w:iCs/>
          <w:sz w:val="22"/>
          <w:szCs w:val="22"/>
          <w:lang w:val="en-US"/>
        </w:rPr>
        <w:t xml:space="preserve"> contribution à l’histoire politique et diplomatique de l’Europe occidentale dans la seconde moitié du XIVe siècle</w:t>
      </w:r>
      <w:r w:rsidRPr="2D0D95AE">
        <w:rPr>
          <w:rFonts w:ascii="Georgia" w:hAnsi="Georgia" w:cs="Calibri"/>
          <w:sz w:val="22"/>
          <w:szCs w:val="22"/>
          <w:lang w:val="en-US"/>
        </w:rPr>
        <w:t>. Brussel: ULB, 1948.</w:t>
      </w:r>
    </w:p>
    <w:p w14:paraId="40CC9D98"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Rastall, Richard, en John Andrew Taylor. </w:t>
      </w:r>
      <w:r w:rsidRPr="2D0D95AE">
        <w:rPr>
          <w:rFonts w:ascii="Georgia" w:hAnsi="Georgia" w:cs="Calibri"/>
          <w:i/>
          <w:iCs/>
          <w:sz w:val="22"/>
          <w:szCs w:val="22"/>
          <w:lang w:val="en-US"/>
        </w:rPr>
        <w:t>Minstrels and Minstrelsy in Late Medieval England</w:t>
      </w:r>
      <w:r w:rsidRPr="2D0D95AE">
        <w:rPr>
          <w:rFonts w:ascii="Georgia" w:hAnsi="Georgia" w:cs="Calibri"/>
          <w:sz w:val="22"/>
          <w:szCs w:val="22"/>
          <w:lang w:val="en-US"/>
        </w:rPr>
        <w:t>. Suffolk: The Boydell Press, 2023.</w:t>
      </w:r>
    </w:p>
    <w:p w14:paraId="04C69AB4"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lastRenderedPageBreak/>
        <w:t xml:space="preserve">Robert, Stein. “Vreemde vorsten op de troon”. In </w:t>
      </w:r>
      <w:r w:rsidRPr="2D0D95AE">
        <w:rPr>
          <w:rFonts w:ascii="Georgia" w:hAnsi="Georgia" w:cs="Calibri"/>
          <w:i/>
          <w:iCs/>
          <w:sz w:val="22"/>
          <w:szCs w:val="22"/>
          <w:lang w:val="en-US"/>
        </w:rPr>
        <w:t>Geschiedenis van Brabant van het hertogdom tot heden</w:t>
      </w:r>
      <w:r w:rsidRPr="2D0D95AE">
        <w:rPr>
          <w:rFonts w:ascii="Georgia" w:hAnsi="Georgia" w:cs="Calibri"/>
          <w:sz w:val="22"/>
          <w:szCs w:val="22"/>
          <w:lang w:val="en-US"/>
        </w:rPr>
        <w:t>, onder redactie van Raymond van Uytven. 157-164. Zwolle: Waanders [u.a.], 2004.</w:t>
      </w:r>
    </w:p>
    <w:p w14:paraId="52298DA2"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Rutsaert, Camille. “Amour et affection dans la vie de Jeanne de Brabant (1322-1406). La construction d’un discours sentimental entre absence d’information et topoï de société”. </w:t>
      </w:r>
      <w:r w:rsidRPr="2D0D95AE">
        <w:rPr>
          <w:rFonts w:ascii="Georgia" w:hAnsi="Georgia" w:cs="Calibri"/>
          <w:i/>
          <w:iCs/>
          <w:sz w:val="22"/>
          <w:szCs w:val="22"/>
          <w:lang w:val="en-US"/>
        </w:rPr>
        <w:t>Mosaïque</w:t>
      </w:r>
      <w:r w:rsidRPr="2D0D95AE">
        <w:rPr>
          <w:rFonts w:ascii="Georgia" w:hAnsi="Georgia" w:cs="Calibri"/>
          <w:sz w:val="22"/>
          <w:szCs w:val="22"/>
          <w:lang w:val="en-US"/>
        </w:rPr>
        <w:t xml:space="preserve">, nr. 21 (juli 2024). </w:t>
      </w:r>
    </w:p>
    <w:p w14:paraId="1F2B5A11"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Santinelli-Foltz, Emmanuelle. “Review van Lucie </w:t>
      </w:r>
      <w:proofErr w:type="gramStart"/>
      <w:r w:rsidRPr="2D0D95AE">
        <w:rPr>
          <w:rFonts w:ascii="Georgia" w:hAnsi="Georgia" w:cs="Calibri"/>
          <w:sz w:val="22"/>
          <w:szCs w:val="22"/>
          <w:lang w:val="en-US"/>
        </w:rPr>
        <w:t>Jardot ,</w:t>
      </w:r>
      <w:proofErr w:type="gramEnd"/>
      <w:r w:rsidRPr="2D0D95AE">
        <w:rPr>
          <w:rFonts w:ascii="Georgia" w:hAnsi="Georgia" w:cs="Calibri"/>
          <w:sz w:val="22"/>
          <w:szCs w:val="22"/>
          <w:lang w:val="en-US"/>
        </w:rPr>
        <w:t xml:space="preserve"> </w:t>
      </w:r>
      <w:r w:rsidRPr="2D0D95AE">
        <w:rPr>
          <w:rFonts w:ascii="Georgia" w:hAnsi="Georgia" w:cs="Calibri"/>
          <w:i/>
          <w:iCs/>
          <w:sz w:val="22"/>
          <w:szCs w:val="22"/>
          <w:lang w:val="en-US"/>
        </w:rPr>
        <w:t xml:space="preserve">Sceller et gouverner. Pratiques et représentations du pouvoir des comtesses de Flandre et de Hainaut </w:t>
      </w:r>
      <w:proofErr w:type="gramStart"/>
      <w:r w:rsidRPr="2D0D95AE">
        <w:rPr>
          <w:rFonts w:ascii="Georgia" w:hAnsi="Georgia" w:cs="Calibri"/>
          <w:i/>
          <w:iCs/>
          <w:sz w:val="22"/>
          <w:szCs w:val="22"/>
          <w:lang w:val="en-US"/>
        </w:rPr>
        <w:t>( XIII</w:t>
      </w:r>
      <w:proofErr w:type="gramEnd"/>
      <w:r w:rsidRPr="2D0D95AE">
        <w:rPr>
          <w:rFonts w:ascii="Georgia" w:hAnsi="Georgia" w:cs="Calibri"/>
          <w:i/>
          <w:iCs/>
          <w:sz w:val="22"/>
          <w:szCs w:val="22"/>
          <w:lang w:val="en-US"/>
        </w:rPr>
        <w:t xml:space="preserve"> e- XV e siècle</w:t>
      </w:r>
      <w:r w:rsidRPr="2D0D95AE">
        <w:rPr>
          <w:rFonts w:ascii="Georgia" w:hAnsi="Georgia" w:cs="Calibri"/>
          <w:sz w:val="22"/>
          <w:szCs w:val="22"/>
          <w:lang w:val="en-US"/>
        </w:rPr>
        <w:t xml:space="preserve">)”. </w:t>
      </w:r>
      <w:r w:rsidRPr="2D0D95AE">
        <w:rPr>
          <w:rFonts w:ascii="Georgia" w:hAnsi="Georgia" w:cs="Calibri"/>
          <w:i/>
          <w:iCs/>
          <w:sz w:val="22"/>
          <w:szCs w:val="22"/>
          <w:lang w:val="en-US"/>
        </w:rPr>
        <w:t>Clio</w:t>
      </w:r>
      <w:r w:rsidRPr="2D0D95AE">
        <w:rPr>
          <w:rFonts w:ascii="Georgia" w:hAnsi="Georgia" w:cs="Calibri"/>
          <w:sz w:val="22"/>
          <w:szCs w:val="22"/>
          <w:lang w:val="en-US"/>
        </w:rPr>
        <w:t xml:space="preserve"> 53, nr. 1 (2021): 282-84.</w:t>
      </w:r>
    </w:p>
    <w:p w14:paraId="5D2B0C53"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Scott, Joan W. “Gender: A Useful Category of Historical Analysis”. </w:t>
      </w:r>
      <w:r w:rsidRPr="2D0D95AE">
        <w:rPr>
          <w:rFonts w:ascii="Georgia" w:hAnsi="Georgia" w:cs="Calibri"/>
          <w:i/>
          <w:iCs/>
          <w:sz w:val="22"/>
          <w:szCs w:val="22"/>
          <w:lang w:val="en-US"/>
        </w:rPr>
        <w:t>The American Historical Review</w:t>
      </w:r>
      <w:r w:rsidRPr="2D0D95AE">
        <w:rPr>
          <w:rFonts w:ascii="Georgia" w:hAnsi="Georgia" w:cs="Calibri"/>
          <w:sz w:val="22"/>
          <w:szCs w:val="22"/>
          <w:lang w:val="en-US"/>
        </w:rPr>
        <w:t xml:space="preserve"> 91, nr. 5 (1986): 1053-1075</w:t>
      </w:r>
    </w:p>
    <w:p w14:paraId="5784B74C" w14:textId="77777777" w:rsidR="009F00C4" w:rsidRPr="009F00C4" w:rsidRDefault="009F00C4" w:rsidP="007406C5">
      <w:pPr>
        <w:spacing w:afterLines="80" w:after="192" w:line="360" w:lineRule="auto"/>
        <w:jc w:val="both"/>
        <w:rPr>
          <w:rFonts w:ascii="Georgia" w:hAnsi="Georgia" w:cs="Calibri"/>
          <w:sz w:val="22"/>
          <w:szCs w:val="22"/>
        </w:rPr>
      </w:pPr>
      <w:r w:rsidRPr="009F00C4">
        <w:rPr>
          <w:rFonts w:ascii="Georgia" w:hAnsi="Georgia" w:cs="Calibri"/>
          <w:sz w:val="22"/>
          <w:szCs w:val="22"/>
        </w:rPr>
        <w:t xml:space="preserve">Seah, Michele L. C. </w:t>
      </w:r>
      <w:r w:rsidRPr="009F00C4">
        <w:rPr>
          <w:rFonts w:ascii="Georgia" w:hAnsi="Georgia" w:cs="Calibri"/>
          <w:i/>
          <w:iCs/>
          <w:sz w:val="22"/>
          <w:szCs w:val="22"/>
        </w:rPr>
        <w:t>Financing Queenship in Late Fifteenth Century England</w:t>
      </w:r>
      <w:r w:rsidRPr="009F00C4">
        <w:rPr>
          <w:rFonts w:ascii="Georgia" w:hAnsi="Georgia" w:cs="Calibri"/>
          <w:sz w:val="22"/>
          <w:szCs w:val="22"/>
        </w:rPr>
        <w:t>. Suffolk: Boydell &amp; Brewer, 2025.</w:t>
      </w:r>
    </w:p>
    <w:p w14:paraId="1978D513"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Seah, Michele. “Gifts and Rewards: Exploring the Expenditure of Late Medieval English Queens”. </w:t>
      </w:r>
      <w:r w:rsidRPr="2D0D95AE">
        <w:rPr>
          <w:rFonts w:ascii="Georgia" w:hAnsi="Georgia" w:cs="Calibri"/>
          <w:i/>
          <w:iCs/>
          <w:sz w:val="22"/>
          <w:szCs w:val="22"/>
          <w:lang w:val="en-US"/>
        </w:rPr>
        <w:t>Journal of Medieval History</w:t>
      </w:r>
      <w:r w:rsidRPr="2D0D95AE">
        <w:rPr>
          <w:rFonts w:ascii="Georgia" w:hAnsi="Georgia" w:cs="Calibri"/>
          <w:sz w:val="22"/>
          <w:szCs w:val="22"/>
          <w:lang w:val="en-US"/>
        </w:rPr>
        <w:t xml:space="preserve"> 50, nr. 5 (2024): 581-97. </w:t>
      </w:r>
    </w:p>
    <w:p w14:paraId="4B92F40C"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Sleiderink, Remco. “Dichters aan het Brabantse hof (1356-1406)”. </w:t>
      </w:r>
      <w:r w:rsidRPr="2D0D95AE">
        <w:rPr>
          <w:rFonts w:ascii="Georgia" w:hAnsi="Georgia" w:cs="Calibri"/>
          <w:i/>
          <w:iCs/>
          <w:sz w:val="22"/>
          <w:szCs w:val="22"/>
          <w:lang w:val="en-US"/>
        </w:rPr>
        <w:t>Die Nieuwe Taalgids</w:t>
      </w:r>
      <w:r w:rsidRPr="2D0D95AE">
        <w:rPr>
          <w:rFonts w:ascii="Georgia" w:hAnsi="Georgia" w:cs="Calibri"/>
          <w:sz w:val="22"/>
          <w:szCs w:val="22"/>
          <w:lang w:val="en-US"/>
        </w:rPr>
        <w:t xml:space="preserve"> 86, nr. 1 (1993).</w:t>
      </w:r>
    </w:p>
    <w:p w14:paraId="5FA94866"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Sleiderink, Remco. </w:t>
      </w:r>
      <w:r w:rsidRPr="2D0D95AE">
        <w:rPr>
          <w:rFonts w:ascii="Georgia" w:hAnsi="Georgia" w:cs="Calibri"/>
          <w:i/>
          <w:iCs/>
          <w:sz w:val="22"/>
          <w:szCs w:val="22"/>
          <w:lang w:val="en-US"/>
        </w:rPr>
        <w:t xml:space="preserve">De stem </w:t>
      </w:r>
      <w:proofErr w:type="gramStart"/>
      <w:r w:rsidRPr="2D0D95AE">
        <w:rPr>
          <w:rFonts w:ascii="Georgia" w:hAnsi="Georgia" w:cs="Calibri"/>
          <w:i/>
          <w:iCs/>
          <w:sz w:val="22"/>
          <w:szCs w:val="22"/>
          <w:lang w:val="en-US"/>
        </w:rPr>
        <w:t>van</w:t>
      </w:r>
      <w:proofErr w:type="gramEnd"/>
      <w:r w:rsidRPr="2D0D95AE">
        <w:rPr>
          <w:rFonts w:ascii="Georgia" w:hAnsi="Georgia" w:cs="Calibri"/>
          <w:i/>
          <w:iCs/>
          <w:sz w:val="22"/>
          <w:szCs w:val="22"/>
          <w:lang w:val="en-US"/>
        </w:rPr>
        <w:t xml:space="preserve"> de meester: de hertogen van Brabant en hun rol in het literaire leven (1106-1430)</w:t>
      </w:r>
      <w:r w:rsidRPr="2D0D95AE">
        <w:rPr>
          <w:rFonts w:ascii="Georgia" w:hAnsi="Georgia" w:cs="Calibri"/>
          <w:sz w:val="22"/>
          <w:szCs w:val="22"/>
          <w:lang w:val="en-US"/>
        </w:rPr>
        <w:t>. Amsterdam: Prometheus, 2003.</w:t>
      </w:r>
    </w:p>
    <w:p w14:paraId="7C4B5B4D"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Strohm, Paul. </w:t>
      </w:r>
      <w:r w:rsidRPr="2D0D95AE">
        <w:rPr>
          <w:rFonts w:ascii="Georgia" w:hAnsi="Georgia" w:cs="Calibri"/>
          <w:i/>
          <w:iCs/>
          <w:sz w:val="22"/>
          <w:szCs w:val="22"/>
          <w:lang w:val="en-US"/>
        </w:rPr>
        <w:t>Hochon’s arrow: the social imagination of fourteenth-century texts</w:t>
      </w:r>
      <w:r w:rsidRPr="2D0D95AE">
        <w:rPr>
          <w:rFonts w:ascii="Georgia" w:hAnsi="Georgia" w:cs="Calibri"/>
          <w:sz w:val="22"/>
          <w:szCs w:val="22"/>
          <w:lang w:val="en-US"/>
        </w:rPr>
        <w:t>. Princeton: Princeton University Press, 1992.</w:t>
      </w:r>
    </w:p>
    <w:p w14:paraId="71FA888A" w14:textId="77777777" w:rsidR="009F00C4" w:rsidRPr="009F00C4" w:rsidRDefault="009F00C4" w:rsidP="007406C5">
      <w:pPr>
        <w:spacing w:afterLines="80" w:after="192" w:line="360" w:lineRule="auto"/>
        <w:jc w:val="both"/>
        <w:rPr>
          <w:rFonts w:ascii="Georgia" w:hAnsi="Georgia" w:cs="Calibri"/>
          <w:sz w:val="22"/>
          <w:szCs w:val="22"/>
        </w:rPr>
      </w:pPr>
      <w:r w:rsidRPr="009F00C4">
        <w:rPr>
          <w:rFonts w:ascii="Georgia" w:hAnsi="Georgia" w:cs="Calibri"/>
          <w:sz w:val="22"/>
          <w:szCs w:val="22"/>
        </w:rPr>
        <w:t xml:space="preserve">Tanner, Heather J. </w:t>
      </w:r>
      <w:r w:rsidRPr="009F00C4">
        <w:rPr>
          <w:rFonts w:ascii="Georgia" w:hAnsi="Georgia" w:cs="Calibri"/>
          <w:i/>
          <w:iCs/>
          <w:sz w:val="22"/>
          <w:szCs w:val="22"/>
        </w:rPr>
        <w:t>Medieval Elite Women and the Exercise of Power, 1100-1400: Moving beyond the Exceptionalist Debate.</w:t>
      </w:r>
      <w:r w:rsidRPr="009F00C4">
        <w:rPr>
          <w:rFonts w:ascii="Georgia" w:hAnsi="Georgia" w:cs="Calibri"/>
          <w:sz w:val="22"/>
          <w:szCs w:val="22"/>
        </w:rPr>
        <w:t xml:space="preserve"> New York: Palgrave Macmillan, 2019.</w:t>
      </w:r>
    </w:p>
    <w:p w14:paraId="335501CE"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Thomas, Lynn M. “Historicising Agency”. </w:t>
      </w:r>
      <w:r w:rsidRPr="2D0D95AE">
        <w:rPr>
          <w:rFonts w:ascii="Georgia" w:hAnsi="Georgia" w:cs="Calibri"/>
          <w:i/>
          <w:iCs/>
          <w:sz w:val="22"/>
          <w:szCs w:val="22"/>
          <w:lang w:val="en-US"/>
        </w:rPr>
        <w:t>Gender &amp; History</w:t>
      </w:r>
      <w:r w:rsidRPr="2D0D95AE">
        <w:rPr>
          <w:rFonts w:ascii="Georgia" w:hAnsi="Georgia" w:cs="Calibri"/>
          <w:sz w:val="22"/>
          <w:szCs w:val="22"/>
          <w:lang w:val="en-US"/>
        </w:rPr>
        <w:t xml:space="preserve"> 28, nr. 2 (2016): 324-39. </w:t>
      </w:r>
    </w:p>
    <w:p w14:paraId="5F33166C"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Tingle, Louise. </w:t>
      </w:r>
      <w:r w:rsidRPr="2D0D95AE">
        <w:rPr>
          <w:rFonts w:ascii="Georgia" w:hAnsi="Georgia" w:cs="Calibri"/>
          <w:i/>
          <w:iCs/>
          <w:sz w:val="22"/>
          <w:szCs w:val="22"/>
          <w:lang w:val="en-US"/>
        </w:rPr>
        <w:t>Chaucer’s Queens: Royal Women, Intercession, and Patronage in England, 1328-1394.</w:t>
      </w:r>
      <w:r w:rsidRPr="2D0D95AE">
        <w:rPr>
          <w:rFonts w:ascii="Georgia" w:hAnsi="Georgia" w:cs="Calibri"/>
          <w:sz w:val="22"/>
          <w:szCs w:val="22"/>
          <w:lang w:val="en-US"/>
        </w:rPr>
        <w:t xml:space="preserve"> Cham: Springer International Publishing AG, 2021.</w:t>
      </w:r>
    </w:p>
    <w:p w14:paraId="45F01E3A"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Uyttebrouck, André. “Inventaire des comptes généraux du duché de Brabant antérieurs à l’avènement de Philippe le Bon (1342-1430)”. In </w:t>
      </w:r>
      <w:r w:rsidRPr="2D0D95AE">
        <w:rPr>
          <w:rFonts w:ascii="Georgia" w:hAnsi="Georgia" w:cs="Calibri"/>
          <w:i/>
          <w:iCs/>
          <w:sz w:val="22"/>
          <w:szCs w:val="22"/>
          <w:lang w:val="en-US"/>
        </w:rPr>
        <w:t>Recherches sur l’histoire des finances publiques en Belgique</w:t>
      </w:r>
      <w:r w:rsidRPr="2D0D95AE">
        <w:rPr>
          <w:rFonts w:ascii="Georgia" w:hAnsi="Georgia" w:cs="Calibri"/>
          <w:sz w:val="22"/>
          <w:szCs w:val="22"/>
          <w:lang w:val="en-US"/>
        </w:rPr>
        <w:t>, vol. 3, onder redactie van M. A. Arnould: 101-130. Brussel: Éditions de sité de Bruxelles, 1974.</w:t>
      </w:r>
    </w:p>
    <w:p w14:paraId="27C46D9D"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lastRenderedPageBreak/>
        <w:t xml:space="preserve">Uyttebrouck, André. “Quelques Aspects de La Vie Quotidienne a La Cour de Brabant”. In </w:t>
      </w:r>
      <w:r w:rsidRPr="2D0D95AE">
        <w:rPr>
          <w:rFonts w:ascii="Georgia" w:hAnsi="Georgia" w:cs="Calibri"/>
          <w:i/>
          <w:iCs/>
          <w:sz w:val="22"/>
          <w:szCs w:val="22"/>
          <w:lang w:val="en-US"/>
        </w:rPr>
        <w:t>Alltag Bei Hofe: 3. Symposium Der Residenzen-Kommission Der Akademie Der Wissenschaften in Göttingen, Ansbach 28. Februar Bis 1. März 1992</w:t>
      </w:r>
      <w:r w:rsidRPr="2D0D95AE">
        <w:rPr>
          <w:rFonts w:ascii="Georgia" w:hAnsi="Georgia" w:cs="Calibri"/>
          <w:sz w:val="22"/>
          <w:szCs w:val="22"/>
          <w:lang w:val="en-US"/>
        </w:rPr>
        <w:t>, onder redactie van Werner Paravicini. 149-170. Ostfildern: J. Thorbecke, 1995.</w:t>
      </w:r>
    </w:p>
    <w:p w14:paraId="35ADF202"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Uyttebrouck, André. </w:t>
      </w:r>
      <w:r w:rsidRPr="2D0D95AE">
        <w:rPr>
          <w:rFonts w:ascii="Georgia" w:hAnsi="Georgia" w:cs="Calibri"/>
          <w:i/>
          <w:iCs/>
          <w:sz w:val="22"/>
          <w:szCs w:val="22"/>
          <w:lang w:val="en-US"/>
        </w:rPr>
        <w:t>Le gouvernement du Duché de Brabant au bas Moyen Age (1355-1430).</w:t>
      </w:r>
      <w:r w:rsidRPr="2D0D95AE">
        <w:rPr>
          <w:rFonts w:ascii="Georgia" w:hAnsi="Georgia" w:cs="Calibri"/>
          <w:sz w:val="22"/>
          <w:szCs w:val="22"/>
          <w:lang w:val="en-US"/>
        </w:rPr>
        <w:t xml:space="preserve"> Brussel: ULB, 1975.</w:t>
      </w:r>
    </w:p>
    <w:p w14:paraId="6D2A05A0"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Van Bragt, Ria. </w:t>
      </w:r>
      <w:r w:rsidRPr="2D0D95AE">
        <w:rPr>
          <w:rFonts w:ascii="Georgia" w:hAnsi="Georgia" w:cs="Calibri"/>
          <w:i/>
          <w:iCs/>
          <w:sz w:val="22"/>
          <w:szCs w:val="22"/>
          <w:lang w:val="en-US"/>
        </w:rPr>
        <w:t>De Blijde Inkomst van de hertogen van Brabant, Johanna en Wenceslas (3 januari 1356): een inleidende studie en tekstuitgave.</w:t>
      </w:r>
      <w:r w:rsidRPr="2D0D95AE">
        <w:rPr>
          <w:rFonts w:ascii="Georgia" w:hAnsi="Georgia" w:cs="Calibri"/>
          <w:sz w:val="22"/>
          <w:szCs w:val="22"/>
          <w:lang w:val="en-US"/>
        </w:rPr>
        <w:t xml:space="preserve"> Leuven: Nauwelaerts, 1956.</w:t>
      </w:r>
    </w:p>
    <w:p w14:paraId="0026AF3C"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Van Oostrom, Frits Pieter. </w:t>
      </w:r>
      <w:r w:rsidRPr="2D0D95AE">
        <w:rPr>
          <w:rFonts w:ascii="Georgia" w:hAnsi="Georgia" w:cs="Calibri"/>
          <w:i/>
          <w:iCs/>
          <w:sz w:val="22"/>
          <w:szCs w:val="22"/>
          <w:lang w:val="en-US"/>
        </w:rPr>
        <w:t>Wereld in woorden: geschiedenis van de Nederlandse literatuur 1300-1400</w:t>
      </w:r>
      <w:r w:rsidRPr="2D0D95AE">
        <w:rPr>
          <w:rFonts w:ascii="Georgia" w:hAnsi="Georgia" w:cs="Calibri"/>
          <w:sz w:val="22"/>
          <w:szCs w:val="22"/>
          <w:lang w:val="en-US"/>
        </w:rPr>
        <w:t>. Amsterdam: B. Bakker, 2013.</w:t>
      </w:r>
    </w:p>
    <w:p w14:paraId="671D37AF" w14:textId="0072FBE8"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Van Thielen, Bart, Paul Trio en Raf Verstegen. “Vlierbeek als zelfstandige abdij (1173-1456)”. In </w:t>
      </w:r>
      <w:r w:rsidRPr="2D0D95AE">
        <w:rPr>
          <w:rFonts w:ascii="Georgia" w:hAnsi="Georgia" w:cs="Calibri"/>
          <w:i/>
          <w:iCs/>
          <w:sz w:val="22"/>
          <w:szCs w:val="22"/>
          <w:lang w:val="en-US"/>
        </w:rPr>
        <w:t xml:space="preserve">Een plek die Vlierbeek heet. </w:t>
      </w:r>
      <w:r w:rsidR="006A722A" w:rsidRPr="2D0D95AE">
        <w:rPr>
          <w:rFonts w:ascii="Georgia" w:hAnsi="Georgia" w:cs="Calibri"/>
          <w:sz w:val="22"/>
          <w:szCs w:val="22"/>
          <w:lang w:val="en-US"/>
        </w:rPr>
        <w:t>O</w:t>
      </w:r>
      <w:r w:rsidRPr="2D0D95AE">
        <w:rPr>
          <w:rFonts w:ascii="Georgia" w:hAnsi="Georgia" w:cs="Calibri"/>
          <w:sz w:val="22"/>
          <w:szCs w:val="22"/>
          <w:lang w:val="en-US"/>
        </w:rPr>
        <w:t>nder de redactie van Barth Van Thielen, Raf Verstegen, Dani Vandepoel. 68-138. Leuven: Peeters, 2025.</w:t>
      </w:r>
    </w:p>
    <w:p w14:paraId="66EE18D4"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Van Werveke, Hans. </w:t>
      </w:r>
      <w:r w:rsidRPr="2D0D95AE">
        <w:rPr>
          <w:rFonts w:ascii="Georgia" w:hAnsi="Georgia" w:cs="Calibri"/>
          <w:i/>
          <w:iCs/>
          <w:sz w:val="22"/>
          <w:szCs w:val="22"/>
          <w:lang w:val="en-US"/>
        </w:rPr>
        <w:t>De Gentsche stadsfinanciën in de Middeleeuwen</w:t>
      </w:r>
      <w:r w:rsidRPr="2D0D95AE">
        <w:rPr>
          <w:rFonts w:ascii="Georgia" w:hAnsi="Georgia" w:cs="Calibri"/>
          <w:sz w:val="22"/>
          <w:szCs w:val="22"/>
          <w:lang w:val="en-US"/>
        </w:rPr>
        <w:t>. Brussel: Palais des Académies, 1934.</w:t>
      </w:r>
    </w:p>
    <w:p w14:paraId="573B6697"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Van’t land, Karine. “Prine ende vrouwe der lande vorscreven: Hertogin Johanna van Brabant in de ogen van haar chroniquer</w:t>
      </w:r>
      <w:proofErr w:type="gramStart"/>
      <w:r w:rsidRPr="2D0D95AE">
        <w:rPr>
          <w:rFonts w:ascii="Georgia" w:hAnsi="Georgia" w:cs="Calibri"/>
          <w:sz w:val="22"/>
          <w:szCs w:val="22"/>
          <w:lang w:val="en-US"/>
        </w:rPr>
        <w:t>”.</w:t>
      </w:r>
      <w:r w:rsidRPr="2D0D95AE">
        <w:rPr>
          <w:rFonts w:ascii="Georgia" w:hAnsi="Georgia" w:cs="Calibri"/>
          <w:i/>
          <w:iCs/>
          <w:sz w:val="22"/>
          <w:szCs w:val="22"/>
          <w:lang w:val="en-US"/>
        </w:rPr>
        <w:t>Ex</w:t>
      </w:r>
      <w:proofErr w:type="gramEnd"/>
      <w:r w:rsidRPr="2D0D95AE">
        <w:rPr>
          <w:rFonts w:ascii="Georgia" w:hAnsi="Georgia" w:cs="Calibri"/>
          <w:i/>
          <w:iCs/>
          <w:sz w:val="22"/>
          <w:szCs w:val="22"/>
          <w:lang w:val="en-US"/>
        </w:rPr>
        <w:t xml:space="preserve"> tempore</w:t>
      </w:r>
      <w:r w:rsidRPr="2D0D95AE">
        <w:rPr>
          <w:rFonts w:ascii="Georgia" w:hAnsi="Georgia" w:cs="Calibri"/>
          <w:sz w:val="22"/>
          <w:szCs w:val="22"/>
          <w:lang w:val="en-US"/>
        </w:rPr>
        <w:t xml:space="preserve"> 50, nr. 2 (1998): 97-118.</w:t>
      </w:r>
    </w:p>
    <w:p w14:paraId="1CDB8613"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Vanderputten, Steven, Jelle Haemers, Tim Soens, en Jeroen Puttevils. </w:t>
      </w:r>
      <w:r w:rsidRPr="2D0D95AE">
        <w:rPr>
          <w:rFonts w:ascii="Georgia" w:hAnsi="Georgia" w:cs="Calibri"/>
          <w:i/>
          <w:iCs/>
          <w:sz w:val="22"/>
          <w:szCs w:val="22"/>
          <w:lang w:val="en-US"/>
        </w:rPr>
        <w:t>Typologie en heuristiek van de bronnen voor de geschiedenis van de middeleeuwen</w:t>
      </w:r>
      <w:r w:rsidRPr="2D0D95AE">
        <w:rPr>
          <w:rFonts w:ascii="Georgia" w:hAnsi="Georgia" w:cs="Calibri"/>
          <w:sz w:val="22"/>
          <w:szCs w:val="22"/>
          <w:lang w:val="en-US"/>
        </w:rPr>
        <w:t>. Gent: Academia press, 2022.</w:t>
      </w:r>
    </w:p>
    <w:p w14:paraId="2CB34ADD"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Velt, Roos </w:t>
      </w:r>
      <w:proofErr w:type="gramStart"/>
      <w:r w:rsidRPr="2D0D95AE">
        <w:rPr>
          <w:rFonts w:ascii="Georgia" w:hAnsi="Georgia" w:cs="Calibri"/>
          <w:sz w:val="22"/>
          <w:szCs w:val="22"/>
          <w:lang w:val="en-US"/>
        </w:rPr>
        <w:t>in ’</w:t>
      </w:r>
      <w:proofErr w:type="gramEnd"/>
      <w:r w:rsidRPr="2D0D95AE">
        <w:rPr>
          <w:rFonts w:ascii="Georgia" w:hAnsi="Georgia" w:cs="Calibri"/>
          <w:sz w:val="22"/>
          <w:szCs w:val="22"/>
          <w:lang w:val="en-US"/>
        </w:rPr>
        <w:t>t. ‘“To a dear and merciful woman”. Exploring the letter collection of Mechtild of Guelders, duchess-pretender of Guelders, 1365-1380’. Onuitgegeven masterproef: Utrecht university, 2022.</w:t>
      </w:r>
    </w:p>
    <w:p w14:paraId="754BD075"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Vrancken, Valerie. </w:t>
      </w:r>
      <w:r w:rsidRPr="2D0D95AE">
        <w:rPr>
          <w:rFonts w:ascii="Georgia" w:hAnsi="Georgia" w:cs="Calibri"/>
          <w:i/>
          <w:iCs/>
          <w:sz w:val="22"/>
          <w:szCs w:val="22"/>
          <w:lang w:val="en-US"/>
        </w:rPr>
        <w:t>De Blijde Inkomsten van de Brabantse hertogen: macht, opstand en privileges in de vijftiende eeuw</w:t>
      </w:r>
      <w:r w:rsidRPr="2D0D95AE">
        <w:rPr>
          <w:rFonts w:ascii="Georgia" w:hAnsi="Georgia" w:cs="Calibri"/>
          <w:sz w:val="22"/>
          <w:szCs w:val="22"/>
          <w:lang w:val="en-US"/>
        </w:rPr>
        <w:t>. Brussel: ASP Academic &amp; Scientific Publishers, 2018.</w:t>
      </w:r>
    </w:p>
    <w:p w14:paraId="7888FFFA"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Wijsman, Hanno. </w:t>
      </w:r>
      <w:r w:rsidRPr="2D0D95AE">
        <w:rPr>
          <w:rFonts w:ascii="Georgia" w:hAnsi="Georgia" w:cs="Calibri"/>
          <w:i/>
          <w:iCs/>
          <w:sz w:val="22"/>
          <w:szCs w:val="22"/>
          <w:lang w:val="en-US"/>
        </w:rPr>
        <w:t>Luxury Bound: Illustrated Manuscript Production and Noble and Princely Book Ownership in the Burgundian Netherland, 1400-1550</w:t>
      </w:r>
      <w:r w:rsidRPr="2D0D95AE">
        <w:rPr>
          <w:rFonts w:ascii="Georgia" w:hAnsi="Georgia" w:cs="Calibri"/>
          <w:sz w:val="22"/>
          <w:szCs w:val="22"/>
          <w:lang w:val="en-US"/>
        </w:rPr>
        <w:t>. Turnhout: Brepols, 2010.</w:t>
      </w:r>
    </w:p>
    <w:p w14:paraId="3AD1142E"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Willaert, Frank. “Het zingende hof. Ontstaan, vertolking en onthaal van hoofse minnelyriek omstreeks 1400”. In </w:t>
      </w:r>
      <w:r w:rsidRPr="2D0D95AE">
        <w:rPr>
          <w:rFonts w:ascii="Georgia" w:hAnsi="Georgia" w:cs="Calibri"/>
          <w:i/>
          <w:iCs/>
          <w:sz w:val="22"/>
          <w:szCs w:val="22"/>
          <w:lang w:val="en-US"/>
        </w:rPr>
        <w:t>Een Zoet akkoord: middeleeuwse lyriek in de Lage Landen</w:t>
      </w:r>
      <w:r w:rsidRPr="2D0D95AE">
        <w:rPr>
          <w:rFonts w:ascii="Georgia" w:hAnsi="Georgia" w:cs="Calibri"/>
          <w:sz w:val="22"/>
          <w:szCs w:val="22"/>
          <w:lang w:val="en-US"/>
        </w:rPr>
        <w:t>, onder redactie van Frank Willaert: 109-122. Amsterdam: Prometheus, 1992.</w:t>
      </w:r>
    </w:p>
    <w:p w14:paraId="01FFF405"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t xml:space="preserve">Woodacre, Elena. “Diplomacy, family ties and divided loyalties: Joan of Navarre as a queenly diplomat”. </w:t>
      </w:r>
      <w:r w:rsidRPr="2D0D95AE">
        <w:rPr>
          <w:rFonts w:ascii="Georgia" w:hAnsi="Georgia" w:cs="Calibri"/>
          <w:i/>
          <w:iCs/>
          <w:sz w:val="22"/>
          <w:szCs w:val="22"/>
          <w:lang w:val="en-US"/>
        </w:rPr>
        <w:t>En la España Medieval</w:t>
      </w:r>
      <w:r w:rsidRPr="2D0D95AE">
        <w:rPr>
          <w:rFonts w:ascii="Georgia" w:hAnsi="Georgia" w:cs="Calibri"/>
          <w:sz w:val="22"/>
          <w:szCs w:val="22"/>
          <w:lang w:val="en-US"/>
        </w:rPr>
        <w:t xml:space="preserve"> 48 (april 2025): 19-32.</w:t>
      </w:r>
    </w:p>
    <w:p w14:paraId="534105FC" w14:textId="77777777" w:rsidR="009F00C4" w:rsidRPr="009F00C4" w:rsidRDefault="009F00C4" w:rsidP="2D0D95AE">
      <w:pPr>
        <w:spacing w:afterLines="80" w:after="192" w:line="360" w:lineRule="auto"/>
        <w:jc w:val="both"/>
        <w:rPr>
          <w:rFonts w:ascii="Georgia" w:hAnsi="Georgia" w:cs="Calibri"/>
          <w:sz w:val="22"/>
          <w:szCs w:val="22"/>
          <w:lang w:val="en-US"/>
        </w:rPr>
      </w:pPr>
      <w:r w:rsidRPr="2D0D95AE">
        <w:rPr>
          <w:rFonts w:ascii="Georgia" w:hAnsi="Georgia" w:cs="Calibri"/>
          <w:sz w:val="22"/>
          <w:szCs w:val="22"/>
          <w:lang w:val="en-US"/>
        </w:rPr>
        <w:lastRenderedPageBreak/>
        <w:t xml:space="preserve">Woolgar, C. M. “Gifts of Food in Late Medieval England”. </w:t>
      </w:r>
      <w:r w:rsidRPr="2D0D95AE">
        <w:rPr>
          <w:rFonts w:ascii="Georgia" w:hAnsi="Georgia" w:cs="Calibri"/>
          <w:i/>
          <w:iCs/>
          <w:sz w:val="22"/>
          <w:szCs w:val="22"/>
          <w:lang w:val="en-US"/>
        </w:rPr>
        <w:t>Journal of Medieval History</w:t>
      </w:r>
      <w:r w:rsidRPr="2D0D95AE">
        <w:rPr>
          <w:rFonts w:ascii="Georgia" w:hAnsi="Georgia" w:cs="Calibri"/>
          <w:sz w:val="22"/>
          <w:szCs w:val="22"/>
          <w:lang w:val="en-US"/>
        </w:rPr>
        <w:t xml:space="preserve"> 37, nr. 1 (2011): 6-18. </w:t>
      </w:r>
    </w:p>
    <w:p w14:paraId="032A0940" w14:textId="0614451A" w:rsidR="00BC7A4B" w:rsidRDefault="00BC7A4B" w:rsidP="00BC7A4B">
      <w:pPr>
        <w:rPr>
          <w:rStyle w:val="Strong"/>
          <w:sz w:val="28"/>
          <w:szCs w:val="28"/>
        </w:rPr>
      </w:pPr>
      <w:r>
        <w:rPr>
          <w:rStyle w:val="Strong"/>
          <w:sz w:val="28"/>
          <w:szCs w:val="28"/>
        </w:rPr>
        <w:t>Websites</w:t>
      </w:r>
    </w:p>
    <w:p w14:paraId="5C6D4F4B" w14:textId="77777777" w:rsidR="00BC7A4B" w:rsidRDefault="00BC7A4B" w:rsidP="00990A4D">
      <w:pPr>
        <w:spacing w:afterLines="80" w:after="192" w:line="360" w:lineRule="auto"/>
        <w:jc w:val="both"/>
      </w:pPr>
    </w:p>
    <w:p w14:paraId="33CAA4ED" w14:textId="27E07D03" w:rsidR="00990A4D" w:rsidRDefault="00BC7A4B" w:rsidP="2D0D95AE">
      <w:pPr>
        <w:spacing w:afterLines="80" w:after="192" w:line="360" w:lineRule="auto"/>
        <w:jc w:val="both"/>
        <w:rPr>
          <w:rFonts w:ascii="Georgia" w:hAnsi="Georgia" w:cs="Geeza Pro"/>
          <w:sz w:val="22"/>
          <w:szCs w:val="22"/>
          <w:lang w:val="en-US"/>
        </w:rPr>
      </w:pPr>
      <w:r w:rsidRPr="2D0D95AE">
        <w:rPr>
          <w:rFonts w:ascii="Georgia" w:hAnsi="Georgia" w:cs="Geeza Pro"/>
          <w:sz w:val="22"/>
          <w:szCs w:val="22"/>
          <w:lang w:val="en-US"/>
        </w:rPr>
        <w:t>Dimph</w:t>
      </w:r>
      <w:r w:rsidRPr="2D0D95AE">
        <w:rPr>
          <w:rFonts w:ascii="Georgia" w:hAnsi="Georgia" w:cs="Cambria"/>
          <w:sz w:val="22"/>
          <w:szCs w:val="22"/>
          <w:lang w:val="en-US"/>
        </w:rPr>
        <w:t>é</w:t>
      </w:r>
      <w:r w:rsidRPr="2D0D95AE">
        <w:rPr>
          <w:rFonts w:ascii="Georgia" w:hAnsi="Georgia" w:cs="Geeza Pro"/>
          <w:sz w:val="22"/>
          <w:szCs w:val="22"/>
          <w:lang w:val="en-US"/>
        </w:rPr>
        <w:t xml:space="preserve">na </w:t>
      </w:r>
      <w:proofErr w:type="gramStart"/>
      <w:r w:rsidRPr="2D0D95AE">
        <w:rPr>
          <w:rFonts w:ascii="Georgia" w:hAnsi="Georgia" w:cs="Geeza Pro"/>
          <w:sz w:val="22"/>
          <w:szCs w:val="22"/>
          <w:lang w:val="en-US"/>
        </w:rPr>
        <w:t>Groffen,  “</w:t>
      </w:r>
      <w:proofErr w:type="gramEnd"/>
      <w:r w:rsidRPr="2D0D95AE">
        <w:rPr>
          <w:rFonts w:ascii="Georgia" w:hAnsi="Georgia" w:cs="Geeza Pro"/>
          <w:sz w:val="22"/>
          <w:szCs w:val="22"/>
          <w:lang w:val="en-US"/>
        </w:rPr>
        <w:t>Mechteld van Gelre”, Digitaal Vrouwenlexicon van Nederland</w:t>
      </w:r>
      <w:r w:rsidRPr="2D0D95AE">
        <w:rPr>
          <w:rFonts w:ascii="Georgia" w:hAnsi="Georgia" w:cs="Geeza Pro"/>
          <w:i/>
          <w:iCs/>
          <w:sz w:val="22"/>
          <w:szCs w:val="22"/>
          <w:lang w:val="en-US"/>
        </w:rPr>
        <w:t>.</w:t>
      </w:r>
      <w:r w:rsidRPr="2D0D95AE">
        <w:rPr>
          <w:rFonts w:ascii="Georgia" w:hAnsi="Georgia" w:cs="Geeza Pro"/>
          <w:sz w:val="22"/>
          <w:szCs w:val="22"/>
          <w:lang w:val="en-US"/>
        </w:rPr>
        <w:t> Geraadpleegd op 5 mei 2026, https://resources.huygens.knaw.nl/vrouwenlexicon/lemmata/data/Mechteld van Gelre.</w:t>
      </w:r>
    </w:p>
    <w:p w14:paraId="3C242261" w14:textId="3D2A3BB2" w:rsidR="00BC7A4B" w:rsidRPr="00BC7A4B" w:rsidRDefault="00BC7A4B" w:rsidP="2D0D95AE">
      <w:pPr>
        <w:spacing w:afterLines="80" w:after="192" w:line="360" w:lineRule="auto"/>
        <w:jc w:val="both"/>
        <w:rPr>
          <w:rFonts w:ascii="Georgia" w:hAnsi="Georgia" w:cs="Geeza Pro"/>
          <w:sz w:val="22"/>
          <w:szCs w:val="22"/>
          <w:lang w:val="en-US"/>
        </w:rPr>
      </w:pPr>
      <w:r w:rsidRPr="2D0D95AE">
        <w:rPr>
          <w:rFonts w:ascii="Georgia" w:hAnsi="Georgia" w:cs="Geeza Pro"/>
          <w:sz w:val="22"/>
          <w:szCs w:val="22"/>
          <w:lang w:val="en-US"/>
        </w:rPr>
        <w:t>“</w:t>
      </w:r>
      <w:r w:rsidRPr="2D0D95AE">
        <w:rPr>
          <w:rFonts w:ascii="Georgia" w:hAnsi="Georgia"/>
          <w:sz w:val="22"/>
          <w:szCs w:val="22"/>
          <w:lang w:val="en-US"/>
        </w:rPr>
        <w:t xml:space="preserve">Menestrele” Instituut voor de Nederlandse taal, geraadpleegd op 10 mei, 2026. </w:t>
      </w:r>
      <w:hyperlink r:id="rId28">
        <w:r w:rsidRPr="2D0D95AE">
          <w:rPr>
            <w:rStyle w:val="Hyperlink"/>
            <w:rFonts w:ascii="Georgia" w:hAnsi="Georgia"/>
            <w:sz w:val="22"/>
            <w:szCs w:val="22"/>
            <w:lang w:val="en-US"/>
          </w:rPr>
          <w:t>https://gtb.ivdnt.org/iWDB/search?actie=article&amp;wdb=MNW&amp;id=29080&amp;lemmodern=minstreel&amp;domein=0&amp;conc=true</w:t>
        </w:r>
      </w:hyperlink>
    </w:p>
    <w:p w14:paraId="0A5D6C51" w14:textId="77777777" w:rsidR="00BC7A4B" w:rsidRPr="00BC7A4B" w:rsidRDefault="00BC7A4B" w:rsidP="00BC7A4B">
      <w:pPr>
        <w:pStyle w:val="FootnoteText"/>
        <w:spacing w:line="360" w:lineRule="auto"/>
        <w:jc w:val="both"/>
        <w:rPr>
          <w:rFonts w:ascii="Georgia" w:hAnsi="Georgia"/>
          <w:sz w:val="22"/>
          <w:szCs w:val="22"/>
          <w:lang w:val="en-BE"/>
        </w:rPr>
      </w:pPr>
      <w:r w:rsidRPr="00BC7A4B">
        <w:rPr>
          <w:rFonts w:ascii="Georgia" w:hAnsi="Georgia" w:cs="Calibri"/>
          <w:sz w:val="22"/>
          <w:szCs w:val="22"/>
          <w:lang w:val="nl-NL"/>
        </w:rPr>
        <w:t>“</w:t>
      </w:r>
      <w:r w:rsidRPr="00BC7A4B">
        <w:rPr>
          <w:rFonts w:ascii="Georgia" w:hAnsi="Georgia"/>
          <w:sz w:val="22"/>
          <w:szCs w:val="22"/>
          <w:lang w:val="en-BE"/>
        </w:rPr>
        <w:t>Decanale kerk Onze-Lieve-Vrouw van Goede Hoop”</w:t>
      </w:r>
      <w:r w:rsidRPr="00BC7A4B">
        <w:rPr>
          <w:rFonts w:ascii="Georgia" w:hAnsi="Georgia"/>
          <w:sz w:val="22"/>
          <w:szCs w:val="22"/>
          <w:lang w:val="en-US"/>
        </w:rPr>
        <w:t xml:space="preserve"> </w:t>
      </w:r>
      <w:proofErr w:type="spellStart"/>
      <w:r w:rsidRPr="00BC7A4B">
        <w:rPr>
          <w:rFonts w:ascii="Georgia" w:hAnsi="Georgia"/>
          <w:sz w:val="22"/>
          <w:szCs w:val="22"/>
          <w:lang w:val="en-US"/>
        </w:rPr>
        <w:t>Inventaris</w:t>
      </w:r>
      <w:proofErr w:type="spellEnd"/>
      <w:r w:rsidRPr="00BC7A4B">
        <w:rPr>
          <w:rFonts w:ascii="Georgia" w:hAnsi="Georgia"/>
          <w:sz w:val="22"/>
          <w:szCs w:val="22"/>
          <w:lang w:val="en-US"/>
        </w:rPr>
        <w:t xml:space="preserve"> </w:t>
      </w:r>
      <w:proofErr w:type="spellStart"/>
      <w:r w:rsidRPr="00BC7A4B">
        <w:rPr>
          <w:rFonts w:ascii="Georgia" w:hAnsi="Georgia"/>
          <w:sz w:val="22"/>
          <w:szCs w:val="22"/>
          <w:lang w:val="en-US"/>
        </w:rPr>
        <w:t>Onroerend</w:t>
      </w:r>
      <w:proofErr w:type="spellEnd"/>
      <w:r w:rsidRPr="00BC7A4B">
        <w:rPr>
          <w:rFonts w:ascii="Georgia" w:hAnsi="Georgia"/>
          <w:sz w:val="22"/>
          <w:szCs w:val="22"/>
          <w:lang w:val="en-US"/>
        </w:rPr>
        <w:t xml:space="preserve"> </w:t>
      </w:r>
      <w:proofErr w:type="spellStart"/>
      <w:r w:rsidRPr="00BC7A4B">
        <w:rPr>
          <w:rFonts w:ascii="Georgia" w:hAnsi="Georgia"/>
          <w:sz w:val="22"/>
          <w:szCs w:val="22"/>
          <w:lang w:val="en-US"/>
        </w:rPr>
        <w:t>erfgoed</w:t>
      </w:r>
      <w:proofErr w:type="spellEnd"/>
      <w:r w:rsidRPr="00BC7A4B">
        <w:rPr>
          <w:rFonts w:ascii="Georgia" w:hAnsi="Georgia"/>
          <w:sz w:val="22"/>
          <w:szCs w:val="22"/>
          <w:lang w:val="en-US"/>
        </w:rPr>
        <w:t xml:space="preserve">, </w:t>
      </w:r>
      <w:proofErr w:type="spellStart"/>
      <w:r w:rsidRPr="00BC7A4B">
        <w:rPr>
          <w:rFonts w:ascii="Georgia" w:hAnsi="Georgia"/>
          <w:sz w:val="22"/>
          <w:szCs w:val="22"/>
          <w:lang w:val="en-US"/>
        </w:rPr>
        <w:t>geraadpleegd</w:t>
      </w:r>
      <w:proofErr w:type="spellEnd"/>
      <w:r w:rsidRPr="00BC7A4B">
        <w:rPr>
          <w:rFonts w:ascii="Georgia" w:hAnsi="Georgia"/>
          <w:sz w:val="22"/>
          <w:szCs w:val="22"/>
          <w:lang w:val="en-US"/>
        </w:rPr>
        <w:t xml:space="preserve"> op 15 </w:t>
      </w:r>
      <w:proofErr w:type="spellStart"/>
      <w:r w:rsidRPr="00BC7A4B">
        <w:rPr>
          <w:rFonts w:ascii="Georgia" w:hAnsi="Georgia"/>
          <w:sz w:val="22"/>
          <w:szCs w:val="22"/>
          <w:lang w:val="en-US"/>
        </w:rPr>
        <w:t>mei</w:t>
      </w:r>
      <w:proofErr w:type="spellEnd"/>
      <w:r w:rsidRPr="00BC7A4B">
        <w:rPr>
          <w:rFonts w:ascii="Georgia" w:hAnsi="Georgia"/>
          <w:sz w:val="22"/>
          <w:szCs w:val="22"/>
          <w:lang w:val="en-US"/>
        </w:rPr>
        <w:t xml:space="preserve"> 2026, </w:t>
      </w:r>
      <w:hyperlink r:id="rId29" w:history="1">
        <w:r w:rsidRPr="00BC7A4B">
          <w:rPr>
            <w:rStyle w:val="Hyperlink"/>
            <w:rFonts w:ascii="Georgia" w:hAnsi="Georgia"/>
            <w:sz w:val="22"/>
            <w:szCs w:val="22"/>
            <w:lang w:val="en-BE"/>
          </w:rPr>
          <w:t>https://id.erfgoed.net/erfgoedobjecten/70574</w:t>
        </w:r>
      </w:hyperlink>
      <w:r w:rsidRPr="00BC7A4B">
        <w:rPr>
          <w:rFonts w:ascii="Georgia" w:hAnsi="Georgia"/>
          <w:sz w:val="22"/>
          <w:szCs w:val="22"/>
          <w:lang w:val="en-BE"/>
        </w:rPr>
        <w:t>.</w:t>
      </w:r>
    </w:p>
    <w:p w14:paraId="4C310AAD" w14:textId="51E6E6E9" w:rsidR="00B65801" w:rsidRPr="00B65801" w:rsidRDefault="00B65801" w:rsidP="00C140A8">
      <w:pPr>
        <w:spacing w:afterLines="80" w:after="192" w:line="360" w:lineRule="auto"/>
        <w:jc w:val="both"/>
        <w:rPr>
          <w:rFonts w:ascii="Georgia" w:hAnsi="Georgia" w:cs="Calibri"/>
          <w:sz w:val="22"/>
          <w:szCs w:val="22"/>
          <w:lang w:val="nl-NL"/>
        </w:rPr>
      </w:pPr>
    </w:p>
    <w:p w14:paraId="4C26AF2A" w14:textId="77777777" w:rsidR="00FB6EAE" w:rsidRPr="00C140A8" w:rsidRDefault="00FB6EAE" w:rsidP="00C140A8">
      <w:pPr>
        <w:spacing w:afterLines="80" w:after="192" w:line="360" w:lineRule="auto"/>
        <w:jc w:val="both"/>
        <w:rPr>
          <w:rFonts w:ascii="Georgia" w:hAnsi="Georgia" w:cs="Calibri"/>
          <w:i/>
          <w:iCs/>
          <w:sz w:val="22"/>
          <w:szCs w:val="22"/>
          <w:lang w:val="nl-NL"/>
        </w:rPr>
      </w:pPr>
    </w:p>
    <w:p w14:paraId="3337E734" w14:textId="77777777" w:rsidR="00FB6EAE" w:rsidRPr="00C140A8" w:rsidRDefault="00FB6EAE" w:rsidP="00C140A8">
      <w:pPr>
        <w:spacing w:afterLines="80" w:after="192" w:line="360" w:lineRule="auto"/>
        <w:jc w:val="both"/>
        <w:rPr>
          <w:rFonts w:ascii="Georgia" w:hAnsi="Georgia" w:cs="Calibri"/>
          <w:i/>
          <w:iCs/>
          <w:sz w:val="22"/>
          <w:szCs w:val="22"/>
          <w:lang w:val="nl-NL"/>
        </w:rPr>
      </w:pPr>
    </w:p>
    <w:p w14:paraId="55B53586" w14:textId="77777777" w:rsidR="00FB6EAE" w:rsidRPr="00C140A8" w:rsidRDefault="00FB6EAE" w:rsidP="00C140A8">
      <w:pPr>
        <w:spacing w:afterLines="80" w:after="192" w:line="360" w:lineRule="auto"/>
        <w:jc w:val="both"/>
        <w:rPr>
          <w:rFonts w:ascii="Georgia" w:hAnsi="Georgia" w:cs="Calibri"/>
          <w:i/>
          <w:iCs/>
          <w:sz w:val="22"/>
          <w:szCs w:val="22"/>
          <w:lang w:val="nl-NL"/>
        </w:rPr>
      </w:pPr>
    </w:p>
    <w:p w14:paraId="7984F676" w14:textId="77777777" w:rsidR="00FB6EAE" w:rsidRPr="00C140A8" w:rsidRDefault="00FB6EAE" w:rsidP="00C140A8">
      <w:pPr>
        <w:spacing w:afterLines="80" w:after="192" w:line="360" w:lineRule="auto"/>
        <w:jc w:val="both"/>
        <w:rPr>
          <w:rFonts w:ascii="Georgia" w:hAnsi="Georgia" w:cs="Calibri"/>
          <w:i/>
          <w:iCs/>
          <w:sz w:val="22"/>
          <w:szCs w:val="22"/>
          <w:lang w:val="nl-NL"/>
        </w:rPr>
      </w:pPr>
    </w:p>
    <w:p w14:paraId="1D805C54" w14:textId="77777777" w:rsidR="00FB6EAE" w:rsidRPr="00C140A8" w:rsidRDefault="00FB6EAE" w:rsidP="00C140A8">
      <w:pPr>
        <w:spacing w:afterLines="80" w:after="192" w:line="360" w:lineRule="auto"/>
        <w:jc w:val="both"/>
        <w:rPr>
          <w:rFonts w:ascii="Georgia" w:hAnsi="Georgia" w:cs="Calibri"/>
          <w:i/>
          <w:iCs/>
          <w:sz w:val="22"/>
          <w:szCs w:val="22"/>
          <w:lang w:val="nl-NL"/>
        </w:rPr>
      </w:pPr>
    </w:p>
    <w:p w14:paraId="45A7A60D" w14:textId="77777777" w:rsidR="00FB6EAE" w:rsidRPr="00C140A8" w:rsidRDefault="00FB6EAE" w:rsidP="00C140A8">
      <w:pPr>
        <w:spacing w:afterLines="80" w:after="192" w:line="360" w:lineRule="auto"/>
        <w:jc w:val="both"/>
        <w:rPr>
          <w:rFonts w:ascii="Georgia" w:hAnsi="Georgia" w:cs="Calibri"/>
          <w:i/>
          <w:iCs/>
          <w:sz w:val="22"/>
          <w:szCs w:val="22"/>
          <w:lang w:val="nl-NL"/>
        </w:rPr>
      </w:pPr>
    </w:p>
    <w:p w14:paraId="6F7BB4B1" w14:textId="77777777" w:rsidR="00FB6EAE" w:rsidRPr="00C140A8" w:rsidRDefault="00FB6EAE" w:rsidP="00C140A8">
      <w:pPr>
        <w:spacing w:afterLines="80" w:after="192" w:line="360" w:lineRule="auto"/>
        <w:jc w:val="both"/>
        <w:rPr>
          <w:rFonts w:ascii="Georgia" w:hAnsi="Georgia" w:cs="Calibri"/>
          <w:i/>
          <w:iCs/>
          <w:sz w:val="22"/>
          <w:szCs w:val="22"/>
          <w:lang w:val="nl-NL"/>
        </w:rPr>
      </w:pPr>
    </w:p>
    <w:p w14:paraId="7D72B378" w14:textId="77777777" w:rsidR="00FB6EAE" w:rsidRPr="00C140A8" w:rsidRDefault="00FB6EAE" w:rsidP="00C140A8">
      <w:pPr>
        <w:spacing w:afterLines="80" w:after="192" w:line="360" w:lineRule="auto"/>
        <w:jc w:val="both"/>
        <w:rPr>
          <w:rFonts w:ascii="Georgia" w:hAnsi="Georgia" w:cs="Calibri"/>
          <w:i/>
          <w:iCs/>
          <w:sz w:val="22"/>
          <w:szCs w:val="22"/>
          <w:lang w:val="nl-NL"/>
        </w:rPr>
      </w:pPr>
    </w:p>
    <w:p w14:paraId="4A0390EC" w14:textId="77777777" w:rsidR="00FB6EAE" w:rsidRPr="00C140A8" w:rsidRDefault="00FB6EAE" w:rsidP="00C140A8">
      <w:pPr>
        <w:spacing w:afterLines="80" w:after="192" w:line="360" w:lineRule="auto"/>
        <w:jc w:val="both"/>
        <w:rPr>
          <w:rFonts w:ascii="Georgia" w:hAnsi="Georgia" w:cs="Calibri"/>
          <w:i/>
          <w:iCs/>
          <w:sz w:val="22"/>
          <w:szCs w:val="22"/>
          <w:lang w:val="nl-NL"/>
        </w:rPr>
      </w:pPr>
    </w:p>
    <w:p w14:paraId="546267C0" w14:textId="77777777" w:rsidR="00FB6EAE" w:rsidRPr="00C140A8" w:rsidRDefault="00FB6EAE" w:rsidP="00C140A8">
      <w:pPr>
        <w:spacing w:afterLines="80" w:after="192" w:line="360" w:lineRule="auto"/>
        <w:jc w:val="both"/>
        <w:rPr>
          <w:rFonts w:ascii="Georgia" w:hAnsi="Georgia" w:cs="Calibri"/>
          <w:i/>
          <w:iCs/>
          <w:sz w:val="22"/>
          <w:szCs w:val="22"/>
          <w:lang w:val="nl-NL"/>
        </w:rPr>
      </w:pPr>
    </w:p>
    <w:p w14:paraId="69D355E0" w14:textId="77777777" w:rsidR="00FB6EAE" w:rsidRPr="00C140A8" w:rsidRDefault="00FB6EAE" w:rsidP="00C140A8">
      <w:pPr>
        <w:spacing w:afterLines="80" w:after="192" w:line="360" w:lineRule="auto"/>
        <w:jc w:val="both"/>
        <w:rPr>
          <w:rFonts w:ascii="Georgia" w:hAnsi="Georgia" w:cs="Calibri"/>
          <w:i/>
          <w:iCs/>
          <w:sz w:val="22"/>
          <w:szCs w:val="22"/>
          <w:lang w:val="nl-NL"/>
        </w:rPr>
      </w:pPr>
    </w:p>
    <w:p w14:paraId="698DA89A" w14:textId="77777777" w:rsidR="00FB6EAE" w:rsidRPr="00C140A8" w:rsidRDefault="00FB6EAE" w:rsidP="00C140A8">
      <w:pPr>
        <w:spacing w:afterLines="80" w:after="192" w:line="360" w:lineRule="auto"/>
        <w:jc w:val="both"/>
        <w:rPr>
          <w:rFonts w:ascii="Georgia" w:hAnsi="Georgia" w:cs="Calibri"/>
          <w:i/>
          <w:iCs/>
          <w:sz w:val="22"/>
          <w:szCs w:val="22"/>
          <w:lang w:val="nl-NL"/>
        </w:rPr>
      </w:pPr>
    </w:p>
    <w:p w14:paraId="05F49D8C" w14:textId="4F4B0E59" w:rsidR="004D07EF" w:rsidRPr="00C02335" w:rsidRDefault="00FB6EAE" w:rsidP="00C02335">
      <w:pPr>
        <w:spacing w:afterLines="80" w:after="192" w:line="360" w:lineRule="auto"/>
        <w:rPr>
          <w:rFonts w:ascii="Georgia" w:hAnsi="Georgia" w:cs="Calibri"/>
          <w:i/>
          <w:iCs/>
          <w:sz w:val="22"/>
          <w:szCs w:val="22"/>
          <w:lang w:val="nl-NL"/>
        </w:rPr>
      </w:pPr>
      <w:r w:rsidRPr="00C140A8">
        <w:rPr>
          <w:rFonts w:ascii="Georgia" w:hAnsi="Georgia" w:cs="Calibri"/>
          <w:i/>
          <w:iCs/>
          <w:sz w:val="22"/>
          <w:szCs w:val="22"/>
          <w:lang w:val="nl-NL"/>
        </w:rPr>
        <w:br w:type="page"/>
      </w:r>
    </w:p>
    <w:p w14:paraId="5B53903F" w14:textId="49432551" w:rsidR="004D07EF" w:rsidRDefault="004D07EF" w:rsidP="00C02335">
      <w:pPr>
        <w:pStyle w:val="ThesisSection"/>
        <w:numPr>
          <w:ilvl w:val="0"/>
          <w:numId w:val="0"/>
        </w:numPr>
        <w:pBdr>
          <w:bottom w:val="single" w:sz="4" w:space="1" w:color="auto"/>
        </w:pBdr>
        <w:spacing w:after="0"/>
        <w:ind w:left="1021" w:hanging="1021"/>
      </w:pPr>
      <w:bookmarkStart w:id="311" w:name="_Toc231463622"/>
      <w:proofErr w:type="spellStart"/>
      <w:r>
        <w:lastRenderedPageBreak/>
        <w:t>figuren</w:t>
      </w:r>
      <w:proofErr w:type="spellEnd"/>
      <w:r>
        <w:t xml:space="preserve"> </w:t>
      </w:r>
      <w:proofErr w:type="spellStart"/>
      <w:r>
        <w:t>en</w:t>
      </w:r>
      <w:proofErr w:type="spellEnd"/>
      <w:r>
        <w:t xml:space="preserve"> </w:t>
      </w:r>
      <w:proofErr w:type="spellStart"/>
      <w:r>
        <w:t>tabellen</w:t>
      </w:r>
      <w:bookmarkEnd w:id="311"/>
      <w:proofErr w:type="spellEnd"/>
    </w:p>
    <w:p w14:paraId="119EC898" w14:textId="4C81455C" w:rsidR="00C02335" w:rsidRPr="00C02335" w:rsidRDefault="00C02335" w:rsidP="00C02335">
      <w:pPr>
        <w:pStyle w:val="ThesisHeading"/>
        <w:numPr>
          <w:ilvl w:val="0"/>
          <w:numId w:val="0"/>
        </w:numPr>
        <w:ind w:left="1021" w:hanging="1021"/>
        <w:rPr>
          <w:b/>
          <w:bCs/>
        </w:rPr>
      </w:pPr>
      <w:bookmarkStart w:id="312" w:name="_Toc231463623"/>
      <w:proofErr w:type="spellStart"/>
      <w:r>
        <w:rPr>
          <w:b/>
          <w:bCs/>
        </w:rPr>
        <w:t>Tabellen</w:t>
      </w:r>
      <w:bookmarkEnd w:id="312"/>
      <w:proofErr w:type="spellEnd"/>
    </w:p>
    <w:p w14:paraId="11961655" w14:textId="7EBE60CE" w:rsidR="00C02335" w:rsidRDefault="00C02335" w:rsidP="00C02335">
      <w:pPr>
        <w:pStyle w:val="TableofFigures"/>
        <w:tabs>
          <w:tab w:val="right" w:leader="underscore" w:pos="9016"/>
        </w:tabs>
        <w:spacing w:line="360" w:lineRule="auto"/>
        <w:rPr>
          <w:rStyle w:val="Hyperlink"/>
          <w:rFonts w:ascii="Georgia" w:eastAsiaTheme="majorEastAsia" w:hAnsi="Georgia"/>
          <w:noProof/>
        </w:rPr>
      </w:pPr>
      <w:r w:rsidRPr="00C02335">
        <w:rPr>
          <w:rFonts w:ascii="Georgia" w:hAnsi="Georgia"/>
        </w:rPr>
        <w:fldChar w:fldCharType="begin"/>
      </w:r>
      <w:r w:rsidRPr="00C02335">
        <w:rPr>
          <w:rFonts w:ascii="Georgia" w:hAnsi="Georgia"/>
        </w:rPr>
        <w:instrText xml:space="preserve"> TOC \h \z \c "Tabel" </w:instrText>
      </w:r>
      <w:r w:rsidRPr="00C02335">
        <w:rPr>
          <w:rFonts w:ascii="Georgia" w:hAnsi="Georgia"/>
        </w:rPr>
        <w:fldChar w:fldCharType="separate"/>
      </w:r>
      <w:hyperlink w:anchor="_Toc231462062" w:history="1">
        <w:r w:rsidRPr="00C02335">
          <w:rPr>
            <w:rStyle w:val="Hyperlink"/>
            <w:rFonts w:ascii="Georgia" w:eastAsiaTheme="majorEastAsia" w:hAnsi="Georgia"/>
            <w:b/>
            <w:bCs/>
            <w:noProof/>
          </w:rPr>
          <w:t>Tabel 1</w:t>
        </w:r>
        <w:r w:rsidRPr="00C02335">
          <w:rPr>
            <w:rStyle w:val="Hyperlink"/>
            <w:rFonts w:ascii="Georgia" w:eastAsiaTheme="majorEastAsia" w:hAnsi="Georgia"/>
            <w:noProof/>
          </w:rPr>
          <w:t>: Aantal Baesweiler-schadevergoedingen in de vidimi per jaar (1376–1380)</w:t>
        </w:r>
        <w:r w:rsidRPr="00C02335">
          <w:rPr>
            <w:rFonts w:ascii="Georgia" w:hAnsi="Georgia"/>
            <w:noProof/>
            <w:webHidden/>
          </w:rPr>
          <w:tab/>
        </w:r>
        <w:r w:rsidRPr="00C02335">
          <w:rPr>
            <w:rFonts w:ascii="Georgia" w:hAnsi="Georgia"/>
            <w:noProof/>
            <w:webHidden/>
          </w:rPr>
          <w:fldChar w:fldCharType="begin"/>
        </w:r>
        <w:r w:rsidRPr="00C02335">
          <w:rPr>
            <w:rFonts w:ascii="Georgia" w:hAnsi="Georgia"/>
            <w:noProof/>
            <w:webHidden/>
          </w:rPr>
          <w:instrText xml:space="preserve"> PAGEREF _Toc231462062 \h </w:instrText>
        </w:r>
        <w:r w:rsidRPr="00C02335">
          <w:rPr>
            <w:rFonts w:ascii="Georgia" w:hAnsi="Georgia"/>
            <w:noProof/>
            <w:webHidden/>
          </w:rPr>
        </w:r>
        <w:r w:rsidRPr="00C02335">
          <w:rPr>
            <w:rFonts w:ascii="Georgia" w:hAnsi="Georgia"/>
            <w:noProof/>
            <w:webHidden/>
          </w:rPr>
          <w:fldChar w:fldCharType="separate"/>
        </w:r>
        <w:r w:rsidR="00F83A3D">
          <w:rPr>
            <w:rFonts w:ascii="Georgia" w:hAnsi="Georgia"/>
            <w:noProof/>
            <w:webHidden/>
          </w:rPr>
          <w:t>20</w:t>
        </w:r>
        <w:r w:rsidRPr="00C02335">
          <w:rPr>
            <w:rFonts w:ascii="Georgia" w:hAnsi="Georgia"/>
            <w:noProof/>
            <w:webHidden/>
          </w:rPr>
          <w:fldChar w:fldCharType="end"/>
        </w:r>
      </w:hyperlink>
    </w:p>
    <w:p w14:paraId="3F985C03" w14:textId="77777777" w:rsidR="00C02335" w:rsidRPr="00C02335" w:rsidRDefault="00C02335" w:rsidP="00C02335"/>
    <w:p w14:paraId="382C172B" w14:textId="2F885C54" w:rsidR="00C02335" w:rsidRDefault="00C02335" w:rsidP="00C02335">
      <w:pPr>
        <w:pStyle w:val="TableofFigures"/>
        <w:tabs>
          <w:tab w:val="right" w:leader="underscore" w:pos="9016"/>
        </w:tabs>
        <w:spacing w:line="360" w:lineRule="auto"/>
        <w:rPr>
          <w:rStyle w:val="Hyperlink"/>
          <w:rFonts w:ascii="Georgia" w:eastAsiaTheme="majorEastAsia" w:hAnsi="Georgia"/>
          <w:noProof/>
        </w:rPr>
      </w:pPr>
      <w:hyperlink w:anchor="_Toc231462063" w:history="1">
        <w:r w:rsidRPr="00C02335">
          <w:rPr>
            <w:rStyle w:val="Hyperlink"/>
            <w:rFonts w:ascii="Georgia" w:eastAsiaTheme="majorEastAsia" w:hAnsi="Georgia"/>
            <w:b/>
            <w:bCs/>
            <w:noProof/>
          </w:rPr>
          <w:t>Tabel 2</w:t>
        </w:r>
        <w:r w:rsidRPr="00C02335">
          <w:rPr>
            <w:rStyle w:val="Hyperlink"/>
            <w:rFonts w:ascii="Georgia" w:eastAsiaTheme="majorEastAsia" w:hAnsi="Georgia"/>
            <w:noProof/>
          </w:rPr>
          <w:t>: Aantal vermeldingen van Johanna en Wenceslas in de posten van de ‘foreine partieen’.</w:t>
        </w:r>
        <w:r w:rsidRPr="00C02335">
          <w:rPr>
            <w:rFonts w:ascii="Georgia" w:hAnsi="Georgia"/>
            <w:noProof/>
            <w:webHidden/>
          </w:rPr>
          <w:tab/>
        </w:r>
        <w:r w:rsidRPr="00C02335">
          <w:rPr>
            <w:rFonts w:ascii="Georgia" w:hAnsi="Georgia"/>
            <w:noProof/>
            <w:webHidden/>
          </w:rPr>
          <w:fldChar w:fldCharType="begin"/>
        </w:r>
        <w:r w:rsidRPr="00C02335">
          <w:rPr>
            <w:rFonts w:ascii="Georgia" w:hAnsi="Georgia"/>
            <w:noProof/>
            <w:webHidden/>
          </w:rPr>
          <w:instrText xml:space="preserve"> PAGEREF _Toc231462063 \h </w:instrText>
        </w:r>
        <w:r w:rsidRPr="00C02335">
          <w:rPr>
            <w:rFonts w:ascii="Georgia" w:hAnsi="Georgia"/>
            <w:noProof/>
            <w:webHidden/>
          </w:rPr>
        </w:r>
        <w:r w:rsidRPr="00C02335">
          <w:rPr>
            <w:rFonts w:ascii="Georgia" w:hAnsi="Georgia"/>
            <w:noProof/>
            <w:webHidden/>
          </w:rPr>
          <w:fldChar w:fldCharType="separate"/>
        </w:r>
        <w:r w:rsidR="00F83A3D">
          <w:rPr>
            <w:rFonts w:ascii="Georgia" w:hAnsi="Georgia"/>
            <w:noProof/>
            <w:webHidden/>
          </w:rPr>
          <w:t>29</w:t>
        </w:r>
        <w:r w:rsidRPr="00C02335">
          <w:rPr>
            <w:rFonts w:ascii="Georgia" w:hAnsi="Georgia"/>
            <w:noProof/>
            <w:webHidden/>
          </w:rPr>
          <w:fldChar w:fldCharType="end"/>
        </w:r>
      </w:hyperlink>
    </w:p>
    <w:p w14:paraId="789F7FB2" w14:textId="77777777" w:rsidR="00C02335" w:rsidRPr="00C02335" w:rsidRDefault="00C02335" w:rsidP="00C02335"/>
    <w:p w14:paraId="0E818BDD" w14:textId="574B7666" w:rsidR="00C02335" w:rsidRDefault="00C02335" w:rsidP="00C02335">
      <w:pPr>
        <w:pStyle w:val="TableofFigures"/>
        <w:tabs>
          <w:tab w:val="right" w:leader="underscore" w:pos="9016"/>
        </w:tabs>
        <w:spacing w:line="360" w:lineRule="auto"/>
        <w:rPr>
          <w:rStyle w:val="Hyperlink"/>
          <w:rFonts w:ascii="Georgia" w:eastAsiaTheme="majorEastAsia" w:hAnsi="Georgia"/>
          <w:noProof/>
        </w:rPr>
      </w:pPr>
      <w:hyperlink w:anchor="_Toc231462064" w:history="1">
        <w:r w:rsidRPr="00C02335">
          <w:rPr>
            <w:rStyle w:val="Hyperlink"/>
            <w:rFonts w:ascii="Georgia" w:eastAsiaTheme="majorEastAsia" w:hAnsi="Georgia"/>
            <w:b/>
            <w:bCs/>
            <w:noProof/>
          </w:rPr>
          <w:t>Tabel 3</w:t>
        </w:r>
        <w:r w:rsidRPr="00C02335">
          <w:rPr>
            <w:rStyle w:val="Hyperlink"/>
            <w:rFonts w:ascii="Georgia" w:eastAsiaTheme="majorEastAsia" w:hAnsi="Georgia"/>
            <w:noProof/>
          </w:rPr>
          <w:t>: Aantal posten per persoon in de foreine partiën van het uitgaande bodenverkeer (1376–1379)</w:t>
        </w:r>
        <w:r w:rsidRPr="00C02335">
          <w:rPr>
            <w:rFonts w:ascii="Georgia" w:hAnsi="Georgia"/>
            <w:noProof/>
            <w:webHidden/>
          </w:rPr>
          <w:tab/>
        </w:r>
        <w:r w:rsidRPr="00C02335">
          <w:rPr>
            <w:rFonts w:ascii="Georgia" w:hAnsi="Georgia"/>
            <w:noProof/>
            <w:webHidden/>
          </w:rPr>
          <w:fldChar w:fldCharType="begin"/>
        </w:r>
        <w:r w:rsidRPr="00C02335">
          <w:rPr>
            <w:rFonts w:ascii="Georgia" w:hAnsi="Georgia"/>
            <w:noProof/>
            <w:webHidden/>
          </w:rPr>
          <w:instrText xml:space="preserve"> PAGEREF _Toc231462064 \h </w:instrText>
        </w:r>
        <w:r w:rsidRPr="00C02335">
          <w:rPr>
            <w:rFonts w:ascii="Georgia" w:hAnsi="Georgia"/>
            <w:noProof/>
            <w:webHidden/>
          </w:rPr>
        </w:r>
        <w:r w:rsidRPr="00C02335">
          <w:rPr>
            <w:rFonts w:ascii="Georgia" w:hAnsi="Georgia"/>
            <w:noProof/>
            <w:webHidden/>
          </w:rPr>
          <w:fldChar w:fldCharType="separate"/>
        </w:r>
        <w:r w:rsidR="00F83A3D">
          <w:rPr>
            <w:rFonts w:ascii="Georgia" w:hAnsi="Georgia"/>
            <w:noProof/>
            <w:webHidden/>
          </w:rPr>
          <w:t>59</w:t>
        </w:r>
        <w:r w:rsidRPr="00C02335">
          <w:rPr>
            <w:rFonts w:ascii="Georgia" w:hAnsi="Georgia"/>
            <w:noProof/>
            <w:webHidden/>
          </w:rPr>
          <w:fldChar w:fldCharType="end"/>
        </w:r>
      </w:hyperlink>
    </w:p>
    <w:p w14:paraId="624ACF73" w14:textId="77777777" w:rsidR="00C02335" w:rsidRPr="00C02335" w:rsidRDefault="00C02335" w:rsidP="00C02335"/>
    <w:p w14:paraId="1ADF5C74" w14:textId="6F159D3A" w:rsidR="00C02335" w:rsidRDefault="00C02335" w:rsidP="00C02335">
      <w:pPr>
        <w:pStyle w:val="TableofFigures"/>
        <w:tabs>
          <w:tab w:val="right" w:leader="underscore" w:pos="9016"/>
        </w:tabs>
        <w:spacing w:line="360" w:lineRule="auto"/>
        <w:rPr>
          <w:rStyle w:val="Hyperlink"/>
          <w:rFonts w:ascii="Georgia" w:eastAsiaTheme="majorEastAsia" w:hAnsi="Georgia"/>
          <w:noProof/>
        </w:rPr>
      </w:pPr>
      <w:hyperlink w:anchor="_Toc231462065" w:history="1">
        <w:r w:rsidRPr="00C02335">
          <w:rPr>
            <w:rStyle w:val="Hyperlink"/>
            <w:rFonts w:ascii="Georgia" w:eastAsiaTheme="majorEastAsia" w:hAnsi="Georgia"/>
            <w:b/>
            <w:bCs/>
            <w:noProof/>
          </w:rPr>
          <w:t>Tabel 4:</w:t>
        </w:r>
        <w:r w:rsidRPr="00C02335">
          <w:rPr>
            <w:rStyle w:val="Hyperlink"/>
            <w:rFonts w:ascii="Georgia" w:eastAsiaTheme="majorEastAsia" w:hAnsi="Georgia"/>
            <w:noProof/>
          </w:rPr>
          <w:t xml:space="preserve"> Aantal posten per persoon in de 'foreine partieen' van het uitgaande bodenverkeer met betrekking tot externe contacten (1376-1380)</w:t>
        </w:r>
        <w:r w:rsidRPr="00C02335">
          <w:rPr>
            <w:rFonts w:ascii="Georgia" w:hAnsi="Georgia"/>
            <w:noProof/>
            <w:webHidden/>
          </w:rPr>
          <w:tab/>
        </w:r>
        <w:r w:rsidRPr="00C02335">
          <w:rPr>
            <w:rFonts w:ascii="Georgia" w:hAnsi="Georgia"/>
            <w:noProof/>
            <w:webHidden/>
          </w:rPr>
          <w:fldChar w:fldCharType="begin"/>
        </w:r>
        <w:r w:rsidRPr="00C02335">
          <w:rPr>
            <w:rFonts w:ascii="Georgia" w:hAnsi="Georgia"/>
            <w:noProof/>
            <w:webHidden/>
          </w:rPr>
          <w:instrText xml:space="preserve"> PAGEREF _Toc231462065 \h </w:instrText>
        </w:r>
        <w:r w:rsidRPr="00C02335">
          <w:rPr>
            <w:rFonts w:ascii="Georgia" w:hAnsi="Georgia"/>
            <w:noProof/>
            <w:webHidden/>
          </w:rPr>
        </w:r>
        <w:r w:rsidRPr="00C02335">
          <w:rPr>
            <w:rFonts w:ascii="Georgia" w:hAnsi="Georgia"/>
            <w:noProof/>
            <w:webHidden/>
          </w:rPr>
          <w:fldChar w:fldCharType="separate"/>
        </w:r>
        <w:r w:rsidR="00F83A3D">
          <w:rPr>
            <w:rFonts w:ascii="Georgia" w:hAnsi="Georgia"/>
            <w:noProof/>
            <w:webHidden/>
          </w:rPr>
          <w:t>60</w:t>
        </w:r>
        <w:r w:rsidRPr="00C02335">
          <w:rPr>
            <w:rFonts w:ascii="Georgia" w:hAnsi="Georgia"/>
            <w:noProof/>
            <w:webHidden/>
          </w:rPr>
          <w:fldChar w:fldCharType="end"/>
        </w:r>
      </w:hyperlink>
    </w:p>
    <w:p w14:paraId="44E50564" w14:textId="77777777" w:rsidR="00C02335" w:rsidRPr="00C02335" w:rsidRDefault="00C02335" w:rsidP="00C02335"/>
    <w:p w14:paraId="05EA8657" w14:textId="78905313" w:rsidR="00C02335" w:rsidRDefault="00C02335" w:rsidP="00C02335">
      <w:pPr>
        <w:pStyle w:val="TableofFigures"/>
        <w:tabs>
          <w:tab w:val="right" w:leader="underscore" w:pos="9016"/>
        </w:tabs>
        <w:spacing w:line="360" w:lineRule="auto"/>
        <w:rPr>
          <w:rStyle w:val="Hyperlink"/>
          <w:rFonts w:ascii="Georgia" w:eastAsiaTheme="majorEastAsia" w:hAnsi="Georgia"/>
          <w:noProof/>
        </w:rPr>
      </w:pPr>
      <w:hyperlink w:anchor="_Toc231462066" w:history="1">
        <w:r w:rsidRPr="00C02335">
          <w:rPr>
            <w:rStyle w:val="Hyperlink"/>
            <w:rFonts w:ascii="Georgia" w:eastAsiaTheme="majorEastAsia" w:hAnsi="Georgia"/>
            <w:b/>
            <w:bCs/>
            <w:noProof/>
          </w:rPr>
          <w:t>Tabel 5:</w:t>
        </w:r>
        <w:r w:rsidRPr="00C02335">
          <w:rPr>
            <w:rStyle w:val="Hyperlink"/>
            <w:rFonts w:ascii="Georgia" w:eastAsiaTheme="majorEastAsia" w:hAnsi="Georgia"/>
            <w:noProof/>
          </w:rPr>
          <w:t xml:space="preserve"> Aantal inkomende en uitgaande geschenken per persoon in de ‘foreine partieën’ (1376-1380)</w:t>
        </w:r>
        <w:r w:rsidRPr="00C02335">
          <w:rPr>
            <w:rFonts w:ascii="Georgia" w:hAnsi="Georgia"/>
            <w:noProof/>
            <w:webHidden/>
          </w:rPr>
          <w:tab/>
        </w:r>
        <w:r w:rsidRPr="00C02335">
          <w:rPr>
            <w:rFonts w:ascii="Georgia" w:hAnsi="Georgia"/>
            <w:noProof/>
            <w:webHidden/>
          </w:rPr>
          <w:fldChar w:fldCharType="begin"/>
        </w:r>
        <w:r w:rsidRPr="00C02335">
          <w:rPr>
            <w:rFonts w:ascii="Georgia" w:hAnsi="Georgia"/>
            <w:noProof/>
            <w:webHidden/>
          </w:rPr>
          <w:instrText xml:space="preserve"> PAGEREF _Toc231462066 \h </w:instrText>
        </w:r>
        <w:r w:rsidRPr="00C02335">
          <w:rPr>
            <w:rFonts w:ascii="Georgia" w:hAnsi="Georgia"/>
            <w:noProof/>
            <w:webHidden/>
          </w:rPr>
        </w:r>
        <w:r w:rsidRPr="00C02335">
          <w:rPr>
            <w:rFonts w:ascii="Georgia" w:hAnsi="Georgia"/>
            <w:noProof/>
            <w:webHidden/>
          </w:rPr>
          <w:fldChar w:fldCharType="separate"/>
        </w:r>
        <w:r w:rsidR="00F83A3D">
          <w:rPr>
            <w:rFonts w:ascii="Georgia" w:hAnsi="Georgia"/>
            <w:noProof/>
            <w:webHidden/>
          </w:rPr>
          <w:t>64</w:t>
        </w:r>
        <w:r w:rsidRPr="00C02335">
          <w:rPr>
            <w:rFonts w:ascii="Georgia" w:hAnsi="Georgia"/>
            <w:noProof/>
            <w:webHidden/>
          </w:rPr>
          <w:fldChar w:fldCharType="end"/>
        </w:r>
      </w:hyperlink>
    </w:p>
    <w:p w14:paraId="7B200930" w14:textId="77777777" w:rsidR="00C02335" w:rsidRPr="00C02335" w:rsidRDefault="00C02335" w:rsidP="00C02335"/>
    <w:p w14:paraId="113073ED" w14:textId="6D2B02C8" w:rsidR="00C02335" w:rsidRDefault="00C02335" w:rsidP="00C02335">
      <w:pPr>
        <w:pStyle w:val="TableofFigures"/>
        <w:tabs>
          <w:tab w:val="right" w:leader="underscore" w:pos="9016"/>
        </w:tabs>
        <w:spacing w:line="360" w:lineRule="auto"/>
        <w:rPr>
          <w:rStyle w:val="Hyperlink"/>
          <w:rFonts w:ascii="Georgia" w:eastAsiaTheme="majorEastAsia" w:hAnsi="Georgia"/>
          <w:noProof/>
        </w:rPr>
      </w:pPr>
      <w:hyperlink w:anchor="_Toc231462067" w:history="1">
        <w:r w:rsidRPr="00C02335">
          <w:rPr>
            <w:rStyle w:val="Hyperlink"/>
            <w:rFonts w:ascii="Georgia" w:eastAsiaTheme="majorEastAsia" w:hAnsi="Georgia"/>
            <w:b/>
            <w:bCs/>
            <w:noProof/>
          </w:rPr>
          <w:t>Tabel 6</w:t>
        </w:r>
        <w:r w:rsidRPr="00C02335">
          <w:rPr>
            <w:rStyle w:val="Hyperlink"/>
            <w:rFonts w:ascii="Georgia" w:eastAsiaTheme="majorEastAsia" w:hAnsi="Georgia"/>
            <w:noProof/>
          </w:rPr>
          <w:t>:Geschenken van de Vlaamse graaf, Lodewijk van Male, aan Johanna in de ‘foreine partieën’ (1376-1380)</w:t>
        </w:r>
        <w:r w:rsidRPr="00C02335">
          <w:rPr>
            <w:rFonts w:ascii="Georgia" w:hAnsi="Georgia"/>
            <w:noProof/>
            <w:webHidden/>
          </w:rPr>
          <w:tab/>
        </w:r>
        <w:r w:rsidRPr="00C02335">
          <w:rPr>
            <w:rFonts w:ascii="Georgia" w:hAnsi="Georgia"/>
            <w:noProof/>
            <w:webHidden/>
          </w:rPr>
          <w:fldChar w:fldCharType="begin"/>
        </w:r>
        <w:r w:rsidRPr="00C02335">
          <w:rPr>
            <w:rFonts w:ascii="Georgia" w:hAnsi="Georgia"/>
            <w:noProof/>
            <w:webHidden/>
          </w:rPr>
          <w:instrText xml:space="preserve"> PAGEREF _Toc231462067 \h </w:instrText>
        </w:r>
        <w:r w:rsidRPr="00C02335">
          <w:rPr>
            <w:rFonts w:ascii="Georgia" w:hAnsi="Georgia"/>
            <w:noProof/>
            <w:webHidden/>
          </w:rPr>
        </w:r>
        <w:r w:rsidRPr="00C02335">
          <w:rPr>
            <w:rFonts w:ascii="Georgia" w:hAnsi="Georgia"/>
            <w:noProof/>
            <w:webHidden/>
          </w:rPr>
          <w:fldChar w:fldCharType="separate"/>
        </w:r>
        <w:r w:rsidR="00F83A3D">
          <w:rPr>
            <w:rFonts w:ascii="Georgia" w:hAnsi="Georgia"/>
            <w:noProof/>
            <w:webHidden/>
          </w:rPr>
          <w:t>66</w:t>
        </w:r>
        <w:r w:rsidRPr="00C02335">
          <w:rPr>
            <w:rFonts w:ascii="Georgia" w:hAnsi="Georgia"/>
            <w:noProof/>
            <w:webHidden/>
          </w:rPr>
          <w:fldChar w:fldCharType="end"/>
        </w:r>
      </w:hyperlink>
    </w:p>
    <w:p w14:paraId="7C75ED56" w14:textId="77777777" w:rsidR="00C02335" w:rsidRPr="00C02335" w:rsidRDefault="00C02335" w:rsidP="00C02335"/>
    <w:p w14:paraId="0ADC070B" w14:textId="4C5A7BD0" w:rsidR="00C02335" w:rsidRDefault="00C02335" w:rsidP="00C02335">
      <w:pPr>
        <w:pStyle w:val="TableofFigures"/>
        <w:tabs>
          <w:tab w:val="right" w:leader="underscore" w:pos="9016"/>
        </w:tabs>
        <w:spacing w:line="360" w:lineRule="auto"/>
        <w:rPr>
          <w:rStyle w:val="Hyperlink"/>
          <w:rFonts w:ascii="Georgia" w:eastAsiaTheme="majorEastAsia" w:hAnsi="Georgia"/>
          <w:noProof/>
        </w:rPr>
      </w:pPr>
      <w:hyperlink w:anchor="_Toc231462068" w:history="1">
        <w:r w:rsidRPr="00C02335">
          <w:rPr>
            <w:rStyle w:val="Hyperlink"/>
            <w:rFonts w:ascii="Georgia" w:eastAsiaTheme="majorEastAsia" w:hAnsi="Georgia"/>
            <w:b/>
            <w:bCs/>
            <w:noProof/>
          </w:rPr>
          <w:t>Tabel 7</w:t>
        </w:r>
        <w:r w:rsidRPr="00C02335">
          <w:rPr>
            <w:rStyle w:val="Hyperlink"/>
            <w:rFonts w:ascii="Georgia" w:eastAsiaTheme="majorEastAsia" w:hAnsi="Georgia"/>
            <w:noProof/>
          </w:rPr>
          <w:t>: Entertainment aan het Brabantse hof in de ‘foreine partieën’ (1376-1380)</w:t>
        </w:r>
        <w:r w:rsidRPr="00C02335">
          <w:rPr>
            <w:rFonts w:ascii="Georgia" w:hAnsi="Georgia"/>
            <w:noProof/>
            <w:webHidden/>
          </w:rPr>
          <w:tab/>
        </w:r>
        <w:r w:rsidRPr="00C02335">
          <w:rPr>
            <w:rFonts w:ascii="Georgia" w:hAnsi="Georgia"/>
            <w:noProof/>
            <w:webHidden/>
          </w:rPr>
          <w:fldChar w:fldCharType="begin"/>
        </w:r>
        <w:r w:rsidRPr="00C02335">
          <w:rPr>
            <w:rFonts w:ascii="Georgia" w:hAnsi="Georgia"/>
            <w:noProof/>
            <w:webHidden/>
          </w:rPr>
          <w:instrText xml:space="preserve"> PAGEREF _Toc231462068 \h </w:instrText>
        </w:r>
        <w:r w:rsidRPr="00C02335">
          <w:rPr>
            <w:rFonts w:ascii="Georgia" w:hAnsi="Georgia"/>
            <w:noProof/>
            <w:webHidden/>
          </w:rPr>
        </w:r>
        <w:r w:rsidRPr="00C02335">
          <w:rPr>
            <w:rFonts w:ascii="Georgia" w:hAnsi="Georgia"/>
            <w:noProof/>
            <w:webHidden/>
          </w:rPr>
          <w:fldChar w:fldCharType="separate"/>
        </w:r>
        <w:r w:rsidR="00F83A3D">
          <w:rPr>
            <w:rFonts w:ascii="Georgia" w:hAnsi="Georgia"/>
            <w:noProof/>
            <w:webHidden/>
          </w:rPr>
          <w:t>71</w:t>
        </w:r>
        <w:r w:rsidRPr="00C02335">
          <w:rPr>
            <w:rFonts w:ascii="Georgia" w:hAnsi="Georgia"/>
            <w:noProof/>
            <w:webHidden/>
          </w:rPr>
          <w:fldChar w:fldCharType="end"/>
        </w:r>
      </w:hyperlink>
    </w:p>
    <w:p w14:paraId="6640592A" w14:textId="77777777" w:rsidR="00C02335" w:rsidRPr="00C02335" w:rsidRDefault="00C02335" w:rsidP="00C02335"/>
    <w:p w14:paraId="3606F076" w14:textId="09F92AD7" w:rsidR="00C02335" w:rsidRDefault="00C02335" w:rsidP="00C02335">
      <w:pPr>
        <w:pStyle w:val="TableofFigures"/>
        <w:tabs>
          <w:tab w:val="right" w:leader="underscore" w:pos="9016"/>
        </w:tabs>
        <w:spacing w:line="360" w:lineRule="auto"/>
        <w:rPr>
          <w:rStyle w:val="Hyperlink"/>
          <w:rFonts w:ascii="Georgia" w:eastAsiaTheme="majorEastAsia" w:hAnsi="Georgia"/>
          <w:noProof/>
        </w:rPr>
      </w:pPr>
      <w:hyperlink w:anchor="_Toc231462069" w:history="1">
        <w:r w:rsidRPr="00C02335">
          <w:rPr>
            <w:rStyle w:val="Hyperlink"/>
            <w:rFonts w:ascii="Georgia" w:eastAsiaTheme="majorEastAsia" w:hAnsi="Georgia"/>
            <w:b/>
            <w:bCs/>
            <w:noProof/>
          </w:rPr>
          <w:t>Tabel 8</w:t>
        </w:r>
        <w:r w:rsidRPr="00C02335">
          <w:rPr>
            <w:rStyle w:val="Hyperlink"/>
            <w:rFonts w:ascii="Georgia" w:eastAsiaTheme="majorEastAsia" w:hAnsi="Georgia"/>
            <w:noProof/>
          </w:rPr>
          <w:t>: Aantal posten van inkomende entertainers in de ‘foreine partieën’ (1376-1380)</w:t>
        </w:r>
        <w:r w:rsidRPr="00C02335">
          <w:rPr>
            <w:rFonts w:ascii="Georgia" w:hAnsi="Georgia"/>
            <w:noProof/>
            <w:webHidden/>
          </w:rPr>
          <w:tab/>
        </w:r>
        <w:r w:rsidRPr="00C02335">
          <w:rPr>
            <w:rFonts w:ascii="Georgia" w:hAnsi="Georgia"/>
            <w:noProof/>
            <w:webHidden/>
          </w:rPr>
          <w:fldChar w:fldCharType="begin"/>
        </w:r>
        <w:r w:rsidRPr="00C02335">
          <w:rPr>
            <w:rFonts w:ascii="Georgia" w:hAnsi="Georgia"/>
            <w:noProof/>
            <w:webHidden/>
          </w:rPr>
          <w:instrText xml:space="preserve"> PAGEREF _Toc231462069 \h </w:instrText>
        </w:r>
        <w:r w:rsidRPr="00C02335">
          <w:rPr>
            <w:rFonts w:ascii="Georgia" w:hAnsi="Georgia"/>
            <w:noProof/>
            <w:webHidden/>
          </w:rPr>
        </w:r>
        <w:r w:rsidRPr="00C02335">
          <w:rPr>
            <w:rFonts w:ascii="Georgia" w:hAnsi="Georgia"/>
            <w:noProof/>
            <w:webHidden/>
          </w:rPr>
          <w:fldChar w:fldCharType="separate"/>
        </w:r>
        <w:r w:rsidR="00F83A3D">
          <w:rPr>
            <w:rFonts w:ascii="Georgia" w:hAnsi="Georgia"/>
            <w:noProof/>
            <w:webHidden/>
          </w:rPr>
          <w:t>71</w:t>
        </w:r>
        <w:r w:rsidRPr="00C02335">
          <w:rPr>
            <w:rFonts w:ascii="Georgia" w:hAnsi="Georgia"/>
            <w:noProof/>
            <w:webHidden/>
          </w:rPr>
          <w:fldChar w:fldCharType="end"/>
        </w:r>
      </w:hyperlink>
    </w:p>
    <w:p w14:paraId="79F4804B" w14:textId="77777777" w:rsidR="00C02335" w:rsidRPr="00C02335" w:rsidRDefault="00C02335" w:rsidP="00C02335"/>
    <w:p w14:paraId="4343B2F0" w14:textId="4505D2C6" w:rsidR="00C02335" w:rsidRPr="00C02335" w:rsidRDefault="00C02335" w:rsidP="00C02335">
      <w:pPr>
        <w:pStyle w:val="TableofFigures"/>
        <w:tabs>
          <w:tab w:val="right" w:leader="underscore" w:pos="9016"/>
        </w:tabs>
        <w:spacing w:line="360" w:lineRule="auto"/>
        <w:rPr>
          <w:rFonts w:ascii="Georgia" w:hAnsi="Georgia"/>
          <w:noProof/>
        </w:rPr>
      </w:pPr>
      <w:hyperlink w:anchor="_Toc231462070" w:history="1">
        <w:r w:rsidRPr="00C02335">
          <w:rPr>
            <w:rStyle w:val="Hyperlink"/>
            <w:rFonts w:ascii="Georgia" w:eastAsiaTheme="majorEastAsia" w:hAnsi="Georgia"/>
            <w:b/>
            <w:bCs/>
            <w:noProof/>
          </w:rPr>
          <w:t>Tabel 9</w:t>
        </w:r>
        <w:r w:rsidRPr="00C02335">
          <w:rPr>
            <w:rStyle w:val="Hyperlink"/>
            <w:rFonts w:ascii="Georgia" w:eastAsiaTheme="majorEastAsia" w:hAnsi="Georgia"/>
            <w:noProof/>
          </w:rPr>
          <w:t>: Aalmoezen (‘omme Gode te geven’) die Johanna over 1376-1380 schonk</w:t>
        </w:r>
        <w:r w:rsidRPr="00C02335">
          <w:rPr>
            <w:rFonts w:ascii="Georgia" w:hAnsi="Georgia"/>
            <w:noProof/>
            <w:webHidden/>
          </w:rPr>
          <w:tab/>
        </w:r>
        <w:r w:rsidRPr="00C02335">
          <w:rPr>
            <w:rFonts w:ascii="Georgia" w:hAnsi="Georgia"/>
            <w:noProof/>
            <w:webHidden/>
          </w:rPr>
          <w:fldChar w:fldCharType="begin"/>
        </w:r>
        <w:r w:rsidRPr="00C02335">
          <w:rPr>
            <w:rFonts w:ascii="Georgia" w:hAnsi="Georgia"/>
            <w:noProof/>
            <w:webHidden/>
          </w:rPr>
          <w:instrText xml:space="preserve"> PAGEREF _Toc231462070 \h </w:instrText>
        </w:r>
        <w:r w:rsidRPr="00C02335">
          <w:rPr>
            <w:rFonts w:ascii="Georgia" w:hAnsi="Georgia"/>
            <w:noProof/>
            <w:webHidden/>
          </w:rPr>
        </w:r>
        <w:r w:rsidRPr="00C02335">
          <w:rPr>
            <w:rFonts w:ascii="Georgia" w:hAnsi="Georgia"/>
            <w:noProof/>
            <w:webHidden/>
          </w:rPr>
          <w:fldChar w:fldCharType="separate"/>
        </w:r>
        <w:r w:rsidR="00F83A3D">
          <w:rPr>
            <w:rFonts w:ascii="Georgia" w:hAnsi="Georgia"/>
            <w:noProof/>
            <w:webHidden/>
          </w:rPr>
          <w:t>82</w:t>
        </w:r>
        <w:r w:rsidRPr="00C02335">
          <w:rPr>
            <w:rFonts w:ascii="Georgia" w:hAnsi="Georgia"/>
            <w:noProof/>
            <w:webHidden/>
          </w:rPr>
          <w:fldChar w:fldCharType="end"/>
        </w:r>
      </w:hyperlink>
    </w:p>
    <w:p w14:paraId="294DB81F" w14:textId="603D1A87" w:rsidR="00C02335" w:rsidRPr="00C02335" w:rsidRDefault="00C02335" w:rsidP="00C02335">
      <w:pPr>
        <w:pStyle w:val="ThesisHeading"/>
        <w:numPr>
          <w:ilvl w:val="0"/>
          <w:numId w:val="0"/>
        </w:numPr>
        <w:ind w:left="1021" w:hanging="1021"/>
        <w:rPr>
          <w:b/>
          <w:bCs/>
        </w:rPr>
      </w:pPr>
      <w:r w:rsidRPr="00C02335">
        <w:rPr>
          <w:rFonts w:ascii="Georgia" w:hAnsi="Georgia"/>
        </w:rPr>
        <w:fldChar w:fldCharType="end"/>
      </w:r>
      <w:bookmarkStart w:id="313" w:name="_Toc231463624"/>
      <w:proofErr w:type="spellStart"/>
      <w:r w:rsidRPr="00C02335">
        <w:rPr>
          <w:b/>
          <w:bCs/>
        </w:rPr>
        <w:t>Figuren</w:t>
      </w:r>
      <w:bookmarkEnd w:id="313"/>
      <w:proofErr w:type="spellEnd"/>
    </w:p>
    <w:p w14:paraId="640AAFE0" w14:textId="04057529" w:rsidR="00F74348" w:rsidRDefault="00C02335" w:rsidP="00F74348">
      <w:pPr>
        <w:pStyle w:val="TableofFigures"/>
        <w:tabs>
          <w:tab w:val="right" w:leader="underscore" w:pos="9016"/>
        </w:tabs>
        <w:spacing w:line="360" w:lineRule="auto"/>
        <w:rPr>
          <w:rStyle w:val="Hyperlink"/>
          <w:rFonts w:eastAsiaTheme="majorEastAsia"/>
          <w:noProof/>
        </w:rPr>
      </w:pPr>
      <w:r w:rsidRPr="00C02335">
        <w:rPr>
          <w:rFonts w:ascii="Georgia" w:hAnsi="Georgia"/>
        </w:rPr>
        <w:fldChar w:fldCharType="begin"/>
      </w:r>
      <w:r w:rsidRPr="00C02335">
        <w:rPr>
          <w:rFonts w:ascii="Georgia" w:hAnsi="Georgia"/>
        </w:rPr>
        <w:instrText xml:space="preserve"> TOC \h \z \c "Figuur" </w:instrText>
      </w:r>
      <w:r w:rsidRPr="00C02335">
        <w:rPr>
          <w:rFonts w:ascii="Georgia" w:hAnsi="Georgia"/>
        </w:rPr>
        <w:fldChar w:fldCharType="separate"/>
      </w:r>
      <w:hyperlink w:anchor="_Toc231462581" w:history="1">
        <w:r w:rsidR="00F74348" w:rsidRPr="00E7688E">
          <w:rPr>
            <w:rStyle w:val="Hyperlink"/>
            <w:rFonts w:eastAsiaTheme="majorEastAsia"/>
            <w:b/>
            <w:bCs/>
            <w:noProof/>
          </w:rPr>
          <w:t>Figuur 1:</w:t>
        </w:r>
        <w:r w:rsidR="00F74348" w:rsidRPr="00F74348">
          <w:rPr>
            <w:rStyle w:val="Hyperlink"/>
            <w:rFonts w:eastAsiaTheme="majorEastAsia"/>
            <w:noProof/>
          </w:rPr>
          <w:t xml:space="preserve"> De Blijde Inkomst van Johanna en Wenceslas in 1356</w:t>
        </w:r>
        <w:r w:rsidR="00F74348">
          <w:rPr>
            <w:noProof/>
            <w:webHidden/>
          </w:rPr>
          <w:tab/>
        </w:r>
        <w:r w:rsidR="00F74348">
          <w:rPr>
            <w:noProof/>
            <w:webHidden/>
          </w:rPr>
          <w:fldChar w:fldCharType="begin"/>
        </w:r>
        <w:r w:rsidR="00F74348">
          <w:rPr>
            <w:noProof/>
            <w:webHidden/>
          </w:rPr>
          <w:instrText xml:space="preserve"> PAGEREF _Toc231462581 \h </w:instrText>
        </w:r>
        <w:r w:rsidR="00F74348">
          <w:rPr>
            <w:noProof/>
            <w:webHidden/>
          </w:rPr>
        </w:r>
        <w:r w:rsidR="00F74348">
          <w:rPr>
            <w:noProof/>
            <w:webHidden/>
          </w:rPr>
          <w:fldChar w:fldCharType="separate"/>
        </w:r>
        <w:r w:rsidR="00F83A3D">
          <w:rPr>
            <w:noProof/>
            <w:webHidden/>
          </w:rPr>
          <w:t>6</w:t>
        </w:r>
        <w:r w:rsidR="00F74348">
          <w:rPr>
            <w:noProof/>
            <w:webHidden/>
          </w:rPr>
          <w:fldChar w:fldCharType="end"/>
        </w:r>
      </w:hyperlink>
    </w:p>
    <w:p w14:paraId="559114DD" w14:textId="77777777" w:rsidR="00F74348" w:rsidRPr="00F74348" w:rsidRDefault="00F74348" w:rsidP="00F74348">
      <w:pPr>
        <w:rPr>
          <w:rFonts w:eastAsiaTheme="minorEastAsia"/>
        </w:rPr>
      </w:pPr>
    </w:p>
    <w:p w14:paraId="090A04F6" w14:textId="368DF01E" w:rsidR="00F74348" w:rsidRDefault="00F74348" w:rsidP="00F74348">
      <w:pPr>
        <w:pStyle w:val="TableofFigures"/>
        <w:tabs>
          <w:tab w:val="right" w:leader="underscore" w:pos="9016"/>
        </w:tabs>
        <w:spacing w:line="360" w:lineRule="auto"/>
        <w:rPr>
          <w:rFonts w:asciiTheme="minorHAnsi" w:eastAsiaTheme="minorEastAsia" w:hAnsiTheme="minorHAnsi" w:cstheme="minorBidi"/>
          <w:noProof/>
          <w:kern w:val="2"/>
          <w14:ligatures w14:val="standardContextual"/>
        </w:rPr>
      </w:pPr>
      <w:hyperlink w:anchor="_Toc231462582" w:history="1">
        <w:r w:rsidRPr="00E7688E">
          <w:rPr>
            <w:rStyle w:val="Hyperlink"/>
            <w:rFonts w:eastAsiaTheme="majorEastAsia"/>
            <w:b/>
            <w:bCs/>
            <w:noProof/>
          </w:rPr>
          <w:t xml:space="preserve">Figuur 2: </w:t>
        </w:r>
        <w:r w:rsidRPr="00F74348">
          <w:rPr>
            <w:rStyle w:val="Hyperlink"/>
            <w:rFonts w:eastAsiaTheme="majorEastAsia"/>
            <w:noProof/>
          </w:rPr>
          <w:t>Portret van Johanna van Brabant (1322-1406)</w:t>
        </w:r>
        <w:r>
          <w:rPr>
            <w:noProof/>
            <w:webHidden/>
          </w:rPr>
          <w:tab/>
        </w:r>
        <w:r>
          <w:rPr>
            <w:noProof/>
            <w:webHidden/>
          </w:rPr>
          <w:fldChar w:fldCharType="begin"/>
        </w:r>
        <w:r>
          <w:rPr>
            <w:noProof/>
            <w:webHidden/>
          </w:rPr>
          <w:instrText xml:space="preserve"> PAGEREF _Toc231462582 \h </w:instrText>
        </w:r>
        <w:r>
          <w:rPr>
            <w:noProof/>
            <w:webHidden/>
          </w:rPr>
        </w:r>
        <w:r>
          <w:rPr>
            <w:noProof/>
            <w:webHidden/>
          </w:rPr>
          <w:fldChar w:fldCharType="separate"/>
        </w:r>
        <w:r w:rsidR="00F83A3D">
          <w:rPr>
            <w:noProof/>
            <w:webHidden/>
          </w:rPr>
          <w:t>28</w:t>
        </w:r>
        <w:r>
          <w:rPr>
            <w:noProof/>
            <w:webHidden/>
          </w:rPr>
          <w:fldChar w:fldCharType="end"/>
        </w:r>
      </w:hyperlink>
    </w:p>
    <w:p w14:paraId="606D0A03" w14:textId="319ADE2E" w:rsidR="00F74348" w:rsidRDefault="00F74348" w:rsidP="00F74348">
      <w:pPr>
        <w:pStyle w:val="TableofFigures"/>
        <w:tabs>
          <w:tab w:val="right" w:leader="underscore" w:pos="9016"/>
        </w:tabs>
        <w:spacing w:line="360" w:lineRule="auto"/>
        <w:rPr>
          <w:rStyle w:val="Hyperlink"/>
          <w:rFonts w:eastAsiaTheme="majorEastAsia"/>
          <w:noProof/>
        </w:rPr>
      </w:pPr>
      <w:hyperlink w:anchor="_Toc231462583" w:history="1">
        <w:r w:rsidRPr="00E7688E">
          <w:rPr>
            <w:rStyle w:val="Hyperlink"/>
            <w:rFonts w:eastAsiaTheme="majorEastAsia"/>
            <w:b/>
            <w:bCs/>
            <w:noProof/>
          </w:rPr>
          <w:t>Figuur 3:</w:t>
        </w:r>
        <w:r w:rsidRPr="00E7688E">
          <w:rPr>
            <w:rStyle w:val="Hyperlink"/>
            <w:rFonts w:eastAsiaTheme="majorEastAsia"/>
            <w:noProof/>
          </w:rPr>
          <w:t xml:space="preserve"> Herkomst van de minstrelen aan het Brabantse hof in de 'foreine partieen' (1376-1380)</w:t>
        </w:r>
        <w:r>
          <w:rPr>
            <w:noProof/>
            <w:webHidden/>
          </w:rPr>
          <w:tab/>
        </w:r>
        <w:r>
          <w:rPr>
            <w:noProof/>
            <w:webHidden/>
          </w:rPr>
          <w:fldChar w:fldCharType="begin"/>
        </w:r>
        <w:r>
          <w:rPr>
            <w:noProof/>
            <w:webHidden/>
          </w:rPr>
          <w:instrText xml:space="preserve"> PAGEREF _Toc231462583 \h </w:instrText>
        </w:r>
        <w:r>
          <w:rPr>
            <w:noProof/>
            <w:webHidden/>
          </w:rPr>
        </w:r>
        <w:r>
          <w:rPr>
            <w:noProof/>
            <w:webHidden/>
          </w:rPr>
          <w:fldChar w:fldCharType="separate"/>
        </w:r>
        <w:r w:rsidR="00F83A3D">
          <w:rPr>
            <w:noProof/>
            <w:webHidden/>
          </w:rPr>
          <w:t>70</w:t>
        </w:r>
        <w:r>
          <w:rPr>
            <w:noProof/>
            <w:webHidden/>
          </w:rPr>
          <w:fldChar w:fldCharType="end"/>
        </w:r>
      </w:hyperlink>
    </w:p>
    <w:p w14:paraId="76EE0A04" w14:textId="77777777" w:rsidR="00F74348" w:rsidRPr="00F74348" w:rsidRDefault="00F74348" w:rsidP="00F74348">
      <w:pPr>
        <w:rPr>
          <w:rFonts w:eastAsiaTheme="minorEastAsia"/>
        </w:rPr>
      </w:pPr>
    </w:p>
    <w:p w14:paraId="5225FB37" w14:textId="48EC534F" w:rsidR="00F74348" w:rsidRDefault="00F74348" w:rsidP="00F74348">
      <w:pPr>
        <w:pStyle w:val="TableofFigures"/>
        <w:tabs>
          <w:tab w:val="right" w:leader="underscore" w:pos="9016"/>
        </w:tabs>
        <w:spacing w:line="360" w:lineRule="auto"/>
        <w:rPr>
          <w:rStyle w:val="Hyperlink"/>
          <w:rFonts w:eastAsiaTheme="majorEastAsia"/>
          <w:noProof/>
        </w:rPr>
      </w:pPr>
      <w:hyperlink w:anchor="_Toc231462584" w:history="1">
        <w:r w:rsidRPr="00E7688E">
          <w:rPr>
            <w:rStyle w:val="Hyperlink"/>
            <w:rFonts w:eastAsiaTheme="majorEastAsia"/>
            <w:b/>
            <w:bCs/>
            <w:noProof/>
          </w:rPr>
          <w:t>Figuur 4</w:t>
        </w:r>
        <w:r w:rsidRPr="00E7688E">
          <w:rPr>
            <w:rStyle w:val="Hyperlink"/>
            <w:rFonts w:eastAsiaTheme="majorEastAsia"/>
            <w:noProof/>
          </w:rPr>
          <w:t>: De bouw van de nieuwe hertogenlijke burcht 1375-1380. Gravure door Jacques Harrewijn (17e eeuw)</w:t>
        </w:r>
        <w:r>
          <w:rPr>
            <w:noProof/>
            <w:webHidden/>
          </w:rPr>
          <w:tab/>
        </w:r>
        <w:r>
          <w:rPr>
            <w:noProof/>
            <w:webHidden/>
          </w:rPr>
          <w:fldChar w:fldCharType="begin"/>
        </w:r>
        <w:r>
          <w:rPr>
            <w:noProof/>
            <w:webHidden/>
          </w:rPr>
          <w:instrText xml:space="preserve"> PAGEREF _Toc231462584 \h </w:instrText>
        </w:r>
        <w:r>
          <w:rPr>
            <w:noProof/>
            <w:webHidden/>
          </w:rPr>
        </w:r>
        <w:r>
          <w:rPr>
            <w:noProof/>
            <w:webHidden/>
          </w:rPr>
          <w:fldChar w:fldCharType="separate"/>
        </w:r>
        <w:r w:rsidR="00F83A3D">
          <w:rPr>
            <w:noProof/>
            <w:webHidden/>
          </w:rPr>
          <w:t>81</w:t>
        </w:r>
        <w:r>
          <w:rPr>
            <w:noProof/>
            <w:webHidden/>
          </w:rPr>
          <w:fldChar w:fldCharType="end"/>
        </w:r>
      </w:hyperlink>
    </w:p>
    <w:p w14:paraId="315638F3" w14:textId="77777777" w:rsidR="00F74348" w:rsidRPr="00F74348" w:rsidRDefault="00F74348" w:rsidP="00F74348">
      <w:pPr>
        <w:rPr>
          <w:rFonts w:eastAsiaTheme="minorEastAsia"/>
        </w:rPr>
      </w:pPr>
    </w:p>
    <w:p w14:paraId="16235CED" w14:textId="46C846E3" w:rsidR="00F74348" w:rsidRDefault="00F74348" w:rsidP="00F74348">
      <w:pPr>
        <w:pStyle w:val="TableofFigures"/>
        <w:tabs>
          <w:tab w:val="right" w:leader="underscore" w:pos="9016"/>
        </w:tabs>
        <w:spacing w:line="360" w:lineRule="auto"/>
        <w:rPr>
          <w:rFonts w:asciiTheme="minorHAnsi" w:eastAsiaTheme="minorEastAsia" w:hAnsiTheme="minorHAnsi" w:cstheme="minorBidi"/>
          <w:noProof/>
          <w:kern w:val="2"/>
          <w14:ligatures w14:val="standardContextual"/>
        </w:rPr>
      </w:pPr>
      <w:hyperlink w:anchor="_Toc231462585" w:history="1">
        <w:r w:rsidRPr="00E7688E">
          <w:rPr>
            <w:rStyle w:val="Hyperlink"/>
            <w:rFonts w:eastAsiaTheme="majorEastAsia"/>
            <w:b/>
            <w:bCs/>
            <w:noProof/>
          </w:rPr>
          <w:t>Figuur 5:</w:t>
        </w:r>
        <w:r w:rsidRPr="00E7688E">
          <w:rPr>
            <w:rStyle w:val="Hyperlink"/>
            <w:rFonts w:eastAsiaTheme="majorEastAsia"/>
            <w:noProof/>
          </w:rPr>
          <w:t xml:space="preserve"> Scan van Johanna's domeinen in Binche. Zie Pierard “Les Douaires”, x.</w:t>
        </w:r>
        <w:r>
          <w:rPr>
            <w:noProof/>
            <w:webHidden/>
          </w:rPr>
          <w:tab/>
        </w:r>
        <w:r>
          <w:rPr>
            <w:noProof/>
            <w:webHidden/>
          </w:rPr>
          <w:fldChar w:fldCharType="begin"/>
        </w:r>
        <w:r>
          <w:rPr>
            <w:noProof/>
            <w:webHidden/>
          </w:rPr>
          <w:instrText xml:space="preserve"> PAGEREF _Toc231462585 \h </w:instrText>
        </w:r>
        <w:r>
          <w:rPr>
            <w:noProof/>
            <w:webHidden/>
          </w:rPr>
        </w:r>
        <w:r>
          <w:rPr>
            <w:noProof/>
            <w:webHidden/>
          </w:rPr>
          <w:fldChar w:fldCharType="separate"/>
        </w:r>
        <w:r w:rsidR="00F83A3D">
          <w:rPr>
            <w:noProof/>
            <w:webHidden/>
          </w:rPr>
          <w:t>109</w:t>
        </w:r>
        <w:r>
          <w:rPr>
            <w:noProof/>
            <w:webHidden/>
          </w:rPr>
          <w:fldChar w:fldCharType="end"/>
        </w:r>
      </w:hyperlink>
    </w:p>
    <w:p w14:paraId="404FA1D0" w14:textId="65B0B1CF" w:rsidR="00C02335" w:rsidRPr="00C02335" w:rsidRDefault="00C02335" w:rsidP="00F74348">
      <w:pPr>
        <w:pStyle w:val="ThesisBody"/>
      </w:pPr>
      <w:r w:rsidRPr="00C02335">
        <w:rPr>
          <w:rFonts w:ascii="Georgia" w:hAnsi="Georgia"/>
        </w:rPr>
        <w:fldChar w:fldCharType="end"/>
      </w:r>
    </w:p>
    <w:p w14:paraId="7122A019" w14:textId="77777777" w:rsidR="00C02335" w:rsidRPr="00C02335" w:rsidRDefault="00C02335" w:rsidP="00F74348">
      <w:pPr>
        <w:pStyle w:val="ThesisBody"/>
      </w:pPr>
    </w:p>
    <w:p w14:paraId="0E5664B4" w14:textId="6C86A24B" w:rsidR="00C02335" w:rsidRDefault="00C02335" w:rsidP="00F74348">
      <w:pPr>
        <w:spacing w:after="160" w:line="360" w:lineRule="auto"/>
        <w:rPr>
          <w:rFonts w:ascii="Garamond" w:eastAsiaTheme="majorEastAsia" w:hAnsi="Garamond" w:cstheme="majorBidi"/>
          <w:smallCaps/>
          <w:spacing w:val="20"/>
          <w:kern w:val="56"/>
          <w:sz w:val="32"/>
          <w:szCs w:val="56"/>
          <w:lang w:val="en-GB" w:eastAsia="en-US"/>
        </w:rPr>
      </w:pPr>
      <w:r>
        <w:br w:type="page"/>
      </w:r>
    </w:p>
    <w:p w14:paraId="6F7B6AD1" w14:textId="2B848B42" w:rsidR="00C02335" w:rsidRDefault="007D607C" w:rsidP="007D607C">
      <w:pPr>
        <w:pStyle w:val="ThesisSection"/>
        <w:numPr>
          <w:ilvl w:val="0"/>
          <w:numId w:val="0"/>
        </w:numPr>
        <w:pBdr>
          <w:bottom w:val="single" w:sz="4" w:space="1" w:color="auto"/>
        </w:pBdr>
        <w:tabs>
          <w:tab w:val="left" w:pos="2760"/>
        </w:tabs>
        <w:spacing w:after="0"/>
        <w:ind w:left="1021" w:hanging="1021"/>
      </w:pPr>
      <w:bookmarkStart w:id="314" w:name="_Toc231463625"/>
      <w:r>
        <w:rPr>
          <w:noProof/>
        </w:rPr>
        <w:lastRenderedPageBreak/>
        <mc:AlternateContent>
          <mc:Choice Requires="wps">
            <w:drawing>
              <wp:anchor distT="0" distB="0" distL="114300" distR="114300" simplePos="0" relativeHeight="251752959" behindDoc="0" locked="0" layoutInCell="1" allowOverlap="1" wp14:anchorId="16DF22BE" wp14:editId="76BBCB0C">
                <wp:simplePos x="0" y="0"/>
                <wp:positionH relativeFrom="column">
                  <wp:posOffset>-86995</wp:posOffset>
                </wp:positionH>
                <wp:positionV relativeFrom="paragraph">
                  <wp:posOffset>8589645</wp:posOffset>
                </wp:positionV>
                <wp:extent cx="5731510" cy="635"/>
                <wp:effectExtent l="0" t="0" r="0" b="12065"/>
                <wp:wrapSquare wrapText="bothSides"/>
                <wp:docPr id="814302567" name="Text Box 1"/>
                <wp:cNvGraphicFramePr/>
                <a:graphic xmlns:a="http://schemas.openxmlformats.org/drawingml/2006/main">
                  <a:graphicData uri="http://schemas.microsoft.com/office/word/2010/wordprocessingShape">
                    <wps:wsp>
                      <wps:cNvSpPr txBox="1"/>
                      <wps:spPr>
                        <a:xfrm>
                          <a:off x="0" y="0"/>
                          <a:ext cx="5731510" cy="635"/>
                        </a:xfrm>
                        <a:prstGeom prst="rect">
                          <a:avLst/>
                        </a:prstGeom>
                        <a:solidFill>
                          <a:prstClr val="white"/>
                        </a:solidFill>
                        <a:ln>
                          <a:noFill/>
                        </a:ln>
                      </wps:spPr>
                      <wps:txbx>
                        <w:txbxContent>
                          <w:p w14:paraId="62993B4B" w14:textId="10E546EB" w:rsidR="007D607C" w:rsidRPr="00A833CF" w:rsidRDefault="007D607C" w:rsidP="007D607C">
                            <w:pPr>
                              <w:pStyle w:val="Caption"/>
                              <w:rPr>
                                <w:rFonts w:ascii="Calibri" w:eastAsiaTheme="majorEastAsia" w:hAnsi="Calibri" w:cs="Calibri"/>
                                <w:smallCaps/>
                                <w:noProof/>
                                <w:spacing w:val="20"/>
                                <w:kern w:val="56"/>
                                <w:sz w:val="40"/>
                                <w:szCs w:val="56"/>
                                <w:lang w:val="en-GB" w:eastAsia="en-US"/>
                              </w:rPr>
                            </w:pPr>
                            <w:bookmarkStart w:id="315" w:name="_Toc231462585"/>
                            <w:r w:rsidRPr="00F74348">
                              <w:rPr>
                                <w:b/>
                                <w:bCs/>
                              </w:rPr>
                              <w:t xml:space="preserve">Figuur </w:t>
                            </w:r>
                            <w:r w:rsidRPr="00F74348">
                              <w:rPr>
                                <w:b/>
                                <w:bCs/>
                              </w:rPr>
                              <w:fldChar w:fldCharType="begin"/>
                            </w:r>
                            <w:r w:rsidRPr="00F74348">
                              <w:rPr>
                                <w:b/>
                                <w:bCs/>
                              </w:rPr>
                              <w:instrText xml:space="preserve"> SEQ Figuur \* ARABIC </w:instrText>
                            </w:r>
                            <w:r w:rsidRPr="00F74348">
                              <w:rPr>
                                <w:b/>
                                <w:bCs/>
                              </w:rPr>
                              <w:fldChar w:fldCharType="separate"/>
                            </w:r>
                            <w:r w:rsidR="00F83A3D">
                              <w:rPr>
                                <w:b/>
                                <w:bCs/>
                                <w:noProof/>
                              </w:rPr>
                              <w:t>5</w:t>
                            </w:r>
                            <w:r w:rsidRPr="00F74348">
                              <w:rPr>
                                <w:b/>
                                <w:bCs/>
                              </w:rPr>
                              <w:fldChar w:fldCharType="end"/>
                            </w:r>
                            <w:r w:rsidRPr="00F74348">
                              <w:rPr>
                                <w:b/>
                                <w:bCs/>
                              </w:rPr>
                              <w:t>:</w:t>
                            </w:r>
                            <w:r>
                              <w:t xml:space="preserve"> Scan van Johanna's domeinen in Binche.</w:t>
                            </w:r>
                            <w:r w:rsidR="00F74348">
                              <w:t xml:space="preserve"> Zie</w:t>
                            </w:r>
                            <w:r>
                              <w:t xml:space="preserve"> Pierard </w:t>
                            </w:r>
                            <w:r w:rsidR="00F74348">
                              <w:t>“</w:t>
                            </w:r>
                            <w:r>
                              <w:t>Les Douaires</w:t>
                            </w:r>
                            <w:r w:rsidR="00F74348">
                              <w:t>”, x.</w:t>
                            </w:r>
                            <w:bookmarkEnd w:id="31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6DF22BE" id="_x0000_s1038" type="#_x0000_t202" style="position:absolute;left:0;text-align:left;margin-left:-6.85pt;margin-top:676.35pt;width:451.3pt;height:.05pt;z-index:25175295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" stroked="f">
                <v:textbox style="mso-fit-shape-to-text:t" inset="0,0,0,0">
                  <w:txbxContent>
                    <w:p w14:paraId="62993B4B" w14:textId="10E546EB" w:rsidR="007D607C" w:rsidRPr="00A833CF" w:rsidRDefault="007D607C" w:rsidP="007D607C">
                      <w:pPr>
                        <w:pStyle w:val="Caption"/>
                        <w:rPr>
                          <w:rFonts w:ascii="Calibri" w:eastAsiaTheme="majorEastAsia" w:hAnsi="Calibri" w:cs="Calibri"/>
                          <w:smallCaps/>
                          <w:noProof/>
                          <w:spacing w:val="20"/>
                          <w:kern w:val="56"/>
                          <w:sz w:val="40"/>
                          <w:szCs w:val="56"/>
                          <w:lang w:val="en-GB" w:eastAsia="en-US"/>
                        </w:rPr>
                      </w:pPr>
                      <w:bookmarkStart w:id="316" w:name="_Toc231462585"/>
                      <w:r w:rsidRPr="00F74348">
                        <w:rPr>
                          <w:b/>
                          <w:bCs/>
                        </w:rPr>
                        <w:t xml:space="preserve">Figuur </w:t>
                      </w:r>
                      <w:r w:rsidRPr="00F74348">
                        <w:rPr>
                          <w:b/>
                          <w:bCs/>
                        </w:rPr>
                        <w:fldChar w:fldCharType="begin"/>
                      </w:r>
                      <w:r w:rsidRPr="00F74348">
                        <w:rPr>
                          <w:b/>
                          <w:bCs/>
                        </w:rPr>
                        <w:instrText xml:space="preserve"> SEQ Figuur \* ARABIC </w:instrText>
                      </w:r>
                      <w:r w:rsidRPr="00F74348">
                        <w:rPr>
                          <w:b/>
                          <w:bCs/>
                        </w:rPr>
                        <w:fldChar w:fldCharType="separate"/>
                      </w:r>
                      <w:r w:rsidR="00F83A3D">
                        <w:rPr>
                          <w:b/>
                          <w:bCs/>
                          <w:noProof/>
                        </w:rPr>
                        <w:t>5</w:t>
                      </w:r>
                      <w:r w:rsidRPr="00F74348">
                        <w:rPr>
                          <w:b/>
                          <w:bCs/>
                        </w:rPr>
                        <w:fldChar w:fldCharType="end"/>
                      </w:r>
                      <w:r w:rsidRPr="00F74348">
                        <w:rPr>
                          <w:b/>
                          <w:bCs/>
                        </w:rPr>
                        <w:t>:</w:t>
                      </w:r>
                      <w:r>
                        <w:t xml:space="preserve"> Scan van Johanna's domeinen in Binche.</w:t>
                      </w:r>
                      <w:r w:rsidR="00F74348">
                        <w:t xml:space="preserve"> Zie</w:t>
                      </w:r>
                      <w:r>
                        <w:t xml:space="preserve"> Pierard </w:t>
                      </w:r>
                      <w:r w:rsidR="00F74348">
                        <w:t>“</w:t>
                      </w:r>
                      <w:r>
                        <w:t>Les Douaires</w:t>
                      </w:r>
                      <w:r w:rsidR="00F74348">
                        <w:t>”, x.</w:t>
                      </w:r>
                      <w:bookmarkEnd w:id="316"/>
                    </w:p>
                  </w:txbxContent>
                </v:textbox>
                <w10:wrap type="square"/>
              </v:shape>
            </w:pict>
          </mc:Fallback>
        </mc:AlternateContent>
      </w:r>
      <w:r w:rsidRPr="003872E9">
        <w:rPr>
          <w:rFonts w:ascii="Calibri" w:hAnsi="Calibri" w:cs="Calibri"/>
          <w:noProof/>
        </w:rPr>
        <w:drawing>
          <wp:anchor distT="0" distB="0" distL="114300" distR="114300" simplePos="0" relativeHeight="251750911" behindDoc="0" locked="0" layoutInCell="1" allowOverlap="1" wp14:anchorId="68193EFE" wp14:editId="0C2AD3C6">
            <wp:simplePos x="0" y="0"/>
            <wp:positionH relativeFrom="column">
              <wp:posOffset>-87086</wp:posOffset>
            </wp:positionH>
            <wp:positionV relativeFrom="paragraph">
              <wp:posOffset>745217</wp:posOffset>
            </wp:positionV>
            <wp:extent cx="5731510" cy="8110855"/>
            <wp:effectExtent l="0" t="0" r="0" b="4445"/>
            <wp:wrapSquare wrapText="bothSides"/>
            <wp:docPr id="4487152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715221" name="Picture 448715221"/>
                    <pic:cNvPicPr/>
                  </pic:nvPicPr>
                  <pic:blipFill>
                    <a:blip r:embed="rId30"/>
                    <a:stretch>
                      <a:fillRect/>
                    </a:stretch>
                  </pic:blipFill>
                  <pic:spPr>
                    <a:xfrm>
                      <a:off x="0" y="0"/>
                      <a:ext cx="5731510" cy="8110855"/>
                    </a:xfrm>
                    <a:prstGeom prst="rect">
                      <a:avLst/>
                    </a:prstGeom>
                  </pic:spPr>
                </pic:pic>
              </a:graphicData>
            </a:graphic>
            <wp14:sizeRelH relativeFrom="page">
              <wp14:pctWidth>0</wp14:pctWidth>
            </wp14:sizeRelH>
            <wp14:sizeRelV relativeFrom="page">
              <wp14:pctHeight>0</wp14:pctHeight>
            </wp14:sizeRelV>
          </wp:anchor>
        </w:drawing>
      </w:r>
      <w:proofErr w:type="spellStart"/>
      <w:r w:rsidR="00C02335">
        <w:t>Bijlagen</w:t>
      </w:r>
      <w:bookmarkEnd w:id="314"/>
      <w:proofErr w:type="spellEnd"/>
      <w:r>
        <w:tab/>
      </w:r>
    </w:p>
    <w:p w14:paraId="2A5423A9" w14:textId="72059105" w:rsidR="007D607C" w:rsidRPr="007D607C" w:rsidRDefault="007D607C" w:rsidP="007D607C">
      <w:pPr>
        <w:pStyle w:val="ThesisHeading"/>
        <w:numPr>
          <w:ilvl w:val="0"/>
          <w:numId w:val="0"/>
        </w:numPr>
        <w:ind w:left="1021" w:hanging="1021"/>
      </w:pPr>
    </w:p>
    <w:p w14:paraId="040D0CBD" w14:textId="77777777" w:rsidR="00B60DAD" w:rsidRPr="00B60DAD" w:rsidRDefault="00B60DAD" w:rsidP="00B60DAD">
      <w:pPr>
        <w:pStyle w:val="ThesisHeading"/>
        <w:numPr>
          <w:ilvl w:val="0"/>
          <w:numId w:val="0"/>
        </w:numPr>
        <w:ind w:left="1021" w:hanging="1021"/>
      </w:pPr>
    </w:p>
    <w:sectPr w:rsidR="00B60DAD" w:rsidRPr="00B60DAD" w:rsidSect="00D729FC">
      <w:pgSz w:w="11906" w:h="16838"/>
      <w:pgMar w:top="1440" w:right="1440" w:bottom="1440" w:left="144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51FCA9" w14:textId="77777777" w:rsidR="00A221E8" w:rsidRDefault="00A221E8">
      <w:r>
        <w:separator/>
      </w:r>
    </w:p>
  </w:endnote>
  <w:endnote w:type="continuationSeparator" w:id="0">
    <w:p w14:paraId="09A1FB38" w14:textId="77777777" w:rsidR="00A221E8" w:rsidRDefault="00A22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NeueLTStd-Roman">
    <w:altName w:val="Arial"/>
    <w:panose1 w:val="020B0604020202020204"/>
    <w:charset w:val="00"/>
    <w:family w:val="swiss"/>
    <w:notTrueType/>
    <w:pitch w:val="default"/>
    <w:sig w:usb0="00000003" w:usb1="00000000" w:usb2="00000000" w:usb3="00000000" w:csb0="00000001" w:csb1="00000000"/>
  </w:font>
  <w:font w:name="Geeza Pro">
    <w:panose1 w:val="02000400000000000000"/>
    <w:charset w:val="B2"/>
    <w:family w:val="auto"/>
    <w:pitch w:val="variable"/>
    <w:sig w:usb0="80002001"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993522637"/>
      <w:docPartObj>
        <w:docPartGallery w:val="Page Numbers (Bottom of Page)"/>
        <w:docPartUnique/>
      </w:docPartObj>
    </w:sdtPr>
    <w:sdtContent>
      <w:p w14:paraId="1BD2EFBB" w14:textId="6B9065BB" w:rsidR="00350561" w:rsidRDefault="00350561" w:rsidP="0035056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A421ADE" w14:textId="03953936" w:rsidR="00687EAD" w:rsidRDefault="00687EAD" w:rsidP="00350561">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71789703"/>
      <w:docPartObj>
        <w:docPartGallery w:val="Page Numbers (Bottom of Page)"/>
        <w:docPartUnique/>
      </w:docPartObj>
    </w:sdtPr>
    <w:sdtContent>
      <w:p w14:paraId="798E999D" w14:textId="42B77AC8" w:rsidR="00350561" w:rsidRDefault="00350561" w:rsidP="0035056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41310254" w14:textId="658C4307" w:rsidR="00687EAD" w:rsidRDefault="00687EAD" w:rsidP="00350561">
    <w:pPr>
      <w:pStyle w:val="Footer"/>
      <w:ind w:right="360"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7F7BA6" w14:textId="77777777" w:rsidR="00687EAD" w:rsidRDefault="00687EAD" w:rsidP="003A31A5">
    <w:pPr>
      <w:pStyle w:val="Footer"/>
      <w:tabs>
        <w:tab w:val="left" w:pos="528"/>
        <w:tab w:val="center" w:pos="396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507512" w14:textId="77777777" w:rsidR="00A221E8" w:rsidRDefault="00A221E8">
      <w:r>
        <w:separator/>
      </w:r>
    </w:p>
  </w:footnote>
  <w:footnote w:type="continuationSeparator" w:id="0">
    <w:p w14:paraId="12150EEE" w14:textId="77777777" w:rsidR="00A221E8" w:rsidRDefault="00A221E8">
      <w:r>
        <w:continuationSeparator/>
      </w:r>
    </w:p>
  </w:footnote>
  <w:footnote w:id="1">
    <w:p w14:paraId="53D5CE71" w14:textId="5EC2AB01" w:rsidR="00347160" w:rsidRPr="00AB36AE" w:rsidRDefault="00347160" w:rsidP="00347160">
      <w:pPr>
        <w:pStyle w:val="FootnoteText"/>
        <w:rPr>
          <w:sz w:val="18"/>
          <w:szCs w:val="18"/>
          <w:lang w:val="fr-BE"/>
        </w:rPr>
      </w:pPr>
      <w:r w:rsidRPr="00AB36AE">
        <w:rPr>
          <w:rStyle w:val="FootnoteReference"/>
          <w:sz w:val="18"/>
          <w:szCs w:val="18"/>
        </w:rPr>
        <w:footnoteRef/>
      </w:r>
      <w:r w:rsidRPr="00AB36AE">
        <w:rPr>
          <w:sz w:val="18"/>
          <w:szCs w:val="18"/>
          <w:lang w:val="fr-BE"/>
        </w:rPr>
        <w:t xml:space="preserve"> </w:t>
      </w:r>
      <w:r w:rsidR="00653E93" w:rsidRPr="00AB36AE">
        <w:rPr>
          <w:sz w:val="18"/>
          <w:szCs w:val="18"/>
        </w:rPr>
        <w:t xml:space="preserve">Willems, </w:t>
      </w:r>
      <w:r w:rsidR="00653E93" w:rsidRPr="00AB36AE">
        <w:rPr>
          <w:i/>
          <w:iCs/>
          <w:sz w:val="18"/>
          <w:szCs w:val="18"/>
        </w:rPr>
        <w:t>De Brabantsche Yeesten</w:t>
      </w:r>
      <w:r w:rsidR="00653E93" w:rsidRPr="00AB36AE">
        <w:rPr>
          <w:sz w:val="18"/>
          <w:szCs w:val="18"/>
        </w:rPr>
        <w:t>, 38-39.</w:t>
      </w:r>
    </w:p>
  </w:footnote>
  <w:footnote w:id="2">
    <w:p w14:paraId="39D86E0D" w14:textId="2E982848" w:rsidR="00765298" w:rsidRPr="00AB36AE" w:rsidRDefault="00765298">
      <w:pPr>
        <w:pStyle w:val="FootnoteText"/>
        <w:rPr>
          <w:sz w:val="18"/>
          <w:szCs w:val="18"/>
          <w:lang w:val="en-BE"/>
        </w:rPr>
      </w:pPr>
      <w:r w:rsidRPr="00AB36AE">
        <w:rPr>
          <w:rStyle w:val="FootnoteReference"/>
          <w:sz w:val="18"/>
          <w:szCs w:val="18"/>
        </w:rPr>
        <w:footnoteRef/>
      </w:r>
      <w:r w:rsidRPr="00AB36AE">
        <w:rPr>
          <w:sz w:val="18"/>
          <w:szCs w:val="18"/>
        </w:rPr>
        <w:t xml:space="preserve"> </w:t>
      </w:r>
      <w:r w:rsidR="006E1749" w:rsidRPr="00AB36AE">
        <w:rPr>
          <w:sz w:val="18"/>
          <w:szCs w:val="18"/>
          <w:lang w:val="en-US"/>
        </w:rPr>
        <w:t>Voor het debat rond de voortzetter van de Brabantse Yeesten</w:t>
      </w:r>
      <w:r w:rsidR="00E1192E" w:rsidRPr="00AB36AE">
        <w:rPr>
          <w:sz w:val="18"/>
          <w:szCs w:val="18"/>
          <w:lang w:val="en-US"/>
        </w:rPr>
        <w:t>, z</w:t>
      </w:r>
      <w:r w:rsidR="006E1749" w:rsidRPr="00AB36AE">
        <w:rPr>
          <w:sz w:val="18"/>
          <w:szCs w:val="18"/>
          <w:lang w:val="en-US"/>
        </w:rPr>
        <w:t>ie</w:t>
      </w:r>
      <w:r w:rsidR="00E1192E" w:rsidRPr="00AB36AE">
        <w:rPr>
          <w:sz w:val="18"/>
          <w:szCs w:val="18"/>
          <w:lang w:val="en-US"/>
        </w:rPr>
        <w:t>:</w:t>
      </w:r>
      <w:r w:rsidRPr="00AB36AE">
        <w:rPr>
          <w:sz w:val="18"/>
          <w:szCs w:val="18"/>
          <w:lang w:val="en-US"/>
        </w:rPr>
        <w:t xml:space="preserve"> </w:t>
      </w:r>
      <w:r w:rsidR="006E1749" w:rsidRPr="00AB36AE">
        <w:rPr>
          <w:sz w:val="18"/>
          <w:szCs w:val="18"/>
          <w:lang w:val="en-BE"/>
        </w:rPr>
        <w:t xml:space="preserve">Houthuys, </w:t>
      </w:r>
      <w:r w:rsidR="006E1749" w:rsidRPr="00AB36AE">
        <w:rPr>
          <w:i/>
          <w:iCs/>
          <w:sz w:val="18"/>
          <w:szCs w:val="18"/>
          <w:lang w:val="en-BE"/>
        </w:rPr>
        <w:t>Middeleeuws kladwerk</w:t>
      </w:r>
      <w:r w:rsidR="006E1749" w:rsidRPr="00AB36AE">
        <w:rPr>
          <w:sz w:val="18"/>
          <w:szCs w:val="18"/>
          <w:lang w:val="en-BE"/>
        </w:rPr>
        <w:t>.</w:t>
      </w:r>
    </w:p>
  </w:footnote>
  <w:footnote w:id="3">
    <w:p w14:paraId="4542357D" w14:textId="0F013782" w:rsidR="00075E95" w:rsidRPr="00AB36AE" w:rsidRDefault="00075E95" w:rsidP="00075E95">
      <w:pPr>
        <w:pStyle w:val="FootnoteText"/>
        <w:rPr>
          <w:sz w:val="18"/>
          <w:szCs w:val="18"/>
          <w:lang w:val="fr-FR"/>
        </w:rPr>
      </w:pPr>
      <w:r w:rsidRPr="00AB36AE">
        <w:rPr>
          <w:rStyle w:val="FootnoteReference"/>
          <w:sz w:val="18"/>
          <w:szCs w:val="18"/>
        </w:rPr>
        <w:footnoteRef/>
      </w:r>
      <w:r w:rsidRPr="00AB36AE">
        <w:rPr>
          <w:sz w:val="18"/>
          <w:szCs w:val="18"/>
        </w:rPr>
        <w:t xml:space="preserve"> Boffa, “Les Mariages de Jeanne de Brabant”, 182-</w:t>
      </w:r>
      <w:r w:rsidRPr="00AB36AE">
        <w:rPr>
          <w:sz w:val="18"/>
          <w:szCs w:val="18"/>
          <w:lang w:val="fr-FR"/>
        </w:rPr>
        <w:t>184.</w:t>
      </w:r>
    </w:p>
  </w:footnote>
  <w:footnote w:id="4">
    <w:p w14:paraId="7856532F" w14:textId="28733CA0" w:rsidR="00075E95" w:rsidRPr="00AB36AE" w:rsidRDefault="00075E95">
      <w:pPr>
        <w:pStyle w:val="FootnoteText"/>
        <w:rPr>
          <w:sz w:val="18"/>
          <w:szCs w:val="18"/>
          <w:lang w:val="en-US"/>
        </w:rPr>
      </w:pPr>
      <w:r w:rsidRPr="00AB36AE">
        <w:rPr>
          <w:rStyle w:val="FootnoteReference"/>
          <w:sz w:val="18"/>
          <w:szCs w:val="18"/>
        </w:rPr>
        <w:footnoteRef/>
      </w:r>
      <w:r w:rsidRPr="00AB36AE">
        <w:rPr>
          <w:sz w:val="18"/>
          <w:szCs w:val="18"/>
        </w:rPr>
        <w:t xml:space="preserve"> </w:t>
      </w:r>
      <w:r w:rsidRPr="00AB36AE">
        <w:rPr>
          <w:sz w:val="18"/>
          <w:szCs w:val="18"/>
          <w:lang w:val="fr-FR"/>
        </w:rPr>
        <w:t>Boffa, “Les Mariages de Jeanne de Brabant”, 194-96.</w:t>
      </w:r>
    </w:p>
  </w:footnote>
  <w:footnote w:id="5">
    <w:p w14:paraId="4C5D97B2" w14:textId="3CD0899E"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Earenfight, </w:t>
      </w:r>
      <w:r w:rsidR="00C706EC" w:rsidRPr="00AB36AE">
        <w:rPr>
          <w:sz w:val="18"/>
          <w:szCs w:val="18"/>
        </w:rPr>
        <w:t>“</w:t>
      </w:r>
      <w:r w:rsidRPr="00AB36AE">
        <w:rPr>
          <w:sz w:val="18"/>
          <w:szCs w:val="18"/>
        </w:rPr>
        <w:t>A Lifetime of Power</w:t>
      </w:r>
      <w:r w:rsidR="00C706EC" w:rsidRPr="00AB36AE">
        <w:rPr>
          <w:sz w:val="18"/>
          <w:szCs w:val="18"/>
        </w:rPr>
        <w:t>”</w:t>
      </w:r>
      <w:r w:rsidRPr="00AB36AE">
        <w:rPr>
          <w:sz w:val="18"/>
          <w:szCs w:val="18"/>
        </w:rPr>
        <w:t>,</w:t>
      </w:r>
      <w:r w:rsidR="00C706EC" w:rsidRPr="00AB36AE">
        <w:rPr>
          <w:sz w:val="18"/>
          <w:szCs w:val="18"/>
        </w:rPr>
        <w:t xml:space="preserve"> </w:t>
      </w:r>
      <w:r w:rsidRPr="00AB36AE">
        <w:rPr>
          <w:sz w:val="18"/>
          <w:szCs w:val="18"/>
        </w:rPr>
        <w:t>272.</w:t>
      </w:r>
    </w:p>
  </w:footnote>
  <w:footnote w:id="6">
    <w:p w14:paraId="3D916EEA" w14:textId="49AE2D25"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w:t>
      </w:r>
      <w:r w:rsidR="00C706EC" w:rsidRPr="00AB36AE">
        <w:rPr>
          <w:sz w:val="18"/>
          <w:szCs w:val="18"/>
        </w:rPr>
        <w:t>V</w:t>
      </w:r>
      <w:r w:rsidRPr="00AB36AE">
        <w:rPr>
          <w:sz w:val="18"/>
          <w:szCs w:val="18"/>
        </w:rPr>
        <w:t>an ’t Land, ‘“Prince ende vrouwe der lande vorscreven</w:t>
      </w:r>
      <w:r w:rsidR="00244AD7" w:rsidRPr="00AB36AE">
        <w:rPr>
          <w:sz w:val="18"/>
          <w:szCs w:val="18"/>
        </w:rPr>
        <w:t xml:space="preserve">”, </w:t>
      </w:r>
      <w:r w:rsidRPr="00AB36AE">
        <w:rPr>
          <w:sz w:val="18"/>
          <w:szCs w:val="18"/>
        </w:rPr>
        <w:t xml:space="preserve"> 107.</w:t>
      </w:r>
    </w:p>
  </w:footnote>
  <w:footnote w:id="7">
    <w:p w14:paraId="0F58EC64" w14:textId="444E08D5" w:rsidR="00347160" w:rsidRPr="00AB36AE" w:rsidRDefault="00347160" w:rsidP="00347160">
      <w:pPr>
        <w:pStyle w:val="FootnoteText"/>
        <w:rPr>
          <w:sz w:val="18"/>
          <w:szCs w:val="18"/>
          <w:lang w:val="fr-BE"/>
        </w:rPr>
      </w:pPr>
      <w:r w:rsidRPr="00AB36AE">
        <w:rPr>
          <w:rStyle w:val="FootnoteReference"/>
          <w:sz w:val="18"/>
          <w:szCs w:val="18"/>
        </w:rPr>
        <w:footnoteRef/>
      </w:r>
      <w:r w:rsidRPr="00AB36AE">
        <w:rPr>
          <w:sz w:val="18"/>
          <w:szCs w:val="18"/>
          <w:lang w:val="fr-BE"/>
        </w:rPr>
        <w:t xml:space="preserve"> De Pizan, </w:t>
      </w:r>
      <w:r w:rsidRPr="00AB36AE">
        <w:rPr>
          <w:i/>
          <w:sz w:val="18"/>
          <w:szCs w:val="18"/>
          <w:lang w:val="fr-BE"/>
        </w:rPr>
        <w:t>Le livre des trois vertus</w:t>
      </w:r>
      <w:r w:rsidR="00244AD7" w:rsidRPr="00AB36AE">
        <w:rPr>
          <w:i/>
          <w:sz w:val="18"/>
          <w:szCs w:val="18"/>
          <w:lang w:val="fr-BE"/>
        </w:rPr>
        <w:t xml:space="preserve">, </w:t>
      </w:r>
      <w:r w:rsidRPr="00AB36AE">
        <w:rPr>
          <w:sz w:val="18"/>
          <w:szCs w:val="18"/>
          <w:lang w:val="fr-BE"/>
        </w:rPr>
        <w:t>33-34</w:t>
      </w:r>
    </w:p>
  </w:footnote>
  <w:footnote w:id="8">
    <w:p w14:paraId="61716296" w14:textId="448959D7"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Parson</w:t>
      </w:r>
      <w:r w:rsidR="00904543" w:rsidRPr="00AB36AE">
        <w:rPr>
          <w:sz w:val="18"/>
          <w:szCs w:val="18"/>
        </w:rPr>
        <w:t>s</w:t>
      </w:r>
      <w:r w:rsidRPr="00AB36AE">
        <w:rPr>
          <w:sz w:val="18"/>
          <w:szCs w:val="18"/>
        </w:rPr>
        <w:t xml:space="preserve">, </w:t>
      </w:r>
      <w:r w:rsidRPr="00AB36AE">
        <w:rPr>
          <w:i/>
          <w:sz w:val="18"/>
          <w:szCs w:val="18"/>
        </w:rPr>
        <w:t>Medieval queenship</w:t>
      </w:r>
      <w:r w:rsidR="00904543" w:rsidRPr="00AB36AE">
        <w:rPr>
          <w:sz w:val="18"/>
          <w:szCs w:val="18"/>
        </w:rPr>
        <w:t xml:space="preserve">, </w:t>
      </w:r>
      <w:r w:rsidRPr="00AB36AE">
        <w:rPr>
          <w:sz w:val="18"/>
          <w:szCs w:val="18"/>
        </w:rPr>
        <w:t>1-2.</w:t>
      </w:r>
    </w:p>
  </w:footnote>
  <w:footnote w:id="9">
    <w:p w14:paraId="55DFFF6A" w14:textId="64485A5B"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Earenfight, </w:t>
      </w:r>
      <w:r w:rsidRPr="00AB36AE">
        <w:rPr>
          <w:i/>
          <w:sz w:val="18"/>
          <w:szCs w:val="18"/>
        </w:rPr>
        <w:t>Queenship in medieval Europe</w:t>
      </w:r>
      <w:r w:rsidRPr="00AB36AE">
        <w:rPr>
          <w:sz w:val="18"/>
          <w:szCs w:val="18"/>
        </w:rPr>
        <w:t xml:space="preserve"> (Palgrave Macmillan, 2013), 4. </w:t>
      </w:r>
    </w:p>
  </w:footnote>
  <w:footnote w:id="10">
    <w:p w14:paraId="0D566711" w14:textId="5D25FD73"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Scott, </w:t>
      </w:r>
      <w:r w:rsidR="00AE10BB" w:rsidRPr="00AB36AE">
        <w:rPr>
          <w:sz w:val="18"/>
          <w:szCs w:val="18"/>
        </w:rPr>
        <w:t>“</w:t>
      </w:r>
      <w:r w:rsidRPr="00AB36AE">
        <w:rPr>
          <w:sz w:val="18"/>
          <w:szCs w:val="18"/>
        </w:rPr>
        <w:t>Gender: A Useful Category</w:t>
      </w:r>
      <w:r w:rsidR="00AE10BB" w:rsidRPr="00AB36AE">
        <w:rPr>
          <w:sz w:val="18"/>
          <w:szCs w:val="18"/>
        </w:rPr>
        <w:t>”,</w:t>
      </w:r>
      <w:r w:rsidRPr="00AB36AE">
        <w:rPr>
          <w:sz w:val="18"/>
          <w:szCs w:val="18"/>
        </w:rPr>
        <w:t>1067.</w:t>
      </w:r>
    </w:p>
  </w:footnote>
  <w:footnote w:id="11">
    <w:p w14:paraId="46BCBDAF" w14:textId="79845E8C"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w:t>
      </w:r>
      <w:r w:rsidR="00AE10BB" w:rsidRPr="00AB36AE">
        <w:rPr>
          <w:sz w:val="18"/>
          <w:szCs w:val="18"/>
        </w:rPr>
        <w:t xml:space="preserve">Scott, “Gender: A Useful Category”, </w:t>
      </w:r>
      <w:r w:rsidRPr="00AB36AE">
        <w:rPr>
          <w:sz w:val="18"/>
          <w:szCs w:val="18"/>
        </w:rPr>
        <w:t>1070-71.</w:t>
      </w:r>
    </w:p>
  </w:footnote>
  <w:footnote w:id="12">
    <w:p w14:paraId="51C5B97E" w14:textId="1F9B1965"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Parson</w:t>
      </w:r>
      <w:r w:rsidR="00AE10BB" w:rsidRPr="00AB36AE">
        <w:rPr>
          <w:sz w:val="18"/>
          <w:szCs w:val="18"/>
        </w:rPr>
        <w:t>s</w:t>
      </w:r>
      <w:r w:rsidRPr="00AB36AE">
        <w:rPr>
          <w:sz w:val="18"/>
          <w:szCs w:val="18"/>
        </w:rPr>
        <w:t xml:space="preserve">, </w:t>
      </w:r>
      <w:r w:rsidRPr="00AB36AE">
        <w:rPr>
          <w:i/>
          <w:iCs/>
          <w:sz w:val="18"/>
          <w:szCs w:val="18"/>
        </w:rPr>
        <w:t>Queenship</w:t>
      </w:r>
      <w:r w:rsidRPr="00AB36AE">
        <w:rPr>
          <w:sz w:val="18"/>
          <w:szCs w:val="18"/>
        </w:rPr>
        <w:t xml:space="preserve">, 2-3. </w:t>
      </w:r>
    </w:p>
  </w:footnote>
  <w:footnote w:id="13">
    <w:p w14:paraId="2969E53A" w14:textId="667DC693"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Tanner, </w:t>
      </w:r>
      <w:r w:rsidRPr="00AB36AE">
        <w:rPr>
          <w:i/>
          <w:sz w:val="18"/>
          <w:szCs w:val="18"/>
        </w:rPr>
        <w:t>Elite Women</w:t>
      </w:r>
      <w:r w:rsidR="00AE10BB" w:rsidRPr="00AB36AE">
        <w:rPr>
          <w:i/>
          <w:sz w:val="18"/>
          <w:szCs w:val="18"/>
        </w:rPr>
        <w:t xml:space="preserve">, </w:t>
      </w:r>
      <w:r w:rsidRPr="00AB36AE">
        <w:rPr>
          <w:sz w:val="18"/>
          <w:szCs w:val="18"/>
        </w:rPr>
        <w:t xml:space="preserve">4. </w:t>
      </w:r>
    </w:p>
  </w:footnote>
  <w:footnote w:id="14">
    <w:p w14:paraId="5E8B9C5D" w14:textId="0BA2254E"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McNamara</w:t>
      </w:r>
      <w:r w:rsidR="00B109E5" w:rsidRPr="00AB36AE">
        <w:rPr>
          <w:sz w:val="18"/>
          <w:szCs w:val="18"/>
        </w:rPr>
        <w:t xml:space="preserve">; </w:t>
      </w:r>
      <w:r w:rsidRPr="00AB36AE">
        <w:rPr>
          <w:sz w:val="18"/>
          <w:szCs w:val="18"/>
        </w:rPr>
        <w:t xml:space="preserve">Wemple, </w:t>
      </w:r>
      <w:r w:rsidR="00B109E5" w:rsidRPr="00AB36AE">
        <w:rPr>
          <w:sz w:val="18"/>
          <w:szCs w:val="18"/>
        </w:rPr>
        <w:t>“</w:t>
      </w:r>
      <w:r w:rsidRPr="00AB36AE">
        <w:rPr>
          <w:sz w:val="18"/>
          <w:szCs w:val="18"/>
        </w:rPr>
        <w:t>The Power of Women through the Family</w:t>
      </w:r>
      <w:r w:rsidR="00B109E5" w:rsidRPr="00AB36AE">
        <w:rPr>
          <w:sz w:val="18"/>
          <w:szCs w:val="18"/>
        </w:rPr>
        <w:t xml:space="preserve">”, </w:t>
      </w:r>
      <w:r w:rsidRPr="00AB36AE">
        <w:rPr>
          <w:sz w:val="18"/>
          <w:szCs w:val="18"/>
        </w:rPr>
        <w:t>126</w:t>
      </w:r>
      <w:r w:rsidR="00B109E5" w:rsidRPr="00AB36AE">
        <w:rPr>
          <w:sz w:val="18"/>
          <w:szCs w:val="18"/>
        </w:rPr>
        <w:t>-</w:t>
      </w:r>
      <w:r w:rsidRPr="00AB36AE">
        <w:rPr>
          <w:sz w:val="18"/>
          <w:szCs w:val="18"/>
        </w:rPr>
        <w:t>41.</w:t>
      </w:r>
    </w:p>
  </w:footnote>
  <w:footnote w:id="15">
    <w:p w14:paraId="2CFA81C4" w14:textId="77777777"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Parsons, </w:t>
      </w:r>
      <w:r w:rsidRPr="00AB36AE">
        <w:rPr>
          <w:i/>
          <w:iCs/>
          <w:sz w:val="18"/>
          <w:szCs w:val="18"/>
        </w:rPr>
        <w:t>Queenship</w:t>
      </w:r>
      <w:r w:rsidRPr="00AB36AE">
        <w:rPr>
          <w:sz w:val="18"/>
          <w:szCs w:val="18"/>
        </w:rPr>
        <w:t xml:space="preserve">, 3; Tanner, </w:t>
      </w:r>
      <w:r w:rsidRPr="00AB36AE">
        <w:rPr>
          <w:i/>
          <w:iCs/>
          <w:sz w:val="18"/>
          <w:szCs w:val="18"/>
        </w:rPr>
        <w:t>Elite Women</w:t>
      </w:r>
      <w:r w:rsidRPr="00AB36AE">
        <w:rPr>
          <w:sz w:val="18"/>
          <w:szCs w:val="18"/>
        </w:rPr>
        <w:t>, 5.</w:t>
      </w:r>
    </w:p>
  </w:footnote>
  <w:footnote w:id="16">
    <w:p w14:paraId="2150F7D9" w14:textId="77777777"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Tanner, </w:t>
      </w:r>
      <w:r w:rsidRPr="00AB36AE">
        <w:rPr>
          <w:i/>
          <w:iCs/>
          <w:sz w:val="18"/>
          <w:szCs w:val="18"/>
        </w:rPr>
        <w:t>Elite Women</w:t>
      </w:r>
      <w:r w:rsidRPr="00AB36AE">
        <w:rPr>
          <w:sz w:val="18"/>
          <w:szCs w:val="18"/>
        </w:rPr>
        <w:t xml:space="preserve">, 5-6. </w:t>
      </w:r>
    </w:p>
  </w:footnote>
  <w:footnote w:id="17">
    <w:p w14:paraId="3A4109C9" w14:textId="77777777"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Tanner, </w:t>
      </w:r>
      <w:r w:rsidRPr="00AB36AE">
        <w:rPr>
          <w:i/>
          <w:iCs/>
          <w:sz w:val="18"/>
          <w:szCs w:val="18"/>
        </w:rPr>
        <w:t>Elite Women</w:t>
      </w:r>
      <w:r w:rsidRPr="00AB36AE">
        <w:rPr>
          <w:sz w:val="18"/>
          <w:szCs w:val="18"/>
        </w:rPr>
        <w:t xml:space="preserve">, 6. </w:t>
      </w:r>
    </w:p>
  </w:footnote>
  <w:footnote w:id="18">
    <w:p w14:paraId="6C214892" w14:textId="0DD0A955"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w:t>
      </w:r>
      <w:r w:rsidR="00B109E5" w:rsidRPr="00AB36AE">
        <w:rPr>
          <w:sz w:val="18"/>
          <w:szCs w:val="18"/>
        </w:rPr>
        <w:t xml:space="preserve">Tanner, </w:t>
      </w:r>
      <w:r w:rsidR="00B109E5" w:rsidRPr="00AB36AE">
        <w:rPr>
          <w:i/>
          <w:iCs/>
          <w:sz w:val="18"/>
          <w:szCs w:val="18"/>
        </w:rPr>
        <w:t>Elite Women</w:t>
      </w:r>
      <w:r w:rsidR="00B109E5" w:rsidRPr="00AB36AE">
        <w:rPr>
          <w:sz w:val="18"/>
          <w:szCs w:val="18"/>
        </w:rPr>
        <w:t>, 4</w:t>
      </w:r>
      <w:r w:rsidRPr="00AB36AE">
        <w:rPr>
          <w:sz w:val="18"/>
          <w:szCs w:val="18"/>
        </w:rPr>
        <w:t xml:space="preserve">. </w:t>
      </w:r>
    </w:p>
  </w:footnote>
  <w:footnote w:id="19">
    <w:p w14:paraId="53EA0019" w14:textId="18FCD3EF"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Zie Earenfight die dit treffend illustreert voor Catherina van Aragon: Earenfight, </w:t>
      </w:r>
      <w:r w:rsidR="00130195" w:rsidRPr="00AB36AE">
        <w:rPr>
          <w:sz w:val="18"/>
          <w:szCs w:val="18"/>
        </w:rPr>
        <w:t>“</w:t>
      </w:r>
      <w:r w:rsidRPr="00AB36AE">
        <w:rPr>
          <w:sz w:val="18"/>
          <w:szCs w:val="18"/>
        </w:rPr>
        <w:t>A Lifetime of Power</w:t>
      </w:r>
      <w:r w:rsidR="00130195" w:rsidRPr="00AB36AE">
        <w:rPr>
          <w:sz w:val="18"/>
          <w:szCs w:val="18"/>
        </w:rPr>
        <w:t>”</w:t>
      </w:r>
      <w:r w:rsidRPr="00AB36AE">
        <w:rPr>
          <w:sz w:val="18"/>
          <w:szCs w:val="18"/>
        </w:rPr>
        <w:t>, 277-289.</w:t>
      </w:r>
    </w:p>
  </w:footnote>
  <w:footnote w:id="20">
    <w:p w14:paraId="5312B10C" w14:textId="77777777"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Tanner, </w:t>
      </w:r>
      <w:r w:rsidRPr="00AB36AE">
        <w:rPr>
          <w:i/>
          <w:iCs/>
          <w:sz w:val="18"/>
          <w:szCs w:val="18"/>
        </w:rPr>
        <w:t>Elite Women</w:t>
      </w:r>
      <w:r w:rsidRPr="00AB36AE">
        <w:rPr>
          <w:sz w:val="18"/>
          <w:szCs w:val="18"/>
        </w:rPr>
        <w:t xml:space="preserve">, 2. </w:t>
      </w:r>
    </w:p>
  </w:footnote>
  <w:footnote w:id="21">
    <w:p w14:paraId="0F1EFDC4" w14:textId="3E811C2F"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Fößel, </w:t>
      </w:r>
      <w:r w:rsidR="00130195" w:rsidRPr="00AB36AE">
        <w:rPr>
          <w:sz w:val="18"/>
          <w:szCs w:val="18"/>
        </w:rPr>
        <w:t>“</w:t>
      </w:r>
      <w:r w:rsidRPr="00AB36AE">
        <w:rPr>
          <w:sz w:val="18"/>
          <w:szCs w:val="18"/>
        </w:rPr>
        <w:t>Female Rulership</w:t>
      </w:r>
      <w:r w:rsidR="00F546EC" w:rsidRPr="00AB36AE">
        <w:rPr>
          <w:sz w:val="18"/>
          <w:szCs w:val="18"/>
        </w:rPr>
        <w:t xml:space="preserve">”, </w:t>
      </w:r>
      <w:r w:rsidRPr="00AB36AE">
        <w:rPr>
          <w:sz w:val="18"/>
          <w:szCs w:val="18"/>
        </w:rPr>
        <w:t xml:space="preserve">81. </w:t>
      </w:r>
    </w:p>
  </w:footnote>
  <w:footnote w:id="22">
    <w:p w14:paraId="32FA0AF7" w14:textId="0054F5C7"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Fößel, </w:t>
      </w:r>
      <w:r w:rsidR="00130195" w:rsidRPr="00AB36AE">
        <w:rPr>
          <w:sz w:val="18"/>
          <w:szCs w:val="18"/>
        </w:rPr>
        <w:t>“</w:t>
      </w:r>
      <w:r w:rsidRPr="00AB36AE">
        <w:rPr>
          <w:sz w:val="18"/>
          <w:szCs w:val="18"/>
        </w:rPr>
        <w:t>Female Rulership</w:t>
      </w:r>
      <w:r w:rsidR="00130195" w:rsidRPr="00AB36AE">
        <w:rPr>
          <w:sz w:val="18"/>
          <w:szCs w:val="18"/>
        </w:rPr>
        <w:t>”</w:t>
      </w:r>
      <w:r w:rsidRPr="00AB36AE">
        <w:rPr>
          <w:sz w:val="18"/>
          <w:szCs w:val="18"/>
        </w:rPr>
        <w:t xml:space="preserve">, 70. </w:t>
      </w:r>
    </w:p>
  </w:footnote>
  <w:footnote w:id="23">
    <w:p w14:paraId="3D837980" w14:textId="0692C653"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Fößel, </w:t>
      </w:r>
      <w:r w:rsidR="00130195" w:rsidRPr="00AB36AE">
        <w:rPr>
          <w:sz w:val="18"/>
          <w:szCs w:val="18"/>
        </w:rPr>
        <w:t>“</w:t>
      </w:r>
      <w:r w:rsidRPr="00AB36AE">
        <w:rPr>
          <w:sz w:val="18"/>
          <w:szCs w:val="18"/>
        </w:rPr>
        <w:t>Female Rulership</w:t>
      </w:r>
      <w:r w:rsidR="00130195" w:rsidRPr="00AB36AE">
        <w:rPr>
          <w:sz w:val="18"/>
          <w:szCs w:val="18"/>
        </w:rPr>
        <w:t>”</w:t>
      </w:r>
      <w:r w:rsidRPr="00AB36AE">
        <w:rPr>
          <w:sz w:val="18"/>
          <w:szCs w:val="18"/>
        </w:rPr>
        <w:t xml:space="preserve">, 81. </w:t>
      </w:r>
    </w:p>
  </w:footnote>
  <w:footnote w:id="24">
    <w:p w14:paraId="77D9002F" w14:textId="77777777"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Tanner, </w:t>
      </w:r>
      <w:r w:rsidRPr="00AB36AE">
        <w:rPr>
          <w:i/>
          <w:iCs/>
          <w:sz w:val="18"/>
          <w:szCs w:val="18"/>
        </w:rPr>
        <w:t>Elite Women</w:t>
      </w:r>
      <w:r w:rsidRPr="00AB36AE">
        <w:rPr>
          <w:sz w:val="18"/>
          <w:szCs w:val="18"/>
        </w:rPr>
        <w:t xml:space="preserve">, 3. </w:t>
      </w:r>
    </w:p>
  </w:footnote>
  <w:footnote w:id="25">
    <w:p w14:paraId="58D8BDEB" w14:textId="77777777" w:rsidR="008D7FD9" w:rsidRPr="00AB36AE" w:rsidRDefault="008D7FD9" w:rsidP="008D7FD9">
      <w:pPr>
        <w:pStyle w:val="FootnoteText"/>
        <w:rPr>
          <w:sz w:val="18"/>
          <w:szCs w:val="18"/>
        </w:rPr>
      </w:pPr>
      <w:r w:rsidRPr="00AB36AE">
        <w:rPr>
          <w:rStyle w:val="FootnoteReference"/>
          <w:sz w:val="18"/>
          <w:szCs w:val="18"/>
        </w:rPr>
        <w:footnoteRef/>
      </w:r>
      <w:r w:rsidRPr="00AB36AE">
        <w:rPr>
          <w:sz w:val="18"/>
          <w:szCs w:val="18"/>
        </w:rPr>
        <w:t xml:space="preserve"> Bianchini, “A Mirror for a Queen?”, 432-433, 451-455</w:t>
      </w:r>
    </w:p>
  </w:footnote>
  <w:footnote w:id="26">
    <w:p w14:paraId="135F0E02" w14:textId="31F188F8"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Earenfight, </w:t>
      </w:r>
      <w:r w:rsidR="00F546EC" w:rsidRPr="00AB36AE">
        <w:rPr>
          <w:sz w:val="18"/>
          <w:szCs w:val="18"/>
        </w:rPr>
        <w:t>“</w:t>
      </w:r>
      <w:r w:rsidRPr="00AB36AE">
        <w:rPr>
          <w:sz w:val="18"/>
          <w:szCs w:val="18"/>
        </w:rPr>
        <w:t>A Lifetime of Power</w:t>
      </w:r>
      <w:r w:rsidR="00F546EC" w:rsidRPr="00AB36AE">
        <w:rPr>
          <w:sz w:val="18"/>
          <w:szCs w:val="18"/>
        </w:rPr>
        <w:t>”</w:t>
      </w:r>
      <w:r w:rsidRPr="00AB36AE">
        <w:rPr>
          <w:sz w:val="18"/>
          <w:szCs w:val="18"/>
        </w:rPr>
        <w:t>, 271-273.</w:t>
      </w:r>
    </w:p>
  </w:footnote>
  <w:footnote w:id="27">
    <w:p w14:paraId="2E341FDE" w14:textId="0B5BC557" w:rsidR="00AB5733" w:rsidRPr="00AB36AE" w:rsidRDefault="00AB5733">
      <w:pPr>
        <w:pStyle w:val="FootnoteText"/>
        <w:rPr>
          <w:sz w:val="18"/>
          <w:szCs w:val="18"/>
          <w:lang w:val="en-US"/>
        </w:rPr>
      </w:pPr>
      <w:r w:rsidRPr="00AB36AE">
        <w:rPr>
          <w:rStyle w:val="FootnoteReference"/>
          <w:sz w:val="18"/>
          <w:szCs w:val="18"/>
        </w:rPr>
        <w:footnoteRef/>
      </w:r>
      <w:r w:rsidRPr="00AB36AE">
        <w:rPr>
          <w:sz w:val="18"/>
          <w:szCs w:val="18"/>
        </w:rPr>
        <w:t xml:space="preserve"> Earenfight, “A Lifetime of Power”, 273</w:t>
      </w:r>
      <w:r w:rsidR="006A7741" w:rsidRPr="00AB36AE">
        <w:rPr>
          <w:sz w:val="18"/>
          <w:szCs w:val="18"/>
        </w:rPr>
        <w:t>, 276-277.</w:t>
      </w:r>
    </w:p>
  </w:footnote>
  <w:footnote w:id="28">
    <w:p w14:paraId="40A91BBF" w14:textId="7E2256B0"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Earenfight, </w:t>
      </w:r>
      <w:r w:rsidR="00911443" w:rsidRPr="00AB36AE">
        <w:rPr>
          <w:sz w:val="18"/>
          <w:szCs w:val="18"/>
        </w:rPr>
        <w:t>“</w:t>
      </w:r>
      <w:r w:rsidRPr="00AB36AE">
        <w:rPr>
          <w:sz w:val="18"/>
          <w:szCs w:val="18"/>
        </w:rPr>
        <w:t>A Lifetime of Power</w:t>
      </w:r>
      <w:r w:rsidR="00911443" w:rsidRPr="00AB36AE">
        <w:rPr>
          <w:sz w:val="18"/>
          <w:szCs w:val="18"/>
        </w:rPr>
        <w:t>”</w:t>
      </w:r>
      <w:r w:rsidRPr="00AB36AE">
        <w:rPr>
          <w:sz w:val="18"/>
          <w:szCs w:val="18"/>
        </w:rPr>
        <w:t xml:space="preserve">, 275. </w:t>
      </w:r>
    </w:p>
  </w:footnote>
  <w:footnote w:id="29">
    <w:p w14:paraId="329A50FE" w14:textId="3577C08E"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Thomas, </w:t>
      </w:r>
      <w:r w:rsidR="00290FF0" w:rsidRPr="00AB36AE">
        <w:rPr>
          <w:sz w:val="18"/>
          <w:szCs w:val="18"/>
        </w:rPr>
        <w:t>“</w:t>
      </w:r>
      <w:r w:rsidRPr="00AB36AE">
        <w:rPr>
          <w:sz w:val="18"/>
          <w:szCs w:val="18"/>
        </w:rPr>
        <w:t>Historicising Agency</w:t>
      </w:r>
      <w:r w:rsidR="00290FF0" w:rsidRPr="00AB36AE">
        <w:rPr>
          <w:sz w:val="18"/>
          <w:szCs w:val="18"/>
        </w:rPr>
        <w:t>”</w:t>
      </w:r>
      <w:r w:rsidRPr="00AB36AE">
        <w:rPr>
          <w:sz w:val="18"/>
          <w:szCs w:val="18"/>
        </w:rPr>
        <w:t>, 324-326, 329-334</w:t>
      </w:r>
      <w:r w:rsidR="00290FF0" w:rsidRPr="00AB36AE">
        <w:rPr>
          <w:sz w:val="18"/>
          <w:szCs w:val="18"/>
        </w:rPr>
        <w:t>.</w:t>
      </w:r>
    </w:p>
  </w:footnote>
  <w:footnote w:id="30">
    <w:p w14:paraId="6521FB9C" w14:textId="15F9511C"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Delameillieure, </w:t>
      </w:r>
      <w:r w:rsidR="00D834F6" w:rsidRPr="00AB36AE">
        <w:rPr>
          <w:sz w:val="18"/>
          <w:szCs w:val="18"/>
        </w:rPr>
        <w:t>“</w:t>
      </w:r>
      <w:r w:rsidRPr="00AB36AE">
        <w:rPr>
          <w:sz w:val="18"/>
          <w:szCs w:val="18"/>
        </w:rPr>
        <w:t>Contentious consent</w:t>
      </w:r>
      <w:r w:rsidR="00D834F6" w:rsidRPr="00AB36AE">
        <w:rPr>
          <w:sz w:val="18"/>
          <w:szCs w:val="18"/>
        </w:rPr>
        <w:t xml:space="preserve">”, </w:t>
      </w:r>
      <w:r w:rsidRPr="00AB36AE">
        <w:rPr>
          <w:sz w:val="18"/>
          <w:szCs w:val="18"/>
        </w:rPr>
        <w:t xml:space="preserve">11-12. </w:t>
      </w:r>
    </w:p>
  </w:footnote>
  <w:footnote w:id="31">
    <w:p w14:paraId="7FBC96AA" w14:textId="77777777" w:rsidR="00913F16" w:rsidRPr="00AB36AE" w:rsidRDefault="00913F16" w:rsidP="00913F16">
      <w:pPr>
        <w:pStyle w:val="FootnoteText"/>
        <w:rPr>
          <w:sz w:val="18"/>
          <w:szCs w:val="18"/>
        </w:rPr>
      </w:pPr>
      <w:r w:rsidRPr="00AB36AE">
        <w:rPr>
          <w:rStyle w:val="FootnoteReference"/>
          <w:sz w:val="18"/>
          <w:szCs w:val="18"/>
        </w:rPr>
        <w:footnoteRef/>
      </w:r>
      <w:r w:rsidRPr="00AB36AE">
        <w:rPr>
          <w:sz w:val="18"/>
          <w:szCs w:val="18"/>
        </w:rPr>
        <w:t xml:space="preserve"> Howell, “The Problem of Women’s Agency”, 23-35. </w:t>
      </w:r>
    </w:p>
  </w:footnote>
  <w:footnote w:id="32">
    <w:p w14:paraId="1D4C9C76" w14:textId="42382E48"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Depreter,</w:t>
      </w:r>
      <w:r w:rsidR="00D40A3D" w:rsidRPr="00AB36AE">
        <w:rPr>
          <w:sz w:val="18"/>
          <w:szCs w:val="18"/>
        </w:rPr>
        <w:t xml:space="preserve"> e.a., “</w:t>
      </w:r>
      <w:r w:rsidRPr="00AB36AE">
        <w:rPr>
          <w:sz w:val="18"/>
          <w:szCs w:val="18"/>
        </w:rPr>
        <w:t>Mary of Burgundy</w:t>
      </w:r>
      <w:r w:rsidR="00D40A3D" w:rsidRPr="00AB36AE">
        <w:rPr>
          <w:sz w:val="18"/>
          <w:szCs w:val="18"/>
        </w:rPr>
        <w:t>”</w:t>
      </w:r>
      <w:r w:rsidR="00EA35EA" w:rsidRPr="00AB36AE">
        <w:rPr>
          <w:sz w:val="18"/>
          <w:szCs w:val="18"/>
        </w:rPr>
        <w:t xml:space="preserve">, </w:t>
      </w:r>
      <w:r w:rsidRPr="00AB36AE">
        <w:rPr>
          <w:sz w:val="18"/>
          <w:szCs w:val="18"/>
        </w:rPr>
        <w:t>17.</w:t>
      </w:r>
    </w:p>
  </w:footnote>
  <w:footnote w:id="33">
    <w:p w14:paraId="1F1B0A39" w14:textId="598BBAF9"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Fletcher, </w:t>
      </w:r>
      <w:r w:rsidR="00EB0E83" w:rsidRPr="00AB36AE">
        <w:rPr>
          <w:sz w:val="18"/>
          <w:szCs w:val="18"/>
        </w:rPr>
        <w:t>“</w:t>
      </w:r>
      <w:r w:rsidRPr="00AB36AE">
        <w:rPr>
          <w:sz w:val="18"/>
          <w:szCs w:val="18"/>
        </w:rPr>
        <w:t xml:space="preserve">Review van Theresa Earenfight, </w:t>
      </w:r>
      <w:r w:rsidRPr="00AB36AE">
        <w:rPr>
          <w:i/>
          <w:sz w:val="18"/>
          <w:szCs w:val="18"/>
        </w:rPr>
        <w:t>Queenshi</w:t>
      </w:r>
      <w:r w:rsidR="00334326" w:rsidRPr="00AB36AE">
        <w:rPr>
          <w:i/>
          <w:sz w:val="18"/>
          <w:szCs w:val="18"/>
        </w:rPr>
        <w:t>p</w:t>
      </w:r>
      <w:r w:rsidR="00334326" w:rsidRPr="00AB36AE">
        <w:rPr>
          <w:iCs/>
          <w:sz w:val="18"/>
          <w:szCs w:val="18"/>
        </w:rPr>
        <w:t>”,</w:t>
      </w:r>
      <w:r w:rsidRPr="00AB36AE">
        <w:rPr>
          <w:sz w:val="18"/>
          <w:szCs w:val="18"/>
        </w:rPr>
        <w:t xml:space="preserve"> 424. </w:t>
      </w:r>
    </w:p>
  </w:footnote>
  <w:footnote w:id="34">
    <w:p w14:paraId="6B63FEC0" w14:textId="1AD4AC56" w:rsidR="00347160" w:rsidRPr="00AB36AE" w:rsidRDefault="00347160" w:rsidP="00347160">
      <w:pPr>
        <w:pStyle w:val="FootnoteText"/>
        <w:rPr>
          <w:sz w:val="18"/>
          <w:szCs w:val="18"/>
          <w:lang w:val="nl-NL"/>
        </w:rPr>
      </w:pPr>
      <w:r w:rsidRPr="00AB36AE">
        <w:rPr>
          <w:rStyle w:val="FootnoteReference"/>
          <w:sz w:val="18"/>
          <w:szCs w:val="18"/>
        </w:rPr>
        <w:footnoteRef/>
      </w:r>
      <w:r w:rsidRPr="00AB36AE">
        <w:rPr>
          <w:sz w:val="18"/>
          <w:szCs w:val="18"/>
        </w:rPr>
        <w:t xml:space="preserve"> </w:t>
      </w:r>
      <w:r w:rsidRPr="00AB36AE">
        <w:rPr>
          <w:sz w:val="18"/>
          <w:szCs w:val="18"/>
          <w:lang w:val="nl-NL"/>
        </w:rPr>
        <w:t>Pennington</w:t>
      </w:r>
      <w:r w:rsidR="00340407" w:rsidRPr="00AB36AE">
        <w:rPr>
          <w:sz w:val="18"/>
          <w:szCs w:val="18"/>
          <w:lang w:val="nl-NL"/>
        </w:rPr>
        <w:t xml:space="preserve">; </w:t>
      </w:r>
      <w:r w:rsidRPr="00AB36AE">
        <w:rPr>
          <w:sz w:val="18"/>
          <w:szCs w:val="18"/>
          <w:lang w:val="nl-NL"/>
        </w:rPr>
        <w:t xml:space="preserve">Napolitano, </w:t>
      </w:r>
      <w:r w:rsidRPr="00AB36AE">
        <w:rPr>
          <w:i/>
          <w:iCs/>
          <w:sz w:val="18"/>
          <w:szCs w:val="18"/>
          <w:lang w:val="nl-NL"/>
        </w:rPr>
        <w:t>A cultural history of democracy</w:t>
      </w:r>
      <w:r w:rsidR="00340407" w:rsidRPr="00AB36AE">
        <w:rPr>
          <w:sz w:val="18"/>
          <w:szCs w:val="18"/>
          <w:lang w:val="nl-NL"/>
        </w:rPr>
        <w:t xml:space="preserve">, </w:t>
      </w:r>
      <w:r w:rsidRPr="00AB36AE">
        <w:rPr>
          <w:sz w:val="18"/>
          <w:szCs w:val="18"/>
          <w:lang w:val="nl-NL"/>
        </w:rPr>
        <w:t>11-12.</w:t>
      </w:r>
    </w:p>
  </w:footnote>
  <w:footnote w:id="35">
    <w:p w14:paraId="763107FA" w14:textId="4B045614" w:rsidR="00347160" w:rsidRPr="00AB36AE" w:rsidRDefault="00347160" w:rsidP="00347160">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w:t>
      </w:r>
      <w:r w:rsidR="00340407" w:rsidRPr="00AB36AE">
        <w:rPr>
          <w:sz w:val="18"/>
          <w:szCs w:val="18"/>
          <w:lang w:val="nl-NL"/>
        </w:rPr>
        <w:t xml:space="preserve">Fletcher, “Review van Theresa Earenfight, </w:t>
      </w:r>
      <w:r w:rsidR="00340407" w:rsidRPr="00AB36AE">
        <w:rPr>
          <w:i/>
          <w:sz w:val="18"/>
          <w:szCs w:val="18"/>
          <w:lang w:val="nl-NL"/>
        </w:rPr>
        <w:t>Queenship</w:t>
      </w:r>
      <w:r w:rsidR="00340407" w:rsidRPr="00AB36AE">
        <w:rPr>
          <w:iCs/>
          <w:sz w:val="18"/>
          <w:szCs w:val="18"/>
          <w:lang w:val="nl-NL"/>
        </w:rPr>
        <w:t>”,</w:t>
      </w:r>
      <w:r w:rsidRPr="00AB36AE">
        <w:rPr>
          <w:sz w:val="18"/>
          <w:szCs w:val="18"/>
          <w:lang w:val="nl-NL"/>
        </w:rPr>
        <w:t xml:space="preserve"> 426. </w:t>
      </w:r>
    </w:p>
  </w:footnote>
  <w:footnote w:id="36">
    <w:p w14:paraId="520C082A" w14:textId="6A3F0407" w:rsidR="00347160" w:rsidRPr="00AB36AE" w:rsidRDefault="00347160" w:rsidP="000F23E3">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Poullet, </w:t>
      </w:r>
      <w:r w:rsidR="000F23E3" w:rsidRPr="00AB36AE">
        <w:rPr>
          <w:sz w:val="18"/>
          <w:szCs w:val="18"/>
          <w:lang w:val="nl-NL"/>
        </w:rPr>
        <w:t>“</w:t>
      </w:r>
      <w:r w:rsidRPr="00AB36AE">
        <w:rPr>
          <w:sz w:val="18"/>
          <w:szCs w:val="18"/>
          <w:lang w:val="nl-NL"/>
        </w:rPr>
        <w:t>Sur la Joyeuse-Entrée ou Constitution brabançonne</w:t>
      </w:r>
      <w:r w:rsidR="000F23E3" w:rsidRPr="00AB36AE">
        <w:rPr>
          <w:sz w:val="18"/>
          <w:szCs w:val="18"/>
          <w:lang w:val="nl-NL"/>
        </w:rPr>
        <w:t>” </w:t>
      </w:r>
      <w:r w:rsidR="000F23E3" w:rsidRPr="00AB36AE">
        <w:rPr>
          <w:i/>
          <w:sz w:val="18"/>
          <w:szCs w:val="18"/>
          <w:lang w:val="nl-NL"/>
        </w:rPr>
        <w:t>,</w:t>
      </w:r>
      <w:r w:rsidRPr="00AB36AE">
        <w:rPr>
          <w:sz w:val="18"/>
          <w:szCs w:val="18"/>
          <w:lang w:val="nl-NL"/>
        </w:rPr>
        <w:t>54-59.</w:t>
      </w:r>
    </w:p>
  </w:footnote>
  <w:footnote w:id="37">
    <w:p w14:paraId="32A22753" w14:textId="558F45F1" w:rsidR="00347160" w:rsidRPr="00AB36AE" w:rsidRDefault="00347160" w:rsidP="00347160">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w:t>
      </w:r>
      <w:r w:rsidR="004F78A3" w:rsidRPr="00AB36AE">
        <w:rPr>
          <w:sz w:val="18"/>
          <w:szCs w:val="18"/>
          <w:lang w:val="nl-NL"/>
        </w:rPr>
        <w:t>Pirenne, “Jeanne”, 462.</w:t>
      </w:r>
    </w:p>
  </w:footnote>
  <w:footnote w:id="38">
    <w:p w14:paraId="7F9D64AE" w14:textId="20D0F57A" w:rsidR="000A2A96" w:rsidRPr="00AB36AE" w:rsidRDefault="000A2A96" w:rsidP="000A2A96">
      <w:pPr>
        <w:pStyle w:val="FootnoteText"/>
        <w:rPr>
          <w:sz w:val="18"/>
          <w:szCs w:val="18"/>
          <w:lang w:val="fr-FR"/>
        </w:rPr>
      </w:pPr>
      <w:r w:rsidRPr="00AB36AE">
        <w:rPr>
          <w:rStyle w:val="FootnoteReference"/>
          <w:sz w:val="18"/>
          <w:szCs w:val="18"/>
          <w:lang w:val="nl-NL"/>
        </w:rPr>
        <w:footnoteRef/>
      </w:r>
      <w:r w:rsidRPr="00AB36AE">
        <w:rPr>
          <w:sz w:val="18"/>
          <w:szCs w:val="18"/>
          <w:lang w:val="nl-NL"/>
        </w:rPr>
        <w:t xml:space="preserve"> Pirenne, </w:t>
      </w:r>
      <w:r w:rsidR="004F78A3" w:rsidRPr="00AB36AE">
        <w:rPr>
          <w:sz w:val="18"/>
          <w:szCs w:val="18"/>
          <w:lang w:val="nl-NL"/>
        </w:rPr>
        <w:t>“</w:t>
      </w:r>
      <w:r w:rsidRPr="00AB36AE">
        <w:rPr>
          <w:sz w:val="18"/>
          <w:szCs w:val="18"/>
          <w:lang w:val="nl-NL"/>
        </w:rPr>
        <w:t>Jeanne</w:t>
      </w:r>
      <w:r w:rsidR="004F78A3" w:rsidRPr="00AB36AE">
        <w:rPr>
          <w:sz w:val="18"/>
          <w:szCs w:val="18"/>
          <w:lang w:val="nl-NL"/>
        </w:rPr>
        <w:t xml:space="preserve">”, </w:t>
      </w:r>
      <w:r w:rsidRPr="00AB36AE">
        <w:rPr>
          <w:sz w:val="18"/>
          <w:szCs w:val="18"/>
          <w:lang w:val="nl-NL"/>
        </w:rPr>
        <w:t>462.</w:t>
      </w:r>
      <w:r w:rsidRPr="00AB36AE">
        <w:rPr>
          <w:sz w:val="18"/>
          <w:szCs w:val="18"/>
          <w:lang w:val="fr-BE"/>
        </w:rPr>
        <w:t xml:space="preserve"> </w:t>
      </w:r>
    </w:p>
  </w:footnote>
  <w:footnote w:id="39">
    <w:p w14:paraId="41A8103C" w14:textId="06FBA3D6" w:rsidR="00347160" w:rsidRPr="00AB36AE" w:rsidRDefault="00347160" w:rsidP="00347160">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Pinchart, </w:t>
      </w:r>
      <w:r w:rsidR="009F18A7" w:rsidRPr="00AB36AE">
        <w:rPr>
          <w:sz w:val="18"/>
          <w:szCs w:val="18"/>
          <w:lang w:val="nl-NL"/>
        </w:rPr>
        <w:t>“</w:t>
      </w:r>
      <w:r w:rsidRPr="00AB36AE">
        <w:rPr>
          <w:sz w:val="18"/>
          <w:szCs w:val="18"/>
          <w:lang w:val="nl-NL"/>
        </w:rPr>
        <w:t>La cour de Jeanne et de Wenceslas</w:t>
      </w:r>
      <w:r w:rsidR="009F18A7" w:rsidRPr="00AB36AE">
        <w:rPr>
          <w:sz w:val="18"/>
          <w:szCs w:val="18"/>
          <w:lang w:val="nl-NL"/>
        </w:rPr>
        <w:t xml:space="preserve">”, deel 1, </w:t>
      </w:r>
      <w:r w:rsidRPr="00AB36AE">
        <w:rPr>
          <w:sz w:val="18"/>
          <w:szCs w:val="18"/>
          <w:lang w:val="nl-NL"/>
        </w:rPr>
        <w:t xml:space="preserve">6-7. </w:t>
      </w:r>
    </w:p>
  </w:footnote>
  <w:footnote w:id="40">
    <w:p w14:paraId="6783AC0E" w14:textId="565DE4D8" w:rsidR="00347160" w:rsidRPr="00AB36AE" w:rsidRDefault="00347160" w:rsidP="00347160">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Pinchart, </w:t>
      </w:r>
      <w:r w:rsidR="009F18A7" w:rsidRPr="00AB36AE">
        <w:rPr>
          <w:sz w:val="18"/>
          <w:szCs w:val="18"/>
          <w:lang w:val="nl-NL"/>
        </w:rPr>
        <w:t>“</w:t>
      </w:r>
      <w:r w:rsidRPr="00AB36AE">
        <w:rPr>
          <w:sz w:val="18"/>
          <w:szCs w:val="18"/>
          <w:lang w:val="nl-NL"/>
        </w:rPr>
        <w:t>La cour de Jeanne et de Wenceslas</w:t>
      </w:r>
      <w:r w:rsidR="009F18A7" w:rsidRPr="00AB36AE">
        <w:rPr>
          <w:sz w:val="18"/>
          <w:szCs w:val="18"/>
          <w:lang w:val="nl-NL"/>
        </w:rPr>
        <w:t xml:space="preserve">”, deel 2, </w:t>
      </w:r>
      <w:r w:rsidRPr="00AB36AE">
        <w:rPr>
          <w:sz w:val="18"/>
          <w:szCs w:val="18"/>
          <w:lang w:val="nl-NL"/>
        </w:rPr>
        <w:t>26.</w:t>
      </w:r>
    </w:p>
  </w:footnote>
  <w:footnote w:id="41">
    <w:p w14:paraId="190DED29" w14:textId="75A4C467" w:rsidR="00146E3C" w:rsidRPr="00AB36AE" w:rsidRDefault="00146E3C" w:rsidP="00146E3C">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Henri</w:t>
      </w:r>
      <w:r w:rsidR="00747579" w:rsidRPr="00AB36AE">
        <w:rPr>
          <w:sz w:val="18"/>
          <w:szCs w:val="18"/>
          <w:lang w:val="nl-NL"/>
        </w:rPr>
        <w:t>; Quicke, Les</w:t>
      </w:r>
      <w:r w:rsidRPr="00AB36AE">
        <w:rPr>
          <w:i/>
          <w:sz w:val="18"/>
          <w:szCs w:val="18"/>
          <w:lang w:val="nl-NL"/>
        </w:rPr>
        <w:t xml:space="preserve"> origines de l’Etat bourguignon</w:t>
      </w:r>
      <w:r w:rsidR="00747579" w:rsidRPr="00AB36AE">
        <w:rPr>
          <w:i/>
          <w:sz w:val="18"/>
          <w:szCs w:val="18"/>
          <w:lang w:val="nl-NL"/>
        </w:rPr>
        <w:t xml:space="preserve">, </w:t>
      </w:r>
      <w:r w:rsidRPr="00AB36AE">
        <w:rPr>
          <w:sz w:val="18"/>
          <w:szCs w:val="18"/>
          <w:lang w:val="nl-NL"/>
        </w:rPr>
        <w:t xml:space="preserve">78. </w:t>
      </w:r>
    </w:p>
  </w:footnote>
  <w:footnote w:id="42">
    <w:p w14:paraId="7ACDEA66" w14:textId="4579089F" w:rsidR="00347160" w:rsidRPr="00AB36AE" w:rsidRDefault="00347160" w:rsidP="00347160">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Pièrard, </w:t>
      </w:r>
      <w:r w:rsidR="00747579" w:rsidRPr="00AB36AE">
        <w:rPr>
          <w:sz w:val="18"/>
          <w:szCs w:val="18"/>
          <w:lang w:val="nl-NL"/>
        </w:rPr>
        <w:t>“</w:t>
      </w:r>
      <w:r w:rsidRPr="00AB36AE">
        <w:rPr>
          <w:sz w:val="18"/>
          <w:szCs w:val="18"/>
          <w:lang w:val="nl-NL"/>
        </w:rPr>
        <w:t>Les douaires</w:t>
      </w:r>
      <w:r w:rsidR="00747579" w:rsidRPr="00AB36AE">
        <w:rPr>
          <w:sz w:val="18"/>
          <w:szCs w:val="18"/>
          <w:lang w:val="nl-NL"/>
        </w:rPr>
        <w:t xml:space="preserve">”, </w:t>
      </w:r>
      <w:r w:rsidRPr="00AB36AE">
        <w:rPr>
          <w:sz w:val="18"/>
          <w:szCs w:val="18"/>
          <w:lang w:val="nl-NL"/>
        </w:rPr>
        <w:t xml:space="preserve">31-32, 47. </w:t>
      </w:r>
    </w:p>
  </w:footnote>
  <w:footnote w:id="43">
    <w:p w14:paraId="48A655BF" w14:textId="326B14EA" w:rsidR="00347160" w:rsidRPr="00AB36AE" w:rsidRDefault="00347160" w:rsidP="00347160">
      <w:pPr>
        <w:pStyle w:val="FootnoteText"/>
        <w:rPr>
          <w:sz w:val="18"/>
          <w:szCs w:val="18"/>
          <w:lang w:val="fr-BE"/>
        </w:rPr>
      </w:pPr>
      <w:r w:rsidRPr="00AB36AE">
        <w:rPr>
          <w:rStyle w:val="FootnoteReference"/>
          <w:sz w:val="18"/>
          <w:szCs w:val="18"/>
          <w:lang w:val="nl-NL"/>
        </w:rPr>
        <w:footnoteRef/>
      </w:r>
      <w:r w:rsidRPr="00AB36AE">
        <w:rPr>
          <w:sz w:val="18"/>
          <w:szCs w:val="18"/>
          <w:lang w:val="nl-NL"/>
        </w:rPr>
        <w:t xml:space="preserve"> Pièrard, </w:t>
      </w:r>
      <w:r w:rsidR="00747579" w:rsidRPr="00AB36AE">
        <w:rPr>
          <w:sz w:val="18"/>
          <w:szCs w:val="18"/>
          <w:lang w:val="nl-NL"/>
        </w:rPr>
        <w:t>“</w:t>
      </w:r>
      <w:r w:rsidRPr="00AB36AE">
        <w:rPr>
          <w:sz w:val="18"/>
          <w:szCs w:val="18"/>
          <w:lang w:val="nl-NL"/>
        </w:rPr>
        <w:t>Les douaires</w:t>
      </w:r>
      <w:r w:rsidR="00747579" w:rsidRPr="00AB36AE">
        <w:rPr>
          <w:sz w:val="18"/>
          <w:szCs w:val="18"/>
          <w:lang w:val="nl-NL"/>
        </w:rPr>
        <w:t>”</w:t>
      </w:r>
      <w:r w:rsidRPr="00AB36AE">
        <w:rPr>
          <w:sz w:val="18"/>
          <w:szCs w:val="18"/>
          <w:lang w:val="nl-NL"/>
        </w:rPr>
        <w:t>, 85</w:t>
      </w:r>
      <w:r w:rsidRPr="00AB36AE">
        <w:rPr>
          <w:sz w:val="18"/>
          <w:szCs w:val="18"/>
          <w:lang w:val="fr-BE"/>
        </w:rPr>
        <w:t xml:space="preserve">. </w:t>
      </w:r>
    </w:p>
  </w:footnote>
  <w:footnote w:id="44">
    <w:p w14:paraId="3034629E" w14:textId="1B7EA746" w:rsidR="00347160" w:rsidRPr="00AB36AE" w:rsidRDefault="00347160" w:rsidP="00347160">
      <w:pPr>
        <w:pStyle w:val="FootnoteText"/>
        <w:rPr>
          <w:sz w:val="18"/>
          <w:szCs w:val="18"/>
          <w:lang w:val="fr-BE"/>
        </w:rPr>
      </w:pPr>
      <w:r w:rsidRPr="00AB36AE">
        <w:rPr>
          <w:rStyle w:val="FootnoteReference"/>
          <w:sz w:val="18"/>
          <w:szCs w:val="18"/>
        </w:rPr>
        <w:footnoteRef/>
      </w:r>
      <w:r w:rsidRPr="00AB36AE">
        <w:rPr>
          <w:sz w:val="18"/>
          <w:szCs w:val="18"/>
          <w:lang w:val="fr-BE"/>
        </w:rPr>
        <w:t xml:space="preserve"> Uyttebrouck, </w:t>
      </w:r>
      <w:r w:rsidRPr="00AB36AE">
        <w:rPr>
          <w:i/>
          <w:sz w:val="18"/>
          <w:szCs w:val="18"/>
          <w:lang w:val="fr-BE"/>
        </w:rPr>
        <w:t>Le gouvernement</w:t>
      </w:r>
      <w:r w:rsidR="00747579" w:rsidRPr="00AB36AE">
        <w:rPr>
          <w:i/>
          <w:sz w:val="18"/>
          <w:szCs w:val="18"/>
          <w:lang w:val="fr-BE"/>
        </w:rPr>
        <w:t xml:space="preserve">, </w:t>
      </w:r>
      <w:r w:rsidRPr="00AB36AE">
        <w:rPr>
          <w:sz w:val="18"/>
          <w:szCs w:val="18"/>
          <w:lang w:val="fr-BE"/>
        </w:rPr>
        <w:t xml:space="preserve">141. </w:t>
      </w:r>
    </w:p>
  </w:footnote>
  <w:footnote w:id="45">
    <w:p w14:paraId="7E07E2AA" w14:textId="41784749" w:rsidR="009E035F" w:rsidRPr="00AB36AE" w:rsidRDefault="009E035F">
      <w:pPr>
        <w:pStyle w:val="FootnoteText"/>
        <w:rPr>
          <w:sz w:val="18"/>
          <w:szCs w:val="18"/>
          <w:lang w:val="en-US"/>
        </w:rPr>
      </w:pPr>
      <w:r w:rsidRPr="00AB36AE">
        <w:rPr>
          <w:rStyle w:val="FootnoteReference"/>
          <w:sz w:val="18"/>
          <w:szCs w:val="18"/>
        </w:rPr>
        <w:footnoteRef/>
      </w:r>
      <w:r w:rsidRPr="00AB36AE">
        <w:rPr>
          <w:sz w:val="18"/>
          <w:szCs w:val="18"/>
        </w:rPr>
        <w:t xml:space="preserve"> </w:t>
      </w:r>
      <w:r w:rsidR="00AC5DDE" w:rsidRPr="00AB36AE">
        <w:rPr>
          <w:sz w:val="18"/>
          <w:szCs w:val="18"/>
          <w:lang w:val="fr-FR"/>
        </w:rPr>
        <w:t xml:space="preserve">Uyttebrouck, </w:t>
      </w:r>
      <w:r w:rsidR="00AC5DDE" w:rsidRPr="00AB36AE">
        <w:rPr>
          <w:i/>
          <w:iCs/>
          <w:sz w:val="18"/>
          <w:szCs w:val="18"/>
          <w:lang w:val="fr-FR"/>
        </w:rPr>
        <w:t xml:space="preserve">Le gouvernement, </w:t>
      </w:r>
      <w:r w:rsidR="00B3229D" w:rsidRPr="00AB36AE">
        <w:rPr>
          <w:sz w:val="18"/>
          <w:szCs w:val="18"/>
          <w:lang w:val="fr-FR"/>
        </w:rPr>
        <w:t>32-33.</w:t>
      </w:r>
    </w:p>
  </w:footnote>
  <w:footnote w:id="46">
    <w:p w14:paraId="64B82641" w14:textId="77777777" w:rsidR="00347160" w:rsidRPr="00AB36AE" w:rsidRDefault="00347160" w:rsidP="00347160">
      <w:pPr>
        <w:pStyle w:val="FootnoteText"/>
        <w:rPr>
          <w:sz w:val="18"/>
          <w:szCs w:val="18"/>
          <w:lang w:val="fr-FR"/>
        </w:rPr>
      </w:pPr>
      <w:r w:rsidRPr="00AB36AE">
        <w:rPr>
          <w:rStyle w:val="FootnoteReference"/>
          <w:sz w:val="18"/>
          <w:szCs w:val="18"/>
        </w:rPr>
        <w:footnoteRef/>
      </w:r>
      <w:r w:rsidRPr="00AB36AE">
        <w:rPr>
          <w:sz w:val="18"/>
          <w:szCs w:val="18"/>
          <w:lang w:val="fr-FR"/>
        </w:rPr>
        <w:t xml:space="preserve"> Uyttebrouck, </w:t>
      </w:r>
      <w:r w:rsidRPr="00AB36AE">
        <w:rPr>
          <w:i/>
          <w:iCs/>
          <w:sz w:val="18"/>
          <w:szCs w:val="18"/>
          <w:lang w:val="fr-FR"/>
        </w:rPr>
        <w:t xml:space="preserve">Le gouvernement, </w:t>
      </w:r>
      <w:r w:rsidRPr="00AB36AE">
        <w:rPr>
          <w:sz w:val="18"/>
          <w:szCs w:val="18"/>
          <w:lang w:val="fr-FR"/>
        </w:rPr>
        <w:t>141</w:t>
      </w:r>
      <w:r w:rsidRPr="00AB36AE">
        <w:rPr>
          <w:i/>
          <w:iCs/>
          <w:sz w:val="18"/>
          <w:szCs w:val="18"/>
          <w:lang w:val="fr-FR"/>
        </w:rPr>
        <w:t xml:space="preserve">, </w:t>
      </w:r>
      <w:r w:rsidRPr="00AB36AE">
        <w:rPr>
          <w:sz w:val="18"/>
          <w:szCs w:val="18"/>
          <w:lang w:val="fr-FR"/>
        </w:rPr>
        <w:t>149 .</w:t>
      </w:r>
    </w:p>
  </w:footnote>
  <w:footnote w:id="47">
    <w:p w14:paraId="45FD8760" w14:textId="2836F88A" w:rsidR="00347160" w:rsidRPr="00AB36AE" w:rsidRDefault="00347160" w:rsidP="00347160">
      <w:pPr>
        <w:pStyle w:val="FootnoteText"/>
        <w:rPr>
          <w:sz w:val="18"/>
          <w:szCs w:val="18"/>
          <w:lang w:val="fr-BE"/>
        </w:rPr>
      </w:pPr>
      <w:r w:rsidRPr="00AB36AE">
        <w:rPr>
          <w:rStyle w:val="FootnoteReference"/>
          <w:sz w:val="18"/>
          <w:szCs w:val="18"/>
        </w:rPr>
        <w:footnoteRef/>
      </w:r>
      <w:r w:rsidRPr="00AB36AE">
        <w:rPr>
          <w:sz w:val="18"/>
          <w:szCs w:val="18"/>
          <w:lang w:val="fr-FR"/>
        </w:rPr>
        <w:t xml:space="preserve"> </w:t>
      </w:r>
      <w:r w:rsidRPr="00AB36AE">
        <w:rPr>
          <w:sz w:val="18"/>
          <w:szCs w:val="18"/>
          <w:lang w:val="fr-BE"/>
        </w:rPr>
        <w:t>Van ’t Land, “Prince ende vrouwe der lande vorscreven”, 107.</w:t>
      </w:r>
    </w:p>
  </w:footnote>
  <w:footnote w:id="48">
    <w:p w14:paraId="3F53AC8E" w14:textId="3677A24C" w:rsidR="00DC0E84" w:rsidRPr="00AB36AE" w:rsidRDefault="00B12D8F">
      <w:pPr>
        <w:pStyle w:val="FootnoteText"/>
        <w:rPr>
          <w:sz w:val="18"/>
          <w:szCs w:val="18"/>
          <w:lang w:val="en-US"/>
        </w:rPr>
      </w:pPr>
      <w:r w:rsidRPr="00AB36AE">
        <w:rPr>
          <w:rStyle w:val="FootnoteReference"/>
          <w:sz w:val="18"/>
          <w:szCs w:val="18"/>
        </w:rPr>
        <w:footnoteRef/>
      </w:r>
      <w:r w:rsidRPr="00AB36AE">
        <w:rPr>
          <w:sz w:val="18"/>
          <w:szCs w:val="18"/>
        </w:rPr>
        <w:t xml:space="preserve"> </w:t>
      </w:r>
      <w:r w:rsidR="0009484F" w:rsidRPr="00AB36AE">
        <w:rPr>
          <w:sz w:val="18"/>
          <w:szCs w:val="18"/>
          <w:lang w:val="en-BE"/>
        </w:rPr>
        <w:t xml:space="preserve">Voor de Brabantse Yeesten als didactisch pamflet in context van stedelijke opstanden, zie: </w:t>
      </w:r>
      <w:r w:rsidR="00DC0E84" w:rsidRPr="00AB36AE">
        <w:rPr>
          <w:sz w:val="18"/>
          <w:szCs w:val="18"/>
          <w:lang w:val="en-BE"/>
        </w:rPr>
        <w:t>De Boodt, “Hoe haer die ghemeente sette jeghen die heren”</w:t>
      </w:r>
      <w:r w:rsidR="0009484F" w:rsidRPr="00AB36AE">
        <w:rPr>
          <w:sz w:val="18"/>
          <w:szCs w:val="18"/>
          <w:lang w:val="en-BE"/>
        </w:rPr>
        <w:t xml:space="preserve">, 22-23. </w:t>
      </w:r>
    </w:p>
  </w:footnote>
  <w:footnote w:id="49">
    <w:p w14:paraId="14E72527" w14:textId="3C4AD6CC" w:rsidR="00BD3B94" w:rsidRPr="00AB36AE" w:rsidRDefault="00BD3B94" w:rsidP="00BD3B94">
      <w:pPr>
        <w:pStyle w:val="FootnoteText"/>
        <w:rPr>
          <w:sz w:val="18"/>
          <w:szCs w:val="18"/>
        </w:rPr>
      </w:pPr>
      <w:r w:rsidRPr="00AB36AE">
        <w:rPr>
          <w:rStyle w:val="FootnoteReference"/>
          <w:sz w:val="18"/>
          <w:szCs w:val="18"/>
        </w:rPr>
        <w:footnoteRef/>
      </w:r>
      <w:r w:rsidRPr="00AB36AE">
        <w:rPr>
          <w:sz w:val="18"/>
          <w:szCs w:val="18"/>
        </w:rPr>
        <w:t xml:space="preserve"> Stein, </w:t>
      </w:r>
      <w:r w:rsidR="00D363FE" w:rsidRPr="00AB36AE">
        <w:rPr>
          <w:sz w:val="18"/>
          <w:szCs w:val="18"/>
        </w:rPr>
        <w:t>“</w:t>
      </w:r>
      <w:r w:rsidRPr="00AB36AE">
        <w:rPr>
          <w:sz w:val="18"/>
          <w:szCs w:val="18"/>
        </w:rPr>
        <w:t>Vreemde vorsten op de troon</w:t>
      </w:r>
      <w:r w:rsidR="00D363FE" w:rsidRPr="00AB36AE">
        <w:rPr>
          <w:sz w:val="18"/>
          <w:szCs w:val="18"/>
        </w:rPr>
        <w:t>”</w:t>
      </w:r>
      <w:r w:rsidRPr="00AB36AE">
        <w:rPr>
          <w:sz w:val="18"/>
          <w:szCs w:val="18"/>
        </w:rPr>
        <w:t>,</w:t>
      </w:r>
      <w:r w:rsidR="00D363FE" w:rsidRPr="00AB36AE">
        <w:rPr>
          <w:sz w:val="18"/>
          <w:szCs w:val="18"/>
        </w:rPr>
        <w:t xml:space="preserve"> </w:t>
      </w:r>
      <w:r w:rsidRPr="00AB36AE">
        <w:rPr>
          <w:sz w:val="18"/>
          <w:szCs w:val="18"/>
        </w:rPr>
        <w:t xml:space="preserve">157. </w:t>
      </w:r>
    </w:p>
  </w:footnote>
  <w:footnote w:id="50">
    <w:p w14:paraId="3ADC92AE" w14:textId="1103BCE4" w:rsidR="00140E3A" w:rsidRPr="00AB36AE" w:rsidRDefault="00140E3A" w:rsidP="00140E3A">
      <w:pPr>
        <w:pStyle w:val="FootnoteText"/>
        <w:rPr>
          <w:sz w:val="18"/>
          <w:szCs w:val="18"/>
        </w:rPr>
      </w:pPr>
      <w:r w:rsidRPr="00AB36AE">
        <w:rPr>
          <w:rStyle w:val="FootnoteReference"/>
          <w:sz w:val="18"/>
          <w:szCs w:val="18"/>
        </w:rPr>
        <w:footnoteRef/>
      </w:r>
      <w:r w:rsidRPr="00AB36AE">
        <w:rPr>
          <w:sz w:val="18"/>
          <w:szCs w:val="18"/>
        </w:rPr>
        <w:t xml:space="preserve"> Sleiderink, </w:t>
      </w:r>
      <w:r w:rsidR="00D363FE" w:rsidRPr="00AB36AE">
        <w:rPr>
          <w:sz w:val="18"/>
          <w:szCs w:val="18"/>
        </w:rPr>
        <w:t>“</w:t>
      </w:r>
      <w:r w:rsidRPr="00AB36AE">
        <w:rPr>
          <w:sz w:val="18"/>
          <w:szCs w:val="18"/>
        </w:rPr>
        <w:t>Dichters aan het Brabantse hof</w:t>
      </w:r>
      <w:r w:rsidR="00D363FE" w:rsidRPr="00AB36AE">
        <w:rPr>
          <w:sz w:val="18"/>
          <w:szCs w:val="18"/>
        </w:rPr>
        <w:t xml:space="preserve">”, </w:t>
      </w:r>
      <w:r w:rsidRPr="00AB36AE">
        <w:rPr>
          <w:sz w:val="18"/>
          <w:szCs w:val="18"/>
        </w:rPr>
        <w:t>2</w:t>
      </w:r>
      <w:r w:rsidR="007E1F24" w:rsidRPr="00AB36AE">
        <w:rPr>
          <w:sz w:val="18"/>
          <w:szCs w:val="18"/>
        </w:rPr>
        <w:t xml:space="preserve">; Sleiderink, </w:t>
      </w:r>
      <w:r w:rsidR="007E1F24" w:rsidRPr="00AB36AE">
        <w:rPr>
          <w:i/>
          <w:iCs/>
          <w:sz w:val="18"/>
          <w:szCs w:val="18"/>
        </w:rPr>
        <w:t>De stem van de Meeste</w:t>
      </w:r>
      <w:r w:rsidR="005E62E5" w:rsidRPr="00AB36AE">
        <w:rPr>
          <w:i/>
          <w:iCs/>
          <w:sz w:val="18"/>
          <w:szCs w:val="18"/>
        </w:rPr>
        <w:t xml:space="preserve">r, </w:t>
      </w:r>
      <w:r w:rsidR="00372168" w:rsidRPr="00AB36AE">
        <w:rPr>
          <w:sz w:val="18"/>
          <w:szCs w:val="18"/>
        </w:rPr>
        <w:t>137</w:t>
      </w:r>
      <w:r w:rsidR="00372168" w:rsidRPr="00AB36AE">
        <w:rPr>
          <w:i/>
          <w:iCs/>
          <w:sz w:val="18"/>
          <w:szCs w:val="18"/>
        </w:rPr>
        <w:t>.</w:t>
      </w:r>
    </w:p>
  </w:footnote>
  <w:footnote w:id="51">
    <w:p w14:paraId="15613F09" w14:textId="733B6B79" w:rsidR="00467BBE" w:rsidRPr="00AB36AE" w:rsidRDefault="001E10FD" w:rsidP="001E10FD">
      <w:pPr>
        <w:pStyle w:val="FootnoteText"/>
        <w:rPr>
          <w:sz w:val="18"/>
          <w:szCs w:val="18"/>
          <w:lang w:val="en-US"/>
        </w:rPr>
      </w:pPr>
      <w:r w:rsidRPr="00AB36AE">
        <w:rPr>
          <w:rStyle w:val="FootnoteReference"/>
          <w:sz w:val="18"/>
          <w:szCs w:val="18"/>
        </w:rPr>
        <w:footnoteRef/>
      </w:r>
      <w:r w:rsidRPr="00AB36AE">
        <w:rPr>
          <w:sz w:val="18"/>
          <w:szCs w:val="18"/>
        </w:rPr>
        <w:t xml:space="preserve"> </w:t>
      </w:r>
      <w:r w:rsidR="00467BBE" w:rsidRPr="00AB36AE">
        <w:rPr>
          <w:sz w:val="18"/>
          <w:szCs w:val="18"/>
          <w:lang w:val="en-US"/>
        </w:rPr>
        <w:t xml:space="preserve">Fantysová-Matějková, </w:t>
      </w:r>
      <w:r w:rsidR="00467BBE" w:rsidRPr="00AB36AE">
        <w:rPr>
          <w:i/>
          <w:iCs/>
          <w:sz w:val="18"/>
          <w:szCs w:val="18"/>
          <w:lang w:val="en-US"/>
        </w:rPr>
        <w:t>Wenceslas</w:t>
      </w:r>
      <w:r w:rsidR="00467BBE" w:rsidRPr="00AB36AE">
        <w:rPr>
          <w:sz w:val="18"/>
          <w:szCs w:val="18"/>
          <w:lang w:val="en-US"/>
        </w:rPr>
        <w:t>, 426.</w:t>
      </w:r>
    </w:p>
  </w:footnote>
  <w:footnote w:id="52">
    <w:p w14:paraId="77E6FC41" w14:textId="2E8BA8DA"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Boffa, </w:t>
      </w:r>
      <w:r w:rsidRPr="00AB36AE">
        <w:rPr>
          <w:i/>
          <w:sz w:val="18"/>
          <w:szCs w:val="18"/>
        </w:rPr>
        <w:t>Warfare</w:t>
      </w:r>
      <w:r w:rsidR="00467BBE" w:rsidRPr="00AB36AE">
        <w:rPr>
          <w:i/>
          <w:sz w:val="18"/>
          <w:szCs w:val="18"/>
        </w:rPr>
        <w:t xml:space="preserve">, </w:t>
      </w:r>
      <w:r w:rsidRPr="00AB36AE">
        <w:rPr>
          <w:sz w:val="18"/>
          <w:szCs w:val="18"/>
        </w:rPr>
        <w:t>87-89.</w:t>
      </w:r>
    </w:p>
  </w:footnote>
  <w:footnote w:id="53">
    <w:p w14:paraId="7368483D" w14:textId="77777777"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Boffa,</w:t>
      </w:r>
      <w:r w:rsidRPr="00AB36AE">
        <w:rPr>
          <w:i/>
          <w:iCs/>
          <w:sz w:val="18"/>
          <w:szCs w:val="18"/>
        </w:rPr>
        <w:t xml:space="preserve"> Warfare,</w:t>
      </w:r>
      <w:r w:rsidRPr="00AB36AE">
        <w:rPr>
          <w:sz w:val="18"/>
          <w:szCs w:val="18"/>
        </w:rPr>
        <w:t xml:space="preserve"> 87. </w:t>
      </w:r>
    </w:p>
  </w:footnote>
  <w:footnote w:id="54">
    <w:p w14:paraId="02A84B51" w14:textId="77777777"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Boffa, </w:t>
      </w:r>
      <w:r w:rsidRPr="00AB36AE">
        <w:rPr>
          <w:i/>
          <w:iCs/>
          <w:sz w:val="18"/>
          <w:szCs w:val="18"/>
        </w:rPr>
        <w:t xml:space="preserve">Warfare, </w:t>
      </w:r>
      <w:r w:rsidRPr="00AB36AE">
        <w:rPr>
          <w:sz w:val="18"/>
          <w:szCs w:val="18"/>
        </w:rPr>
        <w:t>22-23.</w:t>
      </w:r>
    </w:p>
  </w:footnote>
  <w:footnote w:id="55">
    <w:p w14:paraId="0D5E1F59" w14:textId="77777777"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Boffa, </w:t>
      </w:r>
      <w:r w:rsidRPr="00AB36AE">
        <w:rPr>
          <w:i/>
          <w:iCs/>
          <w:sz w:val="18"/>
          <w:szCs w:val="18"/>
        </w:rPr>
        <w:t>Warfare</w:t>
      </w:r>
      <w:r w:rsidRPr="00AB36AE">
        <w:rPr>
          <w:sz w:val="18"/>
          <w:szCs w:val="18"/>
        </w:rPr>
        <w:t>, 8,  88.</w:t>
      </w:r>
    </w:p>
  </w:footnote>
  <w:footnote w:id="56">
    <w:p w14:paraId="551D7FA3" w14:textId="5533D803" w:rsidR="00FB422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w:t>
      </w:r>
      <w:r w:rsidR="00FB4220" w:rsidRPr="00AB36AE">
        <w:rPr>
          <w:sz w:val="18"/>
          <w:szCs w:val="18"/>
        </w:rPr>
        <w:t xml:space="preserve">Avonds, </w:t>
      </w:r>
      <w:r w:rsidR="00FB4220" w:rsidRPr="00AB36AE">
        <w:rPr>
          <w:i/>
          <w:iCs/>
          <w:sz w:val="18"/>
          <w:szCs w:val="18"/>
        </w:rPr>
        <w:t>Brabant tijdens de regering van hertog Jan III</w:t>
      </w:r>
      <w:r w:rsidR="00FB4220" w:rsidRPr="00AB36AE">
        <w:rPr>
          <w:sz w:val="18"/>
          <w:szCs w:val="18"/>
        </w:rPr>
        <w:t>, 1</w:t>
      </w:r>
      <w:r w:rsidR="000D7B38" w:rsidRPr="00AB36AE">
        <w:rPr>
          <w:sz w:val="18"/>
          <w:szCs w:val="18"/>
        </w:rPr>
        <w:t>87-202.</w:t>
      </w:r>
    </w:p>
  </w:footnote>
  <w:footnote w:id="57">
    <w:p w14:paraId="30FE3341" w14:textId="59FB0E94" w:rsidR="000D7B38"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w:t>
      </w:r>
      <w:r w:rsidR="000D7B38" w:rsidRPr="00AB36AE">
        <w:rPr>
          <w:sz w:val="18"/>
          <w:szCs w:val="18"/>
        </w:rPr>
        <w:t xml:space="preserve">Vrancken, </w:t>
      </w:r>
      <w:r w:rsidR="000D7B38" w:rsidRPr="00AB36AE">
        <w:rPr>
          <w:i/>
          <w:sz w:val="18"/>
          <w:szCs w:val="18"/>
        </w:rPr>
        <w:t xml:space="preserve">De Blijde Inkomsten, </w:t>
      </w:r>
      <w:r w:rsidR="000D7B38" w:rsidRPr="00AB36AE">
        <w:rPr>
          <w:iCs/>
          <w:sz w:val="18"/>
          <w:szCs w:val="18"/>
        </w:rPr>
        <w:t>62</w:t>
      </w:r>
      <w:r w:rsidR="000D7B38" w:rsidRPr="00AB36AE">
        <w:rPr>
          <w:i/>
          <w:sz w:val="18"/>
          <w:szCs w:val="18"/>
        </w:rPr>
        <w:t>.</w:t>
      </w:r>
    </w:p>
  </w:footnote>
  <w:footnote w:id="58">
    <w:p w14:paraId="1E8712F6" w14:textId="3B276AD3"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Vrancken, </w:t>
      </w:r>
      <w:r w:rsidRPr="00AB36AE">
        <w:rPr>
          <w:i/>
          <w:sz w:val="18"/>
          <w:szCs w:val="18"/>
        </w:rPr>
        <w:t>De Blijde Inkomsten</w:t>
      </w:r>
      <w:r w:rsidR="00A33D2F" w:rsidRPr="00AB36AE">
        <w:rPr>
          <w:i/>
          <w:sz w:val="18"/>
          <w:szCs w:val="18"/>
        </w:rPr>
        <w:t xml:space="preserve">, </w:t>
      </w:r>
      <w:r w:rsidRPr="00AB36AE">
        <w:rPr>
          <w:sz w:val="18"/>
          <w:szCs w:val="18"/>
        </w:rPr>
        <w:t>62.</w:t>
      </w:r>
    </w:p>
  </w:footnote>
  <w:footnote w:id="59">
    <w:p w14:paraId="3EEF1E4A" w14:textId="353AB9B3"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w:t>
      </w:r>
      <w:r w:rsidR="00A33D2F" w:rsidRPr="00AB36AE">
        <w:rPr>
          <w:sz w:val="18"/>
          <w:szCs w:val="18"/>
        </w:rPr>
        <w:t xml:space="preserve">Vrancken, </w:t>
      </w:r>
      <w:r w:rsidR="00A33D2F" w:rsidRPr="00AB36AE">
        <w:rPr>
          <w:i/>
          <w:sz w:val="18"/>
          <w:szCs w:val="18"/>
        </w:rPr>
        <w:t xml:space="preserve">De Blijde Inkomsten, </w:t>
      </w:r>
      <w:r w:rsidR="00A33D2F" w:rsidRPr="00AB36AE">
        <w:rPr>
          <w:sz w:val="18"/>
          <w:szCs w:val="18"/>
        </w:rPr>
        <w:t>62.</w:t>
      </w:r>
    </w:p>
  </w:footnote>
  <w:footnote w:id="60">
    <w:p w14:paraId="358FEB39" w14:textId="7D456A69" w:rsidR="00347160" w:rsidRPr="00AB36AE" w:rsidRDefault="00347160" w:rsidP="00347160">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Pr="00AB36AE">
        <w:rPr>
          <w:sz w:val="18"/>
          <w:szCs w:val="18"/>
          <w:lang w:val="fr-BE"/>
        </w:rPr>
        <w:t xml:space="preserve">Uyttebrouck, </w:t>
      </w:r>
      <w:r w:rsidRPr="00AB36AE">
        <w:rPr>
          <w:i/>
          <w:sz w:val="18"/>
          <w:szCs w:val="18"/>
          <w:lang w:val="fr-BE"/>
        </w:rPr>
        <w:t>Le gouvernement</w:t>
      </w:r>
      <w:r w:rsidR="003F5EC5" w:rsidRPr="00AB36AE">
        <w:rPr>
          <w:i/>
          <w:sz w:val="18"/>
          <w:szCs w:val="18"/>
          <w:lang w:val="fr-BE"/>
        </w:rPr>
        <w:t xml:space="preserve"> 2, </w:t>
      </w:r>
      <w:r w:rsidR="003F5EC5" w:rsidRPr="00AB36AE">
        <w:rPr>
          <w:iCs/>
          <w:sz w:val="18"/>
          <w:szCs w:val="18"/>
          <w:lang w:val="fr-BE"/>
        </w:rPr>
        <w:t>annexe V.</w:t>
      </w:r>
    </w:p>
  </w:footnote>
  <w:footnote w:id="61">
    <w:p w14:paraId="6D3FB3E2" w14:textId="3F738173"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Damen, </w:t>
      </w:r>
      <w:r w:rsidR="003F5EC5" w:rsidRPr="00AB36AE">
        <w:rPr>
          <w:sz w:val="18"/>
          <w:szCs w:val="18"/>
        </w:rPr>
        <w:t>“</w:t>
      </w:r>
      <w:r w:rsidRPr="00AB36AE">
        <w:rPr>
          <w:sz w:val="18"/>
          <w:szCs w:val="18"/>
        </w:rPr>
        <w:t>Prelaten</w:t>
      </w:r>
      <w:r w:rsidR="003F5EC5" w:rsidRPr="00AB36AE">
        <w:rPr>
          <w:sz w:val="18"/>
          <w:szCs w:val="18"/>
        </w:rPr>
        <w:t>”</w:t>
      </w:r>
      <w:r w:rsidRPr="00AB36AE">
        <w:rPr>
          <w:sz w:val="18"/>
          <w:szCs w:val="18"/>
        </w:rPr>
        <w:t>, 21.</w:t>
      </w:r>
    </w:p>
  </w:footnote>
  <w:footnote w:id="62">
    <w:p w14:paraId="3FE4DE90" w14:textId="1212A173"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Damen, </w:t>
      </w:r>
      <w:r w:rsidR="003F5EC5" w:rsidRPr="00AB36AE">
        <w:rPr>
          <w:sz w:val="18"/>
          <w:szCs w:val="18"/>
        </w:rPr>
        <w:t>“</w:t>
      </w:r>
      <w:r w:rsidRPr="00AB36AE">
        <w:rPr>
          <w:sz w:val="18"/>
          <w:szCs w:val="18"/>
        </w:rPr>
        <w:t>Prelaten</w:t>
      </w:r>
      <w:r w:rsidR="003F5EC5" w:rsidRPr="00AB36AE">
        <w:rPr>
          <w:sz w:val="18"/>
          <w:szCs w:val="18"/>
        </w:rPr>
        <w:t>”</w:t>
      </w:r>
      <w:r w:rsidRPr="00AB36AE">
        <w:rPr>
          <w:sz w:val="18"/>
          <w:szCs w:val="18"/>
        </w:rPr>
        <w:t xml:space="preserve">, 20. </w:t>
      </w:r>
    </w:p>
  </w:footnote>
  <w:footnote w:id="63">
    <w:p w14:paraId="4A3AFEB9" w14:textId="4401EFE7"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Van Bragt, </w:t>
      </w:r>
      <w:r w:rsidRPr="00AB36AE">
        <w:rPr>
          <w:i/>
          <w:sz w:val="18"/>
          <w:szCs w:val="18"/>
        </w:rPr>
        <w:t>De Blijde Inkomst</w:t>
      </w:r>
      <w:r w:rsidRPr="00AB36AE">
        <w:rPr>
          <w:sz w:val="18"/>
          <w:szCs w:val="18"/>
        </w:rPr>
        <w:t xml:space="preserve">, 24; </w:t>
      </w:r>
      <w:r w:rsidR="003F5EC5" w:rsidRPr="00AB36AE">
        <w:rPr>
          <w:sz w:val="18"/>
          <w:szCs w:val="18"/>
        </w:rPr>
        <w:t xml:space="preserve">Vrancken, </w:t>
      </w:r>
      <w:r w:rsidR="003F5EC5" w:rsidRPr="00AB36AE">
        <w:rPr>
          <w:i/>
          <w:sz w:val="18"/>
          <w:szCs w:val="18"/>
        </w:rPr>
        <w:t xml:space="preserve">De Blijde Inkomst, </w:t>
      </w:r>
      <w:r w:rsidR="003F5EC5" w:rsidRPr="00AB36AE">
        <w:rPr>
          <w:sz w:val="18"/>
          <w:szCs w:val="18"/>
        </w:rPr>
        <w:t>62.</w:t>
      </w:r>
    </w:p>
  </w:footnote>
  <w:footnote w:id="64">
    <w:p w14:paraId="544AD2D3" w14:textId="77777777"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Van Bragt, </w:t>
      </w:r>
      <w:r w:rsidRPr="00AB36AE">
        <w:rPr>
          <w:i/>
          <w:sz w:val="18"/>
          <w:szCs w:val="18"/>
        </w:rPr>
        <w:t>De Blijde Inkomst</w:t>
      </w:r>
      <w:r w:rsidRPr="00AB36AE">
        <w:rPr>
          <w:sz w:val="18"/>
          <w:szCs w:val="18"/>
        </w:rPr>
        <w:t xml:space="preserve">, 25. </w:t>
      </w:r>
    </w:p>
  </w:footnote>
  <w:footnote w:id="65">
    <w:p w14:paraId="5586DDC4" w14:textId="77777777"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Van Bragt, </w:t>
      </w:r>
      <w:r w:rsidRPr="00AB36AE">
        <w:rPr>
          <w:i/>
          <w:sz w:val="18"/>
          <w:szCs w:val="18"/>
        </w:rPr>
        <w:t>De Blijde Inkomst</w:t>
      </w:r>
      <w:r w:rsidRPr="00AB36AE">
        <w:rPr>
          <w:sz w:val="18"/>
          <w:szCs w:val="18"/>
        </w:rPr>
        <w:t xml:space="preserve">, 25. </w:t>
      </w:r>
    </w:p>
  </w:footnote>
  <w:footnote w:id="66">
    <w:p w14:paraId="31F67E5F" w14:textId="77777777"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Vrancken, </w:t>
      </w:r>
      <w:r w:rsidRPr="00AB36AE">
        <w:rPr>
          <w:i/>
          <w:sz w:val="18"/>
          <w:szCs w:val="18"/>
        </w:rPr>
        <w:t xml:space="preserve">De Blijde Inkomst, </w:t>
      </w:r>
      <w:r w:rsidRPr="00AB36AE">
        <w:rPr>
          <w:sz w:val="18"/>
          <w:szCs w:val="18"/>
        </w:rPr>
        <w:t>62</w:t>
      </w:r>
    </w:p>
  </w:footnote>
  <w:footnote w:id="67">
    <w:p w14:paraId="585AD801" w14:textId="77777777"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Vrancken, </w:t>
      </w:r>
      <w:r w:rsidRPr="00AB36AE">
        <w:rPr>
          <w:i/>
          <w:sz w:val="18"/>
          <w:szCs w:val="18"/>
        </w:rPr>
        <w:t xml:space="preserve">De Blijde Inkomst, </w:t>
      </w:r>
      <w:r w:rsidRPr="00AB36AE">
        <w:rPr>
          <w:sz w:val="18"/>
          <w:szCs w:val="18"/>
        </w:rPr>
        <w:t>62</w:t>
      </w:r>
    </w:p>
  </w:footnote>
  <w:footnote w:id="68">
    <w:p w14:paraId="3D0C0A7E" w14:textId="064ED05B" w:rsidR="00AA75E1" w:rsidRPr="00AA75E1" w:rsidRDefault="00AA75E1">
      <w:pPr>
        <w:pStyle w:val="FootnoteText"/>
        <w:rPr>
          <w:lang w:val="en-US"/>
        </w:rPr>
      </w:pPr>
      <w:r>
        <w:rPr>
          <w:rStyle w:val="FootnoteReference"/>
        </w:rPr>
        <w:footnoteRef/>
      </w:r>
      <w:r>
        <w:t xml:space="preserve"> </w:t>
      </w:r>
      <w:r w:rsidRPr="00135538">
        <w:rPr>
          <w:sz w:val="18"/>
          <w:szCs w:val="18"/>
          <w:lang w:val="en-US"/>
        </w:rPr>
        <w:t>Bart van Thielen,</w:t>
      </w:r>
      <w:r w:rsidR="00135538" w:rsidRPr="00135538">
        <w:rPr>
          <w:sz w:val="18"/>
          <w:szCs w:val="18"/>
          <w:lang w:val="en-US"/>
        </w:rPr>
        <w:t xml:space="preserve"> e.a.</w:t>
      </w:r>
      <w:r w:rsidRPr="00135538">
        <w:rPr>
          <w:sz w:val="18"/>
          <w:szCs w:val="18"/>
          <w:lang w:val="en-US"/>
        </w:rPr>
        <w:t xml:space="preserve"> </w:t>
      </w:r>
      <w:r w:rsidR="00135538" w:rsidRPr="00135538">
        <w:rPr>
          <w:sz w:val="18"/>
          <w:szCs w:val="18"/>
          <w:lang w:val="en-US"/>
        </w:rPr>
        <w:t xml:space="preserve">“Vlierbeek als zelfstandige abdij”, </w:t>
      </w:r>
      <w:r w:rsidR="009012D1" w:rsidRPr="00135538">
        <w:rPr>
          <w:sz w:val="18"/>
          <w:szCs w:val="18"/>
          <w:lang w:val="en-US"/>
        </w:rPr>
        <w:t>78-79</w:t>
      </w:r>
    </w:p>
  </w:footnote>
  <w:footnote w:id="69">
    <w:p w14:paraId="6833E42F" w14:textId="77777777" w:rsidR="003C61DE" w:rsidRPr="00AA75E1" w:rsidRDefault="003C61DE" w:rsidP="003C61DE">
      <w:pPr>
        <w:pStyle w:val="FootnoteText"/>
        <w:rPr>
          <w:lang w:val="en-US"/>
        </w:rPr>
      </w:pPr>
      <w:r>
        <w:rPr>
          <w:rStyle w:val="FootnoteReference"/>
        </w:rPr>
        <w:footnoteRef/>
      </w:r>
      <w:r>
        <w:t xml:space="preserve"> </w:t>
      </w:r>
      <w:r w:rsidRPr="00135538">
        <w:rPr>
          <w:sz w:val="18"/>
          <w:szCs w:val="18"/>
          <w:lang w:val="en-US"/>
        </w:rPr>
        <w:t>Bart van Thielen, e.a. “Vlierbeek als zelfstandige abdij”, 78-79</w:t>
      </w:r>
    </w:p>
  </w:footnote>
  <w:footnote w:id="70">
    <w:p w14:paraId="301D81DF" w14:textId="77777777"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Vrancken, </w:t>
      </w:r>
      <w:r w:rsidRPr="00AB36AE">
        <w:rPr>
          <w:i/>
          <w:sz w:val="18"/>
          <w:szCs w:val="18"/>
        </w:rPr>
        <w:t xml:space="preserve">De Blijde Inkomst, </w:t>
      </w:r>
      <w:r w:rsidRPr="00AB36AE">
        <w:rPr>
          <w:sz w:val="18"/>
          <w:szCs w:val="18"/>
        </w:rPr>
        <w:t>62-63.</w:t>
      </w:r>
    </w:p>
  </w:footnote>
  <w:footnote w:id="71">
    <w:p w14:paraId="770C03E0" w14:textId="77777777"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Vrancken, </w:t>
      </w:r>
      <w:r w:rsidRPr="00AB36AE">
        <w:rPr>
          <w:i/>
          <w:sz w:val="18"/>
          <w:szCs w:val="18"/>
        </w:rPr>
        <w:t xml:space="preserve">De Blijde Inkomst, </w:t>
      </w:r>
      <w:r w:rsidRPr="00AB36AE">
        <w:rPr>
          <w:sz w:val="18"/>
          <w:szCs w:val="18"/>
        </w:rPr>
        <w:t xml:space="preserve">65. </w:t>
      </w:r>
    </w:p>
  </w:footnote>
  <w:footnote w:id="72">
    <w:p w14:paraId="22FDAD99" w14:textId="2AB7926C"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De Maesschalck, </w:t>
      </w:r>
      <w:r w:rsidRPr="00AB36AE">
        <w:rPr>
          <w:i/>
          <w:sz w:val="18"/>
          <w:szCs w:val="18"/>
        </w:rPr>
        <w:t>De hertoge</w:t>
      </w:r>
      <w:r w:rsidR="00C76208" w:rsidRPr="00AB36AE">
        <w:rPr>
          <w:i/>
          <w:sz w:val="18"/>
          <w:szCs w:val="18"/>
        </w:rPr>
        <w:t>n,</w:t>
      </w:r>
      <w:r w:rsidRPr="00AB36AE">
        <w:rPr>
          <w:sz w:val="18"/>
          <w:szCs w:val="18"/>
        </w:rPr>
        <w:t xml:space="preserve"> 285-286.</w:t>
      </w:r>
    </w:p>
  </w:footnote>
  <w:footnote w:id="73">
    <w:p w14:paraId="78F99EC5" w14:textId="2526DAF5"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De Maesschalck, </w:t>
      </w:r>
      <w:r w:rsidRPr="00AB36AE">
        <w:rPr>
          <w:i/>
          <w:sz w:val="18"/>
          <w:szCs w:val="18"/>
        </w:rPr>
        <w:t>De hertogen</w:t>
      </w:r>
      <w:r w:rsidRPr="00AB36AE">
        <w:rPr>
          <w:sz w:val="18"/>
          <w:szCs w:val="18"/>
        </w:rPr>
        <w:t xml:space="preserve">, 285; Avonds, </w:t>
      </w:r>
      <w:r w:rsidR="00C76208" w:rsidRPr="00AB36AE">
        <w:rPr>
          <w:sz w:val="18"/>
          <w:szCs w:val="18"/>
        </w:rPr>
        <w:t>“</w:t>
      </w:r>
      <w:r w:rsidRPr="00AB36AE">
        <w:rPr>
          <w:sz w:val="18"/>
          <w:szCs w:val="18"/>
        </w:rPr>
        <w:t>Brabant en Limburg</w:t>
      </w:r>
      <w:r w:rsidR="00C76208" w:rsidRPr="00AB36AE">
        <w:rPr>
          <w:sz w:val="18"/>
          <w:szCs w:val="18"/>
        </w:rPr>
        <w:t>”</w:t>
      </w:r>
      <w:r w:rsidRPr="00AB36AE">
        <w:rPr>
          <w:sz w:val="18"/>
          <w:szCs w:val="18"/>
        </w:rPr>
        <w:t>, 479.</w:t>
      </w:r>
    </w:p>
  </w:footnote>
  <w:footnote w:id="74">
    <w:p w14:paraId="1B4CE3C1" w14:textId="5EAABA73"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De Maesschalck, </w:t>
      </w:r>
      <w:r w:rsidRPr="00AB36AE">
        <w:rPr>
          <w:i/>
          <w:sz w:val="18"/>
          <w:szCs w:val="18"/>
        </w:rPr>
        <w:t>De hertogen,</w:t>
      </w:r>
      <w:r w:rsidR="00C76208" w:rsidRPr="00AB36AE">
        <w:rPr>
          <w:i/>
          <w:sz w:val="18"/>
          <w:szCs w:val="18"/>
        </w:rPr>
        <w:t xml:space="preserve"> </w:t>
      </w:r>
      <w:r w:rsidRPr="003F504B">
        <w:rPr>
          <w:iCs/>
          <w:sz w:val="18"/>
          <w:szCs w:val="18"/>
        </w:rPr>
        <w:t>281</w:t>
      </w:r>
      <w:r w:rsidRPr="00AB36AE">
        <w:rPr>
          <w:i/>
          <w:sz w:val="18"/>
          <w:szCs w:val="18"/>
        </w:rPr>
        <w:t xml:space="preserve">. </w:t>
      </w:r>
    </w:p>
  </w:footnote>
  <w:footnote w:id="75">
    <w:p w14:paraId="6FCA2413" w14:textId="77777777"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Boffa,</w:t>
      </w:r>
      <w:r w:rsidRPr="00AB36AE">
        <w:rPr>
          <w:i/>
          <w:iCs/>
          <w:sz w:val="18"/>
          <w:szCs w:val="18"/>
        </w:rPr>
        <w:t xml:space="preserve"> Warfare</w:t>
      </w:r>
      <w:r w:rsidRPr="00AB36AE">
        <w:rPr>
          <w:sz w:val="18"/>
          <w:szCs w:val="18"/>
        </w:rPr>
        <w:t>, 17.</w:t>
      </w:r>
    </w:p>
  </w:footnote>
  <w:footnote w:id="76">
    <w:p w14:paraId="38D6D940" w14:textId="135B0891"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Avonds, </w:t>
      </w:r>
      <w:r w:rsidR="00C76208" w:rsidRPr="00AB36AE">
        <w:rPr>
          <w:sz w:val="18"/>
          <w:szCs w:val="18"/>
        </w:rPr>
        <w:t>“</w:t>
      </w:r>
      <w:r w:rsidRPr="00AB36AE">
        <w:rPr>
          <w:sz w:val="18"/>
          <w:szCs w:val="18"/>
        </w:rPr>
        <w:t>Brabant en Limburg</w:t>
      </w:r>
      <w:r w:rsidR="00C76208" w:rsidRPr="00AB36AE">
        <w:rPr>
          <w:sz w:val="18"/>
          <w:szCs w:val="18"/>
        </w:rPr>
        <w:t>”</w:t>
      </w:r>
      <w:r w:rsidRPr="00AB36AE">
        <w:rPr>
          <w:sz w:val="18"/>
          <w:szCs w:val="18"/>
        </w:rPr>
        <w:t xml:space="preserve">, 461, 463. </w:t>
      </w:r>
    </w:p>
  </w:footnote>
  <w:footnote w:id="77">
    <w:p w14:paraId="255938C1" w14:textId="23C02962"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Avonds, </w:t>
      </w:r>
      <w:r w:rsidR="00C76208" w:rsidRPr="00AB36AE">
        <w:rPr>
          <w:sz w:val="18"/>
          <w:szCs w:val="18"/>
        </w:rPr>
        <w:t>“</w:t>
      </w:r>
      <w:r w:rsidRPr="00AB36AE">
        <w:rPr>
          <w:sz w:val="18"/>
          <w:szCs w:val="18"/>
        </w:rPr>
        <w:t>Brabant en Limburg</w:t>
      </w:r>
      <w:r w:rsidR="00C76208" w:rsidRPr="00AB36AE">
        <w:rPr>
          <w:sz w:val="18"/>
          <w:szCs w:val="18"/>
        </w:rPr>
        <w:t>”</w:t>
      </w:r>
      <w:r w:rsidRPr="00AB36AE">
        <w:rPr>
          <w:sz w:val="18"/>
          <w:szCs w:val="18"/>
        </w:rPr>
        <w:t xml:space="preserve">, 465-466. </w:t>
      </w:r>
    </w:p>
  </w:footnote>
  <w:footnote w:id="78">
    <w:p w14:paraId="6AE3090C" w14:textId="77777777"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Boffa,</w:t>
      </w:r>
      <w:r w:rsidRPr="00AB36AE">
        <w:rPr>
          <w:i/>
          <w:iCs/>
          <w:sz w:val="18"/>
          <w:szCs w:val="18"/>
        </w:rPr>
        <w:t xml:space="preserve"> Warfare</w:t>
      </w:r>
      <w:r w:rsidRPr="00AB36AE">
        <w:rPr>
          <w:sz w:val="18"/>
          <w:szCs w:val="18"/>
        </w:rPr>
        <w:t xml:space="preserve">, 20. </w:t>
      </w:r>
    </w:p>
  </w:footnote>
  <w:footnote w:id="79">
    <w:p w14:paraId="22DEEF66" w14:textId="77777777"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De Maesschalck, </w:t>
      </w:r>
      <w:r w:rsidRPr="00AB36AE">
        <w:rPr>
          <w:i/>
          <w:sz w:val="18"/>
          <w:szCs w:val="18"/>
        </w:rPr>
        <w:t xml:space="preserve">De hertogen, </w:t>
      </w:r>
      <w:r w:rsidRPr="00AB36AE">
        <w:rPr>
          <w:sz w:val="18"/>
          <w:szCs w:val="18"/>
        </w:rPr>
        <w:t>297</w:t>
      </w:r>
      <w:r w:rsidRPr="00AB36AE">
        <w:rPr>
          <w:i/>
          <w:sz w:val="18"/>
          <w:szCs w:val="18"/>
        </w:rPr>
        <w:t xml:space="preserve">. </w:t>
      </w:r>
    </w:p>
  </w:footnote>
  <w:footnote w:id="80">
    <w:p w14:paraId="2D210B9E" w14:textId="22BE794D" w:rsidR="003B0304" w:rsidRPr="00AB36AE" w:rsidRDefault="003B0304">
      <w:pPr>
        <w:pStyle w:val="FootnoteText"/>
        <w:rPr>
          <w:sz w:val="18"/>
          <w:szCs w:val="18"/>
          <w:lang w:val="en-BE"/>
        </w:rPr>
      </w:pPr>
      <w:r w:rsidRPr="00AB36AE">
        <w:rPr>
          <w:rStyle w:val="FootnoteReference"/>
          <w:sz w:val="18"/>
          <w:szCs w:val="18"/>
        </w:rPr>
        <w:footnoteRef/>
      </w:r>
      <w:r w:rsidRPr="00AB36AE">
        <w:rPr>
          <w:sz w:val="18"/>
          <w:szCs w:val="18"/>
        </w:rPr>
        <w:t xml:space="preserve"> </w:t>
      </w:r>
      <w:r w:rsidRPr="00AB36AE">
        <w:rPr>
          <w:sz w:val="18"/>
          <w:szCs w:val="18"/>
          <w:lang w:val="en-BE"/>
        </w:rPr>
        <w:t xml:space="preserve">Boffa, “The Duchy of Brabant Caught Between France and England”, 234. </w:t>
      </w:r>
    </w:p>
  </w:footnote>
  <w:footnote w:id="81">
    <w:p w14:paraId="5927D101" w14:textId="6A95CD1E" w:rsidR="00C76208"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w:t>
      </w:r>
      <w:r w:rsidR="00C76208" w:rsidRPr="00AB36AE">
        <w:rPr>
          <w:sz w:val="18"/>
          <w:szCs w:val="18"/>
        </w:rPr>
        <w:t xml:space="preserve">De Maesschalck, </w:t>
      </w:r>
      <w:r w:rsidR="00C76208" w:rsidRPr="00AB36AE">
        <w:rPr>
          <w:i/>
          <w:sz w:val="18"/>
          <w:szCs w:val="18"/>
        </w:rPr>
        <w:t xml:space="preserve">De hertogen, </w:t>
      </w:r>
      <w:r w:rsidR="00C76208" w:rsidRPr="00AB36AE">
        <w:rPr>
          <w:iCs/>
          <w:sz w:val="18"/>
          <w:szCs w:val="18"/>
        </w:rPr>
        <w:t>297.</w:t>
      </w:r>
    </w:p>
  </w:footnote>
  <w:footnote w:id="82">
    <w:p w14:paraId="074F4534" w14:textId="411E9FA0"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Govaerts, “Mannen van Wapenen</w:t>
      </w:r>
      <w:r w:rsidR="00BA66AB" w:rsidRPr="00AB36AE">
        <w:rPr>
          <w:sz w:val="18"/>
          <w:szCs w:val="18"/>
        </w:rPr>
        <w:t xml:space="preserve">”, </w:t>
      </w:r>
      <w:r w:rsidRPr="00AB36AE">
        <w:rPr>
          <w:sz w:val="18"/>
          <w:szCs w:val="18"/>
        </w:rPr>
        <w:t xml:space="preserve">297. </w:t>
      </w:r>
    </w:p>
  </w:footnote>
  <w:footnote w:id="83">
    <w:p w14:paraId="071EA15A" w14:textId="47C73617"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w:t>
      </w:r>
      <w:r w:rsidR="00BA66AB" w:rsidRPr="00AB36AE">
        <w:rPr>
          <w:sz w:val="18"/>
          <w:szCs w:val="18"/>
        </w:rPr>
        <w:t>Govaerts, “Mannen van Wapenen”, 302.</w:t>
      </w:r>
    </w:p>
  </w:footnote>
  <w:footnote w:id="84">
    <w:p w14:paraId="3D20BBC8" w14:textId="7781F70E"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De Maesschalck, </w:t>
      </w:r>
      <w:r w:rsidRPr="00AB36AE">
        <w:rPr>
          <w:i/>
          <w:sz w:val="18"/>
          <w:szCs w:val="18"/>
        </w:rPr>
        <w:t>De hertogen</w:t>
      </w:r>
      <w:r w:rsidRPr="00AB36AE">
        <w:rPr>
          <w:sz w:val="18"/>
          <w:szCs w:val="18"/>
        </w:rPr>
        <w:t>, 300</w:t>
      </w:r>
      <w:r w:rsidR="003F504B">
        <w:rPr>
          <w:sz w:val="18"/>
          <w:szCs w:val="18"/>
        </w:rPr>
        <w:t>.</w:t>
      </w:r>
    </w:p>
  </w:footnote>
  <w:footnote w:id="85">
    <w:p w14:paraId="2BD0C970" w14:textId="4FEFBD70"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De Maesschalck, </w:t>
      </w:r>
      <w:r w:rsidRPr="00AB36AE">
        <w:rPr>
          <w:i/>
          <w:sz w:val="18"/>
          <w:szCs w:val="18"/>
        </w:rPr>
        <w:t xml:space="preserve">De hertogen, </w:t>
      </w:r>
      <w:r w:rsidRPr="00AB36AE">
        <w:rPr>
          <w:sz w:val="18"/>
          <w:szCs w:val="18"/>
        </w:rPr>
        <w:t>299</w:t>
      </w:r>
      <w:r w:rsidR="003F504B">
        <w:rPr>
          <w:sz w:val="18"/>
          <w:szCs w:val="18"/>
        </w:rPr>
        <w:t>.</w:t>
      </w:r>
    </w:p>
  </w:footnote>
  <w:footnote w:id="86">
    <w:p w14:paraId="03CCA91B" w14:textId="77777777"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De Maesschalck, </w:t>
      </w:r>
      <w:r w:rsidRPr="00AB36AE">
        <w:rPr>
          <w:i/>
          <w:sz w:val="18"/>
          <w:szCs w:val="18"/>
        </w:rPr>
        <w:t xml:space="preserve">De hertogen, </w:t>
      </w:r>
      <w:r w:rsidRPr="00AB36AE">
        <w:rPr>
          <w:sz w:val="18"/>
          <w:szCs w:val="18"/>
        </w:rPr>
        <w:t>299.</w:t>
      </w:r>
    </w:p>
  </w:footnote>
  <w:footnote w:id="87">
    <w:p w14:paraId="5D8014FF" w14:textId="77777777"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Boffa,</w:t>
      </w:r>
      <w:r w:rsidRPr="00AB36AE">
        <w:rPr>
          <w:i/>
          <w:iCs/>
          <w:sz w:val="18"/>
          <w:szCs w:val="18"/>
        </w:rPr>
        <w:t xml:space="preserve"> Warfare</w:t>
      </w:r>
      <w:r w:rsidRPr="00AB36AE">
        <w:rPr>
          <w:sz w:val="18"/>
          <w:szCs w:val="18"/>
        </w:rPr>
        <w:t>, 25.</w:t>
      </w:r>
    </w:p>
  </w:footnote>
  <w:footnote w:id="88">
    <w:p w14:paraId="15B27094" w14:textId="2B2FD06C" w:rsidR="00347160" w:rsidRPr="00AB36AE" w:rsidRDefault="00347160" w:rsidP="00347160">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Pr="00AB36AE">
        <w:rPr>
          <w:sz w:val="18"/>
          <w:szCs w:val="18"/>
          <w:lang w:val="fr-BE"/>
        </w:rPr>
        <w:t xml:space="preserve">Quicke, </w:t>
      </w:r>
      <w:r w:rsidRPr="00AB36AE">
        <w:rPr>
          <w:i/>
          <w:sz w:val="18"/>
          <w:szCs w:val="18"/>
          <w:lang w:val="fr-BE"/>
        </w:rPr>
        <w:t>Les Pays-Bas à la veille de la période bourguignonne</w:t>
      </w:r>
      <w:r w:rsidR="002C4065" w:rsidRPr="00AB36AE">
        <w:rPr>
          <w:i/>
          <w:sz w:val="18"/>
          <w:szCs w:val="18"/>
          <w:lang w:val="fr-BE"/>
        </w:rPr>
        <w:t xml:space="preserve">, </w:t>
      </w:r>
      <w:r w:rsidRPr="00AB36AE">
        <w:rPr>
          <w:sz w:val="18"/>
          <w:szCs w:val="18"/>
          <w:lang w:val="fr-BE"/>
        </w:rPr>
        <w:t xml:space="preserve">240. </w:t>
      </w:r>
    </w:p>
  </w:footnote>
  <w:footnote w:id="89">
    <w:p w14:paraId="79958D7E" w14:textId="35E4DD25" w:rsidR="00347160" w:rsidRPr="00AB36AE" w:rsidRDefault="00347160" w:rsidP="00347160">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Pr="00AB36AE">
        <w:rPr>
          <w:sz w:val="18"/>
          <w:szCs w:val="18"/>
          <w:lang w:val="fr-BE"/>
        </w:rPr>
        <w:t xml:space="preserve">Magnette, </w:t>
      </w:r>
      <w:r w:rsidRPr="00AB36AE">
        <w:rPr>
          <w:i/>
          <w:sz w:val="18"/>
          <w:szCs w:val="18"/>
          <w:lang w:val="fr-BE"/>
        </w:rPr>
        <w:t>Précis d’histoire liégeoise</w:t>
      </w:r>
      <w:r w:rsidR="00F5188F" w:rsidRPr="00AB36AE">
        <w:rPr>
          <w:i/>
          <w:sz w:val="18"/>
          <w:szCs w:val="18"/>
          <w:lang w:val="fr-BE"/>
        </w:rPr>
        <w:t xml:space="preserve">, </w:t>
      </w:r>
      <w:r w:rsidRPr="00AB36AE">
        <w:rPr>
          <w:sz w:val="18"/>
          <w:szCs w:val="18"/>
          <w:lang w:val="fr-BE"/>
        </w:rPr>
        <w:t xml:space="preserve">114. </w:t>
      </w:r>
    </w:p>
  </w:footnote>
  <w:footnote w:id="90">
    <w:p w14:paraId="79620FA9" w14:textId="7D3D960B" w:rsidR="00347160" w:rsidRPr="00AB36AE" w:rsidRDefault="00347160" w:rsidP="00347160">
      <w:pPr>
        <w:pStyle w:val="FootnoteText"/>
        <w:rPr>
          <w:sz w:val="18"/>
          <w:szCs w:val="18"/>
          <w:lang w:val="fr-BE"/>
        </w:rPr>
      </w:pPr>
      <w:r w:rsidRPr="00AB36AE">
        <w:rPr>
          <w:rStyle w:val="FootnoteReference"/>
          <w:sz w:val="18"/>
          <w:szCs w:val="18"/>
        </w:rPr>
        <w:footnoteRef/>
      </w:r>
      <w:r w:rsidRPr="00AB36AE">
        <w:rPr>
          <w:sz w:val="18"/>
          <w:szCs w:val="18"/>
          <w:lang w:val="fr-BE"/>
        </w:rPr>
        <w:t xml:space="preserve"> </w:t>
      </w:r>
      <w:r w:rsidR="00F5188F" w:rsidRPr="00AB36AE">
        <w:rPr>
          <w:sz w:val="18"/>
          <w:szCs w:val="18"/>
          <w:lang w:val="fr-BE"/>
        </w:rPr>
        <w:t xml:space="preserve">Quicke, </w:t>
      </w:r>
      <w:r w:rsidR="00F5188F" w:rsidRPr="00AB36AE">
        <w:rPr>
          <w:i/>
          <w:sz w:val="18"/>
          <w:szCs w:val="18"/>
          <w:lang w:val="fr-BE"/>
        </w:rPr>
        <w:t>Les Pays-Bas à la veille de la période bourguignonne</w:t>
      </w:r>
      <w:r w:rsidRPr="00AB36AE">
        <w:rPr>
          <w:i/>
          <w:sz w:val="18"/>
          <w:szCs w:val="18"/>
          <w:lang w:val="fr-BE"/>
        </w:rPr>
        <w:t xml:space="preserve">, </w:t>
      </w:r>
      <w:r w:rsidRPr="00AB36AE">
        <w:rPr>
          <w:sz w:val="18"/>
          <w:szCs w:val="18"/>
          <w:lang w:val="fr-BE"/>
        </w:rPr>
        <w:t xml:space="preserve">252. </w:t>
      </w:r>
    </w:p>
  </w:footnote>
  <w:footnote w:id="91">
    <w:p w14:paraId="41FFAE05" w14:textId="77777777" w:rsidR="00347160" w:rsidRPr="00AB36AE" w:rsidRDefault="00347160" w:rsidP="00347160">
      <w:pPr>
        <w:pStyle w:val="FootnoteText"/>
        <w:rPr>
          <w:sz w:val="18"/>
          <w:szCs w:val="18"/>
          <w:lang w:val="fr-BE"/>
        </w:rPr>
      </w:pPr>
      <w:r w:rsidRPr="00AB36AE">
        <w:rPr>
          <w:rStyle w:val="FootnoteReference"/>
          <w:sz w:val="18"/>
          <w:szCs w:val="18"/>
        </w:rPr>
        <w:footnoteRef/>
      </w:r>
      <w:r w:rsidRPr="00AB36AE">
        <w:rPr>
          <w:sz w:val="18"/>
          <w:szCs w:val="18"/>
          <w:lang w:val="fr-BE"/>
        </w:rPr>
        <w:t xml:space="preserve"> De Maesschalck, </w:t>
      </w:r>
      <w:r w:rsidRPr="00AB36AE">
        <w:rPr>
          <w:i/>
          <w:sz w:val="18"/>
          <w:szCs w:val="18"/>
          <w:lang w:val="fr-BE"/>
        </w:rPr>
        <w:t>De hertogen,</w:t>
      </w:r>
      <w:r w:rsidRPr="00AB36AE">
        <w:rPr>
          <w:sz w:val="18"/>
          <w:szCs w:val="18"/>
          <w:lang w:val="fr-BE"/>
        </w:rPr>
        <w:t xml:space="preserve"> 301-302. </w:t>
      </w:r>
    </w:p>
  </w:footnote>
  <w:footnote w:id="92">
    <w:p w14:paraId="08C3D7C0" w14:textId="77777777"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De Maesschalck, </w:t>
      </w:r>
      <w:r w:rsidRPr="00AB36AE">
        <w:rPr>
          <w:i/>
          <w:sz w:val="18"/>
          <w:szCs w:val="18"/>
        </w:rPr>
        <w:t>De hertogen,</w:t>
      </w:r>
      <w:r w:rsidRPr="00AB36AE">
        <w:rPr>
          <w:sz w:val="18"/>
          <w:szCs w:val="18"/>
        </w:rPr>
        <w:t xml:space="preserve"> 303. </w:t>
      </w:r>
    </w:p>
  </w:footnote>
  <w:footnote w:id="93">
    <w:p w14:paraId="41651083" w14:textId="4A3F616A" w:rsidR="00506613" w:rsidRPr="00AB36AE" w:rsidRDefault="00506613">
      <w:pPr>
        <w:pStyle w:val="FootnoteText"/>
        <w:rPr>
          <w:sz w:val="18"/>
          <w:szCs w:val="18"/>
          <w:lang w:val="en-US"/>
        </w:rPr>
      </w:pPr>
      <w:r w:rsidRPr="00AB36AE">
        <w:rPr>
          <w:rStyle w:val="FootnoteReference"/>
          <w:sz w:val="18"/>
          <w:szCs w:val="18"/>
        </w:rPr>
        <w:footnoteRef/>
      </w:r>
      <w:r w:rsidRPr="00AB36AE">
        <w:rPr>
          <w:sz w:val="18"/>
          <w:szCs w:val="18"/>
        </w:rPr>
        <w:t xml:space="preserve"> Boffa,</w:t>
      </w:r>
      <w:r w:rsidRPr="00AB36AE">
        <w:rPr>
          <w:i/>
          <w:iCs/>
          <w:sz w:val="18"/>
          <w:szCs w:val="18"/>
        </w:rPr>
        <w:t xml:space="preserve"> Warfare</w:t>
      </w:r>
      <w:r w:rsidRPr="00AB36AE">
        <w:rPr>
          <w:sz w:val="18"/>
          <w:szCs w:val="18"/>
        </w:rPr>
        <w:t>, 22-23, 88.</w:t>
      </w:r>
    </w:p>
  </w:footnote>
  <w:footnote w:id="94">
    <w:p w14:paraId="5C38A3BC" w14:textId="77777777"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Boffa,</w:t>
      </w:r>
      <w:r w:rsidRPr="00AB36AE">
        <w:rPr>
          <w:i/>
          <w:iCs/>
          <w:sz w:val="18"/>
          <w:szCs w:val="18"/>
        </w:rPr>
        <w:t xml:space="preserve"> Warfare</w:t>
      </w:r>
      <w:r w:rsidRPr="00AB36AE">
        <w:rPr>
          <w:sz w:val="18"/>
          <w:szCs w:val="18"/>
        </w:rPr>
        <w:t xml:space="preserve">, 8, 22-23, 88. </w:t>
      </w:r>
    </w:p>
  </w:footnote>
  <w:footnote w:id="95">
    <w:p w14:paraId="0F476124" w14:textId="6CD58DBE" w:rsidR="00506613" w:rsidRPr="00AB36AE" w:rsidRDefault="00506613">
      <w:pPr>
        <w:pStyle w:val="FootnoteText"/>
        <w:rPr>
          <w:sz w:val="18"/>
          <w:szCs w:val="18"/>
          <w:lang w:val="en-US"/>
        </w:rPr>
      </w:pPr>
      <w:r w:rsidRPr="00AB36AE">
        <w:rPr>
          <w:rStyle w:val="FootnoteReference"/>
          <w:sz w:val="18"/>
          <w:szCs w:val="18"/>
        </w:rPr>
        <w:footnoteRef/>
      </w:r>
      <w:r w:rsidRPr="00AB36AE">
        <w:rPr>
          <w:sz w:val="18"/>
          <w:szCs w:val="18"/>
        </w:rPr>
        <w:t xml:space="preserve"> </w:t>
      </w:r>
      <w:r w:rsidRPr="00AB36AE">
        <w:rPr>
          <w:sz w:val="18"/>
          <w:szCs w:val="18"/>
          <w:lang w:val="fr-BE"/>
        </w:rPr>
        <w:t xml:space="preserve">Verkooren, </w:t>
      </w:r>
      <w:r w:rsidRPr="00AB36AE">
        <w:rPr>
          <w:i/>
          <w:iCs/>
          <w:sz w:val="18"/>
          <w:szCs w:val="18"/>
          <w:lang w:val="fr-BE"/>
        </w:rPr>
        <w:t xml:space="preserve">Inventaire des Chartes et Cartulaires ; </w:t>
      </w:r>
      <w:r w:rsidRPr="00AB36AE">
        <w:rPr>
          <w:sz w:val="18"/>
          <w:szCs w:val="18"/>
          <w:lang w:val="en-GB"/>
        </w:rPr>
        <w:t xml:space="preserve">Verkooren, </w:t>
      </w:r>
      <w:r w:rsidRPr="00AB36AE">
        <w:rPr>
          <w:i/>
          <w:iCs/>
          <w:sz w:val="18"/>
          <w:szCs w:val="18"/>
          <w:lang w:val="en-GB"/>
        </w:rPr>
        <w:t xml:space="preserve">Chartes originales et vidimées, </w:t>
      </w:r>
      <w:r w:rsidRPr="00AB36AE">
        <w:rPr>
          <w:sz w:val="18"/>
          <w:szCs w:val="18"/>
          <w:lang w:val="en-GB"/>
        </w:rPr>
        <w:t>VII, VIII.</w:t>
      </w:r>
    </w:p>
  </w:footnote>
  <w:footnote w:id="96">
    <w:p w14:paraId="65984AB4" w14:textId="14C7CBB4" w:rsidR="00347160" w:rsidRPr="00AB36AE" w:rsidRDefault="00347160" w:rsidP="00347160">
      <w:pPr>
        <w:spacing w:line="276" w:lineRule="auto"/>
        <w:jc w:val="both"/>
        <w:rPr>
          <w:sz w:val="18"/>
          <w:szCs w:val="18"/>
        </w:rPr>
      </w:pPr>
      <w:r w:rsidRPr="00AB36AE">
        <w:rPr>
          <w:rStyle w:val="FootnoteReference"/>
          <w:sz w:val="18"/>
          <w:szCs w:val="18"/>
        </w:rPr>
        <w:footnoteRef/>
      </w:r>
      <w:r w:rsidRPr="00AB36AE">
        <w:rPr>
          <w:sz w:val="18"/>
          <w:szCs w:val="18"/>
        </w:rPr>
        <w:t xml:space="preserve"> Brussel, Algemeen Rijksarchief, </w:t>
      </w:r>
      <w:r w:rsidRPr="00AB36AE">
        <w:rPr>
          <w:i/>
          <w:iCs/>
          <w:sz w:val="18"/>
          <w:szCs w:val="18"/>
        </w:rPr>
        <w:t xml:space="preserve">Rekenkamer van Brabant, </w:t>
      </w:r>
      <w:r w:rsidR="00C375A4" w:rsidRPr="00AB36AE">
        <w:rPr>
          <w:sz w:val="18"/>
          <w:szCs w:val="18"/>
        </w:rPr>
        <w:t>nrs</w:t>
      </w:r>
      <w:r w:rsidR="00C375A4" w:rsidRPr="00AB36AE">
        <w:rPr>
          <w:i/>
          <w:iCs/>
          <w:sz w:val="18"/>
          <w:szCs w:val="18"/>
        </w:rPr>
        <w:t xml:space="preserve">. </w:t>
      </w:r>
      <w:r w:rsidRPr="00AB36AE">
        <w:rPr>
          <w:sz w:val="18"/>
          <w:szCs w:val="18"/>
        </w:rPr>
        <w:t xml:space="preserve">2362, 2363, 2364, 2365. </w:t>
      </w:r>
    </w:p>
  </w:footnote>
  <w:footnote w:id="97">
    <w:p w14:paraId="1E76CD6F" w14:textId="5C823CEA" w:rsidR="00347160" w:rsidRPr="00AB36AE" w:rsidRDefault="00347160" w:rsidP="00347160">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Uyttebrouck,</w:t>
      </w:r>
      <w:r w:rsidR="00FA5D0B" w:rsidRPr="00AB36AE">
        <w:rPr>
          <w:sz w:val="18"/>
          <w:szCs w:val="18"/>
          <w:lang w:val="nl-NL"/>
        </w:rPr>
        <w:t xml:space="preserve"> “</w:t>
      </w:r>
      <w:r w:rsidRPr="00AB36AE">
        <w:rPr>
          <w:sz w:val="18"/>
          <w:szCs w:val="18"/>
          <w:lang w:val="nl-NL"/>
        </w:rPr>
        <w:t>Inventaire des comptes</w:t>
      </w:r>
      <w:r w:rsidR="00105E89" w:rsidRPr="00AB36AE">
        <w:rPr>
          <w:sz w:val="18"/>
          <w:szCs w:val="18"/>
          <w:lang w:val="nl-NL"/>
        </w:rPr>
        <w:t>”</w:t>
      </w:r>
      <w:r w:rsidR="00FA5D0B" w:rsidRPr="00AB36AE">
        <w:rPr>
          <w:sz w:val="18"/>
          <w:szCs w:val="18"/>
          <w:lang w:val="nl-NL"/>
        </w:rPr>
        <w:t>,</w:t>
      </w:r>
      <w:r w:rsidRPr="00AB36AE">
        <w:rPr>
          <w:sz w:val="18"/>
          <w:szCs w:val="18"/>
          <w:lang w:val="nl-NL"/>
        </w:rPr>
        <w:t xml:space="preserve">104-105. </w:t>
      </w:r>
    </w:p>
  </w:footnote>
  <w:footnote w:id="98">
    <w:p w14:paraId="73E12CC9" w14:textId="77777777" w:rsidR="00E6460A" w:rsidRPr="00AB36AE" w:rsidRDefault="00E6460A" w:rsidP="00E6460A">
      <w:pPr>
        <w:pStyle w:val="FootnoteText"/>
        <w:rPr>
          <w:sz w:val="18"/>
          <w:szCs w:val="18"/>
          <w:lang w:val="en-US"/>
        </w:rPr>
      </w:pPr>
      <w:r w:rsidRPr="00AB36AE">
        <w:rPr>
          <w:rStyle w:val="FootnoteReference"/>
          <w:sz w:val="18"/>
          <w:szCs w:val="18"/>
        </w:rPr>
        <w:footnoteRef/>
      </w:r>
      <w:r w:rsidRPr="00AB36AE">
        <w:rPr>
          <w:sz w:val="18"/>
          <w:szCs w:val="18"/>
        </w:rPr>
        <w:t xml:space="preserve"> </w:t>
      </w:r>
      <w:r w:rsidRPr="00AB36AE">
        <w:rPr>
          <w:sz w:val="18"/>
          <w:szCs w:val="18"/>
          <w:lang w:val="nl-NL"/>
        </w:rPr>
        <w:t>ARAB, RK, Nr. 2363, fol. 111; ARAB, RK, Nr. 2365, fol. 94.</w:t>
      </w:r>
    </w:p>
  </w:footnote>
  <w:footnote w:id="99">
    <w:p w14:paraId="4EB3E055" w14:textId="286F50CB"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Vanderputten, e.a., </w:t>
      </w:r>
      <w:r w:rsidRPr="00AB36AE">
        <w:rPr>
          <w:i/>
          <w:sz w:val="18"/>
          <w:szCs w:val="18"/>
        </w:rPr>
        <w:t>Typologie</w:t>
      </w:r>
      <w:r w:rsidR="009D1F2C" w:rsidRPr="00AB36AE">
        <w:rPr>
          <w:i/>
          <w:sz w:val="18"/>
          <w:szCs w:val="18"/>
        </w:rPr>
        <w:t xml:space="preserve">, </w:t>
      </w:r>
      <w:r w:rsidRPr="00AB36AE">
        <w:rPr>
          <w:sz w:val="18"/>
          <w:szCs w:val="18"/>
        </w:rPr>
        <w:t>120.</w:t>
      </w:r>
    </w:p>
  </w:footnote>
  <w:footnote w:id="100">
    <w:p w14:paraId="65B201E1" w14:textId="47A14567"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Sleiderink, </w:t>
      </w:r>
      <w:r w:rsidR="009D1F2C" w:rsidRPr="00AB36AE">
        <w:rPr>
          <w:sz w:val="18"/>
          <w:szCs w:val="18"/>
        </w:rPr>
        <w:t>“</w:t>
      </w:r>
      <w:r w:rsidRPr="00AB36AE">
        <w:rPr>
          <w:sz w:val="18"/>
          <w:szCs w:val="18"/>
        </w:rPr>
        <w:t>Dichters aan het Brabantse hof</w:t>
      </w:r>
      <w:r w:rsidR="009D1F2C" w:rsidRPr="00AB36AE">
        <w:rPr>
          <w:sz w:val="18"/>
          <w:szCs w:val="18"/>
        </w:rPr>
        <w:t>”</w:t>
      </w:r>
      <w:r w:rsidRPr="00AB36AE">
        <w:rPr>
          <w:sz w:val="18"/>
          <w:szCs w:val="18"/>
        </w:rPr>
        <w:t xml:space="preserve"> (1356-1406)</w:t>
      </w:r>
      <w:r w:rsidR="009D1F2C" w:rsidRPr="00AB36AE">
        <w:rPr>
          <w:sz w:val="18"/>
          <w:szCs w:val="18"/>
        </w:rPr>
        <w:t>”</w:t>
      </w:r>
      <w:r w:rsidRPr="00AB36AE">
        <w:rPr>
          <w:sz w:val="18"/>
          <w:szCs w:val="18"/>
        </w:rPr>
        <w:t xml:space="preserve">, 3, nr. 10. </w:t>
      </w:r>
    </w:p>
  </w:footnote>
  <w:footnote w:id="101">
    <w:p w14:paraId="78FF0F3E" w14:textId="53C59682"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Voor een goed in kaart gebracht voorbeeld van de complexiteit van het middeleeuwse financiële apparaat, zie: Haemers, </w:t>
      </w:r>
      <w:r w:rsidRPr="00AB36AE">
        <w:rPr>
          <w:i/>
          <w:iCs/>
          <w:sz w:val="18"/>
          <w:szCs w:val="18"/>
        </w:rPr>
        <w:t>For the common good</w:t>
      </w:r>
      <w:r w:rsidR="00105E89" w:rsidRPr="00AB36AE">
        <w:rPr>
          <w:i/>
          <w:iCs/>
          <w:sz w:val="18"/>
          <w:szCs w:val="18"/>
        </w:rPr>
        <w:t xml:space="preserve">, </w:t>
      </w:r>
      <w:r w:rsidRPr="00AB36AE">
        <w:rPr>
          <w:sz w:val="18"/>
          <w:szCs w:val="18"/>
        </w:rPr>
        <w:t>34</w:t>
      </w:r>
      <w:r w:rsidR="00105E89" w:rsidRPr="00AB36AE">
        <w:rPr>
          <w:sz w:val="18"/>
          <w:szCs w:val="18"/>
        </w:rPr>
        <w:t>.</w:t>
      </w:r>
    </w:p>
  </w:footnote>
  <w:footnote w:id="102">
    <w:p w14:paraId="6BF8BD0D" w14:textId="77777777"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Uyttebrouck, ‘Inventaire des comptes’, 107.</w:t>
      </w:r>
    </w:p>
  </w:footnote>
  <w:footnote w:id="103">
    <w:p w14:paraId="40797B68" w14:textId="6AA7DD16"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Sleiderink, </w:t>
      </w:r>
      <w:r w:rsidRPr="00AB36AE">
        <w:rPr>
          <w:i/>
          <w:iCs/>
          <w:sz w:val="18"/>
          <w:szCs w:val="18"/>
        </w:rPr>
        <w:t>De stem van de Meester</w:t>
      </w:r>
      <w:r w:rsidRPr="00AB36AE">
        <w:rPr>
          <w:sz w:val="18"/>
          <w:szCs w:val="18"/>
        </w:rPr>
        <w:t>, 138</w:t>
      </w:r>
      <w:r w:rsidR="00105E89" w:rsidRPr="00AB36AE">
        <w:rPr>
          <w:sz w:val="18"/>
          <w:szCs w:val="18"/>
        </w:rPr>
        <w:t>.</w:t>
      </w:r>
    </w:p>
  </w:footnote>
  <w:footnote w:id="104">
    <w:p w14:paraId="722826FE" w14:textId="2EF0E5AD" w:rsidR="00A110E9" w:rsidRPr="00AB36AE" w:rsidRDefault="00A110E9">
      <w:pPr>
        <w:pStyle w:val="FootnoteText"/>
        <w:rPr>
          <w:sz w:val="18"/>
          <w:szCs w:val="18"/>
          <w:lang w:val="en-US"/>
        </w:rPr>
      </w:pPr>
      <w:r w:rsidRPr="00AB36AE">
        <w:rPr>
          <w:rStyle w:val="FootnoteReference"/>
          <w:sz w:val="18"/>
          <w:szCs w:val="18"/>
        </w:rPr>
        <w:footnoteRef/>
      </w:r>
      <w:r w:rsidRPr="00AB36AE">
        <w:rPr>
          <w:sz w:val="18"/>
          <w:szCs w:val="18"/>
        </w:rPr>
        <w:t xml:space="preserve"> </w:t>
      </w:r>
      <w:r w:rsidR="00105E89" w:rsidRPr="00AB36AE">
        <w:rPr>
          <w:sz w:val="18"/>
          <w:szCs w:val="18"/>
        </w:rPr>
        <w:t xml:space="preserve">Sleiderink, </w:t>
      </w:r>
      <w:r w:rsidR="00105E89" w:rsidRPr="00AB36AE">
        <w:rPr>
          <w:i/>
          <w:iCs/>
          <w:sz w:val="18"/>
          <w:szCs w:val="18"/>
        </w:rPr>
        <w:t>De stem van de Meester</w:t>
      </w:r>
      <w:r w:rsidR="00105E89" w:rsidRPr="00AB36AE">
        <w:rPr>
          <w:sz w:val="18"/>
          <w:szCs w:val="18"/>
        </w:rPr>
        <w:t>, 138.</w:t>
      </w:r>
    </w:p>
  </w:footnote>
  <w:footnote w:id="105">
    <w:p w14:paraId="47C63C06" w14:textId="18D9001A" w:rsidR="00B36028"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w:t>
      </w:r>
      <w:r w:rsidR="00B36028" w:rsidRPr="00AB36AE">
        <w:rPr>
          <w:sz w:val="18"/>
          <w:szCs w:val="18"/>
        </w:rPr>
        <w:t>Op de kaft van: ARAB, RK, nr. 2368</w:t>
      </w:r>
      <w:r w:rsidR="00380210" w:rsidRPr="00AB36AE">
        <w:rPr>
          <w:sz w:val="18"/>
          <w:szCs w:val="18"/>
        </w:rPr>
        <w:t>.</w:t>
      </w:r>
    </w:p>
  </w:footnote>
  <w:footnote w:id="106">
    <w:p w14:paraId="40E44E47" w14:textId="71B0D885"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Verkooren stelde ook een reeks op voor Luxemburg: Verkooren</w:t>
      </w:r>
      <w:r w:rsidRPr="00AB36AE">
        <w:rPr>
          <w:i/>
          <w:iCs/>
          <w:sz w:val="18"/>
          <w:szCs w:val="18"/>
        </w:rPr>
        <w:t>, Inventaire des chartes &amp; cartulaires du Luxembourg</w:t>
      </w:r>
      <w:r w:rsidR="00D84A15" w:rsidRPr="00AB36AE">
        <w:rPr>
          <w:i/>
          <w:iCs/>
          <w:sz w:val="18"/>
          <w:szCs w:val="18"/>
        </w:rPr>
        <w:t>.</w:t>
      </w:r>
    </w:p>
  </w:footnote>
  <w:footnote w:id="107">
    <w:p w14:paraId="119BE11F" w14:textId="77777777"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Vanderputte, e.a.,</w:t>
      </w:r>
      <w:r w:rsidRPr="00AB36AE">
        <w:rPr>
          <w:i/>
          <w:sz w:val="18"/>
          <w:szCs w:val="18"/>
        </w:rPr>
        <w:t xml:space="preserve"> Typologie, </w:t>
      </w:r>
      <w:r w:rsidRPr="00AB36AE">
        <w:rPr>
          <w:sz w:val="18"/>
          <w:szCs w:val="18"/>
        </w:rPr>
        <w:t>106.</w:t>
      </w:r>
    </w:p>
  </w:footnote>
  <w:footnote w:id="108">
    <w:p w14:paraId="2418283F" w14:textId="77777777"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Vanderputte, e.a.,</w:t>
      </w:r>
      <w:r w:rsidRPr="00AB36AE">
        <w:rPr>
          <w:i/>
          <w:sz w:val="18"/>
          <w:szCs w:val="18"/>
        </w:rPr>
        <w:t xml:space="preserve"> Typologie, </w:t>
      </w:r>
      <w:r w:rsidRPr="00AB36AE">
        <w:rPr>
          <w:sz w:val="18"/>
          <w:szCs w:val="18"/>
        </w:rPr>
        <w:t>106.</w:t>
      </w:r>
    </w:p>
  </w:footnote>
  <w:footnote w:id="109">
    <w:p w14:paraId="4DCCC563" w14:textId="59313F37" w:rsidR="00347160" w:rsidRPr="00AB36AE" w:rsidRDefault="00347160" w:rsidP="00347160">
      <w:pPr>
        <w:pStyle w:val="FootnoteText"/>
        <w:rPr>
          <w:sz w:val="18"/>
          <w:szCs w:val="18"/>
          <w:lang w:val="fr-BE"/>
        </w:rPr>
      </w:pPr>
      <w:r w:rsidRPr="00AB36AE">
        <w:rPr>
          <w:rStyle w:val="FootnoteReference"/>
          <w:sz w:val="18"/>
          <w:szCs w:val="18"/>
        </w:rPr>
        <w:footnoteRef/>
      </w:r>
      <w:r w:rsidRPr="00AB36AE">
        <w:rPr>
          <w:sz w:val="18"/>
          <w:szCs w:val="18"/>
          <w:lang w:val="fr-BE"/>
        </w:rPr>
        <w:t xml:space="preserve"> Verkooren, </w:t>
      </w:r>
      <w:r w:rsidRPr="00AB36AE">
        <w:rPr>
          <w:i/>
          <w:iCs/>
          <w:sz w:val="18"/>
          <w:szCs w:val="18"/>
          <w:lang w:val="fr-BE"/>
        </w:rPr>
        <w:t>Inventaire des Chartes et Cartulaires</w:t>
      </w:r>
      <w:r w:rsidR="0037070D" w:rsidRPr="00AB36AE">
        <w:rPr>
          <w:i/>
          <w:iCs/>
          <w:sz w:val="18"/>
          <w:szCs w:val="18"/>
          <w:lang w:val="fr-BE"/>
        </w:rPr>
        <w:t>.</w:t>
      </w:r>
    </w:p>
  </w:footnote>
  <w:footnote w:id="110">
    <w:p w14:paraId="43BD5243" w14:textId="77777777" w:rsidR="00347160" w:rsidRPr="00AB36AE" w:rsidRDefault="00347160" w:rsidP="00347160">
      <w:pPr>
        <w:pStyle w:val="FootnoteText"/>
        <w:rPr>
          <w:sz w:val="18"/>
          <w:szCs w:val="18"/>
          <w:lang w:val="fr-BE"/>
        </w:rPr>
      </w:pPr>
      <w:r w:rsidRPr="00AB36AE">
        <w:rPr>
          <w:rStyle w:val="FootnoteReference"/>
          <w:sz w:val="18"/>
          <w:szCs w:val="18"/>
        </w:rPr>
        <w:footnoteRef/>
      </w:r>
      <w:r w:rsidRPr="00AB36AE">
        <w:rPr>
          <w:sz w:val="18"/>
          <w:szCs w:val="18"/>
          <w:lang w:val="fr-BE"/>
        </w:rPr>
        <w:t xml:space="preserve"> Vanderputte, e.a.,</w:t>
      </w:r>
      <w:r w:rsidRPr="00AB36AE">
        <w:rPr>
          <w:i/>
          <w:sz w:val="18"/>
          <w:szCs w:val="18"/>
          <w:lang w:val="fr-BE"/>
        </w:rPr>
        <w:t xml:space="preserve"> Typologie, </w:t>
      </w:r>
      <w:r w:rsidRPr="00AB36AE">
        <w:rPr>
          <w:sz w:val="18"/>
          <w:szCs w:val="18"/>
          <w:lang w:val="fr-BE"/>
        </w:rPr>
        <w:t>106.</w:t>
      </w:r>
    </w:p>
  </w:footnote>
  <w:footnote w:id="111">
    <w:p w14:paraId="5109B260" w14:textId="3F412970" w:rsidR="00347160" w:rsidRPr="00AB36AE" w:rsidRDefault="00347160" w:rsidP="00347160">
      <w:pPr>
        <w:pStyle w:val="FootnoteText"/>
        <w:rPr>
          <w:sz w:val="18"/>
          <w:szCs w:val="18"/>
          <w:lang w:val="fr-BE"/>
        </w:rPr>
      </w:pPr>
      <w:r w:rsidRPr="00AB36AE">
        <w:rPr>
          <w:rStyle w:val="FootnoteReference"/>
          <w:sz w:val="18"/>
          <w:szCs w:val="18"/>
        </w:rPr>
        <w:footnoteRef/>
      </w:r>
      <w:r w:rsidR="003E2309" w:rsidRPr="00AB36AE">
        <w:rPr>
          <w:sz w:val="18"/>
          <w:szCs w:val="18"/>
          <w:lang w:val="fr-BE"/>
        </w:rPr>
        <w:t xml:space="preserve"> </w:t>
      </w:r>
      <w:r w:rsidR="003E2309" w:rsidRPr="00AB36AE">
        <w:rPr>
          <w:sz w:val="18"/>
          <w:szCs w:val="18"/>
          <w:lang w:val="en-GB"/>
        </w:rPr>
        <w:t xml:space="preserve">Verkooren, </w:t>
      </w:r>
      <w:r w:rsidR="003E2309" w:rsidRPr="00AB36AE">
        <w:rPr>
          <w:i/>
          <w:iCs/>
          <w:sz w:val="18"/>
          <w:szCs w:val="18"/>
          <w:lang w:val="en-GB"/>
        </w:rPr>
        <w:t xml:space="preserve">Chartes originales et vidimées, </w:t>
      </w:r>
      <w:r w:rsidR="003E2309" w:rsidRPr="00AB36AE">
        <w:rPr>
          <w:sz w:val="18"/>
          <w:szCs w:val="18"/>
          <w:lang w:val="en-GB"/>
        </w:rPr>
        <w:t>VII, VIII.</w:t>
      </w:r>
    </w:p>
  </w:footnote>
  <w:footnote w:id="112">
    <w:p w14:paraId="7C0CE523" w14:textId="78E810DE"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Boone, </w:t>
      </w:r>
      <w:r w:rsidR="00BF7481" w:rsidRPr="00AB36AE">
        <w:rPr>
          <w:sz w:val="18"/>
          <w:szCs w:val="18"/>
        </w:rPr>
        <w:t>“</w:t>
      </w:r>
      <w:r w:rsidRPr="00AB36AE">
        <w:rPr>
          <w:sz w:val="18"/>
          <w:szCs w:val="18"/>
        </w:rPr>
        <w:t>Muntgeschiedenis Middeleeuwen</w:t>
      </w:r>
      <w:r w:rsidR="00BF7481" w:rsidRPr="00AB36AE">
        <w:rPr>
          <w:sz w:val="18"/>
          <w:szCs w:val="18"/>
        </w:rPr>
        <w:t>”</w:t>
      </w:r>
      <w:r w:rsidRPr="00AB36AE">
        <w:rPr>
          <w:sz w:val="18"/>
          <w:szCs w:val="18"/>
        </w:rPr>
        <w:t>, 158-161.</w:t>
      </w:r>
    </w:p>
  </w:footnote>
  <w:footnote w:id="113">
    <w:p w14:paraId="15BF6EDF" w14:textId="08E26115" w:rsidR="00347160"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w:t>
      </w:r>
      <w:r w:rsidR="00BF7481" w:rsidRPr="00AB36AE">
        <w:rPr>
          <w:sz w:val="18"/>
          <w:szCs w:val="18"/>
          <w:lang w:val="en-GB"/>
        </w:rPr>
        <w:t xml:space="preserve">Verkooren, </w:t>
      </w:r>
      <w:r w:rsidR="00BF7481" w:rsidRPr="00AB36AE">
        <w:rPr>
          <w:i/>
          <w:iCs/>
          <w:sz w:val="18"/>
          <w:szCs w:val="18"/>
          <w:lang w:val="en-GB"/>
        </w:rPr>
        <w:t xml:space="preserve">Chartes originales et vidimées, </w:t>
      </w:r>
      <w:r w:rsidR="00BF7481" w:rsidRPr="00AB36AE">
        <w:rPr>
          <w:sz w:val="18"/>
          <w:szCs w:val="18"/>
          <w:lang w:val="en-GB"/>
        </w:rPr>
        <w:t>VIII</w:t>
      </w:r>
      <w:r w:rsidR="005406BE" w:rsidRPr="00AB36AE">
        <w:rPr>
          <w:sz w:val="18"/>
          <w:szCs w:val="18"/>
          <w:lang w:val="en-GB"/>
        </w:rPr>
        <w:t>, 1-104.</w:t>
      </w:r>
    </w:p>
  </w:footnote>
  <w:footnote w:id="114">
    <w:p w14:paraId="6C0D1DED" w14:textId="77777777" w:rsidR="00347160" w:rsidRPr="00AB36AE" w:rsidRDefault="00347160" w:rsidP="00347160">
      <w:pPr>
        <w:pStyle w:val="FootnoteText"/>
        <w:rPr>
          <w:sz w:val="18"/>
          <w:szCs w:val="18"/>
          <w:lang w:val="fr-BE"/>
        </w:rPr>
      </w:pPr>
      <w:r w:rsidRPr="00AB36AE">
        <w:rPr>
          <w:rStyle w:val="FootnoteReference"/>
          <w:sz w:val="18"/>
          <w:szCs w:val="18"/>
        </w:rPr>
        <w:footnoteRef/>
      </w:r>
      <w:r w:rsidRPr="00AB36AE">
        <w:rPr>
          <w:sz w:val="18"/>
          <w:szCs w:val="18"/>
          <w:lang w:val="fr-BE"/>
        </w:rPr>
        <w:t xml:space="preserve"> Vanderputte, e.a.,</w:t>
      </w:r>
      <w:r w:rsidRPr="00AB36AE">
        <w:rPr>
          <w:i/>
          <w:sz w:val="18"/>
          <w:szCs w:val="18"/>
          <w:lang w:val="fr-BE"/>
        </w:rPr>
        <w:t xml:space="preserve"> Typologie, </w:t>
      </w:r>
      <w:r w:rsidRPr="00AB36AE">
        <w:rPr>
          <w:sz w:val="18"/>
          <w:szCs w:val="18"/>
          <w:lang w:val="fr-BE"/>
        </w:rPr>
        <w:t>208.</w:t>
      </w:r>
    </w:p>
  </w:footnote>
  <w:footnote w:id="115">
    <w:p w14:paraId="4E4200C9" w14:textId="053237AF" w:rsidR="00347160" w:rsidRPr="00AB36AE" w:rsidRDefault="00347160" w:rsidP="00347160">
      <w:pPr>
        <w:pStyle w:val="FootnoteText"/>
        <w:rPr>
          <w:sz w:val="18"/>
          <w:szCs w:val="18"/>
          <w:lang w:val="fr-BE"/>
        </w:rPr>
      </w:pPr>
      <w:r w:rsidRPr="00AB36AE">
        <w:rPr>
          <w:rStyle w:val="FootnoteReference"/>
          <w:sz w:val="18"/>
          <w:szCs w:val="18"/>
        </w:rPr>
        <w:footnoteRef/>
      </w:r>
      <w:r w:rsidRPr="00AB36AE">
        <w:rPr>
          <w:sz w:val="18"/>
          <w:szCs w:val="18"/>
          <w:lang w:val="fr-BE"/>
        </w:rPr>
        <w:t xml:space="preserve"> Alphonse De Witte, </w:t>
      </w:r>
      <w:r w:rsidRPr="00AB36AE">
        <w:rPr>
          <w:i/>
          <w:iCs/>
          <w:sz w:val="18"/>
          <w:szCs w:val="18"/>
          <w:lang w:val="fr-BE"/>
        </w:rPr>
        <w:t>Histoire monétaire</w:t>
      </w:r>
      <w:r w:rsidR="0082537A" w:rsidRPr="00AB36AE">
        <w:rPr>
          <w:i/>
          <w:iCs/>
          <w:sz w:val="18"/>
          <w:szCs w:val="18"/>
          <w:lang w:val="fr-BE"/>
        </w:rPr>
        <w:t xml:space="preserve">, </w:t>
      </w:r>
      <w:r w:rsidRPr="00AB36AE">
        <w:rPr>
          <w:sz w:val="18"/>
          <w:szCs w:val="18"/>
          <w:lang w:val="fr-BE"/>
        </w:rPr>
        <w:t>138-139.</w:t>
      </w:r>
    </w:p>
  </w:footnote>
  <w:footnote w:id="116">
    <w:p w14:paraId="38FD5B45" w14:textId="77777777" w:rsidR="00787569" w:rsidRPr="00AB36AE" w:rsidRDefault="00787569" w:rsidP="00787569">
      <w:pPr>
        <w:pStyle w:val="FootnoteText"/>
        <w:rPr>
          <w:sz w:val="18"/>
          <w:szCs w:val="18"/>
          <w:lang w:val="fr-BE"/>
        </w:rPr>
      </w:pPr>
      <w:r w:rsidRPr="00AB36AE">
        <w:rPr>
          <w:rStyle w:val="FootnoteReference"/>
          <w:sz w:val="18"/>
          <w:szCs w:val="18"/>
        </w:rPr>
        <w:footnoteRef/>
      </w:r>
      <w:r w:rsidRPr="00AB36AE">
        <w:rPr>
          <w:sz w:val="18"/>
          <w:szCs w:val="18"/>
          <w:lang w:val="fr-BE"/>
        </w:rPr>
        <w:t xml:space="preserve"> Alphonse De Witte, </w:t>
      </w:r>
      <w:r w:rsidRPr="00AB36AE">
        <w:rPr>
          <w:i/>
          <w:iCs/>
          <w:sz w:val="18"/>
          <w:szCs w:val="18"/>
          <w:lang w:val="fr-BE"/>
        </w:rPr>
        <w:t xml:space="preserve">Histoire monétaire, </w:t>
      </w:r>
      <w:r w:rsidRPr="00AB36AE">
        <w:rPr>
          <w:sz w:val="18"/>
          <w:szCs w:val="18"/>
          <w:lang w:val="fr-BE"/>
        </w:rPr>
        <w:t>145.</w:t>
      </w:r>
    </w:p>
  </w:footnote>
  <w:footnote w:id="117">
    <w:p w14:paraId="55250A3E" w14:textId="7249AFAF" w:rsidR="00347160" w:rsidRPr="00AB36AE" w:rsidRDefault="00347160" w:rsidP="00347160">
      <w:pPr>
        <w:pStyle w:val="FootnoteText"/>
        <w:rPr>
          <w:sz w:val="18"/>
          <w:szCs w:val="18"/>
          <w:lang w:val="fr-BE"/>
        </w:rPr>
      </w:pPr>
      <w:r w:rsidRPr="00AB36AE">
        <w:rPr>
          <w:rStyle w:val="FootnoteReference"/>
          <w:sz w:val="18"/>
          <w:szCs w:val="18"/>
        </w:rPr>
        <w:footnoteRef/>
      </w:r>
      <w:r w:rsidR="0082537A" w:rsidRPr="00AB36AE">
        <w:rPr>
          <w:sz w:val="18"/>
          <w:szCs w:val="18"/>
          <w:lang w:val="fr-BE"/>
        </w:rPr>
        <w:t xml:space="preserve"> Alphonse De Witte, </w:t>
      </w:r>
      <w:r w:rsidR="0082537A" w:rsidRPr="00AB36AE">
        <w:rPr>
          <w:i/>
          <w:iCs/>
          <w:sz w:val="18"/>
          <w:szCs w:val="18"/>
          <w:lang w:val="fr-BE"/>
        </w:rPr>
        <w:t xml:space="preserve">Histoire monétaire, </w:t>
      </w:r>
      <w:r w:rsidR="0082537A" w:rsidRPr="00AB36AE">
        <w:rPr>
          <w:sz w:val="18"/>
          <w:szCs w:val="18"/>
          <w:lang w:val="fr-BE"/>
        </w:rPr>
        <w:t>145.</w:t>
      </w:r>
    </w:p>
  </w:footnote>
  <w:footnote w:id="118">
    <w:p w14:paraId="4C8AAB0E" w14:textId="347A7FD5" w:rsidR="00AB5D17"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w:t>
      </w:r>
      <w:r w:rsidR="00AB5D17" w:rsidRPr="00AB36AE">
        <w:rPr>
          <w:sz w:val="18"/>
          <w:szCs w:val="18"/>
        </w:rPr>
        <w:t>ARAB, RK, nr. 2365.</w:t>
      </w:r>
    </w:p>
  </w:footnote>
  <w:footnote w:id="119">
    <w:p w14:paraId="7575E1FC" w14:textId="0CFF51E5" w:rsidR="00AB5D17" w:rsidRPr="00AB36AE" w:rsidRDefault="00347160" w:rsidP="00347160">
      <w:pPr>
        <w:pStyle w:val="FootnoteText"/>
        <w:rPr>
          <w:sz w:val="18"/>
          <w:szCs w:val="18"/>
        </w:rPr>
      </w:pPr>
      <w:r w:rsidRPr="00AB36AE">
        <w:rPr>
          <w:rStyle w:val="FootnoteReference"/>
          <w:sz w:val="18"/>
          <w:szCs w:val="18"/>
        </w:rPr>
        <w:footnoteRef/>
      </w:r>
      <w:r w:rsidRPr="00AB36AE">
        <w:rPr>
          <w:sz w:val="18"/>
          <w:szCs w:val="18"/>
        </w:rPr>
        <w:t xml:space="preserve"> </w:t>
      </w:r>
      <w:r w:rsidR="00AB5D17" w:rsidRPr="00AB36AE">
        <w:rPr>
          <w:sz w:val="18"/>
          <w:szCs w:val="18"/>
        </w:rPr>
        <w:t>Voor 138</w:t>
      </w:r>
      <w:r w:rsidR="008832DE" w:rsidRPr="00AB36AE">
        <w:rPr>
          <w:sz w:val="18"/>
          <w:szCs w:val="18"/>
        </w:rPr>
        <w:t>0-1381, zie: ARAB, RK, nr. 2366; Voor 1383-1384, zie: ARAB, RK, nr. 2369</w:t>
      </w:r>
    </w:p>
    <w:p w14:paraId="4CCEA6F0" w14:textId="405A443A" w:rsidR="00347160" w:rsidRPr="00AB36AE" w:rsidRDefault="00347160" w:rsidP="00347160">
      <w:pPr>
        <w:pStyle w:val="FootnoteText"/>
        <w:rPr>
          <w:sz w:val="18"/>
          <w:szCs w:val="18"/>
        </w:rPr>
      </w:pPr>
    </w:p>
  </w:footnote>
  <w:footnote w:id="120">
    <w:p w14:paraId="040CEAD2" w14:textId="758855B5" w:rsidR="000D6E89" w:rsidRPr="00AB36AE" w:rsidRDefault="000D6E89" w:rsidP="000D6E89">
      <w:pPr>
        <w:pStyle w:val="FootnoteText"/>
        <w:rPr>
          <w:kern w:val="0"/>
          <w:sz w:val="18"/>
          <w:szCs w:val="18"/>
          <w:lang w:val="en-GB"/>
        </w:rPr>
      </w:pPr>
      <w:r w:rsidRPr="00AB36AE">
        <w:rPr>
          <w:rStyle w:val="FootnoteReference"/>
          <w:sz w:val="18"/>
          <w:szCs w:val="18"/>
        </w:rPr>
        <w:footnoteRef/>
      </w:r>
      <w:r w:rsidRPr="00AB36AE">
        <w:rPr>
          <w:sz w:val="18"/>
          <w:szCs w:val="18"/>
          <w:lang w:val="en-US"/>
        </w:rPr>
        <w:t xml:space="preserve"> </w:t>
      </w:r>
      <w:r w:rsidRPr="00AB36AE">
        <w:rPr>
          <w:sz w:val="18"/>
          <w:szCs w:val="18"/>
        </w:rPr>
        <w:fldChar w:fldCharType="begin"/>
      </w:r>
      <w:r w:rsidRPr="00AB36AE">
        <w:rPr>
          <w:sz w:val="18"/>
          <w:szCs w:val="18"/>
          <w:lang w:val="en-US"/>
        </w:rPr>
        <w:instrText xml:space="preserve"> ADDIN ZOTERO_ITEM CSL_CITATION {"citationID":"N3iVeE9j","properties":{"formattedCitation":"Amalie F\\uc0\\u246{}\\uc0\\u223{}el, \\uc0\\u8220{}The Queen\\uc0\\u8217{}s Wealth in the Middle Ages,\\uc0\\u8221{} {\\i{}Majestas} 13 (2005): 24.","plainCitation":"Amalie Fößel, “The Queen’s Wealth in the Middle Ages,” Majestas 13 (2005): 24.","noteIndex":1},"citationItems":[{"id":232,"uris":["http://zotero.org/users/local/5om8ZscP/items/CMIRYKR2"],"itemData":{"id":232,"type":"article-journal","container-title":"Majestas","journalAbbreviation":"Majestas","page":"23–45","title":"The Queen’s Wealth in the Middle Ages","volume":"13","author":[{"family":"Fößel","given":"Amalie"}],"issued":{"date-parts":[["2005"]]}},"locator":"24","label":"page"}],"schema":"https://github.com/citation-style-language/schema/raw/master/csl-citation.json"} </w:instrText>
      </w:r>
      <w:r w:rsidRPr="00AB36AE">
        <w:rPr>
          <w:sz w:val="18"/>
          <w:szCs w:val="18"/>
        </w:rPr>
        <w:fldChar w:fldCharType="separate"/>
      </w:r>
      <w:r w:rsidRPr="00AB36AE">
        <w:rPr>
          <w:kern w:val="0"/>
          <w:sz w:val="18"/>
          <w:szCs w:val="18"/>
          <w:lang w:val="en-GB"/>
        </w:rPr>
        <w:t>Fößel,</w:t>
      </w:r>
      <w:r w:rsidR="00274E40" w:rsidRPr="00AB36AE">
        <w:rPr>
          <w:kern w:val="0"/>
          <w:sz w:val="18"/>
          <w:szCs w:val="18"/>
          <w:lang w:val="en-GB"/>
        </w:rPr>
        <w:t xml:space="preserve"> </w:t>
      </w:r>
      <w:r w:rsidR="003A4ED0" w:rsidRPr="00AB36AE">
        <w:rPr>
          <w:kern w:val="0"/>
          <w:sz w:val="18"/>
          <w:szCs w:val="18"/>
          <w:lang w:val="en-GB"/>
        </w:rPr>
        <w:t>"</w:t>
      </w:r>
      <w:r w:rsidRPr="00AB36AE">
        <w:rPr>
          <w:kern w:val="0"/>
          <w:sz w:val="18"/>
          <w:szCs w:val="18"/>
          <w:lang w:val="en-GB"/>
        </w:rPr>
        <w:t>The Queen’s Wealt</w:t>
      </w:r>
      <w:r w:rsidR="00274E40" w:rsidRPr="00AB36AE">
        <w:rPr>
          <w:kern w:val="0"/>
          <w:sz w:val="18"/>
          <w:szCs w:val="18"/>
          <w:lang w:val="en-GB"/>
        </w:rPr>
        <w:t>h</w:t>
      </w:r>
      <w:r w:rsidR="003A4ED0" w:rsidRPr="00AB36AE">
        <w:rPr>
          <w:kern w:val="0"/>
          <w:sz w:val="18"/>
          <w:szCs w:val="18"/>
          <w:lang w:val="en-GB"/>
        </w:rPr>
        <w:t>"</w:t>
      </w:r>
      <w:r w:rsidR="00274E40" w:rsidRPr="00AB36AE">
        <w:rPr>
          <w:kern w:val="0"/>
          <w:sz w:val="18"/>
          <w:szCs w:val="18"/>
          <w:lang w:val="en-GB"/>
        </w:rPr>
        <w:t xml:space="preserve">, </w:t>
      </w:r>
      <w:r w:rsidRPr="00AB36AE">
        <w:rPr>
          <w:kern w:val="0"/>
          <w:sz w:val="18"/>
          <w:szCs w:val="18"/>
          <w:lang w:val="en-GB"/>
        </w:rPr>
        <w:t>24.</w:t>
      </w:r>
      <w:r w:rsidRPr="00AB36AE">
        <w:rPr>
          <w:sz w:val="18"/>
          <w:szCs w:val="18"/>
        </w:rPr>
        <w:fldChar w:fldCharType="end"/>
      </w:r>
    </w:p>
  </w:footnote>
  <w:footnote w:id="121">
    <w:p w14:paraId="7E9937BA" w14:textId="67F1441C" w:rsidR="000D6E89" w:rsidRPr="00AB36AE" w:rsidRDefault="000D6E89" w:rsidP="000D6E89">
      <w:pPr>
        <w:pStyle w:val="FootnoteText"/>
        <w:rPr>
          <w:sz w:val="18"/>
          <w:szCs w:val="18"/>
          <w:lang w:val="en-US"/>
        </w:rPr>
      </w:pPr>
      <w:r w:rsidRPr="00AB36AE">
        <w:rPr>
          <w:rStyle w:val="FootnoteReference"/>
          <w:sz w:val="18"/>
          <w:szCs w:val="18"/>
        </w:rPr>
        <w:footnoteRef/>
      </w:r>
      <w:r w:rsidRPr="00AB36AE">
        <w:rPr>
          <w:sz w:val="18"/>
          <w:szCs w:val="18"/>
          <w:lang w:val="en-US"/>
        </w:rPr>
        <w:t xml:space="preserve"> </w:t>
      </w:r>
      <w:r w:rsidRPr="00AB36AE">
        <w:rPr>
          <w:sz w:val="18"/>
          <w:szCs w:val="18"/>
        </w:rPr>
        <w:fldChar w:fldCharType="begin"/>
      </w:r>
      <w:r w:rsidRPr="00AB36AE">
        <w:rPr>
          <w:sz w:val="18"/>
          <w:szCs w:val="18"/>
          <w:lang w:val="en-US"/>
        </w:rPr>
        <w:instrText xml:space="preserve"> ADDIN ZOTERO_ITEM CSL_CITATION {"citationID":"W5mAfvqH","properties":{"formattedCitation":"Katia Wright, \\uc0\\u8220{}A Dower for Life: Understanding the Dowers of England\\uc0\\u8217{}s Medieval Queens,\\uc0\\u8221{} in {\\i{}Later Plantagenet and the Wars of the Roses Consorts}, ed. Aidan Norrie et al., Queenship and Power (Springer International Publishing, 2023), 145, https://doi.org/10.1007/978-3-030-94886-3_9.","plainCitation":"Katia Wright, “A Dower for Life: Understanding the Dowers of England’s Medieval Queens,” in Later Plantagenet and the Wars of the Roses Consorts, ed. Aidan Norrie et al., Queenship and Power (Springer International Publishing, 2023), 145, https://doi.org/10.1007/978-3-030-94886-3_9.","dontUpdate":true,"noteIndex":2},"citationItems":[{"id":234,"uris":["http://zotero.org/users/local/5om8ZscP/items/FX28W5GV"],"itemData":{"id":234,"type":"chapter","container-title":"Later Plantagenet and the Wars of the Roses Consorts","event-place":"Cham","ISBN":"978-3-030-94885-6","language":"en","note":"collection-title: Queenship and Power\nDOI: 10.1007/978-3-030-94886-3_9","page":"145-163","publisher":"Springer International Publishing","publisher-place":"Cham","source":"DOI.org (Crossref)","title":"A Dower for Life: Understanding the Dowers of England’s Medieval Queens","title-short":"A Dower for Life","URL":"https://link.springer.com/10.1007/978-3-030-94886-3_9","editor":[{"family":"Norrie","given":"Aidan"},{"family":"Harris","given":"Carolyn"},{"family":"Laynesmith","given":"J.L."},{"family":"Messer","given":"Danna R."},{"family":"Woodacre","given":"Elena"}],"author":[{"family":"Wright","given":"Katia"}],"accessed":{"date-parts":[["2026",4,16]]},"issued":{"date-parts":[["2023"]]}},"locator":"145","label":"page"}],"schema":"https://github.com/citation-style-language/schema/raw/master/csl-citation.json"} </w:instrText>
      </w:r>
      <w:r w:rsidRPr="00AB36AE">
        <w:rPr>
          <w:sz w:val="18"/>
          <w:szCs w:val="18"/>
        </w:rPr>
        <w:fldChar w:fldCharType="separate"/>
      </w:r>
      <w:r w:rsidRPr="00AB36AE">
        <w:rPr>
          <w:kern w:val="0"/>
          <w:sz w:val="18"/>
          <w:szCs w:val="18"/>
          <w:lang w:val="en-GB"/>
        </w:rPr>
        <w:t xml:space="preserve">Wright, </w:t>
      </w:r>
      <w:r w:rsidR="003A4ED0" w:rsidRPr="00AB36AE">
        <w:rPr>
          <w:kern w:val="0"/>
          <w:sz w:val="18"/>
          <w:szCs w:val="18"/>
          <w:lang w:val="en-GB"/>
        </w:rPr>
        <w:t>"</w:t>
      </w:r>
      <w:r w:rsidRPr="00AB36AE">
        <w:rPr>
          <w:kern w:val="0"/>
          <w:sz w:val="18"/>
          <w:szCs w:val="18"/>
          <w:lang w:val="en-GB"/>
        </w:rPr>
        <w:t>A Dower for Life</w:t>
      </w:r>
      <w:r w:rsidR="003A4ED0" w:rsidRPr="00AB36AE">
        <w:rPr>
          <w:kern w:val="0"/>
          <w:sz w:val="18"/>
          <w:szCs w:val="18"/>
          <w:lang w:val="en-GB"/>
        </w:rPr>
        <w:t>",</w:t>
      </w:r>
      <w:r w:rsidR="00274E40" w:rsidRPr="00AB36AE">
        <w:rPr>
          <w:kern w:val="0"/>
          <w:sz w:val="18"/>
          <w:szCs w:val="18"/>
          <w:lang w:val="en-GB"/>
        </w:rPr>
        <w:t xml:space="preserve"> 145.</w:t>
      </w:r>
      <w:r w:rsidRPr="00AB36AE">
        <w:rPr>
          <w:sz w:val="18"/>
          <w:szCs w:val="18"/>
        </w:rPr>
        <w:fldChar w:fldCharType="end"/>
      </w:r>
    </w:p>
  </w:footnote>
  <w:footnote w:id="122">
    <w:p w14:paraId="56FBD8AC" w14:textId="21A8BC8A" w:rsidR="000D6E89" w:rsidRPr="00AB36AE" w:rsidRDefault="000D6E89" w:rsidP="000D6E89">
      <w:pPr>
        <w:pStyle w:val="FootnoteText"/>
        <w:rPr>
          <w:i/>
          <w:iCs/>
          <w:kern w:val="0"/>
          <w:sz w:val="18"/>
          <w:szCs w:val="18"/>
          <w:lang w:val="en-GB"/>
        </w:rPr>
      </w:pPr>
      <w:r w:rsidRPr="00AB36AE">
        <w:rPr>
          <w:rStyle w:val="FootnoteReference"/>
          <w:sz w:val="18"/>
          <w:szCs w:val="18"/>
        </w:rPr>
        <w:footnoteRef/>
      </w:r>
      <w:r w:rsidRPr="00AB36AE">
        <w:rPr>
          <w:sz w:val="18"/>
          <w:szCs w:val="18"/>
          <w:lang w:val="en-US"/>
        </w:rPr>
        <w:t xml:space="preserve"> </w:t>
      </w:r>
      <w:r w:rsidRPr="00AB36AE">
        <w:rPr>
          <w:sz w:val="18"/>
          <w:szCs w:val="18"/>
        </w:rPr>
        <w:fldChar w:fldCharType="begin"/>
      </w:r>
      <w:r w:rsidRPr="00AB36AE">
        <w:rPr>
          <w:sz w:val="18"/>
          <w:szCs w:val="18"/>
          <w:lang w:val="en-US"/>
        </w:rPr>
        <w:instrText xml:space="preserve"> ADDIN ZOTERO_ITEM CSL_CITATION {"citationID":"TRGDgYlf","properties":{"formattedCitation":"Michele L. C. Seah, {\\i{}Financing Queenship in Late Fifteenth Century England}, 1st ed, Gender in the Middle Ages Series, v. 25 (Boydell &amp; Brewer, Incorporated, 2025), 3.","plainCitation":"Michele L. C. Seah, Financing Queenship in Late Fifteenth Century England, 1st ed, Gender in the Middle Ages Series, v. 25 (Boydell &amp; Brewer, Incorporated, 2025), 3.","noteIndex":3},"citationItems":[{"id":236,"uris":["http://zotero.org/users/local/5om8ZscP/items/GCMF2VLM"],"itemData":{"id":236,"type":"book","collection-number":"v.25","collection-title":"Gender in the Middle Ages Series","edition":"1st ed","event-place":"Woodbridge","ISBN":"978-1-83765-046-0","language":"eng","number-of-pages":"1","publisher":"Boydell &amp; Brewer, Incorporated","publisher-place":"Woodbridge","source":"K10plus ISBN","title":"Financing Queenship in Late Fifteenth Century England","author":[{"family":"Seah","given":"Michele L. C."}],"issued":{"date-parts":[["2025"]]}},"locator":"3","label":"page"}],"schema":"https://github.com/citation-style-language/schema/raw/master/csl-citation.json"} </w:instrText>
      </w:r>
      <w:r w:rsidRPr="00AB36AE">
        <w:rPr>
          <w:sz w:val="18"/>
          <w:szCs w:val="18"/>
        </w:rPr>
        <w:fldChar w:fldCharType="separate"/>
      </w:r>
      <w:r w:rsidRPr="00AB36AE">
        <w:rPr>
          <w:kern w:val="0"/>
          <w:sz w:val="18"/>
          <w:szCs w:val="18"/>
          <w:lang w:val="en-GB"/>
        </w:rPr>
        <w:t xml:space="preserve">Seah, </w:t>
      </w:r>
      <w:r w:rsidRPr="00AB36AE">
        <w:rPr>
          <w:i/>
          <w:iCs/>
          <w:kern w:val="0"/>
          <w:sz w:val="18"/>
          <w:szCs w:val="18"/>
          <w:lang w:val="en-GB"/>
        </w:rPr>
        <w:t>Financing Queenship</w:t>
      </w:r>
      <w:r w:rsidR="00274E40" w:rsidRPr="00AB36AE">
        <w:rPr>
          <w:i/>
          <w:iCs/>
          <w:kern w:val="0"/>
          <w:sz w:val="18"/>
          <w:szCs w:val="18"/>
          <w:lang w:val="en-GB"/>
        </w:rPr>
        <w:t xml:space="preserve">, 3. </w:t>
      </w:r>
      <w:r w:rsidRPr="00AB36AE">
        <w:rPr>
          <w:kern w:val="0"/>
          <w:sz w:val="18"/>
          <w:szCs w:val="18"/>
          <w:lang w:val="en-GB"/>
        </w:rPr>
        <w:t xml:space="preserve"> </w:t>
      </w:r>
      <w:r w:rsidRPr="00AB36AE">
        <w:rPr>
          <w:sz w:val="18"/>
          <w:szCs w:val="18"/>
        </w:rPr>
        <w:fldChar w:fldCharType="end"/>
      </w:r>
    </w:p>
  </w:footnote>
  <w:footnote w:id="123">
    <w:p w14:paraId="05CAFE60" w14:textId="58214D36" w:rsidR="006F20DA" w:rsidRPr="00AB36AE" w:rsidRDefault="006F20DA">
      <w:pPr>
        <w:pStyle w:val="FootnoteText"/>
        <w:rPr>
          <w:sz w:val="18"/>
          <w:szCs w:val="18"/>
          <w:lang w:val="en-US"/>
        </w:rPr>
      </w:pPr>
      <w:r w:rsidRPr="00AB36AE">
        <w:rPr>
          <w:rStyle w:val="FootnoteReference"/>
          <w:sz w:val="18"/>
          <w:szCs w:val="18"/>
        </w:rPr>
        <w:footnoteRef/>
      </w:r>
      <w:r w:rsidRPr="00AB36AE">
        <w:rPr>
          <w:sz w:val="18"/>
          <w:szCs w:val="18"/>
        </w:rPr>
        <w:t xml:space="preserve"> </w:t>
      </w:r>
      <w:r w:rsidRPr="00AB36AE">
        <w:rPr>
          <w:sz w:val="18"/>
          <w:szCs w:val="18"/>
          <w:lang w:val="en-BE"/>
        </w:rPr>
        <w:t>De categorie ‘beheer’ omvat posten zonder expliciete opdrachtgever, waarbij de klerk enkel het onderwerp, de begunstigde en de som registreerde.</w:t>
      </w:r>
    </w:p>
  </w:footnote>
  <w:footnote w:id="124">
    <w:p w14:paraId="3E385AF1" w14:textId="77777777" w:rsidR="007A4AC0" w:rsidRPr="00AB36AE" w:rsidRDefault="007A4AC0" w:rsidP="007A4AC0">
      <w:pPr>
        <w:pStyle w:val="FootnoteText"/>
        <w:rPr>
          <w:sz w:val="18"/>
          <w:szCs w:val="18"/>
        </w:rPr>
      </w:pPr>
      <w:r w:rsidRPr="00AB36AE">
        <w:rPr>
          <w:rStyle w:val="FootnoteReference"/>
          <w:sz w:val="18"/>
          <w:szCs w:val="18"/>
        </w:rPr>
        <w:footnoteRef/>
      </w:r>
      <w:r w:rsidRPr="00AB36AE">
        <w:rPr>
          <w:sz w:val="18"/>
          <w:szCs w:val="18"/>
        </w:rPr>
        <w:t xml:space="preserve"> Ex. Algemeen Rijksarchief, RK, 2365, fos. 63, 65, 66.  </w:t>
      </w:r>
    </w:p>
  </w:footnote>
  <w:footnote w:id="125">
    <w:p w14:paraId="1666CE11" w14:textId="62FB350E" w:rsidR="007954AA" w:rsidRPr="00AB36AE" w:rsidRDefault="007954AA" w:rsidP="007954AA">
      <w:pPr>
        <w:pStyle w:val="FootnoteText"/>
        <w:rPr>
          <w:sz w:val="18"/>
          <w:szCs w:val="18"/>
          <w:lang w:val="en-US"/>
        </w:rPr>
      </w:pPr>
      <w:r w:rsidRPr="00AB36AE">
        <w:rPr>
          <w:rStyle w:val="FootnoteReference"/>
          <w:sz w:val="18"/>
          <w:szCs w:val="18"/>
        </w:rPr>
        <w:footnoteRef/>
      </w:r>
      <w:r w:rsidRPr="00AB36AE">
        <w:rPr>
          <w:sz w:val="18"/>
          <w:szCs w:val="18"/>
        </w:rPr>
        <w:t xml:space="preserve"> </w:t>
      </w:r>
      <w:r w:rsidR="007F7882" w:rsidRPr="00AB36AE">
        <w:rPr>
          <w:sz w:val="18"/>
          <w:szCs w:val="18"/>
          <w:lang w:val="en-US"/>
        </w:rPr>
        <w:t>Bos-Rops, “De Hollandse douarie” </w:t>
      </w:r>
      <w:r w:rsidR="007F7882" w:rsidRPr="00AB36AE">
        <w:rPr>
          <w:sz w:val="18"/>
          <w:szCs w:val="18"/>
          <w:lang w:val="fr-FR"/>
        </w:rPr>
        <w:t>; “Les douaires</w:t>
      </w:r>
      <w:r w:rsidR="007F7882" w:rsidRPr="00AB36AE">
        <w:rPr>
          <w:sz w:val="18"/>
          <w:szCs w:val="18"/>
          <w:lang w:val="en-US"/>
        </w:rPr>
        <w:t>”.</w:t>
      </w:r>
      <w:r w:rsidRPr="00AB36AE">
        <w:rPr>
          <w:sz w:val="18"/>
          <w:szCs w:val="18"/>
          <w:lang w:val="en-US"/>
        </w:rPr>
        <w:t xml:space="preserve"> </w:t>
      </w:r>
    </w:p>
  </w:footnote>
  <w:footnote w:id="126">
    <w:p w14:paraId="00FC30B4" w14:textId="77777777" w:rsidR="007954AA" w:rsidRPr="00AB36AE" w:rsidRDefault="007954AA" w:rsidP="007954AA">
      <w:pPr>
        <w:pStyle w:val="FootnoteText"/>
        <w:rPr>
          <w:sz w:val="18"/>
          <w:szCs w:val="18"/>
        </w:rPr>
      </w:pPr>
      <w:r w:rsidRPr="00AB36AE">
        <w:rPr>
          <w:rStyle w:val="FootnoteReference"/>
          <w:sz w:val="18"/>
          <w:szCs w:val="18"/>
        </w:rPr>
        <w:footnoteRef/>
      </w:r>
      <w:r w:rsidRPr="00AB36AE">
        <w:rPr>
          <w:sz w:val="18"/>
          <w:szCs w:val="18"/>
        </w:rPr>
        <w:t xml:space="preserve"> Voor een gelijkaardige studie met Engelse koninginnen zie: </w:t>
      </w:r>
      <w:r w:rsidRPr="00AB36AE">
        <w:rPr>
          <w:kern w:val="0"/>
          <w:sz w:val="18"/>
          <w:szCs w:val="18"/>
        </w:rPr>
        <w:t xml:space="preserve">Seah, </w:t>
      </w:r>
      <w:r w:rsidRPr="00AB36AE">
        <w:rPr>
          <w:i/>
          <w:iCs/>
          <w:kern w:val="0"/>
          <w:sz w:val="18"/>
          <w:szCs w:val="18"/>
        </w:rPr>
        <w:t>Financing Queenship in Late Fifteenth Century England.</w:t>
      </w:r>
    </w:p>
  </w:footnote>
  <w:footnote w:id="127">
    <w:p w14:paraId="0625F164" w14:textId="7EE68B12" w:rsidR="001426E4" w:rsidRPr="00AB36AE" w:rsidRDefault="001426E4" w:rsidP="001426E4">
      <w:pPr>
        <w:pStyle w:val="FootnoteText"/>
        <w:rPr>
          <w:sz w:val="18"/>
          <w:szCs w:val="18"/>
          <w:lang w:val="fr-FR"/>
        </w:rPr>
      </w:pPr>
      <w:r w:rsidRPr="00AB36AE">
        <w:rPr>
          <w:rStyle w:val="FootnoteReference"/>
          <w:sz w:val="18"/>
          <w:szCs w:val="18"/>
        </w:rPr>
        <w:footnoteRef/>
      </w:r>
      <w:r w:rsidRPr="00AB36AE">
        <w:rPr>
          <w:sz w:val="18"/>
          <w:szCs w:val="18"/>
        </w:rPr>
        <w:t xml:space="preserve"> Boffa, </w:t>
      </w:r>
      <w:r w:rsidR="00B92341" w:rsidRPr="00AB36AE">
        <w:rPr>
          <w:sz w:val="18"/>
          <w:szCs w:val="18"/>
        </w:rPr>
        <w:t>‘</w:t>
      </w:r>
      <w:r w:rsidRPr="00AB36AE">
        <w:rPr>
          <w:sz w:val="18"/>
          <w:szCs w:val="18"/>
        </w:rPr>
        <w:t>Les Mariages de Jeanne de Brabant</w:t>
      </w:r>
      <w:r w:rsidR="00B92341" w:rsidRPr="00AB36AE">
        <w:rPr>
          <w:sz w:val="18"/>
          <w:szCs w:val="18"/>
        </w:rPr>
        <w:t xml:space="preserve">’, </w:t>
      </w:r>
      <w:r w:rsidRPr="00AB36AE">
        <w:rPr>
          <w:sz w:val="18"/>
          <w:szCs w:val="18"/>
          <w:lang w:val="fr-FR"/>
        </w:rPr>
        <w:t>183.</w:t>
      </w:r>
    </w:p>
  </w:footnote>
  <w:footnote w:id="128">
    <w:p w14:paraId="78AA3024" w14:textId="04B7DAE1" w:rsidR="001426E4" w:rsidRPr="00AB36AE" w:rsidRDefault="001426E4" w:rsidP="001426E4">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B92341" w:rsidRPr="00AB36AE">
        <w:rPr>
          <w:sz w:val="18"/>
          <w:szCs w:val="18"/>
        </w:rPr>
        <w:t xml:space="preserve">Boffa, ‘Les Mariages de Jeanne de Brabant’, </w:t>
      </w:r>
      <w:r w:rsidR="00B92341" w:rsidRPr="00AB36AE">
        <w:rPr>
          <w:sz w:val="18"/>
          <w:szCs w:val="18"/>
          <w:lang w:val="fr-FR"/>
        </w:rPr>
        <w:t>183.</w:t>
      </w:r>
    </w:p>
  </w:footnote>
  <w:footnote w:id="129">
    <w:p w14:paraId="3405BDDE" w14:textId="381E1D82" w:rsidR="001426E4" w:rsidRPr="00AB36AE" w:rsidRDefault="001426E4" w:rsidP="001426E4">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B92341" w:rsidRPr="00AB36AE">
        <w:rPr>
          <w:sz w:val="18"/>
          <w:szCs w:val="18"/>
        </w:rPr>
        <w:t xml:space="preserve">Boffa, ‘Les Mariages de Jeanne de Brabant’, </w:t>
      </w:r>
      <w:r w:rsidR="00B92341" w:rsidRPr="00AB36AE">
        <w:rPr>
          <w:sz w:val="18"/>
          <w:szCs w:val="18"/>
          <w:lang w:val="fr-FR"/>
        </w:rPr>
        <w:t>183.</w:t>
      </w:r>
      <w:r w:rsidRPr="00AB36AE">
        <w:rPr>
          <w:sz w:val="18"/>
          <w:szCs w:val="18"/>
          <w:lang w:val="fr-FR"/>
        </w:rPr>
        <w:t xml:space="preserve"> </w:t>
      </w:r>
    </w:p>
  </w:footnote>
  <w:footnote w:id="130">
    <w:p w14:paraId="73E497A6" w14:textId="77777777" w:rsidR="0069129D" w:rsidRPr="00AB36AE" w:rsidRDefault="0069129D" w:rsidP="0069129D">
      <w:pPr>
        <w:pStyle w:val="FootnoteText"/>
        <w:rPr>
          <w:sz w:val="18"/>
          <w:szCs w:val="18"/>
        </w:rPr>
      </w:pPr>
      <w:r w:rsidRPr="00AB36AE">
        <w:rPr>
          <w:rStyle w:val="FootnoteReference"/>
          <w:sz w:val="18"/>
          <w:szCs w:val="18"/>
        </w:rPr>
        <w:footnoteRef/>
      </w:r>
      <w:r w:rsidRPr="00AB36AE">
        <w:rPr>
          <w:sz w:val="18"/>
          <w:szCs w:val="18"/>
        </w:rPr>
        <w:t xml:space="preserve"> Delameillieure, “Trouwende vrouwen”, 55</w:t>
      </w:r>
      <w:r w:rsidRPr="00AB36AE">
        <w:rPr>
          <w:sz w:val="18"/>
          <w:szCs w:val="18"/>
          <w:lang w:val="en-US"/>
        </w:rPr>
        <w:t>.</w:t>
      </w:r>
    </w:p>
  </w:footnote>
  <w:footnote w:id="131">
    <w:p w14:paraId="239AA867" w14:textId="057A5C17" w:rsidR="0069129D" w:rsidRPr="00AB36AE" w:rsidRDefault="0069129D" w:rsidP="0069129D">
      <w:pPr>
        <w:pStyle w:val="FootnoteText"/>
        <w:rPr>
          <w:sz w:val="18"/>
          <w:szCs w:val="18"/>
          <w:lang w:val="en-US"/>
        </w:rPr>
      </w:pPr>
      <w:r w:rsidRPr="00AB36AE">
        <w:rPr>
          <w:rStyle w:val="FootnoteReference"/>
          <w:sz w:val="18"/>
          <w:szCs w:val="18"/>
        </w:rPr>
        <w:footnoteRef/>
      </w:r>
      <w:r w:rsidRPr="00AB36AE">
        <w:rPr>
          <w:sz w:val="18"/>
          <w:szCs w:val="18"/>
        </w:rPr>
        <w:t xml:space="preserve"> </w:t>
      </w:r>
      <w:r w:rsidR="007F7882" w:rsidRPr="00AB36AE">
        <w:rPr>
          <w:sz w:val="18"/>
          <w:szCs w:val="18"/>
          <w:lang w:val="en-US"/>
        </w:rPr>
        <w:t xml:space="preserve">Buylaert, </w:t>
      </w:r>
      <w:r w:rsidR="00C13FDD" w:rsidRPr="00AB36AE">
        <w:rPr>
          <w:sz w:val="18"/>
          <w:szCs w:val="18"/>
          <w:lang w:val="en-US"/>
        </w:rPr>
        <w:t>“Eeuwen van ambitie”,</w:t>
      </w:r>
      <w:r w:rsidRPr="00AB36AE">
        <w:rPr>
          <w:sz w:val="18"/>
          <w:szCs w:val="18"/>
          <w:lang w:val="en-US"/>
        </w:rPr>
        <w:t xml:space="preserve"> 61.</w:t>
      </w:r>
    </w:p>
  </w:footnote>
  <w:footnote w:id="132">
    <w:p w14:paraId="7F3B3CDF" w14:textId="35073AB9" w:rsidR="0069129D" w:rsidRPr="00AB36AE" w:rsidRDefault="0069129D" w:rsidP="0069129D">
      <w:pPr>
        <w:pStyle w:val="FootnoteText"/>
        <w:rPr>
          <w:sz w:val="18"/>
          <w:szCs w:val="18"/>
          <w:lang w:val="en-US"/>
        </w:rPr>
      </w:pPr>
      <w:r w:rsidRPr="00AB36AE">
        <w:rPr>
          <w:rStyle w:val="FootnoteReference"/>
          <w:sz w:val="18"/>
          <w:szCs w:val="18"/>
        </w:rPr>
        <w:footnoteRef/>
      </w:r>
      <w:r w:rsidRPr="00AB36AE">
        <w:rPr>
          <w:sz w:val="18"/>
          <w:szCs w:val="18"/>
        </w:rPr>
        <w:t xml:space="preserve"> </w:t>
      </w:r>
      <w:r w:rsidRPr="00AB36AE">
        <w:rPr>
          <w:sz w:val="18"/>
          <w:szCs w:val="18"/>
          <w:lang w:val="en-US"/>
        </w:rPr>
        <w:t>Buylaert,</w:t>
      </w:r>
      <w:r w:rsidR="00C13FDD" w:rsidRPr="00AB36AE">
        <w:rPr>
          <w:sz w:val="18"/>
          <w:szCs w:val="18"/>
          <w:lang w:val="en-US"/>
        </w:rPr>
        <w:t xml:space="preserve"> “Eeuwen van ambitie”,</w:t>
      </w:r>
      <w:r w:rsidR="00926FD4" w:rsidRPr="00AB36AE">
        <w:rPr>
          <w:sz w:val="18"/>
          <w:szCs w:val="18"/>
          <w:lang w:val="en-US"/>
        </w:rPr>
        <w:t xml:space="preserve"> </w:t>
      </w:r>
      <w:r w:rsidRPr="00AB36AE">
        <w:rPr>
          <w:sz w:val="18"/>
          <w:szCs w:val="18"/>
          <w:lang w:val="en-US"/>
        </w:rPr>
        <w:t>62.</w:t>
      </w:r>
    </w:p>
  </w:footnote>
  <w:footnote w:id="133">
    <w:p w14:paraId="1E9B45D4" w14:textId="59D3FFBF" w:rsidR="0069129D" w:rsidRPr="00AB36AE" w:rsidRDefault="0069129D" w:rsidP="0069129D">
      <w:pPr>
        <w:pStyle w:val="FootnoteText"/>
        <w:rPr>
          <w:sz w:val="18"/>
          <w:szCs w:val="18"/>
          <w:lang w:val="en-US"/>
        </w:rPr>
      </w:pPr>
      <w:r w:rsidRPr="00AB36AE">
        <w:rPr>
          <w:rStyle w:val="FootnoteReference"/>
          <w:sz w:val="18"/>
          <w:szCs w:val="18"/>
        </w:rPr>
        <w:footnoteRef/>
      </w:r>
      <w:r w:rsidRPr="00AB36AE">
        <w:rPr>
          <w:sz w:val="18"/>
          <w:szCs w:val="18"/>
        </w:rPr>
        <w:t xml:space="preserve"> </w:t>
      </w:r>
      <w:r w:rsidR="00926FD4" w:rsidRPr="00AB36AE">
        <w:rPr>
          <w:sz w:val="18"/>
          <w:szCs w:val="18"/>
          <w:lang w:val="en-US"/>
        </w:rPr>
        <w:t>B</w:t>
      </w:r>
      <w:r w:rsidRPr="00AB36AE">
        <w:rPr>
          <w:sz w:val="18"/>
          <w:szCs w:val="18"/>
          <w:lang w:val="en-US"/>
        </w:rPr>
        <w:t xml:space="preserve">uylaert, </w:t>
      </w:r>
      <w:r w:rsidR="00C13FDD" w:rsidRPr="00AB36AE">
        <w:rPr>
          <w:sz w:val="18"/>
          <w:szCs w:val="18"/>
          <w:lang w:val="en-US"/>
        </w:rPr>
        <w:t xml:space="preserve">“Eeuwen van ambitie”, </w:t>
      </w:r>
      <w:r w:rsidRPr="00AB36AE">
        <w:rPr>
          <w:sz w:val="18"/>
          <w:szCs w:val="18"/>
          <w:lang w:val="en-US"/>
        </w:rPr>
        <w:t xml:space="preserve">62-63. </w:t>
      </w:r>
    </w:p>
  </w:footnote>
  <w:footnote w:id="134">
    <w:p w14:paraId="5B51B534" w14:textId="3DF81EC8" w:rsidR="001426E4" w:rsidRPr="00AB36AE" w:rsidRDefault="001426E4" w:rsidP="001426E4">
      <w:pPr>
        <w:pStyle w:val="FootnoteText"/>
        <w:rPr>
          <w:sz w:val="18"/>
          <w:szCs w:val="18"/>
          <w:lang w:val="fr-FR"/>
        </w:rPr>
      </w:pPr>
      <w:r w:rsidRPr="00AB36AE">
        <w:rPr>
          <w:rStyle w:val="FootnoteReference"/>
          <w:sz w:val="18"/>
          <w:szCs w:val="18"/>
        </w:rPr>
        <w:footnoteRef/>
      </w:r>
      <w:r w:rsidRPr="00AB36AE">
        <w:rPr>
          <w:sz w:val="18"/>
          <w:szCs w:val="18"/>
          <w:lang w:val="fr-FR"/>
        </w:rPr>
        <w:t xml:space="preserve"> Pi</w:t>
      </w:r>
      <w:r w:rsidR="003A4ED0" w:rsidRPr="00AB36AE">
        <w:rPr>
          <w:sz w:val="18"/>
          <w:szCs w:val="18"/>
          <w:lang w:val="fr-FR"/>
        </w:rPr>
        <w:t>é</w:t>
      </w:r>
      <w:r w:rsidRPr="00AB36AE">
        <w:rPr>
          <w:sz w:val="18"/>
          <w:szCs w:val="18"/>
          <w:lang w:val="fr-FR"/>
        </w:rPr>
        <w:t>rard, “Les douaires”</w:t>
      </w:r>
      <w:r w:rsidR="003A4ED0" w:rsidRPr="00AB36AE">
        <w:rPr>
          <w:sz w:val="18"/>
          <w:szCs w:val="18"/>
          <w:lang w:val="fr-FR"/>
        </w:rPr>
        <w:t xml:space="preserve">, </w:t>
      </w:r>
      <w:r w:rsidRPr="00AB36AE">
        <w:rPr>
          <w:sz w:val="18"/>
          <w:szCs w:val="18"/>
          <w:lang w:val="fr-FR"/>
        </w:rPr>
        <w:t xml:space="preserve">70. </w:t>
      </w:r>
    </w:p>
  </w:footnote>
  <w:footnote w:id="135">
    <w:p w14:paraId="68A177A3" w14:textId="5BDD2D2C" w:rsidR="001426E4" w:rsidRPr="00AB36AE" w:rsidRDefault="001426E4" w:rsidP="001426E4">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Boffa, </w:t>
      </w:r>
      <w:r w:rsidR="00F3047E" w:rsidRPr="00AB36AE">
        <w:rPr>
          <w:sz w:val="18"/>
          <w:szCs w:val="18"/>
          <w:lang w:val="nl-NL"/>
        </w:rPr>
        <w:t>“</w:t>
      </w:r>
      <w:r w:rsidRPr="00AB36AE">
        <w:rPr>
          <w:sz w:val="18"/>
          <w:szCs w:val="18"/>
          <w:lang w:val="nl-NL"/>
        </w:rPr>
        <w:t>Les Mariages de Jeanne de Brabant</w:t>
      </w:r>
      <w:r w:rsidR="00F3047E" w:rsidRPr="00AB36AE">
        <w:rPr>
          <w:sz w:val="18"/>
          <w:szCs w:val="18"/>
          <w:lang w:val="nl-NL"/>
        </w:rPr>
        <w:t>”</w:t>
      </w:r>
      <w:r w:rsidRPr="00AB36AE">
        <w:rPr>
          <w:sz w:val="18"/>
          <w:szCs w:val="18"/>
          <w:lang w:val="nl-NL"/>
        </w:rPr>
        <w:t>, 185.</w:t>
      </w:r>
    </w:p>
  </w:footnote>
  <w:footnote w:id="136">
    <w:p w14:paraId="157789B3" w14:textId="63CB83EF" w:rsidR="001426E4" w:rsidRPr="00AB36AE" w:rsidRDefault="001426E4" w:rsidP="001426E4">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Pièrard, </w:t>
      </w:r>
      <w:r w:rsidR="00F3047E" w:rsidRPr="00AB36AE">
        <w:rPr>
          <w:sz w:val="18"/>
          <w:szCs w:val="18"/>
          <w:lang w:val="nl-NL"/>
        </w:rPr>
        <w:t>“</w:t>
      </w:r>
      <w:r w:rsidRPr="00AB36AE">
        <w:rPr>
          <w:sz w:val="18"/>
          <w:szCs w:val="18"/>
          <w:lang w:val="nl-NL"/>
        </w:rPr>
        <w:t>Les douaires</w:t>
      </w:r>
      <w:r w:rsidR="00F3047E" w:rsidRPr="00AB36AE">
        <w:rPr>
          <w:sz w:val="18"/>
          <w:szCs w:val="18"/>
          <w:lang w:val="nl-NL"/>
        </w:rPr>
        <w:t>”</w:t>
      </w:r>
      <w:r w:rsidR="00134DE3" w:rsidRPr="00AB36AE">
        <w:rPr>
          <w:sz w:val="18"/>
          <w:szCs w:val="18"/>
          <w:lang w:val="nl-NL"/>
        </w:rPr>
        <w:t>,</w:t>
      </w:r>
      <w:r w:rsidRPr="00AB36AE">
        <w:rPr>
          <w:sz w:val="18"/>
          <w:szCs w:val="18"/>
          <w:lang w:val="nl-NL"/>
        </w:rPr>
        <w:t>70.</w:t>
      </w:r>
    </w:p>
  </w:footnote>
  <w:footnote w:id="137">
    <w:p w14:paraId="25EA5792" w14:textId="3A75EB6C" w:rsidR="001426E4" w:rsidRPr="00AB36AE" w:rsidRDefault="001426E4" w:rsidP="001426E4">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w:t>
      </w:r>
      <w:r w:rsidR="00B92341" w:rsidRPr="00AB36AE">
        <w:rPr>
          <w:sz w:val="18"/>
          <w:szCs w:val="18"/>
          <w:lang w:val="nl-NL"/>
        </w:rPr>
        <w:t xml:space="preserve">Pièrard, </w:t>
      </w:r>
      <w:r w:rsidR="00F3047E" w:rsidRPr="00AB36AE">
        <w:rPr>
          <w:sz w:val="18"/>
          <w:szCs w:val="18"/>
          <w:lang w:val="nl-NL"/>
        </w:rPr>
        <w:t>“</w:t>
      </w:r>
      <w:r w:rsidR="00B92341" w:rsidRPr="00AB36AE">
        <w:rPr>
          <w:sz w:val="18"/>
          <w:szCs w:val="18"/>
          <w:lang w:val="nl-NL"/>
        </w:rPr>
        <w:t>Les douaires</w:t>
      </w:r>
      <w:r w:rsidR="00F3047E" w:rsidRPr="00AB36AE">
        <w:rPr>
          <w:sz w:val="18"/>
          <w:szCs w:val="18"/>
          <w:lang w:val="nl-NL"/>
        </w:rPr>
        <w:t>”</w:t>
      </w:r>
      <w:r w:rsidR="009E6A4B" w:rsidRPr="00AB36AE">
        <w:rPr>
          <w:sz w:val="18"/>
          <w:szCs w:val="18"/>
          <w:lang w:val="nl-NL"/>
        </w:rPr>
        <w:t>,</w:t>
      </w:r>
      <w:r w:rsidR="00B92341" w:rsidRPr="00AB36AE">
        <w:rPr>
          <w:sz w:val="18"/>
          <w:szCs w:val="18"/>
          <w:lang w:val="nl-NL"/>
        </w:rPr>
        <w:t xml:space="preserve">72. </w:t>
      </w:r>
    </w:p>
  </w:footnote>
  <w:footnote w:id="138">
    <w:p w14:paraId="2A2E30B7" w14:textId="06620483" w:rsidR="001426E4" w:rsidRPr="00AB36AE" w:rsidRDefault="001426E4" w:rsidP="001426E4">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Pièrard, </w:t>
      </w:r>
      <w:r w:rsidR="00F3047E" w:rsidRPr="00AB36AE">
        <w:rPr>
          <w:sz w:val="18"/>
          <w:szCs w:val="18"/>
          <w:lang w:val="nl-NL"/>
        </w:rPr>
        <w:t>“</w:t>
      </w:r>
      <w:r w:rsidRPr="00AB36AE">
        <w:rPr>
          <w:sz w:val="18"/>
          <w:szCs w:val="18"/>
          <w:lang w:val="nl-NL"/>
        </w:rPr>
        <w:t>Les douaires</w:t>
      </w:r>
      <w:r w:rsidR="00F3047E" w:rsidRPr="00AB36AE">
        <w:rPr>
          <w:sz w:val="18"/>
          <w:szCs w:val="18"/>
          <w:lang w:val="nl-NL"/>
        </w:rPr>
        <w:t>”</w:t>
      </w:r>
      <w:r w:rsidR="00134DE3" w:rsidRPr="00AB36AE">
        <w:rPr>
          <w:sz w:val="18"/>
          <w:szCs w:val="18"/>
          <w:lang w:val="nl-NL"/>
        </w:rPr>
        <w:t>,</w:t>
      </w:r>
      <w:r w:rsidRPr="00AB36AE">
        <w:rPr>
          <w:sz w:val="18"/>
          <w:szCs w:val="18"/>
          <w:lang w:val="nl-NL"/>
        </w:rPr>
        <w:t>72.</w:t>
      </w:r>
    </w:p>
  </w:footnote>
  <w:footnote w:id="139">
    <w:p w14:paraId="490FAA8E" w14:textId="72E10977" w:rsidR="001426E4" w:rsidRPr="00AB36AE" w:rsidRDefault="001426E4" w:rsidP="001426E4">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M. Vanden Bussche, </w:t>
      </w:r>
      <w:r w:rsidR="00F3047E" w:rsidRPr="00AB36AE">
        <w:rPr>
          <w:sz w:val="18"/>
          <w:szCs w:val="18"/>
          <w:lang w:val="nl-NL"/>
        </w:rPr>
        <w:t>“</w:t>
      </w:r>
      <w:r w:rsidRPr="00AB36AE">
        <w:rPr>
          <w:sz w:val="18"/>
          <w:szCs w:val="18"/>
          <w:lang w:val="nl-NL"/>
        </w:rPr>
        <w:t>Une complainte ecclésiastique au duc de Braban</w:t>
      </w:r>
      <w:r w:rsidR="00134DE3" w:rsidRPr="00AB36AE">
        <w:rPr>
          <w:sz w:val="18"/>
          <w:szCs w:val="18"/>
          <w:lang w:val="nl-NL"/>
        </w:rPr>
        <w:t>t</w:t>
      </w:r>
      <w:r w:rsidR="00F3047E" w:rsidRPr="00AB36AE">
        <w:rPr>
          <w:sz w:val="18"/>
          <w:szCs w:val="18"/>
          <w:lang w:val="nl-NL"/>
        </w:rPr>
        <w:t>”</w:t>
      </w:r>
      <w:r w:rsidR="00134DE3" w:rsidRPr="00AB36AE">
        <w:rPr>
          <w:sz w:val="18"/>
          <w:szCs w:val="18"/>
          <w:lang w:val="nl-NL"/>
        </w:rPr>
        <w:t xml:space="preserve">, </w:t>
      </w:r>
      <w:r w:rsidRPr="00AB36AE">
        <w:rPr>
          <w:sz w:val="18"/>
          <w:szCs w:val="18"/>
          <w:lang w:val="nl-NL"/>
        </w:rPr>
        <w:t xml:space="preserve">122. </w:t>
      </w:r>
    </w:p>
  </w:footnote>
  <w:footnote w:id="140">
    <w:p w14:paraId="790EEDC3" w14:textId="25D3F3F9" w:rsidR="001426E4" w:rsidRPr="00AB36AE" w:rsidRDefault="001426E4" w:rsidP="001426E4">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Boffa, </w:t>
      </w:r>
      <w:r w:rsidR="00F3047E" w:rsidRPr="00AB36AE">
        <w:rPr>
          <w:sz w:val="18"/>
          <w:szCs w:val="18"/>
          <w:lang w:val="nl-NL"/>
        </w:rPr>
        <w:t>“</w:t>
      </w:r>
      <w:r w:rsidRPr="00AB36AE">
        <w:rPr>
          <w:sz w:val="18"/>
          <w:szCs w:val="18"/>
          <w:lang w:val="nl-NL"/>
        </w:rPr>
        <w:t>Les Mariages de Jeanne de Brabant</w:t>
      </w:r>
      <w:r w:rsidR="00F3047E" w:rsidRPr="00AB36AE">
        <w:rPr>
          <w:sz w:val="18"/>
          <w:szCs w:val="18"/>
          <w:lang w:val="nl-NL"/>
        </w:rPr>
        <w:t>”</w:t>
      </w:r>
      <w:r w:rsidRPr="00AB36AE">
        <w:rPr>
          <w:sz w:val="18"/>
          <w:szCs w:val="18"/>
          <w:lang w:val="nl-NL"/>
        </w:rPr>
        <w:t>, 187.</w:t>
      </w:r>
    </w:p>
  </w:footnote>
  <w:footnote w:id="141">
    <w:p w14:paraId="4CC44C6C" w14:textId="3BD14FD4" w:rsidR="001426E4" w:rsidRPr="00AB36AE" w:rsidRDefault="001426E4" w:rsidP="001426E4">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Pièrard, </w:t>
      </w:r>
      <w:r w:rsidR="00F3047E" w:rsidRPr="00AB36AE">
        <w:rPr>
          <w:sz w:val="18"/>
          <w:szCs w:val="18"/>
          <w:lang w:val="nl-NL"/>
        </w:rPr>
        <w:t>“</w:t>
      </w:r>
      <w:r w:rsidRPr="00AB36AE">
        <w:rPr>
          <w:sz w:val="18"/>
          <w:szCs w:val="18"/>
          <w:lang w:val="nl-NL"/>
        </w:rPr>
        <w:t>Les douaire</w:t>
      </w:r>
      <w:r w:rsidR="00134DE3" w:rsidRPr="00AB36AE">
        <w:rPr>
          <w:sz w:val="18"/>
          <w:szCs w:val="18"/>
          <w:lang w:val="nl-NL"/>
        </w:rPr>
        <w:t>s</w:t>
      </w:r>
      <w:r w:rsidR="006F2435" w:rsidRPr="00AB36AE">
        <w:rPr>
          <w:sz w:val="18"/>
          <w:szCs w:val="18"/>
          <w:lang w:val="nl-NL"/>
        </w:rPr>
        <w:t xml:space="preserve">”, </w:t>
      </w:r>
      <w:r w:rsidRPr="00AB36AE">
        <w:rPr>
          <w:sz w:val="18"/>
          <w:szCs w:val="18"/>
          <w:lang w:val="nl-NL"/>
        </w:rPr>
        <w:t>72.</w:t>
      </w:r>
    </w:p>
  </w:footnote>
  <w:footnote w:id="142">
    <w:p w14:paraId="21B4AB5F" w14:textId="6833FE51" w:rsidR="001426E4" w:rsidRPr="00AB36AE" w:rsidRDefault="001426E4" w:rsidP="001426E4">
      <w:pPr>
        <w:pStyle w:val="FootnoteText"/>
        <w:rPr>
          <w:sz w:val="18"/>
          <w:szCs w:val="18"/>
          <w:lang w:val="fr-FR"/>
        </w:rPr>
      </w:pPr>
      <w:r w:rsidRPr="00AB36AE">
        <w:rPr>
          <w:rStyle w:val="FootnoteReference"/>
          <w:sz w:val="18"/>
          <w:szCs w:val="18"/>
          <w:lang w:val="nl-NL"/>
        </w:rPr>
        <w:footnoteRef/>
      </w:r>
      <w:r w:rsidRPr="00AB36AE">
        <w:rPr>
          <w:sz w:val="18"/>
          <w:szCs w:val="18"/>
          <w:lang w:val="nl-NL"/>
        </w:rPr>
        <w:t xml:space="preserve"> Boffa, “Les Mariages de Jeanne de Brabant”, 187</w:t>
      </w:r>
      <w:r w:rsidR="000D7EB6" w:rsidRPr="00AB36AE">
        <w:rPr>
          <w:sz w:val="18"/>
          <w:szCs w:val="18"/>
          <w:lang w:val="nl-NL"/>
        </w:rPr>
        <w:t>.</w:t>
      </w:r>
    </w:p>
  </w:footnote>
  <w:footnote w:id="143">
    <w:p w14:paraId="2B1F10B6" w14:textId="441C671C" w:rsidR="001426E4" w:rsidRPr="00AB36AE" w:rsidRDefault="001426E4" w:rsidP="001426E4">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Pièrard, “Les douaire</w:t>
      </w:r>
      <w:r w:rsidR="006F2435" w:rsidRPr="00AB36AE">
        <w:rPr>
          <w:sz w:val="18"/>
          <w:szCs w:val="18"/>
          <w:lang w:val="nl-NL"/>
        </w:rPr>
        <w:t>s</w:t>
      </w:r>
      <w:r w:rsidRPr="00AB36AE">
        <w:rPr>
          <w:sz w:val="18"/>
          <w:szCs w:val="18"/>
          <w:lang w:val="nl-NL"/>
        </w:rPr>
        <w:t>”</w:t>
      </w:r>
      <w:r w:rsidR="0000476F" w:rsidRPr="00AB36AE">
        <w:rPr>
          <w:sz w:val="18"/>
          <w:szCs w:val="18"/>
          <w:lang w:val="nl-NL"/>
        </w:rPr>
        <w:t>,</w:t>
      </w:r>
      <w:r w:rsidRPr="00AB36AE">
        <w:rPr>
          <w:sz w:val="18"/>
          <w:szCs w:val="18"/>
          <w:lang w:val="nl-NL"/>
        </w:rPr>
        <w:t xml:space="preserve"> 80; Bos-Rops, “De Hollandse douarie”, 79. </w:t>
      </w:r>
    </w:p>
  </w:footnote>
  <w:footnote w:id="144">
    <w:p w14:paraId="61D0EE9B" w14:textId="06893F4A" w:rsidR="001426E4" w:rsidRPr="00AB36AE" w:rsidRDefault="001426E4" w:rsidP="001426E4">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w:t>
      </w:r>
      <w:r w:rsidR="000140F2" w:rsidRPr="00AB36AE">
        <w:rPr>
          <w:sz w:val="18"/>
          <w:szCs w:val="18"/>
          <w:lang w:val="nl-NL"/>
        </w:rPr>
        <w:t>Bos-Rops, “De Hollandse douarie”, 79.</w:t>
      </w:r>
    </w:p>
  </w:footnote>
  <w:footnote w:id="145">
    <w:p w14:paraId="49351579" w14:textId="6D6996AF" w:rsidR="0069129D" w:rsidRPr="00AB36AE" w:rsidRDefault="0069129D" w:rsidP="0069129D">
      <w:pPr>
        <w:pStyle w:val="FootnoteText"/>
        <w:rPr>
          <w:sz w:val="18"/>
          <w:szCs w:val="18"/>
          <w:lang w:val="fr-FR"/>
        </w:rPr>
      </w:pPr>
      <w:r w:rsidRPr="00AB36AE">
        <w:rPr>
          <w:rStyle w:val="FootnoteReference"/>
          <w:sz w:val="18"/>
          <w:szCs w:val="18"/>
        </w:rPr>
        <w:footnoteRef/>
      </w:r>
      <w:r w:rsidRPr="00AB36AE">
        <w:rPr>
          <w:sz w:val="18"/>
          <w:szCs w:val="18"/>
          <w:lang w:val="fr-FR"/>
        </w:rPr>
        <w:t xml:space="preserve"> Cazilhac, </w:t>
      </w:r>
      <w:r w:rsidRPr="00AB36AE">
        <w:rPr>
          <w:i/>
          <w:iCs/>
          <w:sz w:val="18"/>
          <w:szCs w:val="18"/>
          <w:lang w:val="fr-FR"/>
        </w:rPr>
        <w:t xml:space="preserve">Le douaire des reines, </w:t>
      </w:r>
      <w:r w:rsidRPr="00AB36AE">
        <w:rPr>
          <w:sz w:val="18"/>
          <w:szCs w:val="18"/>
          <w:lang w:val="fr-FR"/>
        </w:rPr>
        <w:t>14</w:t>
      </w:r>
      <w:r w:rsidR="001D4CBE">
        <w:rPr>
          <w:sz w:val="18"/>
          <w:szCs w:val="18"/>
          <w:lang w:val="fr-FR"/>
        </w:rPr>
        <w:t>.</w:t>
      </w:r>
    </w:p>
  </w:footnote>
  <w:footnote w:id="146">
    <w:p w14:paraId="1485A5F1" w14:textId="77777777" w:rsidR="0069129D" w:rsidRPr="00AB36AE" w:rsidRDefault="0069129D" w:rsidP="0069129D">
      <w:pPr>
        <w:pStyle w:val="FootnoteText"/>
        <w:rPr>
          <w:sz w:val="18"/>
          <w:szCs w:val="18"/>
          <w:lang w:val="fr-FR"/>
        </w:rPr>
      </w:pPr>
      <w:r w:rsidRPr="00AB36AE">
        <w:rPr>
          <w:rStyle w:val="FootnoteReference"/>
          <w:sz w:val="18"/>
          <w:szCs w:val="18"/>
        </w:rPr>
        <w:footnoteRef/>
      </w:r>
      <w:r w:rsidRPr="00AB36AE">
        <w:rPr>
          <w:sz w:val="18"/>
          <w:szCs w:val="18"/>
          <w:lang w:val="fr-FR"/>
        </w:rPr>
        <w:t xml:space="preserve"> Cazilhac, </w:t>
      </w:r>
      <w:r w:rsidRPr="00AB36AE">
        <w:rPr>
          <w:i/>
          <w:iCs/>
          <w:sz w:val="18"/>
          <w:szCs w:val="18"/>
          <w:lang w:val="fr-FR"/>
        </w:rPr>
        <w:t xml:space="preserve">Le douaire des reines, </w:t>
      </w:r>
      <w:r w:rsidRPr="00AB36AE">
        <w:rPr>
          <w:sz w:val="18"/>
          <w:szCs w:val="18"/>
          <w:lang w:val="fr-FR"/>
        </w:rPr>
        <w:t xml:space="preserve">14 ; </w:t>
      </w:r>
      <w:r w:rsidRPr="00AB36AE">
        <w:rPr>
          <w:sz w:val="18"/>
          <w:szCs w:val="18"/>
          <w:lang w:val="en-US"/>
        </w:rPr>
        <w:t>Brandsma, “Riches and Power?”, 94.</w:t>
      </w:r>
    </w:p>
  </w:footnote>
  <w:footnote w:id="147">
    <w:p w14:paraId="663BC000" w14:textId="77777777" w:rsidR="0069129D" w:rsidRPr="00AB36AE" w:rsidRDefault="0069129D" w:rsidP="0069129D">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Pr="00AB36AE">
        <w:rPr>
          <w:sz w:val="18"/>
          <w:szCs w:val="18"/>
          <w:lang w:val="en-US"/>
        </w:rPr>
        <w:t>Fößel, “The Queen’s Wealth”</w:t>
      </w:r>
      <w:r w:rsidRPr="00AB36AE">
        <w:rPr>
          <w:sz w:val="18"/>
          <w:szCs w:val="18"/>
          <w:lang w:val="fr-FR"/>
        </w:rPr>
        <w:t xml:space="preserve">, 43.  </w:t>
      </w:r>
    </w:p>
  </w:footnote>
  <w:footnote w:id="148">
    <w:p w14:paraId="1D41BBB6" w14:textId="77777777" w:rsidR="0069129D" w:rsidRPr="00AB36AE" w:rsidRDefault="0069129D" w:rsidP="0069129D">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Pr="00AB36AE">
        <w:rPr>
          <w:sz w:val="18"/>
          <w:szCs w:val="18"/>
          <w:lang w:val="en-US"/>
        </w:rPr>
        <w:t>Fößel, “The Queen’s Wealth”</w:t>
      </w:r>
      <w:r w:rsidRPr="00AB36AE">
        <w:rPr>
          <w:sz w:val="18"/>
          <w:szCs w:val="18"/>
          <w:lang w:val="fr-FR"/>
        </w:rPr>
        <w:t xml:space="preserve">, 42-43. </w:t>
      </w:r>
    </w:p>
  </w:footnote>
  <w:footnote w:id="149">
    <w:p w14:paraId="7DCAE452" w14:textId="77777777" w:rsidR="0069129D" w:rsidRPr="00AB36AE" w:rsidRDefault="0069129D" w:rsidP="0069129D">
      <w:pPr>
        <w:pStyle w:val="FootnoteText"/>
        <w:rPr>
          <w:sz w:val="18"/>
          <w:szCs w:val="18"/>
        </w:rPr>
      </w:pPr>
      <w:r w:rsidRPr="00AB36AE">
        <w:rPr>
          <w:rStyle w:val="FootnoteReference"/>
          <w:sz w:val="18"/>
          <w:szCs w:val="18"/>
        </w:rPr>
        <w:footnoteRef/>
      </w:r>
      <w:r w:rsidRPr="00AB36AE">
        <w:rPr>
          <w:sz w:val="18"/>
          <w:szCs w:val="18"/>
        </w:rPr>
        <w:t xml:space="preserve"> Brandsma, </w:t>
      </w:r>
      <w:r w:rsidRPr="00AB36AE">
        <w:rPr>
          <w:i/>
          <w:iCs/>
          <w:sz w:val="18"/>
          <w:szCs w:val="18"/>
        </w:rPr>
        <w:t>Tussen twee dynastieën</w:t>
      </w:r>
      <w:r w:rsidRPr="00AB36AE">
        <w:rPr>
          <w:sz w:val="18"/>
          <w:szCs w:val="18"/>
        </w:rPr>
        <w:t xml:space="preserve">, 132. </w:t>
      </w:r>
    </w:p>
  </w:footnote>
  <w:footnote w:id="150">
    <w:p w14:paraId="6BA60843" w14:textId="77777777" w:rsidR="0069129D" w:rsidRPr="00AB36AE" w:rsidRDefault="0069129D" w:rsidP="0069129D">
      <w:pPr>
        <w:pStyle w:val="FootnoteText"/>
        <w:rPr>
          <w:sz w:val="18"/>
          <w:szCs w:val="18"/>
        </w:rPr>
      </w:pPr>
      <w:r w:rsidRPr="00AB36AE">
        <w:rPr>
          <w:rStyle w:val="FootnoteReference"/>
          <w:sz w:val="18"/>
          <w:szCs w:val="18"/>
        </w:rPr>
        <w:footnoteRef/>
      </w:r>
      <w:r w:rsidRPr="00AB36AE">
        <w:rPr>
          <w:sz w:val="18"/>
          <w:szCs w:val="18"/>
        </w:rPr>
        <w:t xml:space="preserve"> Brandsma, </w:t>
      </w:r>
      <w:r w:rsidRPr="00AB36AE">
        <w:rPr>
          <w:i/>
          <w:iCs/>
          <w:sz w:val="18"/>
          <w:szCs w:val="18"/>
        </w:rPr>
        <w:t>Tussen twee dynastieën</w:t>
      </w:r>
      <w:r w:rsidRPr="00AB36AE">
        <w:rPr>
          <w:sz w:val="18"/>
          <w:szCs w:val="18"/>
        </w:rPr>
        <w:t>, 134.</w:t>
      </w:r>
    </w:p>
  </w:footnote>
  <w:footnote w:id="151">
    <w:p w14:paraId="5B97D086" w14:textId="06C6A4C0" w:rsidR="0069129D" w:rsidRPr="00AB36AE" w:rsidRDefault="0069129D" w:rsidP="0069129D">
      <w:pPr>
        <w:pStyle w:val="FootnoteText"/>
        <w:rPr>
          <w:sz w:val="18"/>
          <w:szCs w:val="18"/>
        </w:rPr>
      </w:pPr>
      <w:r w:rsidRPr="00AB36AE">
        <w:rPr>
          <w:rStyle w:val="FootnoteReference"/>
          <w:sz w:val="18"/>
          <w:szCs w:val="18"/>
        </w:rPr>
        <w:footnoteRef/>
      </w:r>
      <w:r w:rsidRPr="00AB36AE">
        <w:rPr>
          <w:sz w:val="18"/>
          <w:szCs w:val="18"/>
        </w:rPr>
        <w:t xml:space="preserve"> Brandsma, </w:t>
      </w:r>
      <w:r w:rsidRPr="00AB36AE">
        <w:rPr>
          <w:i/>
          <w:iCs/>
          <w:sz w:val="18"/>
          <w:szCs w:val="18"/>
        </w:rPr>
        <w:t>Tussen twee dynastieën</w:t>
      </w:r>
      <w:r w:rsidRPr="00AB36AE">
        <w:rPr>
          <w:sz w:val="18"/>
          <w:szCs w:val="18"/>
        </w:rPr>
        <w:t>, 142.</w:t>
      </w:r>
    </w:p>
  </w:footnote>
  <w:footnote w:id="152">
    <w:p w14:paraId="6A278AF4" w14:textId="0D11B624" w:rsidR="0069129D" w:rsidRPr="00AB36AE" w:rsidRDefault="0069129D" w:rsidP="0069129D">
      <w:pPr>
        <w:pStyle w:val="FootnoteText"/>
        <w:rPr>
          <w:sz w:val="18"/>
          <w:szCs w:val="18"/>
          <w:lang w:val="en-US"/>
        </w:rPr>
      </w:pPr>
      <w:r w:rsidRPr="00AB36AE">
        <w:rPr>
          <w:rStyle w:val="FootnoteReference"/>
          <w:sz w:val="18"/>
          <w:szCs w:val="18"/>
        </w:rPr>
        <w:footnoteRef/>
      </w:r>
      <w:r w:rsidRPr="00AB36AE">
        <w:rPr>
          <w:sz w:val="18"/>
          <w:szCs w:val="18"/>
        </w:rPr>
        <w:t xml:space="preserve"> Dauchy</w:t>
      </w:r>
      <w:r w:rsidR="00EB5BD0" w:rsidRPr="00AB36AE">
        <w:rPr>
          <w:sz w:val="18"/>
          <w:szCs w:val="18"/>
        </w:rPr>
        <w:t>,</w:t>
      </w:r>
      <w:r w:rsidRPr="00AB36AE">
        <w:rPr>
          <w:sz w:val="18"/>
          <w:szCs w:val="18"/>
        </w:rPr>
        <w:t xml:space="preserve"> </w:t>
      </w:r>
      <w:r w:rsidR="00EB5BD0" w:rsidRPr="00AB36AE">
        <w:rPr>
          <w:sz w:val="18"/>
          <w:szCs w:val="18"/>
        </w:rPr>
        <w:t>“</w:t>
      </w:r>
      <w:r w:rsidRPr="00AB36AE">
        <w:rPr>
          <w:sz w:val="18"/>
          <w:szCs w:val="18"/>
        </w:rPr>
        <w:t>Le douaire de Marguerite d'York</w:t>
      </w:r>
      <w:r w:rsidR="00EB5BD0" w:rsidRPr="00AB36AE">
        <w:rPr>
          <w:sz w:val="18"/>
          <w:szCs w:val="18"/>
        </w:rPr>
        <w:t xml:space="preserve">”, </w:t>
      </w:r>
      <w:r w:rsidRPr="00AB36AE">
        <w:rPr>
          <w:sz w:val="18"/>
          <w:szCs w:val="18"/>
        </w:rPr>
        <w:t>54-60</w:t>
      </w:r>
      <w:r w:rsidR="00EB5BD0" w:rsidRPr="00AB36AE">
        <w:rPr>
          <w:sz w:val="18"/>
          <w:szCs w:val="18"/>
        </w:rPr>
        <w:t>.</w:t>
      </w:r>
    </w:p>
  </w:footnote>
  <w:footnote w:id="153">
    <w:p w14:paraId="0A0AB086" w14:textId="77777777" w:rsidR="0069129D" w:rsidRPr="00AB36AE" w:rsidRDefault="0069129D" w:rsidP="0069129D">
      <w:pPr>
        <w:pStyle w:val="FootnoteText"/>
        <w:rPr>
          <w:sz w:val="18"/>
          <w:szCs w:val="18"/>
        </w:rPr>
      </w:pPr>
      <w:r w:rsidRPr="00AB36AE">
        <w:rPr>
          <w:rStyle w:val="FootnoteReference"/>
          <w:sz w:val="18"/>
          <w:szCs w:val="18"/>
        </w:rPr>
        <w:footnoteRef/>
      </w:r>
      <w:r w:rsidRPr="00AB36AE">
        <w:rPr>
          <w:sz w:val="18"/>
          <w:szCs w:val="18"/>
        </w:rPr>
        <w:t xml:space="preserve"> Brandsma, </w:t>
      </w:r>
      <w:r w:rsidRPr="00AB36AE">
        <w:rPr>
          <w:i/>
          <w:iCs/>
          <w:sz w:val="18"/>
          <w:szCs w:val="18"/>
        </w:rPr>
        <w:t>Tussen twee dynastieën</w:t>
      </w:r>
      <w:r w:rsidRPr="00AB36AE">
        <w:rPr>
          <w:sz w:val="18"/>
          <w:szCs w:val="18"/>
        </w:rPr>
        <w:t xml:space="preserve">, 140, 154. </w:t>
      </w:r>
    </w:p>
  </w:footnote>
  <w:footnote w:id="154">
    <w:p w14:paraId="0B75A3E7" w14:textId="1D3E66BA" w:rsidR="00211EC6" w:rsidRPr="00AB36AE" w:rsidRDefault="00211EC6" w:rsidP="00211EC6">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w:t>
      </w:r>
      <w:r w:rsidR="000140F2" w:rsidRPr="00AB36AE">
        <w:rPr>
          <w:sz w:val="18"/>
          <w:szCs w:val="18"/>
          <w:lang w:val="nl-NL"/>
        </w:rPr>
        <w:t>Bos-Rops, “De Hollandse douarie”, 79.</w:t>
      </w:r>
    </w:p>
  </w:footnote>
  <w:footnote w:id="155">
    <w:p w14:paraId="3B1D7D61" w14:textId="235F7333" w:rsidR="00211EC6" w:rsidRPr="00AB36AE" w:rsidRDefault="00211EC6" w:rsidP="00211EC6">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w:t>
      </w:r>
      <w:r w:rsidR="000140F2" w:rsidRPr="00AB36AE">
        <w:rPr>
          <w:sz w:val="18"/>
          <w:szCs w:val="18"/>
          <w:lang w:val="nl-NL"/>
        </w:rPr>
        <w:t>Bos-Rops, “De Hollandse douarie”, 79.</w:t>
      </w:r>
    </w:p>
  </w:footnote>
  <w:footnote w:id="156">
    <w:p w14:paraId="755FCF5F" w14:textId="0CAD9D01" w:rsidR="00211EC6" w:rsidRPr="00AB36AE" w:rsidRDefault="00211EC6" w:rsidP="00211EC6">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Pièrard, “Les douaires”</w:t>
      </w:r>
      <w:r w:rsidR="000140F2" w:rsidRPr="00AB36AE">
        <w:rPr>
          <w:sz w:val="18"/>
          <w:szCs w:val="18"/>
          <w:lang w:val="nl-NL"/>
        </w:rPr>
        <w:t>,</w:t>
      </w:r>
      <w:r w:rsidRPr="00AB36AE">
        <w:rPr>
          <w:sz w:val="18"/>
          <w:szCs w:val="18"/>
          <w:lang w:val="nl-NL"/>
        </w:rPr>
        <w:t xml:space="preserve"> 83; Bos-Rops, </w:t>
      </w:r>
      <w:r w:rsidR="000140F2" w:rsidRPr="00AB36AE">
        <w:rPr>
          <w:sz w:val="18"/>
          <w:szCs w:val="18"/>
          <w:lang w:val="nl-NL"/>
        </w:rPr>
        <w:t>“</w:t>
      </w:r>
      <w:r w:rsidRPr="00AB36AE">
        <w:rPr>
          <w:sz w:val="18"/>
          <w:szCs w:val="18"/>
          <w:lang w:val="nl-NL"/>
        </w:rPr>
        <w:t>De Hollandse douarie</w:t>
      </w:r>
      <w:r w:rsidR="000140F2" w:rsidRPr="00AB36AE">
        <w:rPr>
          <w:sz w:val="18"/>
          <w:szCs w:val="18"/>
          <w:lang w:val="nl-NL"/>
        </w:rPr>
        <w:t>”</w:t>
      </w:r>
      <w:r w:rsidRPr="00AB36AE">
        <w:rPr>
          <w:sz w:val="18"/>
          <w:szCs w:val="18"/>
          <w:lang w:val="nl-NL"/>
        </w:rPr>
        <w:t>,</w:t>
      </w:r>
      <w:r w:rsidR="000140F2" w:rsidRPr="00AB36AE">
        <w:rPr>
          <w:sz w:val="18"/>
          <w:szCs w:val="18"/>
          <w:lang w:val="nl-NL"/>
        </w:rPr>
        <w:t xml:space="preserve"> </w:t>
      </w:r>
      <w:r w:rsidRPr="00AB36AE">
        <w:rPr>
          <w:sz w:val="18"/>
          <w:szCs w:val="18"/>
          <w:lang w:val="nl-NL"/>
        </w:rPr>
        <w:t xml:space="preserve">88. </w:t>
      </w:r>
    </w:p>
  </w:footnote>
  <w:footnote w:id="157">
    <w:p w14:paraId="77A3673E" w14:textId="42AC4569" w:rsidR="00211EC6" w:rsidRPr="00AB36AE" w:rsidRDefault="00211EC6" w:rsidP="00211EC6">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Bos-Rops, </w:t>
      </w:r>
      <w:r w:rsidR="000140F2" w:rsidRPr="00AB36AE">
        <w:rPr>
          <w:sz w:val="18"/>
          <w:szCs w:val="18"/>
          <w:lang w:val="nl-NL"/>
        </w:rPr>
        <w:t>“</w:t>
      </w:r>
      <w:r w:rsidRPr="00AB36AE">
        <w:rPr>
          <w:sz w:val="18"/>
          <w:szCs w:val="18"/>
          <w:lang w:val="nl-NL"/>
        </w:rPr>
        <w:t xml:space="preserve">De Hollandse douarie”, 81. </w:t>
      </w:r>
    </w:p>
  </w:footnote>
  <w:footnote w:id="158">
    <w:p w14:paraId="52BCBFC4" w14:textId="1951A8FF" w:rsidR="00211EC6" w:rsidRPr="00AB36AE" w:rsidRDefault="00211EC6" w:rsidP="00211EC6">
      <w:pPr>
        <w:pStyle w:val="FootnoteText"/>
        <w:rPr>
          <w:sz w:val="18"/>
          <w:szCs w:val="18"/>
          <w:lang w:val="fr-FR"/>
        </w:rPr>
      </w:pPr>
      <w:r w:rsidRPr="00AB36AE">
        <w:rPr>
          <w:rStyle w:val="FootnoteReference"/>
          <w:sz w:val="18"/>
          <w:szCs w:val="18"/>
          <w:lang w:val="nl-NL"/>
        </w:rPr>
        <w:footnoteRef/>
      </w:r>
      <w:r w:rsidRPr="00AB36AE">
        <w:rPr>
          <w:sz w:val="18"/>
          <w:szCs w:val="18"/>
          <w:lang w:val="nl-NL"/>
        </w:rPr>
        <w:t xml:space="preserve"> </w:t>
      </w:r>
      <w:r w:rsidR="000140F2" w:rsidRPr="00AB36AE">
        <w:rPr>
          <w:sz w:val="18"/>
          <w:szCs w:val="18"/>
          <w:lang w:val="nl-NL"/>
        </w:rPr>
        <w:t>Bos-Rops, “De Hollandse douarie”, 81.</w:t>
      </w:r>
    </w:p>
  </w:footnote>
  <w:footnote w:id="159">
    <w:p w14:paraId="2E15A0FD" w14:textId="0AAB456D" w:rsidR="00211EC6" w:rsidRPr="00AB36AE" w:rsidRDefault="00211EC6" w:rsidP="00211EC6">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8C07FF" w:rsidRPr="00AB36AE">
        <w:rPr>
          <w:sz w:val="18"/>
          <w:szCs w:val="18"/>
          <w:lang w:val="nl-NL"/>
        </w:rPr>
        <w:t xml:space="preserve">Bos-Rops, “De Hollandse douarie”, </w:t>
      </w:r>
      <w:r w:rsidRPr="00AB36AE">
        <w:rPr>
          <w:sz w:val="18"/>
          <w:szCs w:val="18"/>
          <w:lang w:val="fr-FR"/>
        </w:rPr>
        <w:t>81-82.</w:t>
      </w:r>
    </w:p>
  </w:footnote>
  <w:footnote w:id="160">
    <w:p w14:paraId="0ECDDB23" w14:textId="1CD6441F" w:rsidR="00211EC6" w:rsidRPr="00AB36AE" w:rsidRDefault="00211EC6" w:rsidP="00211EC6">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8C07FF" w:rsidRPr="00AB36AE">
        <w:rPr>
          <w:sz w:val="18"/>
          <w:szCs w:val="18"/>
          <w:lang w:val="nl-NL"/>
        </w:rPr>
        <w:t xml:space="preserve">Bos-Rops, “De Hollandse douarie”, </w:t>
      </w:r>
      <w:r w:rsidRPr="00AB36AE">
        <w:rPr>
          <w:sz w:val="18"/>
          <w:szCs w:val="18"/>
          <w:lang w:val="fr-FR"/>
        </w:rPr>
        <w:t xml:space="preserve">82. </w:t>
      </w:r>
    </w:p>
  </w:footnote>
  <w:footnote w:id="161">
    <w:p w14:paraId="0A5C7D4C" w14:textId="42EFDD80" w:rsidR="00211EC6" w:rsidRPr="00AB36AE" w:rsidRDefault="00211EC6" w:rsidP="00211EC6">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8C07FF" w:rsidRPr="00AB36AE">
        <w:rPr>
          <w:sz w:val="18"/>
          <w:szCs w:val="18"/>
          <w:lang w:val="nl-NL"/>
        </w:rPr>
        <w:t>Bos-Rops, “De Hollandse douarie”,</w:t>
      </w:r>
      <w:r w:rsidRPr="00AB36AE">
        <w:rPr>
          <w:sz w:val="18"/>
          <w:szCs w:val="18"/>
          <w:lang w:val="fr-FR"/>
        </w:rPr>
        <w:t xml:space="preserve"> 83.</w:t>
      </w:r>
    </w:p>
  </w:footnote>
  <w:footnote w:id="162">
    <w:p w14:paraId="193F8D33" w14:textId="2F3A91B1" w:rsidR="00211EC6" w:rsidRPr="00AB36AE" w:rsidRDefault="00211EC6" w:rsidP="00211EC6">
      <w:pPr>
        <w:pStyle w:val="FootnoteText"/>
        <w:rPr>
          <w:sz w:val="18"/>
          <w:szCs w:val="18"/>
          <w:lang w:val="fr-FR"/>
        </w:rPr>
      </w:pPr>
      <w:r w:rsidRPr="00AB36AE">
        <w:rPr>
          <w:rStyle w:val="FootnoteReference"/>
          <w:sz w:val="18"/>
          <w:szCs w:val="18"/>
        </w:rPr>
        <w:footnoteRef/>
      </w:r>
      <w:r w:rsidRPr="00AB36AE">
        <w:rPr>
          <w:sz w:val="18"/>
          <w:szCs w:val="18"/>
          <w:lang w:val="fr-FR"/>
        </w:rPr>
        <w:t xml:space="preserve"> Verkooren, </w:t>
      </w:r>
      <w:r w:rsidR="0055090A" w:rsidRPr="00AB36AE">
        <w:rPr>
          <w:i/>
          <w:iCs/>
          <w:sz w:val="18"/>
          <w:szCs w:val="18"/>
          <w:lang w:val="fr-FR"/>
        </w:rPr>
        <w:t>Chartes originales et vidimées</w:t>
      </w:r>
      <w:r w:rsidR="008C07FF" w:rsidRPr="00AB36AE">
        <w:rPr>
          <w:i/>
          <w:iCs/>
          <w:sz w:val="18"/>
          <w:szCs w:val="18"/>
          <w:lang w:val="fr-FR"/>
        </w:rPr>
        <w:t>,</w:t>
      </w:r>
      <w:r w:rsidR="0055090A" w:rsidRPr="00AB36AE">
        <w:rPr>
          <w:i/>
          <w:iCs/>
          <w:sz w:val="18"/>
          <w:szCs w:val="18"/>
          <w:lang w:val="fr-FR"/>
        </w:rPr>
        <w:t xml:space="preserve"> </w:t>
      </w:r>
      <w:r w:rsidR="0055090A" w:rsidRPr="00AB36AE">
        <w:rPr>
          <w:sz w:val="18"/>
          <w:szCs w:val="18"/>
          <w:lang w:val="fr-FR"/>
        </w:rPr>
        <w:t>VIII,</w:t>
      </w:r>
      <w:r w:rsidR="008C07FF" w:rsidRPr="00AB36AE">
        <w:rPr>
          <w:i/>
          <w:iCs/>
          <w:sz w:val="18"/>
          <w:szCs w:val="18"/>
          <w:lang w:val="fr-FR"/>
        </w:rPr>
        <w:t xml:space="preserve"> </w:t>
      </w:r>
      <w:r w:rsidRPr="00AB36AE">
        <w:rPr>
          <w:sz w:val="18"/>
          <w:szCs w:val="18"/>
          <w:lang w:val="fr-FR"/>
        </w:rPr>
        <w:t xml:space="preserve">93-94. </w:t>
      </w:r>
    </w:p>
  </w:footnote>
  <w:footnote w:id="163">
    <w:p w14:paraId="3618A708" w14:textId="49FBAC59" w:rsidR="00211EC6" w:rsidRPr="00AB36AE" w:rsidRDefault="00211EC6" w:rsidP="00211EC6">
      <w:pPr>
        <w:pStyle w:val="FootnoteText"/>
        <w:rPr>
          <w:sz w:val="18"/>
          <w:szCs w:val="18"/>
          <w:lang w:val="fr-FR"/>
        </w:rPr>
      </w:pPr>
      <w:r w:rsidRPr="00AB36AE">
        <w:rPr>
          <w:rStyle w:val="FootnoteReference"/>
          <w:sz w:val="18"/>
          <w:szCs w:val="18"/>
        </w:rPr>
        <w:footnoteRef/>
      </w:r>
      <w:r w:rsidRPr="00AB36AE">
        <w:rPr>
          <w:sz w:val="18"/>
          <w:szCs w:val="18"/>
          <w:lang w:val="fr-FR"/>
        </w:rPr>
        <w:t xml:space="preserve"> Verkooren, </w:t>
      </w:r>
      <w:r w:rsidRPr="00AB36AE">
        <w:rPr>
          <w:i/>
          <w:iCs/>
          <w:sz w:val="18"/>
          <w:szCs w:val="18"/>
          <w:lang w:val="fr-FR"/>
        </w:rPr>
        <w:t>Chartes originales et vidimées</w:t>
      </w:r>
      <w:r w:rsidRPr="00AB36AE">
        <w:rPr>
          <w:sz w:val="18"/>
          <w:szCs w:val="18"/>
          <w:lang w:val="fr-FR"/>
        </w:rPr>
        <w:t>, VII, 89.</w:t>
      </w:r>
    </w:p>
  </w:footnote>
  <w:footnote w:id="164">
    <w:p w14:paraId="6ACCBF03" w14:textId="4DF14F67" w:rsidR="00211EC6" w:rsidRPr="00AB36AE" w:rsidRDefault="00211EC6" w:rsidP="00211EC6">
      <w:pPr>
        <w:pStyle w:val="FootnoteText"/>
        <w:rPr>
          <w:sz w:val="18"/>
          <w:szCs w:val="18"/>
        </w:rPr>
      </w:pPr>
      <w:r w:rsidRPr="00AB36AE">
        <w:rPr>
          <w:rStyle w:val="FootnoteReference"/>
          <w:sz w:val="18"/>
          <w:szCs w:val="18"/>
        </w:rPr>
        <w:footnoteRef/>
      </w:r>
      <w:r w:rsidRPr="00AB36AE">
        <w:rPr>
          <w:sz w:val="18"/>
          <w:szCs w:val="18"/>
        </w:rPr>
        <w:t xml:space="preserve"> Bos-Rops, ‘De Hollandse douarie”, 91. </w:t>
      </w:r>
    </w:p>
  </w:footnote>
  <w:footnote w:id="165">
    <w:p w14:paraId="4BC8BF83" w14:textId="157D3FC1" w:rsidR="00211EC6" w:rsidRPr="00AB36AE" w:rsidRDefault="00211EC6" w:rsidP="00211EC6">
      <w:pPr>
        <w:pStyle w:val="FootnoteText"/>
        <w:rPr>
          <w:sz w:val="18"/>
          <w:szCs w:val="18"/>
          <w:lang w:val="fr-FR"/>
        </w:rPr>
      </w:pPr>
      <w:r w:rsidRPr="00AB36AE">
        <w:rPr>
          <w:rStyle w:val="FootnoteReference"/>
          <w:sz w:val="18"/>
          <w:szCs w:val="18"/>
        </w:rPr>
        <w:footnoteRef/>
      </w:r>
      <w:r w:rsidRPr="00AB36AE">
        <w:rPr>
          <w:sz w:val="18"/>
          <w:szCs w:val="18"/>
          <w:lang w:val="fr-FR"/>
        </w:rPr>
        <w:t xml:space="preserve"> Pièrard, “Les douaires”</w:t>
      </w:r>
      <w:r w:rsidR="00953F40" w:rsidRPr="00AB36AE">
        <w:rPr>
          <w:sz w:val="18"/>
          <w:szCs w:val="18"/>
          <w:lang w:val="fr-FR"/>
        </w:rPr>
        <w:t>,</w:t>
      </w:r>
      <w:r w:rsidRPr="00AB36AE">
        <w:rPr>
          <w:sz w:val="18"/>
          <w:szCs w:val="18"/>
          <w:lang w:val="fr-FR"/>
        </w:rPr>
        <w:t xml:space="preserve"> 74-75; Uyttebrouck, </w:t>
      </w:r>
      <w:r w:rsidRPr="00AB36AE">
        <w:rPr>
          <w:i/>
          <w:iCs/>
          <w:sz w:val="18"/>
          <w:szCs w:val="18"/>
          <w:lang w:val="fr-FR"/>
        </w:rPr>
        <w:t>Le gouvernement</w:t>
      </w:r>
      <w:r w:rsidR="002045A1" w:rsidRPr="00AB36AE">
        <w:rPr>
          <w:i/>
          <w:iCs/>
          <w:sz w:val="18"/>
          <w:szCs w:val="18"/>
          <w:lang w:val="fr-FR"/>
        </w:rPr>
        <w:t xml:space="preserve">, </w:t>
      </w:r>
      <w:r w:rsidRPr="00AB36AE">
        <w:rPr>
          <w:sz w:val="18"/>
          <w:szCs w:val="18"/>
          <w:lang w:val="fr-FR"/>
        </w:rPr>
        <w:t>108-109.</w:t>
      </w:r>
    </w:p>
  </w:footnote>
  <w:footnote w:id="166">
    <w:p w14:paraId="6F67F44E" w14:textId="30D4D9D1" w:rsidR="00211EC6" w:rsidRPr="00AB36AE" w:rsidRDefault="00211EC6" w:rsidP="00211EC6">
      <w:pPr>
        <w:pStyle w:val="FootnoteText"/>
        <w:rPr>
          <w:sz w:val="18"/>
          <w:szCs w:val="18"/>
          <w:lang w:val="fr-FR"/>
        </w:rPr>
      </w:pPr>
      <w:r w:rsidRPr="00AB36AE">
        <w:rPr>
          <w:rStyle w:val="FootnoteReference"/>
          <w:sz w:val="18"/>
          <w:szCs w:val="18"/>
        </w:rPr>
        <w:footnoteRef/>
      </w:r>
      <w:r w:rsidRPr="00AB36AE">
        <w:rPr>
          <w:sz w:val="18"/>
          <w:szCs w:val="18"/>
          <w:lang w:val="fr-FR"/>
        </w:rPr>
        <w:t xml:space="preserve"> Pièrard, “Les douaires”</w:t>
      </w:r>
      <w:r w:rsidR="00953F40" w:rsidRPr="00AB36AE">
        <w:rPr>
          <w:sz w:val="18"/>
          <w:szCs w:val="18"/>
          <w:lang w:val="fr-FR"/>
        </w:rPr>
        <w:t>,</w:t>
      </w:r>
      <w:r w:rsidRPr="00AB36AE">
        <w:rPr>
          <w:sz w:val="18"/>
          <w:szCs w:val="18"/>
          <w:lang w:val="fr-FR"/>
        </w:rPr>
        <w:t xml:space="preserve"> 76; Brandsma, </w:t>
      </w:r>
      <w:r w:rsidRPr="00AB36AE">
        <w:rPr>
          <w:i/>
          <w:iCs/>
          <w:sz w:val="18"/>
          <w:szCs w:val="18"/>
          <w:lang w:val="fr-FR"/>
        </w:rPr>
        <w:t xml:space="preserve">Tussen twee dynastieën, </w:t>
      </w:r>
      <w:r w:rsidRPr="00AB36AE">
        <w:rPr>
          <w:sz w:val="18"/>
          <w:szCs w:val="18"/>
          <w:lang w:val="fr-FR"/>
        </w:rPr>
        <w:t>142</w:t>
      </w:r>
      <w:r w:rsidR="00953F40" w:rsidRPr="00AB36AE">
        <w:rPr>
          <w:sz w:val="18"/>
          <w:szCs w:val="18"/>
          <w:lang w:val="fr-FR"/>
        </w:rPr>
        <w:t>.</w:t>
      </w:r>
    </w:p>
  </w:footnote>
  <w:footnote w:id="167">
    <w:p w14:paraId="02144DE0" w14:textId="04A720BC" w:rsidR="00211EC6" w:rsidRPr="00AB36AE" w:rsidRDefault="00211EC6" w:rsidP="00211EC6">
      <w:pPr>
        <w:pStyle w:val="FootnoteText"/>
        <w:rPr>
          <w:sz w:val="18"/>
          <w:szCs w:val="18"/>
          <w:lang w:val="fr-FR"/>
        </w:rPr>
      </w:pPr>
      <w:r w:rsidRPr="00AB36AE">
        <w:rPr>
          <w:rStyle w:val="FootnoteReference"/>
          <w:sz w:val="18"/>
          <w:szCs w:val="18"/>
        </w:rPr>
        <w:footnoteRef/>
      </w:r>
      <w:r w:rsidRPr="00AB36AE">
        <w:rPr>
          <w:sz w:val="18"/>
          <w:szCs w:val="18"/>
          <w:lang w:val="fr-FR"/>
        </w:rPr>
        <w:t xml:space="preserve"> Pièrard, “Les douaires”</w:t>
      </w:r>
      <w:r w:rsidR="00953F40" w:rsidRPr="00AB36AE">
        <w:rPr>
          <w:sz w:val="18"/>
          <w:szCs w:val="18"/>
          <w:lang w:val="fr-FR"/>
        </w:rPr>
        <w:t>,</w:t>
      </w:r>
      <w:r w:rsidRPr="00AB36AE">
        <w:rPr>
          <w:sz w:val="18"/>
          <w:szCs w:val="18"/>
          <w:lang w:val="fr-FR"/>
        </w:rPr>
        <w:t xml:space="preserve"> 79; Bos-Rops, ‘De Hollandse douarie”, 80. </w:t>
      </w:r>
    </w:p>
  </w:footnote>
  <w:footnote w:id="168">
    <w:p w14:paraId="5FFC2F50" w14:textId="174C1BD9" w:rsidR="00211EC6" w:rsidRPr="00AB36AE" w:rsidRDefault="00211EC6" w:rsidP="00211EC6">
      <w:pPr>
        <w:pStyle w:val="FootnoteText"/>
        <w:rPr>
          <w:sz w:val="18"/>
          <w:szCs w:val="18"/>
          <w:lang w:val="fr-FR"/>
        </w:rPr>
      </w:pPr>
      <w:r w:rsidRPr="00AB36AE">
        <w:rPr>
          <w:rStyle w:val="FootnoteReference"/>
          <w:sz w:val="18"/>
          <w:szCs w:val="18"/>
        </w:rPr>
        <w:footnoteRef/>
      </w:r>
      <w:r w:rsidRPr="00AB36AE">
        <w:rPr>
          <w:sz w:val="18"/>
          <w:szCs w:val="18"/>
          <w:lang w:val="fr-FR"/>
        </w:rPr>
        <w:t xml:space="preserve"> Pièrard, “Les douaires”, 79-80.</w:t>
      </w:r>
    </w:p>
  </w:footnote>
  <w:footnote w:id="169">
    <w:p w14:paraId="68AFFEF5" w14:textId="5FA3504A" w:rsidR="00211EC6" w:rsidRPr="00AB36AE" w:rsidRDefault="00211EC6" w:rsidP="00211EC6">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953F40" w:rsidRPr="00AB36AE">
        <w:rPr>
          <w:sz w:val="18"/>
          <w:szCs w:val="18"/>
          <w:lang w:val="fr-FR"/>
        </w:rPr>
        <w:t>Pièrard, “Les douaires”,</w:t>
      </w:r>
      <w:r w:rsidRPr="00AB36AE">
        <w:rPr>
          <w:sz w:val="18"/>
          <w:szCs w:val="18"/>
          <w:lang w:val="fr-FR"/>
        </w:rPr>
        <w:t xml:space="preserve"> 79. </w:t>
      </w:r>
    </w:p>
  </w:footnote>
  <w:footnote w:id="170">
    <w:p w14:paraId="42D4E741" w14:textId="3DD59907" w:rsidR="00211EC6" w:rsidRPr="00AB36AE" w:rsidRDefault="00211EC6" w:rsidP="00211EC6">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953F40" w:rsidRPr="00AB36AE">
        <w:rPr>
          <w:sz w:val="18"/>
          <w:szCs w:val="18"/>
          <w:lang w:val="fr-FR"/>
        </w:rPr>
        <w:t>Pièrard, “Les douaires”, 79</w:t>
      </w:r>
      <w:r w:rsidR="00EC59DE" w:rsidRPr="00AB36AE">
        <w:rPr>
          <w:sz w:val="18"/>
          <w:szCs w:val="18"/>
          <w:lang w:val="fr-FR"/>
        </w:rPr>
        <w:t>.</w:t>
      </w:r>
    </w:p>
  </w:footnote>
  <w:footnote w:id="171">
    <w:p w14:paraId="7CB871D1" w14:textId="37F8D974" w:rsidR="00211EC6" w:rsidRPr="00AB36AE" w:rsidRDefault="00211EC6" w:rsidP="00211EC6">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953F40" w:rsidRPr="00AB36AE">
        <w:rPr>
          <w:sz w:val="18"/>
          <w:szCs w:val="18"/>
          <w:lang w:val="fr-FR"/>
        </w:rPr>
        <w:t>Pièrard, “Les douaires”,</w:t>
      </w:r>
      <w:r w:rsidR="009C410F" w:rsidRPr="00AB36AE">
        <w:rPr>
          <w:sz w:val="18"/>
          <w:szCs w:val="18"/>
          <w:lang w:val="fr-FR"/>
        </w:rPr>
        <w:t xml:space="preserve"> </w:t>
      </w:r>
      <w:r w:rsidR="00953F40" w:rsidRPr="00AB36AE">
        <w:rPr>
          <w:sz w:val="18"/>
          <w:szCs w:val="18"/>
          <w:lang w:val="fr-FR"/>
        </w:rPr>
        <w:t xml:space="preserve">79. </w:t>
      </w:r>
    </w:p>
  </w:footnote>
  <w:footnote w:id="172">
    <w:p w14:paraId="4AF34A86" w14:textId="5CCEA8B3" w:rsidR="00211EC6" w:rsidRPr="00AB36AE" w:rsidRDefault="00211EC6" w:rsidP="00211EC6">
      <w:pPr>
        <w:pStyle w:val="FootnoteText"/>
        <w:rPr>
          <w:sz w:val="18"/>
          <w:szCs w:val="18"/>
        </w:rPr>
      </w:pPr>
      <w:r w:rsidRPr="00AB36AE">
        <w:rPr>
          <w:rStyle w:val="FootnoteReference"/>
          <w:sz w:val="18"/>
          <w:szCs w:val="18"/>
        </w:rPr>
        <w:footnoteRef/>
      </w:r>
      <w:r w:rsidRPr="00AB36AE">
        <w:rPr>
          <w:sz w:val="18"/>
          <w:szCs w:val="18"/>
        </w:rPr>
        <w:t xml:space="preserve"> C.A.J. Armstrong, </w:t>
      </w:r>
      <w:r w:rsidR="00B57271" w:rsidRPr="00AB36AE">
        <w:rPr>
          <w:sz w:val="18"/>
          <w:szCs w:val="18"/>
        </w:rPr>
        <w:t>“</w:t>
      </w:r>
      <w:r w:rsidRPr="00AB36AE">
        <w:rPr>
          <w:sz w:val="18"/>
          <w:szCs w:val="18"/>
        </w:rPr>
        <w:t>La politique matrimonial</w:t>
      </w:r>
      <w:r w:rsidR="00B57271" w:rsidRPr="00AB36AE">
        <w:rPr>
          <w:sz w:val="18"/>
          <w:szCs w:val="18"/>
        </w:rPr>
        <w:t xml:space="preserve">e”, 314-323. </w:t>
      </w:r>
    </w:p>
  </w:footnote>
  <w:footnote w:id="173">
    <w:p w14:paraId="4FF50093" w14:textId="77777777" w:rsidR="00242E6C" w:rsidRPr="00AB36AE" w:rsidRDefault="00242E6C" w:rsidP="00242E6C">
      <w:pPr>
        <w:pStyle w:val="FootnoteText"/>
        <w:rPr>
          <w:sz w:val="18"/>
          <w:szCs w:val="18"/>
          <w:lang w:val="fr-FR"/>
        </w:rPr>
      </w:pPr>
      <w:r w:rsidRPr="00AB36AE">
        <w:rPr>
          <w:rStyle w:val="FootnoteReference"/>
          <w:sz w:val="18"/>
          <w:szCs w:val="18"/>
        </w:rPr>
        <w:footnoteRef/>
      </w:r>
      <w:r w:rsidRPr="00AB36AE">
        <w:rPr>
          <w:sz w:val="18"/>
          <w:szCs w:val="18"/>
          <w:lang w:val="fr-FR"/>
        </w:rPr>
        <w:t xml:space="preserve"> Boffa, “Les Mariages de Jeanne de Brabant”, 194-96.</w:t>
      </w:r>
    </w:p>
  </w:footnote>
  <w:footnote w:id="174">
    <w:p w14:paraId="0523F27B" w14:textId="01C78533" w:rsidR="00242E6C" w:rsidRPr="00AB36AE" w:rsidRDefault="00242E6C" w:rsidP="00242E6C">
      <w:pPr>
        <w:pStyle w:val="FootnoteText"/>
        <w:rPr>
          <w:sz w:val="18"/>
          <w:szCs w:val="18"/>
          <w:lang w:val="en-US"/>
        </w:rPr>
      </w:pPr>
      <w:r w:rsidRPr="00AB36AE">
        <w:rPr>
          <w:rStyle w:val="FootnoteReference"/>
          <w:sz w:val="18"/>
          <w:szCs w:val="18"/>
        </w:rPr>
        <w:footnoteRef/>
      </w:r>
      <w:r w:rsidRPr="00AB36AE">
        <w:rPr>
          <w:sz w:val="18"/>
          <w:szCs w:val="18"/>
        </w:rPr>
        <w:t xml:space="preserve"> </w:t>
      </w:r>
      <w:r w:rsidRPr="00AB36AE">
        <w:rPr>
          <w:sz w:val="18"/>
          <w:szCs w:val="18"/>
          <w:lang w:val="en-US"/>
        </w:rPr>
        <w:t xml:space="preserve">Luxemburg </w:t>
      </w:r>
      <w:r w:rsidR="009C410F" w:rsidRPr="00AB36AE">
        <w:rPr>
          <w:sz w:val="18"/>
          <w:szCs w:val="18"/>
          <w:lang w:val="en-US"/>
        </w:rPr>
        <w:t>werd</w:t>
      </w:r>
      <w:r w:rsidRPr="00AB36AE">
        <w:rPr>
          <w:sz w:val="18"/>
          <w:szCs w:val="18"/>
          <w:lang w:val="en-US"/>
        </w:rPr>
        <w:t xml:space="preserve"> pas in 1354 verheven tot een hertogdom</w:t>
      </w:r>
      <w:r w:rsidR="00C650E5" w:rsidRPr="00AB36AE">
        <w:rPr>
          <w:sz w:val="18"/>
          <w:szCs w:val="18"/>
          <w:lang w:val="en-US"/>
        </w:rPr>
        <w:t>.</w:t>
      </w:r>
    </w:p>
  </w:footnote>
  <w:footnote w:id="175">
    <w:p w14:paraId="4F19FB73" w14:textId="163ED064" w:rsidR="00242E6C" w:rsidRPr="00AB36AE" w:rsidRDefault="00242E6C" w:rsidP="00242E6C">
      <w:pPr>
        <w:pStyle w:val="FootnoteText"/>
        <w:rPr>
          <w:sz w:val="18"/>
          <w:szCs w:val="18"/>
          <w:lang w:val="fr-FR"/>
        </w:rPr>
      </w:pPr>
      <w:r w:rsidRPr="00AB36AE">
        <w:rPr>
          <w:rStyle w:val="FootnoteReference"/>
          <w:sz w:val="18"/>
          <w:szCs w:val="18"/>
        </w:rPr>
        <w:footnoteRef/>
      </w:r>
      <w:r w:rsidRPr="00AB36AE">
        <w:rPr>
          <w:sz w:val="18"/>
          <w:szCs w:val="18"/>
          <w:lang w:val="fr-FR"/>
        </w:rPr>
        <w:t xml:space="preserve"> Pièrard, “Les douaires,” 81.</w:t>
      </w:r>
    </w:p>
  </w:footnote>
  <w:footnote w:id="176">
    <w:p w14:paraId="32D04F68" w14:textId="35F0856D" w:rsidR="00242E6C" w:rsidRPr="00AB36AE" w:rsidRDefault="00242E6C" w:rsidP="00242E6C">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9C410F" w:rsidRPr="00AB36AE">
        <w:rPr>
          <w:sz w:val="18"/>
          <w:szCs w:val="18"/>
          <w:lang w:val="fr-FR"/>
        </w:rPr>
        <w:t>Pièrard, “Les douaires,” 81 ; Devillers</w:t>
      </w:r>
      <w:r w:rsidRPr="00AB36AE">
        <w:rPr>
          <w:sz w:val="18"/>
          <w:szCs w:val="18"/>
          <w:lang w:val="fr-FR"/>
        </w:rPr>
        <w:t xml:space="preserve">, </w:t>
      </w:r>
      <w:r w:rsidRPr="00AB36AE">
        <w:rPr>
          <w:i/>
          <w:iCs/>
          <w:sz w:val="18"/>
          <w:szCs w:val="18"/>
          <w:lang w:val="fr-FR"/>
        </w:rPr>
        <w:t>Cartulaire des comtes de Hainaut</w:t>
      </w:r>
      <w:r w:rsidR="009C410F" w:rsidRPr="00AB36AE">
        <w:rPr>
          <w:i/>
          <w:iCs/>
          <w:sz w:val="18"/>
          <w:szCs w:val="18"/>
          <w:lang w:val="fr-FR"/>
        </w:rPr>
        <w:t>,</w:t>
      </w:r>
      <w:r w:rsidRPr="00AB36AE">
        <w:rPr>
          <w:sz w:val="18"/>
          <w:szCs w:val="18"/>
          <w:lang w:val="fr-FR"/>
        </w:rPr>
        <w:t xml:space="preserve"> 337.</w:t>
      </w:r>
    </w:p>
  </w:footnote>
  <w:footnote w:id="177">
    <w:p w14:paraId="7C832072" w14:textId="0EB7851B" w:rsidR="00242E6C" w:rsidRPr="00AB36AE" w:rsidRDefault="00242E6C" w:rsidP="00242E6C">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9C410F" w:rsidRPr="00AB36AE">
        <w:rPr>
          <w:sz w:val="18"/>
          <w:szCs w:val="18"/>
          <w:lang w:val="fr-FR"/>
        </w:rPr>
        <w:t>Pièrard, “Les douaires,”</w:t>
      </w:r>
      <w:r w:rsidRPr="00AB36AE">
        <w:rPr>
          <w:sz w:val="18"/>
          <w:szCs w:val="18"/>
          <w:lang w:val="fr-FR"/>
        </w:rPr>
        <w:t xml:space="preserve"> 81-82; Uyttebrouck, </w:t>
      </w:r>
      <w:r w:rsidRPr="00AB36AE">
        <w:rPr>
          <w:i/>
          <w:iCs/>
          <w:sz w:val="18"/>
          <w:szCs w:val="18"/>
          <w:lang w:val="fr-FR"/>
        </w:rPr>
        <w:t>Le gouvernement</w:t>
      </w:r>
      <w:r w:rsidR="002045A1" w:rsidRPr="00AB36AE">
        <w:rPr>
          <w:i/>
          <w:iCs/>
          <w:sz w:val="18"/>
          <w:szCs w:val="18"/>
          <w:lang w:val="fr-FR"/>
        </w:rPr>
        <w:t xml:space="preserve">, </w:t>
      </w:r>
      <w:r w:rsidRPr="00AB36AE">
        <w:rPr>
          <w:sz w:val="18"/>
          <w:szCs w:val="18"/>
          <w:lang w:val="fr-FR"/>
        </w:rPr>
        <w:t>108-109.</w:t>
      </w:r>
    </w:p>
  </w:footnote>
  <w:footnote w:id="178">
    <w:p w14:paraId="4D80A32F" w14:textId="7280EB43" w:rsidR="00242E6C" w:rsidRPr="00AB36AE" w:rsidRDefault="00242E6C" w:rsidP="00242E6C">
      <w:pPr>
        <w:pStyle w:val="FootnoteText"/>
        <w:rPr>
          <w:sz w:val="18"/>
          <w:szCs w:val="18"/>
          <w:lang w:val="fr-FR"/>
        </w:rPr>
      </w:pPr>
      <w:r w:rsidRPr="00AB36AE">
        <w:rPr>
          <w:rStyle w:val="FootnoteReference"/>
          <w:sz w:val="18"/>
          <w:szCs w:val="18"/>
        </w:rPr>
        <w:footnoteRef/>
      </w:r>
      <w:r w:rsidRPr="00AB36AE">
        <w:rPr>
          <w:sz w:val="18"/>
          <w:szCs w:val="18"/>
          <w:lang w:val="fr-FR"/>
        </w:rPr>
        <w:t xml:space="preserve"> Devillers, </w:t>
      </w:r>
      <w:r w:rsidRPr="00AB36AE">
        <w:rPr>
          <w:i/>
          <w:iCs/>
          <w:sz w:val="18"/>
          <w:szCs w:val="18"/>
          <w:lang w:val="fr-FR"/>
        </w:rPr>
        <w:t xml:space="preserve">Cartulaire des comtes de Hainaut, </w:t>
      </w:r>
      <w:r w:rsidRPr="00AB36AE">
        <w:rPr>
          <w:sz w:val="18"/>
          <w:szCs w:val="18"/>
          <w:lang w:val="fr-FR"/>
        </w:rPr>
        <w:t>338.</w:t>
      </w:r>
    </w:p>
  </w:footnote>
  <w:footnote w:id="179">
    <w:p w14:paraId="5B011FF5" w14:textId="0B75E6B9" w:rsidR="00242E6C" w:rsidRPr="00AB36AE" w:rsidRDefault="00242E6C" w:rsidP="00242E6C">
      <w:pPr>
        <w:pStyle w:val="FootnoteText"/>
        <w:rPr>
          <w:i/>
          <w:iCs/>
          <w:sz w:val="18"/>
          <w:szCs w:val="18"/>
        </w:rPr>
      </w:pPr>
      <w:r w:rsidRPr="00AB36AE">
        <w:rPr>
          <w:rStyle w:val="FootnoteReference"/>
          <w:sz w:val="18"/>
          <w:szCs w:val="18"/>
        </w:rPr>
        <w:footnoteRef/>
      </w:r>
      <w:r w:rsidRPr="00AB36AE">
        <w:rPr>
          <w:sz w:val="18"/>
          <w:szCs w:val="18"/>
        </w:rPr>
        <w:t xml:space="preserve"> </w:t>
      </w:r>
      <w:r w:rsidR="009C410F" w:rsidRPr="00AB36AE">
        <w:rPr>
          <w:sz w:val="18"/>
          <w:szCs w:val="18"/>
          <w:lang w:val="fr-FR"/>
        </w:rPr>
        <w:t xml:space="preserve">Verkooren, </w:t>
      </w:r>
      <w:r w:rsidR="009C410F" w:rsidRPr="00AB36AE">
        <w:rPr>
          <w:i/>
          <w:iCs/>
          <w:sz w:val="18"/>
          <w:szCs w:val="18"/>
          <w:lang w:val="fr-FR"/>
        </w:rPr>
        <w:t>Chartes originales et vidimées</w:t>
      </w:r>
      <w:r w:rsidR="009C410F" w:rsidRPr="00AB36AE">
        <w:rPr>
          <w:sz w:val="18"/>
          <w:szCs w:val="18"/>
          <w:lang w:val="fr-FR"/>
        </w:rPr>
        <w:t>, VII</w:t>
      </w:r>
      <w:r w:rsidRPr="00AB36AE">
        <w:rPr>
          <w:i/>
          <w:iCs/>
          <w:sz w:val="18"/>
          <w:szCs w:val="18"/>
        </w:rPr>
        <w:t xml:space="preserve">, </w:t>
      </w:r>
      <w:r w:rsidRPr="00AB36AE">
        <w:rPr>
          <w:sz w:val="18"/>
          <w:szCs w:val="18"/>
        </w:rPr>
        <w:t>73-74, 79, 82-83, 165, 189, 240, 221-222</w:t>
      </w:r>
      <w:r w:rsidRPr="00AB36AE">
        <w:rPr>
          <w:i/>
          <w:iCs/>
          <w:sz w:val="18"/>
          <w:szCs w:val="18"/>
        </w:rPr>
        <w:t xml:space="preserve">, </w:t>
      </w:r>
      <w:r w:rsidRPr="002B0128">
        <w:rPr>
          <w:sz w:val="18"/>
          <w:szCs w:val="18"/>
        </w:rPr>
        <w:t>239, 324</w:t>
      </w:r>
      <w:r w:rsidRPr="00AB36AE">
        <w:rPr>
          <w:i/>
          <w:iCs/>
          <w:sz w:val="18"/>
          <w:szCs w:val="18"/>
        </w:rPr>
        <w:t xml:space="preserve">; </w:t>
      </w:r>
      <w:r w:rsidRPr="00AB36AE">
        <w:rPr>
          <w:sz w:val="18"/>
          <w:szCs w:val="18"/>
        </w:rPr>
        <w:t xml:space="preserve">Verkooren, </w:t>
      </w:r>
      <w:r w:rsidR="009C410F" w:rsidRPr="00AB36AE">
        <w:rPr>
          <w:i/>
          <w:iCs/>
          <w:sz w:val="18"/>
          <w:szCs w:val="18"/>
          <w:lang w:val="fr-FR"/>
        </w:rPr>
        <w:t>Chartes originales et vidimées</w:t>
      </w:r>
      <w:r w:rsidRPr="00AB36AE">
        <w:rPr>
          <w:i/>
          <w:iCs/>
          <w:sz w:val="18"/>
          <w:szCs w:val="18"/>
        </w:rPr>
        <w:t xml:space="preserve">, </w:t>
      </w:r>
      <w:r w:rsidRPr="00AB36AE">
        <w:rPr>
          <w:sz w:val="18"/>
          <w:szCs w:val="18"/>
        </w:rPr>
        <w:t>VIII</w:t>
      </w:r>
      <w:r w:rsidRPr="00AB36AE">
        <w:rPr>
          <w:i/>
          <w:iCs/>
          <w:sz w:val="18"/>
          <w:szCs w:val="18"/>
        </w:rPr>
        <w:t xml:space="preserve">, </w:t>
      </w:r>
      <w:r w:rsidRPr="00AB36AE">
        <w:rPr>
          <w:sz w:val="18"/>
          <w:szCs w:val="18"/>
        </w:rPr>
        <w:t>51-52.</w:t>
      </w:r>
    </w:p>
  </w:footnote>
  <w:footnote w:id="180">
    <w:p w14:paraId="5533EAB2" w14:textId="1EBF0BEB" w:rsidR="00242E6C" w:rsidRPr="00AB36AE" w:rsidRDefault="00242E6C" w:rsidP="00242E6C">
      <w:pPr>
        <w:pStyle w:val="FootnoteText"/>
        <w:rPr>
          <w:i/>
          <w:iCs/>
          <w:sz w:val="18"/>
          <w:szCs w:val="18"/>
          <w:lang w:val="fr-FR"/>
        </w:rPr>
      </w:pPr>
      <w:r w:rsidRPr="00AB36AE">
        <w:rPr>
          <w:rStyle w:val="FootnoteReference"/>
          <w:sz w:val="18"/>
          <w:szCs w:val="18"/>
        </w:rPr>
        <w:footnoteRef/>
      </w:r>
      <w:r w:rsidRPr="00AB36AE">
        <w:rPr>
          <w:sz w:val="18"/>
          <w:szCs w:val="18"/>
          <w:lang w:val="fr-FR"/>
        </w:rPr>
        <w:t xml:space="preserve">Verkooren, </w:t>
      </w:r>
      <w:r w:rsidR="009C410F" w:rsidRPr="00AB36AE">
        <w:rPr>
          <w:i/>
          <w:iCs/>
          <w:sz w:val="18"/>
          <w:szCs w:val="18"/>
          <w:lang w:val="fr-FR"/>
        </w:rPr>
        <w:t>Chartes originales et vidimées</w:t>
      </w:r>
      <w:r w:rsidRPr="00AB36AE">
        <w:rPr>
          <w:i/>
          <w:iCs/>
          <w:sz w:val="18"/>
          <w:szCs w:val="18"/>
          <w:lang w:val="fr-FR"/>
        </w:rPr>
        <w:t xml:space="preserve">, VII, </w:t>
      </w:r>
      <w:r w:rsidRPr="00AB36AE">
        <w:rPr>
          <w:sz w:val="18"/>
          <w:szCs w:val="18"/>
          <w:lang w:val="fr-FR"/>
        </w:rPr>
        <w:t xml:space="preserve"> 221-222, 239, 324. </w:t>
      </w:r>
    </w:p>
  </w:footnote>
  <w:footnote w:id="181">
    <w:p w14:paraId="43BF8FB2" w14:textId="558427E7" w:rsidR="00242E6C" w:rsidRPr="00AB36AE" w:rsidRDefault="00242E6C" w:rsidP="00242E6C">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Pr="00AB36AE">
        <w:rPr>
          <w:rStyle w:val="FootnoteReference"/>
          <w:sz w:val="18"/>
          <w:szCs w:val="18"/>
        </w:rPr>
        <w:footnoteRef/>
      </w:r>
      <w:r w:rsidRPr="00AB36AE">
        <w:rPr>
          <w:sz w:val="18"/>
          <w:szCs w:val="18"/>
          <w:lang w:val="fr-FR"/>
        </w:rPr>
        <w:t xml:space="preserve"> Léopold Devillers, </w:t>
      </w:r>
      <w:r w:rsidRPr="00AB36AE">
        <w:rPr>
          <w:i/>
          <w:iCs/>
          <w:sz w:val="18"/>
          <w:szCs w:val="18"/>
          <w:lang w:val="fr-FR"/>
        </w:rPr>
        <w:t>Cartulaire des comtes de Hainaut,</w:t>
      </w:r>
      <w:r w:rsidR="009C410F" w:rsidRPr="00AB36AE">
        <w:rPr>
          <w:i/>
          <w:iCs/>
          <w:sz w:val="18"/>
          <w:szCs w:val="18"/>
          <w:lang w:val="fr-FR"/>
        </w:rPr>
        <w:t xml:space="preserve"> </w:t>
      </w:r>
      <w:r w:rsidRPr="00AB36AE">
        <w:rPr>
          <w:sz w:val="18"/>
          <w:szCs w:val="18"/>
          <w:lang w:val="fr-FR"/>
        </w:rPr>
        <w:t xml:space="preserve">338. </w:t>
      </w:r>
    </w:p>
  </w:footnote>
  <w:footnote w:id="182">
    <w:p w14:paraId="26F8821F" w14:textId="1C1A7870" w:rsidR="00242E6C" w:rsidRPr="00AB36AE" w:rsidRDefault="00242E6C" w:rsidP="00242E6C">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Boffa, “Art de la guerre et stratégie</w:t>
      </w:r>
      <w:r w:rsidR="009C410F" w:rsidRPr="00AB36AE">
        <w:rPr>
          <w:sz w:val="18"/>
          <w:szCs w:val="18"/>
          <w:lang w:val="nl-NL"/>
        </w:rPr>
        <w:t>”,</w:t>
      </w:r>
      <w:r w:rsidRPr="00AB36AE">
        <w:rPr>
          <w:sz w:val="18"/>
          <w:szCs w:val="18"/>
          <w:lang w:val="nl-NL"/>
        </w:rPr>
        <w:t xml:space="preserve"> 858. </w:t>
      </w:r>
    </w:p>
  </w:footnote>
  <w:footnote w:id="183">
    <w:p w14:paraId="26A4ACAA" w14:textId="5D709379" w:rsidR="00242E6C" w:rsidRPr="00AB36AE" w:rsidRDefault="00242E6C" w:rsidP="00242E6C">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Lejeune, </w:t>
      </w:r>
      <w:r w:rsidR="009C410F" w:rsidRPr="00AB36AE">
        <w:rPr>
          <w:i/>
          <w:iCs/>
          <w:sz w:val="18"/>
          <w:szCs w:val="18"/>
          <w:lang w:val="nl-NL"/>
        </w:rPr>
        <w:t>V</w:t>
      </w:r>
      <w:r w:rsidRPr="00AB36AE">
        <w:rPr>
          <w:i/>
          <w:iCs/>
          <w:sz w:val="18"/>
          <w:szCs w:val="18"/>
          <w:lang w:val="nl-NL"/>
        </w:rPr>
        <w:t>ille de Binche</w:t>
      </w:r>
      <w:r w:rsidR="009C410F" w:rsidRPr="00AB36AE">
        <w:rPr>
          <w:sz w:val="18"/>
          <w:szCs w:val="18"/>
          <w:lang w:val="nl-NL"/>
        </w:rPr>
        <w:t>,</w:t>
      </w:r>
      <w:r w:rsidRPr="00AB36AE">
        <w:rPr>
          <w:sz w:val="18"/>
          <w:szCs w:val="18"/>
          <w:lang w:val="nl-NL"/>
        </w:rPr>
        <w:t xml:space="preserve"> 59-60. </w:t>
      </w:r>
    </w:p>
  </w:footnote>
  <w:footnote w:id="184">
    <w:p w14:paraId="1680C197" w14:textId="7E801F6F" w:rsidR="00242E6C" w:rsidRPr="00AB36AE" w:rsidRDefault="00242E6C" w:rsidP="00242E6C">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w:t>
      </w:r>
      <w:r w:rsidR="009C410F" w:rsidRPr="00AB36AE">
        <w:rPr>
          <w:sz w:val="18"/>
          <w:szCs w:val="18"/>
          <w:lang w:val="nl-NL"/>
        </w:rPr>
        <w:t xml:space="preserve">Lejeune, </w:t>
      </w:r>
      <w:r w:rsidR="009C410F" w:rsidRPr="00AB36AE">
        <w:rPr>
          <w:i/>
          <w:iCs/>
          <w:sz w:val="18"/>
          <w:szCs w:val="18"/>
          <w:lang w:val="nl-NL"/>
        </w:rPr>
        <w:t>Ville de Binche</w:t>
      </w:r>
      <w:r w:rsidR="009C410F" w:rsidRPr="00AB36AE">
        <w:rPr>
          <w:sz w:val="18"/>
          <w:szCs w:val="18"/>
          <w:lang w:val="nl-NL"/>
        </w:rPr>
        <w:t>, 59-60.</w:t>
      </w:r>
      <w:r w:rsidRPr="00AB36AE">
        <w:rPr>
          <w:sz w:val="18"/>
          <w:szCs w:val="18"/>
          <w:lang w:val="nl-NL"/>
        </w:rPr>
        <w:t xml:space="preserve"> </w:t>
      </w:r>
    </w:p>
  </w:footnote>
  <w:footnote w:id="185">
    <w:p w14:paraId="648F6A70" w14:textId="7AA1855A" w:rsidR="00242E6C" w:rsidRPr="00AB36AE" w:rsidRDefault="00242E6C" w:rsidP="00242E6C">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De Maesschalck, </w:t>
      </w:r>
      <w:r w:rsidR="003426E3" w:rsidRPr="00AB36AE">
        <w:rPr>
          <w:i/>
          <w:iCs/>
          <w:sz w:val="18"/>
          <w:szCs w:val="18"/>
          <w:lang w:val="nl-NL"/>
        </w:rPr>
        <w:t>H</w:t>
      </w:r>
      <w:r w:rsidRPr="00AB36AE">
        <w:rPr>
          <w:i/>
          <w:iCs/>
          <w:sz w:val="18"/>
          <w:szCs w:val="18"/>
          <w:lang w:val="nl-NL"/>
        </w:rPr>
        <w:t>ertogen</w:t>
      </w:r>
      <w:r w:rsidR="009C410F" w:rsidRPr="00AB36AE">
        <w:rPr>
          <w:sz w:val="18"/>
          <w:szCs w:val="18"/>
          <w:lang w:val="nl-NL"/>
        </w:rPr>
        <w:t xml:space="preserve">, </w:t>
      </w:r>
      <w:r w:rsidRPr="00AB36AE">
        <w:rPr>
          <w:sz w:val="18"/>
          <w:szCs w:val="18"/>
          <w:lang w:val="nl-NL"/>
        </w:rPr>
        <w:t xml:space="preserve">293-294. </w:t>
      </w:r>
    </w:p>
  </w:footnote>
  <w:footnote w:id="186">
    <w:p w14:paraId="6CF32772" w14:textId="24FF2650" w:rsidR="00242E6C" w:rsidRPr="00AB36AE" w:rsidRDefault="00242E6C" w:rsidP="00242E6C">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Pièrard, “Les douaires”</w:t>
      </w:r>
      <w:r w:rsidR="009C410F" w:rsidRPr="00AB36AE">
        <w:rPr>
          <w:sz w:val="18"/>
          <w:szCs w:val="18"/>
          <w:lang w:val="nl-NL"/>
        </w:rPr>
        <w:t>,</w:t>
      </w:r>
      <w:r w:rsidRPr="00AB36AE">
        <w:rPr>
          <w:sz w:val="18"/>
          <w:szCs w:val="18"/>
          <w:lang w:val="nl-NL"/>
        </w:rPr>
        <w:t xml:space="preserve"> 84.</w:t>
      </w:r>
    </w:p>
  </w:footnote>
  <w:footnote w:id="187">
    <w:p w14:paraId="473D3BAC" w14:textId="764C422C" w:rsidR="00242E6C" w:rsidRPr="00AB36AE" w:rsidRDefault="00242E6C" w:rsidP="00242E6C">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Lejeune, </w:t>
      </w:r>
      <w:r w:rsidR="009C410F" w:rsidRPr="00AB36AE">
        <w:rPr>
          <w:i/>
          <w:iCs/>
          <w:sz w:val="18"/>
          <w:szCs w:val="18"/>
          <w:lang w:val="nl-NL"/>
        </w:rPr>
        <w:t>V</w:t>
      </w:r>
      <w:r w:rsidRPr="00AB36AE">
        <w:rPr>
          <w:i/>
          <w:iCs/>
          <w:sz w:val="18"/>
          <w:szCs w:val="18"/>
          <w:lang w:val="nl-NL"/>
        </w:rPr>
        <w:t>ille de Binche</w:t>
      </w:r>
      <w:r w:rsidRPr="00AB36AE">
        <w:rPr>
          <w:sz w:val="18"/>
          <w:szCs w:val="18"/>
          <w:lang w:val="nl-NL"/>
        </w:rPr>
        <w:t>, 59-60.</w:t>
      </w:r>
    </w:p>
  </w:footnote>
  <w:footnote w:id="188">
    <w:p w14:paraId="132707AF" w14:textId="463A4E13" w:rsidR="00242E6C" w:rsidRPr="00AB36AE" w:rsidRDefault="00242E6C" w:rsidP="00242E6C">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Heusden was sinds 1357 terug in leen gegeven aan Holland. Zie: Bos-Rops, ‘De Hollandse douarie</w:t>
      </w:r>
      <w:r w:rsidR="009C410F" w:rsidRPr="00AB36AE">
        <w:rPr>
          <w:sz w:val="18"/>
          <w:szCs w:val="18"/>
          <w:lang w:val="nl-NL"/>
        </w:rPr>
        <w:t xml:space="preserve">”, </w:t>
      </w:r>
      <w:r w:rsidRPr="00AB36AE">
        <w:rPr>
          <w:sz w:val="18"/>
          <w:szCs w:val="18"/>
          <w:lang w:val="nl-NL"/>
        </w:rPr>
        <w:t>81; Pièrard, “Les douaires,” 85; Lejeune,</w:t>
      </w:r>
      <w:r w:rsidR="009C410F" w:rsidRPr="00AB36AE">
        <w:rPr>
          <w:i/>
          <w:iCs/>
          <w:sz w:val="18"/>
          <w:szCs w:val="18"/>
          <w:lang w:val="nl-NL"/>
        </w:rPr>
        <w:t xml:space="preserve"> V</w:t>
      </w:r>
      <w:r w:rsidRPr="00AB36AE">
        <w:rPr>
          <w:i/>
          <w:iCs/>
          <w:sz w:val="18"/>
          <w:szCs w:val="18"/>
          <w:lang w:val="nl-NL"/>
        </w:rPr>
        <w:t>ille de Binche</w:t>
      </w:r>
      <w:r w:rsidRPr="00AB36AE">
        <w:rPr>
          <w:sz w:val="18"/>
          <w:szCs w:val="18"/>
          <w:lang w:val="nl-NL"/>
        </w:rPr>
        <w:t xml:space="preserve">, 55-56. </w:t>
      </w:r>
    </w:p>
  </w:footnote>
  <w:footnote w:id="189">
    <w:p w14:paraId="5B5E8204" w14:textId="2E44A75D" w:rsidR="00242E6C" w:rsidRPr="00AB36AE" w:rsidRDefault="00242E6C" w:rsidP="00242E6C">
      <w:pPr>
        <w:pStyle w:val="FootnoteText"/>
        <w:rPr>
          <w:sz w:val="18"/>
          <w:szCs w:val="18"/>
          <w:lang w:val="fr-FR"/>
        </w:rPr>
      </w:pPr>
      <w:r w:rsidRPr="00AB36AE">
        <w:rPr>
          <w:rStyle w:val="FootnoteReference"/>
          <w:sz w:val="18"/>
          <w:szCs w:val="18"/>
          <w:lang w:val="nl-NL"/>
        </w:rPr>
        <w:footnoteRef/>
      </w:r>
      <w:r w:rsidRPr="00AB36AE">
        <w:rPr>
          <w:sz w:val="18"/>
          <w:szCs w:val="18"/>
          <w:lang w:val="nl-NL"/>
        </w:rPr>
        <w:t xml:space="preserve"> Pièrard, “Les douaires</w:t>
      </w:r>
      <w:r w:rsidR="009C410F" w:rsidRPr="00AB36AE">
        <w:rPr>
          <w:sz w:val="18"/>
          <w:szCs w:val="18"/>
          <w:lang w:val="nl-NL"/>
        </w:rPr>
        <w:t xml:space="preserve">”, </w:t>
      </w:r>
      <w:r w:rsidRPr="00AB36AE">
        <w:rPr>
          <w:sz w:val="18"/>
          <w:szCs w:val="18"/>
          <w:lang w:val="nl-NL"/>
        </w:rPr>
        <w:t>85; Lejeune,</w:t>
      </w:r>
      <w:r w:rsidR="009C410F" w:rsidRPr="00AB36AE">
        <w:rPr>
          <w:i/>
          <w:iCs/>
          <w:sz w:val="18"/>
          <w:szCs w:val="18"/>
          <w:lang w:val="nl-NL"/>
        </w:rPr>
        <w:t xml:space="preserve"> V</w:t>
      </w:r>
      <w:r w:rsidRPr="00AB36AE">
        <w:rPr>
          <w:i/>
          <w:iCs/>
          <w:sz w:val="18"/>
          <w:szCs w:val="18"/>
          <w:lang w:val="nl-NL"/>
        </w:rPr>
        <w:t>ille de Binche</w:t>
      </w:r>
      <w:r w:rsidRPr="00AB36AE">
        <w:rPr>
          <w:sz w:val="18"/>
          <w:szCs w:val="18"/>
          <w:lang w:val="nl-NL"/>
        </w:rPr>
        <w:t>, 61</w:t>
      </w:r>
      <w:r w:rsidRPr="00AB36AE">
        <w:rPr>
          <w:sz w:val="18"/>
          <w:szCs w:val="18"/>
          <w:lang w:val="fr-FR"/>
        </w:rPr>
        <w:t>.</w:t>
      </w:r>
    </w:p>
  </w:footnote>
  <w:footnote w:id="190">
    <w:p w14:paraId="53AEAB31" w14:textId="211715C8" w:rsidR="00242E6C" w:rsidRPr="00AB36AE" w:rsidRDefault="00242E6C" w:rsidP="00242E6C">
      <w:pPr>
        <w:pStyle w:val="FootnoteText"/>
        <w:rPr>
          <w:sz w:val="18"/>
          <w:szCs w:val="18"/>
          <w:lang w:val="fr-FR"/>
        </w:rPr>
      </w:pPr>
      <w:r w:rsidRPr="00AB36AE">
        <w:rPr>
          <w:rStyle w:val="FootnoteReference"/>
          <w:sz w:val="18"/>
          <w:szCs w:val="18"/>
        </w:rPr>
        <w:footnoteRef/>
      </w:r>
      <w:r w:rsidRPr="00AB36AE">
        <w:rPr>
          <w:sz w:val="18"/>
          <w:szCs w:val="18"/>
          <w:lang w:val="fr-FR"/>
        </w:rPr>
        <w:t xml:space="preserve">  […]à nostre amé cousin, monsigneur Wenzelaus, par le grâce de Dieu, duc de Luccembourc et de Brabant, nous, en nom de nostre chier frère devantdit et de nous, avons mis et donné, mettons et donnons à nostre chier cousin devant nommeit, en droit, contrepan et waige, la ville, la provosteit de Bins, les chasteaulz et maisons de Rossoyt et de Morlanwés avecques tout ce que nostre chière et amée ante la ducesse de luccembourc et de Brabant , sa compaingne, tient à présent en Haynnau, à tenir frankement en droit viage, joyer et possession paisiulement tot le cours de sa vie après le décès de nostre chière et amée ante la ducesse devantdicte, se nodis cousins le survivoit […] Zie: Devillers, </w:t>
      </w:r>
      <w:r w:rsidRPr="00AB36AE">
        <w:rPr>
          <w:i/>
          <w:iCs/>
          <w:sz w:val="18"/>
          <w:szCs w:val="18"/>
          <w:lang w:val="fr-FR"/>
        </w:rPr>
        <w:t>Cartulaire des comtes de Hainaut</w:t>
      </w:r>
      <w:r w:rsidR="009C410F" w:rsidRPr="00AB36AE">
        <w:rPr>
          <w:sz w:val="18"/>
          <w:szCs w:val="18"/>
          <w:lang w:val="fr-FR"/>
        </w:rPr>
        <w:t xml:space="preserve"> 2,</w:t>
      </w:r>
      <w:r w:rsidRPr="00AB36AE">
        <w:rPr>
          <w:sz w:val="18"/>
          <w:szCs w:val="18"/>
          <w:lang w:val="fr-FR"/>
        </w:rPr>
        <w:t xml:space="preserve"> 95-98. </w:t>
      </w:r>
    </w:p>
  </w:footnote>
  <w:footnote w:id="191">
    <w:p w14:paraId="6EEA6B89" w14:textId="35B3647F" w:rsidR="00242E6C" w:rsidRPr="00AB36AE" w:rsidRDefault="00242E6C" w:rsidP="00242E6C">
      <w:pPr>
        <w:pStyle w:val="FootnoteText"/>
        <w:rPr>
          <w:sz w:val="18"/>
          <w:szCs w:val="18"/>
          <w:lang w:val="fr-FR"/>
        </w:rPr>
      </w:pPr>
      <w:r w:rsidRPr="00AB36AE">
        <w:rPr>
          <w:rStyle w:val="FootnoteReference"/>
          <w:sz w:val="18"/>
          <w:szCs w:val="18"/>
        </w:rPr>
        <w:footnoteRef/>
      </w:r>
      <w:r w:rsidRPr="00AB36AE">
        <w:rPr>
          <w:sz w:val="18"/>
          <w:szCs w:val="18"/>
          <w:lang w:val="fr-FR"/>
        </w:rPr>
        <w:t xml:space="preserve">  Lemaire,</w:t>
      </w:r>
      <w:r w:rsidRPr="00AB36AE">
        <w:rPr>
          <w:i/>
          <w:iCs/>
          <w:sz w:val="18"/>
          <w:szCs w:val="18"/>
          <w:lang w:val="fr-FR"/>
        </w:rPr>
        <w:t> Les travaux publics</w:t>
      </w:r>
      <w:r w:rsidR="009C410F" w:rsidRPr="00AB36AE">
        <w:rPr>
          <w:i/>
          <w:iCs/>
          <w:sz w:val="18"/>
          <w:szCs w:val="18"/>
          <w:lang w:val="fr-FR"/>
        </w:rPr>
        <w:t xml:space="preserve">, </w:t>
      </w:r>
      <w:r w:rsidRPr="00AB36AE">
        <w:rPr>
          <w:sz w:val="18"/>
          <w:szCs w:val="18"/>
          <w:lang w:val="fr-FR"/>
        </w:rPr>
        <w:t>12</w:t>
      </w:r>
      <w:r w:rsidRPr="00AB36AE">
        <w:rPr>
          <w:i/>
          <w:iCs/>
          <w:sz w:val="18"/>
          <w:szCs w:val="18"/>
          <w:lang w:val="fr-FR"/>
        </w:rPr>
        <w:t>.</w:t>
      </w:r>
    </w:p>
  </w:footnote>
  <w:footnote w:id="192">
    <w:p w14:paraId="322C66D3" w14:textId="6A403167" w:rsidR="00242E6C" w:rsidRPr="00AB36AE" w:rsidRDefault="00242E6C" w:rsidP="00242E6C">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Pièrard, “Les douaires”</w:t>
      </w:r>
      <w:r w:rsidR="009C410F" w:rsidRPr="00AB36AE">
        <w:rPr>
          <w:sz w:val="18"/>
          <w:szCs w:val="18"/>
          <w:lang w:val="nl-NL"/>
        </w:rPr>
        <w:t>,</w:t>
      </w:r>
      <w:r w:rsidRPr="00AB36AE">
        <w:rPr>
          <w:sz w:val="18"/>
          <w:szCs w:val="18"/>
          <w:lang w:val="nl-NL"/>
        </w:rPr>
        <w:t xml:space="preserve"> 87.</w:t>
      </w:r>
    </w:p>
  </w:footnote>
  <w:footnote w:id="193">
    <w:p w14:paraId="6C717076" w14:textId="2046956A" w:rsidR="00242E6C" w:rsidRPr="00AB36AE" w:rsidRDefault="00242E6C" w:rsidP="00242E6C">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Lejeune, </w:t>
      </w:r>
      <w:r w:rsidR="009C410F" w:rsidRPr="00AB36AE">
        <w:rPr>
          <w:i/>
          <w:iCs/>
          <w:sz w:val="18"/>
          <w:szCs w:val="18"/>
          <w:lang w:val="nl-NL"/>
        </w:rPr>
        <w:t>Ville</w:t>
      </w:r>
      <w:r w:rsidRPr="00AB36AE">
        <w:rPr>
          <w:i/>
          <w:iCs/>
          <w:sz w:val="18"/>
          <w:szCs w:val="18"/>
          <w:lang w:val="nl-NL"/>
        </w:rPr>
        <w:t xml:space="preserve"> de Binche</w:t>
      </w:r>
      <w:r w:rsidRPr="00AB36AE">
        <w:rPr>
          <w:sz w:val="18"/>
          <w:szCs w:val="18"/>
          <w:lang w:val="nl-NL"/>
        </w:rPr>
        <w:t xml:space="preserve">, 63. </w:t>
      </w:r>
    </w:p>
  </w:footnote>
  <w:footnote w:id="194">
    <w:p w14:paraId="56F44777" w14:textId="52EC2492" w:rsidR="00242E6C" w:rsidRPr="00AB36AE" w:rsidRDefault="00242E6C" w:rsidP="00242E6C">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Bos-Rops, ‘De Hollandse</w:t>
      </w:r>
      <w:r w:rsidR="009C410F" w:rsidRPr="00AB36AE">
        <w:rPr>
          <w:sz w:val="18"/>
          <w:szCs w:val="18"/>
          <w:lang w:val="nl-NL"/>
        </w:rPr>
        <w:t xml:space="preserve"> douarie”</w:t>
      </w:r>
      <w:r w:rsidR="00A70E7B" w:rsidRPr="00AB36AE">
        <w:rPr>
          <w:sz w:val="18"/>
          <w:szCs w:val="18"/>
          <w:lang w:val="nl-NL"/>
        </w:rPr>
        <w:t>;</w:t>
      </w:r>
      <w:r w:rsidR="00FF7BD8" w:rsidRPr="00AB36AE">
        <w:rPr>
          <w:sz w:val="18"/>
          <w:szCs w:val="18"/>
          <w:lang w:val="nl-NL"/>
        </w:rPr>
        <w:t xml:space="preserve"> </w:t>
      </w:r>
      <w:r w:rsidRPr="00AB36AE">
        <w:rPr>
          <w:sz w:val="18"/>
          <w:szCs w:val="18"/>
          <w:lang w:val="nl-NL"/>
        </w:rPr>
        <w:t>Pièrard, “Les douaires”.</w:t>
      </w:r>
    </w:p>
  </w:footnote>
  <w:footnote w:id="195">
    <w:p w14:paraId="74668FF2" w14:textId="078F50C3" w:rsidR="00242E6C" w:rsidRPr="00AB36AE" w:rsidRDefault="00242E6C" w:rsidP="00242E6C">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Lejeune, </w:t>
      </w:r>
      <w:r w:rsidR="00A70E7B" w:rsidRPr="00AB36AE">
        <w:rPr>
          <w:i/>
          <w:iCs/>
          <w:sz w:val="18"/>
          <w:szCs w:val="18"/>
          <w:lang w:val="nl-NL"/>
        </w:rPr>
        <w:t>Ville</w:t>
      </w:r>
      <w:r w:rsidRPr="00AB36AE">
        <w:rPr>
          <w:i/>
          <w:iCs/>
          <w:sz w:val="18"/>
          <w:szCs w:val="18"/>
          <w:lang w:val="nl-NL"/>
        </w:rPr>
        <w:t xml:space="preserve"> de Binche, </w:t>
      </w:r>
      <w:r w:rsidRPr="002B0128">
        <w:rPr>
          <w:sz w:val="18"/>
          <w:szCs w:val="18"/>
          <w:lang w:val="nl-NL"/>
        </w:rPr>
        <w:t>59.</w:t>
      </w:r>
      <w:r w:rsidRPr="00AB36AE">
        <w:rPr>
          <w:sz w:val="18"/>
          <w:szCs w:val="18"/>
          <w:lang w:val="nl-NL"/>
        </w:rPr>
        <w:t xml:space="preserve"> </w:t>
      </w:r>
    </w:p>
  </w:footnote>
  <w:footnote w:id="196">
    <w:p w14:paraId="18305063" w14:textId="0B8ABFD2" w:rsidR="0069336E" w:rsidRPr="00AB36AE" w:rsidRDefault="0069336E">
      <w:pPr>
        <w:pStyle w:val="FootnoteText"/>
        <w:rPr>
          <w:sz w:val="18"/>
          <w:szCs w:val="18"/>
          <w:lang w:val="en-US"/>
        </w:rPr>
      </w:pPr>
      <w:r w:rsidRPr="00AB36AE">
        <w:rPr>
          <w:rStyle w:val="FootnoteReference"/>
          <w:sz w:val="18"/>
          <w:szCs w:val="18"/>
        </w:rPr>
        <w:footnoteRef/>
      </w:r>
      <w:r w:rsidRPr="00AB36AE">
        <w:rPr>
          <w:sz w:val="18"/>
          <w:szCs w:val="18"/>
        </w:rPr>
        <w:t xml:space="preserve"> </w:t>
      </w:r>
      <w:r w:rsidR="00750949" w:rsidRPr="00AB36AE">
        <w:rPr>
          <w:sz w:val="18"/>
          <w:szCs w:val="18"/>
          <w:lang w:val="en-US"/>
        </w:rPr>
        <w:t>Zie volgend hoofdstuk (3.</w:t>
      </w:r>
      <w:r w:rsidR="00426B6E" w:rsidRPr="00AB36AE">
        <w:rPr>
          <w:sz w:val="18"/>
          <w:szCs w:val="18"/>
          <w:lang w:val="en-US"/>
        </w:rPr>
        <w:t>2.3.)</w:t>
      </w:r>
    </w:p>
  </w:footnote>
  <w:footnote w:id="197">
    <w:p w14:paraId="1DAD3073" w14:textId="2B133953" w:rsidR="00242E6C" w:rsidRPr="00AB36AE" w:rsidRDefault="00242E6C" w:rsidP="00242E6C">
      <w:pPr>
        <w:pStyle w:val="FootnoteText"/>
        <w:rPr>
          <w:sz w:val="18"/>
          <w:szCs w:val="18"/>
        </w:rPr>
      </w:pPr>
      <w:r w:rsidRPr="00AB36AE">
        <w:rPr>
          <w:rStyle w:val="FootnoteReference"/>
          <w:sz w:val="18"/>
          <w:szCs w:val="18"/>
        </w:rPr>
        <w:footnoteRef/>
      </w:r>
      <w:r w:rsidRPr="00AB36AE">
        <w:rPr>
          <w:sz w:val="18"/>
          <w:szCs w:val="18"/>
        </w:rPr>
        <w:t xml:space="preserve"> Bos-Rops, ‘De Hollandse douarie”, 91.</w:t>
      </w:r>
    </w:p>
  </w:footnote>
  <w:footnote w:id="198">
    <w:p w14:paraId="18287715" w14:textId="7A221374" w:rsidR="00242E6C" w:rsidRPr="00AB36AE" w:rsidRDefault="00242E6C" w:rsidP="00242E6C">
      <w:pPr>
        <w:pStyle w:val="FootnoteText"/>
        <w:rPr>
          <w:sz w:val="18"/>
          <w:szCs w:val="18"/>
        </w:rPr>
      </w:pPr>
      <w:r w:rsidRPr="00AB36AE">
        <w:rPr>
          <w:rStyle w:val="FootnoteReference"/>
          <w:sz w:val="18"/>
          <w:szCs w:val="18"/>
        </w:rPr>
        <w:footnoteRef/>
      </w:r>
      <w:r w:rsidRPr="00AB36AE">
        <w:rPr>
          <w:sz w:val="18"/>
          <w:szCs w:val="18"/>
        </w:rPr>
        <w:t xml:space="preserve"> </w:t>
      </w:r>
      <w:r w:rsidR="00A70E7B" w:rsidRPr="00AB36AE">
        <w:rPr>
          <w:sz w:val="18"/>
          <w:szCs w:val="18"/>
        </w:rPr>
        <w:t>Bos-Rops, ‘De Hollandse douarie”, 91.</w:t>
      </w:r>
    </w:p>
  </w:footnote>
  <w:footnote w:id="199">
    <w:p w14:paraId="636D2928" w14:textId="5781F5BA" w:rsidR="00242E6C" w:rsidRPr="00AB36AE" w:rsidRDefault="00242E6C" w:rsidP="00242E6C">
      <w:pPr>
        <w:pStyle w:val="FootnoteText"/>
        <w:rPr>
          <w:sz w:val="18"/>
          <w:szCs w:val="18"/>
        </w:rPr>
      </w:pPr>
      <w:r w:rsidRPr="00AB36AE">
        <w:rPr>
          <w:rStyle w:val="FootnoteReference"/>
          <w:sz w:val="18"/>
          <w:szCs w:val="18"/>
        </w:rPr>
        <w:footnoteRef/>
      </w:r>
      <w:r w:rsidRPr="00AB36AE">
        <w:rPr>
          <w:sz w:val="18"/>
          <w:szCs w:val="18"/>
        </w:rPr>
        <w:t xml:space="preserve"> </w:t>
      </w:r>
      <w:r w:rsidR="00A70E7B" w:rsidRPr="00AB36AE">
        <w:rPr>
          <w:sz w:val="18"/>
          <w:szCs w:val="18"/>
        </w:rPr>
        <w:t>Bos-Rops, ‘De Hollandse douarie”, 91.</w:t>
      </w:r>
    </w:p>
  </w:footnote>
  <w:footnote w:id="200">
    <w:p w14:paraId="6DD0DD23" w14:textId="356CB70C" w:rsidR="00242E6C" w:rsidRPr="00AB36AE" w:rsidRDefault="00242E6C" w:rsidP="00242E6C">
      <w:pPr>
        <w:pStyle w:val="FootnoteText"/>
        <w:rPr>
          <w:sz w:val="18"/>
          <w:szCs w:val="18"/>
        </w:rPr>
      </w:pPr>
      <w:r w:rsidRPr="00AB36AE">
        <w:rPr>
          <w:rStyle w:val="FootnoteReference"/>
          <w:sz w:val="18"/>
          <w:szCs w:val="18"/>
        </w:rPr>
        <w:footnoteRef/>
      </w:r>
      <w:r w:rsidRPr="00AB36AE">
        <w:rPr>
          <w:sz w:val="18"/>
          <w:szCs w:val="18"/>
        </w:rPr>
        <w:t xml:space="preserve"> </w:t>
      </w:r>
      <w:r w:rsidR="00A70E7B" w:rsidRPr="00AB36AE">
        <w:rPr>
          <w:sz w:val="18"/>
          <w:szCs w:val="18"/>
        </w:rPr>
        <w:t>Bos-Rops, ‘De Hollandse douarie”, 91.</w:t>
      </w:r>
    </w:p>
  </w:footnote>
  <w:footnote w:id="201">
    <w:p w14:paraId="00C0805B" w14:textId="46B69B11" w:rsidR="00242E6C" w:rsidRPr="00AB36AE" w:rsidRDefault="00242E6C" w:rsidP="00242E6C">
      <w:pPr>
        <w:pStyle w:val="FootnoteText"/>
        <w:rPr>
          <w:sz w:val="18"/>
          <w:szCs w:val="18"/>
        </w:rPr>
      </w:pPr>
      <w:r w:rsidRPr="00AB36AE">
        <w:rPr>
          <w:rStyle w:val="FootnoteReference"/>
          <w:sz w:val="18"/>
          <w:szCs w:val="18"/>
        </w:rPr>
        <w:footnoteRef/>
      </w:r>
      <w:r w:rsidRPr="00AB36AE">
        <w:rPr>
          <w:sz w:val="18"/>
          <w:szCs w:val="18"/>
        </w:rPr>
        <w:t xml:space="preserve"> </w:t>
      </w:r>
      <w:r w:rsidR="00A70E7B" w:rsidRPr="00AB36AE">
        <w:rPr>
          <w:sz w:val="18"/>
          <w:szCs w:val="18"/>
        </w:rPr>
        <w:t>Bos-Rops, ‘De Hollandse douarie”, 91.</w:t>
      </w:r>
    </w:p>
  </w:footnote>
  <w:footnote w:id="202">
    <w:p w14:paraId="7408C11A" w14:textId="77777777" w:rsidR="00242E6C" w:rsidRPr="00AB36AE" w:rsidRDefault="00242E6C" w:rsidP="00242E6C">
      <w:pPr>
        <w:pStyle w:val="FootnoteText"/>
        <w:rPr>
          <w:sz w:val="18"/>
          <w:szCs w:val="18"/>
        </w:rPr>
      </w:pPr>
      <w:r w:rsidRPr="00AB36AE">
        <w:rPr>
          <w:rStyle w:val="FootnoteReference"/>
          <w:sz w:val="18"/>
          <w:szCs w:val="18"/>
        </w:rPr>
        <w:footnoteRef/>
      </w:r>
      <w:r w:rsidRPr="00AB36AE">
        <w:rPr>
          <w:sz w:val="18"/>
          <w:szCs w:val="18"/>
        </w:rPr>
        <w:t xml:space="preserve"> Ibid. 88; Brandsma, </w:t>
      </w:r>
      <w:r w:rsidRPr="00AB36AE">
        <w:rPr>
          <w:i/>
          <w:iCs/>
          <w:sz w:val="18"/>
          <w:szCs w:val="18"/>
        </w:rPr>
        <w:t>Tussen twee dynastieën</w:t>
      </w:r>
      <w:r w:rsidRPr="00AB36AE">
        <w:rPr>
          <w:sz w:val="18"/>
          <w:szCs w:val="18"/>
        </w:rPr>
        <w:t>, 140.</w:t>
      </w:r>
    </w:p>
  </w:footnote>
  <w:footnote w:id="203">
    <w:p w14:paraId="0EE4FC6F" w14:textId="055B4920" w:rsidR="00242E6C" w:rsidRPr="00AB36AE" w:rsidRDefault="00242E6C" w:rsidP="00242E6C">
      <w:pPr>
        <w:pStyle w:val="FootnoteText"/>
        <w:rPr>
          <w:sz w:val="18"/>
          <w:szCs w:val="18"/>
          <w:lang w:val="fr-FR"/>
        </w:rPr>
      </w:pPr>
      <w:r w:rsidRPr="00AB36AE">
        <w:rPr>
          <w:rStyle w:val="FootnoteReference"/>
          <w:sz w:val="18"/>
          <w:szCs w:val="18"/>
        </w:rPr>
        <w:footnoteRef/>
      </w:r>
      <w:r w:rsidRPr="00AB36AE">
        <w:rPr>
          <w:sz w:val="18"/>
          <w:szCs w:val="18"/>
          <w:lang w:val="fr-FR"/>
        </w:rPr>
        <w:t xml:space="preserve"> Verkooren, </w:t>
      </w:r>
      <w:r w:rsidR="00A70E7B" w:rsidRPr="00AB36AE">
        <w:rPr>
          <w:i/>
          <w:iCs/>
          <w:sz w:val="18"/>
          <w:szCs w:val="18"/>
          <w:lang w:val="fr-FR"/>
        </w:rPr>
        <w:t>Chartes originales et vidimées</w:t>
      </w:r>
      <w:r w:rsidRPr="00AB36AE">
        <w:rPr>
          <w:i/>
          <w:iCs/>
          <w:sz w:val="18"/>
          <w:szCs w:val="18"/>
          <w:lang w:val="fr-FR"/>
        </w:rPr>
        <w:t xml:space="preserve">, </w:t>
      </w:r>
      <w:r w:rsidRPr="00AB36AE">
        <w:rPr>
          <w:sz w:val="18"/>
          <w:szCs w:val="18"/>
          <w:lang w:val="fr-FR"/>
        </w:rPr>
        <w:t>VII</w:t>
      </w:r>
      <w:r w:rsidRPr="00AB36AE">
        <w:rPr>
          <w:i/>
          <w:iCs/>
          <w:sz w:val="18"/>
          <w:szCs w:val="18"/>
          <w:lang w:val="fr-FR"/>
        </w:rPr>
        <w:t xml:space="preserve">, </w:t>
      </w:r>
      <w:r w:rsidRPr="00AB36AE">
        <w:rPr>
          <w:sz w:val="18"/>
          <w:szCs w:val="18"/>
          <w:lang w:val="fr-FR"/>
        </w:rPr>
        <w:t xml:space="preserve">89. </w:t>
      </w:r>
    </w:p>
  </w:footnote>
  <w:footnote w:id="204">
    <w:p w14:paraId="01B4E241" w14:textId="5AFD7D1D" w:rsidR="00242E6C" w:rsidRPr="00AB36AE" w:rsidRDefault="00242E6C" w:rsidP="00242E6C">
      <w:pPr>
        <w:pStyle w:val="FootnoteText"/>
        <w:rPr>
          <w:sz w:val="18"/>
          <w:szCs w:val="18"/>
          <w:lang w:val="fr-FR"/>
        </w:rPr>
      </w:pPr>
      <w:r w:rsidRPr="00AB36AE">
        <w:rPr>
          <w:rStyle w:val="FootnoteReference"/>
          <w:sz w:val="18"/>
          <w:szCs w:val="18"/>
        </w:rPr>
        <w:footnoteRef/>
      </w:r>
      <w:r w:rsidRPr="00AB36AE">
        <w:rPr>
          <w:sz w:val="18"/>
          <w:szCs w:val="18"/>
          <w:lang w:val="fr-FR"/>
        </w:rPr>
        <w:t xml:space="preserve"> Pièrard, “Les douaires”</w:t>
      </w:r>
      <w:r w:rsidR="00A70E7B" w:rsidRPr="00AB36AE">
        <w:rPr>
          <w:sz w:val="18"/>
          <w:szCs w:val="18"/>
          <w:lang w:val="fr-FR"/>
        </w:rPr>
        <w:t>,</w:t>
      </w:r>
      <w:r w:rsidRPr="00AB36AE">
        <w:rPr>
          <w:sz w:val="18"/>
          <w:szCs w:val="18"/>
          <w:lang w:val="fr-FR"/>
        </w:rPr>
        <w:t xml:space="preserve"> IV, V, VI. </w:t>
      </w:r>
    </w:p>
  </w:footnote>
  <w:footnote w:id="205">
    <w:p w14:paraId="1358865F" w14:textId="7BD0B359" w:rsidR="00242E6C" w:rsidRPr="00AB36AE" w:rsidRDefault="00242E6C" w:rsidP="00242E6C">
      <w:pPr>
        <w:pStyle w:val="FootnoteText"/>
        <w:rPr>
          <w:sz w:val="18"/>
          <w:szCs w:val="18"/>
          <w:lang w:val="fr-FR"/>
        </w:rPr>
      </w:pPr>
      <w:r w:rsidRPr="00AB36AE">
        <w:rPr>
          <w:rStyle w:val="FootnoteReference"/>
          <w:sz w:val="18"/>
          <w:szCs w:val="18"/>
        </w:rPr>
        <w:footnoteRef/>
      </w:r>
      <w:r w:rsidRPr="00AB36AE">
        <w:rPr>
          <w:sz w:val="18"/>
          <w:szCs w:val="18"/>
          <w:lang w:val="fr-FR"/>
        </w:rPr>
        <w:t xml:space="preserve"> Pièrard, “Les douaires”</w:t>
      </w:r>
      <w:r w:rsidR="00A70E7B" w:rsidRPr="00AB36AE">
        <w:rPr>
          <w:sz w:val="18"/>
          <w:szCs w:val="18"/>
          <w:lang w:val="fr-FR"/>
        </w:rPr>
        <w:t>,</w:t>
      </w:r>
      <w:r w:rsidRPr="00AB36AE">
        <w:rPr>
          <w:sz w:val="18"/>
          <w:szCs w:val="18"/>
          <w:lang w:val="fr-FR"/>
        </w:rPr>
        <w:t xml:space="preserve"> 155-156.</w:t>
      </w:r>
    </w:p>
  </w:footnote>
  <w:footnote w:id="206">
    <w:p w14:paraId="4627AB2D" w14:textId="2AC0C356" w:rsidR="00242E6C" w:rsidRPr="00AB36AE" w:rsidRDefault="00242E6C" w:rsidP="00242E6C">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w:t>
      </w:r>
      <w:r w:rsidR="00FC38F7" w:rsidRPr="00AB36AE">
        <w:rPr>
          <w:sz w:val="18"/>
          <w:szCs w:val="18"/>
          <w:lang w:val="nl-NL"/>
        </w:rPr>
        <w:t>Pièrard, “Les douaires”</w:t>
      </w:r>
      <w:r w:rsidRPr="00AB36AE">
        <w:rPr>
          <w:sz w:val="18"/>
          <w:szCs w:val="18"/>
          <w:lang w:val="nl-NL"/>
        </w:rPr>
        <w:t xml:space="preserve">, 166. </w:t>
      </w:r>
    </w:p>
  </w:footnote>
  <w:footnote w:id="207">
    <w:p w14:paraId="7ADEC4D2" w14:textId="30AFD63A" w:rsidR="00242E6C" w:rsidRPr="00AB36AE" w:rsidRDefault="00242E6C" w:rsidP="00242E6C">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w:t>
      </w:r>
      <w:r w:rsidR="00FC38F7" w:rsidRPr="00AB36AE">
        <w:rPr>
          <w:sz w:val="18"/>
          <w:szCs w:val="18"/>
          <w:lang w:val="nl-NL"/>
        </w:rPr>
        <w:t xml:space="preserve">Pièrard, “Les douaires”, 166. </w:t>
      </w:r>
    </w:p>
  </w:footnote>
  <w:footnote w:id="208">
    <w:p w14:paraId="73846501" w14:textId="0025AC4D" w:rsidR="00B63008" w:rsidRPr="00AB36AE" w:rsidRDefault="00B63008">
      <w:pPr>
        <w:pStyle w:val="FootnoteText"/>
        <w:rPr>
          <w:sz w:val="18"/>
          <w:szCs w:val="18"/>
          <w:lang w:val="en-US"/>
        </w:rPr>
      </w:pPr>
      <w:r w:rsidRPr="00AB36AE">
        <w:rPr>
          <w:rStyle w:val="FootnoteReference"/>
          <w:sz w:val="18"/>
          <w:szCs w:val="18"/>
        </w:rPr>
        <w:footnoteRef/>
      </w:r>
      <w:r w:rsidRPr="00AB36AE">
        <w:rPr>
          <w:sz w:val="18"/>
          <w:szCs w:val="18"/>
        </w:rPr>
        <w:t xml:space="preserve"> </w:t>
      </w:r>
      <w:r w:rsidRPr="00AB36AE">
        <w:rPr>
          <w:sz w:val="18"/>
          <w:szCs w:val="18"/>
          <w:lang w:val="nl-NL"/>
        </w:rPr>
        <w:t xml:space="preserve">Pièrard, “Les douaires”, </w:t>
      </w:r>
      <w:r w:rsidR="009B4D70" w:rsidRPr="00AB36AE">
        <w:rPr>
          <w:sz w:val="18"/>
          <w:szCs w:val="18"/>
          <w:lang w:val="nl-NL"/>
        </w:rPr>
        <w:t>IV en V.</w:t>
      </w:r>
    </w:p>
  </w:footnote>
  <w:footnote w:id="209">
    <w:p w14:paraId="4F31A692" w14:textId="7C0CFA87" w:rsidR="00242E6C" w:rsidRPr="00AB36AE" w:rsidRDefault="00242E6C" w:rsidP="00242E6C">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Zie betalingen door Johanna aan haar personeel in 1376: Verkooren, </w:t>
      </w:r>
      <w:r w:rsidR="00FC38F7" w:rsidRPr="00AB36AE">
        <w:rPr>
          <w:i/>
          <w:iCs/>
          <w:sz w:val="18"/>
          <w:szCs w:val="18"/>
          <w:lang w:val="nl-NL"/>
        </w:rPr>
        <w:t>Chartes originales et vidimées</w:t>
      </w:r>
      <w:r w:rsidRPr="00AB36AE">
        <w:rPr>
          <w:i/>
          <w:iCs/>
          <w:sz w:val="18"/>
          <w:szCs w:val="18"/>
          <w:lang w:val="nl-NL"/>
        </w:rPr>
        <w:t xml:space="preserve">, </w:t>
      </w:r>
      <w:r w:rsidRPr="00AB36AE">
        <w:rPr>
          <w:sz w:val="18"/>
          <w:szCs w:val="18"/>
          <w:lang w:val="nl-NL"/>
        </w:rPr>
        <w:t>VII</w:t>
      </w:r>
      <w:r w:rsidRPr="00AB36AE">
        <w:rPr>
          <w:i/>
          <w:iCs/>
          <w:sz w:val="18"/>
          <w:szCs w:val="18"/>
          <w:lang w:val="nl-NL"/>
        </w:rPr>
        <w:t>,</w:t>
      </w:r>
      <w:r w:rsidRPr="00AB36AE">
        <w:rPr>
          <w:sz w:val="18"/>
          <w:szCs w:val="18"/>
          <w:lang w:val="nl-NL"/>
        </w:rPr>
        <w:t>73, 81, 82, 88, 122-123</w:t>
      </w:r>
      <w:r w:rsidRPr="00AB36AE">
        <w:rPr>
          <w:i/>
          <w:iCs/>
          <w:sz w:val="18"/>
          <w:szCs w:val="18"/>
          <w:lang w:val="nl-NL"/>
        </w:rPr>
        <w:t xml:space="preserve">. </w:t>
      </w:r>
    </w:p>
  </w:footnote>
  <w:footnote w:id="210">
    <w:p w14:paraId="3ED019AA" w14:textId="0A4B4DA1" w:rsidR="00242E6C" w:rsidRPr="00AB36AE" w:rsidRDefault="00242E6C" w:rsidP="00242E6C">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Verkooren, </w:t>
      </w:r>
      <w:r w:rsidR="00FC38F7" w:rsidRPr="00AB36AE">
        <w:rPr>
          <w:i/>
          <w:iCs/>
          <w:sz w:val="18"/>
          <w:szCs w:val="18"/>
          <w:lang w:val="nl-NL"/>
        </w:rPr>
        <w:t>Chartes originales et vidimées</w:t>
      </w:r>
      <w:r w:rsidRPr="00AB36AE">
        <w:rPr>
          <w:i/>
          <w:iCs/>
          <w:sz w:val="18"/>
          <w:szCs w:val="18"/>
          <w:lang w:val="nl-NL"/>
        </w:rPr>
        <w:t xml:space="preserve">, </w:t>
      </w:r>
      <w:r w:rsidRPr="00AB36AE">
        <w:rPr>
          <w:sz w:val="18"/>
          <w:szCs w:val="18"/>
          <w:lang w:val="nl-NL"/>
        </w:rPr>
        <w:t>VII, 81, 82.</w:t>
      </w:r>
    </w:p>
  </w:footnote>
  <w:footnote w:id="211">
    <w:p w14:paraId="50755471" w14:textId="036E7506" w:rsidR="00242E6C" w:rsidRPr="00AB36AE" w:rsidRDefault="00242E6C" w:rsidP="00242E6C">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Verkooren, </w:t>
      </w:r>
      <w:r w:rsidR="00FC38F7" w:rsidRPr="00AB36AE">
        <w:rPr>
          <w:i/>
          <w:iCs/>
          <w:sz w:val="18"/>
          <w:szCs w:val="18"/>
          <w:lang w:val="nl-NL"/>
        </w:rPr>
        <w:t>Chartes originales et vidimées</w:t>
      </w:r>
      <w:r w:rsidRPr="00AB36AE">
        <w:rPr>
          <w:i/>
          <w:iCs/>
          <w:sz w:val="18"/>
          <w:szCs w:val="18"/>
          <w:lang w:val="nl-NL"/>
        </w:rPr>
        <w:t xml:space="preserve">, </w:t>
      </w:r>
      <w:r w:rsidRPr="00AB36AE">
        <w:rPr>
          <w:sz w:val="18"/>
          <w:szCs w:val="18"/>
          <w:lang w:val="nl-NL"/>
        </w:rPr>
        <w:t xml:space="preserve">VII, 175-176, 263; Verkooren, </w:t>
      </w:r>
      <w:r w:rsidR="00FC38F7" w:rsidRPr="00AB36AE">
        <w:rPr>
          <w:i/>
          <w:iCs/>
          <w:sz w:val="18"/>
          <w:szCs w:val="18"/>
          <w:lang w:val="nl-NL"/>
        </w:rPr>
        <w:t>Chartes originales et vidimées</w:t>
      </w:r>
      <w:r w:rsidRPr="00AB36AE">
        <w:rPr>
          <w:i/>
          <w:iCs/>
          <w:sz w:val="18"/>
          <w:szCs w:val="18"/>
          <w:lang w:val="nl-NL"/>
        </w:rPr>
        <w:t xml:space="preserve">, </w:t>
      </w:r>
      <w:r w:rsidRPr="00AB36AE">
        <w:rPr>
          <w:sz w:val="18"/>
          <w:szCs w:val="18"/>
          <w:lang w:val="nl-NL"/>
        </w:rPr>
        <w:t>VIII, 263.</w:t>
      </w:r>
    </w:p>
  </w:footnote>
  <w:footnote w:id="212">
    <w:p w14:paraId="40354A0B" w14:textId="4D3B7CF9" w:rsidR="00242E6C" w:rsidRPr="00AB36AE" w:rsidRDefault="00242E6C" w:rsidP="00242E6C">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Verkooren, </w:t>
      </w:r>
      <w:r w:rsidR="00FC38F7" w:rsidRPr="00AB36AE">
        <w:rPr>
          <w:i/>
          <w:iCs/>
          <w:sz w:val="18"/>
          <w:szCs w:val="18"/>
          <w:lang w:val="nl-NL"/>
        </w:rPr>
        <w:t>Chartes originales et vidimées</w:t>
      </w:r>
      <w:r w:rsidRPr="00AB36AE">
        <w:rPr>
          <w:i/>
          <w:iCs/>
          <w:sz w:val="18"/>
          <w:szCs w:val="18"/>
          <w:lang w:val="nl-NL"/>
        </w:rPr>
        <w:t xml:space="preserve">, </w:t>
      </w:r>
      <w:r w:rsidRPr="00AB36AE">
        <w:rPr>
          <w:sz w:val="18"/>
          <w:szCs w:val="18"/>
          <w:lang w:val="nl-NL"/>
        </w:rPr>
        <w:t xml:space="preserve">VII, 65, 188, 288; Verkooren, </w:t>
      </w:r>
      <w:r w:rsidR="00FC38F7" w:rsidRPr="00AB36AE">
        <w:rPr>
          <w:i/>
          <w:iCs/>
          <w:sz w:val="18"/>
          <w:szCs w:val="18"/>
          <w:lang w:val="nl-NL"/>
        </w:rPr>
        <w:t>Chartes originales et vidimées</w:t>
      </w:r>
      <w:r w:rsidRPr="00AB36AE">
        <w:rPr>
          <w:i/>
          <w:iCs/>
          <w:sz w:val="18"/>
          <w:szCs w:val="18"/>
          <w:lang w:val="nl-NL"/>
        </w:rPr>
        <w:t xml:space="preserve">, </w:t>
      </w:r>
      <w:r w:rsidRPr="00AB36AE">
        <w:rPr>
          <w:sz w:val="18"/>
          <w:szCs w:val="18"/>
          <w:lang w:val="nl-NL"/>
        </w:rPr>
        <w:t xml:space="preserve">VIII, 93. </w:t>
      </w:r>
    </w:p>
  </w:footnote>
  <w:footnote w:id="213">
    <w:p w14:paraId="57665D6A" w14:textId="3D3871B5" w:rsidR="00242E6C" w:rsidRPr="00AB36AE" w:rsidRDefault="00242E6C" w:rsidP="00242E6C">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Pièrard, “Les douaires”</w:t>
      </w:r>
      <w:r w:rsidR="00FC38F7" w:rsidRPr="00AB36AE">
        <w:rPr>
          <w:sz w:val="18"/>
          <w:szCs w:val="18"/>
          <w:lang w:val="nl-NL"/>
        </w:rPr>
        <w:t xml:space="preserve">, </w:t>
      </w:r>
      <w:r w:rsidRPr="00AB36AE">
        <w:rPr>
          <w:sz w:val="18"/>
          <w:szCs w:val="18"/>
          <w:lang w:val="nl-NL"/>
        </w:rPr>
        <w:t xml:space="preserve">158. </w:t>
      </w:r>
    </w:p>
  </w:footnote>
  <w:footnote w:id="214">
    <w:p w14:paraId="0D1A880C" w14:textId="46A1B666" w:rsidR="00242E6C" w:rsidRPr="00AB36AE" w:rsidRDefault="00242E6C" w:rsidP="00242E6C">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Pièrard, “Les douaires”</w:t>
      </w:r>
      <w:r w:rsidR="00FC38F7" w:rsidRPr="00AB36AE">
        <w:rPr>
          <w:sz w:val="18"/>
          <w:szCs w:val="18"/>
          <w:lang w:val="nl-NL"/>
        </w:rPr>
        <w:t>,</w:t>
      </w:r>
      <w:r w:rsidRPr="00AB36AE">
        <w:rPr>
          <w:sz w:val="18"/>
          <w:szCs w:val="18"/>
          <w:lang w:val="nl-NL"/>
        </w:rPr>
        <w:t xml:space="preserve"> 126-127.</w:t>
      </w:r>
    </w:p>
  </w:footnote>
  <w:footnote w:id="215">
    <w:p w14:paraId="4DE1F459" w14:textId="14308627" w:rsidR="00242E6C" w:rsidRPr="00AB36AE" w:rsidRDefault="00242E6C" w:rsidP="00242E6C">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w:t>
      </w:r>
      <w:r w:rsidR="00FC38F7" w:rsidRPr="00AB36AE">
        <w:rPr>
          <w:sz w:val="18"/>
          <w:szCs w:val="18"/>
          <w:lang w:val="nl-NL"/>
        </w:rPr>
        <w:t>Pièrard, “Les douaires”</w:t>
      </w:r>
      <w:r w:rsidRPr="00AB36AE">
        <w:rPr>
          <w:sz w:val="18"/>
          <w:szCs w:val="18"/>
          <w:lang w:val="nl-NL"/>
        </w:rPr>
        <w:t xml:space="preserve">, 128, 130. </w:t>
      </w:r>
    </w:p>
  </w:footnote>
  <w:footnote w:id="216">
    <w:p w14:paraId="7067D8D0" w14:textId="36041F0D" w:rsidR="00242E6C" w:rsidRPr="00AB36AE" w:rsidRDefault="00242E6C" w:rsidP="00242E6C">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D10C81" w:rsidRPr="00AB36AE">
        <w:rPr>
          <w:sz w:val="18"/>
          <w:szCs w:val="18"/>
          <w:lang w:val="nl-NL"/>
        </w:rPr>
        <w:t>Pièrard, “Les douaires”,</w:t>
      </w:r>
      <w:r w:rsidRPr="00AB36AE">
        <w:rPr>
          <w:sz w:val="18"/>
          <w:szCs w:val="18"/>
          <w:lang w:val="fr-FR"/>
        </w:rPr>
        <w:t xml:space="preserve"> 172.</w:t>
      </w:r>
    </w:p>
  </w:footnote>
  <w:footnote w:id="217">
    <w:p w14:paraId="5AF5A5A3" w14:textId="6DBB44AA" w:rsidR="00242E6C" w:rsidRPr="00AB36AE" w:rsidRDefault="00242E6C" w:rsidP="00242E6C">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D10C81" w:rsidRPr="00AB36AE">
        <w:rPr>
          <w:sz w:val="18"/>
          <w:szCs w:val="18"/>
          <w:lang w:val="nl-NL"/>
        </w:rPr>
        <w:t>Pièrard, “Les douaires”</w:t>
      </w:r>
      <w:r w:rsidRPr="00AB36AE">
        <w:rPr>
          <w:sz w:val="18"/>
          <w:szCs w:val="18"/>
          <w:lang w:val="fr-FR"/>
        </w:rPr>
        <w:t>, 183-84, 175-76, 167.</w:t>
      </w:r>
    </w:p>
  </w:footnote>
  <w:footnote w:id="218">
    <w:p w14:paraId="1CE044A5" w14:textId="51460AFF" w:rsidR="00242E6C" w:rsidRPr="00AB36AE" w:rsidRDefault="00242E6C" w:rsidP="00242E6C">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6915F3" w:rsidRPr="00AB36AE">
        <w:rPr>
          <w:sz w:val="18"/>
          <w:szCs w:val="18"/>
          <w:lang w:val="fr-FR"/>
        </w:rPr>
        <w:t xml:space="preserve">Het gaat hier om de aparte rekeningen van </w:t>
      </w:r>
      <w:r w:rsidR="00E9273E" w:rsidRPr="00AB36AE">
        <w:rPr>
          <w:sz w:val="18"/>
          <w:szCs w:val="18"/>
          <w:lang w:val="fr-FR"/>
        </w:rPr>
        <w:t xml:space="preserve">de ontvanger van </w:t>
      </w:r>
      <w:r w:rsidR="006915F3" w:rsidRPr="00AB36AE">
        <w:rPr>
          <w:sz w:val="18"/>
          <w:szCs w:val="18"/>
          <w:lang w:val="fr-FR"/>
        </w:rPr>
        <w:t xml:space="preserve">Binche zelf, die ook een aparte sectie </w:t>
      </w:r>
      <w:r w:rsidR="006915F3" w:rsidRPr="00AB36AE">
        <w:rPr>
          <w:i/>
          <w:iCs/>
          <w:sz w:val="18"/>
          <w:szCs w:val="18"/>
          <w:lang w:val="fr-FR"/>
        </w:rPr>
        <w:t>foreine partieën</w:t>
      </w:r>
      <w:r w:rsidR="006915F3" w:rsidRPr="00AB36AE">
        <w:rPr>
          <w:sz w:val="18"/>
          <w:szCs w:val="18"/>
          <w:lang w:val="fr-FR"/>
        </w:rPr>
        <w:t xml:space="preserve"> hadden, zie : </w:t>
      </w:r>
      <w:r w:rsidRPr="00AB36AE">
        <w:rPr>
          <w:sz w:val="18"/>
          <w:szCs w:val="18"/>
          <w:lang w:val="fr-FR"/>
        </w:rPr>
        <w:t>Lemaire,</w:t>
      </w:r>
      <w:r w:rsidRPr="00AB36AE">
        <w:rPr>
          <w:i/>
          <w:iCs/>
          <w:sz w:val="18"/>
          <w:szCs w:val="18"/>
          <w:lang w:val="fr-FR"/>
        </w:rPr>
        <w:t> Les travaux publics et domaniau</w:t>
      </w:r>
      <w:r w:rsidR="00D10C81" w:rsidRPr="00AB36AE">
        <w:rPr>
          <w:i/>
          <w:iCs/>
          <w:sz w:val="18"/>
          <w:szCs w:val="18"/>
          <w:lang w:val="fr-FR"/>
        </w:rPr>
        <w:t>x</w:t>
      </w:r>
      <w:r w:rsidRPr="00AB36AE">
        <w:rPr>
          <w:sz w:val="18"/>
          <w:szCs w:val="18"/>
          <w:lang w:val="fr-FR"/>
        </w:rPr>
        <w:t>, 68</w:t>
      </w:r>
      <w:r w:rsidRPr="00AB36AE">
        <w:rPr>
          <w:i/>
          <w:iCs/>
          <w:sz w:val="18"/>
          <w:szCs w:val="18"/>
          <w:lang w:val="fr-FR"/>
        </w:rPr>
        <w:t>.</w:t>
      </w:r>
    </w:p>
  </w:footnote>
  <w:footnote w:id="219">
    <w:p w14:paraId="62B62D07" w14:textId="47B2EB07" w:rsidR="00242E6C" w:rsidRPr="00AB36AE" w:rsidRDefault="00242E6C" w:rsidP="00242E6C">
      <w:pPr>
        <w:pStyle w:val="FootnoteText"/>
        <w:rPr>
          <w:sz w:val="18"/>
          <w:szCs w:val="18"/>
          <w:lang w:val="fr-FR"/>
        </w:rPr>
      </w:pPr>
      <w:r w:rsidRPr="00AB36AE">
        <w:rPr>
          <w:rStyle w:val="FootnoteReference"/>
          <w:sz w:val="18"/>
          <w:szCs w:val="18"/>
        </w:rPr>
        <w:footnoteRef/>
      </w:r>
      <w:r w:rsidRPr="00AB36AE">
        <w:rPr>
          <w:sz w:val="18"/>
          <w:szCs w:val="18"/>
          <w:lang w:val="fr-FR"/>
        </w:rPr>
        <w:t xml:space="preserve"> Pièrard, “Les douaires”</w:t>
      </w:r>
      <w:r w:rsidR="00D10C81" w:rsidRPr="00AB36AE">
        <w:rPr>
          <w:sz w:val="18"/>
          <w:szCs w:val="18"/>
          <w:lang w:val="fr-FR"/>
        </w:rPr>
        <w:t>,</w:t>
      </w:r>
      <w:r w:rsidRPr="00AB36AE">
        <w:rPr>
          <w:sz w:val="18"/>
          <w:szCs w:val="18"/>
          <w:lang w:val="fr-FR"/>
        </w:rPr>
        <w:t xml:space="preserve"> 183; Lemaire,</w:t>
      </w:r>
      <w:r w:rsidRPr="00AB36AE">
        <w:rPr>
          <w:i/>
          <w:iCs/>
          <w:sz w:val="18"/>
          <w:szCs w:val="18"/>
          <w:lang w:val="fr-FR"/>
        </w:rPr>
        <w:t> Les travaux publics et domaniaux</w:t>
      </w:r>
      <w:r w:rsidRPr="00AB36AE">
        <w:rPr>
          <w:sz w:val="18"/>
          <w:szCs w:val="18"/>
          <w:lang w:val="fr-FR"/>
        </w:rPr>
        <w:t>, 68</w:t>
      </w:r>
      <w:r w:rsidRPr="00AB36AE">
        <w:rPr>
          <w:i/>
          <w:iCs/>
          <w:sz w:val="18"/>
          <w:szCs w:val="18"/>
          <w:lang w:val="fr-FR"/>
        </w:rPr>
        <w:t>.</w:t>
      </w:r>
    </w:p>
  </w:footnote>
  <w:footnote w:id="220">
    <w:p w14:paraId="01EA6380" w14:textId="223FD75A" w:rsidR="00242E6C" w:rsidRPr="00AB36AE" w:rsidRDefault="00242E6C" w:rsidP="00242E6C">
      <w:pPr>
        <w:pStyle w:val="FootnoteText"/>
        <w:rPr>
          <w:sz w:val="18"/>
          <w:szCs w:val="18"/>
          <w:lang w:val="fr-FR"/>
        </w:rPr>
      </w:pPr>
      <w:r w:rsidRPr="00AB36AE">
        <w:rPr>
          <w:rStyle w:val="FootnoteReference"/>
          <w:sz w:val="18"/>
          <w:szCs w:val="18"/>
        </w:rPr>
        <w:footnoteRef/>
      </w:r>
      <w:r w:rsidRPr="00AB36AE">
        <w:rPr>
          <w:sz w:val="18"/>
          <w:szCs w:val="18"/>
          <w:lang w:val="fr-FR"/>
        </w:rPr>
        <w:t xml:space="preserve">  Pièrard, “Les douaires”</w:t>
      </w:r>
      <w:r w:rsidR="00D10C81" w:rsidRPr="00AB36AE">
        <w:rPr>
          <w:sz w:val="18"/>
          <w:szCs w:val="18"/>
          <w:lang w:val="fr-FR"/>
        </w:rPr>
        <w:t>,</w:t>
      </w:r>
      <w:r w:rsidRPr="00AB36AE">
        <w:rPr>
          <w:sz w:val="18"/>
          <w:szCs w:val="18"/>
          <w:lang w:val="fr-FR"/>
        </w:rPr>
        <w:t xml:space="preserve"> IV; Lemaire,</w:t>
      </w:r>
      <w:r w:rsidRPr="00AB36AE">
        <w:rPr>
          <w:i/>
          <w:iCs/>
          <w:sz w:val="18"/>
          <w:szCs w:val="18"/>
          <w:lang w:val="fr-FR"/>
        </w:rPr>
        <w:t> Les travaux publics et domaniaux</w:t>
      </w:r>
      <w:r w:rsidRPr="00AB36AE">
        <w:rPr>
          <w:sz w:val="18"/>
          <w:szCs w:val="18"/>
          <w:lang w:val="fr-FR"/>
        </w:rPr>
        <w:t>, 68</w:t>
      </w:r>
      <w:r w:rsidRPr="00AB36AE">
        <w:rPr>
          <w:i/>
          <w:iCs/>
          <w:sz w:val="18"/>
          <w:szCs w:val="18"/>
          <w:lang w:val="fr-FR"/>
        </w:rPr>
        <w:t>.</w:t>
      </w:r>
    </w:p>
  </w:footnote>
  <w:footnote w:id="221">
    <w:p w14:paraId="17F7E5F1" w14:textId="41DA5858" w:rsidR="00242E6C" w:rsidRPr="00AB36AE" w:rsidRDefault="00242E6C" w:rsidP="00242E6C">
      <w:pPr>
        <w:pStyle w:val="FootnoteText"/>
        <w:rPr>
          <w:sz w:val="18"/>
          <w:szCs w:val="18"/>
          <w:lang w:val="fr-FR"/>
        </w:rPr>
      </w:pPr>
      <w:r w:rsidRPr="00AB36AE">
        <w:rPr>
          <w:rStyle w:val="FootnoteReference"/>
          <w:sz w:val="18"/>
          <w:szCs w:val="18"/>
        </w:rPr>
        <w:footnoteRef/>
      </w:r>
      <w:r w:rsidRPr="00AB36AE">
        <w:rPr>
          <w:sz w:val="18"/>
          <w:szCs w:val="18"/>
          <w:lang w:val="fr-FR"/>
        </w:rPr>
        <w:t xml:space="preserve"> Vergelijk bijlage IV met bijlage VIII; Pièrard, “Les douaires,” 178-179, IV, VIII</w:t>
      </w:r>
      <w:r w:rsidR="00D10C81" w:rsidRPr="00AB36AE">
        <w:rPr>
          <w:sz w:val="18"/>
          <w:szCs w:val="18"/>
          <w:lang w:val="fr-FR"/>
        </w:rPr>
        <w:t>.</w:t>
      </w:r>
    </w:p>
  </w:footnote>
  <w:footnote w:id="222">
    <w:p w14:paraId="1C3D0A20" w14:textId="7FD10836" w:rsidR="00242E6C" w:rsidRPr="00AB36AE" w:rsidRDefault="00242E6C" w:rsidP="00242E6C">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D10C81" w:rsidRPr="00AB36AE">
        <w:rPr>
          <w:sz w:val="18"/>
          <w:szCs w:val="18"/>
          <w:lang w:val="nl-NL"/>
        </w:rPr>
        <w:t>Pièrard, “Les douaires”,</w:t>
      </w:r>
      <w:r w:rsidRPr="00AB36AE">
        <w:rPr>
          <w:sz w:val="18"/>
          <w:szCs w:val="18"/>
          <w:lang w:val="fr-FR"/>
        </w:rPr>
        <w:t xml:space="preserve"> 181. </w:t>
      </w:r>
    </w:p>
  </w:footnote>
  <w:footnote w:id="223">
    <w:p w14:paraId="6CBA2140" w14:textId="6E843B7B" w:rsidR="00242E6C" w:rsidRPr="00AB36AE" w:rsidRDefault="00242E6C" w:rsidP="00242E6C">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D10C81" w:rsidRPr="00AB36AE">
        <w:rPr>
          <w:sz w:val="18"/>
          <w:szCs w:val="18"/>
          <w:lang w:val="nl-NL"/>
        </w:rPr>
        <w:t>Pièrard, “Les douaires”,</w:t>
      </w:r>
      <w:r w:rsidR="00D10C81" w:rsidRPr="00AB36AE">
        <w:rPr>
          <w:sz w:val="18"/>
          <w:szCs w:val="18"/>
          <w:lang w:val="fr-FR"/>
        </w:rPr>
        <w:t xml:space="preserve"> 181.</w:t>
      </w:r>
    </w:p>
  </w:footnote>
  <w:footnote w:id="224">
    <w:p w14:paraId="3B9A73DC" w14:textId="4207D745" w:rsidR="00242E6C" w:rsidRPr="00AB36AE" w:rsidRDefault="00242E6C" w:rsidP="00242E6C">
      <w:pPr>
        <w:pStyle w:val="FootnoteText"/>
        <w:rPr>
          <w:sz w:val="18"/>
          <w:szCs w:val="18"/>
          <w:lang w:val="fr-FR"/>
        </w:rPr>
      </w:pPr>
      <w:r w:rsidRPr="00AB36AE">
        <w:rPr>
          <w:rStyle w:val="FootnoteReference"/>
          <w:sz w:val="18"/>
          <w:szCs w:val="18"/>
        </w:rPr>
        <w:footnoteRef/>
      </w:r>
      <w:r w:rsidRPr="00AB36AE">
        <w:rPr>
          <w:sz w:val="18"/>
          <w:szCs w:val="18"/>
          <w:lang w:val="fr-FR"/>
        </w:rPr>
        <w:t xml:space="preserve"> Lemaire,</w:t>
      </w:r>
      <w:r w:rsidRPr="00AB36AE">
        <w:rPr>
          <w:i/>
          <w:iCs/>
          <w:sz w:val="18"/>
          <w:szCs w:val="18"/>
          <w:lang w:val="fr-FR"/>
        </w:rPr>
        <w:t> Les travaux publics et domaniau</w:t>
      </w:r>
      <w:r w:rsidR="00D10C81" w:rsidRPr="00AB36AE">
        <w:rPr>
          <w:i/>
          <w:iCs/>
          <w:sz w:val="18"/>
          <w:szCs w:val="18"/>
          <w:lang w:val="fr-FR"/>
        </w:rPr>
        <w:t>x</w:t>
      </w:r>
      <w:r w:rsidRPr="00AB36AE">
        <w:rPr>
          <w:sz w:val="18"/>
          <w:szCs w:val="18"/>
          <w:lang w:val="fr-FR"/>
        </w:rPr>
        <w:t>, 64-64.</w:t>
      </w:r>
    </w:p>
  </w:footnote>
  <w:footnote w:id="225">
    <w:p w14:paraId="2F5B9012" w14:textId="63ED7927" w:rsidR="00242E6C" w:rsidRPr="00AB36AE" w:rsidRDefault="00242E6C" w:rsidP="00242E6C">
      <w:pPr>
        <w:pStyle w:val="FootnoteText"/>
        <w:rPr>
          <w:sz w:val="18"/>
          <w:szCs w:val="18"/>
        </w:rPr>
      </w:pPr>
      <w:r w:rsidRPr="00AB36AE">
        <w:rPr>
          <w:rStyle w:val="FootnoteReference"/>
          <w:sz w:val="18"/>
          <w:szCs w:val="18"/>
        </w:rPr>
        <w:footnoteRef/>
      </w:r>
      <w:r w:rsidRPr="00AB36AE">
        <w:rPr>
          <w:sz w:val="18"/>
          <w:szCs w:val="18"/>
        </w:rPr>
        <w:t xml:space="preserve"> </w:t>
      </w:r>
      <w:r w:rsidR="00D10C81" w:rsidRPr="00AB36AE">
        <w:rPr>
          <w:sz w:val="18"/>
          <w:szCs w:val="18"/>
          <w:lang w:val="fr-FR"/>
        </w:rPr>
        <w:t>Lemaire,</w:t>
      </w:r>
      <w:r w:rsidR="00D10C81" w:rsidRPr="00AB36AE">
        <w:rPr>
          <w:i/>
          <w:iCs/>
          <w:sz w:val="18"/>
          <w:szCs w:val="18"/>
          <w:lang w:val="fr-FR"/>
        </w:rPr>
        <w:t> Les travaux publics et domaniaux</w:t>
      </w:r>
      <w:r w:rsidR="00D10C81" w:rsidRPr="00AB36AE">
        <w:rPr>
          <w:sz w:val="18"/>
          <w:szCs w:val="18"/>
        </w:rPr>
        <w:t>,</w:t>
      </w:r>
      <w:r w:rsidR="00D10C81" w:rsidRPr="00AB36AE">
        <w:rPr>
          <w:sz w:val="18"/>
          <w:szCs w:val="18"/>
          <w:lang w:val="fr-FR"/>
        </w:rPr>
        <w:t xml:space="preserve"> 64-64.</w:t>
      </w:r>
    </w:p>
  </w:footnote>
  <w:footnote w:id="226">
    <w:p w14:paraId="66B2D183" w14:textId="515FF319" w:rsidR="00242E6C" w:rsidRPr="00AB36AE" w:rsidRDefault="00242E6C" w:rsidP="00242E6C">
      <w:pPr>
        <w:pStyle w:val="FootnoteText"/>
        <w:rPr>
          <w:sz w:val="18"/>
          <w:szCs w:val="18"/>
        </w:rPr>
      </w:pPr>
      <w:r w:rsidRPr="00AB36AE">
        <w:rPr>
          <w:rStyle w:val="FootnoteReference"/>
          <w:sz w:val="18"/>
          <w:szCs w:val="18"/>
        </w:rPr>
        <w:footnoteRef/>
      </w:r>
      <w:r w:rsidRPr="00AB36AE">
        <w:rPr>
          <w:sz w:val="18"/>
          <w:szCs w:val="18"/>
        </w:rPr>
        <w:t xml:space="preserve"> </w:t>
      </w:r>
      <w:r w:rsidR="00D10C81" w:rsidRPr="00AB36AE">
        <w:rPr>
          <w:sz w:val="18"/>
          <w:szCs w:val="18"/>
          <w:lang w:val="fr-FR"/>
        </w:rPr>
        <w:t>Lemaire,</w:t>
      </w:r>
      <w:r w:rsidR="00D10C81" w:rsidRPr="00AB36AE">
        <w:rPr>
          <w:i/>
          <w:iCs/>
          <w:sz w:val="18"/>
          <w:szCs w:val="18"/>
          <w:lang w:val="fr-FR"/>
        </w:rPr>
        <w:t> Les travaux publics et domaniaux</w:t>
      </w:r>
      <w:r w:rsidR="00D10C81" w:rsidRPr="00AB36AE">
        <w:rPr>
          <w:sz w:val="18"/>
          <w:szCs w:val="18"/>
        </w:rPr>
        <w:t>,</w:t>
      </w:r>
      <w:r w:rsidR="00D10C81" w:rsidRPr="00AB36AE">
        <w:rPr>
          <w:sz w:val="18"/>
          <w:szCs w:val="18"/>
          <w:lang w:val="fr-FR"/>
        </w:rPr>
        <w:t xml:space="preserve"> 64-64.</w:t>
      </w:r>
    </w:p>
  </w:footnote>
  <w:footnote w:id="227">
    <w:p w14:paraId="751C79A9" w14:textId="65315AF3" w:rsidR="00242E6C" w:rsidRPr="00AB36AE" w:rsidRDefault="00242E6C" w:rsidP="00242E6C">
      <w:pPr>
        <w:pStyle w:val="FootnoteText"/>
        <w:rPr>
          <w:sz w:val="18"/>
          <w:szCs w:val="18"/>
        </w:rPr>
      </w:pPr>
      <w:r w:rsidRPr="00AB36AE">
        <w:rPr>
          <w:rStyle w:val="FootnoteReference"/>
          <w:sz w:val="18"/>
          <w:szCs w:val="18"/>
        </w:rPr>
        <w:footnoteRef/>
      </w:r>
      <w:r w:rsidRPr="00AB36AE">
        <w:rPr>
          <w:sz w:val="18"/>
          <w:szCs w:val="18"/>
        </w:rPr>
        <w:t xml:space="preserve"> </w:t>
      </w:r>
      <w:r w:rsidR="00D10C81" w:rsidRPr="00AB36AE">
        <w:rPr>
          <w:sz w:val="18"/>
          <w:szCs w:val="18"/>
          <w:lang w:val="fr-FR"/>
        </w:rPr>
        <w:t>Lemaire,</w:t>
      </w:r>
      <w:r w:rsidR="00D10C81" w:rsidRPr="00AB36AE">
        <w:rPr>
          <w:i/>
          <w:iCs/>
          <w:sz w:val="18"/>
          <w:szCs w:val="18"/>
          <w:lang w:val="fr-FR"/>
        </w:rPr>
        <w:t> Les travaux publics et domaniaux</w:t>
      </w:r>
      <w:r w:rsidR="00D10C81" w:rsidRPr="00AB36AE">
        <w:rPr>
          <w:sz w:val="18"/>
          <w:szCs w:val="18"/>
        </w:rPr>
        <w:t>,</w:t>
      </w:r>
      <w:r w:rsidR="00D10C81" w:rsidRPr="00AB36AE">
        <w:rPr>
          <w:sz w:val="18"/>
          <w:szCs w:val="18"/>
          <w:lang w:val="fr-FR"/>
        </w:rPr>
        <w:t xml:space="preserve"> 64-64.</w:t>
      </w:r>
    </w:p>
  </w:footnote>
  <w:footnote w:id="228">
    <w:p w14:paraId="7EB94E4B" w14:textId="3565263B" w:rsidR="00274E40" w:rsidRPr="00AB36AE" w:rsidRDefault="00274E40" w:rsidP="00274E40">
      <w:pPr>
        <w:pStyle w:val="FootnoteText"/>
        <w:rPr>
          <w:sz w:val="18"/>
          <w:szCs w:val="18"/>
        </w:rPr>
      </w:pPr>
      <w:r w:rsidRPr="00AB36AE">
        <w:rPr>
          <w:rStyle w:val="FootnoteReference"/>
          <w:sz w:val="18"/>
          <w:szCs w:val="18"/>
        </w:rPr>
        <w:footnoteRef/>
      </w:r>
      <w:r w:rsidRPr="00AB36AE">
        <w:rPr>
          <w:sz w:val="18"/>
          <w:szCs w:val="18"/>
        </w:rPr>
        <w:t xml:space="preserve"> Verkooren, </w:t>
      </w:r>
      <w:r w:rsidR="00D10C81" w:rsidRPr="00AB36AE">
        <w:rPr>
          <w:i/>
          <w:iCs/>
          <w:sz w:val="18"/>
          <w:szCs w:val="18"/>
          <w:lang w:val="nl-NL"/>
        </w:rPr>
        <w:t>Chartes originales et vidimées</w:t>
      </w:r>
      <w:r w:rsidRPr="00AB36AE">
        <w:rPr>
          <w:i/>
          <w:iCs/>
          <w:sz w:val="18"/>
          <w:szCs w:val="18"/>
        </w:rPr>
        <w:t xml:space="preserve">, </w:t>
      </w:r>
      <w:r w:rsidRPr="00AB36AE">
        <w:rPr>
          <w:sz w:val="18"/>
          <w:szCs w:val="18"/>
        </w:rPr>
        <w:t>VII, 29, 80, 119, 251.</w:t>
      </w:r>
    </w:p>
  </w:footnote>
  <w:footnote w:id="229">
    <w:p w14:paraId="25FDA163" w14:textId="1A19DBBF" w:rsidR="00274E40" w:rsidRPr="00AB36AE" w:rsidRDefault="00274E40" w:rsidP="00274E40">
      <w:pPr>
        <w:pStyle w:val="FootnoteText"/>
        <w:rPr>
          <w:sz w:val="18"/>
          <w:szCs w:val="18"/>
        </w:rPr>
      </w:pPr>
      <w:r w:rsidRPr="00AB36AE">
        <w:rPr>
          <w:rStyle w:val="FootnoteReference"/>
          <w:sz w:val="18"/>
          <w:szCs w:val="18"/>
        </w:rPr>
        <w:footnoteRef/>
      </w:r>
      <w:r w:rsidRPr="00AB36AE">
        <w:rPr>
          <w:sz w:val="18"/>
          <w:szCs w:val="18"/>
        </w:rPr>
        <w:t xml:space="preserve"> Verkooren, </w:t>
      </w:r>
      <w:r w:rsidR="00D10C81" w:rsidRPr="00AB36AE">
        <w:rPr>
          <w:i/>
          <w:iCs/>
          <w:sz w:val="18"/>
          <w:szCs w:val="18"/>
          <w:lang w:val="nl-NL"/>
        </w:rPr>
        <w:t>Chartes originales et vidimées</w:t>
      </w:r>
      <w:r w:rsidRPr="00AB36AE">
        <w:rPr>
          <w:i/>
          <w:iCs/>
          <w:sz w:val="18"/>
          <w:szCs w:val="18"/>
        </w:rPr>
        <w:t xml:space="preserve">, </w:t>
      </w:r>
      <w:r w:rsidRPr="00AB36AE">
        <w:rPr>
          <w:sz w:val="18"/>
          <w:szCs w:val="18"/>
        </w:rPr>
        <w:t xml:space="preserve">VII, 157, 179, 222, 228, 259; Verkooren, </w:t>
      </w:r>
      <w:r w:rsidRPr="00AB36AE">
        <w:rPr>
          <w:i/>
          <w:iCs/>
          <w:sz w:val="18"/>
          <w:szCs w:val="18"/>
        </w:rPr>
        <w:t xml:space="preserve">Inventaire, </w:t>
      </w:r>
      <w:r w:rsidRPr="00AB36AE">
        <w:rPr>
          <w:sz w:val="18"/>
          <w:szCs w:val="18"/>
        </w:rPr>
        <w:t xml:space="preserve">VIII, 33. </w:t>
      </w:r>
    </w:p>
  </w:footnote>
  <w:footnote w:id="230">
    <w:p w14:paraId="0E251C79" w14:textId="355508F0" w:rsidR="00274E40" w:rsidRPr="00AB36AE" w:rsidRDefault="00274E40" w:rsidP="00274E40">
      <w:pPr>
        <w:rPr>
          <w:sz w:val="18"/>
          <w:szCs w:val="18"/>
        </w:rPr>
      </w:pPr>
      <w:r w:rsidRPr="00AB36AE">
        <w:rPr>
          <w:rStyle w:val="FootnoteReference"/>
          <w:sz w:val="18"/>
          <w:szCs w:val="18"/>
        </w:rPr>
        <w:footnoteRef/>
      </w:r>
      <w:r w:rsidRPr="00AB36AE">
        <w:rPr>
          <w:sz w:val="18"/>
          <w:szCs w:val="18"/>
        </w:rPr>
        <w:t xml:space="preserve"> Verkooren, </w:t>
      </w:r>
      <w:r w:rsidR="00D10C81" w:rsidRPr="00AB36AE">
        <w:rPr>
          <w:i/>
          <w:iCs/>
          <w:sz w:val="18"/>
          <w:szCs w:val="18"/>
          <w:lang w:val="nl-NL"/>
        </w:rPr>
        <w:t>Chartes originales et vidimées</w:t>
      </w:r>
      <w:r w:rsidRPr="00AB36AE">
        <w:rPr>
          <w:i/>
          <w:iCs/>
          <w:sz w:val="18"/>
          <w:szCs w:val="18"/>
        </w:rPr>
        <w:t xml:space="preserve">, </w:t>
      </w:r>
      <w:r w:rsidRPr="00AB36AE">
        <w:rPr>
          <w:sz w:val="18"/>
          <w:szCs w:val="18"/>
        </w:rPr>
        <w:t xml:space="preserve">VII, 62, 101; Verkooren, </w:t>
      </w:r>
      <w:r w:rsidR="00D10C81" w:rsidRPr="00AB36AE">
        <w:rPr>
          <w:i/>
          <w:iCs/>
          <w:sz w:val="18"/>
          <w:szCs w:val="18"/>
          <w:lang w:val="nl-NL"/>
        </w:rPr>
        <w:t>Chartes originales et vidimées</w:t>
      </w:r>
      <w:r w:rsidRPr="00AB36AE">
        <w:rPr>
          <w:i/>
          <w:iCs/>
          <w:sz w:val="18"/>
          <w:szCs w:val="18"/>
        </w:rPr>
        <w:t xml:space="preserve">, </w:t>
      </w:r>
      <w:r w:rsidRPr="00AB36AE">
        <w:rPr>
          <w:sz w:val="18"/>
          <w:szCs w:val="18"/>
        </w:rPr>
        <w:t xml:space="preserve">VIII, 45. </w:t>
      </w:r>
    </w:p>
  </w:footnote>
  <w:footnote w:id="231">
    <w:p w14:paraId="40C208B3" w14:textId="49C67610" w:rsidR="00274E40" w:rsidRPr="00AB36AE" w:rsidRDefault="00274E40" w:rsidP="00274E40">
      <w:pPr>
        <w:pStyle w:val="FootnoteText"/>
        <w:rPr>
          <w:sz w:val="18"/>
          <w:szCs w:val="18"/>
          <w:lang w:val="fr-FR"/>
        </w:rPr>
      </w:pPr>
      <w:r w:rsidRPr="00AB36AE">
        <w:rPr>
          <w:rStyle w:val="FootnoteReference"/>
          <w:sz w:val="18"/>
          <w:szCs w:val="18"/>
        </w:rPr>
        <w:footnoteRef/>
      </w:r>
      <w:r w:rsidRPr="00AB36AE">
        <w:rPr>
          <w:sz w:val="18"/>
          <w:szCs w:val="18"/>
        </w:rPr>
        <w:t xml:space="preserve"> Alle vijf bastaardkinderen van Wenceslas hebben hun jeugd in Binche doorgebracht</w:t>
      </w:r>
      <w:r w:rsidR="00523689" w:rsidRPr="00AB36AE">
        <w:rPr>
          <w:sz w:val="18"/>
          <w:szCs w:val="18"/>
        </w:rPr>
        <w:t>, z</w:t>
      </w:r>
      <w:r w:rsidRPr="00AB36AE">
        <w:rPr>
          <w:sz w:val="18"/>
          <w:szCs w:val="18"/>
          <w:lang w:val="fr-FR"/>
        </w:rPr>
        <w:t xml:space="preserve">ie: De Maesschalck, </w:t>
      </w:r>
      <w:r w:rsidR="003426E3" w:rsidRPr="00AB36AE">
        <w:rPr>
          <w:i/>
          <w:iCs/>
          <w:sz w:val="18"/>
          <w:szCs w:val="18"/>
          <w:lang w:val="fr-FR"/>
        </w:rPr>
        <w:t>H</w:t>
      </w:r>
      <w:r w:rsidRPr="00AB36AE">
        <w:rPr>
          <w:i/>
          <w:iCs/>
          <w:sz w:val="18"/>
          <w:szCs w:val="18"/>
          <w:lang w:val="fr-FR"/>
        </w:rPr>
        <w:t>ertogen</w:t>
      </w:r>
      <w:r w:rsidRPr="00AB36AE">
        <w:rPr>
          <w:sz w:val="18"/>
          <w:szCs w:val="18"/>
          <w:lang w:val="fr-FR"/>
        </w:rPr>
        <w:t xml:space="preserve">, 309.  </w:t>
      </w:r>
    </w:p>
  </w:footnote>
  <w:footnote w:id="232">
    <w:p w14:paraId="6ED4A473" w14:textId="5D9B88D4" w:rsidR="00274E40" w:rsidRPr="00AB36AE" w:rsidRDefault="00274E40" w:rsidP="00274E40">
      <w:pPr>
        <w:pStyle w:val="FootnoteText"/>
        <w:rPr>
          <w:sz w:val="18"/>
          <w:szCs w:val="18"/>
          <w:lang w:val="fr-FR"/>
        </w:rPr>
      </w:pPr>
      <w:r w:rsidRPr="00AB36AE">
        <w:rPr>
          <w:rStyle w:val="FootnoteReference"/>
          <w:sz w:val="18"/>
          <w:szCs w:val="18"/>
        </w:rPr>
        <w:footnoteRef/>
      </w:r>
      <w:r w:rsidRPr="00AB36AE">
        <w:rPr>
          <w:sz w:val="18"/>
          <w:szCs w:val="18"/>
          <w:lang w:val="fr-FR"/>
        </w:rPr>
        <w:t xml:space="preserve"> Lejeune, </w:t>
      </w:r>
      <w:r w:rsidRPr="00AB36AE">
        <w:rPr>
          <w:i/>
          <w:iCs/>
          <w:sz w:val="18"/>
          <w:szCs w:val="18"/>
          <w:lang w:val="fr-FR"/>
        </w:rPr>
        <w:t xml:space="preserve">Histoire de la ville, </w:t>
      </w:r>
      <w:r w:rsidRPr="00AB36AE">
        <w:rPr>
          <w:sz w:val="18"/>
          <w:szCs w:val="18"/>
          <w:lang w:val="fr-FR"/>
        </w:rPr>
        <w:t>66.</w:t>
      </w:r>
    </w:p>
  </w:footnote>
  <w:footnote w:id="233">
    <w:p w14:paraId="77EE7442" w14:textId="21DCA044" w:rsidR="00523689" w:rsidRPr="00AB36AE" w:rsidRDefault="00274E40" w:rsidP="00274E40">
      <w:pPr>
        <w:pStyle w:val="FootnoteText"/>
        <w:rPr>
          <w:sz w:val="18"/>
          <w:szCs w:val="18"/>
        </w:rPr>
      </w:pPr>
      <w:r w:rsidRPr="00AB36AE">
        <w:rPr>
          <w:rStyle w:val="FootnoteReference"/>
          <w:sz w:val="18"/>
          <w:szCs w:val="18"/>
        </w:rPr>
        <w:footnoteRef/>
      </w:r>
      <w:r w:rsidRPr="00AB36AE">
        <w:rPr>
          <w:sz w:val="18"/>
          <w:szCs w:val="18"/>
        </w:rPr>
        <w:t xml:space="preserve"> </w:t>
      </w:r>
      <w:r w:rsidR="00523689" w:rsidRPr="00AB36AE">
        <w:rPr>
          <w:sz w:val="18"/>
          <w:szCs w:val="18"/>
        </w:rPr>
        <w:t>ARAB, RK, Nr. 2363, fol. 77, 78, 79.</w:t>
      </w:r>
    </w:p>
  </w:footnote>
  <w:footnote w:id="234">
    <w:p w14:paraId="4D7D5E70" w14:textId="6031B4D8" w:rsidR="00274E40" w:rsidRPr="00AB36AE" w:rsidRDefault="00274E40" w:rsidP="00274E40">
      <w:pPr>
        <w:pStyle w:val="FootnoteText"/>
        <w:rPr>
          <w:sz w:val="18"/>
          <w:szCs w:val="18"/>
        </w:rPr>
      </w:pPr>
      <w:r w:rsidRPr="00AB36AE">
        <w:rPr>
          <w:rStyle w:val="FootnoteReference"/>
          <w:sz w:val="18"/>
          <w:szCs w:val="18"/>
        </w:rPr>
        <w:footnoteRef/>
      </w:r>
      <w:r w:rsidRPr="00AB36AE">
        <w:rPr>
          <w:sz w:val="18"/>
          <w:szCs w:val="18"/>
        </w:rPr>
        <w:t xml:space="preserve"> </w:t>
      </w:r>
      <w:r w:rsidR="00523689" w:rsidRPr="00AB36AE">
        <w:rPr>
          <w:sz w:val="18"/>
          <w:szCs w:val="18"/>
        </w:rPr>
        <w:t>ARAB</w:t>
      </w:r>
      <w:r w:rsidRPr="00AB36AE">
        <w:rPr>
          <w:sz w:val="18"/>
          <w:szCs w:val="18"/>
        </w:rPr>
        <w:t xml:space="preserve">, RK, </w:t>
      </w:r>
      <w:r w:rsidR="00523689" w:rsidRPr="00AB36AE">
        <w:rPr>
          <w:sz w:val="18"/>
          <w:szCs w:val="18"/>
        </w:rPr>
        <w:t>Nr.</w:t>
      </w:r>
      <w:r w:rsidRPr="00AB36AE">
        <w:rPr>
          <w:sz w:val="18"/>
          <w:szCs w:val="18"/>
        </w:rPr>
        <w:t>2363, fo</w:t>
      </w:r>
      <w:r w:rsidR="00523689" w:rsidRPr="00AB36AE">
        <w:rPr>
          <w:sz w:val="18"/>
          <w:szCs w:val="18"/>
        </w:rPr>
        <w:t>l</w:t>
      </w:r>
      <w:r w:rsidRPr="00AB36AE">
        <w:rPr>
          <w:sz w:val="18"/>
          <w:szCs w:val="18"/>
        </w:rPr>
        <w:t>. 81;</w:t>
      </w:r>
      <w:r w:rsidR="00523689" w:rsidRPr="00AB36AE">
        <w:rPr>
          <w:sz w:val="18"/>
          <w:szCs w:val="18"/>
        </w:rPr>
        <w:t xml:space="preserve"> ARAB</w:t>
      </w:r>
      <w:r w:rsidRPr="00AB36AE">
        <w:rPr>
          <w:sz w:val="18"/>
          <w:szCs w:val="18"/>
        </w:rPr>
        <w:t xml:space="preserve">, RK, </w:t>
      </w:r>
      <w:r w:rsidR="00523689" w:rsidRPr="00AB36AE">
        <w:rPr>
          <w:sz w:val="18"/>
          <w:szCs w:val="18"/>
        </w:rPr>
        <w:t xml:space="preserve">Nr. </w:t>
      </w:r>
      <w:r w:rsidRPr="00AB36AE">
        <w:rPr>
          <w:sz w:val="18"/>
          <w:szCs w:val="18"/>
        </w:rPr>
        <w:t>2364, fo</w:t>
      </w:r>
      <w:r w:rsidR="00523689" w:rsidRPr="00AB36AE">
        <w:rPr>
          <w:sz w:val="18"/>
          <w:szCs w:val="18"/>
        </w:rPr>
        <w:t>l</w:t>
      </w:r>
      <w:r w:rsidRPr="00AB36AE">
        <w:rPr>
          <w:sz w:val="18"/>
          <w:szCs w:val="18"/>
        </w:rPr>
        <w:t xml:space="preserve">. 65. </w:t>
      </w:r>
    </w:p>
  </w:footnote>
  <w:footnote w:id="235">
    <w:p w14:paraId="5D9CBE2F" w14:textId="389BE37F" w:rsidR="00274E40" w:rsidRPr="00AB36AE" w:rsidRDefault="00274E40" w:rsidP="00274E40">
      <w:pPr>
        <w:pStyle w:val="FootnoteText"/>
        <w:rPr>
          <w:sz w:val="18"/>
          <w:szCs w:val="18"/>
        </w:rPr>
      </w:pPr>
      <w:r w:rsidRPr="00AB36AE">
        <w:rPr>
          <w:rStyle w:val="FootnoteReference"/>
          <w:sz w:val="18"/>
          <w:szCs w:val="18"/>
        </w:rPr>
        <w:footnoteRef/>
      </w:r>
      <w:r w:rsidRPr="00AB36AE">
        <w:rPr>
          <w:sz w:val="18"/>
          <w:szCs w:val="18"/>
        </w:rPr>
        <w:t xml:space="preserve"> </w:t>
      </w:r>
      <w:r w:rsidR="00ED6A54" w:rsidRPr="00AB36AE">
        <w:rPr>
          <w:sz w:val="18"/>
          <w:szCs w:val="18"/>
        </w:rPr>
        <w:t>“Omdat zijn handen ziek waren”, zie ARAB</w:t>
      </w:r>
      <w:r w:rsidRPr="00AB36AE">
        <w:rPr>
          <w:sz w:val="18"/>
          <w:szCs w:val="18"/>
        </w:rPr>
        <w:t xml:space="preserve">, </w:t>
      </w:r>
      <w:r w:rsidR="00ED6A54" w:rsidRPr="00AB36AE">
        <w:rPr>
          <w:sz w:val="18"/>
          <w:szCs w:val="18"/>
        </w:rPr>
        <w:t>RK</w:t>
      </w:r>
      <w:r w:rsidRPr="00AB36AE">
        <w:rPr>
          <w:sz w:val="18"/>
          <w:szCs w:val="18"/>
        </w:rPr>
        <w:t>,</w:t>
      </w:r>
      <w:r w:rsidR="00ED6A54" w:rsidRPr="00AB36AE">
        <w:rPr>
          <w:sz w:val="18"/>
          <w:szCs w:val="18"/>
        </w:rPr>
        <w:t xml:space="preserve"> Nr.</w:t>
      </w:r>
      <w:r w:rsidRPr="00AB36AE">
        <w:rPr>
          <w:sz w:val="18"/>
          <w:szCs w:val="18"/>
        </w:rPr>
        <w:t xml:space="preserve"> 2363, fo</w:t>
      </w:r>
      <w:r w:rsidR="00523689" w:rsidRPr="00AB36AE">
        <w:rPr>
          <w:sz w:val="18"/>
          <w:szCs w:val="18"/>
        </w:rPr>
        <w:t>l</w:t>
      </w:r>
      <w:r w:rsidRPr="00AB36AE">
        <w:rPr>
          <w:sz w:val="18"/>
          <w:szCs w:val="18"/>
        </w:rPr>
        <w:t xml:space="preserve">. 81. </w:t>
      </w:r>
    </w:p>
  </w:footnote>
  <w:footnote w:id="236">
    <w:p w14:paraId="6139068F" w14:textId="68F47C55" w:rsidR="00274E40" w:rsidRPr="00AB36AE" w:rsidRDefault="00274E40" w:rsidP="00274E40">
      <w:pPr>
        <w:pStyle w:val="FootnoteText"/>
        <w:rPr>
          <w:sz w:val="18"/>
          <w:szCs w:val="18"/>
          <w:lang w:val="fr-FR"/>
        </w:rPr>
      </w:pPr>
      <w:r w:rsidRPr="00AB36AE">
        <w:rPr>
          <w:rStyle w:val="FootnoteReference"/>
          <w:sz w:val="18"/>
          <w:szCs w:val="18"/>
        </w:rPr>
        <w:footnoteRef/>
      </w:r>
      <w:r w:rsidRPr="00AB36AE">
        <w:rPr>
          <w:sz w:val="18"/>
          <w:szCs w:val="18"/>
          <w:lang w:val="fr-FR"/>
        </w:rPr>
        <w:t xml:space="preserve"> Verkooren, </w:t>
      </w:r>
      <w:r w:rsidR="00D10C81" w:rsidRPr="00AB36AE">
        <w:rPr>
          <w:i/>
          <w:iCs/>
          <w:sz w:val="18"/>
          <w:szCs w:val="18"/>
          <w:lang w:val="nl-NL"/>
        </w:rPr>
        <w:t>Chartes originales et vidimées</w:t>
      </w:r>
      <w:r w:rsidRPr="00AB36AE">
        <w:rPr>
          <w:i/>
          <w:iCs/>
          <w:sz w:val="18"/>
          <w:szCs w:val="18"/>
          <w:lang w:val="fr-FR"/>
        </w:rPr>
        <w:t xml:space="preserve">, </w:t>
      </w:r>
      <w:r w:rsidRPr="00AB36AE">
        <w:rPr>
          <w:sz w:val="18"/>
          <w:szCs w:val="18"/>
          <w:lang w:val="fr-FR"/>
        </w:rPr>
        <w:t xml:space="preserve">VII, 29, 64, 156-157, 195, 198. </w:t>
      </w:r>
    </w:p>
  </w:footnote>
  <w:footnote w:id="237">
    <w:p w14:paraId="63BD94F5" w14:textId="59A7C703" w:rsidR="00274E40" w:rsidRPr="00AB36AE" w:rsidRDefault="00274E40" w:rsidP="00274E40">
      <w:pPr>
        <w:pStyle w:val="FootnoteText"/>
        <w:rPr>
          <w:sz w:val="18"/>
          <w:szCs w:val="18"/>
          <w:lang w:val="fr-FR"/>
        </w:rPr>
      </w:pPr>
      <w:r w:rsidRPr="00AB36AE">
        <w:rPr>
          <w:rStyle w:val="FootnoteReference"/>
          <w:sz w:val="18"/>
          <w:szCs w:val="18"/>
        </w:rPr>
        <w:footnoteRef/>
      </w:r>
      <w:r w:rsidRPr="00AB36AE">
        <w:rPr>
          <w:sz w:val="18"/>
          <w:szCs w:val="18"/>
          <w:lang w:val="fr-FR"/>
        </w:rPr>
        <w:t xml:space="preserve"> Pièrard, “Les douaires,” 122-123; Devillers, </w:t>
      </w:r>
      <w:r w:rsidRPr="00AB36AE">
        <w:rPr>
          <w:i/>
          <w:iCs/>
          <w:sz w:val="18"/>
          <w:szCs w:val="18"/>
          <w:lang w:val="fr-FR"/>
        </w:rPr>
        <w:t>Cartulaire des comtes de Hainaut</w:t>
      </w:r>
      <w:r w:rsidR="00D10C81" w:rsidRPr="00AB36AE">
        <w:rPr>
          <w:i/>
          <w:iCs/>
          <w:sz w:val="18"/>
          <w:szCs w:val="18"/>
          <w:lang w:val="fr-FR"/>
        </w:rPr>
        <w:t>,</w:t>
      </w:r>
      <w:r w:rsidRPr="00AB36AE">
        <w:rPr>
          <w:sz w:val="18"/>
          <w:szCs w:val="18"/>
          <w:lang w:val="fr-FR"/>
        </w:rPr>
        <w:t xml:space="preserve"> 320-321. </w:t>
      </w:r>
    </w:p>
  </w:footnote>
  <w:footnote w:id="238">
    <w:p w14:paraId="7B086240" w14:textId="72F74691" w:rsidR="00274E40" w:rsidRPr="00AB36AE" w:rsidRDefault="00274E40" w:rsidP="00274E40">
      <w:pPr>
        <w:pStyle w:val="FootnoteText"/>
        <w:rPr>
          <w:sz w:val="18"/>
          <w:szCs w:val="18"/>
        </w:rPr>
      </w:pPr>
      <w:r w:rsidRPr="00AB36AE">
        <w:rPr>
          <w:rStyle w:val="FootnoteReference"/>
          <w:sz w:val="18"/>
          <w:szCs w:val="18"/>
        </w:rPr>
        <w:footnoteRef/>
      </w:r>
      <w:r w:rsidRPr="00AB36AE">
        <w:rPr>
          <w:sz w:val="18"/>
          <w:szCs w:val="18"/>
        </w:rPr>
        <w:t xml:space="preserve"> </w:t>
      </w:r>
      <w:r w:rsidR="00D972CD" w:rsidRPr="00AB36AE">
        <w:rPr>
          <w:sz w:val="18"/>
          <w:szCs w:val="18"/>
          <w:lang w:val="fr-FR"/>
        </w:rPr>
        <w:t>Pièrard, “Les douaires,”</w:t>
      </w:r>
      <w:r w:rsidRPr="00AB36AE">
        <w:rPr>
          <w:sz w:val="18"/>
          <w:szCs w:val="18"/>
        </w:rPr>
        <w:t xml:space="preserve"> 124. </w:t>
      </w:r>
    </w:p>
  </w:footnote>
  <w:footnote w:id="239">
    <w:p w14:paraId="0BAE3CFF" w14:textId="24CAED6F" w:rsidR="00274E40" w:rsidRPr="00AB36AE" w:rsidRDefault="00274E40" w:rsidP="00274E40">
      <w:pPr>
        <w:pStyle w:val="FootnoteText"/>
        <w:rPr>
          <w:sz w:val="18"/>
          <w:szCs w:val="18"/>
        </w:rPr>
      </w:pPr>
      <w:r w:rsidRPr="00AB36AE">
        <w:rPr>
          <w:rStyle w:val="FootnoteReference"/>
          <w:sz w:val="18"/>
          <w:szCs w:val="18"/>
        </w:rPr>
        <w:footnoteRef/>
      </w:r>
      <w:r w:rsidRPr="00AB36AE">
        <w:rPr>
          <w:sz w:val="18"/>
          <w:szCs w:val="18"/>
        </w:rPr>
        <w:t xml:space="preserve"> Verkooren, </w:t>
      </w:r>
      <w:r w:rsidR="00D10C81" w:rsidRPr="00AB36AE">
        <w:rPr>
          <w:i/>
          <w:iCs/>
          <w:sz w:val="18"/>
          <w:szCs w:val="18"/>
          <w:lang w:val="nl-NL"/>
        </w:rPr>
        <w:t>Chartes originales et vidimées</w:t>
      </w:r>
      <w:r w:rsidRPr="00AB36AE">
        <w:rPr>
          <w:i/>
          <w:iCs/>
          <w:sz w:val="18"/>
          <w:szCs w:val="18"/>
        </w:rPr>
        <w:t xml:space="preserve">, </w:t>
      </w:r>
      <w:r w:rsidRPr="00AB36AE">
        <w:rPr>
          <w:sz w:val="18"/>
          <w:szCs w:val="18"/>
        </w:rPr>
        <w:t>VII, 198.</w:t>
      </w:r>
    </w:p>
  </w:footnote>
  <w:footnote w:id="240">
    <w:p w14:paraId="3666ACF9" w14:textId="06E4462F" w:rsidR="00274E40" w:rsidRPr="00AB36AE" w:rsidRDefault="00274E40" w:rsidP="00274E40">
      <w:pPr>
        <w:pStyle w:val="FootnoteText"/>
        <w:rPr>
          <w:sz w:val="18"/>
          <w:szCs w:val="18"/>
          <w:lang w:val="nl-NL"/>
        </w:rPr>
      </w:pPr>
      <w:r w:rsidRPr="00AB36AE">
        <w:rPr>
          <w:rStyle w:val="FootnoteReference"/>
          <w:sz w:val="18"/>
          <w:szCs w:val="18"/>
        </w:rPr>
        <w:footnoteRef/>
      </w:r>
      <w:r w:rsidRPr="00AB36AE">
        <w:rPr>
          <w:sz w:val="18"/>
          <w:szCs w:val="18"/>
        </w:rPr>
        <w:t xml:space="preserve"> </w:t>
      </w:r>
      <w:r w:rsidR="00D972CD" w:rsidRPr="00AB36AE">
        <w:rPr>
          <w:sz w:val="18"/>
          <w:szCs w:val="18"/>
        </w:rPr>
        <w:t xml:space="preserve">Verkooren, </w:t>
      </w:r>
      <w:r w:rsidR="00D972CD" w:rsidRPr="00AB36AE">
        <w:rPr>
          <w:i/>
          <w:iCs/>
          <w:sz w:val="18"/>
          <w:szCs w:val="18"/>
          <w:lang w:val="nl-NL"/>
        </w:rPr>
        <w:t>Chartes originales et vidimées</w:t>
      </w:r>
      <w:r w:rsidR="00D972CD" w:rsidRPr="00AB36AE">
        <w:rPr>
          <w:i/>
          <w:iCs/>
          <w:sz w:val="18"/>
          <w:szCs w:val="18"/>
        </w:rPr>
        <w:t xml:space="preserve">, </w:t>
      </w:r>
      <w:r w:rsidR="00D972CD" w:rsidRPr="00AB36AE">
        <w:rPr>
          <w:sz w:val="18"/>
          <w:szCs w:val="18"/>
        </w:rPr>
        <w:t>VII, 198.</w:t>
      </w:r>
    </w:p>
  </w:footnote>
  <w:footnote w:id="241">
    <w:p w14:paraId="1C0697FD" w14:textId="5C19A274" w:rsidR="00274E40" w:rsidRPr="00AB36AE" w:rsidRDefault="00274E40" w:rsidP="00274E40">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Verkooren, </w:t>
      </w:r>
      <w:r w:rsidR="00D10C81" w:rsidRPr="00AB36AE">
        <w:rPr>
          <w:i/>
          <w:iCs/>
          <w:sz w:val="18"/>
          <w:szCs w:val="18"/>
          <w:lang w:val="nl-NL"/>
        </w:rPr>
        <w:t>Chartes originales et vidimées</w:t>
      </w:r>
      <w:r w:rsidRPr="00AB36AE">
        <w:rPr>
          <w:i/>
          <w:iCs/>
          <w:sz w:val="18"/>
          <w:szCs w:val="18"/>
          <w:lang w:val="nl-NL"/>
        </w:rPr>
        <w:t xml:space="preserve">, </w:t>
      </w:r>
      <w:r w:rsidRPr="00AB36AE">
        <w:rPr>
          <w:sz w:val="18"/>
          <w:szCs w:val="18"/>
          <w:lang w:val="nl-NL"/>
        </w:rPr>
        <w:t>VII, 156-157</w:t>
      </w:r>
    </w:p>
  </w:footnote>
  <w:footnote w:id="242">
    <w:p w14:paraId="44017BFC" w14:textId="10F6FE54" w:rsidR="00274E40" w:rsidRPr="00AB36AE" w:rsidRDefault="00274E40" w:rsidP="00274E40">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Verkooren, </w:t>
      </w:r>
      <w:r w:rsidR="00D10C81" w:rsidRPr="00AB36AE">
        <w:rPr>
          <w:i/>
          <w:iCs/>
          <w:sz w:val="18"/>
          <w:szCs w:val="18"/>
          <w:lang w:val="nl-NL"/>
        </w:rPr>
        <w:t>Chartes originales et vidimées</w:t>
      </w:r>
      <w:r w:rsidRPr="00AB36AE">
        <w:rPr>
          <w:i/>
          <w:iCs/>
          <w:sz w:val="18"/>
          <w:szCs w:val="18"/>
          <w:lang w:val="nl-NL"/>
        </w:rPr>
        <w:t xml:space="preserve">, </w:t>
      </w:r>
      <w:r w:rsidRPr="00AB36AE">
        <w:rPr>
          <w:sz w:val="18"/>
          <w:szCs w:val="18"/>
          <w:lang w:val="nl-NL"/>
        </w:rPr>
        <w:t xml:space="preserve">VII, 29. 64. </w:t>
      </w:r>
    </w:p>
  </w:footnote>
  <w:footnote w:id="243">
    <w:p w14:paraId="07FE396F" w14:textId="5C732D78" w:rsidR="00274E40" w:rsidRPr="00AB36AE" w:rsidRDefault="00274E40" w:rsidP="00274E40">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Pièrard, “Les douaires</w:t>
      </w:r>
      <w:r w:rsidR="00D10C81" w:rsidRPr="00AB36AE">
        <w:rPr>
          <w:sz w:val="18"/>
          <w:szCs w:val="18"/>
          <w:lang w:val="nl-NL"/>
        </w:rPr>
        <w:t>”</w:t>
      </w:r>
      <w:r w:rsidRPr="00AB36AE">
        <w:rPr>
          <w:sz w:val="18"/>
          <w:szCs w:val="18"/>
          <w:lang w:val="nl-NL"/>
        </w:rPr>
        <w:t>, 126.</w:t>
      </w:r>
    </w:p>
  </w:footnote>
  <w:footnote w:id="244">
    <w:p w14:paraId="3EEE045B" w14:textId="60C8BF29" w:rsidR="00274E40" w:rsidRPr="00AB36AE" w:rsidRDefault="00274E40" w:rsidP="00274E40">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Verkooren, </w:t>
      </w:r>
      <w:r w:rsidR="00D10C81" w:rsidRPr="00AB36AE">
        <w:rPr>
          <w:i/>
          <w:iCs/>
          <w:sz w:val="18"/>
          <w:szCs w:val="18"/>
          <w:lang w:val="nl-NL"/>
        </w:rPr>
        <w:t>Chartes originales et vidimées</w:t>
      </w:r>
      <w:r w:rsidRPr="00AB36AE">
        <w:rPr>
          <w:i/>
          <w:iCs/>
          <w:sz w:val="18"/>
          <w:szCs w:val="18"/>
          <w:lang w:val="nl-NL"/>
        </w:rPr>
        <w:t xml:space="preserve">, </w:t>
      </w:r>
      <w:r w:rsidRPr="00AB36AE">
        <w:rPr>
          <w:sz w:val="18"/>
          <w:szCs w:val="18"/>
          <w:lang w:val="nl-NL"/>
        </w:rPr>
        <w:t xml:space="preserve">VIII, 22-23. </w:t>
      </w:r>
    </w:p>
  </w:footnote>
  <w:footnote w:id="245">
    <w:p w14:paraId="4C29F744" w14:textId="79219B69" w:rsidR="00274E40" w:rsidRPr="00AB36AE" w:rsidRDefault="00274E40" w:rsidP="00274E40">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Verkooren, </w:t>
      </w:r>
      <w:r w:rsidR="00D10C81" w:rsidRPr="00AB36AE">
        <w:rPr>
          <w:i/>
          <w:iCs/>
          <w:sz w:val="18"/>
          <w:szCs w:val="18"/>
          <w:lang w:val="nl-NL"/>
        </w:rPr>
        <w:t>Chartes originales et vidimées</w:t>
      </w:r>
      <w:r w:rsidRPr="00AB36AE">
        <w:rPr>
          <w:i/>
          <w:iCs/>
          <w:sz w:val="18"/>
          <w:szCs w:val="18"/>
          <w:lang w:val="nl-NL"/>
        </w:rPr>
        <w:t xml:space="preserve">, </w:t>
      </w:r>
      <w:r w:rsidRPr="00AB36AE">
        <w:rPr>
          <w:sz w:val="18"/>
          <w:szCs w:val="18"/>
          <w:lang w:val="nl-NL"/>
        </w:rPr>
        <w:t xml:space="preserve">VII, 173. </w:t>
      </w:r>
    </w:p>
  </w:footnote>
  <w:footnote w:id="246">
    <w:p w14:paraId="00FFCE3D" w14:textId="46FC75D2" w:rsidR="00274E40" w:rsidRPr="00AB36AE" w:rsidRDefault="00274E40" w:rsidP="00274E40">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Verkooren, </w:t>
      </w:r>
      <w:r w:rsidR="00D10C81" w:rsidRPr="00AB36AE">
        <w:rPr>
          <w:i/>
          <w:iCs/>
          <w:sz w:val="18"/>
          <w:szCs w:val="18"/>
          <w:lang w:val="nl-NL"/>
        </w:rPr>
        <w:t>Chartes originales et vidimées</w:t>
      </w:r>
      <w:r w:rsidRPr="00AB36AE">
        <w:rPr>
          <w:i/>
          <w:iCs/>
          <w:sz w:val="18"/>
          <w:szCs w:val="18"/>
          <w:lang w:val="nl-NL"/>
        </w:rPr>
        <w:t xml:space="preserve">, </w:t>
      </w:r>
      <w:r w:rsidRPr="00AB36AE">
        <w:rPr>
          <w:sz w:val="18"/>
          <w:szCs w:val="18"/>
          <w:lang w:val="nl-NL"/>
        </w:rPr>
        <w:t>VII, 94-95.</w:t>
      </w:r>
    </w:p>
  </w:footnote>
  <w:footnote w:id="247">
    <w:p w14:paraId="7097A82A" w14:textId="7A54AF1C" w:rsidR="00274E40" w:rsidRPr="00AB36AE" w:rsidRDefault="00274E40" w:rsidP="00274E40">
      <w:pPr>
        <w:pStyle w:val="FootnoteText"/>
        <w:rPr>
          <w:sz w:val="18"/>
          <w:szCs w:val="18"/>
        </w:rPr>
      </w:pPr>
      <w:r w:rsidRPr="00AB36AE">
        <w:rPr>
          <w:rStyle w:val="FootnoteReference"/>
          <w:sz w:val="18"/>
          <w:szCs w:val="18"/>
          <w:lang w:val="nl-NL"/>
        </w:rPr>
        <w:footnoteRef/>
      </w:r>
      <w:r w:rsidRPr="00AB36AE">
        <w:rPr>
          <w:sz w:val="18"/>
          <w:szCs w:val="18"/>
          <w:lang w:val="nl-NL"/>
        </w:rPr>
        <w:t xml:space="preserve"> Verkooren, </w:t>
      </w:r>
      <w:r w:rsidR="00D10C81" w:rsidRPr="00AB36AE">
        <w:rPr>
          <w:i/>
          <w:iCs/>
          <w:sz w:val="18"/>
          <w:szCs w:val="18"/>
          <w:lang w:val="nl-NL"/>
        </w:rPr>
        <w:t>Chartes originales et vidimées</w:t>
      </w:r>
      <w:r w:rsidRPr="00AB36AE">
        <w:rPr>
          <w:i/>
          <w:iCs/>
          <w:sz w:val="18"/>
          <w:szCs w:val="18"/>
          <w:lang w:val="nl-NL"/>
        </w:rPr>
        <w:t xml:space="preserve">, </w:t>
      </w:r>
      <w:r w:rsidRPr="00AB36AE">
        <w:rPr>
          <w:sz w:val="18"/>
          <w:szCs w:val="18"/>
          <w:lang w:val="nl-NL"/>
        </w:rPr>
        <w:t>VII, 50-51, 133.</w:t>
      </w:r>
    </w:p>
  </w:footnote>
  <w:footnote w:id="248">
    <w:p w14:paraId="051B4155" w14:textId="4C2B6788" w:rsidR="00274E40" w:rsidRPr="00AB36AE" w:rsidRDefault="00274E40" w:rsidP="00274E40">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6F20DA" w:rsidRPr="00AB36AE">
        <w:rPr>
          <w:i/>
          <w:iCs/>
          <w:sz w:val="18"/>
          <w:szCs w:val="18"/>
          <w:lang w:val="nl-NL"/>
        </w:rPr>
        <w:t xml:space="preserve">Chartes originales et vidimées, </w:t>
      </w:r>
      <w:r w:rsidR="006F20DA" w:rsidRPr="00AB36AE">
        <w:rPr>
          <w:sz w:val="18"/>
          <w:szCs w:val="18"/>
          <w:lang w:val="nl-NL"/>
        </w:rPr>
        <w:t>VIII</w:t>
      </w:r>
      <w:r w:rsidR="006F20DA" w:rsidRPr="00AB36AE">
        <w:rPr>
          <w:sz w:val="18"/>
          <w:szCs w:val="18"/>
          <w:lang w:val="fr-FR"/>
        </w:rPr>
        <w:t xml:space="preserve"> ; </w:t>
      </w:r>
      <w:r w:rsidRPr="00AB36AE">
        <w:rPr>
          <w:sz w:val="18"/>
          <w:szCs w:val="18"/>
          <w:lang w:val="fr-FR"/>
        </w:rPr>
        <w:t>Pièrard, “Les douaires” 127.</w:t>
      </w:r>
    </w:p>
  </w:footnote>
  <w:footnote w:id="249">
    <w:p w14:paraId="01A6124E" w14:textId="1CB59518" w:rsidR="00274E40" w:rsidRPr="00AB36AE" w:rsidRDefault="00274E40" w:rsidP="00274E40">
      <w:pPr>
        <w:pStyle w:val="FootnoteText"/>
        <w:rPr>
          <w:sz w:val="18"/>
          <w:szCs w:val="18"/>
        </w:rPr>
      </w:pPr>
      <w:r w:rsidRPr="00AB36AE">
        <w:rPr>
          <w:rStyle w:val="FootnoteReference"/>
          <w:sz w:val="18"/>
          <w:szCs w:val="18"/>
        </w:rPr>
        <w:footnoteRef/>
      </w:r>
      <w:r w:rsidRPr="00AB36AE">
        <w:rPr>
          <w:sz w:val="18"/>
          <w:szCs w:val="18"/>
          <w:lang w:val="fr-FR"/>
        </w:rPr>
        <w:t xml:space="preserve"> “[…] </w:t>
      </w:r>
      <w:r w:rsidRPr="00AB36AE">
        <w:rPr>
          <w:i/>
          <w:iCs/>
          <w:sz w:val="18"/>
          <w:szCs w:val="18"/>
          <w:lang w:val="fr-FR"/>
        </w:rPr>
        <w:t>pour l’amour de Marguerite, sa femme</w:t>
      </w:r>
      <w:r w:rsidRPr="00AB36AE">
        <w:rPr>
          <w:sz w:val="18"/>
          <w:szCs w:val="18"/>
          <w:lang w:val="fr-FR"/>
        </w:rPr>
        <w:t xml:space="preserve">, […]” </w:t>
      </w:r>
      <w:r w:rsidRPr="00AB36AE">
        <w:rPr>
          <w:sz w:val="18"/>
          <w:szCs w:val="18"/>
        </w:rPr>
        <w:t xml:space="preserve">Zie: </w:t>
      </w:r>
      <w:r w:rsidR="006F20DA" w:rsidRPr="00AB36AE">
        <w:rPr>
          <w:i/>
          <w:iCs/>
          <w:sz w:val="18"/>
          <w:szCs w:val="18"/>
          <w:lang w:val="nl-NL"/>
        </w:rPr>
        <w:t xml:space="preserve">Chartes originales et vidimées, </w:t>
      </w:r>
      <w:r w:rsidR="006F20DA" w:rsidRPr="00AB36AE">
        <w:rPr>
          <w:sz w:val="18"/>
          <w:szCs w:val="18"/>
          <w:lang w:val="nl-NL"/>
        </w:rPr>
        <w:t>VIII</w:t>
      </w:r>
      <w:r w:rsidRPr="00AB36AE">
        <w:rPr>
          <w:sz w:val="18"/>
          <w:szCs w:val="18"/>
        </w:rPr>
        <w:t>, 90.</w:t>
      </w:r>
    </w:p>
  </w:footnote>
  <w:footnote w:id="250">
    <w:p w14:paraId="5B18E532" w14:textId="08B9F291" w:rsidR="00274E40" w:rsidRPr="00AB36AE" w:rsidRDefault="00274E40" w:rsidP="00274E40">
      <w:pPr>
        <w:pStyle w:val="FootnoteText"/>
        <w:rPr>
          <w:sz w:val="18"/>
          <w:szCs w:val="18"/>
        </w:rPr>
      </w:pPr>
      <w:r w:rsidRPr="00AB36AE">
        <w:rPr>
          <w:rStyle w:val="FootnoteReference"/>
          <w:sz w:val="18"/>
          <w:szCs w:val="18"/>
        </w:rPr>
        <w:footnoteRef/>
      </w:r>
      <w:r w:rsidRPr="00AB36AE">
        <w:rPr>
          <w:sz w:val="18"/>
          <w:szCs w:val="18"/>
        </w:rPr>
        <w:t xml:space="preserve"> Verkooren, </w:t>
      </w:r>
      <w:r w:rsidR="006F20DA" w:rsidRPr="00AB36AE">
        <w:rPr>
          <w:i/>
          <w:iCs/>
          <w:sz w:val="18"/>
          <w:szCs w:val="18"/>
          <w:lang w:val="nl-NL"/>
        </w:rPr>
        <w:t>Chartes originales et vidimées</w:t>
      </w:r>
      <w:r w:rsidRPr="00AB36AE">
        <w:rPr>
          <w:i/>
          <w:iCs/>
          <w:sz w:val="18"/>
          <w:szCs w:val="18"/>
        </w:rPr>
        <w:t xml:space="preserve">, </w:t>
      </w:r>
      <w:r w:rsidRPr="00AB36AE">
        <w:rPr>
          <w:sz w:val="18"/>
          <w:szCs w:val="18"/>
        </w:rPr>
        <w:t xml:space="preserve">VII, 65, 188, 288; Verkooren, </w:t>
      </w:r>
      <w:r w:rsidR="006F20DA" w:rsidRPr="00AB36AE">
        <w:rPr>
          <w:i/>
          <w:iCs/>
          <w:sz w:val="18"/>
          <w:szCs w:val="18"/>
          <w:lang w:val="nl-NL"/>
        </w:rPr>
        <w:t>Chartes originales et vidimées</w:t>
      </w:r>
      <w:r w:rsidRPr="00AB36AE">
        <w:rPr>
          <w:i/>
          <w:iCs/>
          <w:sz w:val="18"/>
          <w:szCs w:val="18"/>
        </w:rPr>
        <w:t xml:space="preserve">, </w:t>
      </w:r>
      <w:r w:rsidRPr="00AB36AE">
        <w:rPr>
          <w:sz w:val="18"/>
          <w:szCs w:val="18"/>
        </w:rPr>
        <w:t xml:space="preserve">VIII, 93. </w:t>
      </w:r>
    </w:p>
  </w:footnote>
  <w:footnote w:id="251">
    <w:p w14:paraId="651D851B" w14:textId="4412D083" w:rsidR="00274E40" w:rsidRPr="00AB36AE" w:rsidRDefault="00274E40" w:rsidP="00274E40">
      <w:pPr>
        <w:pStyle w:val="FootnoteText"/>
        <w:rPr>
          <w:sz w:val="18"/>
          <w:szCs w:val="18"/>
          <w:highlight w:val="red"/>
        </w:rPr>
      </w:pPr>
      <w:r w:rsidRPr="00AB36AE">
        <w:rPr>
          <w:rStyle w:val="FootnoteReference"/>
          <w:sz w:val="18"/>
          <w:szCs w:val="18"/>
        </w:rPr>
        <w:footnoteRef/>
      </w:r>
      <w:r w:rsidRPr="00AB36AE">
        <w:rPr>
          <w:sz w:val="18"/>
          <w:szCs w:val="18"/>
        </w:rPr>
        <w:t xml:space="preserve"> Verkooren, </w:t>
      </w:r>
      <w:r w:rsidR="006F20DA" w:rsidRPr="00AB36AE">
        <w:rPr>
          <w:i/>
          <w:iCs/>
          <w:sz w:val="18"/>
          <w:szCs w:val="18"/>
          <w:lang w:val="nl-NL"/>
        </w:rPr>
        <w:t>Chartes originales et vidimées</w:t>
      </w:r>
      <w:r w:rsidRPr="00AB36AE">
        <w:rPr>
          <w:i/>
          <w:iCs/>
          <w:sz w:val="18"/>
          <w:szCs w:val="18"/>
        </w:rPr>
        <w:t xml:space="preserve">, </w:t>
      </w:r>
      <w:r w:rsidRPr="00AB36AE">
        <w:rPr>
          <w:sz w:val="18"/>
          <w:szCs w:val="18"/>
        </w:rPr>
        <w:t xml:space="preserve">VII, 217-218. </w:t>
      </w:r>
    </w:p>
  </w:footnote>
  <w:footnote w:id="252">
    <w:p w14:paraId="38884F3A" w14:textId="18F23A93" w:rsidR="00274E40" w:rsidRPr="00AB36AE" w:rsidRDefault="00274E40" w:rsidP="00274E40">
      <w:pPr>
        <w:pStyle w:val="FootnoteText"/>
        <w:rPr>
          <w:sz w:val="18"/>
          <w:szCs w:val="18"/>
        </w:rPr>
      </w:pPr>
      <w:r w:rsidRPr="00AB36AE">
        <w:rPr>
          <w:rStyle w:val="FootnoteReference"/>
          <w:sz w:val="18"/>
          <w:szCs w:val="18"/>
        </w:rPr>
        <w:footnoteRef/>
      </w:r>
      <w:r w:rsidRPr="00AB36AE">
        <w:rPr>
          <w:sz w:val="18"/>
          <w:szCs w:val="18"/>
        </w:rPr>
        <w:t xml:space="preserve"> Verkooren, </w:t>
      </w:r>
      <w:r w:rsidR="006F20DA" w:rsidRPr="00AB36AE">
        <w:rPr>
          <w:i/>
          <w:iCs/>
          <w:sz w:val="18"/>
          <w:szCs w:val="18"/>
          <w:lang w:val="nl-NL"/>
        </w:rPr>
        <w:t>Chartes originales et vidimées</w:t>
      </w:r>
      <w:r w:rsidRPr="00AB36AE">
        <w:rPr>
          <w:i/>
          <w:iCs/>
          <w:sz w:val="18"/>
          <w:szCs w:val="18"/>
        </w:rPr>
        <w:t xml:space="preserve">, </w:t>
      </w:r>
      <w:r w:rsidRPr="00AB36AE">
        <w:rPr>
          <w:sz w:val="18"/>
          <w:szCs w:val="18"/>
        </w:rPr>
        <w:t xml:space="preserve">VII, 220. </w:t>
      </w:r>
    </w:p>
  </w:footnote>
  <w:footnote w:id="253">
    <w:p w14:paraId="6054258E" w14:textId="71498F6C" w:rsidR="00274E40" w:rsidRPr="00AB36AE" w:rsidRDefault="00274E40" w:rsidP="00274E40">
      <w:pPr>
        <w:pStyle w:val="FootnoteText"/>
        <w:rPr>
          <w:sz w:val="18"/>
          <w:szCs w:val="18"/>
        </w:rPr>
      </w:pPr>
      <w:r w:rsidRPr="00AB36AE">
        <w:rPr>
          <w:rStyle w:val="FootnoteReference"/>
          <w:sz w:val="18"/>
          <w:szCs w:val="18"/>
        </w:rPr>
        <w:footnoteRef/>
      </w:r>
      <w:r w:rsidRPr="00AB36AE">
        <w:rPr>
          <w:sz w:val="18"/>
          <w:szCs w:val="18"/>
        </w:rPr>
        <w:t xml:space="preserve"> Verkooren, </w:t>
      </w:r>
      <w:r w:rsidR="006F20DA" w:rsidRPr="00AB36AE">
        <w:rPr>
          <w:i/>
          <w:iCs/>
          <w:sz w:val="18"/>
          <w:szCs w:val="18"/>
          <w:lang w:val="nl-NL"/>
        </w:rPr>
        <w:t>Chartes originales et vidimées</w:t>
      </w:r>
      <w:r w:rsidRPr="00AB36AE">
        <w:rPr>
          <w:i/>
          <w:iCs/>
          <w:sz w:val="18"/>
          <w:szCs w:val="18"/>
        </w:rPr>
        <w:t xml:space="preserve">, </w:t>
      </w:r>
      <w:r w:rsidRPr="00AB36AE">
        <w:rPr>
          <w:sz w:val="18"/>
          <w:szCs w:val="18"/>
        </w:rPr>
        <w:t xml:space="preserve">VII, 34, 47, 68, 137, 217-218, 220; Verkooren, </w:t>
      </w:r>
      <w:r w:rsidR="006F20DA" w:rsidRPr="00AB36AE">
        <w:rPr>
          <w:i/>
          <w:iCs/>
          <w:sz w:val="18"/>
          <w:szCs w:val="18"/>
          <w:lang w:val="nl-NL"/>
        </w:rPr>
        <w:t>Chartes originales et vidimées</w:t>
      </w:r>
      <w:r w:rsidRPr="00AB36AE">
        <w:rPr>
          <w:i/>
          <w:iCs/>
          <w:sz w:val="18"/>
          <w:szCs w:val="18"/>
        </w:rPr>
        <w:t xml:space="preserve">, </w:t>
      </w:r>
      <w:r w:rsidRPr="00AB36AE">
        <w:rPr>
          <w:sz w:val="18"/>
          <w:szCs w:val="18"/>
        </w:rPr>
        <w:t xml:space="preserve">VIII,15, 26-27. </w:t>
      </w:r>
    </w:p>
  </w:footnote>
  <w:footnote w:id="254">
    <w:p w14:paraId="1731AF5A" w14:textId="01491C27" w:rsidR="00274E40" w:rsidRPr="00AB36AE" w:rsidRDefault="00274E40" w:rsidP="00274E40">
      <w:pPr>
        <w:pStyle w:val="FootnoteText"/>
        <w:rPr>
          <w:sz w:val="18"/>
          <w:szCs w:val="18"/>
        </w:rPr>
      </w:pPr>
      <w:r w:rsidRPr="00AB36AE">
        <w:rPr>
          <w:rStyle w:val="FootnoteReference"/>
          <w:sz w:val="18"/>
          <w:szCs w:val="18"/>
        </w:rPr>
        <w:footnoteRef/>
      </w:r>
      <w:r w:rsidRPr="00AB36AE">
        <w:rPr>
          <w:sz w:val="18"/>
          <w:szCs w:val="18"/>
        </w:rPr>
        <w:t xml:space="preserve"> Om enkele voorbeelden te geven, Zie: Verkooren, </w:t>
      </w:r>
      <w:r w:rsidR="006F20DA" w:rsidRPr="00AB36AE">
        <w:rPr>
          <w:i/>
          <w:iCs/>
          <w:sz w:val="18"/>
          <w:szCs w:val="18"/>
          <w:lang w:val="nl-NL"/>
        </w:rPr>
        <w:t>Chartes originales et vidimées</w:t>
      </w:r>
      <w:r w:rsidRPr="00AB36AE">
        <w:rPr>
          <w:i/>
          <w:iCs/>
          <w:sz w:val="18"/>
          <w:szCs w:val="18"/>
        </w:rPr>
        <w:t xml:space="preserve">, </w:t>
      </w:r>
      <w:r w:rsidRPr="00AB36AE">
        <w:rPr>
          <w:sz w:val="18"/>
          <w:szCs w:val="18"/>
        </w:rPr>
        <w:t xml:space="preserve">VII, 73, 81; Verkooren, </w:t>
      </w:r>
      <w:r w:rsidR="006F20DA" w:rsidRPr="00AB36AE">
        <w:rPr>
          <w:i/>
          <w:iCs/>
          <w:sz w:val="18"/>
          <w:szCs w:val="18"/>
          <w:lang w:val="nl-NL"/>
        </w:rPr>
        <w:t>Chartes originales et vidimées</w:t>
      </w:r>
      <w:r w:rsidRPr="00AB36AE">
        <w:rPr>
          <w:i/>
          <w:iCs/>
          <w:sz w:val="18"/>
          <w:szCs w:val="18"/>
        </w:rPr>
        <w:t xml:space="preserve">, </w:t>
      </w:r>
      <w:r w:rsidRPr="00AB36AE">
        <w:rPr>
          <w:sz w:val="18"/>
          <w:szCs w:val="18"/>
        </w:rPr>
        <w:t xml:space="preserve">VIII, 55. </w:t>
      </w:r>
    </w:p>
  </w:footnote>
  <w:footnote w:id="255">
    <w:p w14:paraId="6820BF59" w14:textId="10E1EEC4" w:rsidR="00274E40" w:rsidRPr="00AB36AE" w:rsidRDefault="00274E40" w:rsidP="00274E40">
      <w:pPr>
        <w:pStyle w:val="FootnoteText"/>
        <w:rPr>
          <w:sz w:val="18"/>
          <w:szCs w:val="18"/>
          <w:lang w:val="en-US"/>
        </w:rPr>
      </w:pPr>
      <w:r w:rsidRPr="00AB36AE">
        <w:rPr>
          <w:rStyle w:val="FootnoteReference"/>
          <w:sz w:val="18"/>
          <w:szCs w:val="18"/>
        </w:rPr>
        <w:footnoteRef/>
      </w:r>
      <w:r w:rsidRPr="00AB36AE">
        <w:rPr>
          <w:sz w:val="18"/>
          <w:szCs w:val="18"/>
        </w:rPr>
        <w:t xml:space="preserve"> </w:t>
      </w:r>
      <w:r w:rsidRPr="00AB36AE">
        <w:rPr>
          <w:sz w:val="18"/>
          <w:szCs w:val="18"/>
          <w:lang w:val="en-GB"/>
        </w:rPr>
        <w:t xml:space="preserve">Verkooren, </w:t>
      </w:r>
      <w:r w:rsidR="006F20DA" w:rsidRPr="00AB36AE">
        <w:rPr>
          <w:i/>
          <w:iCs/>
          <w:sz w:val="18"/>
          <w:szCs w:val="18"/>
          <w:lang w:val="nl-NL"/>
        </w:rPr>
        <w:t>Chartes originales et vidimées</w:t>
      </w:r>
      <w:r w:rsidRPr="00AB36AE">
        <w:rPr>
          <w:i/>
          <w:iCs/>
          <w:sz w:val="18"/>
          <w:szCs w:val="18"/>
          <w:lang w:val="en-GB"/>
        </w:rPr>
        <w:t xml:space="preserve">, </w:t>
      </w:r>
      <w:r w:rsidRPr="00AB36AE">
        <w:rPr>
          <w:sz w:val="18"/>
          <w:szCs w:val="18"/>
          <w:lang w:val="en-GB"/>
        </w:rPr>
        <w:t>VIII, 55.</w:t>
      </w:r>
    </w:p>
  </w:footnote>
  <w:footnote w:id="256">
    <w:p w14:paraId="33E4207F" w14:textId="744FCA6F" w:rsidR="00B817F0" w:rsidRPr="00AB36AE" w:rsidRDefault="00B817F0" w:rsidP="00B817F0">
      <w:pPr>
        <w:pStyle w:val="FootnoteText"/>
        <w:rPr>
          <w:sz w:val="18"/>
          <w:szCs w:val="18"/>
          <w:lang w:val="en-US"/>
        </w:rPr>
      </w:pPr>
      <w:r w:rsidRPr="00AB36AE">
        <w:rPr>
          <w:rStyle w:val="FootnoteReference"/>
          <w:sz w:val="18"/>
          <w:szCs w:val="18"/>
        </w:rPr>
        <w:footnoteRef/>
      </w:r>
      <w:r w:rsidRPr="00AB36AE">
        <w:rPr>
          <w:sz w:val="18"/>
          <w:szCs w:val="18"/>
          <w:lang w:val="en-US"/>
        </w:rPr>
        <w:t xml:space="preserve"> Earenfight, </w:t>
      </w:r>
      <w:r w:rsidR="002A560B" w:rsidRPr="00AB36AE">
        <w:rPr>
          <w:sz w:val="18"/>
          <w:szCs w:val="18"/>
          <w:lang w:val="en-US"/>
        </w:rPr>
        <w:t>“</w:t>
      </w:r>
      <w:r w:rsidRPr="00AB36AE">
        <w:rPr>
          <w:sz w:val="18"/>
          <w:szCs w:val="18"/>
          <w:lang w:val="en-US"/>
        </w:rPr>
        <w:t>Medieval Queenship</w:t>
      </w:r>
      <w:r w:rsidR="002A560B" w:rsidRPr="00AB36AE">
        <w:rPr>
          <w:sz w:val="18"/>
          <w:szCs w:val="18"/>
          <w:lang w:val="en-US"/>
        </w:rPr>
        <w:t xml:space="preserve">”, </w:t>
      </w:r>
      <w:r w:rsidRPr="00AB36AE">
        <w:rPr>
          <w:sz w:val="18"/>
          <w:szCs w:val="18"/>
          <w:lang w:val="en-US"/>
        </w:rPr>
        <w:t xml:space="preserve">2.  </w:t>
      </w:r>
    </w:p>
  </w:footnote>
  <w:footnote w:id="257">
    <w:p w14:paraId="51BF80C7" w14:textId="31847F47" w:rsidR="00B817F0" w:rsidRPr="00AB36AE" w:rsidRDefault="00B817F0" w:rsidP="00B817F0">
      <w:pPr>
        <w:pStyle w:val="FootnoteText"/>
        <w:rPr>
          <w:sz w:val="18"/>
          <w:szCs w:val="18"/>
          <w:lang w:val="en-US"/>
        </w:rPr>
      </w:pPr>
      <w:r w:rsidRPr="00AB36AE">
        <w:rPr>
          <w:rStyle w:val="FootnoteReference"/>
          <w:sz w:val="18"/>
          <w:szCs w:val="18"/>
        </w:rPr>
        <w:footnoteRef/>
      </w:r>
      <w:r w:rsidRPr="00AB36AE">
        <w:rPr>
          <w:sz w:val="18"/>
          <w:szCs w:val="18"/>
          <w:lang w:val="en-US"/>
        </w:rPr>
        <w:t xml:space="preserve"> Earenfight, </w:t>
      </w:r>
      <w:r w:rsidR="002A560B" w:rsidRPr="00AB36AE">
        <w:rPr>
          <w:sz w:val="18"/>
          <w:szCs w:val="18"/>
          <w:lang w:val="en-US"/>
        </w:rPr>
        <w:t xml:space="preserve">“Medieval </w:t>
      </w:r>
      <w:r w:rsidRPr="00AB36AE">
        <w:rPr>
          <w:sz w:val="18"/>
          <w:szCs w:val="18"/>
          <w:lang w:val="en-US"/>
        </w:rPr>
        <w:t>Queenship</w:t>
      </w:r>
      <w:r w:rsidR="002A560B" w:rsidRPr="00AB36AE">
        <w:rPr>
          <w:sz w:val="18"/>
          <w:szCs w:val="18"/>
          <w:lang w:val="en-US"/>
        </w:rPr>
        <w:t>”</w:t>
      </w:r>
      <w:r w:rsidR="009E2A7D" w:rsidRPr="00AB36AE">
        <w:rPr>
          <w:sz w:val="18"/>
          <w:szCs w:val="18"/>
          <w:lang w:val="en-US"/>
        </w:rPr>
        <w:t>,</w:t>
      </w:r>
      <w:r w:rsidRPr="00AB36AE">
        <w:rPr>
          <w:sz w:val="18"/>
          <w:szCs w:val="18"/>
          <w:lang w:val="en-US"/>
        </w:rPr>
        <w:t xml:space="preserve"> 2. </w:t>
      </w:r>
    </w:p>
  </w:footnote>
  <w:footnote w:id="258">
    <w:p w14:paraId="3ABC2790" w14:textId="11C4A055" w:rsidR="00B817F0" w:rsidRPr="00AB36AE" w:rsidRDefault="00B817F0" w:rsidP="00B817F0">
      <w:pPr>
        <w:pStyle w:val="FootnoteText"/>
        <w:rPr>
          <w:sz w:val="18"/>
          <w:szCs w:val="18"/>
          <w:lang w:val="en-US"/>
        </w:rPr>
      </w:pPr>
      <w:r w:rsidRPr="00AB36AE">
        <w:rPr>
          <w:rStyle w:val="FootnoteReference"/>
          <w:sz w:val="18"/>
          <w:szCs w:val="18"/>
        </w:rPr>
        <w:footnoteRef/>
      </w:r>
      <w:r w:rsidRPr="00AB36AE">
        <w:rPr>
          <w:sz w:val="18"/>
          <w:szCs w:val="18"/>
          <w:lang w:val="en-US"/>
        </w:rPr>
        <w:t xml:space="preserve"> Napolitano</w:t>
      </w:r>
      <w:r w:rsidR="002A560B" w:rsidRPr="00AB36AE">
        <w:rPr>
          <w:sz w:val="18"/>
          <w:szCs w:val="18"/>
          <w:lang w:val="en-US"/>
        </w:rPr>
        <w:t xml:space="preserve">; </w:t>
      </w:r>
      <w:r w:rsidRPr="00AB36AE">
        <w:rPr>
          <w:sz w:val="18"/>
          <w:szCs w:val="18"/>
          <w:lang w:val="en-US"/>
        </w:rPr>
        <w:t xml:space="preserve">Pennington, </w:t>
      </w:r>
      <w:r w:rsidRPr="00AB36AE">
        <w:rPr>
          <w:i/>
          <w:iCs/>
          <w:sz w:val="18"/>
          <w:szCs w:val="18"/>
          <w:lang w:val="en-US"/>
        </w:rPr>
        <w:t xml:space="preserve">Democracy, </w:t>
      </w:r>
      <w:r w:rsidRPr="00AB36AE">
        <w:rPr>
          <w:sz w:val="18"/>
          <w:szCs w:val="18"/>
          <w:lang w:val="en-US"/>
        </w:rPr>
        <w:t>8</w:t>
      </w:r>
    </w:p>
  </w:footnote>
  <w:footnote w:id="259">
    <w:p w14:paraId="30BF123D" w14:textId="77777777" w:rsidR="00B817F0" w:rsidRPr="00AB36AE" w:rsidRDefault="00B817F0" w:rsidP="00B817F0">
      <w:pPr>
        <w:pStyle w:val="FootnoteText"/>
        <w:rPr>
          <w:sz w:val="18"/>
          <w:szCs w:val="18"/>
          <w:lang w:val="en-US"/>
        </w:rPr>
      </w:pPr>
      <w:r w:rsidRPr="00AB36AE">
        <w:rPr>
          <w:rStyle w:val="FootnoteReference"/>
          <w:sz w:val="18"/>
          <w:szCs w:val="18"/>
        </w:rPr>
        <w:footnoteRef/>
      </w:r>
      <w:r w:rsidRPr="00AB36AE">
        <w:rPr>
          <w:sz w:val="18"/>
          <w:szCs w:val="18"/>
          <w:lang w:val="en-US"/>
        </w:rPr>
        <w:t xml:space="preserve"> Napolitano; Pennington, </w:t>
      </w:r>
      <w:r w:rsidRPr="00AB36AE">
        <w:rPr>
          <w:i/>
          <w:iCs/>
          <w:sz w:val="18"/>
          <w:szCs w:val="18"/>
          <w:lang w:val="en-US"/>
        </w:rPr>
        <w:t xml:space="preserve">Democracy, </w:t>
      </w:r>
      <w:r w:rsidRPr="00AB36AE">
        <w:rPr>
          <w:sz w:val="18"/>
          <w:szCs w:val="18"/>
          <w:lang w:val="en-US"/>
        </w:rPr>
        <w:t xml:space="preserve">11-12. </w:t>
      </w:r>
    </w:p>
  </w:footnote>
  <w:footnote w:id="260">
    <w:p w14:paraId="2D2B8BE6" w14:textId="6F3B4C6B" w:rsidR="00B817F0" w:rsidRPr="00AB36AE" w:rsidRDefault="00B817F0" w:rsidP="00B817F0">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Claude-Ferragu, </w:t>
      </w:r>
      <w:r w:rsidR="00591691" w:rsidRPr="00AB36AE">
        <w:rPr>
          <w:i/>
          <w:iCs/>
          <w:sz w:val="18"/>
          <w:szCs w:val="18"/>
          <w:lang w:val="nl-NL"/>
        </w:rPr>
        <w:t>Q</w:t>
      </w:r>
      <w:r w:rsidRPr="00AB36AE">
        <w:rPr>
          <w:i/>
          <w:iCs/>
          <w:sz w:val="18"/>
          <w:szCs w:val="18"/>
          <w:lang w:val="nl-NL"/>
        </w:rPr>
        <w:t>ueenship</w:t>
      </w:r>
      <w:r w:rsidR="009E2A7D" w:rsidRPr="00AB36AE">
        <w:rPr>
          <w:i/>
          <w:iCs/>
          <w:sz w:val="18"/>
          <w:szCs w:val="18"/>
          <w:lang w:val="nl-NL"/>
        </w:rPr>
        <w:t xml:space="preserve"> in medieval France</w:t>
      </w:r>
      <w:r w:rsidRPr="00AB36AE">
        <w:rPr>
          <w:sz w:val="18"/>
          <w:szCs w:val="18"/>
          <w:lang w:val="nl-NL"/>
        </w:rPr>
        <w:t xml:space="preserve">, 93-94. </w:t>
      </w:r>
    </w:p>
  </w:footnote>
  <w:footnote w:id="261">
    <w:p w14:paraId="7AA2B2F2" w14:textId="6A4D76CC" w:rsidR="00B817F0" w:rsidRPr="00AB36AE" w:rsidRDefault="00B817F0" w:rsidP="00B817F0">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Earenfight, </w:t>
      </w:r>
      <w:r w:rsidR="009E2A7D" w:rsidRPr="00AB36AE">
        <w:rPr>
          <w:sz w:val="18"/>
          <w:szCs w:val="18"/>
          <w:lang w:val="nl-NL"/>
        </w:rPr>
        <w:t>“</w:t>
      </w:r>
      <w:r w:rsidRPr="00AB36AE">
        <w:rPr>
          <w:sz w:val="18"/>
          <w:szCs w:val="18"/>
          <w:lang w:val="nl-NL"/>
        </w:rPr>
        <w:t>Queenship</w:t>
      </w:r>
      <w:r w:rsidR="009E2A7D" w:rsidRPr="00AB36AE">
        <w:rPr>
          <w:sz w:val="18"/>
          <w:szCs w:val="18"/>
          <w:lang w:val="nl-NL"/>
        </w:rPr>
        <w:t>”, 2</w:t>
      </w:r>
      <w:r w:rsidRPr="00AB36AE">
        <w:rPr>
          <w:sz w:val="18"/>
          <w:szCs w:val="18"/>
          <w:lang w:val="nl-NL"/>
        </w:rPr>
        <w:t xml:space="preserve">. </w:t>
      </w:r>
    </w:p>
  </w:footnote>
  <w:footnote w:id="262">
    <w:p w14:paraId="4EB7D730" w14:textId="1228FE69" w:rsidR="00B817F0" w:rsidRPr="00AB36AE" w:rsidRDefault="00B817F0" w:rsidP="00B817F0">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Woodacre, </w:t>
      </w:r>
      <w:r w:rsidR="00A56E06" w:rsidRPr="00AB36AE">
        <w:rPr>
          <w:sz w:val="18"/>
          <w:szCs w:val="18"/>
          <w:lang w:val="nl-NL"/>
        </w:rPr>
        <w:t>“</w:t>
      </w:r>
      <w:r w:rsidRPr="00AB36AE">
        <w:rPr>
          <w:sz w:val="18"/>
          <w:szCs w:val="18"/>
          <w:lang w:val="nl-NL"/>
        </w:rPr>
        <w:t>Joan of Navarre</w:t>
      </w:r>
      <w:r w:rsidR="00A56E06" w:rsidRPr="00AB36AE">
        <w:rPr>
          <w:sz w:val="18"/>
          <w:szCs w:val="18"/>
          <w:lang w:val="nl-NL"/>
        </w:rPr>
        <w:t>”,</w:t>
      </w:r>
      <w:r w:rsidRPr="00AB36AE">
        <w:rPr>
          <w:sz w:val="18"/>
          <w:szCs w:val="18"/>
          <w:lang w:val="nl-NL"/>
        </w:rPr>
        <w:t xml:space="preserve"> 20.</w:t>
      </w:r>
    </w:p>
  </w:footnote>
  <w:footnote w:id="263">
    <w:p w14:paraId="7DC72E37" w14:textId="77E5FF02" w:rsidR="00B817F0" w:rsidRPr="00AB36AE" w:rsidRDefault="00B817F0" w:rsidP="00B817F0">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Woodacre, </w:t>
      </w:r>
      <w:r w:rsidR="00A56E06" w:rsidRPr="00AB36AE">
        <w:rPr>
          <w:sz w:val="18"/>
          <w:szCs w:val="18"/>
          <w:lang w:val="nl-NL"/>
        </w:rPr>
        <w:t>“</w:t>
      </w:r>
      <w:r w:rsidRPr="00AB36AE">
        <w:rPr>
          <w:sz w:val="18"/>
          <w:szCs w:val="18"/>
          <w:lang w:val="nl-NL"/>
        </w:rPr>
        <w:t>Joan of Navarr</w:t>
      </w:r>
      <w:r w:rsidR="00A56E06" w:rsidRPr="00AB36AE">
        <w:rPr>
          <w:sz w:val="18"/>
          <w:szCs w:val="18"/>
          <w:lang w:val="nl-NL"/>
        </w:rPr>
        <w:t>e”</w:t>
      </w:r>
      <w:r w:rsidRPr="00AB36AE">
        <w:rPr>
          <w:sz w:val="18"/>
          <w:szCs w:val="18"/>
          <w:lang w:val="nl-NL"/>
        </w:rPr>
        <w:t xml:space="preserve">, 20. </w:t>
      </w:r>
    </w:p>
  </w:footnote>
  <w:footnote w:id="264">
    <w:p w14:paraId="5D44F5C1" w14:textId="3EF894C2" w:rsidR="00B817F0" w:rsidRPr="00AB36AE" w:rsidRDefault="00B817F0" w:rsidP="00B817F0">
      <w:pPr>
        <w:pStyle w:val="FootnoteText"/>
        <w:rPr>
          <w:sz w:val="18"/>
          <w:szCs w:val="18"/>
          <w:lang w:val="fr-FR"/>
        </w:rPr>
      </w:pPr>
      <w:r w:rsidRPr="00AB36AE">
        <w:rPr>
          <w:rStyle w:val="FootnoteReference"/>
          <w:sz w:val="18"/>
          <w:szCs w:val="18"/>
        </w:rPr>
        <w:footnoteRef/>
      </w:r>
      <w:r w:rsidRPr="00AB36AE">
        <w:rPr>
          <w:sz w:val="18"/>
          <w:szCs w:val="18"/>
          <w:lang w:val="fr-FR"/>
        </w:rPr>
        <w:t xml:space="preserve"> Verkooren, </w:t>
      </w:r>
      <w:r w:rsidRPr="00AB36AE">
        <w:rPr>
          <w:i/>
          <w:iCs/>
          <w:sz w:val="18"/>
          <w:szCs w:val="18"/>
          <w:lang w:val="fr-FR"/>
        </w:rPr>
        <w:t>Chartes originales et vidimées</w:t>
      </w:r>
      <w:r w:rsidRPr="00AB36AE">
        <w:rPr>
          <w:sz w:val="18"/>
          <w:szCs w:val="18"/>
          <w:lang w:val="fr-FR"/>
        </w:rPr>
        <w:t xml:space="preserve">, VII, 79. </w:t>
      </w:r>
    </w:p>
  </w:footnote>
  <w:footnote w:id="265">
    <w:p w14:paraId="626B2844" w14:textId="745BE966" w:rsidR="007C1D3A" w:rsidRPr="00AB36AE" w:rsidRDefault="00B817F0" w:rsidP="00B817F0">
      <w:pPr>
        <w:pStyle w:val="FootnoteText"/>
        <w:rPr>
          <w:sz w:val="18"/>
          <w:szCs w:val="18"/>
        </w:rPr>
      </w:pPr>
      <w:r w:rsidRPr="00AB36AE">
        <w:rPr>
          <w:rStyle w:val="FootnoteReference"/>
          <w:sz w:val="18"/>
          <w:szCs w:val="18"/>
        </w:rPr>
        <w:footnoteRef/>
      </w:r>
      <w:r w:rsidRPr="00AB36AE">
        <w:rPr>
          <w:sz w:val="18"/>
          <w:szCs w:val="18"/>
        </w:rPr>
        <w:t xml:space="preserve"> </w:t>
      </w:r>
      <w:r w:rsidR="007C1D3A" w:rsidRPr="00AB36AE">
        <w:rPr>
          <w:sz w:val="18"/>
          <w:szCs w:val="18"/>
        </w:rPr>
        <w:t xml:space="preserve">De Pizan, </w:t>
      </w:r>
      <w:r w:rsidR="007C1D3A" w:rsidRPr="00AB36AE">
        <w:rPr>
          <w:i/>
          <w:iCs/>
          <w:sz w:val="18"/>
          <w:szCs w:val="18"/>
        </w:rPr>
        <w:t>Livre</w:t>
      </w:r>
      <w:r w:rsidR="0017117F" w:rsidRPr="00AB36AE">
        <w:rPr>
          <w:i/>
          <w:iCs/>
          <w:sz w:val="18"/>
          <w:szCs w:val="18"/>
        </w:rPr>
        <w:t xml:space="preserve"> des trois v</w:t>
      </w:r>
      <w:r w:rsidR="00E67F4F" w:rsidRPr="00AB36AE">
        <w:rPr>
          <w:i/>
          <w:iCs/>
          <w:sz w:val="18"/>
          <w:szCs w:val="18"/>
        </w:rPr>
        <w:t>ertu</w:t>
      </w:r>
      <w:r w:rsidR="0017117F" w:rsidRPr="00AB36AE">
        <w:rPr>
          <w:i/>
          <w:iCs/>
          <w:sz w:val="18"/>
          <w:szCs w:val="18"/>
        </w:rPr>
        <w:t>s</w:t>
      </w:r>
      <w:r w:rsidR="0017117F" w:rsidRPr="00AB36AE">
        <w:rPr>
          <w:sz w:val="18"/>
          <w:szCs w:val="18"/>
        </w:rPr>
        <w:t>, 34</w:t>
      </w:r>
      <w:r w:rsidR="00344AB4" w:rsidRPr="00AB36AE">
        <w:rPr>
          <w:sz w:val="18"/>
          <w:szCs w:val="18"/>
        </w:rPr>
        <w:t>.</w:t>
      </w:r>
    </w:p>
  </w:footnote>
  <w:footnote w:id="266">
    <w:p w14:paraId="1F16A87C" w14:textId="7A24CC98" w:rsidR="00B817F0" w:rsidRPr="00AB36AE" w:rsidRDefault="00B817F0" w:rsidP="00B817F0">
      <w:pPr>
        <w:pStyle w:val="FootnoteText"/>
        <w:rPr>
          <w:sz w:val="18"/>
          <w:szCs w:val="18"/>
          <w:lang w:val="en-US"/>
        </w:rPr>
      </w:pPr>
      <w:r w:rsidRPr="00AB36AE">
        <w:rPr>
          <w:rStyle w:val="FootnoteReference"/>
          <w:sz w:val="18"/>
          <w:szCs w:val="18"/>
        </w:rPr>
        <w:footnoteRef/>
      </w:r>
      <w:r w:rsidRPr="00AB36AE">
        <w:rPr>
          <w:sz w:val="18"/>
          <w:szCs w:val="18"/>
          <w:lang w:val="en-US"/>
        </w:rPr>
        <w:t xml:space="preserve"> Strohm, </w:t>
      </w:r>
      <w:r w:rsidRPr="00AB36AE">
        <w:rPr>
          <w:i/>
          <w:iCs/>
          <w:sz w:val="18"/>
          <w:szCs w:val="18"/>
          <w:lang w:val="en-US"/>
        </w:rPr>
        <w:t>Hochon’s Arrow</w:t>
      </w:r>
      <w:r w:rsidR="00E67F4F" w:rsidRPr="00AB36AE">
        <w:rPr>
          <w:i/>
          <w:iCs/>
          <w:sz w:val="18"/>
          <w:szCs w:val="18"/>
          <w:lang w:val="en-US"/>
        </w:rPr>
        <w:t>,</w:t>
      </w:r>
      <w:r w:rsidRPr="00AB36AE">
        <w:rPr>
          <w:sz w:val="18"/>
          <w:szCs w:val="18"/>
          <w:lang w:val="en-US"/>
        </w:rPr>
        <w:t xml:space="preserve"> 99; Musson, </w:t>
      </w:r>
      <w:r w:rsidR="00E67F4F" w:rsidRPr="00AB36AE">
        <w:rPr>
          <w:sz w:val="18"/>
          <w:szCs w:val="18"/>
          <w:lang w:val="en-US"/>
        </w:rPr>
        <w:t>“</w:t>
      </w:r>
      <w:r w:rsidRPr="00AB36AE">
        <w:rPr>
          <w:sz w:val="18"/>
          <w:szCs w:val="18"/>
          <w:lang w:val="en-US"/>
        </w:rPr>
        <w:t>Queenship, Lordship and Petitioning</w:t>
      </w:r>
      <w:r w:rsidR="00E67F4F" w:rsidRPr="00AB36AE">
        <w:rPr>
          <w:sz w:val="18"/>
          <w:szCs w:val="18"/>
          <w:lang w:val="en-US"/>
        </w:rPr>
        <w:t>”,</w:t>
      </w:r>
      <w:r w:rsidRPr="00AB36AE">
        <w:rPr>
          <w:sz w:val="18"/>
          <w:szCs w:val="18"/>
          <w:lang w:val="en-US"/>
        </w:rPr>
        <w:t>159.</w:t>
      </w:r>
    </w:p>
  </w:footnote>
  <w:footnote w:id="267">
    <w:p w14:paraId="7256F9CF" w14:textId="4E9B71DA" w:rsidR="00613C1F" w:rsidRPr="00AB36AE" w:rsidRDefault="00613C1F" w:rsidP="00613C1F">
      <w:pPr>
        <w:pStyle w:val="FootnoteText"/>
        <w:rPr>
          <w:sz w:val="18"/>
          <w:szCs w:val="18"/>
          <w:lang w:val="en-US"/>
        </w:rPr>
      </w:pPr>
      <w:r w:rsidRPr="00AB36AE">
        <w:rPr>
          <w:rStyle w:val="FootnoteReference"/>
          <w:sz w:val="18"/>
          <w:szCs w:val="18"/>
        </w:rPr>
        <w:footnoteRef/>
      </w:r>
      <w:r w:rsidRPr="00AB36AE">
        <w:rPr>
          <w:sz w:val="18"/>
          <w:szCs w:val="18"/>
          <w:lang w:val="en-US"/>
        </w:rPr>
        <w:t xml:space="preserve"> Strohm, </w:t>
      </w:r>
      <w:r w:rsidRPr="00AB36AE">
        <w:rPr>
          <w:i/>
          <w:iCs/>
          <w:sz w:val="18"/>
          <w:szCs w:val="18"/>
          <w:lang w:val="en-US"/>
        </w:rPr>
        <w:t>Hochon’s Arrow,</w:t>
      </w:r>
      <w:r w:rsidRPr="00AB36AE">
        <w:rPr>
          <w:sz w:val="18"/>
          <w:szCs w:val="18"/>
          <w:lang w:val="en-US"/>
        </w:rPr>
        <w:t xml:space="preserve"> 99; Musson, “Queenship, Lordship and Petitioning”,159-160.</w:t>
      </w:r>
    </w:p>
  </w:footnote>
  <w:footnote w:id="268">
    <w:p w14:paraId="434A4CC7" w14:textId="0FCF8418" w:rsidR="00B817F0" w:rsidRPr="00AB36AE" w:rsidRDefault="00B817F0" w:rsidP="00B817F0">
      <w:pPr>
        <w:pStyle w:val="FootnoteText"/>
        <w:rPr>
          <w:sz w:val="18"/>
          <w:szCs w:val="18"/>
          <w:lang w:val="en-US"/>
        </w:rPr>
      </w:pPr>
      <w:r w:rsidRPr="00AB36AE">
        <w:rPr>
          <w:rStyle w:val="FootnoteReference"/>
          <w:sz w:val="18"/>
          <w:szCs w:val="18"/>
        </w:rPr>
        <w:footnoteRef/>
      </w:r>
      <w:r w:rsidRPr="00AB36AE">
        <w:rPr>
          <w:sz w:val="18"/>
          <w:szCs w:val="18"/>
          <w:lang w:val="en-US"/>
        </w:rPr>
        <w:t xml:space="preserve"> Huneycutt, </w:t>
      </w:r>
      <w:r w:rsidR="00E67F4F" w:rsidRPr="00AB36AE">
        <w:rPr>
          <w:sz w:val="18"/>
          <w:szCs w:val="18"/>
          <w:lang w:val="en-US"/>
        </w:rPr>
        <w:t>“</w:t>
      </w:r>
      <w:r w:rsidRPr="00AB36AE">
        <w:rPr>
          <w:sz w:val="18"/>
          <w:szCs w:val="18"/>
          <w:lang w:val="en-US"/>
        </w:rPr>
        <w:t>Medieval Queenship</w:t>
      </w:r>
      <w:r w:rsidR="00E67F4F" w:rsidRPr="00AB36AE">
        <w:rPr>
          <w:sz w:val="18"/>
          <w:szCs w:val="18"/>
          <w:lang w:val="en-US"/>
        </w:rPr>
        <w:t>”</w:t>
      </w:r>
      <w:r w:rsidRPr="00AB36AE">
        <w:rPr>
          <w:sz w:val="18"/>
          <w:szCs w:val="18"/>
          <w:lang w:val="en-US"/>
        </w:rPr>
        <w:t xml:space="preserve">, 16. </w:t>
      </w:r>
    </w:p>
  </w:footnote>
  <w:footnote w:id="269">
    <w:p w14:paraId="14703CD2" w14:textId="28936889" w:rsidR="00B817F0" w:rsidRPr="00AB36AE" w:rsidRDefault="00B817F0" w:rsidP="00B817F0">
      <w:pPr>
        <w:pStyle w:val="FootnoteText"/>
        <w:rPr>
          <w:i/>
          <w:iCs/>
          <w:sz w:val="18"/>
          <w:szCs w:val="18"/>
        </w:rPr>
      </w:pPr>
      <w:r w:rsidRPr="00AB36AE">
        <w:rPr>
          <w:rStyle w:val="FootnoteReference"/>
          <w:sz w:val="18"/>
          <w:szCs w:val="18"/>
        </w:rPr>
        <w:footnoteRef/>
      </w:r>
      <w:r w:rsidRPr="00AB36AE">
        <w:rPr>
          <w:sz w:val="18"/>
          <w:szCs w:val="18"/>
        </w:rPr>
        <w:t xml:space="preserve"> </w:t>
      </w:r>
      <w:r w:rsidR="00344AB4" w:rsidRPr="00AB36AE">
        <w:rPr>
          <w:sz w:val="18"/>
          <w:szCs w:val="18"/>
          <w:lang w:val="en-US"/>
        </w:rPr>
        <w:t xml:space="preserve">Strohm, </w:t>
      </w:r>
      <w:r w:rsidR="00344AB4" w:rsidRPr="00AB36AE">
        <w:rPr>
          <w:i/>
          <w:iCs/>
          <w:sz w:val="18"/>
          <w:szCs w:val="18"/>
          <w:lang w:val="en-US"/>
        </w:rPr>
        <w:t>Hochon’s Arrow</w:t>
      </w:r>
      <w:r w:rsidR="00A01A2D" w:rsidRPr="00AB36AE">
        <w:rPr>
          <w:i/>
          <w:iCs/>
          <w:sz w:val="18"/>
          <w:szCs w:val="18"/>
          <w:lang w:val="en-US"/>
        </w:rPr>
        <w:t xml:space="preserve"> </w:t>
      </w:r>
      <w:r w:rsidR="00A01A2D" w:rsidRPr="00AB36AE">
        <w:rPr>
          <w:sz w:val="18"/>
          <w:szCs w:val="18"/>
          <w:lang w:val="en-US"/>
        </w:rPr>
        <w:t>95-96</w:t>
      </w:r>
      <w:r w:rsidR="00BD5714" w:rsidRPr="00AB36AE">
        <w:rPr>
          <w:i/>
          <w:iCs/>
          <w:sz w:val="18"/>
          <w:szCs w:val="18"/>
        </w:rPr>
        <w:t xml:space="preserve">, </w:t>
      </w:r>
      <w:r w:rsidRPr="00AB36AE">
        <w:rPr>
          <w:sz w:val="18"/>
          <w:szCs w:val="18"/>
        </w:rPr>
        <w:t xml:space="preserve">Gaude-Ferragu, </w:t>
      </w:r>
      <w:r w:rsidR="00BD5714" w:rsidRPr="00AB36AE">
        <w:rPr>
          <w:i/>
          <w:iCs/>
          <w:sz w:val="18"/>
          <w:szCs w:val="18"/>
          <w:lang w:val="nl-NL"/>
        </w:rPr>
        <w:t xml:space="preserve">Queenship in medieval </w:t>
      </w:r>
      <w:r w:rsidR="001659EC" w:rsidRPr="00AB36AE">
        <w:rPr>
          <w:i/>
          <w:iCs/>
          <w:sz w:val="18"/>
          <w:szCs w:val="18"/>
          <w:lang w:val="nl-NL"/>
        </w:rPr>
        <w:t>France</w:t>
      </w:r>
      <w:r w:rsidR="001659EC" w:rsidRPr="00AB36AE">
        <w:rPr>
          <w:sz w:val="18"/>
          <w:szCs w:val="18"/>
        </w:rPr>
        <w:t>, 92</w:t>
      </w:r>
      <w:r w:rsidR="00BD5714" w:rsidRPr="00AB36AE">
        <w:rPr>
          <w:sz w:val="18"/>
          <w:szCs w:val="18"/>
        </w:rPr>
        <w:t>,</w:t>
      </w:r>
      <w:r w:rsidRPr="00AB36AE">
        <w:rPr>
          <w:sz w:val="18"/>
          <w:szCs w:val="18"/>
        </w:rPr>
        <w:t xml:space="preserve"> 98.</w:t>
      </w:r>
    </w:p>
  </w:footnote>
  <w:footnote w:id="270">
    <w:p w14:paraId="3185ECC6" w14:textId="4A8F8BF1" w:rsidR="001659EC" w:rsidRPr="00AB36AE" w:rsidRDefault="00B817F0" w:rsidP="00B817F0">
      <w:pPr>
        <w:pStyle w:val="FootnoteText"/>
        <w:rPr>
          <w:i/>
          <w:iCs/>
          <w:sz w:val="18"/>
          <w:szCs w:val="18"/>
          <w:shd w:val="clear" w:color="auto" w:fill="C00000"/>
          <w:lang w:val="fr-FR"/>
        </w:rPr>
      </w:pPr>
      <w:r w:rsidRPr="00AB36AE">
        <w:rPr>
          <w:rStyle w:val="FootnoteReference"/>
          <w:sz w:val="18"/>
          <w:szCs w:val="18"/>
        </w:rPr>
        <w:footnoteRef/>
      </w:r>
      <w:r w:rsidRPr="00AB36AE">
        <w:rPr>
          <w:sz w:val="18"/>
          <w:szCs w:val="18"/>
          <w:lang w:val="en-US"/>
        </w:rPr>
        <w:t xml:space="preserve"> </w:t>
      </w:r>
      <w:r w:rsidR="001659EC" w:rsidRPr="00AB36AE">
        <w:rPr>
          <w:sz w:val="18"/>
          <w:szCs w:val="18"/>
          <w:lang w:val="nl-NL"/>
        </w:rPr>
        <w:t>Froissart</w:t>
      </w:r>
      <w:r w:rsidR="001659EC" w:rsidRPr="00AB36AE">
        <w:rPr>
          <w:i/>
          <w:iCs/>
          <w:sz w:val="18"/>
          <w:szCs w:val="18"/>
          <w:lang w:val="nl-NL"/>
        </w:rPr>
        <w:t>, Les Chroniques, vol. 2. 458-462.</w:t>
      </w:r>
    </w:p>
  </w:footnote>
  <w:footnote w:id="271">
    <w:p w14:paraId="3713D414" w14:textId="3C3A8F4B" w:rsidR="00B817F0" w:rsidRPr="00AB36AE" w:rsidRDefault="00B817F0" w:rsidP="00B817F0">
      <w:pPr>
        <w:pStyle w:val="FootnoteText"/>
        <w:rPr>
          <w:sz w:val="18"/>
          <w:szCs w:val="18"/>
          <w:lang w:val="en-US"/>
        </w:rPr>
      </w:pPr>
      <w:r w:rsidRPr="00AB36AE">
        <w:rPr>
          <w:rStyle w:val="FootnoteReference"/>
          <w:sz w:val="18"/>
          <w:szCs w:val="18"/>
        </w:rPr>
        <w:footnoteRef/>
      </w:r>
      <w:r w:rsidRPr="00AB36AE">
        <w:rPr>
          <w:sz w:val="18"/>
          <w:szCs w:val="18"/>
          <w:lang w:val="en-US"/>
        </w:rPr>
        <w:t xml:space="preserve"> Tingle, </w:t>
      </w:r>
      <w:r w:rsidRPr="00AB36AE">
        <w:rPr>
          <w:i/>
          <w:iCs/>
          <w:sz w:val="18"/>
          <w:szCs w:val="18"/>
          <w:lang w:val="en-US"/>
        </w:rPr>
        <w:t>Chaucer’s Queens</w:t>
      </w:r>
      <w:r w:rsidR="00D35984" w:rsidRPr="00AB36AE">
        <w:rPr>
          <w:i/>
          <w:iCs/>
          <w:sz w:val="18"/>
          <w:szCs w:val="18"/>
          <w:lang w:val="en-US"/>
        </w:rPr>
        <w:t xml:space="preserve">, </w:t>
      </w:r>
      <w:r w:rsidRPr="00AB36AE">
        <w:rPr>
          <w:sz w:val="18"/>
          <w:szCs w:val="18"/>
          <w:lang w:val="en-US"/>
        </w:rPr>
        <w:t xml:space="preserve">35-36. </w:t>
      </w:r>
    </w:p>
  </w:footnote>
  <w:footnote w:id="272">
    <w:p w14:paraId="0EBBE5A6" w14:textId="77777777" w:rsidR="00B817F0" w:rsidRPr="00AB36AE" w:rsidRDefault="00B817F0" w:rsidP="00B817F0">
      <w:pPr>
        <w:pStyle w:val="FootnoteText"/>
        <w:rPr>
          <w:sz w:val="18"/>
          <w:szCs w:val="18"/>
          <w:lang w:val="en-US"/>
        </w:rPr>
      </w:pPr>
      <w:r w:rsidRPr="00AB36AE">
        <w:rPr>
          <w:rStyle w:val="FootnoteReference"/>
          <w:sz w:val="18"/>
          <w:szCs w:val="18"/>
        </w:rPr>
        <w:footnoteRef/>
      </w:r>
      <w:r w:rsidRPr="00AB36AE">
        <w:rPr>
          <w:sz w:val="18"/>
          <w:szCs w:val="18"/>
          <w:lang w:val="en-US"/>
        </w:rPr>
        <w:t xml:space="preserve"> Strohm, </w:t>
      </w:r>
      <w:r w:rsidRPr="00AB36AE">
        <w:rPr>
          <w:i/>
          <w:iCs/>
          <w:sz w:val="18"/>
          <w:szCs w:val="18"/>
          <w:lang w:val="en-US"/>
        </w:rPr>
        <w:t>Hochon’s Arrow</w:t>
      </w:r>
      <w:r w:rsidRPr="00AB36AE">
        <w:rPr>
          <w:sz w:val="18"/>
          <w:szCs w:val="18"/>
          <w:lang w:val="en-US"/>
        </w:rPr>
        <w:t xml:space="preserve">, 95. </w:t>
      </w:r>
    </w:p>
  </w:footnote>
  <w:footnote w:id="273">
    <w:p w14:paraId="5668EEC0" w14:textId="4F7FE58F" w:rsidR="005340B8" w:rsidRPr="00AB36AE" w:rsidRDefault="00B817F0" w:rsidP="00B817F0">
      <w:pPr>
        <w:pStyle w:val="FootnoteText"/>
        <w:rPr>
          <w:sz w:val="18"/>
          <w:szCs w:val="18"/>
        </w:rPr>
      </w:pPr>
      <w:r w:rsidRPr="00AB36AE">
        <w:rPr>
          <w:rStyle w:val="FootnoteReference"/>
          <w:sz w:val="18"/>
          <w:szCs w:val="18"/>
        </w:rPr>
        <w:footnoteRef/>
      </w:r>
      <w:r w:rsidRPr="00AB36AE">
        <w:rPr>
          <w:sz w:val="18"/>
          <w:szCs w:val="18"/>
        </w:rPr>
        <w:t xml:space="preserve"> </w:t>
      </w:r>
      <w:r w:rsidR="005340B8" w:rsidRPr="00AB36AE">
        <w:rPr>
          <w:sz w:val="18"/>
          <w:szCs w:val="18"/>
        </w:rPr>
        <w:t xml:space="preserve">Delvaux, </w:t>
      </w:r>
      <w:r w:rsidR="006821A3" w:rsidRPr="00AB36AE">
        <w:rPr>
          <w:sz w:val="18"/>
          <w:szCs w:val="18"/>
        </w:rPr>
        <w:t>“a vostre priere et parole”, 611-</w:t>
      </w:r>
      <w:r w:rsidR="00AF2B8F" w:rsidRPr="00AB36AE">
        <w:rPr>
          <w:sz w:val="18"/>
          <w:szCs w:val="18"/>
        </w:rPr>
        <w:t>614</w:t>
      </w:r>
      <w:r w:rsidR="007432B0">
        <w:rPr>
          <w:sz w:val="18"/>
          <w:szCs w:val="18"/>
        </w:rPr>
        <w:t>.</w:t>
      </w:r>
    </w:p>
  </w:footnote>
  <w:footnote w:id="274">
    <w:p w14:paraId="4529FD31" w14:textId="1958847E" w:rsidR="00C76B1C" w:rsidRPr="00AB36AE" w:rsidRDefault="00B817F0" w:rsidP="00B817F0">
      <w:pPr>
        <w:pStyle w:val="FootnoteText"/>
        <w:rPr>
          <w:i/>
          <w:iCs/>
          <w:sz w:val="18"/>
          <w:szCs w:val="18"/>
          <w:lang w:val="fr-FR"/>
        </w:rPr>
      </w:pPr>
      <w:r w:rsidRPr="00AB36AE">
        <w:rPr>
          <w:rStyle w:val="FootnoteReference"/>
          <w:sz w:val="18"/>
          <w:szCs w:val="18"/>
        </w:rPr>
        <w:footnoteRef/>
      </w:r>
      <w:r w:rsidRPr="00AB36AE">
        <w:rPr>
          <w:sz w:val="18"/>
          <w:szCs w:val="18"/>
          <w:lang w:val="fr-FR"/>
        </w:rPr>
        <w:t xml:space="preserve"> </w:t>
      </w:r>
      <w:r w:rsidR="00161ED8" w:rsidRPr="00AB36AE">
        <w:rPr>
          <w:sz w:val="18"/>
          <w:szCs w:val="18"/>
          <w:lang w:val="fr-FR"/>
        </w:rPr>
        <w:t>Froissart</w:t>
      </w:r>
      <w:r w:rsidR="00161ED8" w:rsidRPr="00AB36AE">
        <w:rPr>
          <w:i/>
          <w:iCs/>
          <w:sz w:val="18"/>
          <w:szCs w:val="18"/>
          <w:lang w:val="fr-FR"/>
        </w:rPr>
        <w:t>, Chroniques</w:t>
      </w:r>
      <w:r w:rsidR="001659EC" w:rsidRPr="00AB36AE">
        <w:rPr>
          <w:i/>
          <w:iCs/>
          <w:sz w:val="18"/>
          <w:szCs w:val="18"/>
          <w:lang w:val="fr-FR"/>
        </w:rPr>
        <w:t xml:space="preserve"> de J. Froissart</w:t>
      </w:r>
      <w:r w:rsidR="00161ED8" w:rsidRPr="00AB36AE">
        <w:rPr>
          <w:sz w:val="18"/>
          <w:szCs w:val="18"/>
          <w:lang w:val="fr-FR"/>
        </w:rPr>
        <w:t xml:space="preserve">, vol. 10, 205-206. </w:t>
      </w:r>
    </w:p>
  </w:footnote>
  <w:footnote w:id="275">
    <w:p w14:paraId="588B4655" w14:textId="789688BF" w:rsidR="00B817F0" w:rsidRPr="00AB36AE" w:rsidRDefault="00B817F0" w:rsidP="00B817F0">
      <w:pPr>
        <w:pStyle w:val="FootnoteText"/>
        <w:rPr>
          <w:sz w:val="18"/>
          <w:szCs w:val="18"/>
          <w:lang w:val="fr-FR"/>
        </w:rPr>
      </w:pPr>
      <w:r w:rsidRPr="00AB36AE">
        <w:rPr>
          <w:rStyle w:val="FootnoteReference"/>
          <w:sz w:val="18"/>
          <w:szCs w:val="18"/>
        </w:rPr>
        <w:footnoteRef/>
      </w:r>
      <w:r w:rsidRPr="00AB36AE">
        <w:rPr>
          <w:sz w:val="18"/>
          <w:szCs w:val="18"/>
          <w:lang w:val="fr-FR"/>
        </w:rPr>
        <w:t xml:space="preserve"> Brandsma, </w:t>
      </w:r>
      <w:r w:rsidR="002C410B" w:rsidRPr="00AB36AE">
        <w:rPr>
          <w:i/>
          <w:iCs/>
          <w:sz w:val="18"/>
          <w:szCs w:val="18"/>
          <w:lang w:val="fr-FR"/>
        </w:rPr>
        <w:t>Tussen twee dynastieën</w:t>
      </w:r>
      <w:r w:rsidR="002C410B" w:rsidRPr="00AB36AE">
        <w:rPr>
          <w:sz w:val="18"/>
          <w:szCs w:val="18"/>
          <w:lang w:val="fr-FR"/>
        </w:rPr>
        <w:t xml:space="preserve">, </w:t>
      </w:r>
      <w:r w:rsidRPr="00AB36AE">
        <w:rPr>
          <w:sz w:val="18"/>
          <w:szCs w:val="18"/>
          <w:lang w:val="fr-FR"/>
        </w:rPr>
        <w:t>59</w:t>
      </w:r>
      <w:r w:rsidR="007432B0">
        <w:rPr>
          <w:sz w:val="18"/>
          <w:szCs w:val="18"/>
          <w:lang w:val="fr-FR"/>
        </w:rPr>
        <w:t>.</w:t>
      </w:r>
    </w:p>
  </w:footnote>
  <w:footnote w:id="276">
    <w:p w14:paraId="41BAD022" w14:textId="6C72A042" w:rsidR="00062FD8" w:rsidRPr="00AB36AE" w:rsidRDefault="00B817F0" w:rsidP="00B817F0">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062FD8" w:rsidRPr="00AB36AE">
        <w:rPr>
          <w:sz w:val="18"/>
          <w:szCs w:val="18"/>
          <w:lang w:val="fr-FR"/>
        </w:rPr>
        <w:t xml:space="preserve">Froissart, </w:t>
      </w:r>
      <w:r w:rsidR="00C76B1C" w:rsidRPr="00AB36AE">
        <w:rPr>
          <w:i/>
          <w:iCs/>
          <w:sz w:val="18"/>
          <w:szCs w:val="18"/>
          <w:lang w:val="fr-FR"/>
        </w:rPr>
        <w:t>Chroniques</w:t>
      </w:r>
      <w:r w:rsidR="001659EC" w:rsidRPr="00AB36AE">
        <w:rPr>
          <w:i/>
          <w:iCs/>
          <w:sz w:val="18"/>
          <w:szCs w:val="18"/>
          <w:lang w:val="fr-FR"/>
        </w:rPr>
        <w:t xml:space="preserve"> de J. Froissart</w:t>
      </w:r>
      <w:r w:rsidR="00C76B1C" w:rsidRPr="00AB36AE">
        <w:rPr>
          <w:sz w:val="18"/>
          <w:szCs w:val="18"/>
          <w:lang w:val="fr-FR"/>
        </w:rPr>
        <w:t>, vol. 11, 309-310</w:t>
      </w:r>
      <w:r w:rsidR="007432B0">
        <w:rPr>
          <w:i/>
          <w:iCs/>
          <w:sz w:val="18"/>
          <w:szCs w:val="18"/>
          <w:lang w:val="fr-FR"/>
        </w:rPr>
        <w:t>.</w:t>
      </w:r>
    </w:p>
  </w:footnote>
  <w:footnote w:id="277">
    <w:p w14:paraId="560FA6DA" w14:textId="583559C6" w:rsidR="00B817F0" w:rsidRPr="00AB36AE" w:rsidRDefault="00B817F0" w:rsidP="00B817F0">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CA7E0E" w:rsidRPr="00AB36AE">
        <w:rPr>
          <w:sz w:val="18"/>
          <w:szCs w:val="18"/>
          <w:lang w:val="en-US"/>
        </w:rPr>
        <w:t>Musson, “Queenship, Lordship and Petitioning”,</w:t>
      </w:r>
      <w:r w:rsidRPr="00AB36AE">
        <w:rPr>
          <w:sz w:val="18"/>
          <w:szCs w:val="18"/>
          <w:lang w:val="fr-FR"/>
        </w:rPr>
        <w:t xml:space="preserve"> 162</w:t>
      </w:r>
      <w:r w:rsidR="00CA7E0E" w:rsidRPr="00AB36AE">
        <w:rPr>
          <w:sz w:val="18"/>
          <w:szCs w:val="18"/>
          <w:lang w:val="fr-FR"/>
        </w:rPr>
        <w:t>.</w:t>
      </w:r>
    </w:p>
  </w:footnote>
  <w:footnote w:id="278">
    <w:p w14:paraId="3180EF5C" w14:textId="11C1E09E" w:rsidR="00B817F0" w:rsidRPr="00AB36AE" w:rsidRDefault="00B817F0" w:rsidP="00B817F0">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CA7E0E" w:rsidRPr="00AB36AE">
        <w:rPr>
          <w:sz w:val="18"/>
          <w:szCs w:val="18"/>
          <w:lang w:val="en-US"/>
        </w:rPr>
        <w:t xml:space="preserve">Musson, “Queenship, Lordship and Petitioning”, </w:t>
      </w:r>
      <w:r w:rsidRPr="00AB36AE">
        <w:rPr>
          <w:sz w:val="18"/>
          <w:szCs w:val="18"/>
          <w:lang w:val="fr-FR"/>
        </w:rPr>
        <w:t xml:space="preserve">161. </w:t>
      </w:r>
    </w:p>
  </w:footnote>
  <w:footnote w:id="279">
    <w:p w14:paraId="3A6B610F" w14:textId="708A8C15" w:rsidR="00B817F0" w:rsidRPr="00AB36AE" w:rsidRDefault="00B817F0" w:rsidP="00B817F0">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CA7E0E" w:rsidRPr="00AB36AE">
        <w:rPr>
          <w:sz w:val="18"/>
          <w:szCs w:val="18"/>
          <w:lang w:val="fr-FR"/>
        </w:rPr>
        <w:t>Pièrard, “Les douaires”</w:t>
      </w:r>
      <w:r w:rsidRPr="00AB36AE">
        <w:rPr>
          <w:sz w:val="18"/>
          <w:szCs w:val="18"/>
          <w:lang w:val="fr-FR"/>
        </w:rPr>
        <w:t xml:space="preserve">, 126. </w:t>
      </w:r>
    </w:p>
  </w:footnote>
  <w:footnote w:id="280">
    <w:p w14:paraId="44773E9C" w14:textId="432FBECF" w:rsidR="00B817F0" w:rsidRPr="00AB36AE" w:rsidRDefault="00B817F0" w:rsidP="00B817F0">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CA7E0E" w:rsidRPr="00AB36AE">
        <w:rPr>
          <w:sz w:val="18"/>
          <w:szCs w:val="18"/>
          <w:lang w:val="fr-FR"/>
        </w:rPr>
        <w:t xml:space="preserve">Verkooren, </w:t>
      </w:r>
      <w:r w:rsidR="00CA7E0E" w:rsidRPr="00AB36AE">
        <w:rPr>
          <w:i/>
          <w:iCs/>
          <w:sz w:val="18"/>
          <w:szCs w:val="18"/>
          <w:lang w:val="fr-FR"/>
        </w:rPr>
        <w:t>Chartes originales et vidimées</w:t>
      </w:r>
      <w:r w:rsidR="00CA7E0E" w:rsidRPr="00AB36AE">
        <w:rPr>
          <w:sz w:val="18"/>
          <w:szCs w:val="18"/>
          <w:lang w:val="fr-FR"/>
        </w:rPr>
        <w:t xml:space="preserve">, VII, </w:t>
      </w:r>
      <w:r w:rsidRPr="00AB36AE">
        <w:rPr>
          <w:sz w:val="18"/>
          <w:szCs w:val="18"/>
          <w:lang w:val="fr-FR"/>
        </w:rPr>
        <w:t xml:space="preserve">195. </w:t>
      </w:r>
    </w:p>
  </w:footnote>
  <w:footnote w:id="281">
    <w:p w14:paraId="749895F0" w14:textId="250C1B4A" w:rsidR="00236D9F" w:rsidRPr="00AB36AE" w:rsidRDefault="00B817F0" w:rsidP="00B817F0">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236D9F" w:rsidRPr="00AB36AE">
        <w:rPr>
          <w:sz w:val="18"/>
          <w:szCs w:val="18"/>
          <w:lang w:val="fr-FR"/>
        </w:rPr>
        <w:t xml:space="preserve">ARAB, </w:t>
      </w:r>
      <w:r w:rsidR="00852CA4" w:rsidRPr="00AB36AE">
        <w:rPr>
          <w:sz w:val="18"/>
          <w:szCs w:val="18"/>
          <w:lang w:val="fr-FR"/>
        </w:rPr>
        <w:t>CC</w:t>
      </w:r>
      <w:r w:rsidR="00236D9F" w:rsidRPr="00AB36AE">
        <w:rPr>
          <w:sz w:val="18"/>
          <w:szCs w:val="18"/>
          <w:lang w:val="fr-FR"/>
        </w:rPr>
        <w:t xml:space="preserve">, </w:t>
      </w:r>
      <w:r w:rsidR="0062031A" w:rsidRPr="00AB36AE">
        <w:rPr>
          <w:sz w:val="18"/>
          <w:szCs w:val="18"/>
          <w:lang w:val="fr-FR"/>
        </w:rPr>
        <w:t xml:space="preserve">nr. </w:t>
      </w:r>
      <w:r w:rsidR="006F4D0D" w:rsidRPr="00AB36AE">
        <w:rPr>
          <w:sz w:val="18"/>
          <w:szCs w:val="18"/>
          <w:lang w:val="fr-FR"/>
        </w:rPr>
        <w:t xml:space="preserve">2365, </w:t>
      </w:r>
      <w:r w:rsidR="00852CA4" w:rsidRPr="00AB36AE">
        <w:rPr>
          <w:sz w:val="18"/>
          <w:szCs w:val="18"/>
          <w:lang w:val="fr-FR"/>
        </w:rPr>
        <w:t xml:space="preserve">fol. 55. </w:t>
      </w:r>
    </w:p>
  </w:footnote>
  <w:footnote w:id="282">
    <w:p w14:paraId="66873986" w14:textId="5B2482CD" w:rsidR="00B817F0" w:rsidRPr="00AB36AE" w:rsidRDefault="00B817F0" w:rsidP="00B817F0">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852CA4" w:rsidRPr="00AB36AE">
        <w:rPr>
          <w:sz w:val="18"/>
          <w:szCs w:val="18"/>
          <w:lang w:val="fr-BE"/>
        </w:rPr>
        <w:t xml:space="preserve">Verkooren, </w:t>
      </w:r>
      <w:r w:rsidR="00852CA4" w:rsidRPr="00AB36AE">
        <w:rPr>
          <w:i/>
          <w:iCs/>
          <w:sz w:val="18"/>
          <w:szCs w:val="18"/>
          <w:lang w:val="fr-BE"/>
        </w:rPr>
        <w:t xml:space="preserve">Inventaire des Chartes et Cartulaires,  </w:t>
      </w:r>
      <w:r w:rsidRPr="00AB36AE">
        <w:rPr>
          <w:sz w:val="18"/>
          <w:szCs w:val="18"/>
          <w:lang w:val="fr-FR"/>
        </w:rPr>
        <w:t>206</w:t>
      </w:r>
      <w:r w:rsidR="00852CA4" w:rsidRPr="00AB36AE">
        <w:rPr>
          <w:sz w:val="18"/>
          <w:szCs w:val="18"/>
          <w:lang w:val="fr-FR"/>
        </w:rPr>
        <w:t>.</w:t>
      </w:r>
    </w:p>
  </w:footnote>
  <w:footnote w:id="283">
    <w:p w14:paraId="6CB6BAF8" w14:textId="22BAC6EB" w:rsidR="00B817F0" w:rsidRPr="00AB36AE" w:rsidRDefault="00B817F0" w:rsidP="00B817F0">
      <w:pPr>
        <w:pStyle w:val="FootnoteText"/>
        <w:rPr>
          <w:sz w:val="18"/>
          <w:szCs w:val="18"/>
        </w:rPr>
      </w:pPr>
      <w:r w:rsidRPr="00AB36AE">
        <w:rPr>
          <w:rStyle w:val="FootnoteReference"/>
          <w:sz w:val="18"/>
          <w:szCs w:val="18"/>
        </w:rPr>
        <w:footnoteRef/>
      </w:r>
      <w:r w:rsidRPr="00AB36AE">
        <w:rPr>
          <w:sz w:val="18"/>
          <w:szCs w:val="18"/>
        </w:rPr>
        <w:t xml:space="preserve"> </w:t>
      </w:r>
      <w:r w:rsidR="00852CA4" w:rsidRPr="00AB36AE">
        <w:rPr>
          <w:sz w:val="18"/>
          <w:szCs w:val="18"/>
          <w:lang w:val="fr-BE"/>
        </w:rPr>
        <w:t xml:space="preserve">Verkooren, </w:t>
      </w:r>
      <w:r w:rsidR="00852CA4" w:rsidRPr="00AB36AE">
        <w:rPr>
          <w:i/>
          <w:iCs/>
          <w:sz w:val="18"/>
          <w:szCs w:val="18"/>
          <w:lang w:val="fr-BE"/>
        </w:rPr>
        <w:t xml:space="preserve">Inventaire des Chartes et Cartulaires,  </w:t>
      </w:r>
      <w:r w:rsidRPr="00AB36AE">
        <w:rPr>
          <w:sz w:val="18"/>
          <w:szCs w:val="18"/>
        </w:rPr>
        <w:t>206</w:t>
      </w:r>
      <w:r w:rsidR="00852CA4" w:rsidRPr="00AB36AE">
        <w:rPr>
          <w:sz w:val="18"/>
          <w:szCs w:val="18"/>
        </w:rPr>
        <w:t>.</w:t>
      </w:r>
    </w:p>
  </w:footnote>
  <w:footnote w:id="284">
    <w:p w14:paraId="7C038275" w14:textId="5C7FAC3D" w:rsidR="00852CA4" w:rsidRPr="00AB36AE" w:rsidRDefault="00B817F0" w:rsidP="00B817F0">
      <w:pPr>
        <w:pStyle w:val="FootnoteText"/>
        <w:rPr>
          <w:sz w:val="18"/>
          <w:szCs w:val="18"/>
        </w:rPr>
      </w:pPr>
      <w:r w:rsidRPr="00AB36AE">
        <w:rPr>
          <w:rStyle w:val="FootnoteReference"/>
          <w:sz w:val="18"/>
          <w:szCs w:val="18"/>
        </w:rPr>
        <w:footnoteRef/>
      </w:r>
      <w:r w:rsidRPr="00AB36AE">
        <w:rPr>
          <w:sz w:val="18"/>
          <w:szCs w:val="18"/>
        </w:rPr>
        <w:t xml:space="preserve"> </w:t>
      </w:r>
      <w:r w:rsidR="00852CA4" w:rsidRPr="00AB36AE">
        <w:rPr>
          <w:sz w:val="18"/>
          <w:szCs w:val="18"/>
        </w:rPr>
        <w:t xml:space="preserve">De Maesschalck, </w:t>
      </w:r>
      <w:r w:rsidR="003426E3" w:rsidRPr="00AB36AE">
        <w:rPr>
          <w:i/>
          <w:sz w:val="18"/>
          <w:szCs w:val="18"/>
        </w:rPr>
        <w:t>De h</w:t>
      </w:r>
      <w:r w:rsidR="00852CA4" w:rsidRPr="00AB36AE">
        <w:rPr>
          <w:i/>
          <w:sz w:val="18"/>
          <w:szCs w:val="18"/>
        </w:rPr>
        <w:t xml:space="preserve">ertogen, </w:t>
      </w:r>
      <w:r w:rsidR="00852CA4" w:rsidRPr="00AB36AE">
        <w:rPr>
          <w:iCs/>
          <w:sz w:val="18"/>
          <w:szCs w:val="18"/>
        </w:rPr>
        <w:t>285-286</w:t>
      </w:r>
      <w:r w:rsidR="007432B0">
        <w:rPr>
          <w:iCs/>
          <w:sz w:val="18"/>
          <w:szCs w:val="18"/>
        </w:rPr>
        <w:t>.</w:t>
      </w:r>
    </w:p>
  </w:footnote>
  <w:footnote w:id="285">
    <w:p w14:paraId="75469926" w14:textId="5D884333" w:rsidR="00B817F0" w:rsidRPr="00AB36AE" w:rsidRDefault="00B817F0" w:rsidP="00B817F0">
      <w:pPr>
        <w:pStyle w:val="FootnoteText"/>
        <w:rPr>
          <w:sz w:val="18"/>
          <w:szCs w:val="18"/>
        </w:rPr>
      </w:pPr>
      <w:r w:rsidRPr="00AB36AE">
        <w:rPr>
          <w:rStyle w:val="FootnoteReference"/>
          <w:sz w:val="18"/>
          <w:szCs w:val="18"/>
        </w:rPr>
        <w:footnoteRef/>
      </w:r>
      <w:r w:rsidRPr="00AB36AE">
        <w:rPr>
          <w:sz w:val="18"/>
          <w:szCs w:val="18"/>
        </w:rPr>
        <w:t xml:space="preserve"> </w:t>
      </w:r>
      <w:r w:rsidR="00852CA4" w:rsidRPr="00AB36AE">
        <w:rPr>
          <w:sz w:val="18"/>
          <w:szCs w:val="18"/>
          <w:lang w:val="en-US"/>
        </w:rPr>
        <w:t>Musson, “Queenship, Lordship and Petitioning”,</w:t>
      </w:r>
      <w:r w:rsidR="00852CA4" w:rsidRPr="00AB36AE">
        <w:rPr>
          <w:sz w:val="18"/>
          <w:szCs w:val="18"/>
          <w:lang w:val="fr-FR"/>
        </w:rPr>
        <w:t xml:space="preserve"> </w:t>
      </w:r>
      <w:r w:rsidRPr="00AB36AE">
        <w:rPr>
          <w:sz w:val="18"/>
          <w:szCs w:val="18"/>
        </w:rPr>
        <w:t>163.</w:t>
      </w:r>
    </w:p>
  </w:footnote>
  <w:footnote w:id="286">
    <w:p w14:paraId="306E4489" w14:textId="651B8071" w:rsidR="00B817F0" w:rsidRPr="00AB36AE" w:rsidRDefault="00B817F0" w:rsidP="00B817F0">
      <w:pPr>
        <w:pStyle w:val="FootnoteText"/>
        <w:rPr>
          <w:sz w:val="18"/>
          <w:szCs w:val="18"/>
        </w:rPr>
      </w:pPr>
      <w:r w:rsidRPr="00AB36AE">
        <w:rPr>
          <w:rStyle w:val="FootnoteReference"/>
          <w:sz w:val="18"/>
          <w:szCs w:val="18"/>
        </w:rPr>
        <w:footnoteRef/>
      </w:r>
      <w:r w:rsidRPr="00AB36AE">
        <w:rPr>
          <w:sz w:val="18"/>
          <w:szCs w:val="18"/>
        </w:rPr>
        <w:t xml:space="preserve"> </w:t>
      </w:r>
      <w:r w:rsidR="00852CA4" w:rsidRPr="00AB36AE">
        <w:rPr>
          <w:sz w:val="18"/>
          <w:szCs w:val="18"/>
          <w:lang w:val="en-US"/>
        </w:rPr>
        <w:t>Musson, “Queenship, Lordship and Petitioning”, 163</w:t>
      </w:r>
      <w:r w:rsidRPr="00AB36AE">
        <w:rPr>
          <w:sz w:val="18"/>
          <w:szCs w:val="18"/>
        </w:rPr>
        <w:t xml:space="preserve">; </w:t>
      </w:r>
      <w:r w:rsidR="00852CA4" w:rsidRPr="00AB36AE">
        <w:rPr>
          <w:sz w:val="18"/>
          <w:szCs w:val="18"/>
          <w:lang w:val="nl-NL"/>
        </w:rPr>
        <w:t xml:space="preserve">Claude-Ferragu, </w:t>
      </w:r>
      <w:r w:rsidR="00852CA4" w:rsidRPr="00AB36AE">
        <w:rPr>
          <w:i/>
          <w:iCs/>
          <w:sz w:val="18"/>
          <w:szCs w:val="18"/>
          <w:lang w:val="nl-NL"/>
        </w:rPr>
        <w:t>Queenship in medieval France</w:t>
      </w:r>
      <w:r w:rsidR="00852CA4" w:rsidRPr="00AB36AE">
        <w:rPr>
          <w:sz w:val="18"/>
          <w:szCs w:val="18"/>
        </w:rPr>
        <w:t xml:space="preserve">, </w:t>
      </w:r>
      <w:r w:rsidRPr="00AB36AE">
        <w:rPr>
          <w:sz w:val="18"/>
          <w:szCs w:val="18"/>
        </w:rPr>
        <w:t>98</w:t>
      </w:r>
      <w:r w:rsidR="00852CA4" w:rsidRPr="00AB36AE">
        <w:rPr>
          <w:sz w:val="18"/>
          <w:szCs w:val="18"/>
        </w:rPr>
        <w:t>.</w:t>
      </w:r>
    </w:p>
  </w:footnote>
  <w:footnote w:id="287">
    <w:p w14:paraId="11480DAB" w14:textId="3EFF1C7A" w:rsidR="00B817F0" w:rsidRPr="00AB36AE" w:rsidRDefault="00B817F0" w:rsidP="00B817F0">
      <w:pPr>
        <w:pStyle w:val="FootnoteText"/>
        <w:rPr>
          <w:sz w:val="18"/>
          <w:szCs w:val="18"/>
        </w:rPr>
      </w:pPr>
      <w:r w:rsidRPr="00AB36AE">
        <w:rPr>
          <w:rStyle w:val="FootnoteReference"/>
          <w:sz w:val="18"/>
          <w:szCs w:val="18"/>
        </w:rPr>
        <w:footnoteRef/>
      </w:r>
      <w:r w:rsidRPr="00AB36AE">
        <w:rPr>
          <w:sz w:val="18"/>
          <w:szCs w:val="18"/>
        </w:rPr>
        <w:t xml:space="preserve"> </w:t>
      </w:r>
      <w:r w:rsidR="00EB6CDD" w:rsidRPr="00AB36AE">
        <w:rPr>
          <w:sz w:val="18"/>
          <w:szCs w:val="18"/>
          <w:lang w:val="fr-FR"/>
        </w:rPr>
        <w:t xml:space="preserve">Devillers, </w:t>
      </w:r>
      <w:r w:rsidR="00EB6CDD" w:rsidRPr="00AB36AE">
        <w:rPr>
          <w:i/>
          <w:iCs/>
          <w:sz w:val="18"/>
          <w:szCs w:val="18"/>
          <w:lang w:val="fr-FR"/>
        </w:rPr>
        <w:t xml:space="preserve">Cartulaire des comtes de Hainaut, </w:t>
      </w:r>
      <w:r w:rsidR="00EB6CDD" w:rsidRPr="00AB36AE">
        <w:rPr>
          <w:sz w:val="18"/>
          <w:szCs w:val="18"/>
          <w:lang w:val="fr-FR"/>
        </w:rPr>
        <w:t>338.</w:t>
      </w:r>
    </w:p>
  </w:footnote>
  <w:footnote w:id="288">
    <w:p w14:paraId="1441210E" w14:textId="6227655B" w:rsidR="00B817F0" w:rsidRPr="00AB36AE" w:rsidRDefault="00B817F0" w:rsidP="00B817F0">
      <w:pPr>
        <w:pStyle w:val="FootnoteText"/>
        <w:rPr>
          <w:sz w:val="18"/>
          <w:szCs w:val="18"/>
        </w:rPr>
      </w:pPr>
      <w:r w:rsidRPr="00AB36AE">
        <w:rPr>
          <w:rStyle w:val="FootnoteReference"/>
          <w:sz w:val="18"/>
          <w:szCs w:val="18"/>
        </w:rPr>
        <w:footnoteRef/>
      </w:r>
      <w:r w:rsidRPr="00AB36AE">
        <w:rPr>
          <w:sz w:val="18"/>
          <w:szCs w:val="18"/>
        </w:rPr>
        <w:t xml:space="preserve"> </w:t>
      </w:r>
      <w:r w:rsidR="00EB6CDD" w:rsidRPr="00AB36AE">
        <w:rPr>
          <w:sz w:val="18"/>
          <w:szCs w:val="18"/>
          <w:lang w:val="fr-FR"/>
        </w:rPr>
        <w:t xml:space="preserve">Verkooren, </w:t>
      </w:r>
      <w:r w:rsidR="00EB6CDD" w:rsidRPr="00AB36AE">
        <w:rPr>
          <w:i/>
          <w:iCs/>
          <w:sz w:val="18"/>
          <w:szCs w:val="18"/>
          <w:lang w:val="fr-FR"/>
        </w:rPr>
        <w:t>Chartes originales et vidimées</w:t>
      </w:r>
      <w:r w:rsidR="00EB6CDD" w:rsidRPr="00AB36AE">
        <w:rPr>
          <w:sz w:val="18"/>
          <w:szCs w:val="18"/>
          <w:lang w:val="fr-FR"/>
        </w:rPr>
        <w:t xml:space="preserve">, VII, 147-148. </w:t>
      </w:r>
    </w:p>
  </w:footnote>
  <w:footnote w:id="289">
    <w:p w14:paraId="219DD7F3" w14:textId="2C332E11" w:rsidR="00B817F0" w:rsidRPr="00AB36AE" w:rsidRDefault="00B817F0" w:rsidP="00B817F0">
      <w:pPr>
        <w:pStyle w:val="FootnoteText"/>
        <w:rPr>
          <w:sz w:val="18"/>
          <w:szCs w:val="18"/>
        </w:rPr>
      </w:pPr>
      <w:r w:rsidRPr="00AB36AE">
        <w:rPr>
          <w:rStyle w:val="FootnoteReference"/>
          <w:sz w:val="18"/>
          <w:szCs w:val="18"/>
        </w:rPr>
        <w:footnoteRef/>
      </w:r>
      <w:r w:rsidRPr="00AB36AE">
        <w:rPr>
          <w:sz w:val="18"/>
          <w:szCs w:val="18"/>
        </w:rPr>
        <w:t xml:space="preserve"> </w:t>
      </w:r>
      <w:r w:rsidR="00EB6CDD" w:rsidRPr="00AB36AE">
        <w:rPr>
          <w:sz w:val="18"/>
          <w:szCs w:val="18"/>
          <w:lang w:val="fr-FR"/>
        </w:rPr>
        <w:t xml:space="preserve">Verkooren, </w:t>
      </w:r>
      <w:r w:rsidR="00EB6CDD" w:rsidRPr="00AB36AE">
        <w:rPr>
          <w:i/>
          <w:iCs/>
          <w:sz w:val="18"/>
          <w:szCs w:val="18"/>
          <w:lang w:val="fr-FR"/>
        </w:rPr>
        <w:t>Chartes originales et vidimées</w:t>
      </w:r>
      <w:r w:rsidR="00EB6CDD" w:rsidRPr="00AB36AE">
        <w:rPr>
          <w:sz w:val="18"/>
          <w:szCs w:val="18"/>
          <w:lang w:val="fr-FR"/>
        </w:rPr>
        <w:t>, VII, 147-148</w:t>
      </w:r>
      <w:r w:rsidRPr="00AB36AE">
        <w:rPr>
          <w:sz w:val="18"/>
          <w:szCs w:val="18"/>
        </w:rPr>
        <w:t xml:space="preserve">. </w:t>
      </w:r>
    </w:p>
  </w:footnote>
  <w:footnote w:id="290">
    <w:p w14:paraId="3F725227" w14:textId="20729B28" w:rsidR="00B817F0" w:rsidRPr="00AB36AE" w:rsidRDefault="00B817F0" w:rsidP="00B817F0">
      <w:pPr>
        <w:pStyle w:val="FootnoteText"/>
        <w:rPr>
          <w:sz w:val="18"/>
          <w:szCs w:val="18"/>
        </w:rPr>
      </w:pPr>
      <w:r w:rsidRPr="00AB36AE">
        <w:rPr>
          <w:rStyle w:val="FootnoteReference"/>
          <w:sz w:val="18"/>
          <w:szCs w:val="18"/>
        </w:rPr>
        <w:footnoteRef/>
      </w:r>
      <w:r w:rsidRPr="00AB36AE">
        <w:rPr>
          <w:sz w:val="18"/>
          <w:szCs w:val="18"/>
        </w:rPr>
        <w:t xml:space="preserve"> </w:t>
      </w:r>
      <w:r w:rsidR="00A07F62" w:rsidRPr="00AB36AE">
        <w:rPr>
          <w:sz w:val="18"/>
          <w:szCs w:val="18"/>
          <w:lang w:val="fr-BE"/>
        </w:rPr>
        <w:t xml:space="preserve">Verkooren, </w:t>
      </w:r>
      <w:r w:rsidR="00A07F62" w:rsidRPr="00AB36AE">
        <w:rPr>
          <w:i/>
          <w:iCs/>
          <w:sz w:val="18"/>
          <w:szCs w:val="18"/>
          <w:lang w:val="fr-BE"/>
        </w:rPr>
        <w:t>Inventaire des Chartes et Cartulaires,</w:t>
      </w:r>
      <w:r w:rsidR="00161ED8" w:rsidRPr="00AB36AE">
        <w:rPr>
          <w:i/>
          <w:iCs/>
          <w:sz w:val="18"/>
          <w:szCs w:val="18"/>
          <w:lang w:val="fr-BE"/>
        </w:rPr>
        <w:t xml:space="preserve"> </w:t>
      </w:r>
      <w:r w:rsidR="00A07F62" w:rsidRPr="00AB36AE">
        <w:rPr>
          <w:sz w:val="18"/>
          <w:szCs w:val="18"/>
          <w:lang w:val="fr-BE"/>
        </w:rPr>
        <w:t>206</w:t>
      </w:r>
      <w:r w:rsidR="00A07F62" w:rsidRPr="00AB36AE">
        <w:rPr>
          <w:sz w:val="18"/>
          <w:szCs w:val="18"/>
        </w:rPr>
        <w:t>;</w:t>
      </w:r>
      <w:r w:rsidR="00161ED8" w:rsidRPr="00AB36AE">
        <w:rPr>
          <w:sz w:val="18"/>
          <w:szCs w:val="18"/>
        </w:rPr>
        <w:t xml:space="preserve"> </w:t>
      </w:r>
      <w:r w:rsidR="00A07F62" w:rsidRPr="00AB36AE">
        <w:rPr>
          <w:sz w:val="18"/>
          <w:szCs w:val="18"/>
          <w:lang w:val="fr-FR"/>
        </w:rPr>
        <w:t xml:space="preserve">Pièrard, “Les douaires”, </w:t>
      </w:r>
      <w:r w:rsidRPr="00AB36AE">
        <w:rPr>
          <w:sz w:val="18"/>
          <w:szCs w:val="18"/>
        </w:rPr>
        <w:t xml:space="preserve">126. </w:t>
      </w:r>
    </w:p>
  </w:footnote>
  <w:footnote w:id="291">
    <w:p w14:paraId="1FC689F2" w14:textId="0C18B6D7" w:rsidR="00B817F0" w:rsidRPr="00AB36AE" w:rsidRDefault="00B817F0" w:rsidP="00B817F0">
      <w:pPr>
        <w:pStyle w:val="FootnoteText"/>
        <w:rPr>
          <w:sz w:val="18"/>
          <w:szCs w:val="18"/>
          <w:lang w:val="en-US"/>
        </w:rPr>
      </w:pPr>
      <w:r w:rsidRPr="00AB36AE">
        <w:rPr>
          <w:rStyle w:val="FootnoteReference"/>
          <w:sz w:val="18"/>
          <w:szCs w:val="18"/>
        </w:rPr>
        <w:footnoteRef/>
      </w:r>
      <w:r w:rsidRPr="00AB36AE">
        <w:rPr>
          <w:sz w:val="18"/>
          <w:szCs w:val="18"/>
          <w:lang w:val="en-US"/>
        </w:rPr>
        <w:t xml:space="preserve"> </w:t>
      </w:r>
      <w:r w:rsidR="00A07F62" w:rsidRPr="00AB36AE">
        <w:rPr>
          <w:sz w:val="18"/>
          <w:szCs w:val="18"/>
          <w:lang w:val="fr-BE"/>
        </w:rPr>
        <w:t xml:space="preserve">Verkooren, </w:t>
      </w:r>
      <w:r w:rsidR="00A07F62" w:rsidRPr="00AB36AE">
        <w:rPr>
          <w:i/>
          <w:iCs/>
          <w:sz w:val="18"/>
          <w:szCs w:val="18"/>
          <w:lang w:val="fr-BE"/>
        </w:rPr>
        <w:t>Inventaire des Chartes et Cartulaires</w:t>
      </w:r>
      <w:r w:rsidRPr="00AB36AE">
        <w:rPr>
          <w:sz w:val="18"/>
          <w:szCs w:val="18"/>
          <w:lang w:val="en-US"/>
        </w:rPr>
        <w:t>, 205-06</w:t>
      </w:r>
      <w:r w:rsidR="00A07F62" w:rsidRPr="00AB36AE">
        <w:rPr>
          <w:sz w:val="18"/>
          <w:szCs w:val="18"/>
          <w:lang w:val="en-US"/>
        </w:rPr>
        <w:t xml:space="preserve">. </w:t>
      </w:r>
    </w:p>
  </w:footnote>
  <w:footnote w:id="292">
    <w:p w14:paraId="1EA6D259" w14:textId="2733A018" w:rsidR="00B817F0" w:rsidRPr="00AB36AE" w:rsidRDefault="00B817F0" w:rsidP="00B817F0">
      <w:pPr>
        <w:pStyle w:val="FootnoteText"/>
        <w:rPr>
          <w:sz w:val="18"/>
          <w:szCs w:val="18"/>
          <w:lang w:val="en-US"/>
        </w:rPr>
      </w:pPr>
      <w:r w:rsidRPr="00AB36AE">
        <w:rPr>
          <w:rStyle w:val="FootnoteReference"/>
          <w:sz w:val="18"/>
          <w:szCs w:val="18"/>
        </w:rPr>
        <w:footnoteRef/>
      </w:r>
      <w:r w:rsidRPr="00AB36AE">
        <w:rPr>
          <w:sz w:val="18"/>
          <w:szCs w:val="18"/>
          <w:lang w:val="en-US"/>
        </w:rPr>
        <w:t xml:space="preserve"> </w:t>
      </w:r>
      <w:r w:rsidR="00A07F62" w:rsidRPr="00AB36AE">
        <w:rPr>
          <w:sz w:val="18"/>
          <w:szCs w:val="18"/>
          <w:lang w:val="fr-BE"/>
        </w:rPr>
        <w:t xml:space="preserve">Verkooren, </w:t>
      </w:r>
      <w:r w:rsidR="00A07F62" w:rsidRPr="00AB36AE">
        <w:rPr>
          <w:i/>
          <w:iCs/>
          <w:sz w:val="18"/>
          <w:szCs w:val="18"/>
          <w:lang w:val="fr-BE"/>
        </w:rPr>
        <w:t>Inventaire des Chartes et Cartulaires</w:t>
      </w:r>
      <w:r w:rsidR="00A07F62" w:rsidRPr="00AB36AE">
        <w:rPr>
          <w:sz w:val="18"/>
          <w:szCs w:val="18"/>
          <w:lang w:val="en-US"/>
        </w:rPr>
        <w:t>, 205-06.</w:t>
      </w:r>
    </w:p>
  </w:footnote>
  <w:footnote w:id="293">
    <w:p w14:paraId="452607A4" w14:textId="77777777" w:rsidR="001A3EA0" w:rsidRPr="00AB36AE" w:rsidRDefault="001A3EA0" w:rsidP="001A3EA0">
      <w:pPr>
        <w:pStyle w:val="FootnoteText"/>
        <w:rPr>
          <w:sz w:val="18"/>
          <w:szCs w:val="18"/>
          <w:lang w:val="en-US"/>
        </w:rPr>
      </w:pPr>
      <w:r w:rsidRPr="00AB36AE">
        <w:rPr>
          <w:rStyle w:val="FootnoteReference"/>
          <w:sz w:val="18"/>
          <w:szCs w:val="18"/>
        </w:rPr>
        <w:footnoteRef/>
      </w:r>
      <w:r w:rsidRPr="00AB36AE">
        <w:rPr>
          <w:sz w:val="18"/>
          <w:szCs w:val="18"/>
          <w:lang w:val="en-US"/>
        </w:rPr>
        <w:t xml:space="preserve"> </w:t>
      </w:r>
      <w:r w:rsidRPr="00AB36AE">
        <w:rPr>
          <w:sz w:val="18"/>
          <w:szCs w:val="18"/>
          <w:lang w:val="fr-BE"/>
        </w:rPr>
        <w:t xml:space="preserve">Verkooren, </w:t>
      </w:r>
      <w:r w:rsidRPr="00AB36AE">
        <w:rPr>
          <w:i/>
          <w:iCs/>
          <w:sz w:val="18"/>
          <w:szCs w:val="18"/>
          <w:lang w:val="fr-BE"/>
        </w:rPr>
        <w:t>Inventaire des Chartes et Cartulaires</w:t>
      </w:r>
      <w:r w:rsidRPr="00AB36AE">
        <w:rPr>
          <w:sz w:val="18"/>
          <w:szCs w:val="18"/>
          <w:lang w:val="en-US"/>
        </w:rPr>
        <w:t xml:space="preserve">, 205-06. </w:t>
      </w:r>
    </w:p>
  </w:footnote>
  <w:footnote w:id="294">
    <w:p w14:paraId="429C4AD7" w14:textId="7D360E38" w:rsidR="001D1801" w:rsidRPr="00AB36AE" w:rsidRDefault="001D1801">
      <w:pPr>
        <w:pStyle w:val="FootnoteText"/>
        <w:rPr>
          <w:sz w:val="18"/>
          <w:szCs w:val="18"/>
          <w:lang w:val="en-US"/>
        </w:rPr>
      </w:pPr>
      <w:r w:rsidRPr="00AB36AE">
        <w:rPr>
          <w:rStyle w:val="FootnoteReference"/>
          <w:sz w:val="18"/>
          <w:szCs w:val="18"/>
        </w:rPr>
        <w:footnoteRef/>
      </w:r>
      <w:r w:rsidRPr="00AB36AE">
        <w:rPr>
          <w:sz w:val="18"/>
          <w:szCs w:val="18"/>
        </w:rPr>
        <w:t xml:space="preserve"> </w:t>
      </w:r>
      <w:r w:rsidR="00382521" w:rsidRPr="00AB36AE">
        <w:rPr>
          <w:sz w:val="18"/>
          <w:szCs w:val="18"/>
          <w:lang w:val="en-US"/>
        </w:rPr>
        <w:t>Fan</w:t>
      </w:r>
      <w:r w:rsidR="00170984" w:rsidRPr="00AB36AE">
        <w:rPr>
          <w:sz w:val="18"/>
          <w:szCs w:val="18"/>
          <w:lang w:val="en-US"/>
        </w:rPr>
        <w:t xml:space="preserve">tysová-matėjkovā, </w:t>
      </w:r>
      <w:r w:rsidR="00170984" w:rsidRPr="00AB36AE">
        <w:rPr>
          <w:i/>
          <w:iCs/>
          <w:sz w:val="18"/>
          <w:szCs w:val="18"/>
          <w:lang w:val="en-US"/>
        </w:rPr>
        <w:t>Wenceslas</w:t>
      </w:r>
      <w:r w:rsidR="00170984" w:rsidRPr="00AB36AE">
        <w:rPr>
          <w:sz w:val="18"/>
          <w:szCs w:val="18"/>
          <w:lang w:val="en-US"/>
        </w:rPr>
        <w:t xml:space="preserve">, </w:t>
      </w:r>
      <w:r w:rsidR="0074119A" w:rsidRPr="00AB36AE">
        <w:rPr>
          <w:sz w:val="18"/>
          <w:szCs w:val="18"/>
          <w:lang w:val="en-US"/>
        </w:rPr>
        <w:t>609-613</w:t>
      </w:r>
      <w:r w:rsidR="007D2C5E" w:rsidRPr="00AB36AE">
        <w:rPr>
          <w:sz w:val="18"/>
          <w:szCs w:val="18"/>
          <w:lang w:val="en-US"/>
        </w:rPr>
        <w:t>, 616-617.</w:t>
      </w:r>
    </w:p>
  </w:footnote>
  <w:footnote w:id="295">
    <w:p w14:paraId="093AEF46" w14:textId="6C1914CA" w:rsidR="003B2D9F" w:rsidRPr="00AB36AE" w:rsidRDefault="003B2D9F">
      <w:pPr>
        <w:pStyle w:val="FootnoteText"/>
        <w:rPr>
          <w:sz w:val="18"/>
          <w:szCs w:val="18"/>
          <w:lang w:val="en-US"/>
        </w:rPr>
      </w:pPr>
      <w:r w:rsidRPr="00AB36AE">
        <w:rPr>
          <w:rStyle w:val="FootnoteReference"/>
          <w:sz w:val="18"/>
          <w:szCs w:val="18"/>
        </w:rPr>
        <w:footnoteRef/>
      </w:r>
      <w:r w:rsidRPr="00AB36AE">
        <w:rPr>
          <w:sz w:val="18"/>
          <w:szCs w:val="18"/>
        </w:rPr>
        <w:t xml:space="preserve"> </w:t>
      </w:r>
      <w:r w:rsidRPr="00AB36AE">
        <w:rPr>
          <w:sz w:val="18"/>
          <w:szCs w:val="18"/>
          <w:lang w:val="en-US"/>
        </w:rPr>
        <w:t xml:space="preserve">Fantysová-matėjkovā, </w:t>
      </w:r>
      <w:r w:rsidRPr="00AB36AE">
        <w:rPr>
          <w:i/>
          <w:iCs/>
          <w:sz w:val="18"/>
          <w:szCs w:val="18"/>
          <w:lang w:val="en-US"/>
        </w:rPr>
        <w:t>Wenceslas</w:t>
      </w:r>
      <w:r w:rsidRPr="00AB36AE">
        <w:rPr>
          <w:sz w:val="18"/>
          <w:szCs w:val="18"/>
          <w:lang w:val="en-US"/>
        </w:rPr>
        <w:t>, 464-</w:t>
      </w:r>
      <w:r w:rsidR="009461FA" w:rsidRPr="00AB36AE">
        <w:rPr>
          <w:sz w:val="18"/>
          <w:szCs w:val="18"/>
          <w:lang w:val="en-US"/>
        </w:rPr>
        <w:t>466</w:t>
      </w:r>
      <w:r w:rsidR="00E514BF" w:rsidRPr="00AB36AE">
        <w:rPr>
          <w:sz w:val="18"/>
          <w:szCs w:val="18"/>
          <w:lang w:val="en-US"/>
        </w:rPr>
        <w:t>.</w:t>
      </w:r>
    </w:p>
  </w:footnote>
  <w:footnote w:id="296">
    <w:p w14:paraId="51589D28" w14:textId="18DC9513" w:rsidR="001D1801" w:rsidRPr="00AB36AE" w:rsidRDefault="001D1801" w:rsidP="001D1801">
      <w:pPr>
        <w:pStyle w:val="FootnoteText"/>
        <w:rPr>
          <w:sz w:val="18"/>
          <w:szCs w:val="18"/>
          <w:lang w:val="en-BE"/>
        </w:rPr>
      </w:pPr>
      <w:r w:rsidRPr="00AB36AE">
        <w:rPr>
          <w:rStyle w:val="FootnoteReference"/>
          <w:sz w:val="18"/>
          <w:szCs w:val="18"/>
        </w:rPr>
        <w:footnoteRef/>
      </w:r>
      <w:r w:rsidRPr="00AB36AE">
        <w:rPr>
          <w:sz w:val="18"/>
          <w:szCs w:val="18"/>
          <w:lang w:val="en-US"/>
        </w:rPr>
        <w:t xml:space="preserve"> </w:t>
      </w:r>
      <w:r w:rsidR="006B0BBE" w:rsidRPr="00AB36AE">
        <w:rPr>
          <w:sz w:val="18"/>
          <w:szCs w:val="18"/>
          <w:lang w:val="fr-FR"/>
        </w:rPr>
        <w:t xml:space="preserve">ARAB, CC, nr. </w:t>
      </w:r>
      <w:r w:rsidR="006B0BBE" w:rsidRPr="00AB36AE">
        <w:rPr>
          <w:sz w:val="18"/>
          <w:szCs w:val="18"/>
          <w:lang w:val="en-BE"/>
        </w:rPr>
        <w:t>2363</w:t>
      </w:r>
      <w:r w:rsidR="006B0BBE" w:rsidRPr="00AB36AE">
        <w:rPr>
          <w:sz w:val="18"/>
          <w:szCs w:val="18"/>
          <w:lang w:val="fr-FR"/>
        </w:rPr>
        <w:t>, fol. 94.</w:t>
      </w:r>
    </w:p>
  </w:footnote>
  <w:footnote w:id="297">
    <w:p w14:paraId="4F91DFF2" w14:textId="0CE68FFB" w:rsidR="001D1801" w:rsidRPr="00AB36AE" w:rsidRDefault="001D1801" w:rsidP="001D1801">
      <w:pPr>
        <w:pStyle w:val="FootnoteText"/>
        <w:rPr>
          <w:sz w:val="18"/>
          <w:szCs w:val="18"/>
          <w:lang w:val="en-US"/>
        </w:rPr>
      </w:pPr>
      <w:r w:rsidRPr="00AB36AE">
        <w:rPr>
          <w:rStyle w:val="FootnoteReference"/>
          <w:sz w:val="18"/>
          <w:szCs w:val="18"/>
        </w:rPr>
        <w:footnoteRef/>
      </w:r>
      <w:r w:rsidRPr="00AB36AE">
        <w:rPr>
          <w:sz w:val="18"/>
          <w:szCs w:val="18"/>
          <w:lang w:val="en-US"/>
        </w:rPr>
        <w:t xml:space="preserve"> </w:t>
      </w:r>
      <w:r w:rsidR="006B0BBE" w:rsidRPr="00AB36AE">
        <w:rPr>
          <w:sz w:val="18"/>
          <w:szCs w:val="18"/>
          <w:lang w:val="fr-FR"/>
        </w:rPr>
        <w:t xml:space="preserve">ARAB, CC, nr. </w:t>
      </w:r>
      <w:r w:rsidR="006B0BBE" w:rsidRPr="00AB36AE">
        <w:rPr>
          <w:sz w:val="18"/>
          <w:szCs w:val="18"/>
          <w:lang w:val="en-BE"/>
        </w:rPr>
        <w:t>2363</w:t>
      </w:r>
      <w:r w:rsidR="006B0BBE" w:rsidRPr="00AB36AE">
        <w:rPr>
          <w:sz w:val="18"/>
          <w:szCs w:val="18"/>
          <w:lang w:val="fr-FR"/>
        </w:rPr>
        <w:t>, fol.</w:t>
      </w:r>
      <w:r w:rsidR="006B0BBE" w:rsidRPr="00AB36AE">
        <w:rPr>
          <w:sz w:val="18"/>
          <w:szCs w:val="18"/>
        </w:rPr>
        <w:t xml:space="preserve">61. </w:t>
      </w:r>
    </w:p>
  </w:footnote>
  <w:footnote w:id="298">
    <w:p w14:paraId="6972E759" w14:textId="51DB2041" w:rsidR="00F900D8" w:rsidRPr="00AB36AE" w:rsidRDefault="001D1801" w:rsidP="001D1801">
      <w:pPr>
        <w:pStyle w:val="FootnoteText"/>
        <w:rPr>
          <w:sz w:val="18"/>
          <w:szCs w:val="18"/>
        </w:rPr>
      </w:pPr>
      <w:r w:rsidRPr="00AB36AE">
        <w:rPr>
          <w:rStyle w:val="FootnoteReference"/>
          <w:sz w:val="18"/>
          <w:szCs w:val="18"/>
        </w:rPr>
        <w:footnoteRef/>
      </w:r>
      <w:r w:rsidRPr="00AB36AE">
        <w:rPr>
          <w:sz w:val="18"/>
          <w:szCs w:val="18"/>
        </w:rPr>
        <w:t xml:space="preserve"> </w:t>
      </w:r>
      <w:r w:rsidR="00F900D8" w:rsidRPr="00AB36AE">
        <w:rPr>
          <w:sz w:val="18"/>
          <w:szCs w:val="18"/>
        </w:rPr>
        <w:t xml:space="preserve">Stein, “Vreemde vorsten op de troon”, 159. </w:t>
      </w:r>
    </w:p>
  </w:footnote>
  <w:footnote w:id="299">
    <w:p w14:paraId="5468C78A" w14:textId="326B7486" w:rsidR="001D1801" w:rsidRPr="00AB36AE" w:rsidRDefault="001D1801" w:rsidP="001D1801">
      <w:pPr>
        <w:pStyle w:val="FootnoteText"/>
        <w:rPr>
          <w:sz w:val="18"/>
          <w:szCs w:val="18"/>
        </w:rPr>
      </w:pPr>
      <w:r w:rsidRPr="00AB36AE">
        <w:rPr>
          <w:rStyle w:val="FootnoteReference"/>
          <w:sz w:val="18"/>
          <w:szCs w:val="18"/>
        </w:rPr>
        <w:footnoteRef/>
      </w:r>
      <w:r w:rsidRPr="00AB36AE">
        <w:rPr>
          <w:sz w:val="18"/>
          <w:szCs w:val="18"/>
        </w:rPr>
        <w:t xml:space="preserve"> </w:t>
      </w:r>
      <w:r w:rsidR="00F900D8" w:rsidRPr="00AB36AE">
        <w:rPr>
          <w:sz w:val="18"/>
          <w:szCs w:val="18"/>
        </w:rPr>
        <w:t xml:space="preserve">Stein, “Vreemde vorsten op de troon”, 159. </w:t>
      </w:r>
      <w:r w:rsidRPr="00AB36AE">
        <w:rPr>
          <w:sz w:val="18"/>
          <w:szCs w:val="18"/>
        </w:rPr>
        <w:t xml:space="preserve"> </w:t>
      </w:r>
    </w:p>
  </w:footnote>
  <w:footnote w:id="300">
    <w:p w14:paraId="52BBE69A" w14:textId="6F311E8E" w:rsidR="001D1801" w:rsidRPr="00AB36AE" w:rsidRDefault="001D1801" w:rsidP="001D1801">
      <w:pPr>
        <w:pStyle w:val="FootnoteText"/>
        <w:rPr>
          <w:sz w:val="18"/>
          <w:szCs w:val="18"/>
        </w:rPr>
      </w:pPr>
      <w:r w:rsidRPr="00AB36AE">
        <w:rPr>
          <w:rStyle w:val="FootnoteReference"/>
          <w:sz w:val="18"/>
          <w:szCs w:val="18"/>
        </w:rPr>
        <w:footnoteRef/>
      </w:r>
      <w:r w:rsidRPr="00AB36AE">
        <w:rPr>
          <w:sz w:val="18"/>
          <w:szCs w:val="18"/>
        </w:rPr>
        <w:t xml:space="preserve"> </w:t>
      </w:r>
      <w:r w:rsidR="006B0BBE" w:rsidRPr="00AB36AE">
        <w:rPr>
          <w:sz w:val="18"/>
          <w:szCs w:val="18"/>
          <w:lang w:val="fr-FR"/>
        </w:rPr>
        <w:t xml:space="preserve">ARAB, CC, nr. </w:t>
      </w:r>
      <w:r w:rsidR="006B0BBE" w:rsidRPr="00AB36AE">
        <w:rPr>
          <w:sz w:val="18"/>
          <w:szCs w:val="18"/>
          <w:lang w:val="en-BE"/>
        </w:rPr>
        <w:t>2363</w:t>
      </w:r>
      <w:r w:rsidR="006B0BBE" w:rsidRPr="00AB36AE">
        <w:rPr>
          <w:sz w:val="18"/>
          <w:szCs w:val="18"/>
          <w:lang w:val="fr-FR"/>
        </w:rPr>
        <w:t>, fol.</w:t>
      </w:r>
      <w:r w:rsidRPr="00AB36AE">
        <w:rPr>
          <w:sz w:val="18"/>
          <w:szCs w:val="18"/>
        </w:rPr>
        <w:t>73</w:t>
      </w:r>
      <w:r w:rsidR="007432B0">
        <w:rPr>
          <w:sz w:val="18"/>
          <w:szCs w:val="18"/>
        </w:rPr>
        <w:t>.</w:t>
      </w:r>
    </w:p>
  </w:footnote>
  <w:footnote w:id="301">
    <w:p w14:paraId="20813DBB" w14:textId="040CC661" w:rsidR="00F900D8" w:rsidRPr="00AB36AE" w:rsidRDefault="001D1801" w:rsidP="001D1801">
      <w:pPr>
        <w:pStyle w:val="FootnoteText"/>
        <w:rPr>
          <w:sz w:val="18"/>
          <w:szCs w:val="18"/>
        </w:rPr>
      </w:pPr>
      <w:r w:rsidRPr="00AB36AE">
        <w:rPr>
          <w:rStyle w:val="FootnoteReference"/>
          <w:sz w:val="18"/>
          <w:szCs w:val="18"/>
        </w:rPr>
        <w:footnoteRef/>
      </w:r>
      <w:r w:rsidRPr="00AB36AE">
        <w:rPr>
          <w:sz w:val="18"/>
          <w:szCs w:val="18"/>
        </w:rPr>
        <w:t xml:space="preserve"> </w:t>
      </w:r>
      <w:r w:rsidR="00F900D8" w:rsidRPr="00AB36AE">
        <w:rPr>
          <w:sz w:val="18"/>
          <w:szCs w:val="18"/>
          <w:lang w:val="fr-FR"/>
        </w:rPr>
        <w:t xml:space="preserve">ARAB, CC, nr. </w:t>
      </w:r>
      <w:r w:rsidR="00F900D8" w:rsidRPr="00AB36AE">
        <w:rPr>
          <w:sz w:val="18"/>
          <w:szCs w:val="18"/>
          <w:lang w:val="en-BE"/>
        </w:rPr>
        <w:t>2365</w:t>
      </w:r>
      <w:r w:rsidR="00F900D8" w:rsidRPr="00AB36AE">
        <w:rPr>
          <w:sz w:val="18"/>
          <w:szCs w:val="18"/>
          <w:lang w:val="fr-FR"/>
        </w:rPr>
        <w:t>, fol.</w:t>
      </w:r>
      <w:r w:rsidR="0002134B" w:rsidRPr="00AB36AE">
        <w:rPr>
          <w:sz w:val="18"/>
          <w:szCs w:val="18"/>
          <w:lang w:val="fr-FR"/>
        </w:rPr>
        <w:t>56</w:t>
      </w:r>
      <w:r w:rsidR="00F900D8" w:rsidRPr="00AB36AE">
        <w:rPr>
          <w:sz w:val="18"/>
          <w:szCs w:val="18"/>
          <w:lang w:val="fr-FR"/>
        </w:rPr>
        <w:t>.</w:t>
      </w:r>
    </w:p>
  </w:footnote>
  <w:footnote w:id="302">
    <w:p w14:paraId="16E666BC" w14:textId="6438861F" w:rsidR="001D1801" w:rsidRPr="00AB36AE" w:rsidRDefault="001D1801" w:rsidP="001D1801">
      <w:pPr>
        <w:pStyle w:val="FootnoteText"/>
        <w:rPr>
          <w:sz w:val="18"/>
          <w:szCs w:val="18"/>
        </w:rPr>
      </w:pPr>
      <w:r w:rsidRPr="00AB36AE">
        <w:rPr>
          <w:rStyle w:val="FootnoteReference"/>
          <w:sz w:val="18"/>
          <w:szCs w:val="18"/>
        </w:rPr>
        <w:footnoteRef/>
      </w:r>
      <w:r w:rsidRPr="00AB36AE">
        <w:rPr>
          <w:sz w:val="18"/>
          <w:szCs w:val="18"/>
        </w:rPr>
        <w:t xml:space="preserve"> </w:t>
      </w:r>
      <w:r w:rsidR="00005F36" w:rsidRPr="00AB36AE">
        <w:rPr>
          <w:sz w:val="18"/>
          <w:szCs w:val="18"/>
          <w:lang w:val="fr-FR"/>
        </w:rPr>
        <w:t xml:space="preserve">ARAB, CC, nr. </w:t>
      </w:r>
      <w:r w:rsidR="00005F36" w:rsidRPr="00AB36AE">
        <w:rPr>
          <w:sz w:val="18"/>
          <w:szCs w:val="18"/>
          <w:lang w:val="en-BE"/>
        </w:rPr>
        <w:t>2365</w:t>
      </w:r>
      <w:r w:rsidR="00005F36" w:rsidRPr="00AB36AE">
        <w:rPr>
          <w:sz w:val="18"/>
          <w:szCs w:val="18"/>
          <w:lang w:val="fr-FR"/>
        </w:rPr>
        <w:t>, fol.56.</w:t>
      </w:r>
    </w:p>
  </w:footnote>
  <w:footnote w:id="303">
    <w:p w14:paraId="717288FF" w14:textId="77777777" w:rsidR="00BF7C21" w:rsidRPr="00AB36AE" w:rsidRDefault="00BF7C21" w:rsidP="00BF7C21">
      <w:pPr>
        <w:pStyle w:val="FootnoteText"/>
        <w:rPr>
          <w:sz w:val="18"/>
          <w:szCs w:val="18"/>
        </w:rPr>
      </w:pPr>
      <w:r w:rsidRPr="00AB36AE">
        <w:rPr>
          <w:rStyle w:val="FootnoteReference"/>
          <w:sz w:val="18"/>
          <w:szCs w:val="18"/>
        </w:rPr>
        <w:footnoteRef/>
      </w:r>
      <w:r w:rsidRPr="00AB36AE">
        <w:rPr>
          <w:sz w:val="18"/>
          <w:szCs w:val="18"/>
        </w:rPr>
        <w:t xml:space="preserve"> </w:t>
      </w:r>
      <w:r w:rsidRPr="00AB36AE">
        <w:rPr>
          <w:sz w:val="18"/>
          <w:szCs w:val="18"/>
          <w:lang w:val="fr-FR"/>
        </w:rPr>
        <w:t xml:space="preserve">ARAB, CC, nr. </w:t>
      </w:r>
      <w:r w:rsidRPr="00AB36AE">
        <w:rPr>
          <w:sz w:val="18"/>
          <w:szCs w:val="18"/>
          <w:lang w:val="en-BE"/>
        </w:rPr>
        <w:t>2365</w:t>
      </w:r>
      <w:r w:rsidRPr="00AB36AE">
        <w:rPr>
          <w:sz w:val="18"/>
          <w:szCs w:val="18"/>
          <w:lang w:val="fr-FR"/>
        </w:rPr>
        <w:t xml:space="preserve">, fol. 55. </w:t>
      </w:r>
    </w:p>
  </w:footnote>
  <w:footnote w:id="304">
    <w:p w14:paraId="39CA25A9" w14:textId="7857A0DE" w:rsidR="001D1801" w:rsidRPr="00AB36AE" w:rsidRDefault="001D1801" w:rsidP="001D1801">
      <w:pPr>
        <w:pStyle w:val="FootnoteText"/>
        <w:rPr>
          <w:sz w:val="18"/>
          <w:szCs w:val="18"/>
        </w:rPr>
      </w:pPr>
      <w:r w:rsidRPr="00AB36AE">
        <w:rPr>
          <w:rStyle w:val="FootnoteReference"/>
          <w:sz w:val="18"/>
          <w:szCs w:val="18"/>
        </w:rPr>
        <w:footnoteRef/>
      </w:r>
      <w:r w:rsidRPr="00AB36AE">
        <w:rPr>
          <w:sz w:val="18"/>
          <w:szCs w:val="18"/>
        </w:rPr>
        <w:t xml:space="preserve"> </w:t>
      </w:r>
      <w:r w:rsidR="00F900D8" w:rsidRPr="00AB36AE">
        <w:rPr>
          <w:sz w:val="18"/>
          <w:szCs w:val="18"/>
          <w:lang w:val="fr-FR"/>
        </w:rPr>
        <w:t xml:space="preserve">ARAB, CC, nr. </w:t>
      </w:r>
      <w:r w:rsidR="00F900D8" w:rsidRPr="00AB36AE">
        <w:rPr>
          <w:sz w:val="18"/>
          <w:szCs w:val="18"/>
          <w:lang w:val="en-BE"/>
        </w:rPr>
        <w:t>2365</w:t>
      </w:r>
      <w:r w:rsidR="00F900D8" w:rsidRPr="00AB36AE">
        <w:rPr>
          <w:sz w:val="18"/>
          <w:szCs w:val="18"/>
          <w:lang w:val="fr-FR"/>
        </w:rPr>
        <w:t xml:space="preserve">, fol.58. </w:t>
      </w:r>
    </w:p>
  </w:footnote>
  <w:footnote w:id="305">
    <w:p w14:paraId="64C7AA8C" w14:textId="7A995BF9" w:rsidR="00F900D8" w:rsidRPr="00AB36AE" w:rsidRDefault="001D1801" w:rsidP="001D1801">
      <w:pPr>
        <w:pStyle w:val="FootnoteText"/>
        <w:rPr>
          <w:sz w:val="18"/>
          <w:szCs w:val="18"/>
        </w:rPr>
      </w:pPr>
      <w:r w:rsidRPr="00AB36AE">
        <w:rPr>
          <w:rStyle w:val="FootnoteReference"/>
          <w:sz w:val="18"/>
          <w:szCs w:val="18"/>
        </w:rPr>
        <w:footnoteRef/>
      </w:r>
      <w:r w:rsidRPr="00AB36AE">
        <w:rPr>
          <w:sz w:val="18"/>
          <w:szCs w:val="18"/>
        </w:rPr>
        <w:t xml:space="preserve"> </w:t>
      </w:r>
      <w:r w:rsidR="00F900D8" w:rsidRPr="00AB36AE">
        <w:rPr>
          <w:sz w:val="18"/>
          <w:szCs w:val="18"/>
          <w:lang w:val="fr-FR"/>
        </w:rPr>
        <w:t xml:space="preserve">ARAB, CC, nr. </w:t>
      </w:r>
      <w:r w:rsidR="00F900D8" w:rsidRPr="00AB36AE">
        <w:rPr>
          <w:sz w:val="18"/>
          <w:szCs w:val="18"/>
          <w:lang w:val="en-BE"/>
        </w:rPr>
        <w:t>2365</w:t>
      </w:r>
      <w:r w:rsidR="00F900D8" w:rsidRPr="00AB36AE">
        <w:rPr>
          <w:sz w:val="18"/>
          <w:szCs w:val="18"/>
          <w:lang w:val="fr-FR"/>
        </w:rPr>
        <w:t>, fol.</w:t>
      </w:r>
      <w:r w:rsidR="00BA7AE1" w:rsidRPr="00AB36AE">
        <w:rPr>
          <w:sz w:val="18"/>
          <w:szCs w:val="18"/>
          <w:lang w:val="fr-FR"/>
        </w:rPr>
        <w:t>58, 94.</w:t>
      </w:r>
    </w:p>
  </w:footnote>
  <w:footnote w:id="306">
    <w:p w14:paraId="5A2E9B07" w14:textId="3A268820" w:rsidR="001D1801" w:rsidRPr="00AB36AE" w:rsidRDefault="001D1801" w:rsidP="001D1801">
      <w:pPr>
        <w:pStyle w:val="FootnoteText"/>
        <w:rPr>
          <w:sz w:val="18"/>
          <w:szCs w:val="18"/>
        </w:rPr>
      </w:pPr>
      <w:r w:rsidRPr="00AB36AE">
        <w:rPr>
          <w:rStyle w:val="FootnoteReference"/>
          <w:sz w:val="18"/>
          <w:szCs w:val="18"/>
        </w:rPr>
        <w:footnoteRef/>
      </w:r>
      <w:r w:rsidRPr="00AB36AE">
        <w:rPr>
          <w:sz w:val="18"/>
          <w:szCs w:val="18"/>
        </w:rPr>
        <w:t xml:space="preserve"> De Maerschalk, </w:t>
      </w:r>
      <w:r w:rsidR="003426E3" w:rsidRPr="00AB36AE">
        <w:rPr>
          <w:i/>
          <w:iCs/>
          <w:sz w:val="18"/>
          <w:szCs w:val="18"/>
        </w:rPr>
        <w:t>De hertogen</w:t>
      </w:r>
      <w:r w:rsidR="003426E3" w:rsidRPr="00AB36AE">
        <w:rPr>
          <w:sz w:val="18"/>
          <w:szCs w:val="18"/>
        </w:rPr>
        <w:t xml:space="preserve">, </w:t>
      </w:r>
      <w:r w:rsidRPr="00AB36AE">
        <w:rPr>
          <w:sz w:val="18"/>
          <w:szCs w:val="18"/>
        </w:rPr>
        <w:t>285-286</w:t>
      </w:r>
      <w:r w:rsidR="003426E3" w:rsidRPr="00AB36AE">
        <w:rPr>
          <w:sz w:val="18"/>
          <w:szCs w:val="18"/>
        </w:rPr>
        <w:t>.</w:t>
      </w:r>
    </w:p>
  </w:footnote>
  <w:footnote w:id="307">
    <w:p w14:paraId="48FE4CAF" w14:textId="734100CC" w:rsidR="001D1801" w:rsidRPr="00AB36AE" w:rsidRDefault="001D1801" w:rsidP="001D1801">
      <w:pPr>
        <w:pStyle w:val="FootnoteText"/>
        <w:rPr>
          <w:sz w:val="18"/>
          <w:szCs w:val="18"/>
        </w:rPr>
      </w:pPr>
      <w:r w:rsidRPr="00AB36AE">
        <w:rPr>
          <w:rStyle w:val="FootnoteReference"/>
          <w:sz w:val="18"/>
          <w:szCs w:val="18"/>
        </w:rPr>
        <w:footnoteRef/>
      </w:r>
      <w:r w:rsidRPr="00AB36AE">
        <w:rPr>
          <w:sz w:val="18"/>
          <w:szCs w:val="18"/>
        </w:rPr>
        <w:t xml:space="preserve"> </w:t>
      </w:r>
      <w:r w:rsidR="00BA7AE1" w:rsidRPr="00AB36AE">
        <w:rPr>
          <w:sz w:val="18"/>
          <w:szCs w:val="18"/>
          <w:lang w:val="fr-FR"/>
        </w:rPr>
        <w:t xml:space="preserve">ARAB, CC, nr. </w:t>
      </w:r>
      <w:r w:rsidR="00BA7AE1" w:rsidRPr="00AB36AE">
        <w:rPr>
          <w:sz w:val="18"/>
          <w:szCs w:val="18"/>
          <w:lang w:val="en-BE"/>
        </w:rPr>
        <w:t>2365</w:t>
      </w:r>
      <w:r w:rsidR="00BA7AE1" w:rsidRPr="00AB36AE">
        <w:rPr>
          <w:sz w:val="18"/>
          <w:szCs w:val="18"/>
          <w:lang w:val="fr-FR"/>
        </w:rPr>
        <w:t>, fol.94</w:t>
      </w:r>
      <w:r w:rsidR="003426E3" w:rsidRPr="00AB36AE">
        <w:rPr>
          <w:sz w:val="18"/>
          <w:szCs w:val="18"/>
          <w:lang w:val="fr-FR"/>
        </w:rPr>
        <w:t>.</w:t>
      </w:r>
    </w:p>
  </w:footnote>
  <w:footnote w:id="308">
    <w:p w14:paraId="2D3EA622" w14:textId="1FC895C3" w:rsidR="00FE1350" w:rsidRPr="00AB36AE" w:rsidRDefault="001D1801" w:rsidP="001D1801">
      <w:pPr>
        <w:pStyle w:val="FootnoteText"/>
        <w:rPr>
          <w:sz w:val="18"/>
          <w:szCs w:val="18"/>
        </w:rPr>
      </w:pPr>
      <w:r w:rsidRPr="00AB36AE">
        <w:rPr>
          <w:rStyle w:val="FootnoteReference"/>
          <w:sz w:val="18"/>
          <w:szCs w:val="18"/>
        </w:rPr>
        <w:footnoteRef/>
      </w:r>
      <w:r w:rsidRPr="00AB36AE">
        <w:rPr>
          <w:sz w:val="18"/>
          <w:szCs w:val="18"/>
        </w:rPr>
        <w:t xml:space="preserve"> </w:t>
      </w:r>
      <w:r w:rsidR="00FE1350" w:rsidRPr="00AB36AE">
        <w:rPr>
          <w:sz w:val="18"/>
          <w:szCs w:val="18"/>
          <w:lang w:val="fr-FR"/>
        </w:rPr>
        <w:t xml:space="preserve">ARAB, CC, nr. </w:t>
      </w:r>
      <w:r w:rsidR="00FE1350" w:rsidRPr="00AB36AE">
        <w:rPr>
          <w:sz w:val="18"/>
          <w:szCs w:val="18"/>
          <w:lang w:val="en-BE"/>
        </w:rPr>
        <w:t>2363</w:t>
      </w:r>
      <w:r w:rsidR="00FE1350" w:rsidRPr="00AB36AE">
        <w:rPr>
          <w:sz w:val="18"/>
          <w:szCs w:val="18"/>
          <w:lang w:val="fr-FR"/>
        </w:rPr>
        <w:t>, fol.111</w:t>
      </w:r>
      <w:r w:rsidR="003426E3" w:rsidRPr="00AB36AE">
        <w:rPr>
          <w:sz w:val="18"/>
          <w:szCs w:val="18"/>
          <w:lang w:val="fr-FR"/>
        </w:rPr>
        <w:t>.</w:t>
      </w:r>
    </w:p>
  </w:footnote>
  <w:footnote w:id="309">
    <w:p w14:paraId="0EE50E83" w14:textId="114E5B9A" w:rsidR="009657DD" w:rsidRPr="007432B0" w:rsidRDefault="001D1801" w:rsidP="001D1801">
      <w:pPr>
        <w:pStyle w:val="FootnoteText"/>
        <w:rPr>
          <w:sz w:val="18"/>
          <w:szCs w:val="18"/>
        </w:rPr>
      </w:pPr>
      <w:r w:rsidRPr="00AB36AE">
        <w:rPr>
          <w:rStyle w:val="FootnoteReference"/>
          <w:sz w:val="18"/>
          <w:szCs w:val="18"/>
        </w:rPr>
        <w:footnoteRef/>
      </w:r>
      <w:r w:rsidR="004800A3" w:rsidRPr="00AB36AE">
        <w:rPr>
          <w:sz w:val="18"/>
          <w:szCs w:val="18"/>
          <w:lang w:val="fr-FR"/>
        </w:rPr>
        <w:t xml:space="preserve"> </w:t>
      </w:r>
      <w:r w:rsidR="004800A3" w:rsidRPr="00AB36AE">
        <w:rPr>
          <w:sz w:val="18"/>
          <w:szCs w:val="18"/>
        </w:rPr>
        <w:t xml:space="preserve">Voor een volledig overzicht van Johanna’s verblijven in Binche en Aymeries, zie: </w:t>
      </w:r>
      <w:r w:rsidR="004800A3" w:rsidRPr="00AB36AE">
        <w:rPr>
          <w:sz w:val="18"/>
          <w:szCs w:val="18"/>
          <w:lang w:val="fr-FR"/>
        </w:rPr>
        <w:t>Pièrard, “Les douaires”, 217-230.</w:t>
      </w:r>
    </w:p>
  </w:footnote>
  <w:footnote w:id="310">
    <w:p w14:paraId="42CD2F10" w14:textId="061CE928" w:rsidR="00D33912" w:rsidRPr="00AB36AE" w:rsidRDefault="002817F1" w:rsidP="002817F1">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D33912" w:rsidRPr="00AB36AE">
        <w:rPr>
          <w:sz w:val="18"/>
          <w:szCs w:val="18"/>
          <w:lang w:val="en-BE"/>
        </w:rPr>
        <w:t xml:space="preserve">Rastall; Taylor, </w:t>
      </w:r>
      <w:r w:rsidR="00D33912" w:rsidRPr="00AB36AE">
        <w:rPr>
          <w:i/>
          <w:iCs/>
          <w:sz w:val="18"/>
          <w:szCs w:val="18"/>
          <w:lang w:val="en-BE"/>
        </w:rPr>
        <w:t>Minstrels and Minstrelsy,</w:t>
      </w:r>
      <w:r w:rsidR="00D33912" w:rsidRPr="00AB36AE">
        <w:rPr>
          <w:sz w:val="18"/>
          <w:szCs w:val="18"/>
          <w:lang w:val="fr-FR"/>
        </w:rPr>
        <w:t xml:space="preserve"> 167</w:t>
      </w:r>
      <w:r w:rsidR="007432B0">
        <w:rPr>
          <w:sz w:val="18"/>
          <w:szCs w:val="18"/>
          <w:lang w:val="fr-FR"/>
        </w:rPr>
        <w:t>.</w:t>
      </w:r>
    </w:p>
  </w:footnote>
  <w:footnote w:id="311">
    <w:p w14:paraId="0610B3B3" w14:textId="704CD634" w:rsidR="001B4E03" w:rsidRPr="00AB36AE" w:rsidRDefault="002817F1" w:rsidP="001B4E03">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1B4E03" w:rsidRPr="00AB36AE">
        <w:rPr>
          <w:sz w:val="18"/>
          <w:szCs w:val="18"/>
          <w:lang w:val="en-BE"/>
        </w:rPr>
        <w:t>Kanao, “Les Messagers Du Duc de Bourgogne”,</w:t>
      </w:r>
      <w:r w:rsidR="00E36284" w:rsidRPr="00AB36AE">
        <w:rPr>
          <w:sz w:val="18"/>
          <w:szCs w:val="18"/>
          <w:lang w:val="en-BE"/>
        </w:rPr>
        <w:t xml:space="preserve"> 196.</w:t>
      </w:r>
    </w:p>
  </w:footnote>
  <w:footnote w:id="312">
    <w:p w14:paraId="65B44DB0" w14:textId="2906CF64" w:rsidR="00DF6AEC" w:rsidRPr="00AB36AE" w:rsidRDefault="002817F1" w:rsidP="002817F1">
      <w:pPr>
        <w:pStyle w:val="FootnoteText"/>
        <w:rPr>
          <w:sz w:val="18"/>
          <w:szCs w:val="18"/>
        </w:rPr>
      </w:pPr>
      <w:r w:rsidRPr="00AB36AE">
        <w:rPr>
          <w:rStyle w:val="FootnoteReference"/>
          <w:sz w:val="18"/>
          <w:szCs w:val="18"/>
        </w:rPr>
        <w:footnoteRef/>
      </w:r>
      <w:r w:rsidR="00253DF5" w:rsidRPr="00AB36AE">
        <w:rPr>
          <w:sz w:val="18"/>
          <w:szCs w:val="18"/>
        </w:rPr>
        <w:t xml:space="preserve"> </w:t>
      </w:r>
      <w:r w:rsidR="00DF6AEC" w:rsidRPr="00AB36AE">
        <w:rPr>
          <w:sz w:val="18"/>
          <w:szCs w:val="18"/>
        </w:rPr>
        <w:t xml:space="preserve">Bijvoorbeeld: </w:t>
      </w:r>
      <w:r w:rsidR="00AA1A5D" w:rsidRPr="00AB36AE">
        <w:rPr>
          <w:sz w:val="18"/>
          <w:szCs w:val="18"/>
        </w:rPr>
        <w:t xml:space="preserve">ARAB, RK, Nr. 2362, fol. </w:t>
      </w:r>
      <w:r w:rsidR="00BC56A7" w:rsidRPr="00AB36AE">
        <w:rPr>
          <w:sz w:val="18"/>
          <w:szCs w:val="18"/>
        </w:rPr>
        <w:t xml:space="preserve">61,62, </w:t>
      </w:r>
      <w:r w:rsidR="00AA1A5D" w:rsidRPr="00AB36AE">
        <w:rPr>
          <w:sz w:val="18"/>
          <w:szCs w:val="18"/>
        </w:rPr>
        <w:t>64, 66, 67</w:t>
      </w:r>
      <w:r w:rsidR="00BC56A7" w:rsidRPr="00AB36AE">
        <w:rPr>
          <w:sz w:val="18"/>
          <w:szCs w:val="18"/>
        </w:rPr>
        <w:t>, 73.</w:t>
      </w:r>
    </w:p>
  </w:footnote>
  <w:footnote w:id="313">
    <w:p w14:paraId="672B0F87" w14:textId="6F11BDAF" w:rsidR="007840F5" w:rsidRPr="00AB36AE" w:rsidRDefault="00773BE1" w:rsidP="00541EE3">
      <w:pPr>
        <w:rPr>
          <w:b/>
          <w:bCs/>
          <w:color w:val="1F3864"/>
          <w:sz w:val="18"/>
          <w:szCs w:val="18"/>
        </w:rPr>
      </w:pPr>
      <w:r w:rsidRPr="00AB36AE">
        <w:rPr>
          <w:rStyle w:val="FootnoteReference"/>
          <w:sz w:val="18"/>
          <w:szCs w:val="18"/>
        </w:rPr>
        <w:footnoteRef/>
      </w:r>
      <w:r w:rsidRPr="00AB36AE">
        <w:rPr>
          <w:sz w:val="18"/>
          <w:szCs w:val="18"/>
        </w:rPr>
        <w:t xml:space="preserve"> </w:t>
      </w:r>
      <w:r w:rsidR="00BC56A7" w:rsidRPr="00AB36AE">
        <w:rPr>
          <w:sz w:val="18"/>
          <w:szCs w:val="18"/>
        </w:rPr>
        <w:t>ARAB, RK, Nr</w:t>
      </w:r>
      <w:r w:rsidR="00C63231" w:rsidRPr="00AB36AE">
        <w:rPr>
          <w:sz w:val="18"/>
          <w:szCs w:val="18"/>
        </w:rPr>
        <w:t>, 2362, Fol.  70, 71,72, 73; ARAB, RK, Nr, 236</w:t>
      </w:r>
      <w:r w:rsidR="00485979" w:rsidRPr="00AB36AE">
        <w:rPr>
          <w:sz w:val="18"/>
          <w:szCs w:val="18"/>
        </w:rPr>
        <w:t>3,</w:t>
      </w:r>
      <w:r w:rsidR="00C63231" w:rsidRPr="00AB36AE">
        <w:rPr>
          <w:sz w:val="18"/>
          <w:szCs w:val="18"/>
        </w:rPr>
        <w:t xml:space="preserve"> Fol.  7</w:t>
      </w:r>
      <w:r w:rsidR="00485979" w:rsidRPr="00AB36AE">
        <w:rPr>
          <w:sz w:val="18"/>
          <w:szCs w:val="18"/>
        </w:rPr>
        <w:t xml:space="preserve">8, 79, 82; ARAB, RK, Nr, 2364, Fol.  </w:t>
      </w:r>
      <w:r w:rsidR="002A665E" w:rsidRPr="00AB36AE">
        <w:rPr>
          <w:sz w:val="18"/>
          <w:szCs w:val="18"/>
        </w:rPr>
        <w:t xml:space="preserve">61, 68; ARAB, RK, Nr, 2365, Fol. </w:t>
      </w:r>
      <w:r w:rsidR="00541EE3" w:rsidRPr="00AB36AE">
        <w:rPr>
          <w:sz w:val="18"/>
          <w:szCs w:val="18"/>
        </w:rPr>
        <w:t>57, 59.</w:t>
      </w:r>
    </w:p>
  </w:footnote>
  <w:footnote w:id="314">
    <w:p w14:paraId="22170ABF" w14:textId="0B2E85FC" w:rsidR="00BC5E63" w:rsidRPr="00AB36AE" w:rsidRDefault="00BC5E63" w:rsidP="00BC5E63">
      <w:pPr>
        <w:pStyle w:val="FootnoteText"/>
        <w:rPr>
          <w:sz w:val="18"/>
          <w:szCs w:val="18"/>
        </w:rPr>
      </w:pPr>
      <w:r w:rsidRPr="00AB36AE">
        <w:rPr>
          <w:rStyle w:val="FootnoteReference"/>
          <w:sz w:val="18"/>
          <w:szCs w:val="18"/>
        </w:rPr>
        <w:footnoteRef/>
      </w:r>
      <w:r w:rsidRPr="00AB36AE">
        <w:rPr>
          <w:sz w:val="18"/>
          <w:szCs w:val="18"/>
        </w:rPr>
        <w:t xml:space="preserve"> </w:t>
      </w:r>
      <w:r w:rsidR="00E36284" w:rsidRPr="00AB36AE">
        <w:rPr>
          <w:sz w:val="18"/>
          <w:szCs w:val="18"/>
          <w:lang w:val="fr-FR"/>
        </w:rPr>
        <w:t xml:space="preserve">Uyttebrouck, </w:t>
      </w:r>
      <w:r w:rsidR="00E36284" w:rsidRPr="00AB36AE">
        <w:rPr>
          <w:i/>
          <w:iCs/>
          <w:sz w:val="18"/>
          <w:szCs w:val="18"/>
          <w:lang w:val="fr-FR"/>
        </w:rPr>
        <w:t>Le gouvernement</w:t>
      </w:r>
      <w:r w:rsidRPr="00AB36AE">
        <w:rPr>
          <w:sz w:val="18"/>
          <w:szCs w:val="18"/>
        </w:rPr>
        <w:t xml:space="preserve">, 221. </w:t>
      </w:r>
    </w:p>
  </w:footnote>
  <w:footnote w:id="315">
    <w:p w14:paraId="679D9EBE" w14:textId="1FC17CEC" w:rsidR="00DD23FE" w:rsidRPr="00AB36AE" w:rsidRDefault="00BC5E63" w:rsidP="00BC5E63">
      <w:pPr>
        <w:pStyle w:val="FootnoteText"/>
        <w:rPr>
          <w:sz w:val="18"/>
          <w:szCs w:val="18"/>
        </w:rPr>
      </w:pPr>
      <w:r w:rsidRPr="00AB36AE">
        <w:rPr>
          <w:rStyle w:val="FootnoteReference"/>
          <w:sz w:val="18"/>
          <w:szCs w:val="18"/>
        </w:rPr>
        <w:footnoteRef/>
      </w:r>
      <w:r w:rsidRPr="00AB36AE">
        <w:rPr>
          <w:sz w:val="18"/>
          <w:szCs w:val="18"/>
        </w:rPr>
        <w:t xml:space="preserve"> </w:t>
      </w:r>
      <w:r w:rsidR="006F3EC3" w:rsidRPr="00AB36AE">
        <w:rPr>
          <w:sz w:val="18"/>
          <w:szCs w:val="18"/>
          <w:lang w:val="en-BE"/>
        </w:rPr>
        <w:t>Martens</w:t>
      </w:r>
      <w:r w:rsidR="00CA631C" w:rsidRPr="00AB36AE">
        <w:rPr>
          <w:sz w:val="18"/>
          <w:szCs w:val="18"/>
          <w:lang w:val="en-BE"/>
        </w:rPr>
        <w:t xml:space="preserve">, </w:t>
      </w:r>
      <w:r w:rsidR="00CA631C" w:rsidRPr="00AB36AE">
        <w:rPr>
          <w:i/>
          <w:iCs/>
          <w:sz w:val="18"/>
          <w:szCs w:val="18"/>
          <w:lang w:val="en-BE"/>
        </w:rPr>
        <w:t>L’administration du domaine ducal</w:t>
      </w:r>
      <w:r w:rsidR="00CA631C" w:rsidRPr="00AB36AE">
        <w:rPr>
          <w:sz w:val="18"/>
          <w:szCs w:val="18"/>
          <w:lang w:val="en-BE"/>
        </w:rPr>
        <w:t xml:space="preserve">, </w:t>
      </w:r>
      <w:r w:rsidR="00DD23FE" w:rsidRPr="00AB36AE">
        <w:rPr>
          <w:sz w:val="18"/>
          <w:szCs w:val="18"/>
          <w:lang w:val="en-BE"/>
        </w:rPr>
        <w:t xml:space="preserve">187; </w:t>
      </w:r>
      <w:r w:rsidR="00DD23FE" w:rsidRPr="00AB36AE">
        <w:rPr>
          <w:sz w:val="18"/>
          <w:szCs w:val="18"/>
          <w:lang w:val="fr-FR"/>
        </w:rPr>
        <w:t xml:space="preserve">ARAB, RK, nr. </w:t>
      </w:r>
      <w:r w:rsidR="00DD23FE" w:rsidRPr="00AB36AE">
        <w:rPr>
          <w:sz w:val="18"/>
          <w:szCs w:val="18"/>
          <w:lang w:val="en-BE"/>
        </w:rPr>
        <w:t>236</w:t>
      </w:r>
      <w:r w:rsidR="000E2DCD" w:rsidRPr="00AB36AE">
        <w:rPr>
          <w:sz w:val="18"/>
          <w:szCs w:val="18"/>
          <w:lang w:val="en-BE"/>
        </w:rPr>
        <w:t>2, fol. 68.</w:t>
      </w:r>
    </w:p>
  </w:footnote>
  <w:footnote w:id="316">
    <w:p w14:paraId="01E173BF" w14:textId="7FCC1E66" w:rsidR="000E2DCD" w:rsidRPr="00AB36AE" w:rsidRDefault="001E52D2">
      <w:pPr>
        <w:pStyle w:val="FootnoteText"/>
        <w:rPr>
          <w:sz w:val="18"/>
          <w:szCs w:val="18"/>
          <w:lang w:val="en-US"/>
        </w:rPr>
      </w:pPr>
      <w:r w:rsidRPr="00AB36AE">
        <w:rPr>
          <w:rStyle w:val="FootnoteReference"/>
          <w:sz w:val="18"/>
          <w:szCs w:val="18"/>
        </w:rPr>
        <w:footnoteRef/>
      </w:r>
      <w:r w:rsidRPr="00AB36AE">
        <w:rPr>
          <w:sz w:val="18"/>
          <w:szCs w:val="18"/>
        </w:rPr>
        <w:t xml:space="preserve"> </w:t>
      </w:r>
      <w:r w:rsidR="000E2DCD" w:rsidRPr="00AB36AE">
        <w:rPr>
          <w:sz w:val="18"/>
          <w:szCs w:val="18"/>
          <w:lang w:val="fr-FR"/>
        </w:rPr>
        <w:t>ARAB, RK, 2363, fol. 80</w:t>
      </w:r>
      <w:r w:rsidR="007432B0">
        <w:rPr>
          <w:sz w:val="18"/>
          <w:szCs w:val="18"/>
          <w:lang w:val="fr-FR"/>
        </w:rPr>
        <w:t>.</w:t>
      </w:r>
    </w:p>
  </w:footnote>
  <w:footnote w:id="317">
    <w:p w14:paraId="57B309FF" w14:textId="54B7231E" w:rsidR="000E2DCD" w:rsidRPr="00AB36AE" w:rsidRDefault="00D87FE8">
      <w:pPr>
        <w:pStyle w:val="FootnoteText"/>
        <w:rPr>
          <w:sz w:val="18"/>
          <w:szCs w:val="18"/>
          <w:lang w:val="en-US"/>
        </w:rPr>
      </w:pPr>
      <w:r w:rsidRPr="00AB36AE">
        <w:rPr>
          <w:rStyle w:val="FootnoteReference"/>
          <w:sz w:val="18"/>
          <w:szCs w:val="18"/>
        </w:rPr>
        <w:footnoteRef/>
      </w:r>
      <w:r w:rsidRPr="00AB36AE">
        <w:rPr>
          <w:sz w:val="18"/>
          <w:szCs w:val="18"/>
        </w:rPr>
        <w:t xml:space="preserve"> </w:t>
      </w:r>
      <w:r w:rsidR="000E2DCD" w:rsidRPr="00AB36AE">
        <w:rPr>
          <w:sz w:val="18"/>
          <w:szCs w:val="18"/>
          <w:lang w:val="fr-FR"/>
        </w:rPr>
        <w:t>ARAB, RK, 2365, fol. 57</w:t>
      </w:r>
      <w:r w:rsidR="007432B0">
        <w:rPr>
          <w:sz w:val="18"/>
          <w:szCs w:val="18"/>
          <w:lang w:val="fr-FR"/>
        </w:rPr>
        <w:t>.</w:t>
      </w:r>
    </w:p>
  </w:footnote>
  <w:footnote w:id="318">
    <w:p w14:paraId="38C592E7" w14:textId="7E452118" w:rsidR="000E2DCD" w:rsidRPr="00AB36AE" w:rsidRDefault="00CD7F2A" w:rsidP="00CD7F2A">
      <w:pPr>
        <w:pStyle w:val="FootnoteText"/>
        <w:rPr>
          <w:sz w:val="18"/>
          <w:szCs w:val="18"/>
        </w:rPr>
      </w:pPr>
      <w:r w:rsidRPr="00AB36AE">
        <w:rPr>
          <w:rStyle w:val="FootnoteReference"/>
          <w:sz w:val="18"/>
          <w:szCs w:val="18"/>
        </w:rPr>
        <w:footnoteRef/>
      </w:r>
      <w:r w:rsidRPr="00AB36AE">
        <w:rPr>
          <w:sz w:val="18"/>
          <w:szCs w:val="18"/>
        </w:rPr>
        <w:t xml:space="preserve"> </w:t>
      </w:r>
      <w:r w:rsidR="000E2DCD" w:rsidRPr="00AB36AE">
        <w:rPr>
          <w:sz w:val="18"/>
          <w:szCs w:val="18"/>
          <w:lang w:val="fr-FR"/>
        </w:rPr>
        <w:t>ARAB, RK, 2365, fol. 58.</w:t>
      </w:r>
    </w:p>
  </w:footnote>
  <w:footnote w:id="319">
    <w:p w14:paraId="4E99078E" w14:textId="341E0C56" w:rsidR="00CD7F2A" w:rsidRPr="00AB36AE" w:rsidRDefault="00CD7F2A" w:rsidP="00CD7F2A">
      <w:pPr>
        <w:pStyle w:val="FootnoteText"/>
        <w:rPr>
          <w:sz w:val="18"/>
          <w:szCs w:val="18"/>
        </w:rPr>
      </w:pPr>
      <w:r w:rsidRPr="00AB36AE">
        <w:rPr>
          <w:rStyle w:val="FootnoteReference"/>
          <w:sz w:val="18"/>
          <w:szCs w:val="18"/>
        </w:rPr>
        <w:footnoteRef/>
      </w:r>
      <w:r w:rsidRPr="00AB36AE">
        <w:rPr>
          <w:sz w:val="18"/>
          <w:szCs w:val="18"/>
        </w:rPr>
        <w:t xml:space="preserve"> </w:t>
      </w:r>
      <w:r w:rsidR="006325FD" w:rsidRPr="00AB36AE">
        <w:rPr>
          <w:sz w:val="18"/>
          <w:szCs w:val="18"/>
        </w:rPr>
        <w:t xml:space="preserve">Ter illustratie: op 9 oktober boodschapper Bimelin, en op 13 oktober boodschapper Barnoet. Zie </w:t>
      </w:r>
      <w:r w:rsidR="00805ABC" w:rsidRPr="00AB36AE">
        <w:rPr>
          <w:sz w:val="18"/>
          <w:szCs w:val="18"/>
          <w:lang w:val="fr-FR"/>
        </w:rPr>
        <w:t>ARAB, RK, 2365, fol.</w:t>
      </w:r>
      <w:r w:rsidR="007432B0">
        <w:rPr>
          <w:sz w:val="18"/>
          <w:szCs w:val="18"/>
          <w:lang w:val="fr-FR"/>
        </w:rPr>
        <w:t xml:space="preserve"> </w:t>
      </w:r>
      <w:r w:rsidR="00805ABC" w:rsidRPr="00AB36AE">
        <w:rPr>
          <w:sz w:val="18"/>
          <w:szCs w:val="18"/>
          <w:lang w:val="fr-FR"/>
        </w:rPr>
        <w:t>56</w:t>
      </w:r>
      <w:r w:rsidR="006F3EC3" w:rsidRPr="00AB36AE">
        <w:rPr>
          <w:sz w:val="18"/>
          <w:szCs w:val="18"/>
          <w:lang w:val="fr-FR"/>
        </w:rPr>
        <w:t>.</w:t>
      </w:r>
    </w:p>
  </w:footnote>
  <w:footnote w:id="320">
    <w:p w14:paraId="3FEAF77E" w14:textId="6F4F7776" w:rsidR="008D207B" w:rsidRPr="00AB36AE" w:rsidRDefault="00294B8D" w:rsidP="00294B8D">
      <w:pPr>
        <w:pStyle w:val="FootnoteText"/>
        <w:rPr>
          <w:sz w:val="18"/>
          <w:szCs w:val="18"/>
          <w:lang w:val="en-BE"/>
        </w:rPr>
      </w:pPr>
      <w:r w:rsidRPr="00AB36AE">
        <w:rPr>
          <w:rStyle w:val="FootnoteReference"/>
          <w:sz w:val="18"/>
          <w:szCs w:val="18"/>
        </w:rPr>
        <w:footnoteRef/>
      </w:r>
      <w:r w:rsidRPr="00AB36AE">
        <w:rPr>
          <w:sz w:val="18"/>
          <w:szCs w:val="18"/>
          <w:lang w:val="en-US"/>
        </w:rPr>
        <w:t xml:space="preserve"> </w:t>
      </w:r>
      <w:r w:rsidR="0055090A" w:rsidRPr="00AB36AE">
        <w:rPr>
          <w:i/>
          <w:iCs/>
          <w:sz w:val="18"/>
          <w:szCs w:val="18"/>
          <w:lang w:val="fr-BE"/>
        </w:rPr>
        <w:t>Inventaire des Chartes et Cartulaires</w:t>
      </w:r>
      <w:r w:rsidR="00225206" w:rsidRPr="00AB36AE">
        <w:rPr>
          <w:i/>
          <w:iCs/>
          <w:sz w:val="18"/>
          <w:szCs w:val="18"/>
          <w:lang w:val="fr-BE"/>
        </w:rPr>
        <w:t>,</w:t>
      </w:r>
      <w:r w:rsidR="0055090A" w:rsidRPr="00AB36AE">
        <w:rPr>
          <w:sz w:val="18"/>
          <w:szCs w:val="18"/>
          <w:lang w:val="en-BE"/>
        </w:rPr>
        <w:t xml:space="preserve"> </w:t>
      </w:r>
      <w:r w:rsidR="00225206" w:rsidRPr="00AB36AE">
        <w:rPr>
          <w:sz w:val="18"/>
          <w:szCs w:val="18"/>
          <w:lang w:val="en-BE"/>
        </w:rPr>
        <w:t xml:space="preserve">213; </w:t>
      </w:r>
      <w:r w:rsidR="00E36C3B" w:rsidRPr="00AB36AE">
        <w:rPr>
          <w:sz w:val="18"/>
          <w:szCs w:val="18"/>
          <w:lang w:val="en-BE"/>
        </w:rPr>
        <w:t>Boffa, “The Duchy of Brabant Caught Between France and England</w:t>
      </w:r>
      <w:r w:rsidR="00D26E32" w:rsidRPr="00AB36AE">
        <w:rPr>
          <w:sz w:val="18"/>
          <w:szCs w:val="18"/>
          <w:lang w:val="en-BE"/>
        </w:rPr>
        <w:t xml:space="preserve">”, 234. </w:t>
      </w:r>
    </w:p>
  </w:footnote>
  <w:footnote w:id="321">
    <w:p w14:paraId="150886CD" w14:textId="71472711" w:rsidR="00294B8D" w:rsidRPr="00AB36AE" w:rsidRDefault="00294B8D" w:rsidP="00294B8D">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225206" w:rsidRPr="00AB36AE">
        <w:rPr>
          <w:sz w:val="18"/>
          <w:szCs w:val="18"/>
          <w:lang w:val="fr-FR"/>
        </w:rPr>
        <w:t xml:space="preserve">ARAB, RK, 2362, </w:t>
      </w:r>
      <w:r w:rsidRPr="00AB36AE">
        <w:rPr>
          <w:sz w:val="18"/>
          <w:szCs w:val="18"/>
          <w:lang w:val="fr-FR"/>
        </w:rPr>
        <w:t>f</w:t>
      </w:r>
      <w:r w:rsidR="00225206" w:rsidRPr="00AB36AE">
        <w:rPr>
          <w:sz w:val="18"/>
          <w:szCs w:val="18"/>
          <w:lang w:val="fr-FR"/>
        </w:rPr>
        <w:t xml:space="preserve">ol. </w:t>
      </w:r>
      <w:r w:rsidRPr="00AB36AE">
        <w:rPr>
          <w:sz w:val="18"/>
          <w:szCs w:val="18"/>
          <w:lang w:val="fr-FR"/>
        </w:rPr>
        <w:t xml:space="preserve">76-77. </w:t>
      </w:r>
    </w:p>
  </w:footnote>
  <w:footnote w:id="322">
    <w:p w14:paraId="032819CD" w14:textId="75937203" w:rsidR="00294B8D" w:rsidRPr="00AB36AE" w:rsidRDefault="00294B8D" w:rsidP="00294B8D">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225206" w:rsidRPr="00AB36AE">
        <w:rPr>
          <w:sz w:val="18"/>
          <w:szCs w:val="18"/>
          <w:lang w:val="fr-FR"/>
        </w:rPr>
        <w:t xml:space="preserve">Verkooren, </w:t>
      </w:r>
      <w:r w:rsidR="00225206" w:rsidRPr="00AB36AE">
        <w:rPr>
          <w:i/>
          <w:iCs/>
          <w:sz w:val="18"/>
          <w:szCs w:val="18"/>
          <w:lang w:val="fr-BE"/>
        </w:rPr>
        <w:t>Inventaire des Chartes et Cartulaires</w:t>
      </w:r>
      <w:r w:rsidR="00225206" w:rsidRPr="00AB36AE">
        <w:rPr>
          <w:sz w:val="18"/>
          <w:szCs w:val="18"/>
          <w:lang w:val="fr-FR"/>
        </w:rPr>
        <w:t xml:space="preserve"> </w:t>
      </w:r>
      <w:r w:rsidRPr="00AB36AE">
        <w:rPr>
          <w:sz w:val="18"/>
          <w:szCs w:val="18"/>
          <w:lang w:val="fr-FR"/>
        </w:rPr>
        <w:t>21</w:t>
      </w:r>
      <w:r w:rsidR="00225206" w:rsidRPr="00AB36AE">
        <w:rPr>
          <w:sz w:val="18"/>
          <w:szCs w:val="18"/>
          <w:lang w:val="fr-FR"/>
        </w:rPr>
        <w:t>3.</w:t>
      </w:r>
    </w:p>
  </w:footnote>
  <w:footnote w:id="323">
    <w:p w14:paraId="1C61D715" w14:textId="47D89145" w:rsidR="00B4772A" w:rsidRPr="00AB36AE" w:rsidRDefault="00B4772A">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ARAB, RK, 236</w:t>
      </w:r>
      <w:r w:rsidR="0070453F" w:rsidRPr="00AB36AE">
        <w:rPr>
          <w:sz w:val="18"/>
          <w:szCs w:val="18"/>
          <w:lang w:val="nl-NL"/>
        </w:rPr>
        <w:t>4</w:t>
      </w:r>
      <w:r w:rsidRPr="00AB36AE">
        <w:rPr>
          <w:sz w:val="18"/>
          <w:szCs w:val="18"/>
          <w:lang w:val="nl-NL"/>
        </w:rPr>
        <w:t>, fol. 63.</w:t>
      </w:r>
      <w:r w:rsidR="009D19ED" w:rsidRPr="00AB36AE">
        <w:rPr>
          <w:sz w:val="18"/>
          <w:szCs w:val="18"/>
          <w:lang w:val="nl-NL"/>
        </w:rPr>
        <w:t xml:space="preserve"> </w:t>
      </w:r>
      <w:r w:rsidR="00DE5A51" w:rsidRPr="00AB36AE">
        <w:rPr>
          <w:sz w:val="18"/>
          <w:szCs w:val="18"/>
          <w:lang w:val="nl-NL"/>
        </w:rPr>
        <w:t>“</w:t>
      </w:r>
      <w:r w:rsidR="009F5A12" w:rsidRPr="00AB36AE">
        <w:rPr>
          <w:sz w:val="18"/>
          <w:szCs w:val="18"/>
          <w:lang w:val="nl-NL"/>
        </w:rPr>
        <w:t>Met</w:t>
      </w:r>
      <w:r w:rsidR="002017F3" w:rsidRPr="00AB36AE">
        <w:rPr>
          <w:sz w:val="18"/>
          <w:szCs w:val="18"/>
          <w:lang w:val="nl-NL"/>
        </w:rPr>
        <w:t xml:space="preserve"> </w:t>
      </w:r>
      <w:r w:rsidR="00DE5A51" w:rsidRPr="00AB36AE">
        <w:rPr>
          <w:sz w:val="18"/>
          <w:szCs w:val="18"/>
          <w:lang w:val="nl-NL"/>
        </w:rPr>
        <w:t xml:space="preserve">(kleine) vlaggen en met banieren” </w:t>
      </w:r>
    </w:p>
  </w:footnote>
  <w:footnote w:id="324">
    <w:p w14:paraId="342B853A" w14:textId="5A21C22A" w:rsidR="00D93827" w:rsidRPr="00AB36AE" w:rsidRDefault="00D93827" w:rsidP="00D93827">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225206" w:rsidRPr="00AB36AE">
        <w:rPr>
          <w:sz w:val="18"/>
          <w:szCs w:val="18"/>
          <w:lang w:val="fr-FR"/>
        </w:rPr>
        <w:t>ARAB, RK, 236</w:t>
      </w:r>
      <w:r w:rsidR="0070453F" w:rsidRPr="00AB36AE">
        <w:rPr>
          <w:sz w:val="18"/>
          <w:szCs w:val="18"/>
          <w:lang w:val="fr-FR"/>
        </w:rPr>
        <w:t>4</w:t>
      </w:r>
      <w:r w:rsidR="00B4772A" w:rsidRPr="00AB36AE">
        <w:rPr>
          <w:sz w:val="18"/>
          <w:szCs w:val="18"/>
          <w:lang w:val="fr-FR"/>
        </w:rPr>
        <w:t xml:space="preserve">, fol. </w:t>
      </w:r>
      <w:r w:rsidR="00CF256D" w:rsidRPr="00AB36AE">
        <w:rPr>
          <w:sz w:val="18"/>
          <w:szCs w:val="18"/>
          <w:lang w:val="fr-FR"/>
        </w:rPr>
        <w:t>63.</w:t>
      </w:r>
    </w:p>
  </w:footnote>
  <w:footnote w:id="325">
    <w:p w14:paraId="2989317E" w14:textId="551ADAB1" w:rsidR="006027F8" w:rsidRPr="00AB36AE" w:rsidRDefault="006027F8" w:rsidP="006027F8">
      <w:pPr>
        <w:pStyle w:val="FootnoteText"/>
        <w:rPr>
          <w:sz w:val="18"/>
          <w:szCs w:val="18"/>
          <w:lang w:val="en-BE"/>
        </w:rPr>
      </w:pPr>
      <w:r w:rsidRPr="00AB36AE">
        <w:rPr>
          <w:rStyle w:val="FootnoteReference"/>
          <w:sz w:val="18"/>
          <w:szCs w:val="18"/>
        </w:rPr>
        <w:footnoteRef/>
      </w:r>
      <w:r w:rsidR="00163D2F" w:rsidRPr="00AB36AE">
        <w:rPr>
          <w:sz w:val="18"/>
          <w:szCs w:val="18"/>
        </w:rPr>
        <w:t xml:space="preserve"> </w:t>
      </w:r>
      <w:r w:rsidR="00685B19" w:rsidRPr="00AB36AE">
        <w:rPr>
          <w:sz w:val="18"/>
          <w:szCs w:val="18"/>
          <w:lang w:val="en-BE"/>
        </w:rPr>
        <w:t xml:space="preserve">Arnhem, Gelders Archief, </w:t>
      </w:r>
      <w:r w:rsidR="00685B19" w:rsidRPr="00AB36AE">
        <w:rPr>
          <w:i/>
          <w:iCs/>
          <w:sz w:val="18"/>
          <w:szCs w:val="18"/>
          <w:lang w:val="en-BE"/>
        </w:rPr>
        <w:t>Hertogelijk Archief van Gelre</w:t>
      </w:r>
      <w:r w:rsidR="00685B19" w:rsidRPr="00AB36AE">
        <w:rPr>
          <w:sz w:val="18"/>
          <w:szCs w:val="18"/>
          <w:lang w:val="en-BE"/>
        </w:rPr>
        <w:t>, nr. 0001.2.07.3.3.553, brief 2</w:t>
      </w:r>
    </w:p>
  </w:footnote>
  <w:footnote w:id="326">
    <w:p w14:paraId="1C92AA66" w14:textId="52ABF772" w:rsidR="004F1C77" w:rsidRPr="00AB36AE" w:rsidRDefault="00032F0C">
      <w:pPr>
        <w:pStyle w:val="FootnoteText"/>
        <w:rPr>
          <w:sz w:val="18"/>
          <w:szCs w:val="18"/>
          <w:lang w:val="en-US"/>
        </w:rPr>
      </w:pPr>
      <w:r w:rsidRPr="00AB36AE">
        <w:rPr>
          <w:rStyle w:val="FootnoteReference"/>
          <w:sz w:val="18"/>
          <w:szCs w:val="18"/>
        </w:rPr>
        <w:footnoteRef/>
      </w:r>
      <w:r w:rsidRPr="00AB36AE">
        <w:rPr>
          <w:sz w:val="18"/>
          <w:szCs w:val="18"/>
        </w:rPr>
        <w:t xml:space="preserve"> </w:t>
      </w:r>
      <w:r w:rsidR="004F1C77" w:rsidRPr="00AB36AE">
        <w:rPr>
          <w:sz w:val="18"/>
          <w:szCs w:val="18"/>
          <w:lang w:val="en-BE"/>
        </w:rPr>
        <w:t xml:space="preserve">In ’t Velt, </w:t>
      </w:r>
      <w:r w:rsidR="00685B19" w:rsidRPr="00AB36AE">
        <w:rPr>
          <w:sz w:val="18"/>
          <w:szCs w:val="18"/>
          <w:lang w:val="en-BE"/>
        </w:rPr>
        <w:t>“</w:t>
      </w:r>
      <w:r w:rsidR="004F1C77" w:rsidRPr="00AB36AE">
        <w:rPr>
          <w:sz w:val="18"/>
          <w:szCs w:val="18"/>
          <w:lang w:val="en-BE"/>
        </w:rPr>
        <w:t>To a dear and merciful woman</w:t>
      </w:r>
      <w:r w:rsidR="00685B19" w:rsidRPr="00AB36AE">
        <w:rPr>
          <w:sz w:val="18"/>
          <w:szCs w:val="18"/>
          <w:lang w:val="en-BE"/>
        </w:rPr>
        <w:t>”</w:t>
      </w:r>
      <w:r w:rsidR="004F1C77" w:rsidRPr="00AB36AE">
        <w:rPr>
          <w:sz w:val="18"/>
          <w:szCs w:val="18"/>
          <w:lang w:val="en-BE"/>
        </w:rPr>
        <w:t>, 77.</w:t>
      </w:r>
    </w:p>
  </w:footnote>
  <w:footnote w:id="327">
    <w:p w14:paraId="70B77B6C" w14:textId="474FF208" w:rsidR="008623EE" w:rsidRPr="00AB36AE" w:rsidRDefault="008623EE">
      <w:pPr>
        <w:pStyle w:val="FootnoteText"/>
        <w:rPr>
          <w:sz w:val="18"/>
          <w:szCs w:val="18"/>
          <w:lang w:val="en-US"/>
        </w:rPr>
      </w:pPr>
      <w:r w:rsidRPr="00AB36AE">
        <w:rPr>
          <w:rStyle w:val="FootnoteReference"/>
          <w:sz w:val="18"/>
          <w:szCs w:val="18"/>
        </w:rPr>
        <w:footnoteRef/>
      </w:r>
      <w:r w:rsidRPr="00AB36AE">
        <w:rPr>
          <w:sz w:val="18"/>
          <w:szCs w:val="18"/>
        </w:rPr>
        <w:t xml:space="preserve"> </w:t>
      </w:r>
      <w:r w:rsidRPr="00AB36AE">
        <w:rPr>
          <w:sz w:val="18"/>
          <w:szCs w:val="18"/>
          <w:lang w:val="en-BE"/>
        </w:rPr>
        <w:t xml:space="preserve">Arnhem, Gelders Archief, </w:t>
      </w:r>
      <w:r w:rsidRPr="00AB36AE">
        <w:rPr>
          <w:i/>
          <w:iCs/>
          <w:sz w:val="18"/>
          <w:szCs w:val="18"/>
          <w:lang w:val="en-BE"/>
        </w:rPr>
        <w:t>Hertogelijk Archief van Gelre</w:t>
      </w:r>
      <w:r w:rsidRPr="00AB36AE">
        <w:rPr>
          <w:sz w:val="18"/>
          <w:szCs w:val="18"/>
          <w:lang w:val="en-BE"/>
        </w:rPr>
        <w:t>, nr. 0001.2.07.3.3.553</w:t>
      </w:r>
    </w:p>
  </w:footnote>
  <w:footnote w:id="328">
    <w:p w14:paraId="79D42B1F" w14:textId="363D6790" w:rsidR="00B90043" w:rsidRPr="00AB36AE" w:rsidRDefault="00385A95">
      <w:pPr>
        <w:pStyle w:val="FootnoteText"/>
        <w:rPr>
          <w:sz w:val="18"/>
          <w:szCs w:val="18"/>
        </w:rPr>
      </w:pPr>
      <w:r w:rsidRPr="00AB36AE">
        <w:rPr>
          <w:rStyle w:val="FootnoteReference"/>
          <w:sz w:val="18"/>
          <w:szCs w:val="18"/>
        </w:rPr>
        <w:footnoteRef/>
      </w:r>
      <w:r w:rsidR="009E5DF8" w:rsidRPr="00AB36AE">
        <w:rPr>
          <w:sz w:val="18"/>
          <w:szCs w:val="18"/>
        </w:rPr>
        <w:t xml:space="preserve"> </w:t>
      </w:r>
      <w:r w:rsidR="00B90043" w:rsidRPr="00AB36AE">
        <w:rPr>
          <w:sz w:val="18"/>
          <w:szCs w:val="18"/>
        </w:rPr>
        <w:t xml:space="preserve">Van Leeuwen, </w:t>
      </w:r>
      <w:r w:rsidR="00B90043" w:rsidRPr="00AB36AE">
        <w:rPr>
          <w:i/>
          <w:iCs/>
          <w:sz w:val="18"/>
          <w:szCs w:val="18"/>
        </w:rPr>
        <w:t>Denkbeelden van een vliesridder</w:t>
      </w:r>
      <w:r w:rsidR="00B90043" w:rsidRPr="00AB36AE">
        <w:rPr>
          <w:sz w:val="18"/>
          <w:szCs w:val="18"/>
        </w:rPr>
        <w:t>, 16.</w:t>
      </w:r>
    </w:p>
  </w:footnote>
  <w:footnote w:id="329">
    <w:p w14:paraId="61485BF1" w14:textId="62EA9D75" w:rsidR="00EB6366" w:rsidRPr="00AB36AE" w:rsidRDefault="00EB6366">
      <w:pPr>
        <w:pStyle w:val="FootnoteText"/>
        <w:rPr>
          <w:sz w:val="18"/>
          <w:szCs w:val="18"/>
          <w:lang w:val="en-US"/>
        </w:rPr>
      </w:pPr>
      <w:r w:rsidRPr="00AB36AE">
        <w:rPr>
          <w:rStyle w:val="FootnoteReference"/>
          <w:sz w:val="18"/>
          <w:szCs w:val="18"/>
        </w:rPr>
        <w:footnoteRef/>
      </w:r>
      <w:r w:rsidRPr="00AB36AE">
        <w:rPr>
          <w:sz w:val="18"/>
          <w:szCs w:val="18"/>
        </w:rPr>
        <w:t xml:space="preserve"> </w:t>
      </w:r>
      <w:r w:rsidRPr="00AB36AE">
        <w:rPr>
          <w:sz w:val="18"/>
          <w:szCs w:val="18"/>
          <w:lang w:val="en-US"/>
        </w:rPr>
        <w:t>Er zijn verschillende voorbeeldstudies die dit hebben aangetoond</w:t>
      </w:r>
      <w:r w:rsidR="00253DF5" w:rsidRPr="00AB36AE">
        <w:rPr>
          <w:sz w:val="18"/>
          <w:szCs w:val="18"/>
          <w:lang w:val="en-US"/>
        </w:rPr>
        <w:t>, z</w:t>
      </w:r>
      <w:r w:rsidRPr="00AB36AE">
        <w:rPr>
          <w:sz w:val="18"/>
          <w:szCs w:val="18"/>
          <w:lang w:val="en-US"/>
        </w:rPr>
        <w:t xml:space="preserve">ie bijvoorbeeld: </w:t>
      </w:r>
      <w:r w:rsidR="00996CA1" w:rsidRPr="00AB36AE">
        <w:rPr>
          <w:sz w:val="18"/>
          <w:szCs w:val="18"/>
          <w:lang w:val="en-US"/>
        </w:rPr>
        <w:t xml:space="preserve">Adams, </w:t>
      </w:r>
      <w:r w:rsidR="007A4FF5" w:rsidRPr="00AB36AE">
        <w:rPr>
          <w:i/>
          <w:iCs/>
          <w:sz w:val="18"/>
          <w:szCs w:val="18"/>
          <w:lang w:val="en-US"/>
        </w:rPr>
        <w:t>Anne de France</w:t>
      </w:r>
      <w:r w:rsidR="007A4FF5" w:rsidRPr="00AB36AE">
        <w:rPr>
          <w:sz w:val="18"/>
          <w:szCs w:val="18"/>
          <w:lang w:val="en-US"/>
        </w:rPr>
        <w:t>, 65-83.</w:t>
      </w:r>
    </w:p>
  </w:footnote>
  <w:footnote w:id="330">
    <w:p w14:paraId="69C956FE" w14:textId="5AE44E8E" w:rsidR="008A27E9" w:rsidRPr="00AB36AE" w:rsidRDefault="008A27E9" w:rsidP="008A27E9">
      <w:pPr>
        <w:pStyle w:val="FootnoteText"/>
        <w:rPr>
          <w:sz w:val="18"/>
          <w:szCs w:val="18"/>
          <w:lang w:val="en-US"/>
        </w:rPr>
      </w:pPr>
      <w:r w:rsidRPr="00AB36AE">
        <w:rPr>
          <w:rStyle w:val="FootnoteReference"/>
          <w:sz w:val="18"/>
          <w:szCs w:val="18"/>
        </w:rPr>
        <w:footnoteRef/>
      </w:r>
      <w:r w:rsidRPr="00AB36AE">
        <w:rPr>
          <w:sz w:val="18"/>
          <w:szCs w:val="18"/>
          <w:lang w:val="en-US"/>
        </w:rPr>
        <w:t xml:space="preserve"> Mauss, </w:t>
      </w:r>
      <w:r w:rsidRPr="00AB36AE">
        <w:rPr>
          <w:i/>
          <w:iCs/>
          <w:sz w:val="18"/>
          <w:szCs w:val="18"/>
          <w:lang w:val="en-US"/>
        </w:rPr>
        <w:t xml:space="preserve">The </w:t>
      </w:r>
      <w:r w:rsidR="00685B19" w:rsidRPr="00AB36AE">
        <w:rPr>
          <w:i/>
          <w:iCs/>
          <w:sz w:val="18"/>
          <w:szCs w:val="18"/>
          <w:lang w:val="en-US"/>
        </w:rPr>
        <w:t>gift</w:t>
      </w:r>
      <w:r w:rsidR="00685B19" w:rsidRPr="00AB36AE">
        <w:rPr>
          <w:sz w:val="18"/>
          <w:szCs w:val="18"/>
          <w:lang w:val="en-US"/>
        </w:rPr>
        <w:t>, 39</w:t>
      </w:r>
      <w:r w:rsidRPr="00AB36AE">
        <w:rPr>
          <w:sz w:val="18"/>
          <w:szCs w:val="18"/>
          <w:lang w:val="en-US"/>
        </w:rPr>
        <w:t>-41.</w:t>
      </w:r>
    </w:p>
  </w:footnote>
  <w:footnote w:id="331">
    <w:p w14:paraId="702F1FA5" w14:textId="0B67D192" w:rsidR="00BF503C" w:rsidRPr="00AB36AE" w:rsidRDefault="00BF503C">
      <w:pPr>
        <w:pStyle w:val="FootnoteText"/>
        <w:rPr>
          <w:sz w:val="18"/>
          <w:szCs w:val="18"/>
          <w:lang w:val="en-US"/>
        </w:rPr>
      </w:pPr>
      <w:r w:rsidRPr="00AB36AE">
        <w:rPr>
          <w:rStyle w:val="FootnoteReference"/>
          <w:sz w:val="18"/>
          <w:szCs w:val="18"/>
        </w:rPr>
        <w:footnoteRef/>
      </w:r>
      <w:r w:rsidRPr="00AB36AE">
        <w:rPr>
          <w:sz w:val="18"/>
          <w:szCs w:val="18"/>
        </w:rPr>
        <w:t xml:space="preserve"> </w:t>
      </w:r>
      <w:r w:rsidR="00A14EF0" w:rsidRPr="00AB36AE">
        <w:rPr>
          <w:sz w:val="18"/>
          <w:szCs w:val="18"/>
        </w:rPr>
        <w:t xml:space="preserve">Bijsterveld, </w:t>
      </w:r>
      <w:r w:rsidR="00A14EF0" w:rsidRPr="00AB36AE">
        <w:rPr>
          <w:i/>
          <w:iCs/>
          <w:sz w:val="18"/>
          <w:szCs w:val="18"/>
        </w:rPr>
        <w:t>Do ut des</w:t>
      </w:r>
      <w:r w:rsidR="00A14EF0" w:rsidRPr="00AB36AE">
        <w:rPr>
          <w:sz w:val="18"/>
          <w:szCs w:val="18"/>
        </w:rPr>
        <w:t xml:space="preserve">, </w:t>
      </w:r>
      <w:r w:rsidRPr="00AB36AE">
        <w:rPr>
          <w:sz w:val="18"/>
          <w:szCs w:val="18"/>
          <w:lang w:val="en-US"/>
        </w:rPr>
        <w:t xml:space="preserve"> 33-3</w:t>
      </w:r>
      <w:r w:rsidR="00FD1BE5" w:rsidRPr="00AB36AE">
        <w:rPr>
          <w:sz w:val="18"/>
          <w:szCs w:val="18"/>
          <w:lang w:val="en-US"/>
        </w:rPr>
        <w:t>9</w:t>
      </w:r>
      <w:r w:rsidR="00A14EF0" w:rsidRPr="00AB36AE">
        <w:rPr>
          <w:sz w:val="18"/>
          <w:szCs w:val="18"/>
          <w:lang w:val="en-US"/>
        </w:rPr>
        <w:t xml:space="preserve">. </w:t>
      </w:r>
    </w:p>
  </w:footnote>
  <w:footnote w:id="332">
    <w:p w14:paraId="2F3E3C8C" w14:textId="77777777" w:rsidR="008011D0" w:rsidRPr="00AB36AE" w:rsidRDefault="008011D0" w:rsidP="008011D0">
      <w:pPr>
        <w:pStyle w:val="FootnoteText"/>
        <w:rPr>
          <w:sz w:val="18"/>
          <w:szCs w:val="18"/>
          <w:lang w:val="en-US"/>
        </w:rPr>
      </w:pPr>
      <w:r w:rsidRPr="00AB36AE">
        <w:rPr>
          <w:rStyle w:val="FootnoteReference"/>
          <w:sz w:val="18"/>
          <w:szCs w:val="18"/>
        </w:rPr>
        <w:footnoteRef/>
      </w:r>
      <w:r w:rsidRPr="00AB36AE">
        <w:rPr>
          <w:sz w:val="18"/>
          <w:szCs w:val="18"/>
          <w:lang w:val="en-US"/>
        </w:rPr>
        <w:t xml:space="preserve"> Buettner, “Past presents”, 598.</w:t>
      </w:r>
    </w:p>
  </w:footnote>
  <w:footnote w:id="333">
    <w:p w14:paraId="33A282C6" w14:textId="77777777" w:rsidR="002312F0" w:rsidRPr="00AB36AE" w:rsidRDefault="002312F0" w:rsidP="002312F0">
      <w:pPr>
        <w:pStyle w:val="FootnoteText"/>
        <w:rPr>
          <w:sz w:val="18"/>
          <w:szCs w:val="18"/>
          <w:lang w:val="en-US"/>
        </w:rPr>
      </w:pPr>
      <w:r w:rsidRPr="00AB36AE">
        <w:rPr>
          <w:rStyle w:val="FootnoteReference"/>
          <w:sz w:val="18"/>
          <w:szCs w:val="18"/>
        </w:rPr>
        <w:footnoteRef/>
      </w:r>
      <w:r w:rsidRPr="00AB36AE">
        <w:rPr>
          <w:sz w:val="18"/>
          <w:szCs w:val="18"/>
          <w:lang w:val="en-US"/>
        </w:rPr>
        <w:t xml:space="preserve"> Kettering, “Gift-giving and patronage”, 131-132. </w:t>
      </w:r>
    </w:p>
  </w:footnote>
  <w:footnote w:id="334">
    <w:p w14:paraId="6D1D4152" w14:textId="0446FEE1" w:rsidR="008A27E9" w:rsidRPr="00AB36AE" w:rsidRDefault="008A27E9" w:rsidP="008A27E9">
      <w:pPr>
        <w:pStyle w:val="FootnoteText"/>
        <w:rPr>
          <w:sz w:val="18"/>
          <w:szCs w:val="18"/>
          <w:lang w:val="en-US"/>
        </w:rPr>
      </w:pPr>
      <w:r w:rsidRPr="00AB36AE">
        <w:rPr>
          <w:rStyle w:val="FootnoteReference"/>
          <w:sz w:val="18"/>
          <w:szCs w:val="18"/>
        </w:rPr>
        <w:footnoteRef/>
      </w:r>
      <w:r w:rsidRPr="00AB36AE">
        <w:rPr>
          <w:sz w:val="18"/>
          <w:szCs w:val="18"/>
          <w:lang w:val="en-US"/>
        </w:rPr>
        <w:t xml:space="preserve"> Kettering, </w:t>
      </w:r>
      <w:r w:rsidR="00A14EF0" w:rsidRPr="00AB36AE">
        <w:rPr>
          <w:sz w:val="18"/>
          <w:szCs w:val="18"/>
          <w:lang w:val="en-US"/>
        </w:rPr>
        <w:t>“</w:t>
      </w:r>
      <w:r w:rsidRPr="00AB36AE">
        <w:rPr>
          <w:sz w:val="18"/>
          <w:szCs w:val="18"/>
          <w:lang w:val="en-US"/>
        </w:rPr>
        <w:t>Gift-giving and patronage</w:t>
      </w:r>
      <w:r w:rsidR="00A14EF0" w:rsidRPr="00AB36AE">
        <w:rPr>
          <w:sz w:val="18"/>
          <w:szCs w:val="18"/>
          <w:lang w:val="en-US"/>
        </w:rPr>
        <w:t xml:space="preserve">”, </w:t>
      </w:r>
      <w:r w:rsidRPr="00AB36AE">
        <w:rPr>
          <w:sz w:val="18"/>
          <w:szCs w:val="18"/>
          <w:lang w:val="en-US"/>
        </w:rPr>
        <w:t xml:space="preserve">131-132. </w:t>
      </w:r>
    </w:p>
  </w:footnote>
  <w:footnote w:id="335">
    <w:p w14:paraId="07AFE445" w14:textId="09483434" w:rsidR="00B636FA" w:rsidRPr="00AB36AE" w:rsidRDefault="00B636FA" w:rsidP="00B636FA">
      <w:pPr>
        <w:pStyle w:val="FootnoteText"/>
        <w:rPr>
          <w:sz w:val="18"/>
          <w:szCs w:val="18"/>
          <w:lang w:val="en-US"/>
        </w:rPr>
      </w:pPr>
      <w:r w:rsidRPr="00AB36AE">
        <w:rPr>
          <w:rStyle w:val="FootnoteReference"/>
          <w:sz w:val="18"/>
          <w:szCs w:val="18"/>
        </w:rPr>
        <w:footnoteRef/>
      </w:r>
      <w:r w:rsidRPr="00AB36AE">
        <w:rPr>
          <w:sz w:val="18"/>
          <w:szCs w:val="18"/>
        </w:rPr>
        <w:t xml:space="preserve"> </w:t>
      </w:r>
      <w:r w:rsidR="00A14EF0" w:rsidRPr="00AB36AE">
        <w:rPr>
          <w:sz w:val="18"/>
          <w:szCs w:val="18"/>
        </w:rPr>
        <w:t xml:space="preserve">Bijsterveld, </w:t>
      </w:r>
      <w:r w:rsidR="00A14EF0" w:rsidRPr="00AB36AE">
        <w:rPr>
          <w:i/>
          <w:iCs/>
          <w:sz w:val="18"/>
          <w:szCs w:val="18"/>
        </w:rPr>
        <w:t>Do ut des</w:t>
      </w:r>
      <w:r w:rsidR="00A14EF0" w:rsidRPr="00AB36AE">
        <w:rPr>
          <w:sz w:val="18"/>
          <w:szCs w:val="18"/>
        </w:rPr>
        <w:t xml:space="preserve">, </w:t>
      </w:r>
      <w:r w:rsidR="00A14EF0" w:rsidRPr="00AB36AE">
        <w:rPr>
          <w:sz w:val="18"/>
          <w:szCs w:val="18"/>
          <w:lang w:val="en-US"/>
        </w:rPr>
        <w:t xml:space="preserve"> </w:t>
      </w:r>
      <w:r w:rsidRPr="00AB36AE">
        <w:rPr>
          <w:sz w:val="18"/>
          <w:szCs w:val="18"/>
          <w:lang w:val="en-US"/>
        </w:rPr>
        <w:t>33-34.</w:t>
      </w:r>
    </w:p>
  </w:footnote>
  <w:footnote w:id="336">
    <w:p w14:paraId="165FCF51" w14:textId="69703E1C" w:rsidR="008A27E9" w:rsidRPr="00AB36AE" w:rsidRDefault="008A27E9" w:rsidP="008A27E9">
      <w:pPr>
        <w:pStyle w:val="FootnoteText"/>
        <w:rPr>
          <w:sz w:val="18"/>
          <w:szCs w:val="18"/>
          <w:lang w:val="en-US"/>
        </w:rPr>
      </w:pPr>
      <w:r w:rsidRPr="00AB36AE">
        <w:rPr>
          <w:rStyle w:val="FootnoteReference"/>
          <w:sz w:val="18"/>
          <w:szCs w:val="18"/>
        </w:rPr>
        <w:footnoteRef/>
      </w:r>
      <w:r w:rsidRPr="00AB36AE">
        <w:rPr>
          <w:sz w:val="18"/>
          <w:szCs w:val="18"/>
          <w:lang w:val="en-US"/>
        </w:rPr>
        <w:t xml:space="preserve"> Seah, </w:t>
      </w:r>
      <w:r w:rsidR="00E84DD7" w:rsidRPr="00AB36AE">
        <w:rPr>
          <w:sz w:val="18"/>
          <w:szCs w:val="18"/>
          <w:lang w:val="en-US"/>
        </w:rPr>
        <w:t>“</w:t>
      </w:r>
      <w:r w:rsidRPr="00AB36AE">
        <w:rPr>
          <w:sz w:val="18"/>
          <w:szCs w:val="18"/>
          <w:lang w:val="en-US"/>
        </w:rPr>
        <w:t>Gifts and Reward</w:t>
      </w:r>
      <w:r w:rsidR="00E84DD7" w:rsidRPr="00AB36AE">
        <w:rPr>
          <w:sz w:val="18"/>
          <w:szCs w:val="18"/>
          <w:lang w:val="en-US"/>
        </w:rPr>
        <w:t xml:space="preserve">s”, </w:t>
      </w:r>
      <w:r w:rsidRPr="00AB36AE">
        <w:rPr>
          <w:sz w:val="18"/>
          <w:szCs w:val="18"/>
          <w:lang w:val="en-US"/>
        </w:rPr>
        <w:t xml:space="preserve">588, 595. </w:t>
      </w:r>
    </w:p>
  </w:footnote>
  <w:footnote w:id="337">
    <w:p w14:paraId="74A118E2" w14:textId="77777777" w:rsidR="008A27E9" w:rsidRPr="00AB36AE" w:rsidRDefault="008A27E9" w:rsidP="008A27E9">
      <w:pPr>
        <w:pStyle w:val="FootnoteText"/>
        <w:rPr>
          <w:sz w:val="18"/>
          <w:szCs w:val="18"/>
          <w:lang w:val="en-US"/>
        </w:rPr>
      </w:pPr>
      <w:r w:rsidRPr="00AB36AE">
        <w:rPr>
          <w:rStyle w:val="FootnoteReference"/>
          <w:sz w:val="18"/>
          <w:szCs w:val="18"/>
        </w:rPr>
        <w:footnoteRef/>
      </w:r>
      <w:r w:rsidRPr="00AB36AE">
        <w:rPr>
          <w:sz w:val="18"/>
          <w:szCs w:val="18"/>
          <w:lang w:val="en-US"/>
        </w:rPr>
        <w:t xml:space="preserve"> Seah, ‘Gifts and Rewards,’ 595.</w:t>
      </w:r>
    </w:p>
  </w:footnote>
  <w:footnote w:id="338">
    <w:p w14:paraId="4BA64D5D" w14:textId="10CB1DAD" w:rsidR="00E84DD7" w:rsidRPr="00AB36AE" w:rsidRDefault="008A27E9" w:rsidP="008A27E9">
      <w:pPr>
        <w:pStyle w:val="FootnoteText"/>
        <w:rPr>
          <w:sz w:val="18"/>
          <w:szCs w:val="18"/>
          <w:lang w:val="en-US"/>
        </w:rPr>
      </w:pPr>
      <w:r w:rsidRPr="00AB36AE">
        <w:rPr>
          <w:rStyle w:val="FootnoteReference"/>
          <w:sz w:val="18"/>
          <w:szCs w:val="18"/>
        </w:rPr>
        <w:footnoteRef/>
      </w:r>
      <w:r w:rsidRPr="00AB36AE">
        <w:rPr>
          <w:sz w:val="18"/>
          <w:szCs w:val="18"/>
          <w:lang w:val="en-US"/>
        </w:rPr>
        <w:t xml:space="preserve"> </w:t>
      </w:r>
      <w:r w:rsidR="00E84DD7" w:rsidRPr="00AB36AE">
        <w:rPr>
          <w:sz w:val="18"/>
          <w:szCs w:val="18"/>
          <w:lang w:val="fr-FR"/>
        </w:rPr>
        <w:t>ARAB, RK, 2362, fol. 63</w:t>
      </w:r>
      <w:r w:rsidR="007432B0">
        <w:rPr>
          <w:sz w:val="18"/>
          <w:szCs w:val="18"/>
          <w:lang w:val="fr-FR"/>
        </w:rPr>
        <w:t>.</w:t>
      </w:r>
    </w:p>
  </w:footnote>
  <w:footnote w:id="339">
    <w:p w14:paraId="59F09860" w14:textId="5B3E3F47" w:rsidR="008A27E9" w:rsidRPr="00AB36AE" w:rsidRDefault="008A27E9" w:rsidP="008A27E9">
      <w:pPr>
        <w:pStyle w:val="FootnoteText"/>
        <w:rPr>
          <w:sz w:val="18"/>
          <w:szCs w:val="18"/>
          <w:lang w:val="en-US"/>
        </w:rPr>
      </w:pPr>
      <w:r w:rsidRPr="00AB36AE">
        <w:rPr>
          <w:rStyle w:val="FootnoteReference"/>
          <w:sz w:val="18"/>
          <w:szCs w:val="18"/>
        </w:rPr>
        <w:footnoteRef/>
      </w:r>
      <w:r w:rsidRPr="00AB36AE">
        <w:rPr>
          <w:sz w:val="18"/>
          <w:szCs w:val="18"/>
          <w:lang w:val="en-US"/>
        </w:rPr>
        <w:t xml:space="preserve"> </w:t>
      </w:r>
      <w:r w:rsidR="00E84DD7" w:rsidRPr="00AB36AE">
        <w:rPr>
          <w:sz w:val="18"/>
          <w:szCs w:val="18"/>
          <w:lang w:val="fr-FR"/>
        </w:rPr>
        <w:t>ARAB, RK, 2362, fol. 63</w:t>
      </w:r>
      <w:r w:rsidR="007432B0">
        <w:rPr>
          <w:sz w:val="18"/>
          <w:szCs w:val="18"/>
          <w:lang w:val="fr-FR"/>
        </w:rPr>
        <w:t>.</w:t>
      </w:r>
    </w:p>
  </w:footnote>
  <w:footnote w:id="340">
    <w:p w14:paraId="7E128DA9" w14:textId="0C82DF0C" w:rsidR="008A27E9" w:rsidRPr="00AB36AE" w:rsidRDefault="008A27E9" w:rsidP="008A27E9">
      <w:pPr>
        <w:pStyle w:val="FootnoteText"/>
        <w:rPr>
          <w:sz w:val="18"/>
          <w:szCs w:val="18"/>
          <w:lang w:val="en-US"/>
        </w:rPr>
      </w:pPr>
      <w:r w:rsidRPr="00AB36AE">
        <w:rPr>
          <w:rStyle w:val="FootnoteReference"/>
          <w:sz w:val="18"/>
          <w:szCs w:val="18"/>
        </w:rPr>
        <w:footnoteRef/>
      </w:r>
      <w:r w:rsidRPr="00AB36AE">
        <w:rPr>
          <w:sz w:val="18"/>
          <w:szCs w:val="18"/>
          <w:lang w:val="en-US"/>
        </w:rPr>
        <w:t xml:space="preserve"> </w:t>
      </w:r>
      <w:r w:rsidR="00E84DD7" w:rsidRPr="00AB36AE">
        <w:rPr>
          <w:sz w:val="18"/>
          <w:szCs w:val="18"/>
          <w:lang w:val="fr-FR"/>
        </w:rPr>
        <w:t>ARAB, RK, 2362, fol. 72.</w:t>
      </w:r>
    </w:p>
  </w:footnote>
  <w:footnote w:id="341">
    <w:p w14:paraId="3D008FCA" w14:textId="5AC658EE" w:rsidR="007022CE" w:rsidRPr="00AB36AE" w:rsidRDefault="007022CE">
      <w:pPr>
        <w:pStyle w:val="FootnoteText"/>
        <w:rPr>
          <w:sz w:val="18"/>
          <w:szCs w:val="18"/>
          <w:lang w:val="en-US"/>
        </w:rPr>
      </w:pPr>
      <w:r w:rsidRPr="00AB36AE">
        <w:rPr>
          <w:rStyle w:val="FootnoteReference"/>
          <w:sz w:val="18"/>
          <w:szCs w:val="18"/>
        </w:rPr>
        <w:footnoteRef/>
      </w:r>
      <w:r w:rsidRPr="00AB36AE">
        <w:rPr>
          <w:sz w:val="18"/>
          <w:szCs w:val="18"/>
        </w:rPr>
        <w:t xml:space="preserve"> </w:t>
      </w:r>
      <w:r w:rsidR="00A53BA5" w:rsidRPr="00AB36AE">
        <w:rPr>
          <w:sz w:val="18"/>
          <w:szCs w:val="18"/>
          <w:lang w:val="nl-NL"/>
        </w:rPr>
        <w:t>Rijnwijnen en wijn uit Frankrijk waren gelijk aan elkaar in waarde, mediterrane wijn was echter aanzienlijk prestigieuzer</w:t>
      </w:r>
      <w:r w:rsidR="00A53BA5" w:rsidRPr="00AB36AE">
        <w:rPr>
          <w:sz w:val="18"/>
          <w:szCs w:val="18"/>
          <w:lang w:val="en-US"/>
        </w:rPr>
        <w:t xml:space="preserve">. Zie: </w:t>
      </w:r>
      <w:r w:rsidRPr="00AB36AE">
        <w:rPr>
          <w:sz w:val="18"/>
          <w:szCs w:val="18"/>
          <w:lang w:val="en-US"/>
        </w:rPr>
        <w:t>Damen</w:t>
      </w:r>
      <w:r w:rsidR="0069487D" w:rsidRPr="00AB36AE">
        <w:rPr>
          <w:sz w:val="18"/>
          <w:szCs w:val="18"/>
          <w:lang w:val="en-US"/>
        </w:rPr>
        <w:t xml:space="preserve">, </w:t>
      </w:r>
      <w:r w:rsidR="00A53BA5" w:rsidRPr="00AB36AE">
        <w:rPr>
          <w:sz w:val="18"/>
          <w:szCs w:val="18"/>
          <w:lang w:val="en-US"/>
        </w:rPr>
        <w:t xml:space="preserve">“Princely entries”, </w:t>
      </w:r>
      <w:r w:rsidR="0069487D" w:rsidRPr="00AB36AE">
        <w:rPr>
          <w:sz w:val="18"/>
          <w:szCs w:val="18"/>
          <w:lang w:val="en-US"/>
        </w:rPr>
        <w:t>237-238</w:t>
      </w:r>
      <w:r w:rsidR="00A53BA5" w:rsidRPr="00AB36AE">
        <w:rPr>
          <w:sz w:val="18"/>
          <w:szCs w:val="18"/>
          <w:lang w:val="en-US"/>
        </w:rPr>
        <w:t>.</w:t>
      </w:r>
      <w:r w:rsidR="0069487D" w:rsidRPr="00AB36AE">
        <w:rPr>
          <w:sz w:val="18"/>
          <w:szCs w:val="18"/>
          <w:lang w:val="en-US"/>
        </w:rPr>
        <w:t xml:space="preserve"> </w:t>
      </w:r>
    </w:p>
  </w:footnote>
  <w:footnote w:id="342">
    <w:p w14:paraId="6896824F" w14:textId="45499050" w:rsidR="003B6A01" w:rsidRPr="00AB36AE" w:rsidRDefault="008A27E9" w:rsidP="008A27E9">
      <w:pPr>
        <w:pStyle w:val="FootnoteText"/>
        <w:rPr>
          <w:sz w:val="18"/>
          <w:szCs w:val="18"/>
          <w:lang w:val="en-US"/>
        </w:rPr>
      </w:pPr>
      <w:r w:rsidRPr="00AB36AE">
        <w:rPr>
          <w:rStyle w:val="FootnoteReference"/>
          <w:sz w:val="18"/>
          <w:szCs w:val="18"/>
        </w:rPr>
        <w:footnoteRef/>
      </w:r>
      <w:r w:rsidRPr="00AB36AE">
        <w:rPr>
          <w:sz w:val="18"/>
          <w:szCs w:val="18"/>
          <w:lang w:val="en-US"/>
        </w:rPr>
        <w:t xml:space="preserve"> </w:t>
      </w:r>
      <w:r w:rsidR="003B6A01" w:rsidRPr="00AB36AE">
        <w:rPr>
          <w:sz w:val="18"/>
          <w:szCs w:val="18"/>
          <w:lang w:val="fr-FR"/>
        </w:rPr>
        <w:t>ARAB, RK, 2362, fol. 61, 66, 69, 70 ; ARAB, RK, 2363, fol. 73.</w:t>
      </w:r>
    </w:p>
  </w:footnote>
  <w:footnote w:id="343">
    <w:p w14:paraId="52CC4B58" w14:textId="3C7AF706" w:rsidR="003B6A01" w:rsidRPr="00AB36AE" w:rsidRDefault="008A27E9" w:rsidP="008A27E9">
      <w:pPr>
        <w:pStyle w:val="FootnoteText"/>
        <w:rPr>
          <w:sz w:val="18"/>
          <w:szCs w:val="18"/>
          <w:lang w:val="en-US"/>
        </w:rPr>
      </w:pPr>
      <w:r w:rsidRPr="00AB36AE">
        <w:rPr>
          <w:rStyle w:val="FootnoteReference"/>
          <w:sz w:val="18"/>
          <w:szCs w:val="18"/>
        </w:rPr>
        <w:footnoteRef/>
      </w:r>
      <w:r w:rsidR="003B6A01" w:rsidRPr="00AB36AE">
        <w:rPr>
          <w:sz w:val="18"/>
          <w:szCs w:val="18"/>
          <w:lang w:val="fr-FR"/>
        </w:rPr>
        <w:t>ARAB, RK, 2364, fol. 66, 67.</w:t>
      </w:r>
    </w:p>
  </w:footnote>
  <w:footnote w:id="344">
    <w:p w14:paraId="529AA329" w14:textId="215A291A" w:rsidR="0074122A" w:rsidRPr="00AB36AE" w:rsidRDefault="0074122A" w:rsidP="0074122A">
      <w:pPr>
        <w:pStyle w:val="FootnoteText"/>
        <w:rPr>
          <w:sz w:val="18"/>
          <w:szCs w:val="18"/>
          <w:lang w:val="en-US"/>
        </w:rPr>
      </w:pPr>
      <w:r w:rsidRPr="00AB36AE">
        <w:rPr>
          <w:rStyle w:val="FootnoteReference"/>
          <w:sz w:val="18"/>
          <w:szCs w:val="18"/>
        </w:rPr>
        <w:footnoteRef/>
      </w:r>
      <w:r w:rsidRPr="00AB36AE">
        <w:rPr>
          <w:sz w:val="18"/>
          <w:szCs w:val="18"/>
          <w:lang w:val="en-US"/>
        </w:rPr>
        <w:t xml:space="preserve"> Woolgar, </w:t>
      </w:r>
      <w:r w:rsidR="002F2BB0" w:rsidRPr="00AB36AE">
        <w:rPr>
          <w:sz w:val="18"/>
          <w:szCs w:val="18"/>
          <w:lang w:val="en-US"/>
        </w:rPr>
        <w:t>“</w:t>
      </w:r>
      <w:r w:rsidRPr="00AB36AE">
        <w:rPr>
          <w:sz w:val="18"/>
          <w:szCs w:val="18"/>
          <w:lang w:val="en-US"/>
        </w:rPr>
        <w:t>Gifts of Food</w:t>
      </w:r>
      <w:r w:rsidR="002F2BB0" w:rsidRPr="00AB36AE">
        <w:rPr>
          <w:sz w:val="18"/>
          <w:szCs w:val="18"/>
          <w:lang w:val="en-US"/>
        </w:rPr>
        <w:t xml:space="preserve">”, </w:t>
      </w:r>
      <w:r w:rsidR="00501B89" w:rsidRPr="00AB36AE">
        <w:rPr>
          <w:sz w:val="18"/>
          <w:szCs w:val="18"/>
          <w:lang w:val="en-US"/>
        </w:rPr>
        <w:t>237.</w:t>
      </w:r>
    </w:p>
  </w:footnote>
  <w:footnote w:id="345">
    <w:p w14:paraId="117248B2" w14:textId="589FFAEB" w:rsidR="0074122A" w:rsidRPr="00AB36AE" w:rsidRDefault="0074122A" w:rsidP="0074122A">
      <w:pPr>
        <w:pStyle w:val="FootnoteText"/>
        <w:rPr>
          <w:sz w:val="18"/>
          <w:szCs w:val="18"/>
          <w:lang w:val="en-US"/>
        </w:rPr>
      </w:pPr>
      <w:r w:rsidRPr="00AB36AE">
        <w:rPr>
          <w:rStyle w:val="FootnoteReference"/>
          <w:sz w:val="18"/>
          <w:szCs w:val="18"/>
        </w:rPr>
        <w:footnoteRef/>
      </w:r>
      <w:r w:rsidRPr="00AB36AE">
        <w:rPr>
          <w:sz w:val="18"/>
          <w:szCs w:val="18"/>
          <w:lang w:val="en-US"/>
        </w:rPr>
        <w:t xml:space="preserve"> </w:t>
      </w:r>
      <w:r w:rsidR="00E84DD7" w:rsidRPr="00AB36AE">
        <w:rPr>
          <w:sz w:val="18"/>
          <w:szCs w:val="18"/>
          <w:lang w:val="fr-FR"/>
        </w:rPr>
        <w:t>ARAB, RK, 2362, fol. 69.</w:t>
      </w:r>
    </w:p>
  </w:footnote>
  <w:footnote w:id="346">
    <w:p w14:paraId="581E3F2E" w14:textId="3E87DB69" w:rsidR="00E84DD7" w:rsidRPr="00AB36AE" w:rsidRDefault="0074122A" w:rsidP="0074122A">
      <w:pPr>
        <w:pStyle w:val="FootnoteText"/>
        <w:rPr>
          <w:sz w:val="18"/>
          <w:szCs w:val="18"/>
          <w:lang w:val="en-US"/>
        </w:rPr>
      </w:pPr>
      <w:r w:rsidRPr="00AB36AE">
        <w:rPr>
          <w:rStyle w:val="FootnoteReference"/>
          <w:sz w:val="18"/>
          <w:szCs w:val="18"/>
        </w:rPr>
        <w:footnoteRef/>
      </w:r>
      <w:r w:rsidRPr="00AB36AE">
        <w:rPr>
          <w:sz w:val="18"/>
          <w:szCs w:val="18"/>
          <w:lang w:val="en-US"/>
        </w:rPr>
        <w:t xml:space="preserve"> </w:t>
      </w:r>
      <w:r w:rsidR="00E84DD7" w:rsidRPr="00AB36AE">
        <w:rPr>
          <w:sz w:val="18"/>
          <w:szCs w:val="18"/>
          <w:lang w:val="fr-FR"/>
        </w:rPr>
        <w:t>ARAB, RK, 2362, fol. 6</w:t>
      </w:r>
      <w:r w:rsidR="003B6A01" w:rsidRPr="00AB36AE">
        <w:rPr>
          <w:sz w:val="18"/>
          <w:szCs w:val="18"/>
          <w:lang w:val="fr-FR"/>
        </w:rPr>
        <w:t>7; ARAB, RK, 2363, fol.79 ; ARAB, RK, 2365, fol. 59.</w:t>
      </w:r>
    </w:p>
  </w:footnote>
  <w:footnote w:id="347">
    <w:p w14:paraId="4C533064" w14:textId="166619F0" w:rsidR="007812C7" w:rsidRPr="00AB36AE" w:rsidRDefault="007812C7">
      <w:pPr>
        <w:pStyle w:val="FootnoteText"/>
        <w:rPr>
          <w:sz w:val="18"/>
          <w:szCs w:val="18"/>
          <w:lang w:val="en-US"/>
        </w:rPr>
      </w:pPr>
      <w:r w:rsidRPr="00AB36AE">
        <w:rPr>
          <w:rStyle w:val="FootnoteReference"/>
          <w:sz w:val="18"/>
          <w:szCs w:val="18"/>
        </w:rPr>
        <w:footnoteRef/>
      </w:r>
      <w:r w:rsidRPr="00AB36AE">
        <w:rPr>
          <w:sz w:val="18"/>
          <w:szCs w:val="18"/>
        </w:rPr>
        <w:t xml:space="preserve"> </w:t>
      </w:r>
      <w:r w:rsidRPr="00AB36AE">
        <w:rPr>
          <w:sz w:val="18"/>
          <w:szCs w:val="18"/>
          <w:lang w:val="en-US"/>
        </w:rPr>
        <w:t>Damen</w:t>
      </w:r>
      <w:r w:rsidR="0032494D" w:rsidRPr="00AB36AE">
        <w:rPr>
          <w:sz w:val="18"/>
          <w:szCs w:val="18"/>
          <w:lang w:val="en-US"/>
        </w:rPr>
        <w:t>, “</w:t>
      </w:r>
      <w:r w:rsidR="0032494D" w:rsidRPr="00AB36AE">
        <w:rPr>
          <w:sz w:val="18"/>
          <w:szCs w:val="18"/>
          <w:lang w:val="en-BE"/>
        </w:rPr>
        <w:t xml:space="preserve">Gift exchange”, </w:t>
      </w:r>
      <w:r w:rsidR="00DB632F" w:rsidRPr="00AB36AE">
        <w:rPr>
          <w:sz w:val="18"/>
          <w:szCs w:val="18"/>
          <w:lang w:val="en-BE"/>
        </w:rPr>
        <w:t>90-91.</w:t>
      </w:r>
    </w:p>
  </w:footnote>
  <w:footnote w:id="348">
    <w:p w14:paraId="33842733" w14:textId="722FB241" w:rsidR="007812C7" w:rsidRPr="00AB36AE" w:rsidRDefault="007812C7">
      <w:pPr>
        <w:pStyle w:val="FootnoteText"/>
        <w:rPr>
          <w:sz w:val="18"/>
          <w:szCs w:val="18"/>
          <w:lang w:val="en-US"/>
        </w:rPr>
      </w:pPr>
      <w:r w:rsidRPr="00AB36AE">
        <w:rPr>
          <w:rStyle w:val="FootnoteReference"/>
          <w:sz w:val="18"/>
          <w:szCs w:val="18"/>
        </w:rPr>
        <w:footnoteRef/>
      </w:r>
      <w:r w:rsidRPr="00AB36AE">
        <w:rPr>
          <w:sz w:val="18"/>
          <w:szCs w:val="18"/>
        </w:rPr>
        <w:t xml:space="preserve"> </w:t>
      </w:r>
      <w:r w:rsidR="005D060A" w:rsidRPr="00AB36AE">
        <w:rPr>
          <w:sz w:val="18"/>
          <w:szCs w:val="18"/>
          <w:lang w:val="en-BE"/>
        </w:rPr>
        <w:t xml:space="preserve">Groebner, </w:t>
      </w:r>
      <w:r w:rsidR="005D060A" w:rsidRPr="00AB36AE">
        <w:rPr>
          <w:i/>
          <w:iCs/>
          <w:sz w:val="18"/>
          <w:szCs w:val="18"/>
          <w:lang w:val="en-BE"/>
        </w:rPr>
        <w:t>Liquid assets</w:t>
      </w:r>
      <w:r w:rsidR="005D060A" w:rsidRPr="00AB36AE">
        <w:rPr>
          <w:sz w:val="18"/>
          <w:szCs w:val="18"/>
          <w:lang w:val="en-BE"/>
        </w:rPr>
        <w:t>, 37-41.</w:t>
      </w:r>
    </w:p>
  </w:footnote>
  <w:footnote w:id="349">
    <w:p w14:paraId="60A61500" w14:textId="33D8206A" w:rsidR="006958F9" w:rsidRPr="00AB36AE" w:rsidRDefault="006958F9" w:rsidP="006958F9">
      <w:pPr>
        <w:pStyle w:val="FootnoteText"/>
        <w:rPr>
          <w:sz w:val="18"/>
          <w:szCs w:val="18"/>
          <w:lang w:val="en-US"/>
        </w:rPr>
      </w:pPr>
      <w:r w:rsidRPr="00AB36AE">
        <w:rPr>
          <w:rStyle w:val="FootnoteReference"/>
          <w:sz w:val="18"/>
          <w:szCs w:val="18"/>
        </w:rPr>
        <w:footnoteRef/>
      </w:r>
      <w:r w:rsidRPr="00AB36AE">
        <w:rPr>
          <w:sz w:val="18"/>
          <w:szCs w:val="18"/>
          <w:lang w:val="en-US"/>
        </w:rPr>
        <w:t xml:space="preserve"> Seah, </w:t>
      </w:r>
      <w:r w:rsidR="0096230D" w:rsidRPr="00AB36AE">
        <w:rPr>
          <w:sz w:val="18"/>
          <w:szCs w:val="18"/>
          <w:lang w:val="en-US"/>
        </w:rPr>
        <w:t>“</w:t>
      </w:r>
      <w:r w:rsidRPr="00AB36AE">
        <w:rPr>
          <w:sz w:val="18"/>
          <w:szCs w:val="18"/>
          <w:lang w:val="en-US"/>
        </w:rPr>
        <w:t>Gifts and Rewards</w:t>
      </w:r>
      <w:r w:rsidR="0096230D" w:rsidRPr="00AB36AE">
        <w:rPr>
          <w:sz w:val="18"/>
          <w:szCs w:val="18"/>
          <w:lang w:val="en-US"/>
        </w:rPr>
        <w:t>”,</w:t>
      </w:r>
      <w:r w:rsidRPr="00AB36AE">
        <w:rPr>
          <w:sz w:val="18"/>
          <w:szCs w:val="18"/>
          <w:lang w:val="en-US"/>
        </w:rPr>
        <w:t xml:space="preserve"> 596-597. </w:t>
      </w:r>
    </w:p>
  </w:footnote>
  <w:footnote w:id="350">
    <w:p w14:paraId="5E80858D" w14:textId="38F6FE72" w:rsidR="006958F9" w:rsidRPr="00AB36AE" w:rsidRDefault="006958F9" w:rsidP="006958F9">
      <w:pPr>
        <w:pStyle w:val="FootnoteText"/>
        <w:rPr>
          <w:sz w:val="18"/>
          <w:szCs w:val="18"/>
          <w:lang w:val="en-US"/>
        </w:rPr>
      </w:pPr>
      <w:r w:rsidRPr="00AB36AE">
        <w:rPr>
          <w:rStyle w:val="FootnoteReference"/>
          <w:sz w:val="18"/>
          <w:szCs w:val="18"/>
        </w:rPr>
        <w:footnoteRef/>
      </w:r>
      <w:r w:rsidRPr="00AB36AE">
        <w:rPr>
          <w:sz w:val="18"/>
          <w:szCs w:val="18"/>
          <w:lang w:val="en-US"/>
        </w:rPr>
        <w:t xml:space="preserve"> Seah, </w:t>
      </w:r>
      <w:r w:rsidR="0096230D" w:rsidRPr="00AB36AE">
        <w:rPr>
          <w:sz w:val="18"/>
          <w:szCs w:val="18"/>
          <w:lang w:val="en-US"/>
        </w:rPr>
        <w:t>“</w:t>
      </w:r>
      <w:r w:rsidRPr="00AB36AE">
        <w:rPr>
          <w:sz w:val="18"/>
          <w:szCs w:val="18"/>
          <w:lang w:val="en-US"/>
        </w:rPr>
        <w:t>Gifts and Rewards</w:t>
      </w:r>
      <w:r w:rsidR="0096230D" w:rsidRPr="00AB36AE">
        <w:rPr>
          <w:sz w:val="18"/>
          <w:szCs w:val="18"/>
          <w:lang w:val="en-US"/>
        </w:rPr>
        <w:t>”,</w:t>
      </w:r>
      <w:r w:rsidRPr="00AB36AE">
        <w:rPr>
          <w:sz w:val="18"/>
          <w:szCs w:val="18"/>
          <w:lang w:val="en-US"/>
        </w:rPr>
        <w:t xml:space="preserve"> 595. </w:t>
      </w:r>
    </w:p>
  </w:footnote>
  <w:footnote w:id="351">
    <w:p w14:paraId="5623E10C" w14:textId="7E0E60EE" w:rsidR="006958F9" w:rsidRPr="00AB36AE" w:rsidRDefault="006958F9" w:rsidP="006958F9">
      <w:pPr>
        <w:pStyle w:val="FootnoteText"/>
        <w:rPr>
          <w:sz w:val="18"/>
          <w:szCs w:val="18"/>
        </w:rPr>
      </w:pPr>
      <w:r w:rsidRPr="00AB36AE">
        <w:rPr>
          <w:rStyle w:val="FootnoteReference"/>
          <w:sz w:val="18"/>
          <w:szCs w:val="18"/>
        </w:rPr>
        <w:footnoteRef/>
      </w:r>
      <w:r w:rsidRPr="00AB36AE">
        <w:rPr>
          <w:sz w:val="18"/>
          <w:szCs w:val="18"/>
        </w:rPr>
        <w:t xml:space="preserve"> </w:t>
      </w:r>
      <w:r w:rsidR="00E43E6B" w:rsidRPr="00AB36AE">
        <w:rPr>
          <w:sz w:val="18"/>
          <w:szCs w:val="18"/>
        </w:rPr>
        <w:t xml:space="preserve">Albrechts, </w:t>
      </w:r>
      <w:r w:rsidR="00E43E6B" w:rsidRPr="00AB36AE">
        <w:rPr>
          <w:i/>
          <w:iCs/>
          <w:sz w:val="18"/>
          <w:szCs w:val="18"/>
        </w:rPr>
        <w:t>Geschiedenis van Gelderland</w:t>
      </w:r>
      <w:r w:rsidR="00E43E6B" w:rsidRPr="00AB36AE">
        <w:rPr>
          <w:sz w:val="18"/>
          <w:szCs w:val="18"/>
        </w:rPr>
        <w:t>, 78</w:t>
      </w:r>
      <w:r w:rsidR="007432B0">
        <w:rPr>
          <w:sz w:val="18"/>
          <w:szCs w:val="18"/>
        </w:rPr>
        <w:t>.</w:t>
      </w:r>
    </w:p>
  </w:footnote>
  <w:footnote w:id="352">
    <w:p w14:paraId="397D66CC" w14:textId="74CF108A" w:rsidR="006958F9" w:rsidRPr="00AB36AE" w:rsidRDefault="006958F9" w:rsidP="006958F9">
      <w:pPr>
        <w:pStyle w:val="FootnoteText"/>
        <w:rPr>
          <w:sz w:val="18"/>
          <w:szCs w:val="18"/>
        </w:rPr>
      </w:pPr>
      <w:r w:rsidRPr="00AB36AE">
        <w:rPr>
          <w:rStyle w:val="FootnoteReference"/>
          <w:sz w:val="18"/>
          <w:szCs w:val="18"/>
        </w:rPr>
        <w:footnoteRef/>
      </w:r>
      <w:r w:rsidRPr="00AB36AE">
        <w:rPr>
          <w:sz w:val="18"/>
          <w:szCs w:val="18"/>
          <w:lang w:val="en-US"/>
        </w:rPr>
        <w:t xml:space="preserve"> </w:t>
      </w:r>
      <w:r w:rsidR="002F2BB0" w:rsidRPr="00AB36AE">
        <w:rPr>
          <w:sz w:val="18"/>
          <w:szCs w:val="18"/>
        </w:rPr>
        <w:t>Dimphéna Groffen, </w:t>
      </w:r>
      <w:r w:rsidR="002F2BB0" w:rsidRPr="00AB36AE">
        <w:rPr>
          <w:i/>
          <w:iCs/>
          <w:sz w:val="18"/>
          <w:szCs w:val="18"/>
        </w:rPr>
        <w:t>Mechteld van Gelre</w:t>
      </w:r>
      <w:r w:rsidR="002F2BB0" w:rsidRPr="00AB36AE">
        <w:rPr>
          <w:sz w:val="18"/>
          <w:szCs w:val="18"/>
        </w:rPr>
        <w:t>, in: </w:t>
      </w:r>
      <w:r w:rsidR="002F2BB0" w:rsidRPr="00AB36AE">
        <w:rPr>
          <w:i/>
          <w:iCs/>
          <w:sz w:val="18"/>
          <w:szCs w:val="18"/>
        </w:rPr>
        <w:t>Digitaal Vrouwenlexicon van Nederland.</w:t>
      </w:r>
      <w:r w:rsidR="002F2BB0" w:rsidRPr="00AB36AE">
        <w:rPr>
          <w:sz w:val="18"/>
          <w:szCs w:val="18"/>
        </w:rPr>
        <w:t> </w:t>
      </w:r>
      <w:r w:rsidR="0045464A" w:rsidRPr="00AB36AE">
        <w:rPr>
          <w:sz w:val="18"/>
          <w:szCs w:val="18"/>
        </w:rPr>
        <w:t xml:space="preserve">Geraadpleegd op 5 mei 2026, </w:t>
      </w:r>
      <w:r w:rsidR="002F2BB0" w:rsidRPr="00AB36AE">
        <w:rPr>
          <w:sz w:val="18"/>
          <w:szCs w:val="18"/>
        </w:rPr>
        <w:t>https://resources.huygens.knaw.nl/vrouwenlexicon/lemmata/data/Mechteld van Gelre</w:t>
      </w:r>
      <w:r w:rsidR="0045464A" w:rsidRPr="00AB36AE">
        <w:rPr>
          <w:sz w:val="18"/>
          <w:szCs w:val="18"/>
        </w:rPr>
        <w:t>.</w:t>
      </w:r>
    </w:p>
  </w:footnote>
  <w:footnote w:id="353">
    <w:p w14:paraId="192B25AA" w14:textId="5C1D47CE" w:rsidR="008171B7" w:rsidRPr="00AB36AE" w:rsidRDefault="006958F9" w:rsidP="006958F9">
      <w:pPr>
        <w:pStyle w:val="FootnoteText"/>
        <w:rPr>
          <w:sz w:val="18"/>
          <w:szCs w:val="18"/>
          <w:lang w:val="en-BE"/>
        </w:rPr>
      </w:pPr>
      <w:r w:rsidRPr="00AB36AE">
        <w:rPr>
          <w:rStyle w:val="FootnoteReference"/>
          <w:sz w:val="18"/>
          <w:szCs w:val="18"/>
        </w:rPr>
        <w:footnoteRef/>
      </w:r>
      <w:r w:rsidRPr="00AB36AE">
        <w:rPr>
          <w:sz w:val="18"/>
          <w:szCs w:val="18"/>
          <w:lang w:val="en-US"/>
        </w:rPr>
        <w:t xml:space="preserve"> </w:t>
      </w:r>
      <w:r w:rsidR="008171B7" w:rsidRPr="00AB36AE">
        <w:rPr>
          <w:sz w:val="18"/>
          <w:szCs w:val="18"/>
          <w:lang w:val="en-BE"/>
        </w:rPr>
        <w:t xml:space="preserve">Arnhem, Gelders Archief, </w:t>
      </w:r>
      <w:r w:rsidR="008171B7" w:rsidRPr="00AB36AE">
        <w:rPr>
          <w:i/>
          <w:iCs/>
          <w:sz w:val="18"/>
          <w:szCs w:val="18"/>
          <w:lang w:val="en-BE"/>
        </w:rPr>
        <w:t>Hertogelijk Archief van Gelre</w:t>
      </w:r>
      <w:r w:rsidR="008171B7" w:rsidRPr="00AB36AE">
        <w:rPr>
          <w:sz w:val="18"/>
          <w:szCs w:val="18"/>
          <w:lang w:val="en-BE"/>
        </w:rPr>
        <w:t xml:space="preserve">, nr. 0001.2.07.3.3.555; Arnhem, Gelders Archief, </w:t>
      </w:r>
      <w:r w:rsidR="008171B7" w:rsidRPr="00AB36AE">
        <w:rPr>
          <w:i/>
          <w:iCs/>
          <w:sz w:val="18"/>
          <w:szCs w:val="18"/>
          <w:lang w:val="en-BE"/>
        </w:rPr>
        <w:t>Hertogelijk Archief van Gelre</w:t>
      </w:r>
      <w:r w:rsidR="008171B7" w:rsidRPr="00AB36AE">
        <w:rPr>
          <w:sz w:val="18"/>
          <w:szCs w:val="18"/>
          <w:lang w:val="en-BE"/>
        </w:rPr>
        <w:t>, nr. 0001.2.07.3.3.556</w:t>
      </w:r>
      <w:r w:rsidR="00EE70CD" w:rsidRPr="00AB36AE">
        <w:rPr>
          <w:sz w:val="18"/>
          <w:szCs w:val="18"/>
          <w:lang w:val="en-BE"/>
        </w:rPr>
        <w:t>.</w:t>
      </w:r>
    </w:p>
  </w:footnote>
  <w:footnote w:id="354">
    <w:p w14:paraId="68217B42" w14:textId="08948BBD" w:rsidR="004A3AB3" w:rsidRPr="00AB36AE" w:rsidRDefault="004A3AB3">
      <w:pPr>
        <w:pStyle w:val="FootnoteText"/>
        <w:rPr>
          <w:sz w:val="18"/>
          <w:szCs w:val="18"/>
          <w:lang w:val="en-US"/>
        </w:rPr>
      </w:pPr>
      <w:r w:rsidRPr="00AB36AE">
        <w:rPr>
          <w:rStyle w:val="FootnoteReference"/>
          <w:sz w:val="18"/>
          <w:szCs w:val="18"/>
        </w:rPr>
        <w:footnoteRef/>
      </w:r>
      <w:r w:rsidRPr="00AB36AE">
        <w:rPr>
          <w:sz w:val="18"/>
          <w:szCs w:val="18"/>
        </w:rPr>
        <w:t xml:space="preserve"> </w:t>
      </w:r>
      <w:r w:rsidR="002F2BB0" w:rsidRPr="00AB36AE">
        <w:rPr>
          <w:sz w:val="18"/>
          <w:szCs w:val="18"/>
          <w:lang w:val="en-BE"/>
        </w:rPr>
        <w:t xml:space="preserve">Arnhem, Gelders Archief, </w:t>
      </w:r>
      <w:r w:rsidR="002F2BB0" w:rsidRPr="00AB36AE">
        <w:rPr>
          <w:i/>
          <w:iCs/>
          <w:sz w:val="18"/>
          <w:szCs w:val="18"/>
          <w:lang w:val="en-BE"/>
        </w:rPr>
        <w:t>Hertogelijk Archief van Gelre</w:t>
      </w:r>
      <w:r w:rsidR="002F2BB0" w:rsidRPr="00AB36AE">
        <w:rPr>
          <w:sz w:val="18"/>
          <w:szCs w:val="18"/>
          <w:lang w:val="en-BE"/>
        </w:rPr>
        <w:t>, nr. 0001.2.07.3.3.553, Omslag van brief 1 en 2.</w:t>
      </w:r>
    </w:p>
  </w:footnote>
  <w:footnote w:id="355">
    <w:p w14:paraId="68BDB084" w14:textId="77777777" w:rsidR="00152BD9" w:rsidRPr="00AB36AE" w:rsidRDefault="00152BD9" w:rsidP="00152BD9">
      <w:pPr>
        <w:pStyle w:val="FootnoteText"/>
        <w:rPr>
          <w:sz w:val="18"/>
          <w:szCs w:val="18"/>
          <w:lang w:val="en-US"/>
        </w:rPr>
      </w:pPr>
      <w:r w:rsidRPr="00AB36AE">
        <w:rPr>
          <w:rStyle w:val="FootnoteReference"/>
          <w:sz w:val="18"/>
          <w:szCs w:val="18"/>
        </w:rPr>
        <w:footnoteRef/>
      </w:r>
      <w:r w:rsidRPr="00AB36AE">
        <w:rPr>
          <w:sz w:val="18"/>
          <w:szCs w:val="18"/>
          <w:lang w:val="en-US"/>
        </w:rPr>
        <w:t xml:space="preserve"> 65 (1379-80), 78 (1377-78), 62 (1376-77)</w:t>
      </w:r>
    </w:p>
  </w:footnote>
  <w:footnote w:id="356">
    <w:p w14:paraId="3BC96665" w14:textId="47FC7705" w:rsidR="00152BD9" w:rsidRPr="00AB36AE" w:rsidRDefault="00152BD9" w:rsidP="00152BD9">
      <w:pPr>
        <w:pStyle w:val="FootnoteText"/>
        <w:rPr>
          <w:sz w:val="18"/>
          <w:szCs w:val="18"/>
          <w:lang w:val="en-US"/>
        </w:rPr>
      </w:pPr>
      <w:r w:rsidRPr="00AB36AE">
        <w:rPr>
          <w:rStyle w:val="FootnoteReference"/>
          <w:sz w:val="18"/>
          <w:szCs w:val="18"/>
        </w:rPr>
        <w:footnoteRef/>
      </w:r>
      <w:r w:rsidR="009A3E1F" w:rsidRPr="00AB36AE">
        <w:rPr>
          <w:sz w:val="18"/>
          <w:szCs w:val="18"/>
          <w:lang w:val="en-US"/>
        </w:rPr>
        <w:t xml:space="preserve"> </w:t>
      </w:r>
      <w:r w:rsidRPr="00AB36AE">
        <w:rPr>
          <w:sz w:val="18"/>
          <w:szCs w:val="18"/>
          <w:lang w:val="en-US"/>
        </w:rPr>
        <w:t xml:space="preserve">Heal, </w:t>
      </w:r>
      <w:r w:rsidR="009A3E1F" w:rsidRPr="00AB36AE">
        <w:rPr>
          <w:sz w:val="18"/>
          <w:szCs w:val="18"/>
          <w:lang w:val="en-US"/>
        </w:rPr>
        <w:t>“</w:t>
      </w:r>
      <w:r w:rsidRPr="00AB36AE">
        <w:rPr>
          <w:sz w:val="18"/>
          <w:szCs w:val="18"/>
          <w:lang w:val="en-US"/>
        </w:rPr>
        <w:t>The Power of Gifts</w:t>
      </w:r>
      <w:r w:rsidR="009A3E1F" w:rsidRPr="00AB36AE">
        <w:rPr>
          <w:sz w:val="18"/>
          <w:szCs w:val="18"/>
          <w:lang w:val="en-US"/>
        </w:rPr>
        <w:t>”</w:t>
      </w:r>
      <w:r w:rsidRPr="00AB36AE">
        <w:rPr>
          <w:sz w:val="18"/>
          <w:szCs w:val="18"/>
          <w:lang w:val="en-US"/>
        </w:rPr>
        <w:t>, 40</w:t>
      </w:r>
      <w:r w:rsidR="0096230D" w:rsidRPr="00AB36AE">
        <w:rPr>
          <w:sz w:val="18"/>
          <w:szCs w:val="18"/>
          <w:lang w:val="en-US"/>
        </w:rPr>
        <w:t>.</w:t>
      </w:r>
    </w:p>
  </w:footnote>
  <w:footnote w:id="357">
    <w:p w14:paraId="783F45CD" w14:textId="3EC41F34" w:rsidR="00152BD9" w:rsidRPr="00AB36AE" w:rsidRDefault="00152BD9" w:rsidP="00152BD9">
      <w:pPr>
        <w:pStyle w:val="FootnoteText"/>
        <w:rPr>
          <w:sz w:val="18"/>
          <w:szCs w:val="18"/>
          <w:lang w:val="en-US"/>
        </w:rPr>
      </w:pPr>
      <w:r w:rsidRPr="00AB36AE">
        <w:rPr>
          <w:rStyle w:val="FootnoteReference"/>
          <w:sz w:val="18"/>
          <w:szCs w:val="18"/>
        </w:rPr>
        <w:footnoteRef/>
      </w:r>
      <w:r w:rsidRPr="00AB36AE">
        <w:rPr>
          <w:sz w:val="18"/>
          <w:szCs w:val="18"/>
          <w:lang w:val="en-US"/>
        </w:rPr>
        <w:t xml:space="preserve"> </w:t>
      </w:r>
      <w:r w:rsidR="0096230D" w:rsidRPr="00AB36AE">
        <w:rPr>
          <w:sz w:val="18"/>
          <w:szCs w:val="18"/>
          <w:lang w:val="en-BE"/>
        </w:rPr>
        <w:t xml:space="preserve">In ’t Velt, “To a dear and merciful woman”, </w:t>
      </w:r>
      <w:r w:rsidRPr="00AB36AE">
        <w:rPr>
          <w:sz w:val="18"/>
          <w:szCs w:val="18"/>
          <w:lang w:val="en-US"/>
        </w:rPr>
        <w:t xml:space="preserve">78. </w:t>
      </w:r>
    </w:p>
  </w:footnote>
  <w:footnote w:id="358">
    <w:p w14:paraId="5CC8018B" w14:textId="12E25853" w:rsidR="00152BD9" w:rsidRPr="00AB36AE" w:rsidRDefault="00152BD9" w:rsidP="00152BD9">
      <w:pPr>
        <w:pStyle w:val="FootnoteText"/>
        <w:rPr>
          <w:sz w:val="18"/>
          <w:szCs w:val="18"/>
        </w:rPr>
      </w:pPr>
      <w:r w:rsidRPr="00AB36AE">
        <w:rPr>
          <w:rStyle w:val="FootnoteReference"/>
          <w:sz w:val="18"/>
          <w:szCs w:val="18"/>
        </w:rPr>
        <w:footnoteRef/>
      </w:r>
      <w:r w:rsidR="0096230D" w:rsidRPr="00AB36AE">
        <w:rPr>
          <w:sz w:val="18"/>
          <w:szCs w:val="18"/>
        </w:rPr>
        <w:t xml:space="preserve"> Albrechts, </w:t>
      </w:r>
      <w:r w:rsidR="0096230D" w:rsidRPr="00AB36AE">
        <w:rPr>
          <w:i/>
          <w:iCs/>
          <w:sz w:val="18"/>
          <w:szCs w:val="18"/>
        </w:rPr>
        <w:t>Geschiedenis van Gelderland</w:t>
      </w:r>
      <w:r w:rsidR="0096230D" w:rsidRPr="00AB36AE">
        <w:rPr>
          <w:sz w:val="18"/>
          <w:szCs w:val="18"/>
        </w:rPr>
        <w:t>, 79.</w:t>
      </w:r>
      <w:r w:rsidRPr="00AB36AE">
        <w:rPr>
          <w:sz w:val="18"/>
          <w:szCs w:val="18"/>
        </w:rPr>
        <w:t xml:space="preserve"> </w:t>
      </w:r>
    </w:p>
  </w:footnote>
  <w:footnote w:id="359">
    <w:p w14:paraId="2DD72F62" w14:textId="4EEEF59A" w:rsidR="0096230D" w:rsidRPr="00AB36AE" w:rsidRDefault="00152BD9" w:rsidP="00152BD9">
      <w:pPr>
        <w:pStyle w:val="FootnoteText"/>
        <w:rPr>
          <w:sz w:val="18"/>
          <w:szCs w:val="18"/>
          <w:lang w:val="en-US"/>
        </w:rPr>
      </w:pPr>
      <w:r w:rsidRPr="00AB36AE">
        <w:rPr>
          <w:rStyle w:val="FootnoteReference"/>
          <w:sz w:val="18"/>
          <w:szCs w:val="18"/>
        </w:rPr>
        <w:footnoteRef/>
      </w:r>
      <w:r w:rsidRPr="00AB36AE">
        <w:rPr>
          <w:sz w:val="18"/>
          <w:szCs w:val="18"/>
          <w:lang w:val="en-US"/>
        </w:rPr>
        <w:t xml:space="preserve"> </w:t>
      </w:r>
      <w:r w:rsidR="0096230D" w:rsidRPr="00AB36AE">
        <w:rPr>
          <w:sz w:val="18"/>
          <w:szCs w:val="18"/>
          <w:lang w:val="fr-FR"/>
        </w:rPr>
        <w:t xml:space="preserve">ARAB, RK, </w:t>
      </w:r>
      <w:r w:rsidR="003B0128" w:rsidRPr="00AB36AE">
        <w:rPr>
          <w:sz w:val="18"/>
          <w:szCs w:val="18"/>
          <w:lang w:val="fr-FR"/>
        </w:rPr>
        <w:t xml:space="preserve">Nr. </w:t>
      </w:r>
      <w:r w:rsidR="0096230D" w:rsidRPr="00AB36AE">
        <w:rPr>
          <w:sz w:val="18"/>
          <w:szCs w:val="18"/>
          <w:lang w:val="fr-FR"/>
        </w:rPr>
        <w:t>236</w:t>
      </w:r>
      <w:r w:rsidR="009A3E1F" w:rsidRPr="00AB36AE">
        <w:rPr>
          <w:sz w:val="18"/>
          <w:szCs w:val="18"/>
          <w:lang w:val="fr-FR"/>
        </w:rPr>
        <w:t>2</w:t>
      </w:r>
      <w:r w:rsidR="0096230D" w:rsidRPr="00AB36AE">
        <w:rPr>
          <w:sz w:val="18"/>
          <w:szCs w:val="18"/>
          <w:lang w:val="fr-FR"/>
        </w:rPr>
        <w:t xml:space="preserve">, fol. </w:t>
      </w:r>
      <w:r w:rsidR="009A3E1F" w:rsidRPr="00AB36AE">
        <w:rPr>
          <w:sz w:val="18"/>
          <w:szCs w:val="18"/>
          <w:lang w:val="fr-FR"/>
        </w:rPr>
        <w:t>62 ; ARAB, RK,</w:t>
      </w:r>
      <w:r w:rsidR="003B0128" w:rsidRPr="00AB36AE">
        <w:rPr>
          <w:sz w:val="18"/>
          <w:szCs w:val="18"/>
          <w:lang w:val="fr-FR"/>
        </w:rPr>
        <w:t xml:space="preserve"> Nr.</w:t>
      </w:r>
      <w:r w:rsidR="009A3E1F" w:rsidRPr="00AB36AE">
        <w:rPr>
          <w:sz w:val="18"/>
          <w:szCs w:val="18"/>
          <w:lang w:val="fr-FR"/>
        </w:rPr>
        <w:t xml:space="preserve"> 2363, fol. 78 ; ARAB, RK, </w:t>
      </w:r>
      <w:r w:rsidR="003B0128" w:rsidRPr="00AB36AE">
        <w:rPr>
          <w:sz w:val="18"/>
          <w:szCs w:val="18"/>
          <w:lang w:val="fr-FR"/>
        </w:rPr>
        <w:t xml:space="preserve">Nr. </w:t>
      </w:r>
      <w:r w:rsidR="009A3E1F" w:rsidRPr="00AB36AE">
        <w:rPr>
          <w:sz w:val="18"/>
          <w:szCs w:val="18"/>
          <w:lang w:val="fr-FR"/>
        </w:rPr>
        <w:t>2365, fol. 65.</w:t>
      </w:r>
    </w:p>
  </w:footnote>
  <w:footnote w:id="360">
    <w:p w14:paraId="0687EC87" w14:textId="08A97803" w:rsidR="009A3E1F" w:rsidRPr="00AB36AE" w:rsidRDefault="00152BD9" w:rsidP="00152BD9">
      <w:pPr>
        <w:pStyle w:val="FootnoteText"/>
        <w:rPr>
          <w:sz w:val="18"/>
          <w:szCs w:val="18"/>
          <w:lang w:val="en-US"/>
        </w:rPr>
      </w:pPr>
      <w:r w:rsidRPr="00AB36AE">
        <w:rPr>
          <w:rStyle w:val="FootnoteReference"/>
          <w:sz w:val="18"/>
          <w:szCs w:val="18"/>
        </w:rPr>
        <w:footnoteRef/>
      </w:r>
      <w:r w:rsidRPr="00AB36AE">
        <w:rPr>
          <w:sz w:val="18"/>
          <w:szCs w:val="18"/>
          <w:lang w:val="en-US"/>
        </w:rPr>
        <w:t xml:space="preserve"> </w:t>
      </w:r>
      <w:r w:rsidR="009A3E1F" w:rsidRPr="00AB36AE">
        <w:rPr>
          <w:sz w:val="18"/>
          <w:szCs w:val="18"/>
          <w:lang w:val="fr-FR"/>
        </w:rPr>
        <w:t xml:space="preserve">ARAB, RK, </w:t>
      </w:r>
      <w:r w:rsidR="003B0128" w:rsidRPr="00AB36AE">
        <w:rPr>
          <w:sz w:val="18"/>
          <w:szCs w:val="18"/>
          <w:lang w:val="fr-FR"/>
        </w:rPr>
        <w:t xml:space="preserve">Nr. </w:t>
      </w:r>
      <w:r w:rsidR="009A3E1F" w:rsidRPr="00AB36AE">
        <w:rPr>
          <w:sz w:val="18"/>
          <w:szCs w:val="18"/>
          <w:lang w:val="fr-FR"/>
        </w:rPr>
        <w:t>2362, fol. 61</w:t>
      </w:r>
      <w:r w:rsidR="007432B0">
        <w:rPr>
          <w:sz w:val="18"/>
          <w:szCs w:val="18"/>
          <w:lang w:val="fr-FR"/>
        </w:rPr>
        <w:t>.</w:t>
      </w:r>
    </w:p>
  </w:footnote>
  <w:footnote w:id="361">
    <w:p w14:paraId="46DB3157" w14:textId="0D9B0762" w:rsidR="00152BD9" w:rsidRPr="00AB36AE" w:rsidRDefault="00152BD9" w:rsidP="00152BD9">
      <w:pPr>
        <w:pStyle w:val="FootnoteText"/>
        <w:rPr>
          <w:sz w:val="18"/>
          <w:szCs w:val="18"/>
          <w:lang w:val="en-US"/>
        </w:rPr>
      </w:pPr>
      <w:r w:rsidRPr="00AB36AE">
        <w:rPr>
          <w:rStyle w:val="FootnoteReference"/>
          <w:sz w:val="18"/>
          <w:szCs w:val="18"/>
        </w:rPr>
        <w:footnoteRef/>
      </w:r>
      <w:r w:rsidRPr="00AB36AE">
        <w:rPr>
          <w:sz w:val="18"/>
          <w:szCs w:val="18"/>
          <w:lang w:val="en-US"/>
        </w:rPr>
        <w:t xml:space="preserve"> </w:t>
      </w:r>
      <w:r w:rsidR="009A3E1F" w:rsidRPr="00AB36AE">
        <w:rPr>
          <w:sz w:val="18"/>
          <w:szCs w:val="18"/>
          <w:lang w:val="en-US"/>
        </w:rPr>
        <w:t xml:space="preserve">Seah, “Gifts and Rewards”, </w:t>
      </w:r>
      <w:r w:rsidRPr="00AB36AE">
        <w:rPr>
          <w:sz w:val="18"/>
          <w:szCs w:val="18"/>
          <w:lang w:val="en-US"/>
        </w:rPr>
        <w:t xml:space="preserve">595. </w:t>
      </w:r>
    </w:p>
  </w:footnote>
  <w:footnote w:id="362">
    <w:p w14:paraId="00E44DDF" w14:textId="6F3E97CA" w:rsidR="00647B6D" w:rsidRPr="00AB36AE" w:rsidRDefault="00CC0385" w:rsidP="00CC0385">
      <w:pPr>
        <w:pStyle w:val="FootnoteText"/>
        <w:rPr>
          <w:sz w:val="18"/>
          <w:szCs w:val="18"/>
        </w:rPr>
      </w:pPr>
      <w:r w:rsidRPr="00AB36AE">
        <w:rPr>
          <w:rStyle w:val="FootnoteReference"/>
          <w:sz w:val="18"/>
          <w:szCs w:val="18"/>
        </w:rPr>
        <w:footnoteRef/>
      </w:r>
      <w:r w:rsidRPr="00AB36AE">
        <w:rPr>
          <w:sz w:val="18"/>
          <w:szCs w:val="18"/>
        </w:rPr>
        <w:t xml:space="preserve"> </w:t>
      </w:r>
      <w:r w:rsidR="00647B6D" w:rsidRPr="00AB36AE">
        <w:rPr>
          <w:sz w:val="18"/>
          <w:szCs w:val="18"/>
          <w:lang w:val="fr-FR"/>
        </w:rPr>
        <w:t>ARAB, RK,</w:t>
      </w:r>
      <w:r w:rsidR="003B0128" w:rsidRPr="00AB36AE">
        <w:rPr>
          <w:sz w:val="18"/>
          <w:szCs w:val="18"/>
          <w:lang w:val="fr-FR"/>
        </w:rPr>
        <w:t xml:space="preserve"> Nr.</w:t>
      </w:r>
      <w:r w:rsidR="00647B6D" w:rsidRPr="00AB36AE">
        <w:rPr>
          <w:sz w:val="18"/>
          <w:szCs w:val="18"/>
          <w:lang w:val="fr-FR"/>
        </w:rPr>
        <w:t xml:space="preserve"> 2364, fol. 69.</w:t>
      </w:r>
    </w:p>
  </w:footnote>
  <w:footnote w:id="363">
    <w:p w14:paraId="637F10D4" w14:textId="7F649386" w:rsidR="005D174E" w:rsidRPr="00AB36AE" w:rsidRDefault="005D174E" w:rsidP="005D174E">
      <w:pPr>
        <w:pStyle w:val="FootnoteText"/>
        <w:rPr>
          <w:sz w:val="18"/>
          <w:szCs w:val="18"/>
          <w:lang w:val="en-US"/>
        </w:rPr>
      </w:pPr>
      <w:r w:rsidRPr="00AB36AE">
        <w:rPr>
          <w:rStyle w:val="FootnoteReference"/>
          <w:sz w:val="18"/>
          <w:szCs w:val="18"/>
        </w:rPr>
        <w:footnoteRef/>
      </w:r>
      <w:r w:rsidRPr="00AB36AE">
        <w:rPr>
          <w:sz w:val="18"/>
          <w:szCs w:val="18"/>
        </w:rPr>
        <w:t xml:space="preserve"> </w:t>
      </w:r>
      <w:r w:rsidR="00A9740A" w:rsidRPr="00AB36AE">
        <w:rPr>
          <w:sz w:val="18"/>
          <w:szCs w:val="18"/>
          <w:lang w:val="en-US"/>
        </w:rPr>
        <w:t>Damen, “</w:t>
      </w:r>
      <w:r w:rsidR="00A9740A" w:rsidRPr="00AB36AE">
        <w:rPr>
          <w:sz w:val="18"/>
          <w:szCs w:val="18"/>
          <w:lang w:val="en-BE"/>
        </w:rPr>
        <w:t>Gift exchange”, 86.</w:t>
      </w:r>
    </w:p>
  </w:footnote>
  <w:footnote w:id="364">
    <w:p w14:paraId="5D2239D7" w14:textId="2236F977" w:rsidR="00716785" w:rsidRPr="00AB36AE" w:rsidRDefault="008912DA" w:rsidP="008912DA">
      <w:pPr>
        <w:pStyle w:val="FootnoteText"/>
        <w:rPr>
          <w:sz w:val="18"/>
          <w:szCs w:val="18"/>
        </w:rPr>
      </w:pPr>
      <w:r w:rsidRPr="00AB36AE">
        <w:rPr>
          <w:rStyle w:val="FootnoteReference"/>
          <w:sz w:val="18"/>
          <w:szCs w:val="18"/>
        </w:rPr>
        <w:footnoteRef/>
      </w:r>
      <w:r w:rsidRPr="00AB36AE">
        <w:rPr>
          <w:sz w:val="18"/>
          <w:szCs w:val="18"/>
        </w:rPr>
        <w:t xml:space="preserve"> </w:t>
      </w:r>
      <w:r w:rsidR="002846D3" w:rsidRPr="00AB36AE">
        <w:rPr>
          <w:sz w:val="18"/>
          <w:szCs w:val="18"/>
        </w:rPr>
        <w:t xml:space="preserve">Margue, “Die Erbtochter”, 28. </w:t>
      </w:r>
    </w:p>
  </w:footnote>
  <w:footnote w:id="365">
    <w:p w14:paraId="48DDF2F6" w14:textId="080C4271" w:rsidR="008912DA" w:rsidRPr="00AB36AE" w:rsidRDefault="008912DA" w:rsidP="008912DA">
      <w:pPr>
        <w:pStyle w:val="FootnoteText"/>
        <w:rPr>
          <w:sz w:val="18"/>
          <w:szCs w:val="18"/>
        </w:rPr>
      </w:pPr>
      <w:r w:rsidRPr="00AB36AE">
        <w:rPr>
          <w:rStyle w:val="FootnoteReference"/>
          <w:sz w:val="18"/>
          <w:szCs w:val="18"/>
        </w:rPr>
        <w:footnoteRef/>
      </w:r>
      <w:r w:rsidRPr="00AB36AE">
        <w:rPr>
          <w:sz w:val="18"/>
          <w:szCs w:val="18"/>
        </w:rPr>
        <w:t xml:space="preserve"> </w:t>
      </w:r>
      <w:r w:rsidR="004B035A" w:rsidRPr="00AB36AE">
        <w:rPr>
          <w:sz w:val="18"/>
          <w:szCs w:val="18"/>
        </w:rPr>
        <w:t>D</w:t>
      </w:r>
      <w:r w:rsidRPr="00AB36AE">
        <w:rPr>
          <w:sz w:val="18"/>
          <w:szCs w:val="18"/>
        </w:rPr>
        <w:t xml:space="preserve">e </w:t>
      </w:r>
      <w:r w:rsidR="002846D3" w:rsidRPr="00AB36AE">
        <w:rPr>
          <w:sz w:val="18"/>
          <w:szCs w:val="18"/>
        </w:rPr>
        <w:t xml:space="preserve">Maesschalk, </w:t>
      </w:r>
      <w:r w:rsidR="002846D3" w:rsidRPr="00AB36AE">
        <w:rPr>
          <w:i/>
          <w:iCs/>
          <w:sz w:val="18"/>
          <w:szCs w:val="18"/>
        </w:rPr>
        <w:t>De Hertogen</w:t>
      </w:r>
      <w:r w:rsidR="002846D3" w:rsidRPr="00AB36AE">
        <w:rPr>
          <w:sz w:val="18"/>
          <w:szCs w:val="18"/>
        </w:rPr>
        <w:t>,</w:t>
      </w:r>
      <w:r w:rsidRPr="00AB36AE">
        <w:rPr>
          <w:sz w:val="18"/>
          <w:szCs w:val="18"/>
        </w:rPr>
        <w:t xml:space="preserve"> 303. </w:t>
      </w:r>
    </w:p>
  </w:footnote>
  <w:footnote w:id="366">
    <w:p w14:paraId="37EF11FF" w14:textId="401B0761" w:rsidR="00E97819" w:rsidRPr="00AB36AE" w:rsidRDefault="00E97819">
      <w:pPr>
        <w:pStyle w:val="FootnoteText"/>
        <w:rPr>
          <w:sz w:val="18"/>
          <w:szCs w:val="18"/>
          <w:lang w:val="en-US"/>
        </w:rPr>
      </w:pPr>
      <w:r w:rsidRPr="00AB36AE">
        <w:rPr>
          <w:rStyle w:val="FootnoteReference"/>
          <w:sz w:val="18"/>
          <w:szCs w:val="18"/>
        </w:rPr>
        <w:footnoteRef/>
      </w:r>
      <w:r w:rsidRPr="00AB36AE">
        <w:rPr>
          <w:sz w:val="18"/>
          <w:szCs w:val="18"/>
        </w:rPr>
        <w:t xml:space="preserve"> </w:t>
      </w:r>
      <w:r w:rsidR="00D6184C" w:rsidRPr="00AB36AE">
        <w:rPr>
          <w:sz w:val="18"/>
          <w:szCs w:val="18"/>
          <w:lang w:val="en-US"/>
        </w:rPr>
        <w:t>Pinchart, “La cour de Jeanne et de Wenceslas”, deel 2, 26.</w:t>
      </w:r>
    </w:p>
  </w:footnote>
  <w:footnote w:id="367">
    <w:p w14:paraId="79CFCB5F" w14:textId="5DA24A48" w:rsidR="0008677B" w:rsidRPr="00AB36AE" w:rsidRDefault="008912DA" w:rsidP="008912DA">
      <w:pPr>
        <w:pStyle w:val="FootnoteText"/>
        <w:rPr>
          <w:sz w:val="18"/>
          <w:szCs w:val="18"/>
        </w:rPr>
      </w:pPr>
      <w:r w:rsidRPr="00AB36AE">
        <w:rPr>
          <w:rStyle w:val="FootnoteReference"/>
          <w:sz w:val="18"/>
          <w:szCs w:val="18"/>
        </w:rPr>
        <w:footnoteRef/>
      </w:r>
      <w:r w:rsidRPr="00AB36AE">
        <w:rPr>
          <w:sz w:val="18"/>
          <w:szCs w:val="18"/>
        </w:rPr>
        <w:t xml:space="preserve"> </w:t>
      </w:r>
      <w:r w:rsidR="0008677B" w:rsidRPr="00AB36AE">
        <w:rPr>
          <w:sz w:val="18"/>
          <w:szCs w:val="18"/>
          <w:lang w:val="nl-NL"/>
        </w:rPr>
        <w:t>ARAB, RK, Nr. 23</w:t>
      </w:r>
      <w:r w:rsidR="00B94D56" w:rsidRPr="00AB36AE">
        <w:rPr>
          <w:sz w:val="18"/>
          <w:szCs w:val="18"/>
          <w:lang w:val="nl-NL"/>
        </w:rPr>
        <w:t>63</w:t>
      </w:r>
      <w:r w:rsidR="0008677B" w:rsidRPr="00AB36AE">
        <w:rPr>
          <w:sz w:val="18"/>
          <w:szCs w:val="18"/>
          <w:lang w:val="nl-NL"/>
        </w:rPr>
        <w:t>, fol. 111.</w:t>
      </w:r>
    </w:p>
  </w:footnote>
  <w:footnote w:id="368">
    <w:p w14:paraId="3B4938D1" w14:textId="6ECAEF5C" w:rsidR="00B94D56" w:rsidRPr="00AB36AE" w:rsidRDefault="008912DA" w:rsidP="008912DA">
      <w:pPr>
        <w:pStyle w:val="FootnoteText"/>
        <w:rPr>
          <w:sz w:val="18"/>
          <w:szCs w:val="18"/>
        </w:rPr>
      </w:pPr>
      <w:r w:rsidRPr="00AB36AE">
        <w:rPr>
          <w:rStyle w:val="FootnoteReference"/>
          <w:sz w:val="18"/>
          <w:szCs w:val="18"/>
        </w:rPr>
        <w:footnoteRef/>
      </w:r>
      <w:r w:rsidRPr="00AB36AE">
        <w:rPr>
          <w:sz w:val="18"/>
          <w:szCs w:val="18"/>
        </w:rPr>
        <w:t xml:space="preserve"> </w:t>
      </w:r>
      <w:r w:rsidR="00B94D56" w:rsidRPr="00AB36AE">
        <w:rPr>
          <w:sz w:val="18"/>
          <w:szCs w:val="18"/>
        </w:rPr>
        <w:t xml:space="preserve">De Maesschalk, </w:t>
      </w:r>
      <w:r w:rsidR="00B94D56" w:rsidRPr="00AB36AE">
        <w:rPr>
          <w:i/>
          <w:iCs/>
          <w:sz w:val="18"/>
          <w:szCs w:val="18"/>
        </w:rPr>
        <w:t>De Hertogen</w:t>
      </w:r>
      <w:r w:rsidR="00B94D56" w:rsidRPr="00AB36AE">
        <w:rPr>
          <w:sz w:val="18"/>
          <w:szCs w:val="18"/>
        </w:rPr>
        <w:t xml:space="preserve">, 303; </w:t>
      </w:r>
      <w:r w:rsidR="00B94D56" w:rsidRPr="00AB36AE">
        <w:rPr>
          <w:sz w:val="18"/>
          <w:szCs w:val="18"/>
          <w:lang w:val="nl-NL"/>
        </w:rPr>
        <w:t xml:space="preserve">ARAB, RK, Nr. 2365, fol. </w:t>
      </w:r>
      <w:r w:rsidR="00DB3510" w:rsidRPr="00AB36AE">
        <w:rPr>
          <w:sz w:val="18"/>
          <w:szCs w:val="18"/>
          <w:lang w:val="nl-NL"/>
        </w:rPr>
        <w:t>60</w:t>
      </w:r>
      <w:r w:rsidR="004C6E6D" w:rsidRPr="00AB36AE">
        <w:rPr>
          <w:sz w:val="18"/>
          <w:szCs w:val="18"/>
          <w:lang w:val="nl-NL"/>
        </w:rPr>
        <w:t>; ARAB, RK, Nr. 2363, fol. 78, 80</w:t>
      </w:r>
      <w:r w:rsidR="00681954" w:rsidRPr="00AB36AE">
        <w:rPr>
          <w:sz w:val="18"/>
          <w:szCs w:val="18"/>
          <w:lang w:val="nl-NL"/>
        </w:rPr>
        <w:t>.</w:t>
      </w:r>
    </w:p>
  </w:footnote>
  <w:footnote w:id="369">
    <w:p w14:paraId="43345747" w14:textId="2F6C031D" w:rsidR="00022BE3" w:rsidRPr="00AB36AE" w:rsidRDefault="00022BE3" w:rsidP="00022BE3">
      <w:pPr>
        <w:pStyle w:val="FootnoteText"/>
        <w:rPr>
          <w:sz w:val="18"/>
          <w:szCs w:val="18"/>
          <w:lang w:val="en-US"/>
        </w:rPr>
      </w:pPr>
      <w:r w:rsidRPr="00AB36AE">
        <w:rPr>
          <w:rStyle w:val="FootnoteReference"/>
          <w:sz w:val="18"/>
          <w:szCs w:val="18"/>
        </w:rPr>
        <w:footnoteRef/>
      </w:r>
      <w:r w:rsidRPr="00AB36AE">
        <w:rPr>
          <w:sz w:val="18"/>
          <w:szCs w:val="18"/>
        </w:rPr>
        <w:t xml:space="preserve"> ARAB, RK, 2364, </w:t>
      </w:r>
      <w:r w:rsidR="004C6E6D" w:rsidRPr="00AB36AE">
        <w:rPr>
          <w:sz w:val="18"/>
          <w:szCs w:val="18"/>
        </w:rPr>
        <w:t xml:space="preserve">fol. </w:t>
      </w:r>
      <w:r w:rsidRPr="00AB36AE">
        <w:rPr>
          <w:sz w:val="18"/>
          <w:szCs w:val="18"/>
        </w:rPr>
        <w:t xml:space="preserve">63. </w:t>
      </w:r>
    </w:p>
  </w:footnote>
  <w:footnote w:id="370">
    <w:p w14:paraId="47205E73" w14:textId="6384CD71" w:rsidR="00B12D2F" w:rsidRPr="00AB36AE" w:rsidRDefault="00D013B9" w:rsidP="00D013B9">
      <w:pPr>
        <w:pStyle w:val="FootnoteText"/>
        <w:rPr>
          <w:sz w:val="18"/>
          <w:szCs w:val="18"/>
        </w:rPr>
      </w:pPr>
      <w:r w:rsidRPr="00AB36AE">
        <w:rPr>
          <w:rStyle w:val="FootnoteReference"/>
          <w:sz w:val="18"/>
          <w:szCs w:val="18"/>
        </w:rPr>
        <w:footnoteRef/>
      </w:r>
      <w:r w:rsidR="002C19AF" w:rsidRPr="00AB36AE">
        <w:rPr>
          <w:sz w:val="18"/>
          <w:szCs w:val="18"/>
        </w:rPr>
        <w:t>“Menestrele”</w:t>
      </w:r>
      <w:r w:rsidR="00E0650B" w:rsidRPr="00AB36AE">
        <w:rPr>
          <w:sz w:val="18"/>
          <w:szCs w:val="18"/>
        </w:rPr>
        <w:t xml:space="preserve"> Instituut voor de Nederlandse taal, </w:t>
      </w:r>
      <w:r w:rsidR="003F6CD6" w:rsidRPr="00AB36AE">
        <w:rPr>
          <w:sz w:val="18"/>
          <w:szCs w:val="18"/>
        </w:rPr>
        <w:t>g</w:t>
      </w:r>
      <w:r w:rsidR="00A40258" w:rsidRPr="00AB36AE">
        <w:rPr>
          <w:sz w:val="18"/>
          <w:szCs w:val="18"/>
        </w:rPr>
        <w:t>eraadpleegd op 10 mei, 2026.</w:t>
      </w:r>
      <w:r w:rsidR="003F6CD6" w:rsidRPr="00AB36AE">
        <w:rPr>
          <w:sz w:val="18"/>
          <w:szCs w:val="18"/>
        </w:rPr>
        <w:t xml:space="preserve"> </w:t>
      </w:r>
      <w:hyperlink r:id="rId1" w:history="1">
        <w:r w:rsidR="003F6CD6" w:rsidRPr="00AB36AE">
          <w:rPr>
            <w:rStyle w:val="Hyperlink"/>
            <w:rFonts w:ascii="Times New Roman" w:hAnsi="Times New Roman"/>
            <w:sz w:val="18"/>
            <w:szCs w:val="18"/>
          </w:rPr>
          <w:t>https://gtb.ivdnt.org/iWDB/search?actie=article&amp;wdb=MNW&amp;id=29080&amp;lemmodern=minstreel&amp;domein=0&amp;conc=true</w:t>
        </w:r>
      </w:hyperlink>
      <w:r w:rsidR="00E0650B" w:rsidRPr="00AB36AE">
        <w:rPr>
          <w:sz w:val="18"/>
          <w:szCs w:val="18"/>
        </w:rPr>
        <w:t xml:space="preserve"> </w:t>
      </w:r>
    </w:p>
  </w:footnote>
  <w:footnote w:id="371">
    <w:p w14:paraId="29278BA4" w14:textId="062BCD00" w:rsidR="00D013B9" w:rsidRPr="00AB36AE" w:rsidRDefault="00D013B9" w:rsidP="00D013B9">
      <w:pPr>
        <w:pStyle w:val="FootnoteText"/>
        <w:rPr>
          <w:sz w:val="18"/>
          <w:szCs w:val="18"/>
          <w:lang w:val="en-US"/>
        </w:rPr>
      </w:pPr>
      <w:r w:rsidRPr="00AB36AE">
        <w:rPr>
          <w:rStyle w:val="FootnoteReference"/>
          <w:sz w:val="18"/>
          <w:szCs w:val="18"/>
        </w:rPr>
        <w:footnoteRef/>
      </w:r>
      <w:r w:rsidRPr="00AB36AE">
        <w:rPr>
          <w:sz w:val="18"/>
          <w:szCs w:val="18"/>
          <w:lang w:val="en-US"/>
        </w:rPr>
        <w:t xml:space="preserve"> Rastall en Taylor, </w:t>
      </w:r>
      <w:r w:rsidRPr="00AB36AE">
        <w:rPr>
          <w:i/>
          <w:iCs/>
          <w:sz w:val="18"/>
          <w:szCs w:val="18"/>
          <w:lang w:val="en-US"/>
        </w:rPr>
        <w:t>Minstrel</w:t>
      </w:r>
      <w:r w:rsidR="004C6E6D" w:rsidRPr="00AB36AE">
        <w:rPr>
          <w:i/>
          <w:iCs/>
          <w:sz w:val="18"/>
          <w:szCs w:val="18"/>
          <w:lang w:val="en-US"/>
        </w:rPr>
        <w:t xml:space="preserve">s, </w:t>
      </w:r>
      <w:r w:rsidRPr="00AB36AE">
        <w:rPr>
          <w:sz w:val="18"/>
          <w:szCs w:val="18"/>
          <w:lang w:val="en-US"/>
        </w:rPr>
        <w:t xml:space="preserve">73, 76, 81. </w:t>
      </w:r>
    </w:p>
  </w:footnote>
  <w:footnote w:id="372">
    <w:p w14:paraId="58104FC7" w14:textId="7BA0B575" w:rsidR="00BE2B6C" w:rsidRPr="00AB36AE" w:rsidRDefault="00BE2B6C" w:rsidP="00BE2B6C">
      <w:pPr>
        <w:pStyle w:val="FootnoteText"/>
        <w:rPr>
          <w:sz w:val="18"/>
          <w:szCs w:val="18"/>
        </w:rPr>
      </w:pPr>
      <w:r w:rsidRPr="00AB36AE">
        <w:rPr>
          <w:rStyle w:val="FootnoteReference"/>
          <w:sz w:val="18"/>
          <w:szCs w:val="18"/>
        </w:rPr>
        <w:footnoteRef/>
      </w:r>
      <w:r w:rsidRPr="00AB36AE">
        <w:rPr>
          <w:sz w:val="18"/>
          <w:szCs w:val="18"/>
        </w:rPr>
        <w:t xml:space="preserve"> </w:t>
      </w:r>
      <w:r w:rsidR="004C6E6D" w:rsidRPr="00AB36AE">
        <w:rPr>
          <w:sz w:val="18"/>
          <w:szCs w:val="18"/>
        </w:rPr>
        <w:t>Pinchart, “La cour de Jeanne et de Wenceslas”</w:t>
      </w:r>
      <w:r w:rsidRPr="00AB36AE">
        <w:rPr>
          <w:sz w:val="18"/>
          <w:szCs w:val="18"/>
        </w:rPr>
        <w:t xml:space="preserve">, </w:t>
      </w:r>
      <w:r w:rsidR="00681954" w:rsidRPr="00AB36AE">
        <w:rPr>
          <w:sz w:val="18"/>
          <w:szCs w:val="18"/>
        </w:rPr>
        <w:t>Deel 1</w:t>
      </w:r>
      <w:r w:rsidRPr="00AB36AE">
        <w:rPr>
          <w:sz w:val="18"/>
          <w:szCs w:val="18"/>
        </w:rPr>
        <w:t xml:space="preserve">, 16-17. </w:t>
      </w:r>
    </w:p>
  </w:footnote>
  <w:footnote w:id="373">
    <w:p w14:paraId="7FC8FC56" w14:textId="526E456E" w:rsidR="004C6E6D" w:rsidRPr="00AB36AE" w:rsidRDefault="001160C6" w:rsidP="001160C6">
      <w:pPr>
        <w:pStyle w:val="FootnoteText"/>
        <w:rPr>
          <w:sz w:val="18"/>
          <w:szCs w:val="18"/>
        </w:rPr>
      </w:pPr>
      <w:r w:rsidRPr="00AB36AE">
        <w:rPr>
          <w:rStyle w:val="FootnoteReference"/>
          <w:sz w:val="18"/>
          <w:szCs w:val="18"/>
        </w:rPr>
        <w:footnoteRef/>
      </w:r>
      <w:r w:rsidRPr="00AB36AE">
        <w:rPr>
          <w:sz w:val="18"/>
          <w:szCs w:val="18"/>
        </w:rPr>
        <w:t xml:space="preserve"> </w:t>
      </w:r>
      <w:r w:rsidR="004C6E6D" w:rsidRPr="00AB36AE">
        <w:rPr>
          <w:sz w:val="18"/>
          <w:szCs w:val="18"/>
          <w:lang w:val="en-US"/>
        </w:rPr>
        <w:t xml:space="preserve">Rastall en Taylor, </w:t>
      </w:r>
      <w:r w:rsidR="004C6E6D" w:rsidRPr="00AB36AE">
        <w:rPr>
          <w:i/>
          <w:iCs/>
          <w:sz w:val="18"/>
          <w:szCs w:val="18"/>
          <w:lang w:val="en-US"/>
        </w:rPr>
        <w:t xml:space="preserve">Minstrels, </w:t>
      </w:r>
      <w:r w:rsidR="004C6E6D" w:rsidRPr="00AB36AE">
        <w:rPr>
          <w:sz w:val="18"/>
          <w:szCs w:val="18"/>
          <w:lang w:val="en-US"/>
        </w:rPr>
        <w:t>167-168.</w:t>
      </w:r>
    </w:p>
  </w:footnote>
  <w:footnote w:id="374">
    <w:p w14:paraId="5615D17B" w14:textId="4AC7FC60" w:rsidR="001160C6" w:rsidRPr="00AB36AE" w:rsidRDefault="001160C6">
      <w:pPr>
        <w:pStyle w:val="FootnoteText"/>
        <w:rPr>
          <w:sz w:val="18"/>
          <w:szCs w:val="18"/>
          <w:lang w:val="en-US"/>
        </w:rPr>
      </w:pPr>
      <w:r w:rsidRPr="00AB36AE">
        <w:rPr>
          <w:rStyle w:val="FootnoteReference"/>
          <w:sz w:val="18"/>
          <w:szCs w:val="18"/>
        </w:rPr>
        <w:footnoteRef/>
      </w:r>
      <w:r w:rsidRPr="00AB36AE">
        <w:rPr>
          <w:sz w:val="18"/>
          <w:szCs w:val="18"/>
        </w:rPr>
        <w:t xml:space="preserve"> In deze groep verschijnen ook tolken, acrobaten, zangers en narren.</w:t>
      </w:r>
    </w:p>
  </w:footnote>
  <w:footnote w:id="375">
    <w:p w14:paraId="23C1AFBF" w14:textId="51932845" w:rsidR="000A10C9" w:rsidRPr="00AB36AE" w:rsidRDefault="000A10C9">
      <w:pPr>
        <w:pStyle w:val="FootnoteText"/>
        <w:rPr>
          <w:sz w:val="18"/>
          <w:szCs w:val="18"/>
          <w:lang w:val="en-US"/>
        </w:rPr>
      </w:pPr>
      <w:r w:rsidRPr="00AB36AE">
        <w:rPr>
          <w:rStyle w:val="FootnoteReference"/>
          <w:sz w:val="18"/>
          <w:szCs w:val="18"/>
        </w:rPr>
        <w:footnoteRef/>
      </w:r>
      <w:r w:rsidRPr="00AB36AE">
        <w:rPr>
          <w:sz w:val="18"/>
          <w:szCs w:val="18"/>
        </w:rPr>
        <w:t xml:space="preserve"> </w:t>
      </w:r>
      <w:r w:rsidR="008504A5" w:rsidRPr="00AB36AE">
        <w:rPr>
          <w:sz w:val="18"/>
          <w:szCs w:val="18"/>
          <w:lang w:val="en-US"/>
        </w:rPr>
        <w:t>Bijvoorbeeld</w:t>
      </w:r>
      <w:r w:rsidRPr="00AB36AE">
        <w:rPr>
          <w:sz w:val="18"/>
          <w:szCs w:val="18"/>
          <w:lang w:val="en-US"/>
        </w:rPr>
        <w:t xml:space="preserve"> in 13</w:t>
      </w:r>
      <w:r w:rsidR="008504A5" w:rsidRPr="00AB36AE">
        <w:rPr>
          <w:sz w:val="18"/>
          <w:szCs w:val="18"/>
          <w:lang w:val="en-US"/>
        </w:rPr>
        <w:t xml:space="preserve">76-1377: </w:t>
      </w:r>
      <w:r w:rsidR="008504A5" w:rsidRPr="00AB36AE">
        <w:rPr>
          <w:sz w:val="18"/>
          <w:szCs w:val="18"/>
        </w:rPr>
        <w:t xml:space="preserve">ARAB, RK, </w:t>
      </w:r>
      <w:r w:rsidR="006678B9" w:rsidRPr="00AB36AE">
        <w:rPr>
          <w:sz w:val="18"/>
          <w:szCs w:val="18"/>
        </w:rPr>
        <w:t xml:space="preserve">Nr. </w:t>
      </w:r>
      <w:r w:rsidR="008504A5" w:rsidRPr="00AB36AE">
        <w:rPr>
          <w:sz w:val="18"/>
          <w:szCs w:val="18"/>
        </w:rPr>
        <w:t xml:space="preserve">2362, </w:t>
      </w:r>
      <w:r w:rsidR="006678B9" w:rsidRPr="00AB36AE">
        <w:rPr>
          <w:sz w:val="18"/>
          <w:szCs w:val="18"/>
        </w:rPr>
        <w:t xml:space="preserve">fol. </w:t>
      </w:r>
      <w:r w:rsidR="008504A5" w:rsidRPr="00AB36AE">
        <w:rPr>
          <w:sz w:val="18"/>
          <w:szCs w:val="18"/>
        </w:rPr>
        <w:t xml:space="preserve">63, 70, 73. </w:t>
      </w:r>
    </w:p>
  </w:footnote>
  <w:footnote w:id="376">
    <w:p w14:paraId="2292518C" w14:textId="57F9CC45" w:rsidR="00435542" w:rsidRPr="00AB36AE" w:rsidRDefault="00435542" w:rsidP="00D07CEB">
      <w:pPr>
        <w:rPr>
          <w:sz w:val="18"/>
          <w:szCs w:val="18"/>
        </w:rPr>
      </w:pPr>
      <w:r w:rsidRPr="00AB36AE">
        <w:rPr>
          <w:rStyle w:val="FootnoteReference"/>
          <w:sz w:val="18"/>
          <w:szCs w:val="18"/>
        </w:rPr>
        <w:footnoteRef/>
      </w:r>
      <w:r w:rsidR="008504A5" w:rsidRPr="00AB36AE">
        <w:rPr>
          <w:sz w:val="18"/>
          <w:szCs w:val="18"/>
        </w:rPr>
        <w:t xml:space="preserve"> ARAB, RK, </w:t>
      </w:r>
      <w:r w:rsidR="006678B9" w:rsidRPr="00AB36AE">
        <w:rPr>
          <w:sz w:val="18"/>
          <w:szCs w:val="18"/>
        </w:rPr>
        <w:t xml:space="preserve">Nr. </w:t>
      </w:r>
      <w:r w:rsidR="008504A5" w:rsidRPr="00AB36AE">
        <w:rPr>
          <w:sz w:val="18"/>
          <w:szCs w:val="18"/>
        </w:rPr>
        <w:t xml:space="preserve">2362, </w:t>
      </w:r>
      <w:r w:rsidR="006678B9" w:rsidRPr="00AB36AE">
        <w:rPr>
          <w:sz w:val="18"/>
          <w:szCs w:val="18"/>
        </w:rPr>
        <w:t xml:space="preserve">fol. </w:t>
      </w:r>
      <w:r w:rsidR="008504A5" w:rsidRPr="00AB36AE">
        <w:rPr>
          <w:sz w:val="18"/>
          <w:szCs w:val="18"/>
        </w:rPr>
        <w:t>61,63,64,65,71</w:t>
      </w:r>
      <w:r w:rsidR="006678B9" w:rsidRPr="00AB36AE">
        <w:rPr>
          <w:sz w:val="18"/>
          <w:szCs w:val="18"/>
        </w:rPr>
        <w:t>.</w:t>
      </w:r>
    </w:p>
  </w:footnote>
  <w:footnote w:id="377">
    <w:p w14:paraId="438F5F07" w14:textId="226787CF" w:rsidR="00EC727D" w:rsidRPr="00AB36AE" w:rsidRDefault="008A63B4" w:rsidP="008A63B4">
      <w:pPr>
        <w:pStyle w:val="FootnoteText"/>
        <w:rPr>
          <w:sz w:val="18"/>
          <w:szCs w:val="18"/>
        </w:rPr>
      </w:pPr>
      <w:r w:rsidRPr="00AB36AE">
        <w:rPr>
          <w:rStyle w:val="FootnoteReference"/>
          <w:sz w:val="18"/>
          <w:szCs w:val="18"/>
        </w:rPr>
        <w:footnoteRef/>
      </w:r>
      <w:r w:rsidRPr="00AB36AE">
        <w:rPr>
          <w:sz w:val="18"/>
          <w:szCs w:val="18"/>
        </w:rPr>
        <w:t xml:space="preserve"> </w:t>
      </w:r>
      <w:r w:rsidR="00EC727D" w:rsidRPr="00AB36AE">
        <w:rPr>
          <w:sz w:val="18"/>
          <w:szCs w:val="18"/>
        </w:rPr>
        <w:t>Stein, “</w:t>
      </w:r>
      <w:r w:rsidR="004766AA" w:rsidRPr="00AB36AE">
        <w:rPr>
          <w:sz w:val="18"/>
          <w:szCs w:val="18"/>
        </w:rPr>
        <w:t xml:space="preserve">Vreemde vorsten op de troon”, 189. </w:t>
      </w:r>
    </w:p>
  </w:footnote>
  <w:footnote w:id="378">
    <w:p w14:paraId="14DBB980" w14:textId="4573CBD2" w:rsidR="006D1338" w:rsidRPr="00AB36AE" w:rsidRDefault="0014371B">
      <w:pPr>
        <w:pStyle w:val="FootnoteText"/>
        <w:rPr>
          <w:sz w:val="18"/>
          <w:szCs w:val="18"/>
          <w:lang w:val="en-US"/>
        </w:rPr>
      </w:pPr>
      <w:r w:rsidRPr="00AB36AE">
        <w:rPr>
          <w:rStyle w:val="FootnoteReference"/>
          <w:sz w:val="18"/>
          <w:szCs w:val="18"/>
        </w:rPr>
        <w:footnoteRef/>
      </w:r>
      <w:r w:rsidRPr="00AB36AE">
        <w:rPr>
          <w:sz w:val="18"/>
          <w:szCs w:val="18"/>
        </w:rPr>
        <w:t xml:space="preserve"> </w:t>
      </w:r>
      <w:r w:rsidR="00681954" w:rsidRPr="00AB36AE">
        <w:rPr>
          <w:sz w:val="18"/>
          <w:szCs w:val="18"/>
          <w:lang w:val="en-US"/>
        </w:rPr>
        <w:t xml:space="preserve">Pinchart, </w:t>
      </w:r>
      <w:r w:rsidR="00DB7FC4" w:rsidRPr="00AB36AE">
        <w:rPr>
          <w:sz w:val="18"/>
          <w:szCs w:val="18"/>
        </w:rPr>
        <w:t xml:space="preserve">“La cour de Jeanne et de Wenceslas”, deel 2,  25-26; </w:t>
      </w:r>
      <w:r w:rsidR="006D1338" w:rsidRPr="00AB36AE">
        <w:rPr>
          <w:sz w:val="18"/>
          <w:szCs w:val="18"/>
          <w:lang w:val="en-US"/>
        </w:rPr>
        <w:t>Sleiderink</w:t>
      </w:r>
      <w:r w:rsidR="00DB7FC4" w:rsidRPr="00AB36AE">
        <w:rPr>
          <w:sz w:val="18"/>
          <w:szCs w:val="18"/>
          <w:lang w:val="en-US"/>
        </w:rPr>
        <w:t xml:space="preserve">, “Dichters aan het Brabantse hof”, 1-5. </w:t>
      </w:r>
      <w:r w:rsidR="006D1338" w:rsidRPr="00AB36AE">
        <w:rPr>
          <w:sz w:val="18"/>
          <w:szCs w:val="18"/>
          <w:lang w:val="en-US"/>
        </w:rPr>
        <w:t xml:space="preserve"> </w:t>
      </w:r>
    </w:p>
  </w:footnote>
  <w:footnote w:id="379">
    <w:p w14:paraId="0DB6F16D" w14:textId="4598C9A4" w:rsidR="0014371B" w:rsidRPr="00AB36AE" w:rsidRDefault="0014371B" w:rsidP="0014371B">
      <w:pPr>
        <w:rPr>
          <w:sz w:val="18"/>
          <w:szCs w:val="18"/>
        </w:rPr>
      </w:pPr>
      <w:r w:rsidRPr="00AB36AE">
        <w:rPr>
          <w:rStyle w:val="FootnoteReference"/>
          <w:sz w:val="18"/>
          <w:szCs w:val="18"/>
        </w:rPr>
        <w:footnoteRef/>
      </w:r>
      <w:r w:rsidRPr="00AB36AE">
        <w:rPr>
          <w:sz w:val="18"/>
          <w:szCs w:val="18"/>
        </w:rPr>
        <w:t xml:space="preserve"> </w:t>
      </w:r>
      <w:r w:rsidR="000A668A" w:rsidRPr="00AB36AE">
        <w:rPr>
          <w:sz w:val="18"/>
          <w:szCs w:val="18"/>
        </w:rPr>
        <w:t>ARAB, RK, Nr. 236</w:t>
      </w:r>
      <w:r w:rsidR="009E1F1B" w:rsidRPr="00AB36AE">
        <w:rPr>
          <w:sz w:val="18"/>
          <w:szCs w:val="18"/>
        </w:rPr>
        <w:t>3</w:t>
      </w:r>
      <w:r w:rsidR="000A668A" w:rsidRPr="00AB36AE">
        <w:rPr>
          <w:sz w:val="18"/>
          <w:szCs w:val="18"/>
        </w:rPr>
        <w:t>, fol.</w:t>
      </w:r>
      <w:r w:rsidR="00B15869" w:rsidRPr="00AB36AE">
        <w:rPr>
          <w:sz w:val="18"/>
          <w:szCs w:val="18"/>
        </w:rPr>
        <w:t xml:space="preserve"> 63, 81; </w:t>
      </w:r>
      <w:r w:rsidR="009E1F1B" w:rsidRPr="00AB36AE">
        <w:rPr>
          <w:sz w:val="18"/>
          <w:szCs w:val="18"/>
        </w:rPr>
        <w:t>ARAB, RK, Nr. 2364, fol.</w:t>
      </w:r>
      <w:r w:rsidR="005B7886" w:rsidRPr="00AB36AE">
        <w:rPr>
          <w:sz w:val="18"/>
          <w:szCs w:val="18"/>
        </w:rPr>
        <w:t xml:space="preserve"> 63</w:t>
      </w:r>
      <w:r w:rsidR="00B15869" w:rsidRPr="00AB36AE">
        <w:rPr>
          <w:sz w:val="18"/>
          <w:szCs w:val="18"/>
        </w:rPr>
        <w:t xml:space="preserve">; </w:t>
      </w:r>
      <w:r w:rsidR="005B7886" w:rsidRPr="00AB36AE">
        <w:rPr>
          <w:sz w:val="18"/>
          <w:szCs w:val="18"/>
        </w:rPr>
        <w:t>ARAB, RK, Nr. 2365, fol. 62, 59.</w:t>
      </w:r>
    </w:p>
  </w:footnote>
  <w:footnote w:id="380">
    <w:p w14:paraId="1BC4F960" w14:textId="686DADA1" w:rsidR="0014371B" w:rsidRPr="00AB36AE" w:rsidRDefault="0014371B" w:rsidP="0014371B">
      <w:pPr>
        <w:rPr>
          <w:sz w:val="18"/>
          <w:szCs w:val="18"/>
        </w:rPr>
      </w:pPr>
      <w:r w:rsidRPr="00AB36AE">
        <w:rPr>
          <w:rStyle w:val="FootnoteReference"/>
          <w:sz w:val="18"/>
          <w:szCs w:val="18"/>
        </w:rPr>
        <w:footnoteRef/>
      </w:r>
      <w:r w:rsidRPr="00AB36AE">
        <w:rPr>
          <w:sz w:val="18"/>
          <w:szCs w:val="18"/>
        </w:rPr>
        <w:t xml:space="preserve"> </w:t>
      </w:r>
      <w:r w:rsidR="005B7886" w:rsidRPr="00AB36AE">
        <w:rPr>
          <w:sz w:val="18"/>
          <w:szCs w:val="18"/>
        </w:rPr>
        <w:t>ARAB, RK, Nr. 2365, fol. 56; ARAB, RK, Nr. 236</w:t>
      </w:r>
      <w:r w:rsidR="00AC380B" w:rsidRPr="00AB36AE">
        <w:rPr>
          <w:sz w:val="18"/>
          <w:szCs w:val="18"/>
        </w:rPr>
        <w:t>3</w:t>
      </w:r>
      <w:r w:rsidR="005B7886" w:rsidRPr="00AB36AE">
        <w:rPr>
          <w:sz w:val="18"/>
          <w:szCs w:val="18"/>
        </w:rPr>
        <w:t xml:space="preserve">, fol. </w:t>
      </w:r>
      <w:r w:rsidR="00AC380B" w:rsidRPr="00AB36AE">
        <w:rPr>
          <w:sz w:val="18"/>
          <w:szCs w:val="18"/>
        </w:rPr>
        <w:t>73</w:t>
      </w:r>
      <w:r w:rsidR="007432B0">
        <w:rPr>
          <w:sz w:val="18"/>
          <w:szCs w:val="18"/>
        </w:rPr>
        <w:t>.</w:t>
      </w:r>
    </w:p>
  </w:footnote>
  <w:footnote w:id="381">
    <w:p w14:paraId="70DF2F75" w14:textId="52AAEF93" w:rsidR="0014371B" w:rsidRPr="00AB36AE" w:rsidRDefault="0014371B" w:rsidP="0014371B">
      <w:pPr>
        <w:rPr>
          <w:color w:val="000000"/>
          <w:sz w:val="18"/>
          <w:szCs w:val="18"/>
        </w:rPr>
      </w:pPr>
      <w:r w:rsidRPr="00AB36AE">
        <w:rPr>
          <w:rStyle w:val="FootnoteReference"/>
          <w:sz w:val="18"/>
          <w:szCs w:val="18"/>
        </w:rPr>
        <w:footnoteRef/>
      </w:r>
      <w:r w:rsidR="00681954" w:rsidRPr="00AB36AE">
        <w:rPr>
          <w:color w:val="000000"/>
          <w:sz w:val="18"/>
          <w:szCs w:val="18"/>
        </w:rPr>
        <w:t xml:space="preserve"> A</w:t>
      </w:r>
      <w:r w:rsidR="00B15869" w:rsidRPr="00AB36AE">
        <w:rPr>
          <w:sz w:val="18"/>
          <w:szCs w:val="18"/>
        </w:rPr>
        <w:t>RAB, RK, Nr. 2363, fol. 77; ARAB, RK, Nr. 2365, fol. 80</w:t>
      </w:r>
      <w:r w:rsidR="007432B0">
        <w:rPr>
          <w:sz w:val="18"/>
          <w:szCs w:val="18"/>
        </w:rPr>
        <w:t>.</w:t>
      </w:r>
    </w:p>
  </w:footnote>
  <w:footnote w:id="382">
    <w:p w14:paraId="5198594D" w14:textId="31A2610F" w:rsidR="002D44ED" w:rsidRPr="00AB36AE" w:rsidRDefault="002D44ED" w:rsidP="006D1338">
      <w:pPr>
        <w:pStyle w:val="FootnoteText"/>
        <w:rPr>
          <w:sz w:val="18"/>
          <w:szCs w:val="18"/>
        </w:rPr>
      </w:pPr>
      <w:r w:rsidRPr="00AB36AE">
        <w:rPr>
          <w:rStyle w:val="FootnoteReference"/>
          <w:sz w:val="18"/>
          <w:szCs w:val="18"/>
        </w:rPr>
        <w:footnoteRef/>
      </w:r>
      <w:r w:rsidR="006D1338" w:rsidRPr="00AB36AE">
        <w:rPr>
          <w:sz w:val="18"/>
          <w:szCs w:val="18"/>
        </w:rPr>
        <w:t xml:space="preserve"> Zijn moeder was Beatrix van Bourbon, een Française, maar Wenceslas sprak ook Duits en Tsjechisch via zijn vader, Jan de Blinde. Zelf schreef hij in het Frans</w:t>
      </w:r>
      <w:r w:rsidR="006D1338" w:rsidRPr="00AB36AE">
        <w:rPr>
          <w:sz w:val="18"/>
          <w:szCs w:val="18"/>
          <w:lang w:val="en-US"/>
        </w:rPr>
        <w:t>, z</w:t>
      </w:r>
      <w:r w:rsidRPr="00AB36AE">
        <w:rPr>
          <w:sz w:val="18"/>
          <w:szCs w:val="18"/>
          <w:lang w:val="en-US"/>
        </w:rPr>
        <w:t xml:space="preserve">ie </w:t>
      </w:r>
      <w:r w:rsidR="004766AA" w:rsidRPr="00AB36AE">
        <w:rPr>
          <w:sz w:val="18"/>
          <w:szCs w:val="18"/>
          <w:lang w:val="en-US"/>
        </w:rPr>
        <w:t xml:space="preserve">De Maesschalk, </w:t>
      </w:r>
      <w:r w:rsidR="006D1338" w:rsidRPr="00AB36AE">
        <w:rPr>
          <w:i/>
          <w:iCs/>
          <w:sz w:val="18"/>
          <w:szCs w:val="18"/>
          <w:lang w:val="en-US"/>
        </w:rPr>
        <w:t>De Hertogen</w:t>
      </w:r>
      <w:r w:rsidR="006D1338" w:rsidRPr="00AB36AE">
        <w:rPr>
          <w:sz w:val="18"/>
          <w:szCs w:val="18"/>
          <w:lang w:val="en-US"/>
        </w:rPr>
        <w:t xml:space="preserve">, 303, </w:t>
      </w:r>
      <w:r w:rsidR="00596AD4" w:rsidRPr="00AB36AE">
        <w:rPr>
          <w:sz w:val="18"/>
          <w:szCs w:val="18"/>
          <w:lang w:val="en-US"/>
        </w:rPr>
        <w:t>307.</w:t>
      </w:r>
    </w:p>
  </w:footnote>
  <w:footnote w:id="383">
    <w:p w14:paraId="6E905F27" w14:textId="7B7EE1F1" w:rsidR="00595DBA" w:rsidRPr="00AB36AE" w:rsidRDefault="00595DBA" w:rsidP="00595DBA">
      <w:pPr>
        <w:pStyle w:val="FootnoteText"/>
        <w:rPr>
          <w:sz w:val="18"/>
          <w:szCs w:val="18"/>
        </w:rPr>
      </w:pPr>
      <w:r w:rsidRPr="00AB36AE">
        <w:rPr>
          <w:rStyle w:val="FootnoteReference"/>
          <w:sz w:val="18"/>
          <w:szCs w:val="18"/>
        </w:rPr>
        <w:footnoteRef/>
      </w:r>
      <w:r w:rsidRPr="00AB36AE">
        <w:rPr>
          <w:sz w:val="18"/>
          <w:szCs w:val="18"/>
        </w:rPr>
        <w:t xml:space="preserve"> Dechamps</w:t>
      </w:r>
      <w:r w:rsidRPr="00AB36AE">
        <w:rPr>
          <w:i/>
          <w:iCs/>
          <w:sz w:val="18"/>
          <w:szCs w:val="18"/>
        </w:rPr>
        <w:t>, Eustache Dechamps dans sons temps</w:t>
      </w:r>
      <w:r w:rsidR="00242052" w:rsidRPr="00AB36AE">
        <w:rPr>
          <w:sz w:val="18"/>
          <w:szCs w:val="18"/>
        </w:rPr>
        <w:t xml:space="preserve">, </w:t>
      </w:r>
      <w:r w:rsidR="00FE3643" w:rsidRPr="00AB36AE">
        <w:rPr>
          <w:sz w:val="18"/>
          <w:szCs w:val="18"/>
        </w:rPr>
        <w:t>447.</w:t>
      </w:r>
    </w:p>
  </w:footnote>
  <w:footnote w:id="384">
    <w:p w14:paraId="732988E3" w14:textId="7ADBF8F3" w:rsidR="00AB564F" w:rsidRPr="00AB36AE" w:rsidRDefault="000C583C" w:rsidP="000C583C">
      <w:pPr>
        <w:pStyle w:val="FootnoteText"/>
        <w:rPr>
          <w:sz w:val="18"/>
          <w:szCs w:val="18"/>
        </w:rPr>
      </w:pPr>
      <w:r w:rsidRPr="00AB36AE">
        <w:rPr>
          <w:rStyle w:val="FootnoteReference"/>
          <w:sz w:val="18"/>
          <w:szCs w:val="18"/>
        </w:rPr>
        <w:footnoteRef/>
      </w:r>
      <w:r w:rsidR="00115094" w:rsidRPr="00AB36AE">
        <w:rPr>
          <w:sz w:val="18"/>
          <w:szCs w:val="18"/>
        </w:rPr>
        <w:t xml:space="preserve"> “Le duc mort, les cours et les salles du palais deviennent presque silencieuses. Trouvères, musiciens, histrions n’y font plus que de rares apparitions: parmi les premiers il en est même, témoin Froissart, qui vont s’engager au service d’un autre seigneur. Adieu le beau temps des plaisirs.” Zie: </w:t>
      </w:r>
      <w:r w:rsidR="00AB564F" w:rsidRPr="00AB36AE">
        <w:rPr>
          <w:sz w:val="18"/>
          <w:szCs w:val="18"/>
        </w:rPr>
        <w:t xml:space="preserve">Pinchart, “La cour de Jeanne et </w:t>
      </w:r>
      <w:r w:rsidR="00DB7FC4" w:rsidRPr="00AB36AE">
        <w:rPr>
          <w:sz w:val="18"/>
          <w:szCs w:val="18"/>
        </w:rPr>
        <w:t xml:space="preserve">de </w:t>
      </w:r>
      <w:r w:rsidR="00AB564F" w:rsidRPr="00AB36AE">
        <w:rPr>
          <w:sz w:val="18"/>
          <w:szCs w:val="18"/>
        </w:rPr>
        <w:t>Wenceslas”</w:t>
      </w:r>
      <w:r w:rsidR="002C48F1" w:rsidRPr="00AB36AE">
        <w:rPr>
          <w:sz w:val="18"/>
          <w:szCs w:val="18"/>
        </w:rPr>
        <w:t>,</w:t>
      </w:r>
      <w:r w:rsidR="00DB7FC4" w:rsidRPr="00AB36AE">
        <w:rPr>
          <w:sz w:val="18"/>
          <w:szCs w:val="18"/>
        </w:rPr>
        <w:t xml:space="preserve"> deel 2, </w:t>
      </w:r>
      <w:r w:rsidR="002C48F1" w:rsidRPr="00AB36AE">
        <w:rPr>
          <w:sz w:val="18"/>
          <w:szCs w:val="18"/>
        </w:rPr>
        <w:t xml:space="preserve"> 25-26.</w:t>
      </w:r>
    </w:p>
  </w:footnote>
  <w:footnote w:id="385">
    <w:p w14:paraId="2B8BC702" w14:textId="54D75F16" w:rsidR="00F108B3" w:rsidRPr="00AB36AE" w:rsidRDefault="00F108B3" w:rsidP="00F108B3">
      <w:pPr>
        <w:pStyle w:val="FootnoteText"/>
        <w:rPr>
          <w:sz w:val="18"/>
          <w:szCs w:val="18"/>
          <w:lang w:val="en-US"/>
        </w:rPr>
      </w:pPr>
      <w:r w:rsidRPr="00AB36AE">
        <w:rPr>
          <w:rStyle w:val="FootnoteReference"/>
          <w:sz w:val="18"/>
          <w:szCs w:val="18"/>
        </w:rPr>
        <w:footnoteRef/>
      </w:r>
      <w:r w:rsidRPr="00AB36AE">
        <w:rPr>
          <w:sz w:val="18"/>
          <w:szCs w:val="18"/>
        </w:rPr>
        <w:t xml:space="preserve"> </w:t>
      </w:r>
      <w:r w:rsidRPr="00AB36AE">
        <w:rPr>
          <w:sz w:val="18"/>
          <w:szCs w:val="18"/>
          <w:lang w:val="en-US"/>
        </w:rPr>
        <w:t xml:space="preserve">Earenfight, </w:t>
      </w:r>
      <w:r w:rsidR="00681809" w:rsidRPr="00AB36AE">
        <w:rPr>
          <w:sz w:val="18"/>
          <w:szCs w:val="18"/>
          <w:lang w:val="en-US"/>
        </w:rPr>
        <w:t>“</w:t>
      </w:r>
      <w:r w:rsidRPr="00AB36AE">
        <w:rPr>
          <w:sz w:val="18"/>
          <w:szCs w:val="18"/>
          <w:lang w:val="en-US"/>
        </w:rPr>
        <w:t>Medieval queenship</w:t>
      </w:r>
      <w:r w:rsidR="00681809" w:rsidRPr="00AB36AE">
        <w:rPr>
          <w:sz w:val="18"/>
          <w:szCs w:val="18"/>
          <w:lang w:val="en-US"/>
        </w:rPr>
        <w:t>”</w:t>
      </w:r>
      <w:r w:rsidRPr="00AB36AE">
        <w:rPr>
          <w:sz w:val="18"/>
          <w:szCs w:val="18"/>
          <w:lang w:val="en-US"/>
        </w:rPr>
        <w:t xml:space="preserve">, 3. </w:t>
      </w:r>
    </w:p>
  </w:footnote>
  <w:footnote w:id="386">
    <w:p w14:paraId="19569617" w14:textId="150C1B59" w:rsidR="005B124B" w:rsidRPr="00AB36AE" w:rsidRDefault="00AF7AAC">
      <w:pPr>
        <w:pStyle w:val="FootnoteText"/>
        <w:rPr>
          <w:sz w:val="18"/>
          <w:szCs w:val="18"/>
        </w:rPr>
      </w:pPr>
      <w:r w:rsidRPr="00AB36AE">
        <w:rPr>
          <w:rStyle w:val="FootnoteReference"/>
          <w:sz w:val="18"/>
          <w:szCs w:val="18"/>
        </w:rPr>
        <w:footnoteRef/>
      </w:r>
      <w:r w:rsidRPr="00AB36AE">
        <w:rPr>
          <w:sz w:val="18"/>
          <w:szCs w:val="18"/>
        </w:rPr>
        <w:t xml:space="preserve"> </w:t>
      </w:r>
      <w:r w:rsidR="0010050F" w:rsidRPr="00AB36AE">
        <w:rPr>
          <w:sz w:val="18"/>
          <w:szCs w:val="18"/>
          <w:lang w:val="en-US"/>
        </w:rPr>
        <w:t>O.a</w:t>
      </w:r>
      <w:r w:rsidRPr="00AB36AE">
        <w:rPr>
          <w:sz w:val="18"/>
          <w:szCs w:val="18"/>
          <w:lang w:val="en-US"/>
        </w:rPr>
        <w:t>. De Karmelieten en Minderbroeders.</w:t>
      </w:r>
      <w:r w:rsidR="0010050F" w:rsidRPr="00AB36AE">
        <w:rPr>
          <w:sz w:val="18"/>
          <w:szCs w:val="18"/>
          <w:lang w:val="en-US"/>
        </w:rPr>
        <w:t xml:space="preserve"> ARAB, RK, </w:t>
      </w:r>
      <w:r w:rsidR="0010050F" w:rsidRPr="00AB36AE">
        <w:rPr>
          <w:sz w:val="18"/>
          <w:szCs w:val="18"/>
        </w:rPr>
        <w:t xml:space="preserve">2364, fol. 61; Verkooren, </w:t>
      </w:r>
      <w:r w:rsidR="0010050F" w:rsidRPr="00AB36AE">
        <w:rPr>
          <w:i/>
          <w:iCs/>
          <w:sz w:val="18"/>
          <w:szCs w:val="18"/>
          <w:lang w:val="nl-NL"/>
        </w:rPr>
        <w:t>Chartes originales et vidimées</w:t>
      </w:r>
      <w:r w:rsidR="0010050F" w:rsidRPr="00AB36AE">
        <w:rPr>
          <w:i/>
          <w:iCs/>
          <w:sz w:val="18"/>
          <w:szCs w:val="18"/>
        </w:rPr>
        <w:t xml:space="preserve">, </w:t>
      </w:r>
      <w:r w:rsidR="0010050F" w:rsidRPr="00AB36AE">
        <w:rPr>
          <w:sz w:val="18"/>
          <w:szCs w:val="18"/>
        </w:rPr>
        <w:t xml:space="preserve">VII, </w:t>
      </w:r>
      <w:r w:rsidR="005B124B" w:rsidRPr="00AB36AE">
        <w:rPr>
          <w:sz w:val="18"/>
          <w:szCs w:val="18"/>
        </w:rPr>
        <w:t>93.</w:t>
      </w:r>
    </w:p>
  </w:footnote>
  <w:footnote w:id="387">
    <w:p w14:paraId="294CBEA4" w14:textId="3E15EE32" w:rsidR="005A28FB" w:rsidRPr="00AB36AE" w:rsidRDefault="005A28FB">
      <w:pPr>
        <w:pStyle w:val="FootnoteText"/>
        <w:rPr>
          <w:sz w:val="18"/>
          <w:szCs w:val="18"/>
          <w:lang w:val="en-US"/>
        </w:rPr>
      </w:pPr>
      <w:r w:rsidRPr="00AB36AE">
        <w:rPr>
          <w:rStyle w:val="FootnoteReference"/>
          <w:sz w:val="18"/>
          <w:szCs w:val="18"/>
        </w:rPr>
        <w:footnoteRef/>
      </w:r>
      <w:r w:rsidRPr="00AB36AE">
        <w:rPr>
          <w:sz w:val="18"/>
          <w:szCs w:val="18"/>
        </w:rPr>
        <w:t xml:space="preserve"> </w:t>
      </w:r>
      <w:r w:rsidR="00681809" w:rsidRPr="00AB36AE">
        <w:rPr>
          <w:sz w:val="18"/>
          <w:szCs w:val="18"/>
          <w:lang w:val="en-US"/>
        </w:rPr>
        <w:t xml:space="preserve">Fantysová-matėjkovā, </w:t>
      </w:r>
      <w:r w:rsidR="00681809" w:rsidRPr="00AB36AE">
        <w:rPr>
          <w:i/>
          <w:iCs/>
          <w:sz w:val="18"/>
          <w:szCs w:val="18"/>
          <w:lang w:val="en-US"/>
        </w:rPr>
        <w:t>Wenceslas</w:t>
      </w:r>
      <w:r w:rsidR="00681809" w:rsidRPr="00AB36AE">
        <w:rPr>
          <w:sz w:val="18"/>
          <w:szCs w:val="18"/>
          <w:lang w:val="en-US"/>
        </w:rPr>
        <w:t xml:space="preserve">, </w:t>
      </w:r>
      <w:r w:rsidRPr="00AB36AE">
        <w:rPr>
          <w:sz w:val="18"/>
          <w:szCs w:val="18"/>
          <w:lang w:val="en-US"/>
        </w:rPr>
        <w:t xml:space="preserve">421. </w:t>
      </w:r>
    </w:p>
  </w:footnote>
  <w:footnote w:id="388">
    <w:p w14:paraId="2FF0F6F3" w14:textId="1A55CC72" w:rsidR="00DC657D" w:rsidRPr="00AB36AE" w:rsidRDefault="00DC657D" w:rsidP="00400493">
      <w:pPr>
        <w:pStyle w:val="FootnoteText"/>
        <w:rPr>
          <w:sz w:val="18"/>
          <w:szCs w:val="18"/>
          <w:lang w:val="en-US"/>
        </w:rPr>
      </w:pPr>
      <w:r w:rsidRPr="00AB36AE">
        <w:rPr>
          <w:rStyle w:val="FootnoteReference"/>
          <w:sz w:val="18"/>
          <w:szCs w:val="18"/>
        </w:rPr>
        <w:footnoteRef/>
      </w:r>
      <w:r w:rsidRPr="00AB36AE">
        <w:rPr>
          <w:sz w:val="18"/>
          <w:szCs w:val="18"/>
        </w:rPr>
        <w:t xml:space="preserve"> </w:t>
      </w:r>
      <w:r w:rsidR="00400493" w:rsidRPr="00AB36AE">
        <w:rPr>
          <w:sz w:val="18"/>
          <w:szCs w:val="18"/>
          <w:lang w:val="en-BE"/>
        </w:rPr>
        <w:t>Het huidige beeld van de weduweperiode van Johanna binnen de literatuur staat eigenlijk volledig in het teken van de Bourgondische machtsovername en het 'zwakke' bestuur van Johanna.</w:t>
      </w:r>
      <w:r w:rsidR="00CA1394" w:rsidRPr="00AB36AE">
        <w:rPr>
          <w:sz w:val="18"/>
          <w:szCs w:val="18"/>
          <w:lang w:val="en-BE"/>
        </w:rPr>
        <w:t xml:space="preserve"> Zie De Maersschalk, De Hertogen, </w:t>
      </w:r>
      <w:r w:rsidR="00F745F7" w:rsidRPr="00AB36AE">
        <w:rPr>
          <w:sz w:val="18"/>
          <w:szCs w:val="18"/>
          <w:lang w:val="en-BE"/>
        </w:rPr>
        <w:t>309-316.</w:t>
      </w:r>
    </w:p>
  </w:footnote>
  <w:footnote w:id="389">
    <w:p w14:paraId="7BC415F2" w14:textId="0ECA0CD3" w:rsidR="00093F1E" w:rsidRPr="00AB36AE" w:rsidRDefault="00093F1E">
      <w:pPr>
        <w:pStyle w:val="FootnoteText"/>
        <w:rPr>
          <w:sz w:val="18"/>
          <w:szCs w:val="18"/>
          <w:lang w:val="en-US"/>
        </w:rPr>
      </w:pPr>
      <w:r w:rsidRPr="00AB36AE">
        <w:rPr>
          <w:rStyle w:val="FootnoteReference"/>
          <w:sz w:val="18"/>
          <w:szCs w:val="18"/>
        </w:rPr>
        <w:footnoteRef/>
      </w:r>
      <w:r w:rsidRPr="00AB36AE">
        <w:rPr>
          <w:sz w:val="18"/>
          <w:szCs w:val="18"/>
        </w:rPr>
        <w:t xml:space="preserve"> </w:t>
      </w:r>
      <w:r w:rsidRPr="00AB36AE">
        <w:rPr>
          <w:sz w:val="18"/>
          <w:szCs w:val="18"/>
          <w:lang w:val="en-US"/>
        </w:rPr>
        <w:t>De dalende inkomsten in Binche zijn daar een goede illustratie van. Zie hoofdstuk 1.</w:t>
      </w:r>
    </w:p>
  </w:footnote>
  <w:footnote w:id="390">
    <w:p w14:paraId="087BB57D" w14:textId="2411F8A4" w:rsidR="00DD7A10" w:rsidRPr="00AB36AE" w:rsidRDefault="005E017A" w:rsidP="005E017A">
      <w:pPr>
        <w:pStyle w:val="FootnoteText"/>
        <w:rPr>
          <w:sz w:val="18"/>
          <w:szCs w:val="18"/>
          <w:lang w:val="en-US"/>
        </w:rPr>
      </w:pPr>
      <w:r w:rsidRPr="00AB36AE">
        <w:rPr>
          <w:rStyle w:val="FootnoteReference"/>
          <w:sz w:val="18"/>
          <w:szCs w:val="18"/>
        </w:rPr>
        <w:footnoteRef/>
      </w:r>
      <w:r w:rsidRPr="00AB36AE">
        <w:rPr>
          <w:sz w:val="18"/>
          <w:szCs w:val="18"/>
        </w:rPr>
        <w:t xml:space="preserve"> </w:t>
      </w:r>
      <w:r w:rsidR="00DD7A10" w:rsidRPr="00AB36AE">
        <w:rPr>
          <w:sz w:val="18"/>
          <w:szCs w:val="18"/>
          <w:lang w:val="en-BE"/>
        </w:rPr>
        <w:t xml:space="preserve">Avonds, “Brabant en Limburg”, 482. </w:t>
      </w:r>
    </w:p>
  </w:footnote>
  <w:footnote w:id="391">
    <w:p w14:paraId="2A28C0EB" w14:textId="3EE62F85" w:rsidR="008828A2" w:rsidRPr="00AB36AE" w:rsidRDefault="008828A2" w:rsidP="00F622B1">
      <w:pPr>
        <w:pStyle w:val="FootnoteText"/>
        <w:rPr>
          <w:sz w:val="18"/>
          <w:szCs w:val="18"/>
        </w:rPr>
      </w:pPr>
      <w:r w:rsidRPr="00AB36AE">
        <w:rPr>
          <w:rStyle w:val="FootnoteReference"/>
          <w:sz w:val="18"/>
          <w:szCs w:val="18"/>
        </w:rPr>
        <w:footnoteRef/>
      </w:r>
      <w:r w:rsidRPr="00AB36AE">
        <w:rPr>
          <w:sz w:val="18"/>
          <w:szCs w:val="18"/>
        </w:rPr>
        <w:t xml:space="preserve"> </w:t>
      </w:r>
      <w:r w:rsidR="00C60691" w:rsidRPr="00AB36AE">
        <w:rPr>
          <w:sz w:val="18"/>
          <w:szCs w:val="18"/>
        </w:rPr>
        <w:t xml:space="preserve">De Brabantse Yeesten vermelden echter het tegendeel: </w:t>
      </w:r>
      <w:r w:rsidR="00EA0D22" w:rsidRPr="00AB36AE">
        <w:rPr>
          <w:sz w:val="18"/>
          <w:szCs w:val="18"/>
        </w:rPr>
        <w:t>“</w:t>
      </w:r>
      <w:r w:rsidR="00EA0D22" w:rsidRPr="00AB36AE">
        <w:rPr>
          <w:i/>
          <w:iCs/>
          <w:sz w:val="18"/>
          <w:szCs w:val="18"/>
        </w:rPr>
        <w:t>Wanneer dat si hadde vrede</w:t>
      </w:r>
      <w:r w:rsidR="00377C63" w:rsidRPr="00AB36AE">
        <w:rPr>
          <w:i/>
          <w:iCs/>
          <w:sz w:val="18"/>
          <w:szCs w:val="18"/>
        </w:rPr>
        <w:t xml:space="preserve">. </w:t>
      </w:r>
      <w:r w:rsidR="00EA0D22" w:rsidRPr="00AB36AE">
        <w:rPr>
          <w:i/>
          <w:iCs/>
          <w:sz w:val="18"/>
          <w:szCs w:val="18"/>
        </w:rPr>
        <w:t>Yan orloghe, dicwijl si dede Jaerlijcs houden, te menegen stonde, Tornoye ende tafelronde, Ende coslelike hove</w:t>
      </w:r>
      <w:r w:rsidR="00F622B1" w:rsidRPr="00AB36AE">
        <w:rPr>
          <w:i/>
          <w:iCs/>
          <w:sz w:val="18"/>
          <w:szCs w:val="18"/>
        </w:rPr>
        <w:t xml:space="preserve"> […] Sach men daer danssen ende hoveren.Diet in der maleyen best hadden gedaen.Die sach men hogen loen ontfaen.</w:t>
      </w:r>
      <w:r w:rsidR="009D2091" w:rsidRPr="00AB36AE">
        <w:rPr>
          <w:i/>
          <w:iCs/>
          <w:sz w:val="18"/>
          <w:szCs w:val="18"/>
        </w:rPr>
        <w:t xml:space="preserve"> Dus hilt die edel vrouwe Johanne. Wacker alle dien goede manne</w:t>
      </w:r>
      <w:r w:rsidR="00F622B1" w:rsidRPr="00AB36AE">
        <w:rPr>
          <w:sz w:val="18"/>
          <w:szCs w:val="18"/>
        </w:rPr>
        <w:t>” Zie:</w:t>
      </w:r>
      <w:r w:rsidR="007173C7" w:rsidRPr="00AB36AE">
        <w:rPr>
          <w:sz w:val="18"/>
          <w:szCs w:val="18"/>
        </w:rPr>
        <w:t xml:space="preserve"> </w:t>
      </w:r>
      <w:r w:rsidR="00F622B1" w:rsidRPr="00AB36AE">
        <w:rPr>
          <w:sz w:val="18"/>
          <w:szCs w:val="18"/>
        </w:rPr>
        <w:t xml:space="preserve">Willems, </w:t>
      </w:r>
      <w:r w:rsidR="00F622B1" w:rsidRPr="00AB36AE">
        <w:rPr>
          <w:i/>
          <w:iCs/>
          <w:sz w:val="18"/>
          <w:szCs w:val="18"/>
        </w:rPr>
        <w:t>De Brabantsche Yeesten</w:t>
      </w:r>
      <w:r w:rsidR="007173C7" w:rsidRPr="00AB36AE">
        <w:rPr>
          <w:sz w:val="18"/>
          <w:szCs w:val="18"/>
        </w:rPr>
        <w:t>, 408-409; Sleiderink</w:t>
      </w:r>
      <w:r w:rsidR="009D2091" w:rsidRPr="00AB36AE">
        <w:rPr>
          <w:sz w:val="18"/>
          <w:szCs w:val="18"/>
        </w:rPr>
        <w:t>, “Dichters aan het Brabantse hof”, 2.</w:t>
      </w:r>
    </w:p>
  </w:footnote>
  <w:footnote w:id="392">
    <w:p w14:paraId="44700565" w14:textId="0A53AEAF" w:rsidR="00A847D8" w:rsidRPr="00AB36AE" w:rsidRDefault="00A847D8" w:rsidP="00A847D8">
      <w:pPr>
        <w:pStyle w:val="FootnoteText"/>
        <w:rPr>
          <w:sz w:val="18"/>
          <w:szCs w:val="18"/>
          <w:lang w:val="en-US"/>
        </w:rPr>
      </w:pPr>
      <w:r w:rsidRPr="00AB36AE">
        <w:rPr>
          <w:rStyle w:val="FootnoteReference"/>
          <w:sz w:val="18"/>
          <w:szCs w:val="18"/>
        </w:rPr>
        <w:footnoteRef/>
      </w:r>
      <w:r w:rsidRPr="00AB36AE">
        <w:rPr>
          <w:sz w:val="18"/>
          <w:szCs w:val="18"/>
          <w:lang w:val="en-US"/>
        </w:rPr>
        <w:t xml:space="preserve"> Bran</w:t>
      </w:r>
      <w:r w:rsidR="00DD7A10" w:rsidRPr="00AB36AE">
        <w:rPr>
          <w:sz w:val="18"/>
          <w:szCs w:val="18"/>
          <w:lang w:val="en-US"/>
        </w:rPr>
        <w:t xml:space="preserve">dsma, </w:t>
      </w:r>
      <w:r w:rsidR="00DD7A10" w:rsidRPr="00AB36AE">
        <w:rPr>
          <w:i/>
          <w:iCs/>
          <w:sz w:val="18"/>
          <w:szCs w:val="18"/>
          <w:lang w:val="en-US"/>
        </w:rPr>
        <w:t>Tussen twee dynastieën</w:t>
      </w:r>
      <w:r w:rsidR="00DD7A10" w:rsidRPr="00AB36AE">
        <w:rPr>
          <w:sz w:val="18"/>
          <w:szCs w:val="18"/>
          <w:lang w:val="en-US"/>
        </w:rPr>
        <w:t>,</w:t>
      </w:r>
      <w:r w:rsidRPr="00AB36AE">
        <w:rPr>
          <w:sz w:val="18"/>
          <w:szCs w:val="18"/>
          <w:lang w:val="en-US"/>
        </w:rPr>
        <w:t xml:space="preserve"> 219.</w:t>
      </w:r>
    </w:p>
  </w:footnote>
  <w:footnote w:id="393">
    <w:p w14:paraId="6956E2E8" w14:textId="06081D64" w:rsidR="00947854" w:rsidRPr="00AB36AE" w:rsidRDefault="003B7BC3" w:rsidP="003B7BC3">
      <w:pPr>
        <w:pStyle w:val="FootnoteText"/>
        <w:rPr>
          <w:sz w:val="18"/>
          <w:szCs w:val="18"/>
        </w:rPr>
      </w:pPr>
      <w:r w:rsidRPr="00AB36AE">
        <w:rPr>
          <w:rStyle w:val="FootnoteReference"/>
          <w:sz w:val="18"/>
          <w:szCs w:val="18"/>
        </w:rPr>
        <w:footnoteRef/>
      </w:r>
      <w:r w:rsidRPr="00AB36AE">
        <w:rPr>
          <w:sz w:val="18"/>
          <w:szCs w:val="18"/>
        </w:rPr>
        <w:t xml:space="preserve"> </w:t>
      </w:r>
      <w:r w:rsidR="00947854" w:rsidRPr="00AB36AE">
        <w:rPr>
          <w:sz w:val="18"/>
          <w:szCs w:val="18"/>
          <w:lang w:val="en-BE"/>
        </w:rPr>
        <w:t xml:space="preserve">De Maesschalck, </w:t>
      </w:r>
      <w:r w:rsidR="00947854" w:rsidRPr="00AB36AE">
        <w:rPr>
          <w:i/>
          <w:iCs/>
          <w:sz w:val="18"/>
          <w:szCs w:val="18"/>
          <w:lang w:val="en-BE"/>
        </w:rPr>
        <w:t xml:space="preserve">De hertogen, </w:t>
      </w:r>
      <w:r w:rsidR="00947854" w:rsidRPr="00AB36AE">
        <w:rPr>
          <w:sz w:val="18"/>
          <w:szCs w:val="18"/>
          <w:lang w:val="en-BE"/>
        </w:rPr>
        <w:t>300.</w:t>
      </w:r>
    </w:p>
  </w:footnote>
  <w:footnote w:id="394">
    <w:p w14:paraId="4B2D7D15" w14:textId="4E469D29" w:rsidR="003B7BC3" w:rsidRPr="00AB36AE" w:rsidRDefault="003B7BC3" w:rsidP="003B7BC3">
      <w:pPr>
        <w:pStyle w:val="FootnoteText"/>
        <w:rPr>
          <w:sz w:val="18"/>
          <w:szCs w:val="18"/>
        </w:rPr>
      </w:pPr>
      <w:r w:rsidRPr="00AB36AE">
        <w:rPr>
          <w:rStyle w:val="FootnoteReference"/>
          <w:sz w:val="18"/>
          <w:szCs w:val="18"/>
        </w:rPr>
        <w:footnoteRef/>
      </w:r>
      <w:r w:rsidRPr="00AB36AE">
        <w:rPr>
          <w:sz w:val="18"/>
          <w:szCs w:val="18"/>
        </w:rPr>
        <w:t xml:space="preserve"> </w:t>
      </w:r>
      <w:r w:rsidR="00947854" w:rsidRPr="00AB36AE">
        <w:rPr>
          <w:sz w:val="18"/>
          <w:szCs w:val="18"/>
          <w:lang w:val="en-BE"/>
        </w:rPr>
        <w:t xml:space="preserve">De Maesschalck, </w:t>
      </w:r>
      <w:r w:rsidR="00947854" w:rsidRPr="00AB36AE">
        <w:rPr>
          <w:i/>
          <w:iCs/>
          <w:sz w:val="18"/>
          <w:szCs w:val="18"/>
          <w:lang w:val="en-BE"/>
        </w:rPr>
        <w:t xml:space="preserve">De hertogen, </w:t>
      </w:r>
      <w:r w:rsidR="00947854" w:rsidRPr="00AB36AE">
        <w:rPr>
          <w:sz w:val="18"/>
          <w:szCs w:val="18"/>
          <w:lang w:val="en-BE"/>
        </w:rPr>
        <w:t>300.</w:t>
      </w:r>
    </w:p>
  </w:footnote>
  <w:footnote w:id="395">
    <w:p w14:paraId="6E99F5E2" w14:textId="46CD2040" w:rsidR="00947854" w:rsidRPr="00AB36AE" w:rsidRDefault="006826D5" w:rsidP="006826D5">
      <w:pPr>
        <w:pStyle w:val="FootnoteText"/>
        <w:rPr>
          <w:sz w:val="18"/>
          <w:szCs w:val="18"/>
        </w:rPr>
      </w:pPr>
      <w:r w:rsidRPr="00AB36AE">
        <w:rPr>
          <w:rStyle w:val="FootnoteReference"/>
          <w:sz w:val="18"/>
          <w:szCs w:val="18"/>
        </w:rPr>
        <w:footnoteRef/>
      </w:r>
      <w:r w:rsidRPr="00AB36AE">
        <w:rPr>
          <w:sz w:val="18"/>
          <w:szCs w:val="18"/>
        </w:rPr>
        <w:t xml:space="preserve"> Voor de volledige lijst, zie: </w:t>
      </w:r>
      <w:r w:rsidR="008B72CD" w:rsidRPr="00AB36AE">
        <w:rPr>
          <w:sz w:val="18"/>
          <w:szCs w:val="18"/>
        </w:rPr>
        <w:t xml:space="preserve">De </w:t>
      </w:r>
      <w:r w:rsidR="008B72CD" w:rsidRPr="00AB36AE">
        <w:rPr>
          <w:sz w:val="18"/>
          <w:szCs w:val="18"/>
          <w:lang w:val="en-BE"/>
        </w:rPr>
        <w:t xml:space="preserve">Maesschalck, </w:t>
      </w:r>
      <w:r w:rsidR="008B72CD" w:rsidRPr="00AB36AE">
        <w:rPr>
          <w:i/>
          <w:iCs/>
          <w:sz w:val="18"/>
          <w:szCs w:val="18"/>
          <w:lang w:val="en-BE"/>
        </w:rPr>
        <w:t xml:space="preserve">De hertogen, </w:t>
      </w:r>
      <w:r w:rsidR="008B72CD" w:rsidRPr="00AB36AE">
        <w:rPr>
          <w:sz w:val="18"/>
          <w:szCs w:val="18"/>
          <w:lang w:val="en-BE"/>
        </w:rPr>
        <w:t>300</w:t>
      </w:r>
      <w:r w:rsidR="004B57D7" w:rsidRPr="00AB36AE">
        <w:rPr>
          <w:sz w:val="18"/>
          <w:szCs w:val="18"/>
          <w:lang w:val="en-BE"/>
        </w:rPr>
        <w:t xml:space="preserve">; </w:t>
      </w:r>
      <w:r w:rsidR="00613789" w:rsidRPr="00AB36AE">
        <w:rPr>
          <w:sz w:val="18"/>
          <w:szCs w:val="18"/>
          <w:lang w:val="en-BE"/>
        </w:rPr>
        <w:t xml:space="preserve">Avonds, </w:t>
      </w:r>
      <w:r w:rsidR="00613789" w:rsidRPr="00AB36AE">
        <w:rPr>
          <w:i/>
          <w:iCs/>
          <w:sz w:val="18"/>
          <w:szCs w:val="18"/>
          <w:lang w:val="en-BE"/>
        </w:rPr>
        <w:t xml:space="preserve">Brabant tijdens de regering van Hertog Jan III, </w:t>
      </w:r>
      <w:r w:rsidR="00613789" w:rsidRPr="00AB36AE">
        <w:rPr>
          <w:sz w:val="18"/>
          <w:szCs w:val="18"/>
          <w:lang w:val="en-BE"/>
        </w:rPr>
        <w:t>213.</w:t>
      </w:r>
    </w:p>
  </w:footnote>
  <w:footnote w:id="396">
    <w:p w14:paraId="13994716" w14:textId="0F66B0CE" w:rsidR="00BC37A2" w:rsidRPr="00AB36AE" w:rsidRDefault="003B7BC3" w:rsidP="003B7BC3">
      <w:pPr>
        <w:pStyle w:val="FootnoteText"/>
        <w:rPr>
          <w:sz w:val="18"/>
          <w:szCs w:val="18"/>
        </w:rPr>
      </w:pPr>
      <w:r w:rsidRPr="00AB36AE">
        <w:rPr>
          <w:rStyle w:val="FootnoteReference"/>
          <w:sz w:val="18"/>
          <w:szCs w:val="18"/>
        </w:rPr>
        <w:footnoteRef/>
      </w:r>
      <w:r w:rsidRPr="00AB36AE">
        <w:rPr>
          <w:sz w:val="18"/>
          <w:szCs w:val="18"/>
        </w:rPr>
        <w:t xml:space="preserve"> </w:t>
      </w:r>
      <w:r w:rsidR="00BC37A2" w:rsidRPr="00AB36AE">
        <w:rPr>
          <w:sz w:val="18"/>
          <w:szCs w:val="18"/>
          <w:lang w:val="en-BE"/>
        </w:rPr>
        <w:t>Damen, “Prelaten, edelen en steden”, 45-47</w:t>
      </w:r>
      <w:r w:rsidR="00613789" w:rsidRPr="00AB36AE">
        <w:rPr>
          <w:sz w:val="18"/>
          <w:szCs w:val="18"/>
          <w:lang w:val="en-BE"/>
        </w:rPr>
        <w:t xml:space="preserve">; Avonds, </w:t>
      </w:r>
      <w:r w:rsidR="00613789" w:rsidRPr="00AB36AE">
        <w:rPr>
          <w:i/>
          <w:iCs/>
          <w:sz w:val="18"/>
          <w:szCs w:val="18"/>
          <w:lang w:val="en-BE"/>
        </w:rPr>
        <w:t xml:space="preserve">Brabant tijdens de regering van Hertog Jan III, </w:t>
      </w:r>
      <w:r w:rsidR="00613789" w:rsidRPr="00AB36AE">
        <w:rPr>
          <w:sz w:val="18"/>
          <w:szCs w:val="18"/>
          <w:lang w:val="en-BE"/>
        </w:rPr>
        <w:t>213</w:t>
      </w:r>
      <w:r w:rsidR="00613789" w:rsidRPr="00AB36AE">
        <w:rPr>
          <w:sz w:val="18"/>
          <w:szCs w:val="18"/>
        </w:rPr>
        <w:t>-215.</w:t>
      </w:r>
    </w:p>
  </w:footnote>
  <w:footnote w:id="397">
    <w:p w14:paraId="6B7C8379" w14:textId="24141DF4" w:rsidR="003B7BC3" w:rsidRPr="00AB36AE" w:rsidRDefault="003B7BC3" w:rsidP="003B7BC3">
      <w:pPr>
        <w:pStyle w:val="FootnoteText"/>
        <w:rPr>
          <w:sz w:val="18"/>
          <w:szCs w:val="18"/>
        </w:rPr>
      </w:pPr>
      <w:r w:rsidRPr="00AB36AE">
        <w:rPr>
          <w:rStyle w:val="FootnoteReference"/>
          <w:sz w:val="18"/>
          <w:szCs w:val="18"/>
        </w:rPr>
        <w:footnoteRef/>
      </w:r>
      <w:r w:rsidRPr="00AB36AE">
        <w:rPr>
          <w:sz w:val="18"/>
          <w:szCs w:val="18"/>
        </w:rPr>
        <w:t xml:space="preserve"> </w:t>
      </w:r>
      <w:r w:rsidR="001B4157" w:rsidRPr="00AB36AE">
        <w:rPr>
          <w:sz w:val="18"/>
          <w:szCs w:val="18"/>
          <w:lang w:val="en-BE"/>
        </w:rPr>
        <w:t>Damen, “Prelaten, edelen en steden”, 9.</w:t>
      </w:r>
    </w:p>
  </w:footnote>
  <w:footnote w:id="398">
    <w:p w14:paraId="5AC8BC8B" w14:textId="6F7B039C" w:rsidR="009E035B" w:rsidRPr="00AB36AE" w:rsidRDefault="009E035B">
      <w:pPr>
        <w:pStyle w:val="FootnoteText"/>
        <w:rPr>
          <w:sz w:val="18"/>
          <w:szCs w:val="18"/>
          <w:lang w:val="en-US"/>
        </w:rPr>
      </w:pPr>
      <w:r w:rsidRPr="00AB36AE">
        <w:rPr>
          <w:rStyle w:val="FootnoteReference"/>
          <w:sz w:val="18"/>
          <w:szCs w:val="18"/>
        </w:rPr>
        <w:footnoteRef/>
      </w:r>
      <w:r w:rsidRPr="00AB36AE">
        <w:rPr>
          <w:sz w:val="18"/>
          <w:szCs w:val="18"/>
        </w:rPr>
        <w:t xml:space="preserve"> </w:t>
      </w:r>
      <w:r w:rsidR="0078122C" w:rsidRPr="00AB36AE">
        <w:rPr>
          <w:sz w:val="18"/>
          <w:szCs w:val="18"/>
          <w:lang w:val="en-US"/>
        </w:rPr>
        <w:t>Blockmans, "The Devotion of a Lonely Duchess”, 45-46.</w:t>
      </w:r>
    </w:p>
  </w:footnote>
  <w:footnote w:id="399">
    <w:p w14:paraId="5495AF82" w14:textId="7B58C9C8" w:rsidR="00104184" w:rsidRPr="00AB36AE" w:rsidRDefault="00104184">
      <w:pPr>
        <w:pStyle w:val="FootnoteText"/>
        <w:rPr>
          <w:sz w:val="18"/>
          <w:szCs w:val="18"/>
          <w:lang w:val="en-US"/>
        </w:rPr>
      </w:pPr>
      <w:r w:rsidRPr="00AB36AE">
        <w:rPr>
          <w:rStyle w:val="FootnoteReference"/>
          <w:sz w:val="18"/>
          <w:szCs w:val="18"/>
        </w:rPr>
        <w:footnoteRef/>
      </w:r>
      <w:r w:rsidRPr="00AB36AE">
        <w:rPr>
          <w:sz w:val="18"/>
          <w:szCs w:val="18"/>
        </w:rPr>
        <w:t xml:space="preserve"> </w:t>
      </w:r>
      <w:r w:rsidRPr="00AB36AE">
        <w:rPr>
          <w:sz w:val="18"/>
          <w:szCs w:val="18"/>
          <w:lang w:val="en-US"/>
        </w:rPr>
        <w:t xml:space="preserve">D'Anca, </w:t>
      </w:r>
      <w:r w:rsidRPr="00AB36AE">
        <w:rPr>
          <w:i/>
          <w:iCs/>
          <w:sz w:val="18"/>
          <w:szCs w:val="18"/>
          <w:lang w:val="en-US"/>
        </w:rPr>
        <w:t>Medieval Mausoleums</w:t>
      </w:r>
      <w:r w:rsidRPr="00AB36AE">
        <w:rPr>
          <w:sz w:val="18"/>
          <w:szCs w:val="18"/>
          <w:lang w:val="en-US"/>
        </w:rPr>
        <w:t xml:space="preserve">, </w:t>
      </w:r>
      <w:r w:rsidRPr="00AB36AE">
        <w:rPr>
          <w:sz w:val="18"/>
          <w:szCs w:val="18"/>
          <w:lang w:val="fr-FR"/>
        </w:rPr>
        <w:t>75.</w:t>
      </w:r>
    </w:p>
  </w:footnote>
  <w:footnote w:id="400">
    <w:p w14:paraId="126CD26B" w14:textId="018F55E3" w:rsidR="007C6FA4" w:rsidRPr="00AB36AE" w:rsidRDefault="007C6FA4">
      <w:pPr>
        <w:pStyle w:val="FootnoteText"/>
        <w:rPr>
          <w:sz w:val="18"/>
          <w:szCs w:val="18"/>
          <w:lang w:val="en-US"/>
        </w:rPr>
      </w:pPr>
      <w:r w:rsidRPr="00AB36AE">
        <w:rPr>
          <w:rStyle w:val="FootnoteReference"/>
          <w:sz w:val="18"/>
          <w:szCs w:val="18"/>
        </w:rPr>
        <w:footnoteRef/>
      </w:r>
      <w:r w:rsidRPr="00AB36AE">
        <w:rPr>
          <w:sz w:val="18"/>
          <w:szCs w:val="18"/>
        </w:rPr>
        <w:t xml:space="preserve"> </w:t>
      </w:r>
      <w:r w:rsidRPr="00AB36AE">
        <w:rPr>
          <w:sz w:val="18"/>
          <w:szCs w:val="18"/>
          <w:lang w:val="en-US"/>
        </w:rPr>
        <w:t>Kettering, “Gift-giving and patronage”, 131-132.</w:t>
      </w:r>
    </w:p>
  </w:footnote>
  <w:footnote w:id="401">
    <w:p w14:paraId="10CA7200" w14:textId="1E4DBE40" w:rsidR="006816A6" w:rsidRPr="00AB36AE" w:rsidRDefault="003B7BC3" w:rsidP="003B7BC3">
      <w:pPr>
        <w:pStyle w:val="FootnoteText"/>
        <w:rPr>
          <w:sz w:val="18"/>
          <w:szCs w:val="18"/>
        </w:rPr>
      </w:pPr>
      <w:r w:rsidRPr="00AB36AE">
        <w:rPr>
          <w:rStyle w:val="FootnoteReference"/>
          <w:sz w:val="18"/>
          <w:szCs w:val="18"/>
        </w:rPr>
        <w:footnoteRef/>
      </w:r>
      <w:r w:rsidR="007C6FA4" w:rsidRPr="00AB36AE">
        <w:rPr>
          <w:sz w:val="18"/>
          <w:szCs w:val="18"/>
          <w:lang w:val="en-US"/>
        </w:rPr>
        <w:t xml:space="preserve"> Damen,</w:t>
      </w:r>
      <w:r w:rsidR="007C6FA4" w:rsidRPr="00AB36AE">
        <w:rPr>
          <w:sz w:val="18"/>
          <w:szCs w:val="18"/>
        </w:rPr>
        <w:t xml:space="preserve"> “Vorstelijke vensters”, 141.</w:t>
      </w:r>
    </w:p>
  </w:footnote>
  <w:footnote w:id="402">
    <w:p w14:paraId="1AA13FE4" w14:textId="58294ABA" w:rsidR="003B7BC3" w:rsidRPr="00AB36AE" w:rsidRDefault="003B7BC3" w:rsidP="003B7BC3">
      <w:pPr>
        <w:pStyle w:val="FootnoteText"/>
        <w:rPr>
          <w:sz w:val="18"/>
          <w:szCs w:val="18"/>
        </w:rPr>
      </w:pPr>
      <w:r w:rsidRPr="00AB36AE">
        <w:rPr>
          <w:rStyle w:val="FootnoteReference"/>
          <w:sz w:val="18"/>
          <w:szCs w:val="18"/>
        </w:rPr>
        <w:footnoteRef/>
      </w:r>
      <w:r w:rsidRPr="00AB36AE">
        <w:rPr>
          <w:sz w:val="18"/>
          <w:szCs w:val="18"/>
        </w:rPr>
        <w:t xml:space="preserve"> </w:t>
      </w:r>
      <w:r w:rsidR="007C6FA4" w:rsidRPr="00AB36AE">
        <w:rPr>
          <w:sz w:val="18"/>
          <w:szCs w:val="18"/>
          <w:lang w:val="en-US"/>
        </w:rPr>
        <w:t xml:space="preserve">Brandsma, </w:t>
      </w:r>
      <w:r w:rsidR="007C6FA4" w:rsidRPr="00AB36AE">
        <w:rPr>
          <w:i/>
          <w:iCs/>
          <w:sz w:val="18"/>
          <w:szCs w:val="18"/>
          <w:lang w:val="en-US"/>
        </w:rPr>
        <w:t xml:space="preserve">Tussen twee </w:t>
      </w:r>
      <w:r w:rsidR="005D4611" w:rsidRPr="00AB36AE">
        <w:rPr>
          <w:i/>
          <w:iCs/>
          <w:sz w:val="18"/>
          <w:szCs w:val="18"/>
          <w:lang w:val="en-US"/>
        </w:rPr>
        <w:t>dynastieën</w:t>
      </w:r>
      <w:r w:rsidR="005D4611" w:rsidRPr="00AB36AE">
        <w:rPr>
          <w:sz w:val="18"/>
          <w:szCs w:val="18"/>
          <w:lang w:val="en-US"/>
        </w:rPr>
        <w:t>, 219</w:t>
      </w:r>
      <w:r w:rsidR="007C6FA4" w:rsidRPr="00AB36AE">
        <w:rPr>
          <w:sz w:val="18"/>
          <w:szCs w:val="18"/>
          <w:lang w:val="en-US"/>
        </w:rPr>
        <w:t>.</w:t>
      </w:r>
    </w:p>
  </w:footnote>
  <w:footnote w:id="403">
    <w:p w14:paraId="2C44C482" w14:textId="794E1094" w:rsidR="0003010E" w:rsidRPr="00AB36AE" w:rsidRDefault="003B7BC3" w:rsidP="003B7BC3">
      <w:pPr>
        <w:pStyle w:val="FootnoteText"/>
        <w:rPr>
          <w:sz w:val="18"/>
          <w:szCs w:val="18"/>
        </w:rPr>
      </w:pPr>
      <w:r w:rsidRPr="00AB36AE">
        <w:rPr>
          <w:rStyle w:val="FootnoteReference"/>
          <w:sz w:val="18"/>
          <w:szCs w:val="18"/>
        </w:rPr>
        <w:footnoteRef/>
      </w:r>
      <w:r w:rsidRPr="00AB36AE">
        <w:rPr>
          <w:sz w:val="18"/>
          <w:szCs w:val="18"/>
        </w:rPr>
        <w:t xml:space="preserve"> </w:t>
      </w:r>
      <w:r w:rsidR="0003010E" w:rsidRPr="00AB36AE">
        <w:rPr>
          <w:sz w:val="18"/>
          <w:szCs w:val="18"/>
          <w:lang w:val="en-BE"/>
        </w:rPr>
        <w:t>Pinchart, “La cour de Jeanne et de Wenceslas</w:t>
      </w:r>
      <w:r w:rsidR="000F23DE" w:rsidRPr="00AB36AE">
        <w:rPr>
          <w:sz w:val="18"/>
          <w:szCs w:val="18"/>
          <w:lang w:val="en-BE"/>
        </w:rPr>
        <w:t xml:space="preserve">”, 7. </w:t>
      </w:r>
    </w:p>
  </w:footnote>
  <w:footnote w:id="404">
    <w:p w14:paraId="1CB26EDE" w14:textId="371F81C3" w:rsidR="00C56733" w:rsidRPr="00AB36AE" w:rsidRDefault="003B7BC3" w:rsidP="003B7BC3">
      <w:pPr>
        <w:pStyle w:val="FootnoteText"/>
        <w:rPr>
          <w:sz w:val="18"/>
          <w:szCs w:val="18"/>
        </w:rPr>
      </w:pPr>
      <w:r w:rsidRPr="00AB36AE">
        <w:rPr>
          <w:rStyle w:val="FootnoteReference"/>
          <w:sz w:val="18"/>
          <w:szCs w:val="18"/>
        </w:rPr>
        <w:footnoteRef/>
      </w:r>
      <w:r w:rsidRPr="00AB36AE">
        <w:rPr>
          <w:sz w:val="18"/>
          <w:szCs w:val="18"/>
        </w:rPr>
        <w:t xml:space="preserve"> </w:t>
      </w:r>
      <w:r w:rsidR="00C56733" w:rsidRPr="00AB36AE">
        <w:rPr>
          <w:sz w:val="18"/>
          <w:szCs w:val="18"/>
          <w:lang w:val="fr-BE"/>
        </w:rPr>
        <w:t xml:space="preserve">Verkooren, </w:t>
      </w:r>
      <w:r w:rsidR="00C56733" w:rsidRPr="00AB36AE">
        <w:rPr>
          <w:i/>
          <w:iCs/>
          <w:sz w:val="18"/>
          <w:szCs w:val="18"/>
          <w:lang w:val="fr-BE"/>
        </w:rPr>
        <w:t xml:space="preserve">Inventaire des Chartes et Cartulaires, </w:t>
      </w:r>
      <w:r w:rsidR="00C56733" w:rsidRPr="00AB36AE">
        <w:rPr>
          <w:sz w:val="18"/>
          <w:szCs w:val="18"/>
          <w:lang w:val="fr-BE"/>
        </w:rPr>
        <w:t>197</w:t>
      </w:r>
      <w:r w:rsidR="00AB36AE">
        <w:rPr>
          <w:sz w:val="18"/>
          <w:szCs w:val="18"/>
          <w:lang w:val="fr-BE"/>
        </w:rPr>
        <w:t>.</w:t>
      </w:r>
    </w:p>
  </w:footnote>
  <w:footnote w:id="405">
    <w:p w14:paraId="41A5FD16" w14:textId="5B9CF3C6" w:rsidR="00AD388C" w:rsidRPr="00AB36AE" w:rsidRDefault="003B7BC3" w:rsidP="003B7BC3">
      <w:pPr>
        <w:pStyle w:val="FootnoteText"/>
        <w:rPr>
          <w:sz w:val="18"/>
          <w:szCs w:val="18"/>
        </w:rPr>
      </w:pPr>
      <w:r w:rsidRPr="00AB36AE">
        <w:rPr>
          <w:rStyle w:val="FootnoteReference"/>
          <w:sz w:val="18"/>
          <w:szCs w:val="18"/>
        </w:rPr>
        <w:footnoteRef/>
      </w:r>
      <w:r w:rsidRPr="00AB36AE">
        <w:rPr>
          <w:sz w:val="18"/>
          <w:szCs w:val="18"/>
        </w:rPr>
        <w:t xml:space="preserve"> </w:t>
      </w:r>
      <w:r w:rsidR="00AD388C" w:rsidRPr="00AB36AE">
        <w:rPr>
          <w:sz w:val="18"/>
          <w:szCs w:val="18"/>
          <w:lang w:val="fr-BE"/>
        </w:rPr>
        <w:t xml:space="preserve">Verkooren, </w:t>
      </w:r>
      <w:r w:rsidR="00AD388C" w:rsidRPr="00AB36AE">
        <w:rPr>
          <w:i/>
          <w:iCs/>
          <w:sz w:val="18"/>
          <w:szCs w:val="18"/>
          <w:lang w:val="fr-BE"/>
        </w:rPr>
        <w:t>Inventaire des Chartes et Cartulaires,</w:t>
      </w:r>
      <w:r w:rsidR="00AD388C" w:rsidRPr="00AB36AE">
        <w:rPr>
          <w:sz w:val="18"/>
          <w:szCs w:val="18"/>
          <w:lang w:val="fr-BE"/>
        </w:rPr>
        <w:t>198.</w:t>
      </w:r>
    </w:p>
  </w:footnote>
  <w:footnote w:id="406">
    <w:p w14:paraId="2D891DF6" w14:textId="5CC7D12F" w:rsidR="003B7BC3" w:rsidRPr="00AB36AE" w:rsidRDefault="003B7BC3" w:rsidP="003B7BC3">
      <w:pPr>
        <w:pStyle w:val="FootnoteText"/>
        <w:rPr>
          <w:sz w:val="18"/>
          <w:szCs w:val="18"/>
        </w:rPr>
      </w:pPr>
      <w:r w:rsidRPr="00AB36AE">
        <w:rPr>
          <w:rStyle w:val="FootnoteReference"/>
          <w:sz w:val="18"/>
          <w:szCs w:val="18"/>
        </w:rPr>
        <w:footnoteRef/>
      </w:r>
      <w:r w:rsidRPr="00AB36AE">
        <w:rPr>
          <w:sz w:val="18"/>
          <w:szCs w:val="18"/>
        </w:rPr>
        <w:t xml:space="preserve"> </w:t>
      </w:r>
      <w:r w:rsidR="0058555F" w:rsidRPr="00AB36AE">
        <w:rPr>
          <w:sz w:val="18"/>
          <w:szCs w:val="18"/>
          <w:lang w:val="en-BE"/>
        </w:rPr>
        <w:t xml:space="preserve">De Maesschalck, </w:t>
      </w:r>
      <w:r w:rsidR="0058555F" w:rsidRPr="00AB36AE">
        <w:rPr>
          <w:i/>
          <w:iCs/>
          <w:sz w:val="18"/>
          <w:szCs w:val="18"/>
          <w:lang w:val="en-BE"/>
        </w:rPr>
        <w:t>De hertogen</w:t>
      </w:r>
      <w:r w:rsidR="0058555F" w:rsidRPr="00AB36AE">
        <w:rPr>
          <w:sz w:val="18"/>
          <w:szCs w:val="18"/>
        </w:rPr>
        <w:t xml:space="preserve">, </w:t>
      </w:r>
      <w:r w:rsidRPr="00AB36AE">
        <w:rPr>
          <w:sz w:val="18"/>
          <w:szCs w:val="18"/>
        </w:rPr>
        <w:t xml:space="preserve">300-301. </w:t>
      </w:r>
    </w:p>
  </w:footnote>
  <w:footnote w:id="407">
    <w:p w14:paraId="004F2563" w14:textId="022047AC" w:rsidR="003B7BC3" w:rsidRPr="00AB36AE" w:rsidRDefault="003B7BC3" w:rsidP="003B7BC3">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AD388C" w:rsidRPr="00AB36AE">
        <w:rPr>
          <w:sz w:val="18"/>
          <w:szCs w:val="18"/>
          <w:lang w:val="fr-BE"/>
        </w:rPr>
        <w:t xml:space="preserve">Verkooren, </w:t>
      </w:r>
      <w:r w:rsidR="00AD388C" w:rsidRPr="00AB36AE">
        <w:rPr>
          <w:i/>
          <w:iCs/>
          <w:sz w:val="18"/>
          <w:szCs w:val="18"/>
          <w:lang w:val="fr-BE"/>
        </w:rPr>
        <w:t>Inventaire des Chartes et Cartulaires</w:t>
      </w:r>
      <w:r w:rsidRPr="00AB36AE">
        <w:rPr>
          <w:sz w:val="18"/>
          <w:szCs w:val="18"/>
          <w:lang w:val="fr-FR"/>
        </w:rPr>
        <w:t>, 200-201</w:t>
      </w:r>
    </w:p>
  </w:footnote>
  <w:footnote w:id="408">
    <w:p w14:paraId="7759F139" w14:textId="283D5386" w:rsidR="003B7BC3" w:rsidRPr="00AB36AE" w:rsidRDefault="003B7BC3" w:rsidP="003B7BC3">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AD388C" w:rsidRPr="00AB36AE">
        <w:rPr>
          <w:sz w:val="18"/>
          <w:szCs w:val="18"/>
          <w:lang w:val="fr-BE"/>
        </w:rPr>
        <w:t xml:space="preserve">Verkooren, </w:t>
      </w:r>
      <w:r w:rsidR="00AD388C" w:rsidRPr="00AB36AE">
        <w:rPr>
          <w:i/>
          <w:iCs/>
          <w:sz w:val="18"/>
          <w:szCs w:val="18"/>
          <w:lang w:val="fr-BE"/>
        </w:rPr>
        <w:t>Inventaire des Chartes et Cartulaires</w:t>
      </w:r>
      <w:r w:rsidRPr="00AB36AE">
        <w:rPr>
          <w:sz w:val="18"/>
          <w:szCs w:val="18"/>
          <w:lang w:val="fr-FR"/>
        </w:rPr>
        <w:t>, 201</w:t>
      </w:r>
    </w:p>
  </w:footnote>
  <w:footnote w:id="409">
    <w:p w14:paraId="508802A1" w14:textId="576B863F" w:rsidR="003B7BC3" w:rsidRPr="00AB36AE" w:rsidRDefault="003B7BC3" w:rsidP="003B7BC3">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AD388C" w:rsidRPr="00AB36AE">
        <w:rPr>
          <w:sz w:val="18"/>
          <w:szCs w:val="18"/>
          <w:lang w:val="fr-BE"/>
        </w:rPr>
        <w:t xml:space="preserve">Verkooren, </w:t>
      </w:r>
      <w:r w:rsidR="00AD388C" w:rsidRPr="00AB36AE">
        <w:rPr>
          <w:i/>
          <w:iCs/>
          <w:sz w:val="18"/>
          <w:szCs w:val="18"/>
          <w:lang w:val="fr-BE"/>
        </w:rPr>
        <w:t>Inventaire des Chartes et Cartulaires</w:t>
      </w:r>
      <w:r w:rsidR="00AD388C" w:rsidRPr="00AB36AE">
        <w:rPr>
          <w:sz w:val="18"/>
          <w:szCs w:val="18"/>
          <w:lang w:val="fr-FR"/>
        </w:rPr>
        <w:t xml:space="preserve"> </w:t>
      </w:r>
      <w:r w:rsidRPr="00AB36AE">
        <w:rPr>
          <w:sz w:val="18"/>
          <w:szCs w:val="18"/>
          <w:lang w:val="fr-FR"/>
        </w:rPr>
        <w:t>207.</w:t>
      </w:r>
    </w:p>
  </w:footnote>
  <w:footnote w:id="410">
    <w:p w14:paraId="0CD9CA5C" w14:textId="30D6DA09" w:rsidR="003B7BC3" w:rsidRPr="00AB36AE" w:rsidRDefault="003B7BC3" w:rsidP="003B7BC3">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58555F" w:rsidRPr="00AB36AE">
        <w:rPr>
          <w:sz w:val="18"/>
          <w:szCs w:val="18"/>
          <w:lang w:val="en-US"/>
        </w:rPr>
        <w:t>Damen,</w:t>
      </w:r>
      <w:r w:rsidR="0058555F" w:rsidRPr="00AB36AE">
        <w:rPr>
          <w:sz w:val="18"/>
          <w:szCs w:val="18"/>
        </w:rPr>
        <w:t xml:space="preserve"> “Vorstelijke vensters”, 162.</w:t>
      </w:r>
    </w:p>
  </w:footnote>
  <w:footnote w:id="411">
    <w:p w14:paraId="35344E3B" w14:textId="697F70EF" w:rsidR="00F745F7" w:rsidRPr="00AB36AE" w:rsidRDefault="003B7BC3" w:rsidP="003B7BC3">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F745F7" w:rsidRPr="00AB36AE">
        <w:rPr>
          <w:sz w:val="18"/>
          <w:szCs w:val="18"/>
          <w:lang w:val="fr-FR"/>
        </w:rPr>
        <w:t xml:space="preserve">Brandsma, Tussen twee dynastieën, 234. </w:t>
      </w:r>
    </w:p>
  </w:footnote>
  <w:footnote w:id="412">
    <w:p w14:paraId="7A6EC2AE" w14:textId="58E69D1D" w:rsidR="003B7BC3" w:rsidRPr="00AB36AE" w:rsidRDefault="003B7BC3" w:rsidP="003B7BC3">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C74733" w:rsidRPr="00AB36AE">
        <w:rPr>
          <w:sz w:val="18"/>
          <w:szCs w:val="18"/>
          <w:lang w:val="en-US"/>
        </w:rPr>
        <w:t xml:space="preserve">D'Anca, </w:t>
      </w:r>
      <w:r w:rsidR="00C74733" w:rsidRPr="00AB36AE">
        <w:rPr>
          <w:i/>
          <w:iCs/>
          <w:sz w:val="18"/>
          <w:szCs w:val="18"/>
          <w:lang w:val="en-US"/>
        </w:rPr>
        <w:t>Medieval Mausoleums</w:t>
      </w:r>
      <w:r w:rsidR="00C74733" w:rsidRPr="00AB36AE">
        <w:rPr>
          <w:sz w:val="18"/>
          <w:szCs w:val="18"/>
          <w:lang w:val="en-US"/>
        </w:rPr>
        <w:t xml:space="preserve">, </w:t>
      </w:r>
      <w:r w:rsidRPr="00AB36AE">
        <w:rPr>
          <w:sz w:val="18"/>
          <w:szCs w:val="18"/>
          <w:lang w:val="fr-FR"/>
        </w:rPr>
        <w:t>75.</w:t>
      </w:r>
    </w:p>
  </w:footnote>
  <w:footnote w:id="413">
    <w:p w14:paraId="062F7CDC" w14:textId="05A0CFDB" w:rsidR="003B7BC3" w:rsidRPr="00AB36AE" w:rsidRDefault="003B7BC3" w:rsidP="00107367">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8846E6" w:rsidRPr="00AB36AE">
        <w:rPr>
          <w:sz w:val="18"/>
          <w:szCs w:val="18"/>
        </w:rPr>
        <w:t xml:space="preserve">Verkooren, </w:t>
      </w:r>
      <w:r w:rsidR="008846E6" w:rsidRPr="00AB36AE">
        <w:rPr>
          <w:i/>
          <w:iCs/>
          <w:sz w:val="18"/>
          <w:szCs w:val="18"/>
          <w:lang w:val="nl-NL"/>
        </w:rPr>
        <w:t>Chartes originales et vidimées</w:t>
      </w:r>
      <w:r w:rsidR="008846E6" w:rsidRPr="00AB36AE">
        <w:rPr>
          <w:i/>
          <w:iCs/>
          <w:sz w:val="18"/>
          <w:szCs w:val="18"/>
        </w:rPr>
        <w:t xml:space="preserve">, </w:t>
      </w:r>
      <w:r w:rsidR="008846E6" w:rsidRPr="00AB36AE">
        <w:rPr>
          <w:sz w:val="18"/>
          <w:szCs w:val="18"/>
        </w:rPr>
        <w:t xml:space="preserve">VII, 34, 68, 157, 219-220; Verkooren, </w:t>
      </w:r>
      <w:r w:rsidR="008846E6" w:rsidRPr="00AB36AE">
        <w:rPr>
          <w:i/>
          <w:iCs/>
          <w:sz w:val="18"/>
          <w:szCs w:val="18"/>
          <w:lang w:val="nl-NL"/>
        </w:rPr>
        <w:t>Chartes originales et vidimées</w:t>
      </w:r>
      <w:r w:rsidR="008846E6" w:rsidRPr="00AB36AE">
        <w:rPr>
          <w:i/>
          <w:iCs/>
          <w:sz w:val="18"/>
          <w:szCs w:val="18"/>
        </w:rPr>
        <w:t xml:space="preserve">, </w:t>
      </w:r>
      <w:r w:rsidR="008846E6" w:rsidRPr="00AB36AE">
        <w:rPr>
          <w:sz w:val="18"/>
          <w:szCs w:val="18"/>
        </w:rPr>
        <w:t>VIII, 15.</w:t>
      </w:r>
    </w:p>
  </w:footnote>
  <w:footnote w:id="414">
    <w:p w14:paraId="178AAD28" w14:textId="7DE355B4" w:rsidR="00FC0672" w:rsidRPr="00AB36AE" w:rsidRDefault="003B7BC3" w:rsidP="003B7BC3">
      <w:pPr>
        <w:pStyle w:val="FootnoteText"/>
        <w:rPr>
          <w:sz w:val="18"/>
          <w:szCs w:val="18"/>
        </w:rPr>
      </w:pPr>
      <w:r w:rsidRPr="00AB36AE">
        <w:rPr>
          <w:rStyle w:val="FootnoteReference"/>
          <w:sz w:val="18"/>
          <w:szCs w:val="18"/>
        </w:rPr>
        <w:footnoteRef/>
      </w:r>
      <w:r w:rsidRPr="00AB36AE">
        <w:rPr>
          <w:sz w:val="18"/>
          <w:szCs w:val="18"/>
        </w:rPr>
        <w:t xml:space="preserve"> </w:t>
      </w:r>
      <w:r w:rsidR="00FC0672" w:rsidRPr="00AB36AE">
        <w:rPr>
          <w:sz w:val="18"/>
          <w:szCs w:val="18"/>
        </w:rPr>
        <w:t xml:space="preserve">Verkooren, </w:t>
      </w:r>
      <w:r w:rsidR="00FC0672" w:rsidRPr="00AB36AE">
        <w:rPr>
          <w:i/>
          <w:iCs/>
          <w:sz w:val="18"/>
          <w:szCs w:val="18"/>
          <w:lang w:val="nl-NL"/>
        </w:rPr>
        <w:t>Chartes originales et vidimées</w:t>
      </w:r>
      <w:r w:rsidR="00FC0672" w:rsidRPr="00AB36AE">
        <w:rPr>
          <w:i/>
          <w:iCs/>
          <w:sz w:val="18"/>
          <w:szCs w:val="18"/>
        </w:rPr>
        <w:t xml:space="preserve">, </w:t>
      </w:r>
      <w:r w:rsidR="00FC0672" w:rsidRPr="00AB36AE">
        <w:rPr>
          <w:sz w:val="18"/>
          <w:szCs w:val="18"/>
        </w:rPr>
        <w:t xml:space="preserve">VII, 47, </w:t>
      </w:r>
      <w:r w:rsidR="00107367" w:rsidRPr="00AB36AE">
        <w:rPr>
          <w:sz w:val="18"/>
          <w:szCs w:val="18"/>
        </w:rPr>
        <w:t xml:space="preserve">58-59, </w:t>
      </w:r>
      <w:r w:rsidR="00FC0672" w:rsidRPr="00AB36AE">
        <w:rPr>
          <w:sz w:val="18"/>
          <w:szCs w:val="18"/>
        </w:rPr>
        <w:t xml:space="preserve">137, </w:t>
      </w:r>
      <w:r w:rsidR="00107367" w:rsidRPr="00AB36AE">
        <w:rPr>
          <w:sz w:val="18"/>
          <w:szCs w:val="18"/>
        </w:rPr>
        <w:t xml:space="preserve">165, </w:t>
      </w:r>
      <w:r w:rsidR="00FC0672" w:rsidRPr="00AB36AE">
        <w:rPr>
          <w:sz w:val="18"/>
          <w:szCs w:val="18"/>
        </w:rPr>
        <w:t>217-218</w:t>
      </w:r>
      <w:r w:rsidR="00107367" w:rsidRPr="00AB36AE">
        <w:rPr>
          <w:sz w:val="18"/>
          <w:szCs w:val="18"/>
        </w:rPr>
        <w:t xml:space="preserve">; Verkooren, </w:t>
      </w:r>
      <w:r w:rsidR="00107367" w:rsidRPr="00AB36AE">
        <w:rPr>
          <w:i/>
          <w:iCs/>
          <w:sz w:val="18"/>
          <w:szCs w:val="18"/>
          <w:lang w:val="nl-NL"/>
        </w:rPr>
        <w:t>Chartes originales et vidimées</w:t>
      </w:r>
      <w:r w:rsidR="00107367" w:rsidRPr="00AB36AE">
        <w:rPr>
          <w:i/>
          <w:iCs/>
          <w:sz w:val="18"/>
          <w:szCs w:val="18"/>
        </w:rPr>
        <w:t xml:space="preserve">, </w:t>
      </w:r>
      <w:r w:rsidR="00107367" w:rsidRPr="00AB36AE">
        <w:rPr>
          <w:sz w:val="18"/>
          <w:szCs w:val="18"/>
        </w:rPr>
        <w:t>VIII, 26-27.</w:t>
      </w:r>
    </w:p>
  </w:footnote>
  <w:footnote w:id="415">
    <w:p w14:paraId="491291DC" w14:textId="160C7366" w:rsidR="003B7BC3" w:rsidRPr="00AB36AE" w:rsidRDefault="003B7BC3" w:rsidP="003B7BC3">
      <w:pPr>
        <w:pStyle w:val="FootnoteText"/>
        <w:rPr>
          <w:sz w:val="18"/>
          <w:szCs w:val="18"/>
          <w:lang w:val="en-US"/>
        </w:rPr>
      </w:pPr>
      <w:r w:rsidRPr="00AB36AE">
        <w:rPr>
          <w:rStyle w:val="FootnoteReference"/>
          <w:sz w:val="18"/>
          <w:szCs w:val="18"/>
        </w:rPr>
        <w:footnoteRef/>
      </w:r>
      <w:r w:rsidRPr="00AB36AE">
        <w:rPr>
          <w:sz w:val="18"/>
          <w:szCs w:val="18"/>
        </w:rPr>
        <w:t xml:space="preserve"> </w:t>
      </w:r>
      <w:r w:rsidR="00C74733" w:rsidRPr="00AB36AE">
        <w:rPr>
          <w:sz w:val="18"/>
          <w:szCs w:val="18"/>
        </w:rPr>
        <w:t xml:space="preserve">Verkooren, </w:t>
      </w:r>
      <w:r w:rsidR="00C74733" w:rsidRPr="00AB36AE">
        <w:rPr>
          <w:i/>
          <w:iCs/>
          <w:sz w:val="18"/>
          <w:szCs w:val="18"/>
          <w:lang w:val="nl-NL"/>
        </w:rPr>
        <w:t>Chartes originales et vidimées</w:t>
      </w:r>
      <w:r w:rsidR="00C74733" w:rsidRPr="00AB36AE">
        <w:rPr>
          <w:i/>
          <w:iCs/>
          <w:sz w:val="18"/>
          <w:szCs w:val="18"/>
        </w:rPr>
        <w:t xml:space="preserve">, </w:t>
      </w:r>
      <w:r w:rsidR="00C74733" w:rsidRPr="00AB36AE">
        <w:rPr>
          <w:sz w:val="18"/>
          <w:szCs w:val="18"/>
        </w:rPr>
        <w:t xml:space="preserve">VII, </w:t>
      </w:r>
      <w:r w:rsidR="00C74733" w:rsidRPr="00AB36AE">
        <w:rPr>
          <w:sz w:val="18"/>
          <w:szCs w:val="18"/>
          <w:lang w:val="en-US"/>
        </w:rPr>
        <w:t>157.</w:t>
      </w:r>
    </w:p>
  </w:footnote>
  <w:footnote w:id="416">
    <w:p w14:paraId="14C5B757" w14:textId="7FEFD6B2" w:rsidR="00685390" w:rsidRPr="00AB36AE" w:rsidRDefault="003B7BC3" w:rsidP="003B7BC3">
      <w:pPr>
        <w:pStyle w:val="FootnoteText"/>
        <w:rPr>
          <w:sz w:val="18"/>
          <w:szCs w:val="18"/>
          <w:lang w:val="en-US"/>
        </w:rPr>
      </w:pPr>
      <w:r w:rsidRPr="00AB36AE">
        <w:rPr>
          <w:rStyle w:val="FootnoteReference"/>
          <w:sz w:val="18"/>
          <w:szCs w:val="18"/>
        </w:rPr>
        <w:footnoteRef/>
      </w:r>
      <w:r w:rsidRPr="00AB36AE">
        <w:rPr>
          <w:sz w:val="18"/>
          <w:szCs w:val="18"/>
        </w:rPr>
        <w:t xml:space="preserve"> </w:t>
      </w:r>
      <w:r w:rsidR="00C46C26" w:rsidRPr="00AB36AE">
        <w:rPr>
          <w:sz w:val="18"/>
          <w:szCs w:val="18"/>
          <w:lang w:val="en-US"/>
        </w:rPr>
        <w:t xml:space="preserve">ARAB, RK, </w:t>
      </w:r>
      <w:r w:rsidR="00BD1D40" w:rsidRPr="00AB36AE">
        <w:rPr>
          <w:sz w:val="18"/>
          <w:szCs w:val="18"/>
          <w:lang w:val="en-US"/>
        </w:rPr>
        <w:t>Nr. 2363, fol. 77; ARAB, RK, Nr. 2364, fol. 65, ARAB, RK, Nr. 2365, Nr. 59.</w:t>
      </w:r>
    </w:p>
  </w:footnote>
  <w:footnote w:id="417">
    <w:p w14:paraId="0AFFF5D1" w14:textId="05E96E5C" w:rsidR="003B7BC3" w:rsidRPr="00AB36AE" w:rsidRDefault="003B7BC3" w:rsidP="003B7BC3">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w:t>
      </w:r>
      <w:r w:rsidR="001123E6" w:rsidRPr="00AB36AE">
        <w:rPr>
          <w:sz w:val="18"/>
          <w:szCs w:val="18"/>
          <w:lang w:val="nl-NL"/>
        </w:rPr>
        <w:t xml:space="preserve">Brandsma, </w:t>
      </w:r>
      <w:r w:rsidR="001123E6" w:rsidRPr="00AB36AE">
        <w:rPr>
          <w:i/>
          <w:iCs/>
          <w:sz w:val="18"/>
          <w:szCs w:val="18"/>
          <w:lang w:val="nl-NL"/>
        </w:rPr>
        <w:t xml:space="preserve">Tussen twee dynastieën, </w:t>
      </w:r>
      <w:r w:rsidR="001123E6" w:rsidRPr="00AB36AE">
        <w:rPr>
          <w:sz w:val="18"/>
          <w:szCs w:val="18"/>
          <w:lang w:val="nl-NL"/>
        </w:rPr>
        <w:t>230</w:t>
      </w:r>
    </w:p>
  </w:footnote>
  <w:footnote w:id="418">
    <w:p w14:paraId="2CE61610" w14:textId="4B57606D" w:rsidR="00DD5A76" w:rsidRPr="00AB36AE" w:rsidRDefault="00DD5A76">
      <w:pPr>
        <w:pStyle w:val="FootnoteText"/>
        <w:rPr>
          <w:sz w:val="18"/>
          <w:szCs w:val="18"/>
          <w:lang w:val="en-US"/>
        </w:rPr>
      </w:pPr>
      <w:r w:rsidRPr="00AB36AE">
        <w:rPr>
          <w:rStyle w:val="FootnoteReference"/>
          <w:sz w:val="18"/>
          <w:szCs w:val="18"/>
        </w:rPr>
        <w:footnoteRef/>
      </w:r>
      <w:r w:rsidRPr="00AB36AE">
        <w:rPr>
          <w:sz w:val="18"/>
          <w:szCs w:val="18"/>
        </w:rPr>
        <w:t xml:space="preserve"> </w:t>
      </w:r>
      <w:r w:rsidRPr="00AB36AE">
        <w:rPr>
          <w:sz w:val="18"/>
          <w:szCs w:val="18"/>
          <w:lang w:val="en-US"/>
        </w:rPr>
        <w:t>Coomans, “</w:t>
      </w:r>
      <w:r w:rsidRPr="00AB36AE">
        <w:rPr>
          <w:sz w:val="18"/>
          <w:szCs w:val="18"/>
        </w:rPr>
        <w:t>Entre France et Empire”, 17</w:t>
      </w:r>
      <w:r w:rsidR="00CB1C2C" w:rsidRPr="00AB36AE">
        <w:rPr>
          <w:sz w:val="18"/>
          <w:szCs w:val="18"/>
        </w:rPr>
        <w:t>.</w:t>
      </w:r>
    </w:p>
  </w:footnote>
  <w:footnote w:id="419">
    <w:p w14:paraId="461EE5C3" w14:textId="367E1D4C" w:rsidR="00176210" w:rsidRPr="00AB36AE" w:rsidRDefault="00176210" w:rsidP="00176210">
      <w:pPr>
        <w:pStyle w:val="FootnoteText"/>
        <w:rPr>
          <w:sz w:val="18"/>
          <w:szCs w:val="18"/>
          <w:lang w:val="nl-NL"/>
        </w:rPr>
      </w:pPr>
      <w:r w:rsidRPr="00AB36AE">
        <w:rPr>
          <w:rStyle w:val="FootnoteReference"/>
          <w:sz w:val="18"/>
          <w:szCs w:val="18"/>
          <w:lang w:val="nl-NL"/>
        </w:rPr>
        <w:footnoteRef/>
      </w:r>
      <w:r w:rsidR="00451F52" w:rsidRPr="00AB36AE">
        <w:rPr>
          <w:sz w:val="18"/>
          <w:szCs w:val="18"/>
          <w:lang w:val="nl-NL"/>
        </w:rPr>
        <w:t xml:space="preserve"> Bonnefant, e.a.,</w:t>
      </w:r>
      <w:r w:rsidRPr="00AB36AE">
        <w:rPr>
          <w:sz w:val="18"/>
          <w:szCs w:val="18"/>
          <w:lang w:val="nl-NL"/>
        </w:rPr>
        <w:t xml:space="preserve"> </w:t>
      </w:r>
      <w:r w:rsidR="00451F52" w:rsidRPr="00AB36AE">
        <w:rPr>
          <w:i/>
          <w:iCs/>
          <w:sz w:val="18"/>
          <w:szCs w:val="18"/>
          <w:lang w:val="nl-NL"/>
        </w:rPr>
        <w:t>Monasticon Belge IV</w:t>
      </w:r>
      <w:r w:rsidR="00451F52" w:rsidRPr="00AB36AE">
        <w:rPr>
          <w:sz w:val="18"/>
          <w:szCs w:val="18"/>
          <w:lang w:val="nl-NL"/>
        </w:rPr>
        <w:t>, 1095-1096.</w:t>
      </w:r>
    </w:p>
  </w:footnote>
  <w:footnote w:id="420">
    <w:p w14:paraId="17DAAAE4" w14:textId="6002A17C" w:rsidR="00451F52" w:rsidRPr="00AB36AE" w:rsidRDefault="00176210" w:rsidP="00176210">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w:t>
      </w:r>
      <w:r w:rsidR="00451F52" w:rsidRPr="00AB36AE">
        <w:rPr>
          <w:sz w:val="18"/>
          <w:szCs w:val="18"/>
          <w:lang w:val="nl-NL"/>
        </w:rPr>
        <w:t xml:space="preserve">Bonnefant, e.a., </w:t>
      </w:r>
      <w:r w:rsidR="00451F52" w:rsidRPr="00AB36AE">
        <w:rPr>
          <w:i/>
          <w:iCs/>
          <w:sz w:val="18"/>
          <w:szCs w:val="18"/>
          <w:lang w:val="nl-NL"/>
        </w:rPr>
        <w:t>Monasticon Belge IV</w:t>
      </w:r>
      <w:r w:rsidR="00451F52" w:rsidRPr="00AB36AE">
        <w:rPr>
          <w:sz w:val="18"/>
          <w:szCs w:val="18"/>
          <w:lang w:val="nl-NL"/>
        </w:rPr>
        <w:t>, 1108.</w:t>
      </w:r>
    </w:p>
  </w:footnote>
  <w:footnote w:id="421">
    <w:p w14:paraId="6EE74D78" w14:textId="699EB1FD" w:rsidR="00176210" w:rsidRPr="00AB36AE" w:rsidRDefault="00176210" w:rsidP="00066210">
      <w:pPr>
        <w:rPr>
          <w:sz w:val="18"/>
          <w:szCs w:val="18"/>
          <w:lang w:val="nl-NL"/>
        </w:rPr>
      </w:pPr>
      <w:r w:rsidRPr="00AB36AE">
        <w:rPr>
          <w:rStyle w:val="FootnoteReference"/>
          <w:sz w:val="18"/>
          <w:szCs w:val="18"/>
          <w:lang w:val="nl-NL"/>
        </w:rPr>
        <w:footnoteRef/>
      </w:r>
      <w:r w:rsidRPr="00AB36AE">
        <w:rPr>
          <w:sz w:val="18"/>
          <w:szCs w:val="18"/>
          <w:lang w:val="nl-NL"/>
        </w:rPr>
        <w:t xml:space="preserve"> </w:t>
      </w:r>
      <w:r w:rsidR="00D579F2" w:rsidRPr="00AB36AE">
        <w:rPr>
          <w:sz w:val="18"/>
          <w:szCs w:val="18"/>
          <w:lang w:val="nl-NL"/>
        </w:rPr>
        <w:t>ARAB, RK, Nr. 2364, fol. 61; Pinchart, “</w:t>
      </w:r>
      <w:r w:rsidR="00DD3DFD" w:rsidRPr="00AB36AE">
        <w:rPr>
          <w:sz w:val="18"/>
          <w:szCs w:val="18"/>
          <w:lang w:val="nl-NL"/>
        </w:rPr>
        <w:t>La cour de Jeanne et de Wenceslas”, deel 1, 9</w:t>
      </w:r>
      <w:r w:rsidR="00066210" w:rsidRPr="00AB36AE">
        <w:rPr>
          <w:sz w:val="18"/>
          <w:szCs w:val="18"/>
          <w:lang w:val="nl-NL"/>
        </w:rPr>
        <w:t xml:space="preserve">; </w:t>
      </w:r>
      <w:r w:rsidRPr="00AB36AE">
        <w:rPr>
          <w:sz w:val="18"/>
          <w:szCs w:val="18"/>
          <w:lang w:val="nl-NL"/>
        </w:rPr>
        <w:t>Uyttebrouck "quelques aspects de la vie quotidienne</w:t>
      </w:r>
      <w:r w:rsidR="00066210" w:rsidRPr="00AB36AE">
        <w:rPr>
          <w:sz w:val="18"/>
          <w:szCs w:val="18"/>
          <w:lang w:val="nl-NL"/>
        </w:rPr>
        <w:t xml:space="preserve">”, </w:t>
      </w:r>
      <w:r w:rsidRPr="00AB36AE">
        <w:rPr>
          <w:sz w:val="18"/>
          <w:szCs w:val="18"/>
          <w:lang w:val="nl-NL"/>
        </w:rPr>
        <w:t>160 nr</w:t>
      </w:r>
      <w:r w:rsidR="00066210" w:rsidRPr="00AB36AE">
        <w:rPr>
          <w:sz w:val="18"/>
          <w:szCs w:val="18"/>
          <w:lang w:val="nl-NL"/>
        </w:rPr>
        <w:t xml:space="preserve">. </w:t>
      </w:r>
      <w:r w:rsidRPr="00AB36AE">
        <w:rPr>
          <w:sz w:val="18"/>
          <w:szCs w:val="18"/>
          <w:lang w:val="nl-NL"/>
        </w:rPr>
        <w:t>73.</w:t>
      </w:r>
    </w:p>
  </w:footnote>
  <w:footnote w:id="422">
    <w:p w14:paraId="12A45AED" w14:textId="4981B157" w:rsidR="00BD675E" w:rsidRPr="00AB36AE" w:rsidRDefault="00BD675E" w:rsidP="00066210">
      <w:pPr>
        <w:rPr>
          <w:sz w:val="18"/>
          <w:szCs w:val="18"/>
          <w:lang w:val="nl-NL"/>
        </w:rPr>
      </w:pPr>
      <w:r w:rsidRPr="00AB36AE">
        <w:rPr>
          <w:rStyle w:val="FootnoteReference"/>
          <w:sz w:val="18"/>
          <w:szCs w:val="18"/>
          <w:lang w:val="nl-NL"/>
        </w:rPr>
        <w:footnoteRef/>
      </w:r>
      <w:r w:rsidRPr="00AB36AE">
        <w:rPr>
          <w:sz w:val="18"/>
          <w:szCs w:val="18"/>
          <w:lang w:val="nl-NL"/>
        </w:rPr>
        <w:t xml:space="preserve"> </w:t>
      </w:r>
      <w:r w:rsidR="00066210" w:rsidRPr="00AB36AE">
        <w:rPr>
          <w:sz w:val="18"/>
          <w:szCs w:val="18"/>
          <w:lang w:val="nl-NL"/>
        </w:rPr>
        <w:t xml:space="preserve">Uyttebrouck </w:t>
      </w:r>
      <w:r w:rsidR="005672EC" w:rsidRPr="00AB36AE">
        <w:rPr>
          <w:sz w:val="18"/>
          <w:szCs w:val="18"/>
          <w:lang w:val="nl-NL"/>
        </w:rPr>
        <w:t>“</w:t>
      </w:r>
      <w:r w:rsidR="00066210" w:rsidRPr="00AB36AE">
        <w:rPr>
          <w:sz w:val="18"/>
          <w:szCs w:val="18"/>
          <w:lang w:val="nl-NL"/>
        </w:rPr>
        <w:t>quelques aspects de la vie quotidienne”, 160 nr. 73.</w:t>
      </w:r>
    </w:p>
  </w:footnote>
  <w:footnote w:id="423">
    <w:p w14:paraId="4640DF4F" w14:textId="078ADC55" w:rsidR="00BD675E" w:rsidRPr="00AB36AE" w:rsidRDefault="00BD675E" w:rsidP="00BD675E">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w:t>
      </w:r>
      <w:r w:rsidR="00C74733" w:rsidRPr="00AB36AE">
        <w:rPr>
          <w:sz w:val="18"/>
          <w:szCs w:val="18"/>
          <w:lang w:val="nl-NL"/>
        </w:rPr>
        <w:t xml:space="preserve">Verkooren, </w:t>
      </w:r>
      <w:r w:rsidR="00C74733" w:rsidRPr="00AB36AE">
        <w:rPr>
          <w:i/>
          <w:iCs/>
          <w:sz w:val="18"/>
          <w:szCs w:val="18"/>
          <w:lang w:val="nl-NL"/>
        </w:rPr>
        <w:t>Inventaire des Chartes et Cartulaires</w:t>
      </w:r>
      <w:r w:rsidR="00C74733" w:rsidRPr="00AB36AE">
        <w:rPr>
          <w:sz w:val="18"/>
          <w:szCs w:val="18"/>
          <w:lang w:val="nl-NL"/>
        </w:rPr>
        <w:t>, 2</w:t>
      </w:r>
      <w:r w:rsidRPr="00AB36AE">
        <w:rPr>
          <w:sz w:val="18"/>
          <w:szCs w:val="18"/>
          <w:lang w:val="nl-NL"/>
        </w:rPr>
        <w:t>04.</w:t>
      </w:r>
    </w:p>
  </w:footnote>
  <w:footnote w:id="424">
    <w:p w14:paraId="6697CF04" w14:textId="7BB11704" w:rsidR="00B359D1" w:rsidRPr="00AB36AE" w:rsidRDefault="00B359D1">
      <w:pPr>
        <w:pStyle w:val="FootnoteText"/>
        <w:rPr>
          <w:sz w:val="18"/>
          <w:szCs w:val="18"/>
          <w:lang w:val="en-US"/>
        </w:rPr>
      </w:pPr>
      <w:r w:rsidRPr="00AB36AE">
        <w:rPr>
          <w:rStyle w:val="FootnoteReference"/>
          <w:sz w:val="18"/>
          <w:szCs w:val="18"/>
        </w:rPr>
        <w:footnoteRef/>
      </w:r>
      <w:r w:rsidRPr="00AB36AE">
        <w:rPr>
          <w:sz w:val="18"/>
          <w:szCs w:val="18"/>
        </w:rPr>
        <w:t xml:space="preserve"> </w:t>
      </w:r>
      <w:r w:rsidRPr="00AB36AE">
        <w:rPr>
          <w:sz w:val="18"/>
          <w:szCs w:val="18"/>
          <w:lang w:val="en-US"/>
        </w:rPr>
        <w:t>ARAB, RK, nr. 2367, fol. 69.</w:t>
      </w:r>
    </w:p>
  </w:footnote>
  <w:footnote w:id="425">
    <w:p w14:paraId="5610B692" w14:textId="3B7BCA4B" w:rsidR="00066210" w:rsidRPr="00AB36AE" w:rsidRDefault="00BD675E" w:rsidP="00BD675E">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w:t>
      </w:r>
      <w:r w:rsidR="00066210" w:rsidRPr="00AB36AE">
        <w:rPr>
          <w:sz w:val="18"/>
          <w:szCs w:val="18"/>
          <w:lang w:val="nl-NL"/>
        </w:rPr>
        <w:t xml:space="preserve">Zie de kaft van: ARAB, RK, Nr. 2367. </w:t>
      </w:r>
    </w:p>
  </w:footnote>
  <w:footnote w:id="426">
    <w:p w14:paraId="0B3BCD46" w14:textId="2FD656B2" w:rsidR="00BD675E" w:rsidRPr="00AB36AE" w:rsidRDefault="00BD675E" w:rsidP="00BD675E">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066210" w:rsidRPr="00AB36AE">
        <w:rPr>
          <w:sz w:val="18"/>
          <w:szCs w:val="18"/>
          <w:lang w:val="nl-NL"/>
        </w:rPr>
        <w:t>Uyttebrouck "quelques aspects de la vie quotidienne”, 160 nr. 73.</w:t>
      </w:r>
    </w:p>
  </w:footnote>
  <w:footnote w:id="427">
    <w:p w14:paraId="675CAE41" w14:textId="230A5732" w:rsidR="00E96BE8" w:rsidRPr="00AB36AE" w:rsidRDefault="00E96BE8">
      <w:pPr>
        <w:pStyle w:val="FootnoteText"/>
        <w:rPr>
          <w:sz w:val="18"/>
          <w:szCs w:val="18"/>
          <w:lang w:val="en-US"/>
        </w:rPr>
      </w:pPr>
      <w:r w:rsidRPr="00AB36AE">
        <w:rPr>
          <w:rStyle w:val="FootnoteReference"/>
          <w:sz w:val="18"/>
          <w:szCs w:val="18"/>
        </w:rPr>
        <w:footnoteRef/>
      </w:r>
      <w:r w:rsidRPr="00AB36AE">
        <w:rPr>
          <w:sz w:val="18"/>
          <w:szCs w:val="18"/>
        </w:rPr>
        <w:t xml:space="preserve"> </w:t>
      </w:r>
      <w:r w:rsidR="007534C4" w:rsidRPr="00AB36AE">
        <w:rPr>
          <w:sz w:val="18"/>
          <w:szCs w:val="18"/>
        </w:rPr>
        <w:t xml:space="preserve">Fantysová-Matějková, </w:t>
      </w:r>
      <w:r w:rsidRPr="00AB36AE">
        <w:rPr>
          <w:i/>
          <w:iCs/>
          <w:sz w:val="18"/>
          <w:szCs w:val="18"/>
          <w:lang w:val="en-US"/>
        </w:rPr>
        <w:t>Wenceslas</w:t>
      </w:r>
      <w:r w:rsidRPr="00AB36AE">
        <w:rPr>
          <w:sz w:val="18"/>
          <w:szCs w:val="18"/>
          <w:lang w:val="en-US"/>
        </w:rPr>
        <w:t>, 422-423</w:t>
      </w:r>
      <w:r w:rsidR="006329B3" w:rsidRPr="00AB36AE">
        <w:rPr>
          <w:sz w:val="18"/>
          <w:szCs w:val="18"/>
          <w:lang w:val="en-US"/>
        </w:rPr>
        <w:t>; Coomans, “</w:t>
      </w:r>
      <w:r w:rsidR="006329B3" w:rsidRPr="00AB36AE">
        <w:rPr>
          <w:sz w:val="18"/>
          <w:szCs w:val="18"/>
        </w:rPr>
        <w:t>Entre France et Empire”, 17-18</w:t>
      </w:r>
      <w:r w:rsidR="00B574E7">
        <w:rPr>
          <w:sz w:val="18"/>
          <w:szCs w:val="18"/>
        </w:rPr>
        <w:t>.</w:t>
      </w:r>
    </w:p>
  </w:footnote>
  <w:footnote w:id="428">
    <w:p w14:paraId="103EB7B2" w14:textId="3C6A9003" w:rsidR="00BD675E" w:rsidRPr="00AB36AE" w:rsidRDefault="00BD675E" w:rsidP="00BD675E">
      <w:pPr>
        <w:pStyle w:val="FootnoteText"/>
        <w:rPr>
          <w:sz w:val="18"/>
          <w:szCs w:val="18"/>
          <w:lang w:val="en-US"/>
        </w:rPr>
      </w:pPr>
      <w:r w:rsidRPr="00AB36AE">
        <w:rPr>
          <w:rStyle w:val="FootnoteReference"/>
          <w:sz w:val="18"/>
          <w:szCs w:val="18"/>
        </w:rPr>
        <w:footnoteRef/>
      </w:r>
      <w:r w:rsidRPr="00AB36AE">
        <w:rPr>
          <w:sz w:val="18"/>
          <w:szCs w:val="18"/>
        </w:rPr>
        <w:t xml:space="preserve"> </w:t>
      </w:r>
      <w:r w:rsidRPr="00AB36AE">
        <w:rPr>
          <w:sz w:val="18"/>
          <w:szCs w:val="18"/>
          <w:lang w:val="en-US"/>
        </w:rPr>
        <w:t xml:space="preserve">Faesen, </w:t>
      </w:r>
      <w:r w:rsidR="00FA1DF7" w:rsidRPr="00AB36AE">
        <w:rPr>
          <w:sz w:val="18"/>
          <w:szCs w:val="18"/>
          <w:lang w:val="en-US"/>
        </w:rPr>
        <w:t>“</w:t>
      </w:r>
      <w:r w:rsidRPr="00AB36AE">
        <w:rPr>
          <w:sz w:val="18"/>
          <w:szCs w:val="18"/>
          <w:lang w:val="en-US"/>
        </w:rPr>
        <w:t>Inspiratie uit Groenendaal</w:t>
      </w:r>
      <w:r w:rsidR="00FA1DF7" w:rsidRPr="00AB36AE">
        <w:rPr>
          <w:sz w:val="18"/>
          <w:szCs w:val="18"/>
          <w:lang w:val="en-US"/>
        </w:rPr>
        <w:t>”, 28.</w:t>
      </w:r>
    </w:p>
  </w:footnote>
  <w:footnote w:id="429">
    <w:p w14:paraId="5119E328" w14:textId="61590A9F" w:rsidR="00BD675E" w:rsidRPr="00AB36AE" w:rsidRDefault="00BD675E" w:rsidP="00BD675E">
      <w:pPr>
        <w:pStyle w:val="FootnoteText"/>
        <w:rPr>
          <w:sz w:val="18"/>
          <w:szCs w:val="18"/>
          <w:lang w:val="en-US"/>
        </w:rPr>
      </w:pPr>
      <w:r w:rsidRPr="00AB36AE">
        <w:rPr>
          <w:rStyle w:val="FootnoteReference"/>
          <w:sz w:val="18"/>
          <w:szCs w:val="18"/>
        </w:rPr>
        <w:footnoteRef/>
      </w:r>
      <w:r w:rsidRPr="00AB36AE">
        <w:rPr>
          <w:sz w:val="18"/>
          <w:szCs w:val="18"/>
        </w:rPr>
        <w:t xml:space="preserve"> </w:t>
      </w:r>
      <w:r w:rsidR="00FA1DF7" w:rsidRPr="00AB36AE">
        <w:rPr>
          <w:sz w:val="18"/>
          <w:szCs w:val="18"/>
          <w:lang w:val="en-US"/>
        </w:rPr>
        <w:t>Faesen, “Inspiratie uit Groenendaal”, 26-36.</w:t>
      </w:r>
    </w:p>
  </w:footnote>
  <w:footnote w:id="430">
    <w:p w14:paraId="20D2ACF5" w14:textId="4F3C1F9E" w:rsidR="00DF4892" w:rsidRPr="00AB36AE" w:rsidRDefault="00A30C4D" w:rsidP="00A30C4D">
      <w:pPr>
        <w:pStyle w:val="FootnoteText"/>
        <w:rPr>
          <w:sz w:val="18"/>
          <w:szCs w:val="18"/>
          <w:lang w:val="en-US"/>
        </w:rPr>
      </w:pPr>
      <w:r w:rsidRPr="00AB36AE">
        <w:rPr>
          <w:rStyle w:val="FootnoteReference"/>
          <w:sz w:val="18"/>
          <w:szCs w:val="18"/>
        </w:rPr>
        <w:footnoteRef/>
      </w:r>
      <w:r w:rsidRPr="00AB36AE">
        <w:rPr>
          <w:sz w:val="18"/>
          <w:szCs w:val="18"/>
          <w:lang w:val="en-US"/>
        </w:rPr>
        <w:t xml:space="preserve"> </w:t>
      </w:r>
      <w:r w:rsidR="00DF4892" w:rsidRPr="00AB36AE">
        <w:rPr>
          <w:sz w:val="18"/>
          <w:szCs w:val="18"/>
          <w:lang w:val="en-US"/>
        </w:rPr>
        <w:t>Blockmans, "The Devotion of a Lonely Duchess”, 45-46</w:t>
      </w:r>
      <w:r w:rsidR="00FF6B03" w:rsidRPr="00AB36AE">
        <w:rPr>
          <w:sz w:val="18"/>
          <w:szCs w:val="18"/>
          <w:lang w:val="en-US"/>
        </w:rPr>
        <w:t>.</w:t>
      </w:r>
    </w:p>
  </w:footnote>
  <w:footnote w:id="431">
    <w:p w14:paraId="0A00BB76" w14:textId="5095C90A" w:rsidR="005672EC" w:rsidRPr="00AB36AE" w:rsidRDefault="00A30C4D" w:rsidP="00A30C4D">
      <w:pPr>
        <w:pStyle w:val="FootnoteText"/>
        <w:rPr>
          <w:sz w:val="18"/>
          <w:szCs w:val="18"/>
          <w:lang w:val="nl-NL"/>
        </w:rPr>
      </w:pPr>
      <w:r w:rsidRPr="00AB36AE">
        <w:rPr>
          <w:rStyle w:val="FootnoteReference"/>
          <w:sz w:val="18"/>
          <w:szCs w:val="18"/>
        </w:rPr>
        <w:footnoteRef/>
      </w:r>
      <w:r w:rsidRPr="00AB36AE">
        <w:rPr>
          <w:sz w:val="18"/>
          <w:szCs w:val="18"/>
          <w:lang w:val="en-US"/>
        </w:rPr>
        <w:t xml:space="preserve"> </w:t>
      </w:r>
      <w:r w:rsidR="005672EC" w:rsidRPr="00AB36AE">
        <w:rPr>
          <w:sz w:val="18"/>
          <w:szCs w:val="18"/>
          <w:lang w:val="nl-NL"/>
        </w:rPr>
        <w:t>ARAB, RK, Nr. 2365, fol. 55</w:t>
      </w:r>
      <w:r w:rsidR="00FF6B03" w:rsidRPr="00AB36AE">
        <w:rPr>
          <w:sz w:val="18"/>
          <w:szCs w:val="18"/>
          <w:lang w:val="nl-NL"/>
        </w:rPr>
        <w:t>.</w:t>
      </w:r>
    </w:p>
  </w:footnote>
  <w:footnote w:id="432">
    <w:p w14:paraId="523CA9E2" w14:textId="62C507DE" w:rsidR="005672EC" w:rsidRPr="00AB36AE" w:rsidRDefault="00A30C4D" w:rsidP="00A30C4D">
      <w:pPr>
        <w:pStyle w:val="FootnoteText"/>
        <w:rPr>
          <w:sz w:val="18"/>
          <w:szCs w:val="18"/>
          <w:lang w:val="en-US"/>
        </w:rPr>
      </w:pPr>
      <w:r w:rsidRPr="00AB36AE">
        <w:rPr>
          <w:rStyle w:val="FootnoteReference"/>
          <w:sz w:val="18"/>
          <w:szCs w:val="18"/>
        </w:rPr>
        <w:footnoteRef/>
      </w:r>
      <w:r w:rsidRPr="00AB36AE">
        <w:rPr>
          <w:sz w:val="18"/>
          <w:szCs w:val="18"/>
          <w:lang w:val="en-US"/>
        </w:rPr>
        <w:t xml:space="preserve"> </w:t>
      </w:r>
      <w:r w:rsidR="005672EC" w:rsidRPr="00AB36AE">
        <w:rPr>
          <w:sz w:val="18"/>
          <w:szCs w:val="18"/>
          <w:lang w:val="en-US"/>
        </w:rPr>
        <w:t>Damen,</w:t>
      </w:r>
      <w:r w:rsidR="005672EC" w:rsidRPr="00AB36AE">
        <w:rPr>
          <w:sz w:val="18"/>
          <w:szCs w:val="18"/>
        </w:rPr>
        <w:t xml:space="preserve"> “Vorstelijke vensters”, 141.</w:t>
      </w:r>
    </w:p>
  </w:footnote>
  <w:footnote w:id="433">
    <w:p w14:paraId="4F3CE828" w14:textId="6AEB0F7C" w:rsidR="005672EC" w:rsidRPr="00AB36AE" w:rsidRDefault="00A30C4D" w:rsidP="00A30C4D">
      <w:pPr>
        <w:pStyle w:val="FootnoteText"/>
        <w:rPr>
          <w:sz w:val="18"/>
          <w:szCs w:val="18"/>
          <w:lang w:val="en-US"/>
        </w:rPr>
      </w:pPr>
      <w:r w:rsidRPr="00AB36AE">
        <w:rPr>
          <w:rStyle w:val="FootnoteReference"/>
          <w:sz w:val="18"/>
          <w:szCs w:val="18"/>
        </w:rPr>
        <w:footnoteRef/>
      </w:r>
      <w:r w:rsidRPr="00AB36AE">
        <w:rPr>
          <w:sz w:val="18"/>
          <w:szCs w:val="18"/>
          <w:lang w:val="en-US"/>
        </w:rPr>
        <w:t xml:space="preserve"> </w:t>
      </w:r>
      <w:r w:rsidR="005672EC" w:rsidRPr="00AB36AE">
        <w:rPr>
          <w:sz w:val="18"/>
          <w:szCs w:val="18"/>
          <w:lang w:val="nl-NL"/>
        </w:rPr>
        <w:t>Uyttebrouck "quelques aspects de la vie quotidienne”, 160 nr. 73.</w:t>
      </w:r>
    </w:p>
  </w:footnote>
  <w:footnote w:id="434">
    <w:p w14:paraId="4FFD00EA" w14:textId="66287011" w:rsidR="005672EC" w:rsidRPr="00AB36AE" w:rsidRDefault="00A30C4D" w:rsidP="00A30C4D">
      <w:pPr>
        <w:pStyle w:val="FootnoteText"/>
        <w:rPr>
          <w:sz w:val="18"/>
          <w:szCs w:val="18"/>
          <w:lang w:val="en-US"/>
        </w:rPr>
      </w:pPr>
      <w:r w:rsidRPr="00AB36AE">
        <w:rPr>
          <w:rStyle w:val="FootnoteReference"/>
          <w:sz w:val="18"/>
          <w:szCs w:val="18"/>
        </w:rPr>
        <w:footnoteRef/>
      </w:r>
      <w:r w:rsidRPr="00AB36AE">
        <w:rPr>
          <w:sz w:val="18"/>
          <w:szCs w:val="18"/>
          <w:lang w:val="en-US"/>
        </w:rPr>
        <w:t xml:space="preserve"> </w:t>
      </w:r>
      <w:r w:rsidR="005672EC" w:rsidRPr="00AB36AE">
        <w:rPr>
          <w:sz w:val="18"/>
          <w:szCs w:val="18"/>
          <w:lang w:val="en-US"/>
        </w:rPr>
        <w:t xml:space="preserve">D'Anca, </w:t>
      </w:r>
      <w:r w:rsidR="005672EC" w:rsidRPr="00AB36AE">
        <w:rPr>
          <w:i/>
          <w:iCs/>
          <w:sz w:val="18"/>
          <w:szCs w:val="18"/>
          <w:lang w:val="en-US"/>
        </w:rPr>
        <w:t>Medieval Mausoleums</w:t>
      </w:r>
      <w:r w:rsidR="005672EC" w:rsidRPr="00AB36AE">
        <w:rPr>
          <w:sz w:val="18"/>
          <w:szCs w:val="18"/>
          <w:lang w:val="en-US"/>
        </w:rPr>
        <w:t xml:space="preserve">, </w:t>
      </w:r>
      <w:r w:rsidR="005672EC" w:rsidRPr="00AB36AE">
        <w:rPr>
          <w:sz w:val="18"/>
          <w:szCs w:val="18"/>
          <w:lang w:val="fr-FR"/>
        </w:rPr>
        <w:t>75.</w:t>
      </w:r>
    </w:p>
  </w:footnote>
  <w:footnote w:id="435">
    <w:p w14:paraId="39F32F02" w14:textId="6BF19399" w:rsidR="005672EC" w:rsidRPr="00AB36AE" w:rsidRDefault="00A30C4D" w:rsidP="00A30C4D">
      <w:pPr>
        <w:pStyle w:val="FootnoteText"/>
        <w:rPr>
          <w:sz w:val="18"/>
          <w:szCs w:val="18"/>
          <w:lang w:val="en-US"/>
        </w:rPr>
      </w:pPr>
      <w:r w:rsidRPr="00AB36AE">
        <w:rPr>
          <w:rStyle w:val="FootnoteReference"/>
          <w:sz w:val="18"/>
          <w:szCs w:val="18"/>
        </w:rPr>
        <w:footnoteRef/>
      </w:r>
      <w:r w:rsidRPr="00AB36AE">
        <w:rPr>
          <w:sz w:val="18"/>
          <w:szCs w:val="18"/>
          <w:lang w:val="en-US"/>
        </w:rPr>
        <w:t xml:space="preserve"> </w:t>
      </w:r>
      <w:r w:rsidR="005672EC" w:rsidRPr="00AB36AE">
        <w:rPr>
          <w:sz w:val="18"/>
          <w:szCs w:val="18"/>
          <w:lang w:val="nl-NL"/>
        </w:rPr>
        <w:t>ARAB, RK, Nr. 2364, fol. 61.</w:t>
      </w:r>
    </w:p>
  </w:footnote>
  <w:footnote w:id="436">
    <w:p w14:paraId="3DA388C7" w14:textId="1B49B5BD" w:rsidR="00A30C4D" w:rsidRPr="00AB36AE" w:rsidRDefault="00A30C4D" w:rsidP="00A30C4D">
      <w:pPr>
        <w:pStyle w:val="FootnoteText"/>
        <w:rPr>
          <w:sz w:val="18"/>
          <w:szCs w:val="18"/>
          <w:lang w:val="en-BE"/>
        </w:rPr>
      </w:pPr>
      <w:r w:rsidRPr="00AB36AE">
        <w:rPr>
          <w:rStyle w:val="FootnoteReference"/>
          <w:sz w:val="18"/>
          <w:szCs w:val="18"/>
        </w:rPr>
        <w:footnoteRef/>
      </w:r>
      <w:r w:rsidRPr="00AB36AE">
        <w:rPr>
          <w:sz w:val="18"/>
          <w:szCs w:val="18"/>
          <w:lang w:val="en-US"/>
        </w:rPr>
        <w:t xml:space="preserve"> </w:t>
      </w:r>
      <w:r w:rsidR="006A55AC" w:rsidRPr="00AB36AE">
        <w:rPr>
          <w:sz w:val="18"/>
          <w:szCs w:val="18"/>
          <w:lang w:val="en-US"/>
        </w:rPr>
        <w:t>“</w:t>
      </w:r>
      <w:r w:rsidR="006A55AC" w:rsidRPr="00AB36AE">
        <w:rPr>
          <w:sz w:val="18"/>
          <w:szCs w:val="18"/>
          <w:lang w:val="en-BE"/>
        </w:rPr>
        <w:t>Decanale kerk Onze-Lieve-Vrouw van Goede Hoop”</w:t>
      </w:r>
      <w:r w:rsidR="00EF7ACC" w:rsidRPr="00AB36AE">
        <w:rPr>
          <w:sz w:val="18"/>
          <w:szCs w:val="18"/>
          <w:lang w:val="en-US"/>
        </w:rPr>
        <w:t xml:space="preserve"> Inventaris Onroerend erfgoed,</w:t>
      </w:r>
      <w:r w:rsidR="00F73F66" w:rsidRPr="00AB36AE">
        <w:rPr>
          <w:sz w:val="18"/>
          <w:szCs w:val="18"/>
          <w:lang w:val="en-US"/>
        </w:rPr>
        <w:t xml:space="preserve"> geraadpleegd op 15 mei 2026, </w:t>
      </w:r>
      <w:hyperlink r:id="rId2" w:history="1">
        <w:r w:rsidR="00F73F66" w:rsidRPr="00AB36AE">
          <w:rPr>
            <w:rStyle w:val="Hyperlink"/>
            <w:rFonts w:ascii="Times New Roman" w:hAnsi="Times New Roman"/>
            <w:sz w:val="18"/>
            <w:szCs w:val="18"/>
            <w:lang w:val="en-BE"/>
          </w:rPr>
          <w:t>https://id.erfgoed.net/erfgoedobjecten/70574</w:t>
        </w:r>
      </w:hyperlink>
      <w:r w:rsidR="00F73F66" w:rsidRPr="00AB36AE">
        <w:rPr>
          <w:sz w:val="18"/>
          <w:szCs w:val="18"/>
          <w:lang w:val="en-BE"/>
        </w:rPr>
        <w:t>.</w:t>
      </w:r>
    </w:p>
  </w:footnote>
  <w:footnote w:id="437">
    <w:p w14:paraId="646A41B5" w14:textId="06E8038D" w:rsidR="00A30C4D" w:rsidRPr="00AB36AE" w:rsidRDefault="00A30C4D" w:rsidP="00A30C4D">
      <w:pPr>
        <w:pStyle w:val="FootnoteText"/>
        <w:rPr>
          <w:sz w:val="18"/>
          <w:szCs w:val="18"/>
        </w:rPr>
      </w:pPr>
      <w:r w:rsidRPr="00AB36AE">
        <w:rPr>
          <w:rStyle w:val="FootnoteReference"/>
          <w:sz w:val="18"/>
          <w:szCs w:val="18"/>
        </w:rPr>
        <w:footnoteRef/>
      </w:r>
      <w:r w:rsidRPr="00AB36AE">
        <w:rPr>
          <w:sz w:val="18"/>
          <w:szCs w:val="18"/>
        </w:rPr>
        <w:t xml:space="preserve"> </w:t>
      </w:r>
      <w:r w:rsidR="00B245D8" w:rsidRPr="00AB36AE">
        <w:rPr>
          <w:sz w:val="18"/>
          <w:szCs w:val="18"/>
          <w:lang w:val="nl-NL"/>
        </w:rPr>
        <w:t>ARAB, RK, Nr. 2363, fol. 70, 79</w:t>
      </w:r>
      <w:r w:rsidR="006A151B" w:rsidRPr="00AB36AE">
        <w:rPr>
          <w:sz w:val="18"/>
          <w:szCs w:val="18"/>
          <w:lang w:val="nl-NL"/>
        </w:rPr>
        <w:t xml:space="preserve">; </w:t>
      </w:r>
      <w:r w:rsidRPr="00AB36AE">
        <w:rPr>
          <w:sz w:val="18"/>
          <w:szCs w:val="18"/>
          <w:lang w:val="nl-NL"/>
        </w:rPr>
        <w:t xml:space="preserve">Coomans, </w:t>
      </w:r>
      <w:r w:rsidR="007E494C" w:rsidRPr="00AB36AE">
        <w:rPr>
          <w:sz w:val="18"/>
          <w:szCs w:val="18"/>
          <w:lang w:val="nl-NL"/>
        </w:rPr>
        <w:t>“</w:t>
      </w:r>
      <w:r w:rsidRPr="00AB36AE">
        <w:rPr>
          <w:sz w:val="18"/>
          <w:szCs w:val="18"/>
          <w:lang w:val="nl-NL"/>
        </w:rPr>
        <w:t>Entre France et Empire</w:t>
      </w:r>
      <w:r w:rsidR="007E494C" w:rsidRPr="00AB36AE">
        <w:rPr>
          <w:sz w:val="18"/>
          <w:szCs w:val="18"/>
          <w:lang w:val="nl-NL"/>
        </w:rPr>
        <w:t>”, 8.</w:t>
      </w:r>
    </w:p>
  </w:footnote>
  <w:footnote w:id="438">
    <w:p w14:paraId="716037DD" w14:textId="59C424B6" w:rsidR="007E494C" w:rsidRPr="00AB36AE" w:rsidRDefault="00A30C4D" w:rsidP="00A30C4D">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w:t>
      </w:r>
      <w:r w:rsidR="007E494C" w:rsidRPr="00AB36AE">
        <w:rPr>
          <w:sz w:val="18"/>
          <w:szCs w:val="18"/>
          <w:lang w:val="nl-NL"/>
        </w:rPr>
        <w:t>Pinchart, “La cour de Jeanne et de Wenceslas”, deel 1, 7.</w:t>
      </w:r>
    </w:p>
  </w:footnote>
  <w:footnote w:id="439">
    <w:p w14:paraId="311D0A7A" w14:textId="61178E01" w:rsidR="00A30C4D" w:rsidRPr="00AB36AE" w:rsidRDefault="00A30C4D" w:rsidP="00A30C4D">
      <w:pPr>
        <w:pStyle w:val="FootnoteText"/>
        <w:rPr>
          <w:sz w:val="18"/>
          <w:szCs w:val="18"/>
        </w:rPr>
      </w:pPr>
      <w:r w:rsidRPr="00AB36AE">
        <w:rPr>
          <w:rStyle w:val="FootnoteReference"/>
          <w:sz w:val="18"/>
          <w:szCs w:val="18"/>
          <w:lang w:val="nl-NL"/>
        </w:rPr>
        <w:footnoteRef/>
      </w:r>
      <w:r w:rsidRPr="00AB36AE">
        <w:rPr>
          <w:sz w:val="18"/>
          <w:szCs w:val="18"/>
          <w:lang w:val="nl-NL"/>
        </w:rPr>
        <w:t xml:space="preserve"> </w:t>
      </w:r>
      <w:r w:rsidR="00A91A56" w:rsidRPr="00AB36AE">
        <w:rPr>
          <w:sz w:val="18"/>
          <w:szCs w:val="18"/>
          <w:lang w:val="nl-NL"/>
        </w:rPr>
        <w:t>“</w:t>
      </w:r>
      <w:r w:rsidRPr="00AB36AE">
        <w:rPr>
          <w:sz w:val="18"/>
          <w:szCs w:val="18"/>
        </w:rPr>
        <w:t>Enfin, nous n’en finirions pas si nous voulions énumérer tous les actes de charité de la bonne duchesse.</w:t>
      </w:r>
      <w:r w:rsidR="00A91A56" w:rsidRPr="00AB36AE">
        <w:rPr>
          <w:sz w:val="18"/>
          <w:szCs w:val="18"/>
        </w:rPr>
        <w:t xml:space="preserve">” Zie: </w:t>
      </w:r>
      <w:r w:rsidR="00A91A56" w:rsidRPr="00AB36AE">
        <w:rPr>
          <w:sz w:val="18"/>
          <w:szCs w:val="18"/>
          <w:lang w:val="nl-NL"/>
        </w:rPr>
        <w:t>Pinchart, “La cour de Jeanne et de Wenceslas”, deel 1, 7.</w:t>
      </w:r>
    </w:p>
  </w:footnote>
  <w:footnote w:id="440">
    <w:p w14:paraId="4227B7B9" w14:textId="62859332" w:rsidR="00A30C4D" w:rsidRPr="00AB36AE" w:rsidRDefault="00A30C4D" w:rsidP="00A30C4D">
      <w:pPr>
        <w:pStyle w:val="FootnoteText"/>
        <w:rPr>
          <w:sz w:val="18"/>
          <w:szCs w:val="18"/>
        </w:rPr>
      </w:pPr>
      <w:r w:rsidRPr="00AB36AE">
        <w:rPr>
          <w:rStyle w:val="FootnoteReference"/>
          <w:sz w:val="18"/>
          <w:szCs w:val="18"/>
        </w:rPr>
        <w:footnoteRef/>
      </w:r>
      <w:r w:rsidRPr="00AB36AE">
        <w:rPr>
          <w:sz w:val="18"/>
          <w:szCs w:val="18"/>
        </w:rPr>
        <w:t xml:space="preserve"> </w:t>
      </w:r>
      <w:r w:rsidR="00A91A56" w:rsidRPr="00AB36AE">
        <w:rPr>
          <w:sz w:val="18"/>
          <w:szCs w:val="18"/>
        </w:rPr>
        <w:t xml:space="preserve">1 impliciete vermelding: </w:t>
      </w:r>
      <w:r w:rsidR="00A91A56" w:rsidRPr="00AB36AE">
        <w:rPr>
          <w:sz w:val="18"/>
          <w:szCs w:val="18"/>
          <w:lang w:val="nl-NL"/>
        </w:rPr>
        <w:t>ARAB, RK, Nr. 236</w:t>
      </w:r>
      <w:r w:rsidR="00632FA7" w:rsidRPr="00AB36AE">
        <w:rPr>
          <w:sz w:val="18"/>
          <w:szCs w:val="18"/>
          <w:lang w:val="nl-NL"/>
        </w:rPr>
        <w:t>4</w:t>
      </w:r>
      <w:r w:rsidR="00A91A56" w:rsidRPr="00AB36AE">
        <w:rPr>
          <w:sz w:val="18"/>
          <w:szCs w:val="18"/>
          <w:lang w:val="nl-NL"/>
        </w:rPr>
        <w:t>, fol.</w:t>
      </w:r>
      <w:r w:rsidR="00632FA7" w:rsidRPr="00AB36AE">
        <w:rPr>
          <w:sz w:val="18"/>
          <w:szCs w:val="18"/>
          <w:lang w:val="nl-NL"/>
        </w:rPr>
        <w:t xml:space="preserve"> 67</w:t>
      </w:r>
      <w:r w:rsidR="00D25447" w:rsidRPr="00AB36AE">
        <w:rPr>
          <w:sz w:val="18"/>
          <w:szCs w:val="18"/>
          <w:lang w:val="nl-NL"/>
        </w:rPr>
        <w:t>.</w:t>
      </w:r>
    </w:p>
  </w:footnote>
  <w:footnote w:id="441">
    <w:p w14:paraId="08C0000A" w14:textId="0F7993BA" w:rsidR="00A30C4D" w:rsidRPr="00AB36AE" w:rsidRDefault="00A30C4D" w:rsidP="00A30C4D">
      <w:pPr>
        <w:pStyle w:val="FootnoteText"/>
        <w:rPr>
          <w:sz w:val="18"/>
          <w:szCs w:val="18"/>
        </w:rPr>
      </w:pPr>
      <w:r w:rsidRPr="00AB36AE">
        <w:rPr>
          <w:rStyle w:val="FootnoteReference"/>
          <w:sz w:val="18"/>
          <w:szCs w:val="18"/>
        </w:rPr>
        <w:footnoteRef/>
      </w:r>
      <w:r w:rsidRPr="00AB36AE">
        <w:rPr>
          <w:sz w:val="18"/>
          <w:szCs w:val="18"/>
        </w:rPr>
        <w:t xml:space="preserve"> </w:t>
      </w:r>
      <w:r w:rsidR="00D25447" w:rsidRPr="00AB36AE">
        <w:rPr>
          <w:sz w:val="18"/>
          <w:szCs w:val="18"/>
        </w:rPr>
        <w:t xml:space="preserve">Bijvoorbeeld: </w:t>
      </w:r>
      <w:r w:rsidR="00D25447" w:rsidRPr="00AB36AE">
        <w:rPr>
          <w:sz w:val="18"/>
          <w:szCs w:val="18"/>
          <w:lang w:val="nl-NL"/>
        </w:rPr>
        <w:t>ARAB, RK, Nr. 236</w:t>
      </w:r>
      <w:r w:rsidR="00115604" w:rsidRPr="00AB36AE">
        <w:rPr>
          <w:sz w:val="18"/>
          <w:szCs w:val="18"/>
          <w:lang w:val="nl-NL"/>
        </w:rPr>
        <w:t>3</w:t>
      </w:r>
      <w:r w:rsidR="00D25447" w:rsidRPr="00AB36AE">
        <w:rPr>
          <w:sz w:val="18"/>
          <w:szCs w:val="18"/>
          <w:lang w:val="nl-NL"/>
        </w:rPr>
        <w:t xml:space="preserve">, fol. </w:t>
      </w:r>
      <w:r w:rsidR="00C8472F" w:rsidRPr="00AB36AE">
        <w:rPr>
          <w:sz w:val="18"/>
          <w:szCs w:val="18"/>
          <w:lang w:val="nl-NL"/>
        </w:rPr>
        <w:t xml:space="preserve">73, </w:t>
      </w:r>
      <w:r w:rsidR="00115604" w:rsidRPr="00AB36AE">
        <w:rPr>
          <w:sz w:val="18"/>
          <w:szCs w:val="18"/>
          <w:lang w:val="nl-NL"/>
        </w:rPr>
        <w:t>75</w:t>
      </w:r>
      <w:r w:rsidR="00C44060" w:rsidRPr="00AB36AE">
        <w:rPr>
          <w:sz w:val="18"/>
          <w:szCs w:val="18"/>
          <w:lang w:val="nl-NL"/>
        </w:rPr>
        <w:t>, 79</w:t>
      </w:r>
      <w:r w:rsidR="00C8472F" w:rsidRPr="00AB36AE">
        <w:rPr>
          <w:sz w:val="18"/>
          <w:szCs w:val="18"/>
          <w:lang w:val="nl-NL"/>
        </w:rPr>
        <w:t>, 83.</w:t>
      </w:r>
    </w:p>
  </w:footnote>
  <w:footnote w:id="442">
    <w:p w14:paraId="0ED36AD2" w14:textId="314AB01E" w:rsidR="00632FA7" w:rsidRPr="00AB36AE" w:rsidRDefault="00A30C4D" w:rsidP="00A30C4D">
      <w:pPr>
        <w:pStyle w:val="FootnoteText"/>
        <w:rPr>
          <w:sz w:val="18"/>
          <w:szCs w:val="18"/>
        </w:rPr>
      </w:pPr>
      <w:r w:rsidRPr="00AB36AE">
        <w:rPr>
          <w:rStyle w:val="FootnoteReference"/>
          <w:sz w:val="18"/>
          <w:szCs w:val="18"/>
        </w:rPr>
        <w:footnoteRef/>
      </w:r>
      <w:r w:rsidRPr="00AB36AE">
        <w:rPr>
          <w:sz w:val="18"/>
          <w:szCs w:val="18"/>
        </w:rPr>
        <w:t xml:space="preserve"> </w:t>
      </w:r>
      <w:r w:rsidR="00632FA7" w:rsidRPr="00AB36AE">
        <w:rPr>
          <w:sz w:val="18"/>
          <w:szCs w:val="18"/>
          <w:lang w:val="nl-NL"/>
        </w:rPr>
        <w:t>ARAB, RK, Nr. 2362, fol. 64; ARAB, RK, Nr. 2363, fol. 74; ARAB, RK, Nr. 2364, fol. 62; ARAB, RK, Nr. 2365, fol. 57</w:t>
      </w:r>
    </w:p>
  </w:footnote>
  <w:footnote w:id="443">
    <w:p w14:paraId="7393B7C4" w14:textId="3E14B50B" w:rsidR="00A30C4D" w:rsidRPr="00AB36AE" w:rsidRDefault="00A30C4D" w:rsidP="00A30C4D">
      <w:pPr>
        <w:pStyle w:val="FootnoteText"/>
        <w:rPr>
          <w:sz w:val="18"/>
          <w:szCs w:val="18"/>
        </w:rPr>
      </w:pPr>
      <w:r w:rsidRPr="00AB36AE">
        <w:rPr>
          <w:rStyle w:val="FootnoteReference"/>
          <w:sz w:val="18"/>
          <w:szCs w:val="18"/>
        </w:rPr>
        <w:footnoteRef/>
      </w:r>
      <w:r w:rsidR="00527A6F" w:rsidRPr="00AB36AE">
        <w:rPr>
          <w:sz w:val="18"/>
          <w:szCs w:val="18"/>
          <w:lang w:val="nl-NL"/>
        </w:rPr>
        <w:t xml:space="preserve">ARAB, RK, Nr. 2362, fol. 69; ARAB, RK, Nr. 2363, fol. 67; ARAB, RK, Nr. 2364, fol. </w:t>
      </w:r>
      <w:r w:rsidR="005410D8" w:rsidRPr="00AB36AE">
        <w:rPr>
          <w:sz w:val="18"/>
          <w:szCs w:val="18"/>
          <w:lang w:val="nl-NL"/>
        </w:rPr>
        <w:t xml:space="preserve">79. </w:t>
      </w:r>
    </w:p>
  </w:footnote>
  <w:footnote w:id="444">
    <w:p w14:paraId="1A31F3A3" w14:textId="685EEF7C" w:rsidR="00A30C4D" w:rsidRPr="00AB36AE" w:rsidRDefault="00A30C4D" w:rsidP="00A30C4D">
      <w:pPr>
        <w:pStyle w:val="FootnoteText"/>
        <w:rPr>
          <w:sz w:val="18"/>
          <w:szCs w:val="18"/>
        </w:rPr>
      </w:pPr>
      <w:r w:rsidRPr="00AB36AE">
        <w:rPr>
          <w:rStyle w:val="FootnoteReference"/>
          <w:sz w:val="18"/>
          <w:szCs w:val="18"/>
        </w:rPr>
        <w:footnoteRef/>
      </w:r>
      <w:r w:rsidR="005410D8" w:rsidRPr="00AB36AE">
        <w:rPr>
          <w:sz w:val="18"/>
          <w:szCs w:val="18"/>
          <w:lang w:val="nl-NL"/>
        </w:rPr>
        <w:t xml:space="preserve">ARAB, RK, Nr. 2362, fol. 64; </w:t>
      </w:r>
      <w:r w:rsidR="005410D8" w:rsidRPr="00AB36AE">
        <w:rPr>
          <w:sz w:val="18"/>
          <w:szCs w:val="18"/>
        </w:rPr>
        <w:t>b</w:t>
      </w:r>
      <w:r w:rsidR="009B3957" w:rsidRPr="00AB36AE">
        <w:rPr>
          <w:sz w:val="18"/>
          <w:szCs w:val="18"/>
        </w:rPr>
        <w:t>erekend aan de hand van:</w:t>
      </w:r>
      <w:r w:rsidR="005A23FF" w:rsidRPr="00AB36AE">
        <w:rPr>
          <w:kern w:val="0"/>
          <w:sz w:val="18"/>
          <w:szCs w:val="18"/>
          <w:lang w:val="en-BE"/>
          <w14:ligatures w14:val="none"/>
        </w:rPr>
        <w:t xml:space="preserve"> </w:t>
      </w:r>
      <w:r w:rsidR="005A23FF" w:rsidRPr="00AB36AE">
        <w:rPr>
          <w:sz w:val="18"/>
          <w:szCs w:val="18"/>
          <w:lang w:val="en-BE"/>
        </w:rPr>
        <w:t xml:space="preserve">Van Werveke, </w:t>
      </w:r>
      <w:r w:rsidR="005A23FF" w:rsidRPr="00AB36AE">
        <w:rPr>
          <w:i/>
          <w:iCs/>
          <w:sz w:val="18"/>
          <w:szCs w:val="18"/>
          <w:lang w:val="en-BE"/>
        </w:rPr>
        <w:t xml:space="preserve">De Gentsche stadsfinanciën, </w:t>
      </w:r>
      <w:r w:rsidR="005A23FF" w:rsidRPr="00AB36AE">
        <w:rPr>
          <w:sz w:val="18"/>
          <w:szCs w:val="18"/>
          <w:lang w:val="en-BE"/>
        </w:rPr>
        <w:t>128-129.</w:t>
      </w:r>
    </w:p>
  </w:footnote>
  <w:footnote w:id="445">
    <w:p w14:paraId="1FF50A88" w14:textId="5C101BD8" w:rsidR="005A23FF" w:rsidRPr="00AB36AE" w:rsidRDefault="00A30C4D" w:rsidP="00A30C4D">
      <w:pPr>
        <w:pStyle w:val="FootnoteText"/>
        <w:rPr>
          <w:sz w:val="18"/>
          <w:szCs w:val="18"/>
        </w:rPr>
      </w:pPr>
      <w:r w:rsidRPr="00AB36AE">
        <w:rPr>
          <w:rStyle w:val="FootnoteReference"/>
          <w:sz w:val="18"/>
          <w:szCs w:val="18"/>
        </w:rPr>
        <w:footnoteRef/>
      </w:r>
      <w:r w:rsidRPr="00AB36AE">
        <w:rPr>
          <w:sz w:val="18"/>
          <w:szCs w:val="18"/>
        </w:rPr>
        <w:t xml:space="preserve"> </w:t>
      </w:r>
      <w:r w:rsidR="005A23FF" w:rsidRPr="00AB36AE">
        <w:rPr>
          <w:sz w:val="18"/>
          <w:szCs w:val="18"/>
          <w:lang w:val="nl-NL"/>
        </w:rPr>
        <w:t>ARAB, RK, Nr. 2362, fol. 73</w:t>
      </w:r>
    </w:p>
  </w:footnote>
  <w:footnote w:id="446">
    <w:p w14:paraId="05B46D7C" w14:textId="0318736E" w:rsidR="005A23FF" w:rsidRPr="00AB36AE" w:rsidRDefault="00A30C4D" w:rsidP="00A30C4D">
      <w:pPr>
        <w:pStyle w:val="FootnoteText"/>
        <w:rPr>
          <w:sz w:val="18"/>
          <w:szCs w:val="18"/>
        </w:rPr>
      </w:pPr>
      <w:r w:rsidRPr="00AB36AE">
        <w:rPr>
          <w:rStyle w:val="FootnoteReference"/>
          <w:sz w:val="18"/>
          <w:szCs w:val="18"/>
        </w:rPr>
        <w:footnoteRef/>
      </w:r>
      <w:r w:rsidRPr="00AB36AE">
        <w:rPr>
          <w:sz w:val="18"/>
          <w:szCs w:val="18"/>
        </w:rPr>
        <w:t xml:space="preserve"> </w:t>
      </w:r>
      <w:r w:rsidR="005A23FF" w:rsidRPr="00AB36AE">
        <w:rPr>
          <w:sz w:val="18"/>
          <w:szCs w:val="18"/>
          <w:lang w:val="nl-NL"/>
        </w:rPr>
        <w:t>ARAB, RK, Nr. 2363, fol. 75.</w:t>
      </w:r>
    </w:p>
  </w:footnote>
  <w:footnote w:id="447">
    <w:p w14:paraId="64ABA0A6" w14:textId="541A2F76" w:rsidR="002D2B95" w:rsidRPr="00AB36AE" w:rsidRDefault="00A30C4D" w:rsidP="00A30C4D">
      <w:pPr>
        <w:pStyle w:val="FootnoteText"/>
        <w:rPr>
          <w:sz w:val="18"/>
          <w:szCs w:val="18"/>
        </w:rPr>
      </w:pPr>
      <w:r w:rsidRPr="00AB36AE">
        <w:rPr>
          <w:rStyle w:val="FootnoteReference"/>
          <w:sz w:val="18"/>
          <w:szCs w:val="18"/>
        </w:rPr>
        <w:footnoteRef/>
      </w:r>
      <w:r w:rsidRPr="00AB36AE">
        <w:rPr>
          <w:sz w:val="18"/>
          <w:szCs w:val="18"/>
        </w:rPr>
        <w:t xml:space="preserve"> </w:t>
      </w:r>
      <w:r w:rsidR="00847418" w:rsidRPr="00AB36AE">
        <w:rPr>
          <w:sz w:val="18"/>
          <w:szCs w:val="18"/>
        </w:rPr>
        <w:t xml:space="preserve">Zie </w:t>
      </w:r>
      <w:r w:rsidR="002D2B95" w:rsidRPr="00AB36AE">
        <w:rPr>
          <w:sz w:val="18"/>
          <w:szCs w:val="18"/>
        </w:rPr>
        <w:t xml:space="preserve">bijvoorbeeld </w:t>
      </w:r>
      <w:r w:rsidR="002D2B95" w:rsidRPr="00AB36AE">
        <w:rPr>
          <w:sz w:val="18"/>
          <w:szCs w:val="18"/>
          <w:lang w:val="nl-NL"/>
        </w:rPr>
        <w:t>ARAB, RK, Nr. 2362, fol. 69</w:t>
      </w:r>
      <w:r w:rsidR="002D2B95" w:rsidRPr="00AB36AE">
        <w:rPr>
          <w:sz w:val="18"/>
          <w:szCs w:val="18"/>
        </w:rPr>
        <w:t>. “</w:t>
      </w:r>
      <w:r w:rsidR="00C300E3" w:rsidRPr="00AB36AE">
        <w:rPr>
          <w:sz w:val="18"/>
          <w:szCs w:val="18"/>
          <w:lang w:val="en-BE"/>
        </w:rPr>
        <w:t>item gegeven mijn vrouwen opten iersten dach van aprille anno lxxvii te mechlen coffergelde en om gode te geven</w:t>
      </w:r>
      <w:r w:rsidR="00C300E3" w:rsidRPr="00AB36AE">
        <w:rPr>
          <w:sz w:val="18"/>
          <w:szCs w:val="18"/>
        </w:rPr>
        <w:t>”</w:t>
      </w:r>
    </w:p>
  </w:footnote>
  <w:footnote w:id="448">
    <w:p w14:paraId="014082A5" w14:textId="5EBFDF12" w:rsidR="00203E10" w:rsidRPr="00AB36AE" w:rsidRDefault="00A30C4D" w:rsidP="00A30C4D">
      <w:pPr>
        <w:pStyle w:val="FootnoteText"/>
        <w:rPr>
          <w:sz w:val="18"/>
          <w:szCs w:val="18"/>
        </w:rPr>
      </w:pPr>
      <w:r w:rsidRPr="00AB36AE">
        <w:rPr>
          <w:rStyle w:val="FootnoteReference"/>
          <w:sz w:val="18"/>
          <w:szCs w:val="18"/>
        </w:rPr>
        <w:footnoteRef/>
      </w:r>
      <w:r w:rsidRPr="00AB36AE">
        <w:rPr>
          <w:sz w:val="18"/>
          <w:szCs w:val="18"/>
        </w:rPr>
        <w:t xml:space="preserve"> </w:t>
      </w:r>
      <w:r w:rsidR="002D2B95" w:rsidRPr="00AB36AE">
        <w:rPr>
          <w:sz w:val="18"/>
          <w:szCs w:val="18"/>
          <w:lang w:val="nl-NL"/>
        </w:rPr>
        <w:t>ARAB, RK, Nr. 2365, fol. 60</w:t>
      </w:r>
      <w:r w:rsidR="00B574E7">
        <w:rPr>
          <w:sz w:val="18"/>
          <w:szCs w:val="18"/>
          <w:lang w:val="nl-NL"/>
        </w:rPr>
        <w:t>.</w:t>
      </w:r>
    </w:p>
  </w:footnote>
  <w:footnote w:id="449">
    <w:p w14:paraId="59F948E5" w14:textId="01DDA171" w:rsidR="002D2B95" w:rsidRPr="00AB36AE" w:rsidRDefault="00A30C4D" w:rsidP="00A30C4D">
      <w:pPr>
        <w:pStyle w:val="FootnoteText"/>
        <w:rPr>
          <w:sz w:val="18"/>
          <w:szCs w:val="18"/>
        </w:rPr>
      </w:pPr>
      <w:r w:rsidRPr="00AB36AE">
        <w:rPr>
          <w:rStyle w:val="FootnoteReference"/>
          <w:sz w:val="18"/>
          <w:szCs w:val="18"/>
        </w:rPr>
        <w:footnoteRef/>
      </w:r>
      <w:r w:rsidRPr="00AB36AE">
        <w:rPr>
          <w:sz w:val="18"/>
          <w:szCs w:val="18"/>
        </w:rPr>
        <w:t xml:space="preserve"> </w:t>
      </w:r>
      <w:r w:rsidR="002D2B95" w:rsidRPr="00AB36AE">
        <w:rPr>
          <w:sz w:val="18"/>
          <w:szCs w:val="18"/>
          <w:lang w:val="nl-NL"/>
        </w:rPr>
        <w:t>ARAB, RK, Nr. 2362, fol. 64</w:t>
      </w:r>
      <w:r w:rsidR="00B574E7">
        <w:rPr>
          <w:sz w:val="18"/>
          <w:szCs w:val="18"/>
          <w:lang w:val="nl-NL"/>
        </w:rPr>
        <w:t>.</w:t>
      </w:r>
    </w:p>
  </w:footnote>
  <w:footnote w:id="450">
    <w:p w14:paraId="107544BC" w14:textId="136C9E4B" w:rsidR="00A30C4D" w:rsidRPr="00AB36AE" w:rsidRDefault="00A30C4D" w:rsidP="00A30C4D">
      <w:pPr>
        <w:pStyle w:val="FootnoteText"/>
        <w:rPr>
          <w:sz w:val="18"/>
          <w:szCs w:val="18"/>
        </w:rPr>
      </w:pPr>
      <w:r w:rsidRPr="00AB36AE">
        <w:rPr>
          <w:rStyle w:val="FootnoteReference"/>
          <w:sz w:val="18"/>
          <w:szCs w:val="18"/>
        </w:rPr>
        <w:footnoteRef/>
      </w:r>
      <w:r w:rsidR="00E22DC3" w:rsidRPr="00AB36AE">
        <w:rPr>
          <w:sz w:val="18"/>
          <w:szCs w:val="18"/>
        </w:rPr>
        <w:t xml:space="preserve"> </w:t>
      </w:r>
      <w:r w:rsidR="00C528FE" w:rsidRPr="00AB36AE">
        <w:rPr>
          <w:sz w:val="18"/>
          <w:szCs w:val="18"/>
        </w:rPr>
        <w:t>De Brusselse schepenbank gebruikte pelgrimages a</w:t>
      </w:r>
      <w:r w:rsidR="00A6587B" w:rsidRPr="00AB36AE">
        <w:rPr>
          <w:sz w:val="18"/>
          <w:szCs w:val="18"/>
        </w:rPr>
        <w:t>ls</w:t>
      </w:r>
      <w:r w:rsidR="00687424" w:rsidRPr="00AB36AE">
        <w:rPr>
          <w:sz w:val="18"/>
          <w:szCs w:val="18"/>
        </w:rPr>
        <w:t xml:space="preserve"> een veelgebruikt</w:t>
      </w:r>
      <w:r w:rsidR="00A6587B" w:rsidRPr="00AB36AE">
        <w:rPr>
          <w:sz w:val="18"/>
          <w:szCs w:val="18"/>
        </w:rPr>
        <w:t xml:space="preserve"> </w:t>
      </w:r>
      <w:r w:rsidR="00C528FE" w:rsidRPr="00AB36AE">
        <w:rPr>
          <w:sz w:val="18"/>
          <w:szCs w:val="18"/>
        </w:rPr>
        <w:t>strafmiddel</w:t>
      </w:r>
      <w:r w:rsidR="00A6587B" w:rsidRPr="00AB36AE">
        <w:rPr>
          <w:sz w:val="18"/>
          <w:szCs w:val="18"/>
        </w:rPr>
        <w:t>, z</w:t>
      </w:r>
      <w:r w:rsidR="009514F4" w:rsidRPr="00AB36AE">
        <w:rPr>
          <w:sz w:val="18"/>
          <w:szCs w:val="18"/>
        </w:rPr>
        <w:t xml:space="preserve">ie bijvoorbeeld: </w:t>
      </w:r>
      <w:r w:rsidR="00E22DC3" w:rsidRPr="00AB36AE">
        <w:rPr>
          <w:sz w:val="18"/>
          <w:szCs w:val="18"/>
          <w:lang w:val="en-GB"/>
        </w:rPr>
        <w:t>Verkooren,</w:t>
      </w:r>
      <w:r w:rsidR="00D218A2" w:rsidRPr="00AB36AE">
        <w:rPr>
          <w:sz w:val="18"/>
          <w:szCs w:val="18"/>
          <w:lang w:val="en-GB"/>
        </w:rPr>
        <w:t xml:space="preserve"> </w:t>
      </w:r>
      <w:r w:rsidR="00E22DC3" w:rsidRPr="00AB36AE">
        <w:rPr>
          <w:i/>
          <w:iCs/>
          <w:sz w:val="18"/>
          <w:szCs w:val="18"/>
          <w:lang w:val="en-GB"/>
        </w:rPr>
        <w:t xml:space="preserve">Inventaire des Chartes et Cartulaires, </w:t>
      </w:r>
      <w:r w:rsidR="00E22DC3" w:rsidRPr="00AB36AE">
        <w:rPr>
          <w:sz w:val="18"/>
          <w:szCs w:val="18"/>
          <w:lang w:val="en-GB"/>
        </w:rPr>
        <w:t>211</w:t>
      </w:r>
      <w:r w:rsidR="00E22DC3" w:rsidRPr="00AB36AE">
        <w:rPr>
          <w:i/>
          <w:iCs/>
          <w:sz w:val="18"/>
          <w:szCs w:val="18"/>
          <w:lang w:val="en-GB"/>
        </w:rPr>
        <w:t>.</w:t>
      </w:r>
    </w:p>
  </w:footnote>
  <w:footnote w:id="451">
    <w:p w14:paraId="3C46D53B" w14:textId="77777777" w:rsidR="007D1813" w:rsidRPr="00AB36AE" w:rsidRDefault="007D1813" w:rsidP="007D1813">
      <w:pPr>
        <w:pStyle w:val="FootnoteText"/>
        <w:rPr>
          <w:sz w:val="18"/>
          <w:szCs w:val="18"/>
        </w:rPr>
      </w:pPr>
      <w:r w:rsidRPr="00AB36AE">
        <w:rPr>
          <w:rStyle w:val="FootnoteReference"/>
          <w:sz w:val="18"/>
          <w:szCs w:val="18"/>
        </w:rPr>
        <w:footnoteRef/>
      </w:r>
      <w:r w:rsidRPr="00AB36AE">
        <w:rPr>
          <w:sz w:val="18"/>
          <w:szCs w:val="18"/>
        </w:rPr>
        <w:t xml:space="preserve"> </w:t>
      </w:r>
      <w:r w:rsidRPr="00AB36AE">
        <w:rPr>
          <w:sz w:val="18"/>
          <w:szCs w:val="18"/>
          <w:lang w:val="nl-NL"/>
        </w:rPr>
        <w:t xml:space="preserve">Brandsma, </w:t>
      </w:r>
      <w:r w:rsidRPr="00AB36AE">
        <w:rPr>
          <w:i/>
          <w:iCs/>
          <w:sz w:val="18"/>
          <w:szCs w:val="18"/>
          <w:lang w:val="nl-NL"/>
        </w:rPr>
        <w:t xml:space="preserve">Tussen twee dynastieën, </w:t>
      </w:r>
      <w:r w:rsidRPr="00AB36AE">
        <w:rPr>
          <w:sz w:val="18"/>
          <w:szCs w:val="18"/>
          <w:lang w:val="nl-NL"/>
        </w:rPr>
        <w:t>221</w:t>
      </w:r>
      <w:r w:rsidRPr="00AB36AE">
        <w:rPr>
          <w:i/>
          <w:iCs/>
          <w:sz w:val="18"/>
          <w:szCs w:val="18"/>
          <w:lang w:val="nl-NL"/>
        </w:rPr>
        <w:t>.</w:t>
      </w:r>
    </w:p>
  </w:footnote>
  <w:footnote w:id="452">
    <w:p w14:paraId="48D93CC5" w14:textId="7E16A377" w:rsidR="00A30C4D" w:rsidRPr="00AB36AE" w:rsidRDefault="00A30C4D" w:rsidP="00A30C4D">
      <w:pPr>
        <w:pStyle w:val="FootnoteText"/>
        <w:rPr>
          <w:sz w:val="18"/>
          <w:szCs w:val="18"/>
        </w:rPr>
      </w:pPr>
      <w:r w:rsidRPr="00AB36AE">
        <w:rPr>
          <w:rStyle w:val="FootnoteReference"/>
          <w:sz w:val="18"/>
          <w:szCs w:val="18"/>
        </w:rPr>
        <w:footnoteRef/>
      </w:r>
      <w:r w:rsidRPr="00AB36AE">
        <w:rPr>
          <w:sz w:val="18"/>
          <w:szCs w:val="18"/>
        </w:rPr>
        <w:t xml:space="preserve"> </w:t>
      </w:r>
      <w:r w:rsidR="00C2190C" w:rsidRPr="00AB36AE">
        <w:rPr>
          <w:sz w:val="18"/>
          <w:szCs w:val="18"/>
          <w:lang w:val="nl-NL"/>
        </w:rPr>
        <w:t xml:space="preserve">Brandsma, </w:t>
      </w:r>
      <w:r w:rsidR="00C2190C" w:rsidRPr="00AB36AE">
        <w:rPr>
          <w:i/>
          <w:iCs/>
          <w:sz w:val="18"/>
          <w:szCs w:val="18"/>
          <w:lang w:val="nl-NL"/>
        </w:rPr>
        <w:t xml:space="preserve">Tussen twee dynastieën, </w:t>
      </w:r>
      <w:r w:rsidR="00C2190C" w:rsidRPr="00AB36AE">
        <w:rPr>
          <w:sz w:val="18"/>
          <w:szCs w:val="18"/>
          <w:lang w:val="nl-NL"/>
        </w:rPr>
        <w:t>221</w:t>
      </w:r>
      <w:r w:rsidR="00C2190C" w:rsidRPr="00AB36AE">
        <w:rPr>
          <w:i/>
          <w:iCs/>
          <w:sz w:val="18"/>
          <w:szCs w:val="18"/>
          <w:lang w:val="nl-NL"/>
        </w:rPr>
        <w:t>.</w:t>
      </w:r>
    </w:p>
  </w:footnote>
  <w:footnote w:id="453">
    <w:p w14:paraId="42C3AD1C" w14:textId="3C617FA1" w:rsidR="00D7125F" w:rsidRPr="00AB36AE" w:rsidRDefault="00D7125F">
      <w:pPr>
        <w:pStyle w:val="FootnoteText"/>
        <w:rPr>
          <w:sz w:val="18"/>
          <w:szCs w:val="18"/>
          <w:lang w:val="en-US"/>
        </w:rPr>
      </w:pPr>
      <w:r w:rsidRPr="00AB36AE">
        <w:rPr>
          <w:rStyle w:val="FootnoteReference"/>
          <w:sz w:val="18"/>
          <w:szCs w:val="18"/>
        </w:rPr>
        <w:footnoteRef/>
      </w:r>
      <w:r w:rsidRPr="00AB36AE">
        <w:rPr>
          <w:sz w:val="18"/>
          <w:szCs w:val="18"/>
        </w:rPr>
        <w:t xml:space="preserve"> </w:t>
      </w:r>
      <w:r w:rsidRPr="00AB36AE">
        <w:rPr>
          <w:sz w:val="18"/>
          <w:szCs w:val="18"/>
          <w:lang w:val="en-BE"/>
        </w:rPr>
        <w:t xml:space="preserve">Rastall en Taylor, </w:t>
      </w:r>
      <w:r w:rsidRPr="00AB36AE">
        <w:rPr>
          <w:i/>
          <w:iCs/>
          <w:sz w:val="18"/>
          <w:szCs w:val="18"/>
          <w:lang w:val="en-BE"/>
        </w:rPr>
        <w:t xml:space="preserve">Minstrels, </w:t>
      </w:r>
      <w:r w:rsidRPr="00AB36AE">
        <w:rPr>
          <w:sz w:val="18"/>
          <w:szCs w:val="18"/>
          <w:lang w:val="en-BE"/>
        </w:rPr>
        <w:t xml:space="preserve">76; </w:t>
      </w:r>
      <w:r w:rsidRPr="00AB36AE">
        <w:rPr>
          <w:sz w:val="18"/>
          <w:szCs w:val="18"/>
          <w:lang w:val="nl-NL"/>
        </w:rPr>
        <w:t>ARAB, RK, Nr. 2362, fol. 73.</w:t>
      </w:r>
    </w:p>
  </w:footnote>
  <w:footnote w:id="454">
    <w:p w14:paraId="711A7E92" w14:textId="5D4B9716" w:rsidR="00B84F4B" w:rsidRPr="00AB36AE" w:rsidRDefault="00A30C4D" w:rsidP="00A30C4D">
      <w:pPr>
        <w:pStyle w:val="FootnoteText"/>
        <w:rPr>
          <w:sz w:val="18"/>
          <w:szCs w:val="18"/>
        </w:rPr>
      </w:pPr>
      <w:r w:rsidRPr="00AB36AE">
        <w:rPr>
          <w:rStyle w:val="FootnoteReference"/>
          <w:sz w:val="18"/>
          <w:szCs w:val="18"/>
        </w:rPr>
        <w:footnoteRef/>
      </w:r>
      <w:r w:rsidRPr="00AB36AE">
        <w:rPr>
          <w:sz w:val="18"/>
          <w:szCs w:val="18"/>
        </w:rPr>
        <w:t xml:space="preserve"> </w:t>
      </w:r>
      <w:r w:rsidR="0057173D" w:rsidRPr="00AB36AE">
        <w:rPr>
          <w:sz w:val="18"/>
          <w:szCs w:val="18"/>
          <w:lang w:val="nl-NL"/>
        </w:rPr>
        <w:t>ARAB, RK, Nr. 2365, fol. 94.</w:t>
      </w:r>
    </w:p>
  </w:footnote>
  <w:footnote w:id="455">
    <w:p w14:paraId="3128D92E" w14:textId="0C2709EB" w:rsidR="0057173D" w:rsidRPr="00AB36AE" w:rsidRDefault="00A30C4D" w:rsidP="00A30C4D">
      <w:pPr>
        <w:pStyle w:val="FootnoteText"/>
        <w:rPr>
          <w:sz w:val="18"/>
          <w:szCs w:val="18"/>
          <w:lang w:val="en-US"/>
        </w:rPr>
      </w:pPr>
      <w:r w:rsidRPr="00AB36AE">
        <w:rPr>
          <w:rStyle w:val="FootnoteReference"/>
          <w:sz w:val="18"/>
          <w:szCs w:val="18"/>
        </w:rPr>
        <w:footnoteRef/>
      </w:r>
      <w:r w:rsidRPr="00AB36AE">
        <w:rPr>
          <w:sz w:val="18"/>
          <w:szCs w:val="18"/>
          <w:lang w:val="en-US"/>
        </w:rPr>
        <w:t xml:space="preserve"> </w:t>
      </w:r>
      <w:r w:rsidR="0057173D" w:rsidRPr="00AB36AE">
        <w:rPr>
          <w:sz w:val="18"/>
          <w:szCs w:val="18"/>
          <w:lang w:val="nl-NL"/>
        </w:rPr>
        <w:t>ARAB, RK, Nr. 2363, fol. 83.</w:t>
      </w:r>
    </w:p>
  </w:footnote>
  <w:footnote w:id="456">
    <w:p w14:paraId="2B548CBD" w14:textId="4FF0CB96" w:rsidR="0057173D" w:rsidRPr="00AB36AE" w:rsidRDefault="00A30C4D" w:rsidP="00A30C4D">
      <w:pPr>
        <w:pStyle w:val="FootnoteText"/>
        <w:rPr>
          <w:sz w:val="18"/>
          <w:szCs w:val="18"/>
          <w:lang w:val="en-US"/>
        </w:rPr>
      </w:pPr>
      <w:r w:rsidRPr="00AB36AE">
        <w:rPr>
          <w:rStyle w:val="FootnoteReference"/>
          <w:sz w:val="18"/>
          <w:szCs w:val="18"/>
        </w:rPr>
        <w:footnoteRef/>
      </w:r>
      <w:r w:rsidRPr="00AB36AE">
        <w:rPr>
          <w:sz w:val="18"/>
          <w:szCs w:val="18"/>
          <w:lang w:val="en-US"/>
        </w:rPr>
        <w:t xml:space="preserve"> </w:t>
      </w:r>
      <w:r w:rsidR="0057173D" w:rsidRPr="00AB36AE">
        <w:rPr>
          <w:sz w:val="18"/>
          <w:szCs w:val="18"/>
          <w:lang w:val="nl-NL"/>
        </w:rPr>
        <w:t>ARAB, RK, Nr. 2364, fol. 61.</w:t>
      </w:r>
    </w:p>
  </w:footnote>
  <w:footnote w:id="457">
    <w:p w14:paraId="592F7BF8" w14:textId="3B8FA811" w:rsidR="00D6599C" w:rsidRPr="00AB36AE" w:rsidRDefault="00BB2041">
      <w:pPr>
        <w:pStyle w:val="FootnoteText"/>
        <w:rPr>
          <w:sz w:val="18"/>
          <w:szCs w:val="18"/>
          <w:lang w:val="en-US"/>
        </w:rPr>
      </w:pPr>
      <w:r w:rsidRPr="00AB36AE">
        <w:rPr>
          <w:rStyle w:val="FootnoteReference"/>
          <w:sz w:val="18"/>
          <w:szCs w:val="18"/>
        </w:rPr>
        <w:footnoteRef/>
      </w:r>
      <w:r w:rsidRPr="00AB36AE">
        <w:rPr>
          <w:sz w:val="18"/>
          <w:szCs w:val="18"/>
        </w:rPr>
        <w:t xml:space="preserve"> </w:t>
      </w:r>
      <w:r w:rsidR="00185412" w:rsidRPr="00AB36AE">
        <w:rPr>
          <w:sz w:val="18"/>
          <w:szCs w:val="18"/>
          <w:lang w:val="en-US"/>
        </w:rPr>
        <w:t>De M</w:t>
      </w:r>
      <w:r w:rsidRPr="00AB36AE">
        <w:rPr>
          <w:sz w:val="18"/>
          <w:szCs w:val="18"/>
          <w:lang w:val="en-US"/>
        </w:rPr>
        <w:t>aessc</w:t>
      </w:r>
      <w:r w:rsidR="00185412" w:rsidRPr="00AB36AE">
        <w:rPr>
          <w:sz w:val="18"/>
          <w:szCs w:val="18"/>
          <w:lang w:val="en-US"/>
        </w:rPr>
        <w:t>h</w:t>
      </w:r>
      <w:r w:rsidRPr="00AB36AE">
        <w:rPr>
          <w:sz w:val="18"/>
          <w:szCs w:val="18"/>
          <w:lang w:val="en-US"/>
        </w:rPr>
        <w:t>alk,</w:t>
      </w:r>
      <w:r w:rsidR="00185412" w:rsidRPr="00AB36AE">
        <w:rPr>
          <w:sz w:val="18"/>
          <w:szCs w:val="18"/>
          <w:lang w:val="en-US"/>
        </w:rPr>
        <w:t xml:space="preserve"> </w:t>
      </w:r>
      <w:r w:rsidR="00185412" w:rsidRPr="00AB36AE">
        <w:rPr>
          <w:i/>
          <w:iCs/>
          <w:sz w:val="18"/>
          <w:szCs w:val="18"/>
          <w:lang w:val="en-US"/>
        </w:rPr>
        <w:t>De Hertogen</w:t>
      </w:r>
      <w:r w:rsidR="00185412" w:rsidRPr="00AB36AE">
        <w:rPr>
          <w:sz w:val="18"/>
          <w:szCs w:val="18"/>
          <w:lang w:val="en-US"/>
        </w:rPr>
        <w:t>, 303-3</w:t>
      </w:r>
      <w:r w:rsidR="00CB7441" w:rsidRPr="00AB36AE">
        <w:rPr>
          <w:sz w:val="18"/>
          <w:szCs w:val="18"/>
          <w:lang w:val="en-US"/>
        </w:rPr>
        <w:t xml:space="preserve">08; </w:t>
      </w:r>
      <w:r w:rsidR="00D6599C" w:rsidRPr="00AB36AE">
        <w:rPr>
          <w:sz w:val="18"/>
          <w:szCs w:val="18"/>
        </w:rPr>
        <w:t xml:space="preserve">Fantysová-Matějková, </w:t>
      </w:r>
      <w:r w:rsidR="00D6599C" w:rsidRPr="00AB36AE">
        <w:rPr>
          <w:i/>
          <w:iCs/>
          <w:sz w:val="18"/>
          <w:szCs w:val="18"/>
          <w:lang w:val="en-US"/>
        </w:rPr>
        <w:t>Wenceslas,</w:t>
      </w:r>
      <w:r w:rsidR="00D6599C" w:rsidRPr="00AB36AE">
        <w:rPr>
          <w:sz w:val="18"/>
          <w:szCs w:val="18"/>
          <w:lang w:val="en-US"/>
        </w:rPr>
        <w:t xml:space="preserve"> 353-382.</w:t>
      </w:r>
    </w:p>
  </w:footnote>
  <w:footnote w:id="458">
    <w:p w14:paraId="09E5B620" w14:textId="561EBF47" w:rsidR="00BB2041" w:rsidRPr="00AB36AE" w:rsidRDefault="00BB2041">
      <w:pPr>
        <w:pStyle w:val="FootnoteText"/>
        <w:rPr>
          <w:sz w:val="18"/>
          <w:szCs w:val="18"/>
          <w:lang w:val="en-US"/>
        </w:rPr>
      </w:pPr>
      <w:r w:rsidRPr="00AB36AE">
        <w:rPr>
          <w:rStyle w:val="FootnoteReference"/>
          <w:sz w:val="18"/>
          <w:szCs w:val="18"/>
        </w:rPr>
        <w:footnoteRef/>
      </w:r>
      <w:r w:rsidRPr="00AB36AE">
        <w:rPr>
          <w:sz w:val="18"/>
          <w:szCs w:val="18"/>
        </w:rPr>
        <w:t xml:space="preserve"> </w:t>
      </w:r>
      <w:r w:rsidR="00D6599C" w:rsidRPr="00AB36AE">
        <w:rPr>
          <w:sz w:val="18"/>
          <w:szCs w:val="18"/>
          <w:lang w:val="en-US"/>
        </w:rPr>
        <w:t xml:space="preserve">Sleiderink, </w:t>
      </w:r>
      <w:r w:rsidR="00D6599C" w:rsidRPr="00AB36AE">
        <w:rPr>
          <w:i/>
          <w:iCs/>
          <w:sz w:val="18"/>
          <w:szCs w:val="18"/>
          <w:lang w:val="en-US"/>
        </w:rPr>
        <w:t>De stem van de meester</w:t>
      </w:r>
      <w:r w:rsidRPr="00AB36AE">
        <w:rPr>
          <w:sz w:val="18"/>
          <w:szCs w:val="18"/>
          <w:lang w:val="en-US"/>
        </w:rPr>
        <w:t xml:space="preserve">, </w:t>
      </w:r>
      <w:r w:rsidR="00B720A0" w:rsidRPr="00AB36AE">
        <w:rPr>
          <w:sz w:val="18"/>
          <w:szCs w:val="18"/>
          <w:lang w:val="en-US"/>
        </w:rPr>
        <w:t>137-</w:t>
      </w:r>
      <w:r w:rsidRPr="00AB36AE">
        <w:rPr>
          <w:sz w:val="18"/>
          <w:szCs w:val="18"/>
          <w:lang w:val="en-US"/>
        </w:rPr>
        <w:t>138</w:t>
      </w:r>
    </w:p>
  </w:footnote>
  <w:footnote w:id="459">
    <w:p w14:paraId="448D8164" w14:textId="073DC27B" w:rsidR="00B720A0" w:rsidRPr="00AB36AE" w:rsidRDefault="00B720A0">
      <w:pPr>
        <w:pStyle w:val="FootnoteText"/>
        <w:rPr>
          <w:sz w:val="18"/>
          <w:szCs w:val="18"/>
          <w:lang w:val="en-US"/>
        </w:rPr>
      </w:pPr>
      <w:r w:rsidRPr="00AB36AE">
        <w:rPr>
          <w:rStyle w:val="FootnoteReference"/>
          <w:sz w:val="18"/>
          <w:szCs w:val="18"/>
        </w:rPr>
        <w:footnoteRef/>
      </w:r>
      <w:r w:rsidRPr="00AB36AE">
        <w:rPr>
          <w:sz w:val="18"/>
          <w:szCs w:val="18"/>
        </w:rPr>
        <w:t xml:space="preserve"> </w:t>
      </w:r>
      <w:r w:rsidRPr="00AB36AE">
        <w:rPr>
          <w:sz w:val="18"/>
          <w:szCs w:val="18"/>
          <w:lang w:val="en-US"/>
        </w:rPr>
        <w:t xml:space="preserve">Wijsman, </w:t>
      </w:r>
      <w:r w:rsidR="008A2AC0" w:rsidRPr="00AB36AE">
        <w:rPr>
          <w:i/>
          <w:iCs/>
          <w:sz w:val="18"/>
          <w:szCs w:val="18"/>
          <w:lang w:val="en-US"/>
        </w:rPr>
        <w:t>Luxury bound</w:t>
      </w:r>
      <w:r w:rsidR="008A2AC0" w:rsidRPr="00AB36AE">
        <w:rPr>
          <w:sz w:val="18"/>
          <w:szCs w:val="18"/>
          <w:lang w:val="en-US"/>
        </w:rPr>
        <w:t>, 546-547.</w:t>
      </w:r>
    </w:p>
  </w:footnote>
  <w:footnote w:id="460">
    <w:p w14:paraId="6A508957" w14:textId="49337239" w:rsidR="00B720A0" w:rsidRPr="00AB36AE" w:rsidRDefault="00B720A0">
      <w:pPr>
        <w:pStyle w:val="FootnoteText"/>
        <w:rPr>
          <w:sz w:val="18"/>
          <w:szCs w:val="18"/>
          <w:lang w:val="en-US"/>
        </w:rPr>
      </w:pPr>
      <w:r w:rsidRPr="00AB36AE">
        <w:rPr>
          <w:rStyle w:val="FootnoteReference"/>
          <w:sz w:val="18"/>
          <w:szCs w:val="18"/>
        </w:rPr>
        <w:footnoteRef/>
      </w:r>
      <w:r w:rsidRPr="00AB36AE">
        <w:rPr>
          <w:sz w:val="18"/>
          <w:szCs w:val="18"/>
        </w:rPr>
        <w:t xml:space="preserve"> </w:t>
      </w:r>
      <w:r w:rsidR="006A36AE" w:rsidRPr="00AB36AE">
        <w:rPr>
          <w:sz w:val="18"/>
          <w:szCs w:val="18"/>
          <w:lang w:val="en-US"/>
        </w:rPr>
        <w:t xml:space="preserve">Wijsman, </w:t>
      </w:r>
      <w:r w:rsidR="006A36AE" w:rsidRPr="00AB36AE">
        <w:rPr>
          <w:i/>
          <w:iCs/>
          <w:sz w:val="18"/>
          <w:szCs w:val="18"/>
          <w:lang w:val="en-US"/>
        </w:rPr>
        <w:t>Luxury bound</w:t>
      </w:r>
      <w:r w:rsidR="006A36AE" w:rsidRPr="00AB36AE">
        <w:rPr>
          <w:sz w:val="18"/>
          <w:szCs w:val="18"/>
          <w:lang w:val="en-US"/>
        </w:rPr>
        <w:t>, 546-547.</w:t>
      </w:r>
    </w:p>
  </w:footnote>
  <w:footnote w:id="461">
    <w:p w14:paraId="0CDCC59C" w14:textId="2E870EBE" w:rsidR="0057173D" w:rsidRPr="00AB36AE" w:rsidRDefault="00593D34" w:rsidP="00593D34">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w:t>
      </w:r>
      <w:r w:rsidR="0057173D" w:rsidRPr="00AB36AE">
        <w:rPr>
          <w:sz w:val="18"/>
          <w:szCs w:val="18"/>
          <w:lang w:val="nl-NL"/>
        </w:rPr>
        <w:t xml:space="preserve">De Maesschalk, </w:t>
      </w:r>
      <w:r w:rsidR="0057173D" w:rsidRPr="00AB36AE">
        <w:rPr>
          <w:i/>
          <w:iCs/>
          <w:sz w:val="18"/>
          <w:szCs w:val="18"/>
          <w:lang w:val="nl-NL"/>
        </w:rPr>
        <w:t>De hertogen</w:t>
      </w:r>
      <w:r w:rsidR="0057173D" w:rsidRPr="00AB36AE">
        <w:rPr>
          <w:sz w:val="18"/>
          <w:szCs w:val="18"/>
          <w:lang w:val="nl-NL"/>
        </w:rPr>
        <w:t>, 305</w:t>
      </w:r>
      <w:r w:rsidR="00B574E7">
        <w:rPr>
          <w:sz w:val="18"/>
          <w:szCs w:val="18"/>
          <w:lang w:val="nl-NL"/>
        </w:rPr>
        <w:t>.</w:t>
      </w:r>
    </w:p>
  </w:footnote>
  <w:footnote w:id="462">
    <w:p w14:paraId="37D9E73F" w14:textId="7BEC0290" w:rsidR="0057173D" w:rsidRPr="00AB36AE" w:rsidRDefault="00593D34" w:rsidP="00B56639">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Froissart, </w:t>
      </w:r>
      <w:r w:rsidRPr="00AB36AE">
        <w:rPr>
          <w:i/>
          <w:iCs/>
          <w:sz w:val="18"/>
          <w:szCs w:val="18"/>
          <w:lang w:val="nl-NL"/>
        </w:rPr>
        <w:t>La prison amoureus</w:t>
      </w:r>
      <w:r w:rsidR="00392B2E" w:rsidRPr="00AB36AE">
        <w:rPr>
          <w:i/>
          <w:iCs/>
          <w:sz w:val="18"/>
          <w:szCs w:val="18"/>
          <w:lang w:val="nl-NL"/>
        </w:rPr>
        <w:t xml:space="preserve">e, </w:t>
      </w:r>
      <w:r w:rsidRPr="00AB36AE">
        <w:rPr>
          <w:sz w:val="18"/>
          <w:szCs w:val="18"/>
          <w:lang w:val="nl-NL"/>
        </w:rPr>
        <w:t>20-28</w:t>
      </w:r>
      <w:r w:rsidR="00392B2E" w:rsidRPr="00AB36AE">
        <w:rPr>
          <w:sz w:val="18"/>
          <w:szCs w:val="18"/>
          <w:lang w:val="nl-NL"/>
        </w:rPr>
        <w:t xml:space="preserve"> ; </w:t>
      </w:r>
      <w:r w:rsidR="00501788" w:rsidRPr="00AB36AE">
        <w:rPr>
          <w:sz w:val="18"/>
          <w:szCs w:val="18"/>
          <w:lang w:val="nl-NL"/>
        </w:rPr>
        <w:t xml:space="preserve">Sleiderink, “Dichters aan het Brabantse hof”, 4. </w:t>
      </w:r>
    </w:p>
    <w:p w14:paraId="3A680C39" w14:textId="29AEF014" w:rsidR="00593D34" w:rsidRPr="00AB36AE" w:rsidRDefault="008A6BF9" w:rsidP="008A6BF9">
      <w:pPr>
        <w:pStyle w:val="FootnoteText"/>
        <w:rPr>
          <w:sz w:val="18"/>
          <w:szCs w:val="18"/>
          <w:lang w:val="nl-NL"/>
        </w:rPr>
      </w:pPr>
      <w:r w:rsidRPr="00AB36AE">
        <w:rPr>
          <w:sz w:val="18"/>
          <w:szCs w:val="18"/>
          <w:lang w:val="nl-NL"/>
        </w:rPr>
        <w:t>S</w:t>
      </w:r>
      <w:r w:rsidR="00593D34" w:rsidRPr="00AB36AE">
        <w:rPr>
          <w:sz w:val="18"/>
          <w:szCs w:val="18"/>
          <w:lang w:val="nl-NL"/>
        </w:rPr>
        <w:t>leiderink, 4.</w:t>
      </w:r>
      <w:r w:rsidR="00B748D3" w:rsidRPr="00AB36AE">
        <w:rPr>
          <w:sz w:val="18"/>
          <w:szCs w:val="18"/>
          <w:lang w:val="nl-NL"/>
        </w:rPr>
        <w:t xml:space="preserve">-5; </w:t>
      </w:r>
      <w:r w:rsidR="000A0491" w:rsidRPr="00B60DAD">
        <w:rPr>
          <w:sz w:val="18"/>
          <w:szCs w:val="18"/>
          <w:lang w:val="nl-NL"/>
        </w:rPr>
        <w:t>Willaert</w:t>
      </w:r>
      <w:r w:rsidRPr="00B60DAD">
        <w:rPr>
          <w:sz w:val="18"/>
          <w:szCs w:val="18"/>
          <w:lang w:val="nl-NL"/>
        </w:rPr>
        <w:t xml:space="preserve">, “Het zingende hof”, 109-122. </w:t>
      </w:r>
    </w:p>
  </w:footnote>
  <w:footnote w:id="463">
    <w:p w14:paraId="2BA19D22" w14:textId="7FF4E558" w:rsidR="008A6BF9" w:rsidRPr="00AB36AE" w:rsidRDefault="00593D34" w:rsidP="00593D34">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w:t>
      </w:r>
      <w:r w:rsidR="008A6BF9" w:rsidRPr="00AB36AE">
        <w:rPr>
          <w:sz w:val="18"/>
          <w:szCs w:val="18"/>
          <w:lang w:val="nl-NL"/>
        </w:rPr>
        <w:t>ARAB, RK, Nr. 2364, fol. 68.</w:t>
      </w:r>
    </w:p>
  </w:footnote>
  <w:footnote w:id="464">
    <w:p w14:paraId="4340D507" w14:textId="1E29BF45" w:rsidR="008A6BF9" w:rsidRPr="00AB36AE" w:rsidRDefault="00B56639">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w:t>
      </w:r>
      <w:r w:rsidR="008A6BF9" w:rsidRPr="00AB36AE">
        <w:rPr>
          <w:sz w:val="18"/>
          <w:szCs w:val="18"/>
          <w:lang w:val="nl-NL"/>
        </w:rPr>
        <w:t>Sleiderink, “Dichters aan het Brabantse hof”, 3.</w:t>
      </w:r>
    </w:p>
  </w:footnote>
  <w:footnote w:id="465">
    <w:p w14:paraId="574CB987" w14:textId="7D286A96" w:rsidR="008A6BF9" w:rsidRPr="00AB36AE" w:rsidRDefault="00593D34" w:rsidP="00593D34">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w:t>
      </w:r>
      <w:r w:rsidR="008A6BF9" w:rsidRPr="00AB36AE">
        <w:rPr>
          <w:sz w:val="18"/>
          <w:szCs w:val="18"/>
          <w:lang w:val="nl-NL"/>
        </w:rPr>
        <w:t xml:space="preserve">Sleiderink, “Dichters aan het Brabantse hof”, 3; Pinchart, “La court de Jeanne et Wenceslas”, deel 2, </w:t>
      </w:r>
      <w:r w:rsidR="000C5AE4" w:rsidRPr="00AB36AE">
        <w:rPr>
          <w:sz w:val="18"/>
          <w:szCs w:val="18"/>
          <w:lang w:val="nl-NL"/>
        </w:rPr>
        <w:t xml:space="preserve">59; </w:t>
      </w:r>
      <w:r w:rsidR="00C9018C" w:rsidRPr="00AB36AE">
        <w:rPr>
          <w:sz w:val="18"/>
          <w:szCs w:val="18"/>
          <w:lang w:val="nl-NL"/>
        </w:rPr>
        <w:t xml:space="preserve">Zij raadpleegde ARAB, RK, Nr. 2352, fol. 95. </w:t>
      </w:r>
    </w:p>
  </w:footnote>
  <w:footnote w:id="466">
    <w:p w14:paraId="34370879" w14:textId="0E4D6CB1" w:rsidR="00593D34" w:rsidRPr="00AB36AE" w:rsidRDefault="00593D34" w:rsidP="00593D34">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w:t>
      </w:r>
      <w:r w:rsidR="00C9018C" w:rsidRPr="00AB36AE">
        <w:rPr>
          <w:sz w:val="18"/>
          <w:szCs w:val="18"/>
          <w:lang w:val="nl-NL"/>
        </w:rPr>
        <w:t>Sleiderink, “Dichters aan het Brabantse hof”, 3</w:t>
      </w:r>
      <w:r w:rsidR="00B574E7">
        <w:rPr>
          <w:sz w:val="18"/>
          <w:szCs w:val="18"/>
          <w:lang w:val="nl-NL"/>
        </w:rPr>
        <w:t>.</w:t>
      </w:r>
    </w:p>
  </w:footnote>
  <w:footnote w:id="467">
    <w:p w14:paraId="222E0323" w14:textId="05BCB9CF" w:rsidR="00C9018C" w:rsidRPr="00AB36AE" w:rsidRDefault="00593D34" w:rsidP="00593D34">
      <w:pPr>
        <w:pStyle w:val="FootnoteText"/>
        <w:rPr>
          <w:sz w:val="18"/>
          <w:szCs w:val="18"/>
        </w:rPr>
      </w:pPr>
      <w:r w:rsidRPr="00AB36AE">
        <w:rPr>
          <w:rStyle w:val="FootnoteReference"/>
          <w:sz w:val="18"/>
          <w:szCs w:val="18"/>
          <w:lang w:val="nl-NL"/>
        </w:rPr>
        <w:footnoteRef/>
      </w:r>
      <w:r w:rsidRPr="00AB36AE">
        <w:rPr>
          <w:sz w:val="18"/>
          <w:szCs w:val="18"/>
          <w:lang w:val="nl-NL"/>
        </w:rPr>
        <w:t xml:space="preserve"> </w:t>
      </w:r>
      <w:r w:rsidR="00C9018C" w:rsidRPr="00AB36AE">
        <w:rPr>
          <w:sz w:val="18"/>
          <w:szCs w:val="18"/>
          <w:lang w:val="nl-NL"/>
        </w:rPr>
        <w:t>Sleiderink, “Dichters aan het Brabantse hof”, 4; Pinchart, “La court de Jeanne et Wenceslas”, deel 2, 59; Zij raadpleegde ARAB, RK, Nr. 2356, fol. 37.</w:t>
      </w:r>
    </w:p>
  </w:footnote>
  <w:footnote w:id="468">
    <w:p w14:paraId="1AB43786" w14:textId="7B66EC30" w:rsidR="00B56639" w:rsidRPr="00AB36AE" w:rsidRDefault="00B56639">
      <w:pPr>
        <w:pStyle w:val="FootnoteText"/>
        <w:rPr>
          <w:sz w:val="18"/>
          <w:szCs w:val="18"/>
          <w:lang w:val="en-US"/>
        </w:rPr>
      </w:pPr>
      <w:r w:rsidRPr="00AB36AE">
        <w:rPr>
          <w:rStyle w:val="FootnoteReference"/>
          <w:sz w:val="18"/>
          <w:szCs w:val="18"/>
        </w:rPr>
        <w:footnoteRef/>
      </w:r>
      <w:r w:rsidR="009405FC" w:rsidRPr="00AB36AE">
        <w:rPr>
          <w:sz w:val="18"/>
          <w:szCs w:val="18"/>
        </w:rPr>
        <w:t xml:space="preserve"> </w:t>
      </w:r>
      <w:r w:rsidRPr="00AB36AE">
        <w:rPr>
          <w:sz w:val="18"/>
          <w:szCs w:val="18"/>
          <w:lang w:val="en-BE"/>
        </w:rPr>
        <w:t xml:space="preserve">Ganshof, </w:t>
      </w:r>
      <w:r w:rsidR="009405FC" w:rsidRPr="00AB36AE">
        <w:rPr>
          <w:sz w:val="18"/>
          <w:szCs w:val="18"/>
          <w:lang w:val="en-BE"/>
        </w:rPr>
        <w:t>“</w:t>
      </w:r>
      <w:r w:rsidRPr="00AB36AE">
        <w:rPr>
          <w:sz w:val="18"/>
          <w:szCs w:val="18"/>
          <w:lang w:val="en-BE"/>
        </w:rPr>
        <w:t>Jean Froissart</w:t>
      </w:r>
      <w:r w:rsidR="009405FC" w:rsidRPr="00AB36AE">
        <w:rPr>
          <w:sz w:val="18"/>
          <w:szCs w:val="18"/>
          <w:lang w:val="en-BE"/>
        </w:rPr>
        <w:t xml:space="preserve">”, </w:t>
      </w:r>
      <w:r w:rsidRPr="00AB36AE">
        <w:rPr>
          <w:sz w:val="18"/>
          <w:szCs w:val="18"/>
          <w:lang w:val="en-BE"/>
        </w:rPr>
        <w:t>253</w:t>
      </w:r>
      <w:r w:rsidR="00B574E7">
        <w:rPr>
          <w:sz w:val="18"/>
          <w:szCs w:val="18"/>
          <w:lang w:val="en-BE"/>
        </w:rPr>
        <w:t>.</w:t>
      </w:r>
    </w:p>
  </w:footnote>
  <w:footnote w:id="469">
    <w:p w14:paraId="673F0C06" w14:textId="4B4F685D" w:rsidR="005D1258" w:rsidRPr="00AB36AE" w:rsidRDefault="00002B98">
      <w:pPr>
        <w:pStyle w:val="FootnoteText"/>
        <w:rPr>
          <w:sz w:val="18"/>
          <w:szCs w:val="18"/>
          <w:lang w:val="en-US"/>
        </w:rPr>
      </w:pPr>
      <w:r w:rsidRPr="00AB36AE">
        <w:rPr>
          <w:rStyle w:val="FootnoteReference"/>
          <w:sz w:val="18"/>
          <w:szCs w:val="18"/>
        </w:rPr>
        <w:footnoteRef/>
      </w:r>
      <w:r w:rsidR="00A12318" w:rsidRPr="00AB36AE">
        <w:rPr>
          <w:sz w:val="18"/>
          <w:szCs w:val="18"/>
          <w:lang w:val="en-US"/>
        </w:rPr>
        <w:t xml:space="preserve"> </w:t>
      </w:r>
      <w:r w:rsidR="005D1258" w:rsidRPr="00AB36AE">
        <w:rPr>
          <w:sz w:val="18"/>
          <w:szCs w:val="18"/>
          <w:lang w:val="en-US"/>
        </w:rPr>
        <w:t xml:space="preserve">Sleiderink, </w:t>
      </w:r>
      <w:r w:rsidR="005D1258" w:rsidRPr="00AB36AE">
        <w:rPr>
          <w:i/>
          <w:iCs/>
          <w:sz w:val="18"/>
          <w:szCs w:val="18"/>
          <w:lang w:val="en-US"/>
        </w:rPr>
        <w:t>De stem van de meester</w:t>
      </w:r>
      <w:r w:rsidR="005D1258" w:rsidRPr="00AB36AE">
        <w:rPr>
          <w:sz w:val="18"/>
          <w:szCs w:val="18"/>
          <w:lang w:val="en-US"/>
        </w:rPr>
        <w:t>, 138-139</w:t>
      </w:r>
      <w:r w:rsidR="00B574E7">
        <w:rPr>
          <w:sz w:val="18"/>
          <w:szCs w:val="18"/>
          <w:lang w:val="en-US"/>
        </w:rPr>
        <w:t>.</w:t>
      </w:r>
    </w:p>
  </w:footnote>
  <w:footnote w:id="470">
    <w:p w14:paraId="3726858D" w14:textId="40639C1D" w:rsidR="006A36AE" w:rsidRPr="00AB36AE" w:rsidRDefault="006A36AE">
      <w:pPr>
        <w:pStyle w:val="FootnoteText"/>
        <w:rPr>
          <w:sz w:val="18"/>
          <w:szCs w:val="18"/>
          <w:lang w:val="en-US"/>
        </w:rPr>
      </w:pPr>
      <w:r w:rsidRPr="00AB36AE">
        <w:rPr>
          <w:rStyle w:val="FootnoteReference"/>
          <w:sz w:val="18"/>
          <w:szCs w:val="18"/>
        </w:rPr>
        <w:footnoteRef/>
      </w:r>
      <w:r w:rsidRPr="00AB36AE">
        <w:rPr>
          <w:sz w:val="18"/>
          <w:szCs w:val="18"/>
        </w:rPr>
        <w:t xml:space="preserve"> </w:t>
      </w:r>
      <w:r w:rsidRPr="00AB36AE">
        <w:rPr>
          <w:sz w:val="18"/>
          <w:szCs w:val="18"/>
          <w:lang w:val="en-US"/>
        </w:rPr>
        <w:t xml:space="preserve">Sleiderink, </w:t>
      </w:r>
      <w:r w:rsidRPr="00AB36AE">
        <w:rPr>
          <w:i/>
          <w:iCs/>
          <w:sz w:val="18"/>
          <w:szCs w:val="18"/>
          <w:lang w:val="en-US"/>
        </w:rPr>
        <w:t>De stem van de meester</w:t>
      </w:r>
      <w:r w:rsidRPr="00AB36AE">
        <w:rPr>
          <w:sz w:val="18"/>
          <w:szCs w:val="18"/>
          <w:lang w:val="en-US"/>
        </w:rPr>
        <w:t>, 138-139</w:t>
      </w:r>
      <w:r w:rsidR="00B574E7">
        <w:rPr>
          <w:sz w:val="18"/>
          <w:szCs w:val="18"/>
          <w:lang w:val="en-US"/>
        </w:rPr>
        <w:t>.</w:t>
      </w:r>
    </w:p>
  </w:footnote>
  <w:footnote w:id="471">
    <w:p w14:paraId="1F8776F8" w14:textId="3B3AB500" w:rsidR="006A36AE" w:rsidRPr="00AB36AE" w:rsidRDefault="006A36AE">
      <w:pPr>
        <w:pStyle w:val="FootnoteText"/>
        <w:rPr>
          <w:sz w:val="18"/>
          <w:szCs w:val="18"/>
          <w:lang w:val="en-US"/>
        </w:rPr>
      </w:pPr>
      <w:r w:rsidRPr="00AB36AE">
        <w:rPr>
          <w:rStyle w:val="FootnoteReference"/>
          <w:sz w:val="18"/>
          <w:szCs w:val="18"/>
        </w:rPr>
        <w:footnoteRef/>
      </w:r>
      <w:r w:rsidRPr="00AB36AE">
        <w:rPr>
          <w:sz w:val="18"/>
          <w:szCs w:val="18"/>
        </w:rPr>
        <w:t xml:space="preserve"> </w:t>
      </w:r>
      <w:r w:rsidRPr="00AB36AE">
        <w:rPr>
          <w:sz w:val="18"/>
          <w:szCs w:val="18"/>
          <w:lang w:val="en-US"/>
        </w:rPr>
        <w:t xml:space="preserve">Fantysová-Matějková, </w:t>
      </w:r>
      <w:r w:rsidRPr="00AB36AE">
        <w:rPr>
          <w:i/>
          <w:iCs/>
          <w:sz w:val="18"/>
          <w:szCs w:val="18"/>
          <w:lang w:val="en-US"/>
        </w:rPr>
        <w:t>Wenceslas</w:t>
      </w:r>
      <w:r w:rsidRPr="00AB36AE">
        <w:rPr>
          <w:sz w:val="18"/>
          <w:szCs w:val="18"/>
          <w:lang w:val="en-US"/>
        </w:rPr>
        <w:t>, 422-23.</w:t>
      </w:r>
    </w:p>
  </w:footnote>
  <w:footnote w:id="472">
    <w:p w14:paraId="089A26C4" w14:textId="64BE5C6C" w:rsidR="005D1258" w:rsidRPr="00AB36AE" w:rsidRDefault="009572D5" w:rsidP="009572D5">
      <w:pPr>
        <w:pStyle w:val="FootnoteText"/>
        <w:rPr>
          <w:sz w:val="18"/>
          <w:szCs w:val="18"/>
          <w:lang w:val="en-US"/>
        </w:rPr>
      </w:pPr>
      <w:r w:rsidRPr="00AB36AE">
        <w:rPr>
          <w:rStyle w:val="FootnoteReference"/>
          <w:sz w:val="18"/>
          <w:szCs w:val="18"/>
        </w:rPr>
        <w:footnoteRef/>
      </w:r>
      <w:r w:rsidRPr="00AB36AE">
        <w:rPr>
          <w:sz w:val="18"/>
          <w:szCs w:val="18"/>
        </w:rPr>
        <w:t xml:space="preserve"> </w:t>
      </w:r>
      <w:r w:rsidR="005D1258" w:rsidRPr="00AB36AE">
        <w:rPr>
          <w:sz w:val="18"/>
          <w:szCs w:val="18"/>
          <w:lang w:val="en-US"/>
        </w:rPr>
        <w:t xml:space="preserve">Fantysová-Matějková, </w:t>
      </w:r>
      <w:r w:rsidR="005D1258" w:rsidRPr="00AB36AE">
        <w:rPr>
          <w:i/>
          <w:iCs/>
          <w:sz w:val="18"/>
          <w:szCs w:val="18"/>
          <w:lang w:val="en-US"/>
        </w:rPr>
        <w:t>Wenceslas</w:t>
      </w:r>
      <w:r w:rsidR="005D1258" w:rsidRPr="00AB36AE">
        <w:rPr>
          <w:sz w:val="18"/>
          <w:szCs w:val="18"/>
          <w:lang w:val="en-US"/>
        </w:rPr>
        <w:t>, 423.</w:t>
      </w:r>
    </w:p>
  </w:footnote>
  <w:footnote w:id="473">
    <w:p w14:paraId="345D270B" w14:textId="1F154AE0" w:rsidR="00176838" w:rsidRPr="00AB36AE" w:rsidRDefault="00176838">
      <w:pPr>
        <w:pStyle w:val="FootnoteText"/>
        <w:rPr>
          <w:sz w:val="18"/>
          <w:szCs w:val="18"/>
          <w:lang w:val="en-US"/>
        </w:rPr>
      </w:pPr>
      <w:r w:rsidRPr="00AB36AE">
        <w:rPr>
          <w:rStyle w:val="FootnoteReference"/>
          <w:sz w:val="18"/>
          <w:szCs w:val="18"/>
        </w:rPr>
        <w:footnoteRef/>
      </w:r>
      <w:r w:rsidRPr="00AB36AE">
        <w:rPr>
          <w:sz w:val="18"/>
          <w:szCs w:val="18"/>
        </w:rPr>
        <w:t xml:space="preserve"> </w:t>
      </w:r>
      <w:r w:rsidRPr="00AB36AE">
        <w:rPr>
          <w:sz w:val="18"/>
          <w:szCs w:val="18"/>
          <w:lang w:val="en-US"/>
        </w:rPr>
        <w:t xml:space="preserve">Sleiderink, </w:t>
      </w:r>
      <w:r w:rsidRPr="00AB36AE">
        <w:rPr>
          <w:i/>
          <w:iCs/>
          <w:sz w:val="18"/>
          <w:szCs w:val="18"/>
          <w:lang w:val="en-US"/>
        </w:rPr>
        <w:t>De stem van de meester</w:t>
      </w:r>
      <w:r w:rsidRPr="00AB36AE">
        <w:rPr>
          <w:sz w:val="18"/>
          <w:szCs w:val="18"/>
          <w:lang w:val="en-US"/>
        </w:rPr>
        <w:t>,</w:t>
      </w:r>
      <w:r w:rsidR="008F4001" w:rsidRPr="00AB36AE">
        <w:rPr>
          <w:sz w:val="18"/>
          <w:szCs w:val="18"/>
          <w:lang w:val="en-US"/>
        </w:rPr>
        <w:t xml:space="preserve"> 140.</w:t>
      </w:r>
    </w:p>
  </w:footnote>
  <w:footnote w:id="474">
    <w:p w14:paraId="317DA01F" w14:textId="4868E6B1" w:rsidR="00A12318" w:rsidRPr="00AB36AE" w:rsidRDefault="00A12318">
      <w:pPr>
        <w:pStyle w:val="FootnoteText"/>
        <w:rPr>
          <w:sz w:val="18"/>
          <w:szCs w:val="18"/>
          <w:lang w:val="en-US"/>
        </w:rPr>
      </w:pPr>
      <w:r w:rsidRPr="00AB36AE">
        <w:rPr>
          <w:rStyle w:val="FootnoteReference"/>
          <w:sz w:val="18"/>
          <w:szCs w:val="18"/>
        </w:rPr>
        <w:footnoteRef/>
      </w:r>
      <w:r w:rsidRPr="00AB36AE">
        <w:rPr>
          <w:sz w:val="18"/>
          <w:szCs w:val="18"/>
        </w:rPr>
        <w:t xml:space="preserve"> </w:t>
      </w:r>
      <w:r w:rsidR="008F4001" w:rsidRPr="00AB36AE">
        <w:rPr>
          <w:sz w:val="18"/>
          <w:szCs w:val="18"/>
          <w:lang w:val="en-US"/>
        </w:rPr>
        <w:t>V</w:t>
      </w:r>
      <w:r w:rsidRPr="00AB36AE">
        <w:rPr>
          <w:sz w:val="18"/>
          <w:szCs w:val="18"/>
          <w:lang w:val="en-US"/>
        </w:rPr>
        <w:t xml:space="preserve">an </w:t>
      </w:r>
      <w:r w:rsidR="00EE3D8C" w:rsidRPr="00AB36AE">
        <w:rPr>
          <w:sz w:val="18"/>
          <w:szCs w:val="18"/>
          <w:lang w:val="en-US"/>
        </w:rPr>
        <w:t>Oo</w:t>
      </w:r>
      <w:r w:rsidRPr="00AB36AE">
        <w:rPr>
          <w:sz w:val="18"/>
          <w:szCs w:val="18"/>
          <w:lang w:val="en-US"/>
        </w:rPr>
        <w:t>strom</w:t>
      </w:r>
      <w:r w:rsidR="00483623" w:rsidRPr="00AB36AE">
        <w:rPr>
          <w:sz w:val="18"/>
          <w:szCs w:val="18"/>
          <w:lang w:val="en-US"/>
        </w:rPr>
        <w:t>,</w:t>
      </w:r>
      <w:r w:rsidR="00EE3D8C" w:rsidRPr="00AB36AE">
        <w:rPr>
          <w:sz w:val="18"/>
          <w:szCs w:val="18"/>
          <w:lang w:val="en-US"/>
        </w:rPr>
        <w:t xml:space="preserve"> </w:t>
      </w:r>
      <w:r w:rsidR="00EE3D8C" w:rsidRPr="00AB36AE">
        <w:rPr>
          <w:i/>
          <w:iCs/>
          <w:sz w:val="18"/>
          <w:szCs w:val="18"/>
          <w:lang w:val="en-US"/>
        </w:rPr>
        <w:t>Wereld in woorden</w:t>
      </w:r>
      <w:r w:rsidR="00EE3D8C" w:rsidRPr="00AB36AE">
        <w:rPr>
          <w:sz w:val="18"/>
          <w:szCs w:val="18"/>
          <w:lang w:val="en-US"/>
        </w:rPr>
        <w:t>,</w:t>
      </w:r>
      <w:r w:rsidR="00483623" w:rsidRPr="00AB36AE">
        <w:rPr>
          <w:sz w:val="18"/>
          <w:szCs w:val="18"/>
          <w:lang w:val="en-US"/>
        </w:rPr>
        <w:t xml:space="preserve"> 317</w:t>
      </w:r>
      <w:r w:rsidR="00B574E7">
        <w:rPr>
          <w:sz w:val="18"/>
          <w:szCs w:val="18"/>
          <w:lang w:val="en-US"/>
        </w:rPr>
        <w:t>.</w:t>
      </w:r>
    </w:p>
  </w:footnote>
  <w:footnote w:id="475">
    <w:p w14:paraId="2FF6DAED" w14:textId="6FADF418" w:rsidR="00F3480A" w:rsidRPr="00AB36AE" w:rsidRDefault="00593D34" w:rsidP="00593D34">
      <w:pPr>
        <w:pStyle w:val="FootnoteText"/>
        <w:rPr>
          <w:sz w:val="18"/>
          <w:szCs w:val="18"/>
        </w:rPr>
      </w:pPr>
      <w:r w:rsidRPr="00AB36AE">
        <w:rPr>
          <w:rStyle w:val="FootnoteReference"/>
          <w:sz w:val="18"/>
          <w:szCs w:val="18"/>
        </w:rPr>
        <w:footnoteRef/>
      </w:r>
      <w:r w:rsidRPr="00AB36AE">
        <w:rPr>
          <w:sz w:val="18"/>
          <w:szCs w:val="18"/>
        </w:rPr>
        <w:t xml:space="preserve">  </w:t>
      </w:r>
      <w:r w:rsidR="00FC3E36" w:rsidRPr="00AB36AE">
        <w:rPr>
          <w:sz w:val="18"/>
          <w:szCs w:val="18"/>
          <w:lang w:val="en-BE"/>
        </w:rPr>
        <w:t xml:space="preserve">Zie Besamsuca, “The Patron and the Implied Readership”, 52, die stelt dat Ruusbroecs complexe mystieke redeneringen in het handschrift vereenvoudigd </w:t>
      </w:r>
      <w:r w:rsidR="0071210A" w:rsidRPr="00AB36AE">
        <w:rPr>
          <w:sz w:val="18"/>
          <w:szCs w:val="18"/>
          <w:lang w:val="en-BE"/>
        </w:rPr>
        <w:t>zijn</w:t>
      </w:r>
      <w:r w:rsidR="00FC3E36" w:rsidRPr="00AB36AE">
        <w:rPr>
          <w:sz w:val="18"/>
          <w:szCs w:val="18"/>
          <w:lang w:val="en-BE"/>
        </w:rPr>
        <w:t xml:space="preserve"> gepresenteerd.</w:t>
      </w:r>
    </w:p>
  </w:footnote>
  <w:footnote w:id="476">
    <w:p w14:paraId="715B59D3" w14:textId="367FF01D" w:rsidR="00593D34" w:rsidRPr="00AB36AE" w:rsidRDefault="00593D34" w:rsidP="00593D34">
      <w:pPr>
        <w:pStyle w:val="FootnoteText"/>
        <w:rPr>
          <w:sz w:val="18"/>
          <w:szCs w:val="18"/>
        </w:rPr>
      </w:pPr>
      <w:r w:rsidRPr="00AB36AE">
        <w:rPr>
          <w:rStyle w:val="FootnoteReference"/>
          <w:sz w:val="18"/>
          <w:szCs w:val="18"/>
        </w:rPr>
        <w:footnoteRef/>
      </w:r>
      <w:r w:rsidRPr="00AB36AE">
        <w:rPr>
          <w:sz w:val="18"/>
          <w:szCs w:val="18"/>
        </w:rPr>
        <w:t xml:space="preserve"> </w:t>
      </w:r>
      <w:r w:rsidR="003F6182" w:rsidRPr="00AB36AE">
        <w:rPr>
          <w:sz w:val="18"/>
          <w:szCs w:val="18"/>
          <w:lang w:val="en-US"/>
        </w:rPr>
        <w:t xml:space="preserve">Van Oostrom, </w:t>
      </w:r>
      <w:r w:rsidR="003F6182" w:rsidRPr="00AB36AE">
        <w:rPr>
          <w:i/>
          <w:iCs/>
          <w:sz w:val="18"/>
          <w:szCs w:val="18"/>
          <w:lang w:val="en-US"/>
        </w:rPr>
        <w:t>Wereld in woorden</w:t>
      </w:r>
      <w:r w:rsidR="003F6182" w:rsidRPr="00AB36AE">
        <w:rPr>
          <w:sz w:val="18"/>
          <w:szCs w:val="18"/>
          <w:lang w:val="en-US"/>
        </w:rPr>
        <w:t xml:space="preserve">, </w:t>
      </w:r>
      <w:r w:rsidRPr="00AB36AE">
        <w:rPr>
          <w:sz w:val="18"/>
          <w:szCs w:val="18"/>
        </w:rPr>
        <w:t>253</w:t>
      </w:r>
      <w:r w:rsidR="00B574E7">
        <w:rPr>
          <w:sz w:val="18"/>
          <w:szCs w:val="18"/>
        </w:rPr>
        <w:t>.</w:t>
      </w:r>
    </w:p>
  </w:footnote>
  <w:footnote w:id="477">
    <w:p w14:paraId="1D31BFA1" w14:textId="6C533430" w:rsidR="00BB2041" w:rsidRPr="00AB36AE" w:rsidRDefault="00BB2041" w:rsidP="00BB2041">
      <w:pPr>
        <w:pStyle w:val="FootnoteText"/>
        <w:rPr>
          <w:sz w:val="18"/>
          <w:szCs w:val="18"/>
        </w:rPr>
      </w:pPr>
      <w:r w:rsidRPr="00AB36AE">
        <w:rPr>
          <w:rStyle w:val="FootnoteReference"/>
          <w:sz w:val="18"/>
          <w:szCs w:val="18"/>
        </w:rPr>
        <w:footnoteRef/>
      </w:r>
      <w:r w:rsidRPr="00AB36AE">
        <w:rPr>
          <w:sz w:val="18"/>
          <w:szCs w:val="18"/>
        </w:rPr>
        <w:t xml:space="preserve"> </w:t>
      </w:r>
      <w:r w:rsidR="0071210A" w:rsidRPr="00AB36AE">
        <w:rPr>
          <w:sz w:val="18"/>
          <w:szCs w:val="18"/>
          <w:lang w:val="en-BE"/>
        </w:rPr>
        <w:t>Besamsuca, “The Patron and the Implied Readership”, 49, 54.</w:t>
      </w:r>
    </w:p>
  </w:footnote>
  <w:footnote w:id="478">
    <w:p w14:paraId="34CA0529" w14:textId="5AD50058" w:rsidR="003F6182" w:rsidRPr="00AB36AE" w:rsidRDefault="003F6182">
      <w:pPr>
        <w:pStyle w:val="FootnoteText"/>
        <w:rPr>
          <w:sz w:val="18"/>
          <w:szCs w:val="18"/>
          <w:lang w:val="en-US"/>
        </w:rPr>
      </w:pPr>
      <w:r w:rsidRPr="00AB36AE">
        <w:rPr>
          <w:rStyle w:val="FootnoteReference"/>
          <w:sz w:val="18"/>
          <w:szCs w:val="18"/>
        </w:rPr>
        <w:footnoteRef/>
      </w:r>
      <w:r w:rsidRPr="00AB36AE">
        <w:rPr>
          <w:sz w:val="18"/>
          <w:szCs w:val="18"/>
        </w:rPr>
        <w:t xml:space="preserve"> </w:t>
      </w:r>
      <w:r w:rsidRPr="00AB36AE">
        <w:rPr>
          <w:sz w:val="18"/>
          <w:szCs w:val="18"/>
          <w:lang w:val="en-BE"/>
        </w:rPr>
        <w:t>Besamsuca, “The Patron and the Implied Readership”, 49, 54.</w:t>
      </w:r>
    </w:p>
  </w:footnote>
  <w:footnote w:id="479">
    <w:p w14:paraId="7D6332D0" w14:textId="7DC5718D" w:rsidR="00E97151" w:rsidRPr="00AB36AE" w:rsidRDefault="00593D34" w:rsidP="003F6182">
      <w:pPr>
        <w:pStyle w:val="FootnoteText"/>
        <w:rPr>
          <w:sz w:val="18"/>
          <w:szCs w:val="18"/>
        </w:rPr>
      </w:pPr>
      <w:r w:rsidRPr="00AB36AE">
        <w:rPr>
          <w:rStyle w:val="FootnoteReference"/>
          <w:sz w:val="18"/>
          <w:szCs w:val="18"/>
        </w:rPr>
        <w:footnoteRef/>
      </w:r>
      <w:r w:rsidRPr="00AB36AE">
        <w:rPr>
          <w:sz w:val="18"/>
          <w:szCs w:val="18"/>
        </w:rPr>
        <w:t xml:space="preserve"> </w:t>
      </w:r>
      <w:r w:rsidR="003F6182" w:rsidRPr="00AB36AE">
        <w:rPr>
          <w:sz w:val="18"/>
          <w:szCs w:val="18"/>
        </w:rPr>
        <w:t xml:space="preserve">Sleiderink, </w:t>
      </w:r>
      <w:r w:rsidR="003F6182" w:rsidRPr="00AB36AE">
        <w:rPr>
          <w:i/>
          <w:iCs/>
          <w:sz w:val="18"/>
          <w:szCs w:val="18"/>
          <w:lang w:val="en-US"/>
        </w:rPr>
        <w:t>De stem van de meester</w:t>
      </w:r>
      <w:r w:rsidR="003F6182" w:rsidRPr="00AB36AE">
        <w:rPr>
          <w:sz w:val="18"/>
          <w:szCs w:val="18"/>
          <w:lang w:val="en-US"/>
        </w:rPr>
        <w:t>, 139.</w:t>
      </w:r>
    </w:p>
  </w:footnote>
  <w:footnote w:id="480">
    <w:p w14:paraId="76663A59" w14:textId="757251C9" w:rsidR="00BB2041" w:rsidRPr="00AB36AE" w:rsidRDefault="00BB2041">
      <w:pPr>
        <w:pStyle w:val="FootnoteText"/>
        <w:rPr>
          <w:sz w:val="18"/>
          <w:szCs w:val="18"/>
          <w:lang w:val="en-US"/>
        </w:rPr>
      </w:pPr>
      <w:r w:rsidRPr="00AB36AE">
        <w:rPr>
          <w:rStyle w:val="FootnoteReference"/>
          <w:sz w:val="18"/>
          <w:szCs w:val="18"/>
        </w:rPr>
        <w:footnoteRef/>
      </w:r>
      <w:r w:rsidRPr="00AB36AE">
        <w:rPr>
          <w:sz w:val="18"/>
          <w:szCs w:val="18"/>
        </w:rPr>
        <w:t xml:space="preserve"> </w:t>
      </w:r>
      <w:r w:rsidR="003F6182" w:rsidRPr="00AB36AE">
        <w:rPr>
          <w:sz w:val="18"/>
          <w:szCs w:val="18"/>
          <w:lang w:val="en-US"/>
        </w:rPr>
        <w:t xml:space="preserve">Wijsman, </w:t>
      </w:r>
      <w:r w:rsidR="003F6182" w:rsidRPr="00AB36AE">
        <w:rPr>
          <w:i/>
          <w:iCs/>
          <w:sz w:val="18"/>
          <w:szCs w:val="18"/>
          <w:lang w:val="en-US"/>
        </w:rPr>
        <w:t>Luxury bound</w:t>
      </w:r>
      <w:r w:rsidR="003F6182" w:rsidRPr="00AB36AE">
        <w:rPr>
          <w:sz w:val="18"/>
          <w:szCs w:val="18"/>
          <w:lang w:val="en-US"/>
        </w:rPr>
        <w:t>, 546-547.</w:t>
      </w:r>
    </w:p>
  </w:footnote>
  <w:footnote w:id="481">
    <w:p w14:paraId="5D48E64A" w14:textId="652B59FB" w:rsidR="00BB2041" w:rsidRPr="00AB36AE" w:rsidRDefault="00BB2041">
      <w:pPr>
        <w:pStyle w:val="FootnoteText"/>
        <w:rPr>
          <w:sz w:val="18"/>
          <w:szCs w:val="18"/>
          <w:lang w:val="en-US"/>
        </w:rPr>
      </w:pPr>
      <w:r w:rsidRPr="00AB36AE">
        <w:rPr>
          <w:rStyle w:val="FootnoteReference"/>
          <w:sz w:val="18"/>
          <w:szCs w:val="18"/>
        </w:rPr>
        <w:footnoteRef/>
      </w:r>
      <w:r w:rsidRPr="00AB36AE">
        <w:rPr>
          <w:sz w:val="18"/>
          <w:szCs w:val="18"/>
        </w:rPr>
        <w:t xml:space="preserve"> </w:t>
      </w:r>
      <w:r w:rsidR="003F6182" w:rsidRPr="00AB36AE">
        <w:rPr>
          <w:sz w:val="18"/>
          <w:szCs w:val="18"/>
          <w:lang w:val="en-US"/>
        </w:rPr>
        <w:t xml:space="preserve">Sleiderink, </w:t>
      </w:r>
      <w:r w:rsidR="003F6182" w:rsidRPr="00AB36AE">
        <w:rPr>
          <w:i/>
          <w:iCs/>
          <w:sz w:val="18"/>
          <w:szCs w:val="18"/>
          <w:lang w:val="en-US"/>
        </w:rPr>
        <w:t>De stem van de meester</w:t>
      </w:r>
      <w:r w:rsidRPr="00AB36AE">
        <w:rPr>
          <w:sz w:val="18"/>
          <w:szCs w:val="18"/>
          <w:lang w:val="en-US"/>
        </w:rPr>
        <w:t>, 138</w:t>
      </w:r>
      <w:r w:rsidR="00B574E7">
        <w:rPr>
          <w:sz w:val="18"/>
          <w:szCs w:val="18"/>
          <w:lang w:val="en-US"/>
        </w:rPr>
        <w:t>.</w:t>
      </w:r>
    </w:p>
  </w:footnote>
  <w:footnote w:id="482">
    <w:p w14:paraId="3B9E3C15" w14:textId="58A4E467" w:rsidR="00F71B0F" w:rsidRPr="00AB36AE" w:rsidRDefault="00B50567" w:rsidP="00B50567">
      <w:pPr>
        <w:pStyle w:val="FootnoteText"/>
        <w:rPr>
          <w:sz w:val="18"/>
          <w:szCs w:val="18"/>
          <w:lang w:val="en-US"/>
        </w:rPr>
      </w:pPr>
      <w:r w:rsidRPr="00AB36AE">
        <w:rPr>
          <w:rStyle w:val="FootnoteReference"/>
          <w:sz w:val="18"/>
          <w:szCs w:val="18"/>
        </w:rPr>
        <w:footnoteRef/>
      </w:r>
      <w:r w:rsidRPr="00AB36AE">
        <w:rPr>
          <w:sz w:val="18"/>
          <w:szCs w:val="18"/>
          <w:lang w:val="en-US"/>
        </w:rPr>
        <w:t xml:space="preserve"> </w:t>
      </w:r>
      <w:r w:rsidR="00F71B0F" w:rsidRPr="00AB36AE">
        <w:rPr>
          <w:sz w:val="18"/>
          <w:szCs w:val="18"/>
          <w:lang w:val="en-BE"/>
        </w:rPr>
        <w:t xml:space="preserve">McCash, </w:t>
      </w:r>
      <w:r w:rsidR="00F71B0F" w:rsidRPr="00AB36AE">
        <w:rPr>
          <w:i/>
          <w:iCs/>
          <w:sz w:val="18"/>
          <w:szCs w:val="18"/>
          <w:lang w:val="en-BE"/>
        </w:rPr>
        <w:t>The Cultural Patronage of Medieval Women</w:t>
      </w:r>
      <w:r w:rsidR="00F71B0F" w:rsidRPr="00AB36AE">
        <w:rPr>
          <w:sz w:val="18"/>
          <w:szCs w:val="18"/>
          <w:lang w:val="en-BE"/>
        </w:rPr>
        <w:t>, 1</w:t>
      </w:r>
      <w:r w:rsidR="009B6E7F" w:rsidRPr="00AB36AE">
        <w:rPr>
          <w:sz w:val="18"/>
          <w:szCs w:val="18"/>
          <w:lang w:val="en-BE"/>
        </w:rPr>
        <w:t>, 25.</w:t>
      </w:r>
    </w:p>
  </w:footnote>
  <w:footnote w:id="483">
    <w:p w14:paraId="5231C6CF" w14:textId="32683527" w:rsidR="008B4DAF" w:rsidRPr="00AB36AE" w:rsidRDefault="00FD4E4B" w:rsidP="00FD4E4B">
      <w:pPr>
        <w:pStyle w:val="FootnoteText"/>
        <w:rPr>
          <w:sz w:val="18"/>
          <w:szCs w:val="18"/>
          <w:lang w:val="en-US"/>
        </w:rPr>
      </w:pPr>
      <w:r w:rsidRPr="00AB36AE">
        <w:rPr>
          <w:rStyle w:val="FootnoteReference"/>
          <w:sz w:val="18"/>
          <w:szCs w:val="18"/>
        </w:rPr>
        <w:footnoteRef/>
      </w:r>
      <w:r w:rsidRPr="00AB36AE">
        <w:rPr>
          <w:sz w:val="18"/>
          <w:szCs w:val="18"/>
        </w:rPr>
        <w:t xml:space="preserve"> </w:t>
      </w:r>
      <w:r w:rsidR="00FF6B03" w:rsidRPr="00AB36AE">
        <w:rPr>
          <w:sz w:val="18"/>
          <w:szCs w:val="18"/>
          <w:lang w:val="en-US"/>
        </w:rPr>
        <w:t xml:space="preserve">Blockmans, "The Devotion of a Lonely Duchess”, 45-46; </w:t>
      </w:r>
      <w:r w:rsidR="00FF6B03" w:rsidRPr="00AB36AE">
        <w:rPr>
          <w:sz w:val="18"/>
          <w:szCs w:val="18"/>
          <w:lang w:val="en-BE"/>
        </w:rPr>
        <w:t xml:space="preserve">Karaskova, </w:t>
      </w:r>
      <w:r w:rsidR="00FF6B03" w:rsidRPr="00AB36AE">
        <w:rPr>
          <w:i/>
          <w:iCs/>
          <w:sz w:val="18"/>
          <w:szCs w:val="18"/>
          <w:lang w:val="en-BE"/>
        </w:rPr>
        <w:t>Le mécénat de Marie de Bourgogne: entre dévotion privée et nécessité politique</w:t>
      </w:r>
      <w:r w:rsidR="00BC3FBB" w:rsidRPr="00AB36AE">
        <w:rPr>
          <w:sz w:val="18"/>
          <w:szCs w:val="18"/>
          <w:lang w:val="en-BE"/>
        </w:rPr>
        <w:t>, voor een voorbeeld van de politiek-representatieve functie achter Maria van Bourgondië's patronage.</w:t>
      </w:r>
    </w:p>
  </w:footnote>
  <w:footnote w:id="484">
    <w:p w14:paraId="109E02B1" w14:textId="75822FAD" w:rsidR="003E2A83" w:rsidRPr="00AB36AE" w:rsidRDefault="003E2A83">
      <w:pPr>
        <w:pStyle w:val="FootnoteText"/>
        <w:rPr>
          <w:sz w:val="18"/>
          <w:szCs w:val="18"/>
          <w:lang w:val="en-US"/>
        </w:rPr>
      </w:pPr>
      <w:r w:rsidRPr="00AB36AE">
        <w:rPr>
          <w:rStyle w:val="FootnoteReference"/>
          <w:sz w:val="18"/>
          <w:szCs w:val="18"/>
        </w:rPr>
        <w:footnoteRef/>
      </w:r>
      <w:r w:rsidRPr="00AB36AE">
        <w:rPr>
          <w:sz w:val="18"/>
          <w:szCs w:val="18"/>
        </w:rPr>
        <w:t xml:space="preserve"> </w:t>
      </w:r>
      <w:r w:rsidR="00D163F2" w:rsidRPr="00AB36AE">
        <w:rPr>
          <w:sz w:val="18"/>
          <w:szCs w:val="18"/>
        </w:rPr>
        <w:t>Coomans, “Entre France et l’Empire,”</w:t>
      </w:r>
      <w:r w:rsidR="00C36819" w:rsidRPr="00AB36AE">
        <w:rPr>
          <w:sz w:val="18"/>
          <w:szCs w:val="18"/>
        </w:rPr>
        <w:t xml:space="preserve"> 10-17</w:t>
      </w:r>
    </w:p>
  </w:footnote>
  <w:footnote w:id="485">
    <w:p w14:paraId="3D411AFC" w14:textId="62460904" w:rsidR="00B5128B" w:rsidRPr="00AB36AE" w:rsidRDefault="00B5128B">
      <w:pPr>
        <w:pStyle w:val="FootnoteText"/>
        <w:rPr>
          <w:sz w:val="18"/>
          <w:szCs w:val="18"/>
          <w:lang w:val="en-US"/>
        </w:rPr>
      </w:pPr>
      <w:r w:rsidRPr="00AB36AE">
        <w:rPr>
          <w:rStyle w:val="FootnoteReference"/>
          <w:sz w:val="18"/>
          <w:szCs w:val="18"/>
        </w:rPr>
        <w:footnoteRef/>
      </w:r>
      <w:r w:rsidRPr="00AB36AE">
        <w:rPr>
          <w:sz w:val="18"/>
          <w:szCs w:val="18"/>
        </w:rPr>
        <w:t xml:space="preserve"> </w:t>
      </w:r>
      <w:r w:rsidR="00BC3FBB" w:rsidRPr="00AB36AE">
        <w:rPr>
          <w:sz w:val="18"/>
          <w:szCs w:val="18"/>
          <w:lang w:val="en-US"/>
        </w:rPr>
        <w:t xml:space="preserve">D'Anca, </w:t>
      </w:r>
      <w:r w:rsidR="00BC3FBB" w:rsidRPr="00AB36AE">
        <w:rPr>
          <w:i/>
          <w:iCs/>
          <w:sz w:val="18"/>
          <w:szCs w:val="18"/>
          <w:lang w:val="en-US"/>
        </w:rPr>
        <w:t>Medieval Mausoleums</w:t>
      </w:r>
      <w:r w:rsidR="00BC3FBB" w:rsidRPr="00AB36AE">
        <w:rPr>
          <w:sz w:val="18"/>
          <w:szCs w:val="18"/>
          <w:lang w:val="en-US"/>
        </w:rPr>
        <w:t xml:space="preserve">, </w:t>
      </w:r>
      <w:r w:rsidR="00BC3FBB" w:rsidRPr="00AB36AE">
        <w:rPr>
          <w:sz w:val="18"/>
          <w:szCs w:val="18"/>
          <w:lang w:val="fr-FR"/>
        </w:rPr>
        <w:t>75.</w:t>
      </w:r>
    </w:p>
  </w:footnote>
  <w:footnote w:id="486">
    <w:p w14:paraId="76BE4189" w14:textId="584AEC1A" w:rsidR="001279EA" w:rsidRPr="00AB36AE" w:rsidRDefault="001279EA" w:rsidP="001279EA">
      <w:pPr>
        <w:pStyle w:val="FootnoteText"/>
        <w:rPr>
          <w:sz w:val="18"/>
          <w:szCs w:val="18"/>
        </w:rPr>
      </w:pPr>
      <w:r w:rsidRPr="00AB36AE">
        <w:rPr>
          <w:rStyle w:val="FootnoteReference"/>
          <w:sz w:val="18"/>
          <w:szCs w:val="18"/>
        </w:rPr>
        <w:footnoteRef/>
      </w:r>
      <w:r w:rsidRPr="00AB36AE">
        <w:rPr>
          <w:sz w:val="18"/>
          <w:szCs w:val="18"/>
        </w:rPr>
        <w:t xml:space="preserve"> Volgens de </w:t>
      </w:r>
      <w:r w:rsidR="00DB52E1" w:rsidRPr="00AB36AE">
        <w:rPr>
          <w:sz w:val="18"/>
          <w:szCs w:val="18"/>
        </w:rPr>
        <w:t xml:space="preserve">Maesschalk </w:t>
      </w:r>
      <w:r w:rsidRPr="00AB36AE">
        <w:rPr>
          <w:sz w:val="18"/>
          <w:szCs w:val="18"/>
        </w:rPr>
        <w:t xml:space="preserve">liet Filips de Stoute </w:t>
      </w:r>
      <w:r w:rsidR="00DB52E1" w:rsidRPr="00AB36AE">
        <w:rPr>
          <w:sz w:val="18"/>
          <w:szCs w:val="18"/>
        </w:rPr>
        <w:t>“</w:t>
      </w:r>
      <w:r w:rsidRPr="00AB36AE">
        <w:rPr>
          <w:sz w:val="18"/>
          <w:szCs w:val="18"/>
        </w:rPr>
        <w:t>spionnen</w:t>
      </w:r>
      <w:r w:rsidR="00DB52E1" w:rsidRPr="00AB36AE">
        <w:rPr>
          <w:sz w:val="18"/>
          <w:szCs w:val="18"/>
        </w:rPr>
        <w:t xml:space="preserve">” </w:t>
      </w:r>
      <w:r w:rsidRPr="00AB36AE">
        <w:rPr>
          <w:sz w:val="18"/>
          <w:szCs w:val="18"/>
        </w:rPr>
        <w:t>in Brabant rondgaan om een oogje in het zeil te houden</w:t>
      </w:r>
      <w:r w:rsidR="00DB52E1" w:rsidRPr="00AB36AE">
        <w:rPr>
          <w:sz w:val="18"/>
          <w:szCs w:val="18"/>
        </w:rPr>
        <w:t>, z</w:t>
      </w:r>
      <w:r w:rsidRPr="00AB36AE">
        <w:rPr>
          <w:sz w:val="18"/>
          <w:szCs w:val="18"/>
        </w:rPr>
        <w:t>ie</w:t>
      </w:r>
      <w:r w:rsidR="00DB52E1" w:rsidRPr="00AB36AE">
        <w:rPr>
          <w:sz w:val="18"/>
          <w:szCs w:val="18"/>
        </w:rPr>
        <w:t>:</w:t>
      </w:r>
      <w:r w:rsidRPr="00AB36AE">
        <w:rPr>
          <w:sz w:val="18"/>
          <w:szCs w:val="18"/>
        </w:rPr>
        <w:t xml:space="preserve"> De </w:t>
      </w:r>
      <w:r w:rsidR="00DB52E1" w:rsidRPr="00AB36AE">
        <w:rPr>
          <w:sz w:val="18"/>
          <w:szCs w:val="18"/>
        </w:rPr>
        <w:t>Maesschalk</w:t>
      </w:r>
      <w:r w:rsidRPr="00AB36AE">
        <w:rPr>
          <w:sz w:val="18"/>
          <w:szCs w:val="18"/>
        </w:rPr>
        <w:t xml:space="preserve">, </w:t>
      </w:r>
      <w:r w:rsidRPr="00AB36AE">
        <w:rPr>
          <w:i/>
          <w:iCs/>
          <w:sz w:val="18"/>
          <w:szCs w:val="18"/>
        </w:rPr>
        <w:t>Hertogen</w:t>
      </w:r>
      <w:r w:rsidRPr="00AB36AE">
        <w:rPr>
          <w:sz w:val="18"/>
          <w:szCs w:val="18"/>
        </w:rPr>
        <w:t xml:space="preserve">, 317-318. </w:t>
      </w:r>
    </w:p>
  </w:footnote>
  <w:footnote w:id="487">
    <w:p w14:paraId="3E547C31" w14:textId="01FAD709" w:rsidR="001B1736" w:rsidRPr="00AB36AE" w:rsidRDefault="001B1736">
      <w:pPr>
        <w:pStyle w:val="FootnoteText"/>
        <w:rPr>
          <w:sz w:val="18"/>
          <w:szCs w:val="18"/>
          <w:lang w:val="en-US"/>
        </w:rPr>
      </w:pPr>
      <w:r w:rsidRPr="00AB36AE">
        <w:rPr>
          <w:rStyle w:val="FootnoteReference"/>
          <w:sz w:val="18"/>
          <w:szCs w:val="18"/>
        </w:rPr>
        <w:footnoteRef/>
      </w:r>
      <w:r w:rsidRPr="00AB36AE">
        <w:rPr>
          <w:sz w:val="18"/>
          <w:szCs w:val="18"/>
        </w:rPr>
        <w:t xml:space="preserve"> </w:t>
      </w:r>
      <w:r w:rsidR="00DB52E1" w:rsidRPr="00AB36AE">
        <w:rPr>
          <w:sz w:val="18"/>
          <w:szCs w:val="18"/>
        </w:rPr>
        <w:t xml:space="preserve">Laurent en Quicke “Documents pour servir à l’histoire”, 154; voor Nederlandse herwerking, zie: De Maesschalk, </w:t>
      </w:r>
      <w:r w:rsidR="00DB52E1" w:rsidRPr="00AB36AE">
        <w:rPr>
          <w:i/>
          <w:iCs/>
          <w:sz w:val="18"/>
          <w:szCs w:val="18"/>
        </w:rPr>
        <w:t>De hertogen</w:t>
      </w:r>
      <w:r w:rsidR="00DB52E1" w:rsidRPr="00AB36AE">
        <w:rPr>
          <w:sz w:val="18"/>
          <w:szCs w:val="18"/>
        </w:rPr>
        <w:t>, 317-318.</w:t>
      </w:r>
    </w:p>
  </w:footnote>
  <w:footnote w:id="488">
    <w:p w14:paraId="1CCA24C3" w14:textId="5590A894" w:rsidR="00D9011B" w:rsidRPr="00AB36AE" w:rsidRDefault="00DB52E1" w:rsidP="00D9011B">
      <w:pPr>
        <w:pStyle w:val="FootnoteText"/>
        <w:rPr>
          <w:sz w:val="18"/>
          <w:szCs w:val="18"/>
          <w:lang w:val="fr-FR"/>
        </w:rPr>
      </w:pPr>
      <w:r w:rsidRPr="00AB36AE">
        <w:rPr>
          <w:rStyle w:val="FootnoteReference"/>
          <w:sz w:val="18"/>
          <w:szCs w:val="18"/>
        </w:rPr>
        <w:footnoteRef/>
      </w:r>
      <w:r w:rsidRPr="00AB36AE">
        <w:rPr>
          <w:sz w:val="18"/>
          <w:szCs w:val="18"/>
          <w:lang w:val="fr-FR"/>
        </w:rPr>
        <w:t xml:space="preserve"> </w:t>
      </w:r>
      <w:r w:rsidR="00D9011B" w:rsidRPr="00AB36AE">
        <w:rPr>
          <w:sz w:val="18"/>
          <w:szCs w:val="18"/>
          <w:lang w:val="en-BE"/>
        </w:rPr>
        <w:t xml:space="preserve">Graffart en Uyttebrouck, </w:t>
      </w:r>
      <w:r w:rsidR="00D9011B" w:rsidRPr="00AB36AE">
        <w:rPr>
          <w:i/>
          <w:iCs/>
          <w:sz w:val="18"/>
          <w:szCs w:val="18"/>
          <w:lang w:val="en-BE"/>
        </w:rPr>
        <w:t xml:space="preserve">Quelques documents inédits, </w:t>
      </w:r>
      <w:r w:rsidR="00D9011B" w:rsidRPr="00AB36AE">
        <w:rPr>
          <w:sz w:val="18"/>
          <w:szCs w:val="18"/>
          <w:lang w:val="en-BE"/>
        </w:rPr>
        <w:t>96-97.</w:t>
      </w:r>
    </w:p>
    <w:p w14:paraId="5AA9CB84" w14:textId="3F1FDC06" w:rsidR="00DB52E1" w:rsidRPr="00AB36AE" w:rsidRDefault="00DB52E1" w:rsidP="00DB52E1">
      <w:pPr>
        <w:pStyle w:val="FootnoteText"/>
        <w:rPr>
          <w:sz w:val="18"/>
          <w:szCs w:val="18"/>
          <w:lang w:val="fr-FR"/>
        </w:rPr>
      </w:pPr>
    </w:p>
  </w:footnote>
  <w:footnote w:id="489">
    <w:p w14:paraId="7466657B" w14:textId="1E5BC81A" w:rsidR="0086614C" w:rsidRPr="00AB36AE" w:rsidRDefault="0086614C" w:rsidP="0086614C">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Rutsaert, </w:t>
      </w:r>
      <w:r w:rsidR="00D9011B" w:rsidRPr="00AB36AE">
        <w:rPr>
          <w:sz w:val="18"/>
          <w:szCs w:val="18"/>
          <w:lang w:val="nl-NL"/>
        </w:rPr>
        <w:t>“</w:t>
      </w:r>
      <w:r w:rsidRPr="00AB36AE">
        <w:rPr>
          <w:sz w:val="18"/>
          <w:szCs w:val="18"/>
          <w:lang w:val="nl-NL"/>
        </w:rPr>
        <w:t>Amour et affection</w:t>
      </w:r>
      <w:r w:rsidR="00D9011B" w:rsidRPr="00AB36AE">
        <w:rPr>
          <w:sz w:val="18"/>
          <w:szCs w:val="18"/>
          <w:lang w:val="nl-NL"/>
        </w:rPr>
        <w:t xml:space="preserve">”, </w:t>
      </w:r>
      <w:r w:rsidRPr="00AB36AE">
        <w:rPr>
          <w:sz w:val="18"/>
          <w:szCs w:val="18"/>
          <w:lang w:val="nl-NL"/>
        </w:rPr>
        <w:t xml:space="preserve">1-41. </w:t>
      </w:r>
    </w:p>
  </w:footnote>
  <w:footnote w:id="490">
    <w:p w14:paraId="217492AB" w14:textId="4B27DD08" w:rsidR="0086614C" w:rsidRPr="00AB36AE" w:rsidRDefault="0086614C" w:rsidP="0086614C">
      <w:pPr>
        <w:pStyle w:val="FootnoteText"/>
        <w:rPr>
          <w:sz w:val="18"/>
          <w:szCs w:val="18"/>
          <w:lang w:val="nl-NL"/>
        </w:rPr>
      </w:pPr>
      <w:r w:rsidRPr="00AB36AE">
        <w:rPr>
          <w:rStyle w:val="FootnoteReference"/>
          <w:sz w:val="18"/>
          <w:szCs w:val="18"/>
          <w:lang w:val="nl-NL"/>
        </w:rPr>
        <w:footnoteRef/>
      </w:r>
      <w:r w:rsidR="00D9011B" w:rsidRPr="00AB36AE">
        <w:rPr>
          <w:sz w:val="18"/>
          <w:szCs w:val="18"/>
          <w:lang w:val="nl-NL"/>
        </w:rPr>
        <w:t>Jardot</w:t>
      </w:r>
      <w:r w:rsidRPr="00AB36AE">
        <w:rPr>
          <w:sz w:val="18"/>
          <w:szCs w:val="18"/>
          <w:lang w:val="nl-NL"/>
        </w:rPr>
        <w:t xml:space="preserve">, </w:t>
      </w:r>
      <w:r w:rsidRPr="00AB36AE">
        <w:rPr>
          <w:i/>
          <w:iCs/>
          <w:sz w:val="18"/>
          <w:szCs w:val="18"/>
          <w:lang w:val="nl-NL"/>
        </w:rPr>
        <w:t>Sceller et gouverner</w:t>
      </w:r>
      <w:r w:rsidR="00E655E3" w:rsidRPr="00AB36AE">
        <w:rPr>
          <w:i/>
          <w:iCs/>
          <w:sz w:val="18"/>
          <w:szCs w:val="18"/>
          <w:lang w:val="nl-NL"/>
        </w:rPr>
        <w:t> </w:t>
      </w:r>
      <w:r w:rsidR="00E655E3" w:rsidRPr="00AB36AE">
        <w:rPr>
          <w:sz w:val="18"/>
          <w:szCs w:val="18"/>
          <w:lang w:val="nl-NL"/>
        </w:rPr>
        <w:t xml:space="preserve">; Santinelli, </w:t>
      </w:r>
      <w:r w:rsidR="008656ED" w:rsidRPr="00AB36AE">
        <w:rPr>
          <w:sz w:val="18"/>
          <w:szCs w:val="18"/>
          <w:lang w:val="nl-NL"/>
        </w:rPr>
        <w:t>“</w:t>
      </w:r>
      <w:r w:rsidR="00E655E3" w:rsidRPr="00AB36AE">
        <w:rPr>
          <w:sz w:val="18"/>
          <w:szCs w:val="18"/>
          <w:lang w:val="nl-NL"/>
        </w:rPr>
        <w:t xml:space="preserve">review van Lucie Jardot, </w:t>
      </w:r>
      <w:r w:rsidR="00E655E3" w:rsidRPr="00AB36AE">
        <w:rPr>
          <w:i/>
          <w:iCs/>
          <w:sz w:val="18"/>
          <w:szCs w:val="18"/>
          <w:lang w:val="nl-NL"/>
        </w:rPr>
        <w:t>Sceller et gouverner</w:t>
      </w:r>
      <w:r w:rsidR="008656ED" w:rsidRPr="00AB36AE">
        <w:rPr>
          <w:i/>
          <w:iCs/>
          <w:sz w:val="18"/>
          <w:szCs w:val="18"/>
          <w:lang w:val="nl-NL"/>
        </w:rPr>
        <w:t>”</w:t>
      </w:r>
      <w:r w:rsidR="00E655E3" w:rsidRPr="00AB36AE">
        <w:rPr>
          <w:i/>
          <w:iCs/>
          <w:sz w:val="18"/>
          <w:szCs w:val="18"/>
          <w:lang w:val="nl-NL"/>
        </w:rPr>
        <w:t xml:space="preserve">, </w:t>
      </w:r>
      <w:r w:rsidR="00E655E3" w:rsidRPr="00B574E7">
        <w:rPr>
          <w:sz w:val="18"/>
          <w:szCs w:val="18"/>
          <w:lang w:val="nl-NL"/>
        </w:rPr>
        <w:t>283-284</w:t>
      </w:r>
      <w:r w:rsidR="00B574E7">
        <w:rPr>
          <w:i/>
          <w:iCs/>
          <w:sz w:val="18"/>
          <w:szCs w:val="18"/>
          <w:lang w:val="nl-NL"/>
        </w:rPr>
        <w:t>.</w:t>
      </w:r>
    </w:p>
  </w:footnote>
  <w:footnote w:id="491">
    <w:p w14:paraId="2DCE17CC" w14:textId="35F12898" w:rsidR="00617831" w:rsidRPr="00AB36AE" w:rsidRDefault="00617831">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w:t>
      </w:r>
      <w:r w:rsidR="007E7D3C" w:rsidRPr="00AB36AE">
        <w:rPr>
          <w:sz w:val="18"/>
          <w:szCs w:val="18"/>
          <w:lang w:val="nl-NL"/>
        </w:rPr>
        <w:t xml:space="preserve">Een goed beginpunt voor zo’n herziening biedt het overzichtswerk: </w:t>
      </w:r>
      <w:r w:rsidR="00DA0864" w:rsidRPr="00AB36AE">
        <w:rPr>
          <w:sz w:val="18"/>
          <w:szCs w:val="18"/>
          <w:lang w:val="nl-NL"/>
        </w:rPr>
        <w:t xml:space="preserve">Deen; Huysman (red.), </w:t>
      </w:r>
      <w:r w:rsidR="00DA0864" w:rsidRPr="00AB36AE">
        <w:rPr>
          <w:i/>
          <w:iCs/>
          <w:sz w:val="18"/>
          <w:szCs w:val="18"/>
          <w:lang w:val="nl-NL"/>
        </w:rPr>
        <w:t>Moeders des vaderlands.</w:t>
      </w:r>
    </w:p>
  </w:footnote>
  <w:footnote w:id="492">
    <w:p w14:paraId="070B9BF7" w14:textId="17C5D6DD" w:rsidR="001279EA" w:rsidRPr="00AB36AE" w:rsidRDefault="001279EA" w:rsidP="001279EA">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Bousmar</w:t>
      </w:r>
      <w:r w:rsidR="008656ED" w:rsidRPr="00AB36AE">
        <w:rPr>
          <w:sz w:val="18"/>
          <w:szCs w:val="18"/>
          <w:lang w:val="nl-NL"/>
        </w:rPr>
        <w:t xml:space="preserve"> en </w:t>
      </w:r>
      <w:r w:rsidRPr="00AB36AE">
        <w:rPr>
          <w:sz w:val="18"/>
          <w:szCs w:val="18"/>
          <w:lang w:val="nl-NL"/>
        </w:rPr>
        <w:t>Haemers</w:t>
      </w:r>
      <w:r w:rsidR="003A1E71" w:rsidRPr="00AB36AE">
        <w:rPr>
          <w:sz w:val="18"/>
          <w:szCs w:val="18"/>
          <w:lang w:val="nl-NL"/>
        </w:rPr>
        <w:t>, “</w:t>
      </w:r>
      <w:r w:rsidRPr="00AB36AE">
        <w:rPr>
          <w:sz w:val="18"/>
          <w:szCs w:val="18"/>
          <w:lang w:val="nl-NL"/>
        </w:rPr>
        <w:t>Triste plaisir</w:t>
      </w:r>
      <w:r w:rsidR="003A1E71" w:rsidRPr="00AB36AE">
        <w:rPr>
          <w:sz w:val="18"/>
          <w:szCs w:val="18"/>
          <w:lang w:val="nl-NL"/>
        </w:rPr>
        <w:t xml:space="preserve">”, </w:t>
      </w:r>
      <w:r w:rsidRPr="00AB36AE">
        <w:rPr>
          <w:sz w:val="18"/>
          <w:szCs w:val="18"/>
          <w:lang w:val="nl-NL"/>
        </w:rPr>
        <w:t xml:space="preserve">395-397. </w:t>
      </w:r>
    </w:p>
  </w:footnote>
  <w:footnote w:id="493">
    <w:p w14:paraId="636B06CE" w14:textId="09CB519F" w:rsidR="001279EA" w:rsidRPr="00AB36AE" w:rsidRDefault="001279EA" w:rsidP="001279EA">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De beeldvorming rond Maria werd na haar dood grotendeels bepaald door de propaganda die Maximiliaan verspreidde om zijn eigen positie als regent te legitimeren. Zie Bousmar</w:t>
      </w:r>
      <w:r w:rsidR="008656ED" w:rsidRPr="00AB36AE">
        <w:rPr>
          <w:sz w:val="18"/>
          <w:szCs w:val="18"/>
          <w:lang w:val="nl-NL"/>
        </w:rPr>
        <w:t xml:space="preserve"> en </w:t>
      </w:r>
      <w:r w:rsidRPr="00AB36AE">
        <w:rPr>
          <w:sz w:val="18"/>
          <w:szCs w:val="18"/>
          <w:lang w:val="nl-NL"/>
        </w:rPr>
        <w:t xml:space="preserve">Haemers, </w:t>
      </w:r>
      <w:r w:rsidR="00C02554" w:rsidRPr="00AB36AE">
        <w:rPr>
          <w:sz w:val="18"/>
          <w:szCs w:val="18"/>
          <w:lang w:val="nl-NL"/>
        </w:rPr>
        <w:t>“</w:t>
      </w:r>
      <w:r w:rsidRPr="00AB36AE">
        <w:rPr>
          <w:sz w:val="18"/>
          <w:szCs w:val="18"/>
          <w:lang w:val="nl-NL"/>
        </w:rPr>
        <w:t>Triste Plaisir</w:t>
      </w:r>
      <w:r w:rsidR="00C02554" w:rsidRPr="00AB36AE">
        <w:rPr>
          <w:sz w:val="18"/>
          <w:szCs w:val="18"/>
          <w:lang w:val="nl-NL"/>
        </w:rPr>
        <w:t>”</w:t>
      </w:r>
      <w:r w:rsidRPr="00AB36AE">
        <w:rPr>
          <w:sz w:val="18"/>
          <w:szCs w:val="18"/>
          <w:lang w:val="nl-NL"/>
        </w:rPr>
        <w:t xml:space="preserve">, 397. </w:t>
      </w:r>
    </w:p>
  </w:footnote>
  <w:footnote w:id="494">
    <w:p w14:paraId="1BF0EFE5" w14:textId="7AE4DF04" w:rsidR="001279EA" w:rsidRPr="00AB36AE" w:rsidRDefault="001279EA" w:rsidP="001279EA">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Depreter, e.a., </w:t>
      </w:r>
      <w:r w:rsidR="003A1E71" w:rsidRPr="00AB36AE">
        <w:rPr>
          <w:sz w:val="18"/>
          <w:szCs w:val="18"/>
          <w:lang w:val="nl-NL"/>
        </w:rPr>
        <w:t>“</w:t>
      </w:r>
      <w:r w:rsidRPr="00AB36AE">
        <w:rPr>
          <w:sz w:val="18"/>
          <w:szCs w:val="18"/>
          <w:lang w:val="nl-NL"/>
        </w:rPr>
        <w:t>Mary of Burgundy</w:t>
      </w:r>
      <w:r w:rsidR="003A1E71" w:rsidRPr="00AB36AE">
        <w:rPr>
          <w:sz w:val="18"/>
          <w:szCs w:val="18"/>
          <w:lang w:val="nl-NL"/>
        </w:rPr>
        <w:t>”</w:t>
      </w:r>
      <w:r w:rsidRPr="00AB36AE">
        <w:rPr>
          <w:sz w:val="18"/>
          <w:szCs w:val="18"/>
          <w:lang w:val="nl-NL"/>
        </w:rPr>
        <w:t>, 17-18.</w:t>
      </w:r>
    </w:p>
  </w:footnote>
  <w:footnote w:id="495">
    <w:p w14:paraId="052FDC9E" w14:textId="6F4E1D7A" w:rsidR="001279EA" w:rsidRPr="00AB36AE" w:rsidRDefault="001279EA" w:rsidP="001279EA">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Depreter, e.a., </w:t>
      </w:r>
      <w:r w:rsidR="003A1E71" w:rsidRPr="00AB36AE">
        <w:rPr>
          <w:sz w:val="18"/>
          <w:szCs w:val="18"/>
          <w:lang w:val="nl-NL"/>
        </w:rPr>
        <w:t>“</w:t>
      </w:r>
      <w:r w:rsidRPr="00AB36AE">
        <w:rPr>
          <w:sz w:val="18"/>
          <w:szCs w:val="18"/>
          <w:lang w:val="nl-NL"/>
        </w:rPr>
        <w:t>Mary of Burgundy</w:t>
      </w:r>
      <w:r w:rsidR="003A1E71" w:rsidRPr="00AB36AE">
        <w:rPr>
          <w:sz w:val="18"/>
          <w:szCs w:val="18"/>
          <w:lang w:val="nl-NL"/>
        </w:rPr>
        <w:t>”</w:t>
      </w:r>
      <w:r w:rsidRPr="00AB36AE">
        <w:rPr>
          <w:sz w:val="18"/>
          <w:szCs w:val="18"/>
          <w:lang w:val="nl-NL"/>
        </w:rPr>
        <w:t>, 17-18.</w:t>
      </w:r>
    </w:p>
  </w:footnote>
  <w:footnote w:id="496">
    <w:p w14:paraId="098B7B16" w14:textId="67844623" w:rsidR="003A1E71" w:rsidRPr="00AB36AE" w:rsidRDefault="001279EA" w:rsidP="001279EA">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w:t>
      </w:r>
      <w:r w:rsidR="003A1E71" w:rsidRPr="00AB36AE">
        <w:rPr>
          <w:sz w:val="18"/>
          <w:szCs w:val="18"/>
          <w:lang w:val="nl-NL"/>
        </w:rPr>
        <w:t>Depreter e.a., “Mary of Burgundy”, 22; Marchandisse, e.a., “’L’ultime Voyage de Marie de Bourgogne”, 321.</w:t>
      </w:r>
      <w:r w:rsidR="003A1E71" w:rsidRPr="00AB36AE">
        <w:rPr>
          <w:sz w:val="18"/>
          <w:szCs w:val="18"/>
          <w:lang w:val="fr-FR"/>
        </w:rPr>
        <w:t> </w:t>
      </w:r>
    </w:p>
  </w:footnote>
  <w:footnote w:id="497">
    <w:p w14:paraId="4AC45EFF" w14:textId="77777777" w:rsidR="00943D85" w:rsidRPr="00AB36AE" w:rsidRDefault="00943D85" w:rsidP="00943D85">
      <w:pPr>
        <w:pStyle w:val="FootnoteText"/>
        <w:rPr>
          <w:sz w:val="18"/>
          <w:szCs w:val="18"/>
          <w:lang w:val="nl-NL"/>
        </w:rPr>
      </w:pPr>
      <w:r w:rsidRPr="00AB36AE">
        <w:rPr>
          <w:rStyle w:val="FootnoteReference"/>
          <w:sz w:val="18"/>
          <w:szCs w:val="18"/>
          <w:lang w:val="nl-NL"/>
        </w:rPr>
        <w:footnoteRef/>
      </w:r>
      <w:r w:rsidRPr="00AB36AE">
        <w:rPr>
          <w:sz w:val="18"/>
          <w:szCs w:val="18"/>
          <w:lang w:val="nl-NL"/>
        </w:rPr>
        <w:t xml:space="preserve"> Bousmar en Haemers, “Triste Plaisir”, 403.</w:t>
      </w:r>
    </w:p>
  </w:footnote>
  <w:footnote w:id="498">
    <w:p w14:paraId="7037B752" w14:textId="559B6F88" w:rsidR="001279EA" w:rsidRPr="00AB36AE" w:rsidRDefault="001279EA" w:rsidP="001279EA">
      <w:pPr>
        <w:pStyle w:val="FootnoteText"/>
        <w:rPr>
          <w:sz w:val="18"/>
          <w:szCs w:val="18"/>
        </w:rPr>
      </w:pPr>
      <w:r w:rsidRPr="00AB36AE">
        <w:rPr>
          <w:rStyle w:val="FootnoteReference"/>
          <w:sz w:val="18"/>
          <w:szCs w:val="18"/>
        </w:rPr>
        <w:footnoteRef/>
      </w:r>
      <w:r w:rsidRPr="00AB36AE">
        <w:rPr>
          <w:sz w:val="18"/>
          <w:szCs w:val="18"/>
        </w:rPr>
        <w:t xml:space="preserve"> Beeld van </w:t>
      </w:r>
      <w:r w:rsidR="00C02554" w:rsidRPr="00AB36AE">
        <w:rPr>
          <w:sz w:val="18"/>
          <w:szCs w:val="18"/>
        </w:rPr>
        <w:t>“</w:t>
      </w:r>
      <w:r w:rsidRPr="00AB36AE">
        <w:rPr>
          <w:sz w:val="18"/>
          <w:szCs w:val="18"/>
        </w:rPr>
        <w:t>polycentrische middeleeuwen</w:t>
      </w:r>
      <w:r w:rsidR="00C02554" w:rsidRPr="00AB36AE">
        <w:rPr>
          <w:sz w:val="18"/>
          <w:szCs w:val="18"/>
        </w:rPr>
        <w:t>”,</w:t>
      </w:r>
      <w:r w:rsidRPr="00AB36AE">
        <w:rPr>
          <w:sz w:val="18"/>
          <w:szCs w:val="18"/>
        </w:rPr>
        <w:t xml:space="preserve"> zie</w:t>
      </w:r>
      <w:r w:rsidR="00C02554" w:rsidRPr="00AB36AE">
        <w:rPr>
          <w:sz w:val="18"/>
          <w:szCs w:val="18"/>
        </w:rPr>
        <w:t xml:space="preserve">: </w:t>
      </w:r>
      <w:r w:rsidRPr="00AB36AE">
        <w:rPr>
          <w:sz w:val="18"/>
          <w:szCs w:val="18"/>
        </w:rPr>
        <w:t>Napolitano</w:t>
      </w:r>
      <w:r w:rsidR="008656ED" w:rsidRPr="00AB36AE">
        <w:rPr>
          <w:sz w:val="18"/>
          <w:szCs w:val="18"/>
        </w:rPr>
        <w:t xml:space="preserve"> en</w:t>
      </w:r>
      <w:r w:rsidR="00C02554" w:rsidRPr="00AB36AE">
        <w:rPr>
          <w:sz w:val="18"/>
          <w:szCs w:val="18"/>
        </w:rPr>
        <w:t xml:space="preserve"> </w:t>
      </w:r>
      <w:r w:rsidRPr="00AB36AE">
        <w:rPr>
          <w:sz w:val="18"/>
          <w:szCs w:val="18"/>
        </w:rPr>
        <w:t xml:space="preserve">Pennington,  </w:t>
      </w:r>
      <w:r w:rsidRPr="00AB36AE">
        <w:rPr>
          <w:i/>
          <w:iCs/>
          <w:sz w:val="18"/>
          <w:szCs w:val="18"/>
        </w:rPr>
        <w:t xml:space="preserve">A Cultural History, </w:t>
      </w:r>
      <w:r w:rsidRPr="00AB36AE">
        <w:rPr>
          <w:sz w:val="18"/>
          <w:szCs w:val="18"/>
        </w:rPr>
        <w:t xml:space="preserve">11-12.  </w:t>
      </w:r>
    </w:p>
  </w:footnote>
  <w:footnote w:id="499">
    <w:p w14:paraId="2480B4A9" w14:textId="5D45206B" w:rsidR="001279EA" w:rsidRPr="00AB36AE" w:rsidRDefault="001279EA" w:rsidP="001279EA">
      <w:pPr>
        <w:pStyle w:val="FootnoteText"/>
        <w:rPr>
          <w:sz w:val="18"/>
          <w:szCs w:val="18"/>
          <w:lang w:val="en-US"/>
        </w:rPr>
      </w:pPr>
      <w:r w:rsidRPr="00AB36AE">
        <w:rPr>
          <w:rStyle w:val="FootnoteReference"/>
          <w:sz w:val="18"/>
          <w:szCs w:val="18"/>
        </w:rPr>
        <w:footnoteRef/>
      </w:r>
      <w:r w:rsidRPr="00AB36AE">
        <w:rPr>
          <w:sz w:val="18"/>
          <w:szCs w:val="18"/>
          <w:lang w:val="en-US"/>
        </w:rPr>
        <w:t xml:space="preserve"> Haemers, </w:t>
      </w:r>
      <w:r w:rsidRPr="00AB36AE">
        <w:rPr>
          <w:i/>
          <w:iCs/>
          <w:sz w:val="18"/>
          <w:szCs w:val="18"/>
          <w:lang w:val="en-US"/>
        </w:rPr>
        <w:t>For the common good</w:t>
      </w:r>
      <w:r w:rsidRPr="00AB36AE">
        <w:rPr>
          <w:sz w:val="18"/>
          <w:szCs w:val="18"/>
          <w:lang w:val="en-US"/>
        </w:rPr>
        <w:t>, 263</w:t>
      </w:r>
      <w:r w:rsidR="00C02554" w:rsidRPr="00AB36AE">
        <w:rPr>
          <w:sz w:val="18"/>
          <w:szCs w:val="18"/>
          <w:lang w:val="en-US"/>
        </w:rPr>
        <w:t>-</w:t>
      </w:r>
      <w:r w:rsidRPr="00AB36AE">
        <w:rPr>
          <w:sz w:val="18"/>
          <w:szCs w:val="18"/>
          <w:lang w:val="en-US"/>
        </w:rPr>
        <w:t xml:space="preserve">269; Bousmar, Haemers, </w:t>
      </w:r>
      <w:r w:rsidR="00C02554" w:rsidRPr="00AB36AE">
        <w:rPr>
          <w:sz w:val="18"/>
          <w:szCs w:val="18"/>
          <w:lang w:val="en-US"/>
        </w:rPr>
        <w:t>“</w:t>
      </w:r>
      <w:r w:rsidRPr="00AB36AE">
        <w:rPr>
          <w:sz w:val="18"/>
          <w:szCs w:val="18"/>
          <w:lang w:val="en-US"/>
        </w:rPr>
        <w:t>Triste Plaisir</w:t>
      </w:r>
      <w:r w:rsidR="00C02554" w:rsidRPr="00AB36AE">
        <w:rPr>
          <w:sz w:val="18"/>
          <w:szCs w:val="18"/>
          <w:lang w:val="en-US"/>
        </w:rPr>
        <w:t>”</w:t>
      </w:r>
      <w:r w:rsidRPr="00AB36AE">
        <w:rPr>
          <w:sz w:val="18"/>
          <w:szCs w:val="18"/>
          <w:lang w:val="en-US"/>
        </w:rPr>
        <w:t>, 401-402; Napolitano</w:t>
      </w:r>
      <w:r w:rsidR="008656ED" w:rsidRPr="00AB36AE">
        <w:rPr>
          <w:sz w:val="18"/>
          <w:szCs w:val="18"/>
          <w:lang w:val="en-US"/>
        </w:rPr>
        <w:t xml:space="preserve"> en </w:t>
      </w:r>
      <w:r w:rsidRPr="00AB36AE">
        <w:rPr>
          <w:sz w:val="18"/>
          <w:szCs w:val="18"/>
          <w:lang w:val="en-US"/>
        </w:rPr>
        <w:t xml:space="preserve">Pennington, </w:t>
      </w:r>
      <w:r w:rsidRPr="00AB36AE">
        <w:rPr>
          <w:i/>
          <w:iCs/>
          <w:sz w:val="18"/>
          <w:szCs w:val="18"/>
          <w:lang w:val="en-US"/>
        </w:rPr>
        <w:t xml:space="preserve">A Cultural History, </w:t>
      </w:r>
      <w:r w:rsidRPr="00AB36AE">
        <w:rPr>
          <w:sz w:val="18"/>
          <w:szCs w:val="18"/>
          <w:lang w:val="en-US"/>
        </w:rPr>
        <w:t xml:space="preserve">11-12.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CA895" w14:textId="77777777" w:rsidR="003739FD" w:rsidRDefault="003739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59BFB" w14:textId="042A87D4" w:rsidR="0019603C" w:rsidRDefault="0019603C" w:rsidP="0019603C">
    <w:pPr>
      <w:pStyle w:val="Header"/>
    </w:pPr>
  </w:p>
  <w:p w14:paraId="28C1C6A1" w14:textId="5266AE36" w:rsidR="00687EAD" w:rsidRPr="004A324F" w:rsidRDefault="00696DE1" w:rsidP="00696DE1">
    <w:pPr>
      <w:pStyle w:val="Header"/>
      <w:tabs>
        <w:tab w:val="left" w:pos="346"/>
      </w:tabs>
      <w:rPr>
        <w:rFonts w:asciiTheme="majorHAnsi" w:hAnsiTheme="majorHAnsi" w:cstheme="majorHAnsi"/>
        <w:smallCaps/>
        <w:color w:val="196B24" w:themeColor="accent3"/>
        <w:spacing w:val="20"/>
        <w:sz w:val="20"/>
        <w:szCs w:val="20"/>
      </w:rPr>
    </w:pPr>
    <w:r>
      <w:rPr>
        <w:rFonts w:asciiTheme="majorHAnsi" w:hAnsiTheme="majorHAnsi" w:cstheme="majorHAnsi"/>
        <w:smallCaps/>
        <w:color w:val="196B24" w:themeColor="accent3"/>
        <w:spacing w:val="20"/>
        <w:sz w:val="20"/>
        <w:szCs w:val="20"/>
      </w:rPr>
      <w:tab/>
    </w:r>
    <w:r>
      <w:rPr>
        <w:rFonts w:asciiTheme="majorHAnsi" w:hAnsiTheme="majorHAnsi" w:cstheme="majorHAnsi"/>
        <w:smallCaps/>
        <w:color w:val="196B24" w:themeColor="accent3"/>
        <w:spacing w:val="20"/>
        <w:sz w:val="20"/>
        <w:szCs w:val="2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3E24CD" w14:textId="77777777" w:rsidR="003739FD" w:rsidRDefault="003739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2C2A2C"/>
    <w:multiLevelType w:val="hybridMultilevel"/>
    <w:tmpl w:val="01461F14"/>
    <w:lvl w:ilvl="0" w:tplc="FFFFFFFF">
      <w:start w:val="1"/>
      <w:numFmt w:val="upperLetter"/>
      <w:lvlText w:val="%1."/>
      <w:lvlJc w:val="left"/>
      <w:pPr>
        <w:ind w:left="720" w:hanging="360"/>
      </w:pPr>
      <w:rPr>
        <w:rFonts w:ascii="Georgia" w:hAnsi="Georgia" w:cs="Calibri"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E97A58"/>
    <w:multiLevelType w:val="multilevel"/>
    <w:tmpl w:val="7F7AEC76"/>
    <w:lvl w:ilvl="0">
      <w:start w:val="1"/>
      <w:numFmt w:val="decimal"/>
      <w:lvlText w:val="%1."/>
      <w:lvlJc w:val="left"/>
      <w:pPr>
        <w:ind w:left="720" w:hanging="360"/>
      </w:pPr>
      <w:rPr>
        <w:rFonts w:hint="default"/>
      </w:rPr>
    </w:lvl>
    <w:lvl w:ilvl="1">
      <w:start w:val="1"/>
      <w:numFmt w:val="decimal"/>
      <w:isLgl/>
      <w:lvlText w:val="%1.%2"/>
      <w:lvlJc w:val="left"/>
      <w:pPr>
        <w:ind w:left="1020" w:hanging="66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F112964"/>
    <w:multiLevelType w:val="multilevel"/>
    <w:tmpl w:val="121877D4"/>
    <w:lvl w:ilvl="0">
      <w:start w:val="1"/>
      <w:numFmt w:val="decimal"/>
      <w:pStyle w:val="ThesisSection"/>
      <w:lvlText w:val="%1"/>
      <w:lvlJc w:val="left"/>
      <w:pPr>
        <w:ind w:left="1021" w:hanging="1021"/>
      </w:pPr>
      <w:rPr>
        <w:rFonts w:ascii="Cambria Math" w:hAnsi="Cambria Math" w:hint="default"/>
        <w:color w:val="000000" w:themeColor="text1"/>
        <w:sz w:val="96"/>
      </w:rPr>
    </w:lvl>
    <w:lvl w:ilvl="1">
      <w:start w:val="1"/>
      <w:numFmt w:val="decimal"/>
      <w:pStyle w:val="ThesisHeading"/>
      <w:lvlText w:val="%1.%2"/>
      <w:lvlJc w:val="left"/>
      <w:pPr>
        <w:ind w:left="1021" w:hanging="1021"/>
      </w:pPr>
      <w:rPr>
        <w:rFonts w:ascii="Cambria Math" w:hAnsi="Cambria Math" w:hint="default"/>
        <w:sz w:val="34"/>
        <w:szCs w:val="34"/>
      </w:rPr>
    </w:lvl>
    <w:lvl w:ilvl="2">
      <w:start w:val="1"/>
      <w:numFmt w:val="decimal"/>
      <w:pStyle w:val="ThesisSubheading"/>
      <w:lvlText w:val="%1.%2.%3"/>
      <w:lvlJc w:val="left"/>
      <w:pPr>
        <w:ind w:left="1531" w:hanging="1106"/>
      </w:pPr>
      <w:rPr>
        <w:rFonts w:ascii="Cambria Math" w:hAnsi="Cambria Math" w:hint="default"/>
        <w:sz w:val="28"/>
      </w:rPr>
    </w:lvl>
    <w:lvl w:ilvl="3">
      <w:start w:val="1"/>
      <w:numFmt w:val="decimal"/>
      <w:lvlText w:val="%1.%2.%3.%4"/>
      <w:lvlJc w:val="left"/>
      <w:pPr>
        <w:ind w:left="2041" w:hanging="1190"/>
      </w:pPr>
      <w:rPr>
        <w:rFonts w:asciiTheme="majorHAnsi" w:hAnsiTheme="majorHAnsi" w:hint="default"/>
        <w:sz w:val="26"/>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D902BF0"/>
    <w:multiLevelType w:val="hybridMultilevel"/>
    <w:tmpl w:val="8520AE52"/>
    <w:lvl w:ilvl="0" w:tplc="2062A43E">
      <w:start w:val="1"/>
      <w:numFmt w:val="bullet"/>
      <w:lvlText w:val="-"/>
      <w:lvlJc w:val="left"/>
      <w:pPr>
        <w:ind w:left="7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752EEA72">
      <w:start w:val="1"/>
      <w:numFmt w:val="bullet"/>
      <w:lvlText w:val="o"/>
      <w:lvlJc w:val="left"/>
      <w:pPr>
        <w:ind w:left="15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B85C3C84">
      <w:start w:val="1"/>
      <w:numFmt w:val="bullet"/>
      <w:lvlText w:val="▪"/>
      <w:lvlJc w:val="left"/>
      <w:pPr>
        <w:ind w:left="22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F0B63670">
      <w:start w:val="1"/>
      <w:numFmt w:val="bullet"/>
      <w:lvlText w:val="•"/>
      <w:lvlJc w:val="left"/>
      <w:pPr>
        <w:ind w:left="29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E21CF4EC">
      <w:start w:val="1"/>
      <w:numFmt w:val="bullet"/>
      <w:lvlText w:val="o"/>
      <w:lvlJc w:val="left"/>
      <w:pPr>
        <w:ind w:left="37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AD0051EA">
      <w:start w:val="1"/>
      <w:numFmt w:val="bullet"/>
      <w:lvlText w:val="▪"/>
      <w:lvlJc w:val="left"/>
      <w:pPr>
        <w:ind w:left="44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CF98B910">
      <w:start w:val="1"/>
      <w:numFmt w:val="bullet"/>
      <w:lvlText w:val="•"/>
      <w:lvlJc w:val="left"/>
      <w:pPr>
        <w:ind w:left="51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4C70E696">
      <w:start w:val="1"/>
      <w:numFmt w:val="bullet"/>
      <w:lvlText w:val="o"/>
      <w:lvlJc w:val="left"/>
      <w:pPr>
        <w:ind w:left="58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90BC0B46">
      <w:start w:val="1"/>
      <w:numFmt w:val="bullet"/>
      <w:lvlText w:val="▪"/>
      <w:lvlJc w:val="left"/>
      <w:pPr>
        <w:ind w:left="65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4" w15:restartNumberingAfterBreak="0">
    <w:nsid w:val="38DD2F2B"/>
    <w:multiLevelType w:val="hybridMultilevel"/>
    <w:tmpl w:val="B010F07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10F2ACF"/>
    <w:multiLevelType w:val="multilevel"/>
    <w:tmpl w:val="E1EE23FC"/>
    <w:lvl w:ilvl="0">
      <w:start w:val="2"/>
      <w:numFmt w:val="decimal"/>
      <w:lvlText w:val="%1."/>
      <w:lvlJc w:val="left"/>
      <w:pPr>
        <w:ind w:left="620" w:hanging="620"/>
      </w:pPr>
      <w:rPr>
        <w:rFonts w:ascii="Calibri" w:hAnsi="Calibri" w:cs="Calibri" w:hint="default"/>
        <w:sz w:val="22"/>
      </w:rPr>
    </w:lvl>
    <w:lvl w:ilvl="1">
      <w:start w:val="1"/>
      <w:numFmt w:val="decimal"/>
      <w:lvlText w:val="%1.%2."/>
      <w:lvlJc w:val="left"/>
      <w:pPr>
        <w:ind w:left="720" w:hanging="720"/>
      </w:pPr>
      <w:rPr>
        <w:rFonts w:ascii="Calibri" w:hAnsi="Calibri" w:cs="Calibri" w:hint="default"/>
        <w:sz w:val="22"/>
      </w:rPr>
    </w:lvl>
    <w:lvl w:ilvl="2">
      <w:start w:val="2"/>
      <w:numFmt w:val="decimal"/>
      <w:lvlText w:val="%1.%2.%3."/>
      <w:lvlJc w:val="left"/>
      <w:pPr>
        <w:ind w:left="1080" w:hanging="1080"/>
      </w:pPr>
      <w:rPr>
        <w:rFonts w:ascii="Calibri" w:hAnsi="Calibri" w:cs="Calibri" w:hint="default"/>
        <w:sz w:val="22"/>
      </w:rPr>
    </w:lvl>
    <w:lvl w:ilvl="3">
      <w:start w:val="1"/>
      <w:numFmt w:val="decimal"/>
      <w:lvlText w:val="%1.%2.%3.%4."/>
      <w:lvlJc w:val="left"/>
      <w:pPr>
        <w:ind w:left="1440" w:hanging="1440"/>
      </w:pPr>
      <w:rPr>
        <w:rFonts w:ascii="Calibri" w:hAnsi="Calibri" w:cs="Calibri" w:hint="default"/>
        <w:sz w:val="22"/>
      </w:rPr>
    </w:lvl>
    <w:lvl w:ilvl="4">
      <w:start w:val="1"/>
      <w:numFmt w:val="decimal"/>
      <w:lvlText w:val="%1.%2.%3.%4.%5."/>
      <w:lvlJc w:val="left"/>
      <w:pPr>
        <w:ind w:left="1440" w:hanging="1440"/>
      </w:pPr>
      <w:rPr>
        <w:rFonts w:ascii="Calibri" w:hAnsi="Calibri" w:cs="Calibri" w:hint="default"/>
        <w:sz w:val="22"/>
      </w:rPr>
    </w:lvl>
    <w:lvl w:ilvl="5">
      <w:start w:val="1"/>
      <w:numFmt w:val="decimal"/>
      <w:lvlText w:val="%1.%2.%3.%4.%5.%6."/>
      <w:lvlJc w:val="left"/>
      <w:pPr>
        <w:ind w:left="1800" w:hanging="1800"/>
      </w:pPr>
      <w:rPr>
        <w:rFonts w:ascii="Calibri" w:hAnsi="Calibri" w:cs="Calibri" w:hint="default"/>
        <w:sz w:val="22"/>
      </w:rPr>
    </w:lvl>
    <w:lvl w:ilvl="6">
      <w:start w:val="1"/>
      <w:numFmt w:val="decimal"/>
      <w:lvlText w:val="%1.%2.%3.%4.%5.%6.%7."/>
      <w:lvlJc w:val="left"/>
      <w:pPr>
        <w:ind w:left="2160" w:hanging="2160"/>
      </w:pPr>
      <w:rPr>
        <w:rFonts w:ascii="Calibri" w:hAnsi="Calibri" w:cs="Calibri" w:hint="default"/>
        <w:sz w:val="22"/>
      </w:rPr>
    </w:lvl>
    <w:lvl w:ilvl="7">
      <w:start w:val="1"/>
      <w:numFmt w:val="decimal"/>
      <w:lvlText w:val="%1.%2.%3.%4.%5.%6.%7.%8."/>
      <w:lvlJc w:val="left"/>
      <w:pPr>
        <w:ind w:left="2520" w:hanging="2520"/>
      </w:pPr>
      <w:rPr>
        <w:rFonts w:ascii="Calibri" w:hAnsi="Calibri" w:cs="Calibri" w:hint="default"/>
        <w:sz w:val="22"/>
      </w:rPr>
    </w:lvl>
    <w:lvl w:ilvl="8">
      <w:start w:val="1"/>
      <w:numFmt w:val="decimal"/>
      <w:lvlText w:val="%1.%2.%3.%4.%5.%6.%7.%8.%9."/>
      <w:lvlJc w:val="left"/>
      <w:pPr>
        <w:ind w:left="2520" w:hanging="2520"/>
      </w:pPr>
      <w:rPr>
        <w:rFonts w:ascii="Calibri" w:hAnsi="Calibri" w:cs="Calibri" w:hint="default"/>
        <w:sz w:val="22"/>
      </w:rPr>
    </w:lvl>
  </w:abstractNum>
  <w:abstractNum w:abstractNumId="6" w15:restartNumberingAfterBreak="0">
    <w:nsid w:val="46613A95"/>
    <w:multiLevelType w:val="hybridMultilevel"/>
    <w:tmpl w:val="01461F14"/>
    <w:lvl w:ilvl="0" w:tplc="EACE8CB2">
      <w:start w:val="1"/>
      <w:numFmt w:val="upperLetter"/>
      <w:lvlText w:val="%1."/>
      <w:lvlJc w:val="left"/>
      <w:pPr>
        <w:ind w:left="720" w:hanging="360"/>
      </w:pPr>
      <w:rPr>
        <w:rFonts w:ascii="Georgia" w:hAnsi="Georgia" w:cs="Calibri"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80D63B6"/>
    <w:multiLevelType w:val="hybridMultilevel"/>
    <w:tmpl w:val="73621226"/>
    <w:lvl w:ilvl="0" w:tplc="DEFAD1BA">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7111E7"/>
    <w:multiLevelType w:val="hybridMultilevel"/>
    <w:tmpl w:val="F6EA173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1EC58F4"/>
    <w:multiLevelType w:val="hybridMultilevel"/>
    <w:tmpl w:val="C382F662"/>
    <w:lvl w:ilvl="0" w:tplc="D556FFE0">
      <w:start w:val="1"/>
      <w:numFmt w:val="bullet"/>
      <w:lvlText w:val="-"/>
      <w:lvlJc w:val="left"/>
      <w:pPr>
        <w:ind w:left="7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DA28D126">
      <w:start w:val="1"/>
      <w:numFmt w:val="bullet"/>
      <w:lvlText w:val="o"/>
      <w:lvlJc w:val="left"/>
      <w:pPr>
        <w:ind w:left="15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5A54C302">
      <w:start w:val="1"/>
      <w:numFmt w:val="bullet"/>
      <w:lvlText w:val="▪"/>
      <w:lvlJc w:val="left"/>
      <w:pPr>
        <w:ind w:left="22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CEEA7C4E">
      <w:start w:val="1"/>
      <w:numFmt w:val="bullet"/>
      <w:lvlText w:val="•"/>
      <w:lvlJc w:val="left"/>
      <w:pPr>
        <w:ind w:left="29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2A683264">
      <w:start w:val="1"/>
      <w:numFmt w:val="bullet"/>
      <w:lvlText w:val="o"/>
      <w:lvlJc w:val="left"/>
      <w:pPr>
        <w:ind w:left="37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7076CB84">
      <w:start w:val="1"/>
      <w:numFmt w:val="bullet"/>
      <w:lvlText w:val="▪"/>
      <w:lvlJc w:val="left"/>
      <w:pPr>
        <w:ind w:left="44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17DEFF9A">
      <w:start w:val="1"/>
      <w:numFmt w:val="bullet"/>
      <w:lvlText w:val="•"/>
      <w:lvlJc w:val="left"/>
      <w:pPr>
        <w:ind w:left="51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6F98A818">
      <w:start w:val="1"/>
      <w:numFmt w:val="bullet"/>
      <w:lvlText w:val="o"/>
      <w:lvlJc w:val="left"/>
      <w:pPr>
        <w:ind w:left="58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2410DB78">
      <w:start w:val="1"/>
      <w:numFmt w:val="bullet"/>
      <w:lvlText w:val="▪"/>
      <w:lvlJc w:val="left"/>
      <w:pPr>
        <w:ind w:left="65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0" w15:restartNumberingAfterBreak="0">
    <w:nsid w:val="6B6B2A93"/>
    <w:multiLevelType w:val="hybridMultilevel"/>
    <w:tmpl w:val="BF3C110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CE13343"/>
    <w:multiLevelType w:val="hybridMultilevel"/>
    <w:tmpl w:val="B5561B90"/>
    <w:lvl w:ilvl="0" w:tplc="C20246EA">
      <w:start w:val="1"/>
      <w:numFmt w:val="bullet"/>
      <w:lvlText w:val="-"/>
      <w:lvlJc w:val="left"/>
      <w:pPr>
        <w:ind w:left="7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E8DA9950">
      <w:start w:val="1"/>
      <w:numFmt w:val="bullet"/>
      <w:lvlText w:val="o"/>
      <w:lvlJc w:val="left"/>
      <w:pPr>
        <w:ind w:left="15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41108196">
      <w:start w:val="1"/>
      <w:numFmt w:val="bullet"/>
      <w:lvlText w:val="▪"/>
      <w:lvlJc w:val="left"/>
      <w:pPr>
        <w:ind w:left="22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C35408EE">
      <w:start w:val="1"/>
      <w:numFmt w:val="bullet"/>
      <w:lvlText w:val="•"/>
      <w:lvlJc w:val="left"/>
      <w:pPr>
        <w:ind w:left="29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D6FADAA2">
      <w:start w:val="1"/>
      <w:numFmt w:val="bullet"/>
      <w:lvlText w:val="o"/>
      <w:lvlJc w:val="left"/>
      <w:pPr>
        <w:ind w:left="37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2CA63162">
      <w:start w:val="1"/>
      <w:numFmt w:val="bullet"/>
      <w:lvlText w:val="▪"/>
      <w:lvlJc w:val="left"/>
      <w:pPr>
        <w:ind w:left="44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606EF6A">
      <w:start w:val="1"/>
      <w:numFmt w:val="bullet"/>
      <w:lvlText w:val="•"/>
      <w:lvlJc w:val="left"/>
      <w:pPr>
        <w:ind w:left="51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6E1ED774">
      <w:start w:val="1"/>
      <w:numFmt w:val="bullet"/>
      <w:lvlText w:val="o"/>
      <w:lvlJc w:val="left"/>
      <w:pPr>
        <w:ind w:left="58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08807560">
      <w:start w:val="1"/>
      <w:numFmt w:val="bullet"/>
      <w:lvlText w:val="▪"/>
      <w:lvlJc w:val="left"/>
      <w:pPr>
        <w:ind w:left="65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2" w15:restartNumberingAfterBreak="0">
    <w:nsid w:val="708611BE"/>
    <w:multiLevelType w:val="hybridMultilevel"/>
    <w:tmpl w:val="D202245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9C57BA"/>
    <w:multiLevelType w:val="hybridMultilevel"/>
    <w:tmpl w:val="9FF61B88"/>
    <w:lvl w:ilvl="0" w:tplc="88328A12">
      <w:start w:val="1"/>
      <w:numFmt w:val="bullet"/>
      <w:lvlText w:val="-"/>
      <w:lvlJc w:val="left"/>
      <w:pPr>
        <w:ind w:left="7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62EEBEA6">
      <w:start w:val="1"/>
      <w:numFmt w:val="bullet"/>
      <w:lvlText w:val="o"/>
      <w:lvlJc w:val="left"/>
      <w:pPr>
        <w:ind w:left="15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5E3CA360">
      <w:start w:val="1"/>
      <w:numFmt w:val="bullet"/>
      <w:lvlText w:val="▪"/>
      <w:lvlJc w:val="left"/>
      <w:pPr>
        <w:ind w:left="22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077809AE">
      <w:start w:val="1"/>
      <w:numFmt w:val="bullet"/>
      <w:lvlText w:val="•"/>
      <w:lvlJc w:val="left"/>
      <w:pPr>
        <w:ind w:left="29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D24C56D4">
      <w:start w:val="1"/>
      <w:numFmt w:val="bullet"/>
      <w:lvlText w:val="o"/>
      <w:lvlJc w:val="left"/>
      <w:pPr>
        <w:ind w:left="37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7F148828">
      <w:start w:val="1"/>
      <w:numFmt w:val="bullet"/>
      <w:lvlText w:val="▪"/>
      <w:lvlJc w:val="left"/>
      <w:pPr>
        <w:ind w:left="44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0FAE07FC">
      <w:start w:val="1"/>
      <w:numFmt w:val="bullet"/>
      <w:lvlText w:val="•"/>
      <w:lvlJc w:val="left"/>
      <w:pPr>
        <w:ind w:left="51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C9F44D3E">
      <w:start w:val="1"/>
      <w:numFmt w:val="bullet"/>
      <w:lvlText w:val="o"/>
      <w:lvlJc w:val="left"/>
      <w:pPr>
        <w:ind w:left="58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D17AB17A">
      <w:start w:val="1"/>
      <w:numFmt w:val="bullet"/>
      <w:lvlText w:val="▪"/>
      <w:lvlJc w:val="left"/>
      <w:pPr>
        <w:ind w:left="65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4" w15:restartNumberingAfterBreak="0">
    <w:nsid w:val="76990BC8"/>
    <w:multiLevelType w:val="hybridMultilevel"/>
    <w:tmpl w:val="01461F14"/>
    <w:lvl w:ilvl="0" w:tplc="FFFFFFFF">
      <w:start w:val="1"/>
      <w:numFmt w:val="upperLetter"/>
      <w:lvlText w:val="%1."/>
      <w:lvlJc w:val="left"/>
      <w:pPr>
        <w:ind w:left="720" w:hanging="360"/>
      </w:pPr>
      <w:rPr>
        <w:rFonts w:ascii="Georgia" w:hAnsi="Georgia" w:cs="Calibri" w:hint="default"/>
        <w: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DD76269"/>
    <w:multiLevelType w:val="hybridMultilevel"/>
    <w:tmpl w:val="9C84DB0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E2E7797"/>
    <w:multiLevelType w:val="multilevel"/>
    <w:tmpl w:val="DB167278"/>
    <w:lvl w:ilvl="0">
      <w:numFmt w:val="decimal"/>
      <w:lvlText w:val="%1."/>
      <w:lvlJc w:val="left"/>
      <w:pPr>
        <w:ind w:left="720" w:hanging="360"/>
      </w:pPr>
      <w:rPr>
        <w:rFonts w:hint="default"/>
      </w:rPr>
    </w:lvl>
    <w:lvl w:ilvl="1">
      <w:start w:val="1"/>
      <w:numFmt w:val="decimal"/>
      <w:isLgl/>
      <w:lvlText w:val="%1.%2."/>
      <w:lvlJc w:val="left"/>
      <w:pPr>
        <w:ind w:left="1080" w:hanging="720"/>
      </w:pPr>
      <w:rPr>
        <w:rFonts w:asciiTheme="majorHAnsi" w:hAnsiTheme="majorHAnsi" w:hint="default"/>
      </w:rPr>
    </w:lvl>
    <w:lvl w:ilvl="2">
      <w:start w:val="1"/>
      <w:numFmt w:val="decimal"/>
      <w:isLgl/>
      <w:lvlText w:val="%1.%2.%3."/>
      <w:lvlJc w:val="left"/>
      <w:pPr>
        <w:ind w:left="1440" w:hanging="1080"/>
      </w:pPr>
      <w:rPr>
        <w:rFonts w:asciiTheme="majorHAnsi" w:hAnsiTheme="majorHAnsi" w:hint="default"/>
      </w:rPr>
    </w:lvl>
    <w:lvl w:ilvl="3">
      <w:start w:val="1"/>
      <w:numFmt w:val="decimal"/>
      <w:isLgl/>
      <w:lvlText w:val="%1.%2.%3.%4."/>
      <w:lvlJc w:val="left"/>
      <w:pPr>
        <w:ind w:left="1440" w:hanging="1080"/>
      </w:pPr>
      <w:rPr>
        <w:rFonts w:asciiTheme="majorHAnsi" w:hAnsiTheme="majorHAnsi" w:hint="default"/>
      </w:rPr>
    </w:lvl>
    <w:lvl w:ilvl="4">
      <w:start w:val="1"/>
      <w:numFmt w:val="decimal"/>
      <w:isLgl/>
      <w:lvlText w:val="%1.%2.%3.%4.%5."/>
      <w:lvlJc w:val="left"/>
      <w:pPr>
        <w:ind w:left="1800" w:hanging="1440"/>
      </w:pPr>
      <w:rPr>
        <w:rFonts w:asciiTheme="majorHAnsi" w:hAnsiTheme="majorHAnsi" w:hint="default"/>
      </w:rPr>
    </w:lvl>
    <w:lvl w:ilvl="5">
      <w:start w:val="1"/>
      <w:numFmt w:val="decimal"/>
      <w:isLgl/>
      <w:lvlText w:val="%1.%2.%3.%4.%5.%6."/>
      <w:lvlJc w:val="left"/>
      <w:pPr>
        <w:ind w:left="2160" w:hanging="1800"/>
      </w:pPr>
      <w:rPr>
        <w:rFonts w:asciiTheme="majorHAnsi" w:hAnsiTheme="majorHAnsi" w:hint="default"/>
      </w:rPr>
    </w:lvl>
    <w:lvl w:ilvl="6">
      <w:start w:val="1"/>
      <w:numFmt w:val="decimal"/>
      <w:isLgl/>
      <w:lvlText w:val="%1.%2.%3.%4.%5.%6.%7."/>
      <w:lvlJc w:val="left"/>
      <w:pPr>
        <w:ind w:left="2520" w:hanging="2160"/>
      </w:pPr>
      <w:rPr>
        <w:rFonts w:asciiTheme="majorHAnsi" w:hAnsiTheme="majorHAnsi" w:hint="default"/>
      </w:rPr>
    </w:lvl>
    <w:lvl w:ilvl="7">
      <w:start w:val="1"/>
      <w:numFmt w:val="decimal"/>
      <w:isLgl/>
      <w:lvlText w:val="%1.%2.%3.%4.%5.%6.%7.%8."/>
      <w:lvlJc w:val="left"/>
      <w:pPr>
        <w:ind w:left="2520" w:hanging="2160"/>
      </w:pPr>
      <w:rPr>
        <w:rFonts w:asciiTheme="majorHAnsi" w:hAnsiTheme="majorHAnsi" w:hint="default"/>
      </w:rPr>
    </w:lvl>
    <w:lvl w:ilvl="8">
      <w:start w:val="1"/>
      <w:numFmt w:val="decimal"/>
      <w:isLgl/>
      <w:lvlText w:val="%1.%2.%3.%4.%5.%6.%7.%8.%9."/>
      <w:lvlJc w:val="left"/>
      <w:pPr>
        <w:ind w:left="2880" w:hanging="2520"/>
      </w:pPr>
      <w:rPr>
        <w:rFonts w:asciiTheme="majorHAnsi" w:hAnsiTheme="majorHAnsi" w:hint="default"/>
      </w:rPr>
    </w:lvl>
  </w:abstractNum>
  <w:num w:numId="1" w16cid:durableId="2098554411">
    <w:abstractNumId w:val="2"/>
  </w:num>
  <w:num w:numId="2" w16cid:durableId="2607703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699216">
    <w:abstractNumId w:val="5"/>
  </w:num>
  <w:num w:numId="4" w16cid:durableId="20008813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11266138">
    <w:abstractNumId w:val="1"/>
  </w:num>
  <w:num w:numId="6" w16cid:durableId="381098531">
    <w:abstractNumId w:val="4"/>
  </w:num>
  <w:num w:numId="7" w16cid:durableId="1294100352">
    <w:abstractNumId w:val="10"/>
  </w:num>
  <w:num w:numId="8" w16cid:durableId="64686013">
    <w:abstractNumId w:val="8"/>
  </w:num>
  <w:num w:numId="9" w16cid:durableId="102189520">
    <w:abstractNumId w:val="7"/>
  </w:num>
  <w:num w:numId="10" w16cid:durableId="252397031">
    <w:abstractNumId w:val="16"/>
  </w:num>
  <w:num w:numId="11" w16cid:durableId="1365206398">
    <w:abstractNumId w:val="15"/>
  </w:num>
  <w:num w:numId="12" w16cid:durableId="767196680">
    <w:abstractNumId w:val="12"/>
  </w:num>
  <w:num w:numId="13" w16cid:durableId="1278609081">
    <w:abstractNumId w:val="9"/>
  </w:num>
  <w:num w:numId="14" w16cid:durableId="413402675">
    <w:abstractNumId w:val="13"/>
  </w:num>
  <w:num w:numId="15" w16cid:durableId="1911957699">
    <w:abstractNumId w:val="11"/>
  </w:num>
  <w:num w:numId="16" w16cid:durableId="89785163">
    <w:abstractNumId w:val="3"/>
  </w:num>
  <w:num w:numId="17" w16cid:durableId="1314263427">
    <w:abstractNumId w:val="6"/>
  </w:num>
  <w:num w:numId="18" w16cid:durableId="994188897">
    <w:abstractNumId w:val="14"/>
  </w:num>
  <w:num w:numId="19" w16cid:durableId="487093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CA8"/>
    <w:rsid w:val="00001FCD"/>
    <w:rsid w:val="00002B98"/>
    <w:rsid w:val="0000403E"/>
    <w:rsid w:val="0000476F"/>
    <w:rsid w:val="00004897"/>
    <w:rsid w:val="00005F36"/>
    <w:rsid w:val="000062A3"/>
    <w:rsid w:val="00010781"/>
    <w:rsid w:val="00011030"/>
    <w:rsid w:val="00012AA1"/>
    <w:rsid w:val="000136C8"/>
    <w:rsid w:val="000140F2"/>
    <w:rsid w:val="00014414"/>
    <w:rsid w:val="00014F83"/>
    <w:rsid w:val="00016186"/>
    <w:rsid w:val="0001759F"/>
    <w:rsid w:val="000203C8"/>
    <w:rsid w:val="0002134B"/>
    <w:rsid w:val="00021A06"/>
    <w:rsid w:val="00021E28"/>
    <w:rsid w:val="00022BE3"/>
    <w:rsid w:val="00023ABE"/>
    <w:rsid w:val="000242C5"/>
    <w:rsid w:val="00025319"/>
    <w:rsid w:val="00025E5D"/>
    <w:rsid w:val="00026DAF"/>
    <w:rsid w:val="00026FCF"/>
    <w:rsid w:val="0003010E"/>
    <w:rsid w:val="000325F3"/>
    <w:rsid w:val="00032F0C"/>
    <w:rsid w:val="00033B1B"/>
    <w:rsid w:val="00034A17"/>
    <w:rsid w:val="00034FA0"/>
    <w:rsid w:val="00035E65"/>
    <w:rsid w:val="000367B7"/>
    <w:rsid w:val="0004012A"/>
    <w:rsid w:val="00042B49"/>
    <w:rsid w:val="0004413F"/>
    <w:rsid w:val="00045F3C"/>
    <w:rsid w:val="00046627"/>
    <w:rsid w:val="0004712C"/>
    <w:rsid w:val="000474DE"/>
    <w:rsid w:val="000514B0"/>
    <w:rsid w:val="00052B31"/>
    <w:rsid w:val="00053698"/>
    <w:rsid w:val="00054014"/>
    <w:rsid w:val="000615EA"/>
    <w:rsid w:val="000615F8"/>
    <w:rsid w:val="00062C9C"/>
    <w:rsid w:val="00062FD8"/>
    <w:rsid w:val="00064EA9"/>
    <w:rsid w:val="00066210"/>
    <w:rsid w:val="00066382"/>
    <w:rsid w:val="0007010C"/>
    <w:rsid w:val="00071C51"/>
    <w:rsid w:val="00073037"/>
    <w:rsid w:val="00074D65"/>
    <w:rsid w:val="00075E95"/>
    <w:rsid w:val="000766C4"/>
    <w:rsid w:val="00082048"/>
    <w:rsid w:val="0008316D"/>
    <w:rsid w:val="000850C3"/>
    <w:rsid w:val="0008677B"/>
    <w:rsid w:val="000873D5"/>
    <w:rsid w:val="0009115D"/>
    <w:rsid w:val="000915A4"/>
    <w:rsid w:val="00092199"/>
    <w:rsid w:val="00093F1E"/>
    <w:rsid w:val="0009484F"/>
    <w:rsid w:val="00095596"/>
    <w:rsid w:val="0009651B"/>
    <w:rsid w:val="000966D1"/>
    <w:rsid w:val="00096D6B"/>
    <w:rsid w:val="00097CC6"/>
    <w:rsid w:val="000A01CD"/>
    <w:rsid w:val="000A0491"/>
    <w:rsid w:val="000A0964"/>
    <w:rsid w:val="000A10C9"/>
    <w:rsid w:val="000A2A96"/>
    <w:rsid w:val="000A4326"/>
    <w:rsid w:val="000A521D"/>
    <w:rsid w:val="000A55E3"/>
    <w:rsid w:val="000A668A"/>
    <w:rsid w:val="000B00FE"/>
    <w:rsid w:val="000B162D"/>
    <w:rsid w:val="000B52FA"/>
    <w:rsid w:val="000B6104"/>
    <w:rsid w:val="000B6A9C"/>
    <w:rsid w:val="000C1187"/>
    <w:rsid w:val="000C11C3"/>
    <w:rsid w:val="000C2ACF"/>
    <w:rsid w:val="000C56D2"/>
    <w:rsid w:val="000C57EE"/>
    <w:rsid w:val="000C583C"/>
    <w:rsid w:val="000C5AE4"/>
    <w:rsid w:val="000C749B"/>
    <w:rsid w:val="000C7708"/>
    <w:rsid w:val="000C7FE5"/>
    <w:rsid w:val="000D09F2"/>
    <w:rsid w:val="000D495E"/>
    <w:rsid w:val="000D6B40"/>
    <w:rsid w:val="000D6C52"/>
    <w:rsid w:val="000D6E89"/>
    <w:rsid w:val="000D7210"/>
    <w:rsid w:val="000D7959"/>
    <w:rsid w:val="000D7B38"/>
    <w:rsid w:val="000D7EB6"/>
    <w:rsid w:val="000E0511"/>
    <w:rsid w:val="000E0A02"/>
    <w:rsid w:val="000E0CC1"/>
    <w:rsid w:val="000E2DCD"/>
    <w:rsid w:val="000E69EB"/>
    <w:rsid w:val="000F0D11"/>
    <w:rsid w:val="000F1B6B"/>
    <w:rsid w:val="000F23DE"/>
    <w:rsid w:val="000F23E3"/>
    <w:rsid w:val="000F2E12"/>
    <w:rsid w:val="000F346C"/>
    <w:rsid w:val="000F4A8D"/>
    <w:rsid w:val="0010050F"/>
    <w:rsid w:val="00101B21"/>
    <w:rsid w:val="00104184"/>
    <w:rsid w:val="0010421F"/>
    <w:rsid w:val="00104524"/>
    <w:rsid w:val="00104D6B"/>
    <w:rsid w:val="00105E89"/>
    <w:rsid w:val="001063BA"/>
    <w:rsid w:val="00107367"/>
    <w:rsid w:val="00110653"/>
    <w:rsid w:val="00110DE9"/>
    <w:rsid w:val="001123E6"/>
    <w:rsid w:val="0011265C"/>
    <w:rsid w:val="00112859"/>
    <w:rsid w:val="0011409B"/>
    <w:rsid w:val="00115094"/>
    <w:rsid w:val="00115604"/>
    <w:rsid w:val="001160C6"/>
    <w:rsid w:val="00116935"/>
    <w:rsid w:val="00121152"/>
    <w:rsid w:val="001237C2"/>
    <w:rsid w:val="00124909"/>
    <w:rsid w:val="00126506"/>
    <w:rsid w:val="001278A7"/>
    <w:rsid w:val="001279EA"/>
    <w:rsid w:val="00130195"/>
    <w:rsid w:val="00132C0E"/>
    <w:rsid w:val="001335DD"/>
    <w:rsid w:val="00134061"/>
    <w:rsid w:val="00134DE3"/>
    <w:rsid w:val="00135538"/>
    <w:rsid w:val="00137CB4"/>
    <w:rsid w:val="0014013D"/>
    <w:rsid w:val="00140E3A"/>
    <w:rsid w:val="001412DB"/>
    <w:rsid w:val="001426E4"/>
    <w:rsid w:val="00143038"/>
    <w:rsid w:val="0014371B"/>
    <w:rsid w:val="00144C3B"/>
    <w:rsid w:val="00145ADF"/>
    <w:rsid w:val="00146599"/>
    <w:rsid w:val="00146E3C"/>
    <w:rsid w:val="00151ABF"/>
    <w:rsid w:val="00152BD9"/>
    <w:rsid w:val="00157381"/>
    <w:rsid w:val="001607AA"/>
    <w:rsid w:val="001607AB"/>
    <w:rsid w:val="00161020"/>
    <w:rsid w:val="00161ED8"/>
    <w:rsid w:val="00162894"/>
    <w:rsid w:val="00162B2B"/>
    <w:rsid w:val="00163D2F"/>
    <w:rsid w:val="00164331"/>
    <w:rsid w:val="00164B62"/>
    <w:rsid w:val="001659EC"/>
    <w:rsid w:val="001665A5"/>
    <w:rsid w:val="00167499"/>
    <w:rsid w:val="001702A7"/>
    <w:rsid w:val="00170984"/>
    <w:rsid w:val="0017117F"/>
    <w:rsid w:val="001726C2"/>
    <w:rsid w:val="00173913"/>
    <w:rsid w:val="00174ABF"/>
    <w:rsid w:val="00175CBB"/>
    <w:rsid w:val="00176210"/>
    <w:rsid w:val="0017660F"/>
    <w:rsid w:val="00176838"/>
    <w:rsid w:val="00181316"/>
    <w:rsid w:val="001825CD"/>
    <w:rsid w:val="00183342"/>
    <w:rsid w:val="00183734"/>
    <w:rsid w:val="001850C5"/>
    <w:rsid w:val="00185412"/>
    <w:rsid w:val="00186D09"/>
    <w:rsid w:val="00192268"/>
    <w:rsid w:val="001924F5"/>
    <w:rsid w:val="001948C8"/>
    <w:rsid w:val="001954F1"/>
    <w:rsid w:val="0019603C"/>
    <w:rsid w:val="001A1E26"/>
    <w:rsid w:val="001A272F"/>
    <w:rsid w:val="001A2A60"/>
    <w:rsid w:val="001A3EA0"/>
    <w:rsid w:val="001B0799"/>
    <w:rsid w:val="001B1307"/>
    <w:rsid w:val="001B1736"/>
    <w:rsid w:val="001B1DC7"/>
    <w:rsid w:val="001B4157"/>
    <w:rsid w:val="001B4E03"/>
    <w:rsid w:val="001B5CFD"/>
    <w:rsid w:val="001B7682"/>
    <w:rsid w:val="001C05AD"/>
    <w:rsid w:val="001C094C"/>
    <w:rsid w:val="001C140B"/>
    <w:rsid w:val="001C1BBC"/>
    <w:rsid w:val="001C2AD5"/>
    <w:rsid w:val="001C323F"/>
    <w:rsid w:val="001C4195"/>
    <w:rsid w:val="001C675E"/>
    <w:rsid w:val="001C69E9"/>
    <w:rsid w:val="001C6E58"/>
    <w:rsid w:val="001D1801"/>
    <w:rsid w:val="001D41CC"/>
    <w:rsid w:val="001D4CBE"/>
    <w:rsid w:val="001D4F57"/>
    <w:rsid w:val="001D5FC9"/>
    <w:rsid w:val="001D63CD"/>
    <w:rsid w:val="001D6C61"/>
    <w:rsid w:val="001E08FF"/>
    <w:rsid w:val="001E10FD"/>
    <w:rsid w:val="001E174C"/>
    <w:rsid w:val="001E1FEB"/>
    <w:rsid w:val="001E22FF"/>
    <w:rsid w:val="001E2F15"/>
    <w:rsid w:val="001E3DA7"/>
    <w:rsid w:val="001E52D2"/>
    <w:rsid w:val="001E7D69"/>
    <w:rsid w:val="001E7ED2"/>
    <w:rsid w:val="001F0A3C"/>
    <w:rsid w:val="001F2040"/>
    <w:rsid w:val="001F2B2B"/>
    <w:rsid w:val="001F2BBA"/>
    <w:rsid w:val="001F42C7"/>
    <w:rsid w:val="001F552B"/>
    <w:rsid w:val="002006E1"/>
    <w:rsid w:val="002017F3"/>
    <w:rsid w:val="00202C4D"/>
    <w:rsid w:val="00203E10"/>
    <w:rsid w:val="002045A1"/>
    <w:rsid w:val="00206B28"/>
    <w:rsid w:val="002070DC"/>
    <w:rsid w:val="0020747D"/>
    <w:rsid w:val="002106D9"/>
    <w:rsid w:val="0021157C"/>
    <w:rsid w:val="00211EC6"/>
    <w:rsid w:val="002155A3"/>
    <w:rsid w:val="0021589F"/>
    <w:rsid w:val="00215CF1"/>
    <w:rsid w:val="00216C6F"/>
    <w:rsid w:val="002202F1"/>
    <w:rsid w:val="00220906"/>
    <w:rsid w:val="00220B14"/>
    <w:rsid w:val="0022103F"/>
    <w:rsid w:val="0022358E"/>
    <w:rsid w:val="00223724"/>
    <w:rsid w:val="00225010"/>
    <w:rsid w:val="00225206"/>
    <w:rsid w:val="002312F0"/>
    <w:rsid w:val="0023412B"/>
    <w:rsid w:val="00234745"/>
    <w:rsid w:val="00234D76"/>
    <w:rsid w:val="00234FCF"/>
    <w:rsid w:val="00235A2D"/>
    <w:rsid w:val="00236D9F"/>
    <w:rsid w:val="0023799C"/>
    <w:rsid w:val="00241CEE"/>
    <w:rsid w:val="00242052"/>
    <w:rsid w:val="002424B2"/>
    <w:rsid w:val="00242E6C"/>
    <w:rsid w:val="002441EE"/>
    <w:rsid w:val="00244559"/>
    <w:rsid w:val="00244AD7"/>
    <w:rsid w:val="00247FA4"/>
    <w:rsid w:val="00253DF5"/>
    <w:rsid w:val="00257345"/>
    <w:rsid w:val="00257799"/>
    <w:rsid w:val="00260BBB"/>
    <w:rsid w:val="0026374E"/>
    <w:rsid w:val="002668AD"/>
    <w:rsid w:val="00267E9B"/>
    <w:rsid w:val="002711A3"/>
    <w:rsid w:val="0027146D"/>
    <w:rsid w:val="00273402"/>
    <w:rsid w:val="002742FE"/>
    <w:rsid w:val="00274E40"/>
    <w:rsid w:val="002776D5"/>
    <w:rsid w:val="00277709"/>
    <w:rsid w:val="0027774F"/>
    <w:rsid w:val="002817D6"/>
    <w:rsid w:val="002817F1"/>
    <w:rsid w:val="00284471"/>
    <w:rsid w:val="002846D3"/>
    <w:rsid w:val="002850CF"/>
    <w:rsid w:val="0028557E"/>
    <w:rsid w:val="0028591C"/>
    <w:rsid w:val="00286C84"/>
    <w:rsid w:val="0028739B"/>
    <w:rsid w:val="0028774E"/>
    <w:rsid w:val="0029025F"/>
    <w:rsid w:val="00290906"/>
    <w:rsid w:val="00290997"/>
    <w:rsid w:val="00290FF0"/>
    <w:rsid w:val="002918FB"/>
    <w:rsid w:val="00292A68"/>
    <w:rsid w:val="00294B8D"/>
    <w:rsid w:val="00296420"/>
    <w:rsid w:val="002A0187"/>
    <w:rsid w:val="002A302E"/>
    <w:rsid w:val="002A51D9"/>
    <w:rsid w:val="002A5338"/>
    <w:rsid w:val="002A560B"/>
    <w:rsid w:val="002A5C26"/>
    <w:rsid w:val="002A665E"/>
    <w:rsid w:val="002B0128"/>
    <w:rsid w:val="002B289E"/>
    <w:rsid w:val="002B3405"/>
    <w:rsid w:val="002B504F"/>
    <w:rsid w:val="002C1538"/>
    <w:rsid w:val="002C19AF"/>
    <w:rsid w:val="002C29F9"/>
    <w:rsid w:val="002C2E5D"/>
    <w:rsid w:val="002C3727"/>
    <w:rsid w:val="002C3865"/>
    <w:rsid w:val="002C4065"/>
    <w:rsid w:val="002C410B"/>
    <w:rsid w:val="002C45B3"/>
    <w:rsid w:val="002C48F1"/>
    <w:rsid w:val="002C5443"/>
    <w:rsid w:val="002C6E82"/>
    <w:rsid w:val="002C7AA1"/>
    <w:rsid w:val="002D0E8A"/>
    <w:rsid w:val="002D14C1"/>
    <w:rsid w:val="002D2056"/>
    <w:rsid w:val="002D2B95"/>
    <w:rsid w:val="002D30B4"/>
    <w:rsid w:val="002D31F6"/>
    <w:rsid w:val="002D44ED"/>
    <w:rsid w:val="002D51EA"/>
    <w:rsid w:val="002D608A"/>
    <w:rsid w:val="002D7E7C"/>
    <w:rsid w:val="002E16DD"/>
    <w:rsid w:val="002E4E6D"/>
    <w:rsid w:val="002E5E7C"/>
    <w:rsid w:val="002F0722"/>
    <w:rsid w:val="002F2BB0"/>
    <w:rsid w:val="002F3F00"/>
    <w:rsid w:val="002F634B"/>
    <w:rsid w:val="002F698A"/>
    <w:rsid w:val="002F6A56"/>
    <w:rsid w:val="00300720"/>
    <w:rsid w:val="00302676"/>
    <w:rsid w:val="003028DB"/>
    <w:rsid w:val="00305C83"/>
    <w:rsid w:val="00307907"/>
    <w:rsid w:val="003108A0"/>
    <w:rsid w:val="00315870"/>
    <w:rsid w:val="0032268B"/>
    <w:rsid w:val="00323822"/>
    <w:rsid w:val="0032494D"/>
    <w:rsid w:val="00326453"/>
    <w:rsid w:val="00327905"/>
    <w:rsid w:val="00330801"/>
    <w:rsid w:val="0033161A"/>
    <w:rsid w:val="00331D89"/>
    <w:rsid w:val="0033284E"/>
    <w:rsid w:val="00334326"/>
    <w:rsid w:val="003347B7"/>
    <w:rsid w:val="00334801"/>
    <w:rsid w:val="00335968"/>
    <w:rsid w:val="00335BE5"/>
    <w:rsid w:val="00340407"/>
    <w:rsid w:val="003412FF"/>
    <w:rsid w:val="003426E3"/>
    <w:rsid w:val="00343142"/>
    <w:rsid w:val="00343E28"/>
    <w:rsid w:val="003442CE"/>
    <w:rsid w:val="00344AB4"/>
    <w:rsid w:val="0034625C"/>
    <w:rsid w:val="00347025"/>
    <w:rsid w:val="00347160"/>
    <w:rsid w:val="0035039F"/>
    <w:rsid w:val="00350561"/>
    <w:rsid w:val="00350CF3"/>
    <w:rsid w:val="003511A7"/>
    <w:rsid w:val="00353462"/>
    <w:rsid w:val="00355101"/>
    <w:rsid w:val="003653D6"/>
    <w:rsid w:val="003658E6"/>
    <w:rsid w:val="00366A90"/>
    <w:rsid w:val="00367CE6"/>
    <w:rsid w:val="00367EEA"/>
    <w:rsid w:val="0037070D"/>
    <w:rsid w:val="00371DF0"/>
    <w:rsid w:val="00372168"/>
    <w:rsid w:val="003739FD"/>
    <w:rsid w:val="00373E0E"/>
    <w:rsid w:val="0037546E"/>
    <w:rsid w:val="00375791"/>
    <w:rsid w:val="00376C53"/>
    <w:rsid w:val="00376CA8"/>
    <w:rsid w:val="0037711B"/>
    <w:rsid w:val="00377273"/>
    <w:rsid w:val="00377C63"/>
    <w:rsid w:val="00380210"/>
    <w:rsid w:val="0038055D"/>
    <w:rsid w:val="0038153E"/>
    <w:rsid w:val="00382521"/>
    <w:rsid w:val="00382E74"/>
    <w:rsid w:val="003835A5"/>
    <w:rsid w:val="00384D60"/>
    <w:rsid w:val="00385A95"/>
    <w:rsid w:val="00386BB9"/>
    <w:rsid w:val="0039148C"/>
    <w:rsid w:val="00392B2E"/>
    <w:rsid w:val="003A0075"/>
    <w:rsid w:val="003A1E71"/>
    <w:rsid w:val="003A4ED0"/>
    <w:rsid w:val="003A72AB"/>
    <w:rsid w:val="003B0128"/>
    <w:rsid w:val="003B0304"/>
    <w:rsid w:val="003B0321"/>
    <w:rsid w:val="003B2D9F"/>
    <w:rsid w:val="003B2FB9"/>
    <w:rsid w:val="003B54EF"/>
    <w:rsid w:val="003B6A01"/>
    <w:rsid w:val="003B7623"/>
    <w:rsid w:val="003B7BAA"/>
    <w:rsid w:val="003B7BC3"/>
    <w:rsid w:val="003B7D88"/>
    <w:rsid w:val="003C0A85"/>
    <w:rsid w:val="003C2BCA"/>
    <w:rsid w:val="003C2F79"/>
    <w:rsid w:val="003C3E3B"/>
    <w:rsid w:val="003C61DE"/>
    <w:rsid w:val="003D00E2"/>
    <w:rsid w:val="003D1218"/>
    <w:rsid w:val="003D2D36"/>
    <w:rsid w:val="003D6DC7"/>
    <w:rsid w:val="003D7A01"/>
    <w:rsid w:val="003D7A78"/>
    <w:rsid w:val="003E2309"/>
    <w:rsid w:val="003E2961"/>
    <w:rsid w:val="003E2A83"/>
    <w:rsid w:val="003E3230"/>
    <w:rsid w:val="003E57F6"/>
    <w:rsid w:val="003E5A54"/>
    <w:rsid w:val="003F1E93"/>
    <w:rsid w:val="003F2AA9"/>
    <w:rsid w:val="003F47BA"/>
    <w:rsid w:val="003F4961"/>
    <w:rsid w:val="003F504B"/>
    <w:rsid w:val="003F5EC5"/>
    <w:rsid w:val="003F6182"/>
    <w:rsid w:val="003F64F8"/>
    <w:rsid w:val="003F6CD6"/>
    <w:rsid w:val="003F784D"/>
    <w:rsid w:val="00400493"/>
    <w:rsid w:val="004026A3"/>
    <w:rsid w:val="004036D8"/>
    <w:rsid w:val="00404954"/>
    <w:rsid w:val="0040538E"/>
    <w:rsid w:val="0040578F"/>
    <w:rsid w:val="00406E72"/>
    <w:rsid w:val="00407A95"/>
    <w:rsid w:val="004109CD"/>
    <w:rsid w:val="00411332"/>
    <w:rsid w:val="0041346F"/>
    <w:rsid w:val="004159F7"/>
    <w:rsid w:val="00416017"/>
    <w:rsid w:val="00420B05"/>
    <w:rsid w:val="00421523"/>
    <w:rsid w:val="0042205F"/>
    <w:rsid w:val="004230E4"/>
    <w:rsid w:val="00423935"/>
    <w:rsid w:val="00423FA7"/>
    <w:rsid w:val="004242A5"/>
    <w:rsid w:val="00425D24"/>
    <w:rsid w:val="00426B6E"/>
    <w:rsid w:val="004275D6"/>
    <w:rsid w:val="00427CEE"/>
    <w:rsid w:val="00432F6B"/>
    <w:rsid w:val="0043449A"/>
    <w:rsid w:val="00434783"/>
    <w:rsid w:val="00435542"/>
    <w:rsid w:val="0043560F"/>
    <w:rsid w:val="00435F7D"/>
    <w:rsid w:val="004414B2"/>
    <w:rsid w:val="00442A63"/>
    <w:rsid w:val="00443485"/>
    <w:rsid w:val="0044559F"/>
    <w:rsid w:val="004459BB"/>
    <w:rsid w:val="0045127E"/>
    <w:rsid w:val="00451F52"/>
    <w:rsid w:val="00452F13"/>
    <w:rsid w:val="00453F84"/>
    <w:rsid w:val="0045464A"/>
    <w:rsid w:val="00454E1F"/>
    <w:rsid w:val="00454F3D"/>
    <w:rsid w:val="00455312"/>
    <w:rsid w:val="004573BE"/>
    <w:rsid w:val="0046005C"/>
    <w:rsid w:val="0046102A"/>
    <w:rsid w:val="00461B2C"/>
    <w:rsid w:val="00462635"/>
    <w:rsid w:val="00462AAE"/>
    <w:rsid w:val="00463882"/>
    <w:rsid w:val="00463EFF"/>
    <w:rsid w:val="0046554E"/>
    <w:rsid w:val="00465838"/>
    <w:rsid w:val="00467BBE"/>
    <w:rsid w:val="00470546"/>
    <w:rsid w:val="00470CFC"/>
    <w:rsid w:val="00472473"/>
    <w:rsid w:val="004732E2"/>
    <w:rsid w:val="004736EB"/>
    <w:rsid w:val="004756CB"/>
    <w:rsid w:val="004766AA"/>
    <w:rsid w:val="004768CC"/>
    <w:rsid w:val="004777CE"/>
    <w:rsid w:val="004800A3"/>
    <w:rsid w:val="00481C51"/>
    <w:rsid w:val="00482743"/>
    <w:rsid w:val="00483623"/>
    <w:rsid w:val="004843E9"/>
    <w:rsid w:val="00484647"/>
    <w:rsid w:val="00484CB2"/>
    <w:rsid w:val="00485979"/>
    <w:rsid w:val="00486C70"/>
    <w:rsid w:val="00487467"/>
    <w:rsid w:val="004A06B7"/>
    <w:rsid w:val="004A0711"/>
    <w:rsid w:val="004A09F6"/>
    <w:rsid w:val="004A2100"/>
    <w:rsid w:val="004A214A"/>
    <w:rsid w:val="004A2294"/>
    <w:rsid w:val="004A3AB3"/>
    <w:rsid w:val="004A45C0"/>
    <w:rsid w:val="004A4800"/>
    <w:rsid w:val="004A5349"/>
    <w:rsid w:val="004A5DAC"/>
    <w:rsid w:val="004A6643"/>
    <w:rsid w:val="004A7D47"/>
    <w:rsid w:val="004A7D49"/>
    <w:rsid w:val="004B035A"/>
    <w:rsid w:val="004B05F1"/>
    <w:rsid w:val="004B4899"/>
    <w:rsid w:val="004B4CD6"/>
    <w:rsid w:val="004B57D7"/>
    <w:rsid w:val="004B749A"/>
    <w:rsid w:val="004B7501"/>
    <w:rsid w:val="004C25AB"/>
    <w:rsid w:val="004C3949"/>
    <w:rsid w:val="004C42E1"/>
    <w:rsid w:val="004C6A50"/>
    <w:rsid w:val="004C6E6D"/>
    <w:rsid w:val="004D07EF"/>
    <w:rsid w:val="004D37B4"/>
    <w:rsid w:val="004D5A35"/>
    <w:rsid w:val="004D5B9F"/>
    <w:rsid w:val="004E09A8"/>
    <w:rsid w:val="004E1096"/>
    <w:rsid w:val="004E1E9D"/>
    <w:rsid w:val="004E51AC"/>
    <w:rsid w:val="004F053B"/>
    <w:rsid w:val="004F0543"/>
    <w:rsid w:val="004F1C77"/>
    <w:rsid w:val="004F2260"/>
    <w:rsid w:val="004F3E7C"/>
    <w:rsid w:val="004F6B28"/>
    <w:rsid w:val="004F78A3"/>
    <w:rsid w:val="005004FC"/>
    <w:rsid w:val="00500FDE"/>
    <w:rsid w:val="00501788"/>
    <w:rsid w:val="00501B89"/>
    <w:rsid w:val="005035CD"/>
    <w:rsid w:val="005040B7"/>
    <w:rsid w:val="0050433C"/>
    <w:rsid w:val="00505467"/>
    <w:rsid w:val="00505D95"/>
    <w:rsid w:val="0050659A"/>
    <w:rsid w:val="00506613"/>
    <w:rsid w:val="00506E44"/>
    <w:rsid w:val="00510CCA"/>
    <w:rsid w:val="005115D3"/>
    <w:rsid w:val="005117AC"/>
    <w:rsid w:val="00514F1F"/>
    <w:rsid w:val="00520472"/>
    <w:rsid w:val="005228AF"/>
    <w:rsid w:val="00523689"/>
    <w:rsid w:val="00523895"/>
    <w:rsid w:val="00523D80"/>
    <w:rsid w:val="00524D5C"/>
    <w:rsid w:val="00527A6F"/>
    <w:rsid w:val="005318A9"/>
    <w:rsid w:val="0053342A"/>
    <w:rsid w:val="005340B8"/>
    <w:rsid w:val="00535F61"/>
    <w:rsid w:val="00537A82"/>
    <w:rsid w:val="00537E2C"/>
    <w:rsid w:val="005406BE"/>
    <w:rsid w:val="005410D8"/>
    <w:rsid w:val="0054157F"/>
    <w:rsid w:val="00541C74"/>
    <w:rsid w:val="00541EE3"/>
    <w:rsid w:val="00542358"/>
    <w:rsid w:val="005436F8"/>
    <w:rsid w:val="005441AB"/>
    <w:rsid w:val="00544AAA"/>
    <w:rsid w:val="00547BF4"/>
    <w:rsid w:val="0055090A"/>
    <w:rsid w:val="00551623"/>
    <w:rsid w:val="00553421"/>
    <w:rsid w:val="0055780F"/>
    <w:rsid w:val="00560460"/>
    <w:rsid w:val="005606AC"/>
    <w:rsid w:val="00561121"/>
    <w:rsid w:val="00564E24"/>
    <w:rsid w:val="00564FC4"/>
    <w:rsid w:val="00565AFD"/>
    <w:rsid w:val="00566692"/>
    <w:rsid w:val="005672EC"/>
    <w:rsid w:val="00571567"/>
    <w:rsid w:val="0057173D"/>
    <w:rsid w:val="00574CA7"/>
    <w:rsid w:val="005804A8"/>
    <w:rsid w:val="005829D6"/>
    <w:rsid w:val="005843D8"/>
    <w:rsid w:val="00584AB9"/>
    <w:rsid w:val="00585036"/>
    <w:rsid w:val="0058555F"/>
    <w:rsid w:val="00587678"/>
    <w:rsid w:val="00587DA8"/>
    <w:rsid w:val="005901B0"/>
    <w:rsid w:val="00590E6B"/>
    <w:rsid w:val="00591691"/>
    <w:rsid w:val="00592F61"/>
    <w:rsid w:val="00593D34"/>
    <w:rsid w:val="005949C5"/>
    <w:rsid w:val="00595C74"/>
    <w:rsid w:val="00595DBA"/>
    <w:rsid w:val="005962E4"/>
    <w:rsid w:val="00596AD4"/>
    <w:rsid w:val="00597263"/>
    <w:rsid w:val="005A0E64"/>
    <w:rsid w:val="005A1717"/>
    <w:rsid w:val="005A23FF"/>
    <w:rsid w:val="005A257E"/>
    <w:rsid w:val="005A28FB"/>
    <w:rsid w:val="005A376D"/>
    <w:rsid w:val="005A4487"/>
    <w:rsid w:val="005A4D4C"/>
    <w:rsid w:val="005A4F05"/>
    <w:rsid w:val="005A6CFB"/>
    <w:rsid w:val="005A7B50"/>
    <w:rsid w:val="005B124B"/>
    <w:rsid w:val="005B2F88"/>
    <w:rsid w:val="005B5195"/>
    <w:rsid w:val="005B7886"/>
    <w:rsid w:val="005B7F3C"/>
    <w:rsid w:val="005C0A04"/>
    <w:rsid w:val="005C0B35"/>
    <w:rsid w:val="005C122C"/>
    <w:rsid w:val="005C1D5C"/>
    <w:rsid w:val="005C260E"/>
    <w:rsid w:val="005C3120"/>
    <w:rsid w:val="005C465A"/>
    <w:rsid w:val="005C59AB"/>
    <w:rsid w:val="005C5AC1"/>
    <w:rsid w:val="005C76F5"/>
    <w:rsid w:val="005D060A"/>
    <w:rsid w:val="005D1258"/>
    <w:rsid w:val="005D174E"/>
    <w:rsid w:val="005D17A0"/>
    <w:rsid w:val="005D1DAA"/>
    <w:rsid w:val="005D28F2"/>
    <w:rsid w:val="005D4611"/>
    <w:rsid w:val="005D4FBD"/>
    <w:rsid w:val="005D5BBD"/>
    <w:rsid w:val="005D5BDC"/>
    <w:rsid w:val="005D5EFF"/>
    <w:rsid w:val="005D670D"/>
    <w:rsid w:val="005E017A"/>
    <w:rsid w:val="005E021F"/>
    <w:rsid w:val="005E198A"/>
    <w:rsid w:val="005E1BC7"/>
    <w:rsid w:val="005E3B18"/>
    <w:rsid w:val="005E3FD7"/>
    <w:rsid w:val="005E5647"/>
    <w:rsid w:val="005E6036"/>
    <w:rsid w:val="005E62E5"/>
    <w:rsid w:val="005E6538"/>
    <w:rsid w:val="005E77BB"/>
    <w:rsid w:val="005F300A"/>
    <w:rsid w:val="0060141B"/>
    <w:rsid w:val="006025F2"/>
    <w:rsid w:val="006027F8"/>
    <w:rsid w:val="00605124"/>
    <w:rsid w:val="00605B66"/>
    <w:rsid w:val="00607B53"/>
    <w:rsid w:val="00612C73"/>
    <w:rsid w:val="00613789"/>
    <w:rsid w:val="00613C1F"/>
    <w:rsid w:val="00616515"/>
    <w:rsid w:val="00617831"/>
    <w:rsid w:val="0062031A"/>
    <w:rsid w:val="00620495"/>
    <w:rsid w:val="00622942"/>
    <w:rsid w:val="00622E08"/>
    <w:rsid w:val="00623C8D"/>
    <w:rsid w:val="00624D6B"/>
    <w:rsid w:val="0062568C"/>
    <w:rsid w:val="00626ABE"/>
    <w:rsid w:val="006319A9"/>
    <w:rsid w:val="00631DE6"/>
    <w:rsid w:val="006325FD"/>
    <w:rsid w:val="006329B3"/>
    <w:rsid w:val="00632BEA"/>
    <w:rsid w:val="00632CCD"/>
    <w:rsid w:val="00632FA7"/>
    <w:rsid w:val="0063392A"/>
    <w:rsid w:val="00634269"/>
    <w:rsid w:val="00635768"/>
    <w:rsid w:val="00635BF4"/>
    <w:rsid w:val="00640B99"/>
    <w:rsid w:val="006411DE"/>
    <w:rsid w:val="00642005"/>
    <w:rsid w:val="006425DC"/>
    <w:rsid w:val="0064412F"/>
    <w:rsid w:val="006452A1"/>
    <w:rsid w:val="00647B6D"/>
    <w:rsid w:val="00650A7B"/>
    <w:rsid w:val="00652FC1"/>
    <w:rsid w:val="00653E93"/>
    <w:rsid w:val="006566E6"/>
    <w:rsid w:val="00656C71"/>
    <w:rsid w:val="006574B0"/>
    <w:rsid w:val="00657F31"/>
    <w:rsid w:val="006611E5"/>
    <w:rsid w:val="0066282C"/>
    <w:rsid w:val="006667AE"/>
    <w:rsid w:val="006678B9"/>
    <w:rsid w:val="00667904"/>
    <w:rsid w:val="00672A63"/>
    <w:rsid w:val="006755AA"/>
    <w:rsid w:val="00677217"/>
    <w:rsid w:val="00677849"/>
    <w:rsid w:val="006779C0"/>
    <w:rsid w:val="006816A6"/>
    <w:rsid w:val="006817F0"/>
    <w:rsid w:val="00681809"/>
    <w:rsid w:val="006818A0"/>
    <w:rsid w:val="00681954"/>
    <w:rsid w:val="006821A3"/>
    <w:rsid w:val="006826D5"/>
    <w:rsid w:val="00685390"/>
    <w:rsid w:val="00685490"/>
    <w:rsid w:val="00685B19"/>
    <w:rsid w:val="00687424"/>
    <w:rsid w:val="00687EAD"/>
    <w:rsid w:val="0069129D"/>
    <w:rsid w:val="006915F3"/>
    <w:rsid w:val="0069336E"/>
    <w:rsid w:val="00694591"/>
    <w:rsid w:val="0069487D"/>
    <w:rsid w:val="006958F9"/>
    <w:rsid w:val="00696DE1"/>
    <w:rsid w:val="00697344"/>
    <w:rsid w:val="006A151B"/>
    <w:rsid w:val="006A190F"/>
    <w:rsid w:val="006A36AE"/>
    <w:rsid w:val="006A3FDD"/>
    <w:rsid w:val="006A4241"/>
    <w:rsid w:val="006A4531"/>
    <w:rsid w:val="006A5128"/>
    <w:rsid w:val="006A55AC"/>
    <w:rsid w:val="006A581D"/>
    <w:rsid w:val="006A5F36"/>
    <w:rsid w:val="006A6C2D"/>
    <w:rsid w:val="006A722A"/>
    <w:rsid w:val="006A7741"/>
    <w:rsid w:val="006A7B1E"/>
    <w:rsid w:val="006A7F57"/>
    <w:rsid w:val="006B0BBE"/>
    <w:rsid w:val="006B18F1"/>
    <w:rsid w:val="006B1E36"/>
    <w:rsid w:val="006B30F6"/>
    <w:rsid w:val="006B4017"/>
    <w:rsid w:val="006B5117"/>
    <w:rsid w:val="006B642A"/>
    <w:rsid w:val="006B79D1"/>
    <w:rsid w:val="006C0509"/>
    <w:rsid w:val="006C0DD5"/>
    <w:rsid w:val="006C1E2A"/>
    <w:rsid w:val="006C2333"/>
    <w:rsid w:val="006C2B7D"/>
    <w:rsid w:val="006C4E60"/>
    <w:rsid w:val="006C52BB"/>
    <w:rsid w:val="006C649F"/>
    <w:rsid w:val="006C72A6"/>
    <w:rsid w:val="006C7D39"/>
    <w:rsid w:val="006D1338"/>
    <w:rsid w:val="006D3B33"/>
    <w:rsid w:val="006D4CB9"/>
    <w:rsid w:val="006D52FB"/>
    <w:rsid w:val="006D5ED5"/>
    <w:rsid w:val="006D60F2"/>
    <w:rsid w:val="006D6222"/>
    <w:rsid w:val="006E0227"/>
    <w:rsid w:val="006E1749"/>
    <w:rsid w:val="006E2A63"/>
    <w:rsid w:val="006E3207"/>
    <w:rsid w:val="006E419D"/>
    <w:rsid w:val="006E47A3"/>
    <w:rsid w:val="006E5D10"/>
    <w:rsid w:val="006E6EF6"/>
    <w:rsid w:val="006F20DA"/>
    <w:rsid w:val="006F21E9"/>
    <w:rsid w:val="006F2435"/>
    <w:rsid w:val="006F2892"/>
    <w:rsid w:val="006F3033"/>
    <w:rsid w:val="006F342E"/>
    <w:rsid w:val="006F3EC3"/>
    <w:rsid w:val="006F4D0D"/>
    <w:rsid w:val="006F6499"/>
    <w:rsid w:val="006F6E59"/>
    <w:rsid w:val="006F79F6"/>
    <w:rsid w:val="00700715"/>
    <w:rsid w:val="00700B38"/>
    <w:rsid w:val="007011D5"/>
    <w:rsid w:val="007022CE"/>
    <w:rsid w:val="00702CB7"/>
    <w:rsid w:val="00702EE9"/>
    <w:rsid w:val="0070397D"/>
    <w:rsid w:val="00703B13"/>
    <w:rsid w:val="00703E4F"/>
    <w:rsid w:val="0070453F"/>
    <w:rsid w:val="00704C81"/>
    <w:rsid w:val="00705049"/>
    <w:rsid w:val="0071210A"/>
    <w:rsid w:val="007149E3"/>
    <w:rsid w:val="00714C0A"/>
    <w:rsid w:val="0071670A"/>
    <w:rsid w:val="00716785"/>
    <w:rsid w:val="00716F39"/>
    <w:rsid w:val="007173C7"/>
    <w:rsid w:val="00717522"/>
    <w:rsid w:val="00721B36"/>
    <w:rsid w:val="00721B48"/>
    <w:rsid w:val="00721DF1"/>
    <w:rsid w:val="00722877"/>
    <w:rsid w:val="00723628"/>
    <w:rsid w:val="00724FC0"/>
    <w:rsid w:val="0072553C"/>
    <w:rsid w:val="00725E64"/>
    <w:rsid w:val="007274EF"/>
    <w:rsid w:val="00732E26"/>
    <w:rsid w:val="00733C0B"/>
    <w:rsid w:val="00736911"/>
    <w:rsid w:val="007406C5"/>
    <w:rsid w:val="0074119A"/>
    <w:rsid w:val="0074122A"/>
    <w:rsid w:val="00741760"/>
    <w:rsid w:val="007421C3"/>
    <w:rsid w:val="007429CE"/>
    <w:rsid w:val="007432B0"/>
    <w:rsid w:val="00746790"/>
    <w:rsid w:val="007467D9"/>
    <w:rsid w:val="00746D7D"/>
    <w:rsid w:val="00747513"/>
    <w:rsid w:val="00747579"/>
    <w:rsid w:val="00750949"/>
    <w:rsid w:val="00751180"/>
    <w:rsid w:val="0075261A"/>
    <w:rsid w:val="007534C4"/>
    <w:rsid w:val="00754477"/>
    <w:rsid w:val="00754CC3"/>
    <w:rsid w:val="0075534E"/>
    <w:rsid w:val="00756C8D"/>
    <w:rsid w:val="00756CEF"/>
    <w:rsid w:val="00757CC6"/>
    <w:rsid w:val="00760E9C"/>
    <w:rsid w:val="007616FB"/>
    <w:rsid w:val="00761F77"/>
    <w:rsid w:val="00765298"/>
    <w:rsid w:val="00765323"/>
    <w:rsid w:val="00765531"/>
    <w:rsid w:val="00765733"/>
    <w:rsid w:val="007657EA"/>
    <w:rsid w:val="0076590B"/>
    <w:rsid w:val="00765E49"/>
    <w:rsid w:val="007739D6"/>
    <w:rsid w:val="00773BE1"/>
    <w:rsid w:val="0077462D"/>
    <w:rsid w:val="0077664B"/>
    <w:rsid w:val="007766DF"/>
    <w:rsid w:val="00777C85"/>
    <w:rsid w:val="00780890"/>
    <w:rsid w:val="0078097E"/>
    <w:rsid w:val="0078101B"/>
    <w:rsid w:val="0078122C"/>
    <w:rsid w:val="007812C7"/>
    <w:rsid w:val="007828B2"/>
    <w:rsid w:val="00782D9C"/>
    <w:rsid w:val="00783DD9"/>
    <w:rsid w:val="007840F5"/>
    <w:rsid w:val="00786780"/>
    <w:rsid w:val="00787569"/>
    <w:rsid w:val="00787CD5"/>
    <w:rsid w:val="00790179"/>
    <w:rsid w:val="00790AFC"/>
    <w:rsid w:val="00790C00"/>
    <w:rsid w:val="00791761"/>
    <w:rsid w:val="007923E2"/>
    <w:rsid w:val="007929B9"/>
    <w:rsid w:val="007954AA"/>
    <w:rsid w:val="00795591"/>
    <w:rsid w:val="00795686"/>
    <w:rsid w:val="007A24F8"/>
    <w:rsid w:val="007A4AC0"/>
    <w:rsid w:val="007A4FF5"/>
    <w:rsid w:val="007A596A"/>
    <w:rsid w:val="007B0E56"/>
    <w:rsid w:val="007B1C15"/>
    <w:rsid w:val="007B25BB"/>
    <w:rsid w:val="007B46DD"/>
    <w:rsid w:val="007C1D3A"/>
    <w:rsid w:val="007C1EA3"/>
    <w:rsid w:val="007C47C8"/>
    <w:rsid w:val="007C5051"/>
    <w:rsid w:val="007C576C"/>
    <w:rsid w:val="007C5A6D"/>
    <w:rsid w:val="007C6FA4"/>
    <w:rsid w:val="007D1813"/>
    <w:rsid w:val="007D268D"/>
    <w:rsid w:val="007D2A99"/>
    <w:rsid w:val="007D2C5E"/>
    <w:rsid w:val="007D401C"/>
    <w:rsid w:val="007D40C1"/>
    <w:rsid w:val="007D40D1"/>
    <w:rsid w:val="007D607C"/>
    <w:rsid w:val="007D7BD9"/>
    <w:rsid w:val="007D7E65"/>
    <w:rsid w:val="007E1315"/>
    <w:rsid w:val="007E1470"/>
    <w:rsid w:val="007E1F24"/>
    <w:rsid w:val="007E494C"/>
    <w:rsid w:val="007E68BB"/>
    <w:rsid w:val="007E7D3C"/>
    <w:rsid w:val="007F0131"/>
    <w:rsid w:val="007F0A46"/>
    <w:rsid w:val="007F196D"/>
    <w:rsid w:val="007F2130"/>
    <w:rsid w:val="007F317E"/>
    <w:rsid w:val="007F3A74"/>
    <w:rsid w:val="007F67C9"/>
    <w:rsid w:val="007F7703"/>
    <w:rsid w:val="007F7882"/>
    <w:rsid w:val="008001A1"/>
    <w:rsid w:val="00800B8E"/>
    <w:rsid w:val="008011D0"/>
    <w:rsid w:val="00801773"/>
    <w:rsid w:val="00802176"/>
    <w:rsid w:val="008032CB"/>
    <w:rsid w:val="00803719"/>
    <w:rsid w:val="00804557"/>
    <w:rsid w:val="00804696"/>
    <w:rsid w:val="00804966"/>
    <w:rsid w:val="008053FB"/>
    <w:rsid w:val="00805ABC"/>
    <w:rsid w:val="008063D7"/>
    <w:rsid w:val="0081346C"/>
    <w:rsid w:val="00814D55"/>
    <w:rsid w:val="00815080"/>
    <w:rsid w:val="008162E6"/>
    <w:rsid w:val="008171B7"/>
    <w:rsid w:val="00823661"/>
    <w:rsid w:val="008237BD"/>
    <w:rsid w:val="0082537A"/>
    <w:rsid w:val="008253AB"/>
    <w:rsid w:val="00826870"/>
    <w:rsid w:val="008300B6"/>
    <w:rsid w:val="008348EB"/>
    <w:rsid w:val="00834EE0"/>
    <w:rsid w:val="0083524A"/>
    <w:rsid w:val="00835DB8"/>
    <w:rsid w:val="00843C50"/>
    <w:rsid w:val="00844360"/>
    <w:rsid w:val="00844F79"/>
    <w:rsid w:val="00846C51"/>
    <w:rsid w:val="00847418"/>
    <w:rsid w:val="00847ED8"/>
    <w:rsid w:val="008504A5"/>
    <w:rsid w:val="0085089F"/>
    <w:rsid w:val="00850E1A"/>
    <w:rsid w:val="00850F54"/>
    <w:rsid w:val="00851926"/>
    <w:rsid w:val="00851F4A"/>
    <w:rsid w:val="00852CA4"/>
    <w:rsid w:val="00852FA6"/>
    <w:rsid w:val="00853B48"/>
    <w:rsid w:val="0085407C"/>
    <w:rsid w:val="008559E7"/>
    <w:rsid w:val="00855D18"/>
    <w:rsid w:val="00856488"/>
    <w:rsid w:val="00856A3C"/>
    <w:rsid w:val="00857E68"/>
    <w:rsid w:val="0086088C"/>
    <w:rsid w:val="00861338"/>
    <w:rsid w:val="008617B7"/>
    <w:rsid w:val="00861FD2"/>
    <w:rsid w:val="008623EE"/>
    <w:rsid w:val="00864192"/>
    <w:rsid w:val="0086551C"/>
    <w:rsid w:val="008656ED"/>
    <w:rsid w:val="0086590E"/>
    <w:rsid w:val="0086614C"/>
    <w:rsid w:val="00876643"/>
    <w:rsid w:val="008816C9"/>
    <w:rsid w:val="008816EF"/>
    <w:rsid w:val="00881ED5"/>
    <w:rsid w:val="008828A2"/>
    <w:rsid w:val="008832DE"/>
    <w:rsid w:val="00883571"/>
    <w:rsid w:val="00883D8F"/>
    <w:rsid w:val="008846E6"/>
    <w:rsid w:val="00886941"/>
    <w:rsid w:val="00887032"/>
    <w:rsid w:val="00890311"/>
    <w:rsid w:val="008912DA"/>
    <w:rsid w:val="00894186"/>
    <w:rsid w:val="00896A43"/>
    <w:rsid w:val="008A067F"/>
    <w:rsid w:val="008A0D68"/>
    <w:rsid w:val="008A27E9"/>
    <w:rsid w:val="008A2AC0"/>
    <w:rsid w:val="008A2E14"/>
    <w:rsid w:val="008A317E"/>
    <w:rsid w:val="008A42D1"/>
    <w:rsid w:val="008A57C7"/>
    <w:rsid w:val="008A587B"/>
    <w:rsid w:val="008A5D8F"/>
    <w:rsid w:val="008A63B4"/>
    <w:rsid w:val="008A6BF9"/>
    <w:rsid w:val="008A7AF2"/>
    <w:rsid w:val="008B06E6"/>
    <w:rsid w:val="008B12DA"/>
    <w:rsid w:val="008B33B2"/>
    <w:rsid w:val="008B40FC"/>
    <w:rsid w:val="008B4DAF"/>
    <w:rsid w:val="008B62F0"/>
    <w:rsid w:val="008B72CD"/>
    <w:rsid w:val="008C07FF"/>
    <w:rsid w:val="008C0D49"/>
    <w:rsid w:val="008C446A"/>
    <w:rsid w:val="008C6025"/>
    <w:rsid w:val="008D0B4D"/>
    <w:rsid w:val="008D207B"/>
    <w:rsid w:val="008D2401"/>
    <w:rsid w:val="008D375E"/>
    <w:rsid w:val="008D4F18"/>
    <w:rsid w:val="008D5293"/>
    <w:rsid w:val="008D5F35"/>
    <w:rsid w:val="008D7814"/>
    <w:rsid w:val="008D7FD9"/>
    <w:rsid w:val="008E2894"/>
    <w:rsid w:val="008E71E5"/>
    <w:rsid w:val="008F25A5"/>
    <w:rsid w:val="008F26EB"/>
    <w:rsid w:val="008F4001"/>
    <w:rsid w:val="008F6023"/>
    <w:rsid w:val="008F6EE8"/>
    <w:rsid w:val="008F7809"/>
    <w:rsid w:val="008F7C54"/>
    <w:rsid w:val="009000A8"/>
    <w:rsid w:val="0090100D"/>
    <w:rsid w:val="009012D1"/>
    <w:rsid w:val="009012E4"/>
    <w:rsid w:val="00901B6E"/>
    <w:rsid w:val="009020E0"/>
    <w:rsid w:val="00903849"/>
    <w:rsid w:val="00904504"/>
    <w:rsid w:val="00904543"/>
    <w:rsid w:val="009053EA"/>
    <w:rsid w:val="00906147"/>
    <w:rsid w:val="009102FE"/>
    <w:rsid w:val="00910C6E"/>
    <w:rsid w:val="00911443"/>
    <w:rsid w:val="009135D9"/>
    <w:rsid w:val="00913BFD"/>
    <w:rsid w:val="00913F16"/>
    <w:rsid w:val="0091436F"/>
    <w:rsid w:val="0092050D"/>
    <w:rsid w:val="00920AF9"/>
    <w:rsid w:val="009222DA"/>
    <w:rsid w:val="00923ED7"/>
    <w:rsid w:val="0092601D"/>
    <w:rsid w:val="00926F95"/>
    <w:rsid w:val="00926FD4"/>
    <w:rsid w:val="00930E0B"/>
    <w:rsid w:val="00933F2B"/>
    <w:rsid w:val="009347D4"/>
    <w:rsid w:val="009374B8"/>
    <w:rsid w:val="009379D1"/>
    <w:rsid w:val="009405FC"/>
    <w:rsid w:val="0094194E"/>
    <w:rsid w:val="0094241D"/>
    <w:rsid w:val="00943D85"/>
    <w:rsid w:val="009461FA"/>
    <w:rsid w:val="0094651A"/>
    <w:rsid w:val="00947305"/>
    <w:rsid w:val="00947854"/>
    <w:rsid w:val="009514F4"/>
    <w:rsid w:val="00952958"/>
    <w:rsid w:val="0095308C"/>
    <w:rsid w:val="00953F40"/>
    <w:rsid w:val="00956A6D"/>
    <w:rsid w:val="009572D5"/>
    <w:rsid w:val="009579B1"/>
    <w:rsid w:val="0096047C"/>
    <w:rsid w:val="00961236"/>
    <w:rsid w:val="0096230D"/>
    <w:rsid w:val="00962F17"/>
    <w:rsid w:val="00963B0D"/>
    <w:rsid w:val="009657DD"/>
    <w:rsid w:val="00965BCC"/>
    <w:rsid w:val="009704C3"/>
    <w:rsid w:val="0097115E"/>
    <w:rsid w:val="00971F60"/>
    <w:rsid w:val="009722CB"/>
    <w:rsid w:val="00972879"/>
    <w:rsid w:val="00973EA5"/>
    <w:rsid w:val="00975FF6"/>
    <w:rsid w:val="009762B1"/>
    <w:rsid w:val="00976AD4"/>
    <w:rsid w:val="00977582"/>
    <w:rsid w:val="0098029F"/>
    <w:rsid w:val="00981EC2"/>
    <w:rsid w:val="00985F17"/>
    <w:rsid w:val="00987E39"/>
    <w:rsid w:val="00990A4D"/>
    <w:rsid w:val="009914D6"/>
    <w:rsid w:val="00991599"/>
    <w:rsid w:val="009919BA"/>
    <w:rsid w:val="00991BB9"/>
    <w:rsid w:val="00991F8D"/>
    <w:rsid w:val="00992817"/>
    <w:rsid w:val="00992C03"/>
    <w:rsid w:val="00994636"/>
    <w:rsid w:val="00995E85"/>
    <w:rsid w:val="00996CA1"/>
    <w:rsid w:val="009A021F"/>
    <w:rsid w:val="009A32C9"/>
    <w:rsid w:val="009A365D"/>
    <w:rsid w:val="009A3E1F"/>
    <w:rsid w:val="009A6ABE"/>
    <w:rsid w:val="009B1C47"/>
    <w:rsid w:val="009B36D5"/>
    <w:rsid w:val="009B3957"/>
    <w:rsid w:val="009B4D70"/>
    <w:rsid w:val="009B50E2"/>
    <w:rsid w:val="009B5D97"/>
    <w:rsid w:val="009B6E7F"/>
    <w:rsid w:val="009B70B0"/>
    <w:rsid w:val="009C021A"/>
    <w:rsid w:val="009C1883"/>
    <w:rsid w:val="009C322B"/>
    <w:rsid w:val="009C32C2"/>
    <w:rsid w:val="009C3B75"/>
    <w:rsid w:val="009C410F"/>
    <w:rsid w:val="009C4A43"/>
    <w:rsid w:val="009C774A"/>
    <w:rsid w:val="009D19ED"/>
    <w:rsid w:val="009D1F2C"/>
    <w:rsid w:val="009D2091"/>
    <w:rsid w:val="009D231D"/>
    <w:rsid w:val="009D5F3A"/>
    <w:rsid w:val="009E0329"/>
    <w:rsid w:val="009E035B"/>
    <w:rsid w:val="009E035F"/>
    <w:rsid w:val="009E05DF"/>
    <w:rsid w:val="009E1EC7"/>
    <w:rsid w:val="009E1F1B"/>
    <w:rsid w:val="009E2A7D"/>
    <w:rsid w:val="009E337A"/>
    <w:rsid w:val="009E4BB3"/>
    <w:rsid w:val="009E5DF8"/>
    <w:rsid w:val="009E6A4B"/>
    <w:rsid w:val="009E6F3B"/>
    <w:rsid w:val="009F00C4"/>
    <w:rsid w:val="009F064D"/>
    <w:rsid w:val="009F0D10"/>
    <w:rsid w:val="009F18A7"/>
    <w:rsid w:val="009F1B08"/>
    <w:rsid w:val="009F2E9F"/>
    <w:rsid w:val="009F3181"/>
    <w:rsid w:val="009F4FC5"/>
    <w:rsid w:val="009F5A12"/>
    <w:rsid w:val="009F76CB"/>
    <w:rsid w:val="00A0063D"/>
    <w:rsid w:val="00A01A2D"/>
    <w:rsid w:val="00A0202A"/>
    <w:rsid w:val="00A03ADE"/>
    <w:rsid w:val="00A04FEC"/>
    <w:rsid w:val="00A0675C"/>
    <w:rsid w:val="00A06873"/>
    <w:rsid w:val="00A06A11"/>
    <w:rsid w:val="00A06F33"/>
    <w:rsid w:val="00A07F62"/>
    <w:rsid w:val="00A10B52"/>
    <w:rsid w:val="00A110E9"/>
    <w:rsid w:val="00A11B9C"/>
    <w:rsid w:val="00A12318"/>
    <w:rsid w:val="00A1247A"/>
    <w:rsid w:val="00A13164"/>
    <w:rsid w:val="00A14EF0"/>
    <w:rsid w:val="00A1713F"/>
    <w:rsid w:val="00A20659"/>
    <w:rsid w:val="00A221E8"/>
    <w:rsid w:val="00A2279A"/>
    <w:rsid w:val="00A2574A"/>
    <w:rsid w:val="00A30C4D"/>
    <w:rsid w:val="00A31BD1"/>
    <w:rsid w:val="00A33D2F"/>
    <w:rsid w:val="00A34891"/>
    <w:rsid w:val="00A35D0F"/>
    <w:rsid w:val="00A373C0"/>
    <w:rsid w:val="00A40258"/>
    <w:rsid w:val="00A40D73"/>
    <w:rsid w:val="00A42B31"/>
    <w:rsid w:val="00A4490C"/>
    <w:rsid w:val="00A45BEB"/>
    <w:rsid w:val="00A461F0"/>
    <w:rsid w:val="00A5254D"/>
    <w:rsid w:val="00A53BA5"/>
    <w:rsid w:val="00A53E55"/>
    <w:rsid w:val="00A543B2"/>
    <w:rsid w:val="00A558EC"/>
    <w:rsid w:val="00A5590E"/>
    <w:rsid w:val="00A562E4"/>
    <w:rsid w:val="00A564BA"/>
    <w:rsid w:val="00A564BF"/>
    <w:rsid w:val="00A56E06"/>
    <w:rsid w:val="00A57A28"/>
    <w:rsid w:val="00A60BAC"/>
    <w:rsid w:val="00A6485B"/>
    <w:rsid w:val="00A6587B"/>
    <w:rsid w:val="00A66829"/>
    <w:rsid w:val="00A6734E"/>
    <w:rsid w:val="00A70280"/>
    <w:rsid w:val="00A70E7B"/>
    <w:rsid w:val="00A739EC"/>
    <w:rsid w:val="00A74705"/>
    <w:rsid w:val="00A7748B"/>
    <w:rsid w:val="00A8237F"/>
    <w:rsid w:val="00A82913"/>
    <w:rsid w:val="00A83076"/>
    <w:rsid w:val="00A847D8"/>
    <w:rsid w:val="00A84DB4"/>
    <w:rsid w:val="00A84DDB"/>
    <w:rsid w:val="00A877EB"/>
    <w:rsid w:val="00A87FBD"/>
    <w:rsid w:val="00A91A56"/>
    <w:rsid w:val="00A92A16"/>
    <w:rsid w:val="00A9527F"/>
    <w:rsid w:val="00A9740A"/>
    <w:rsid w:val="00A97AAF"/>
    <w:rsid w:val="00AA1A5D"/>
    <w:rsid w:val="00AA4792"/>
    <w:rsid w:val="00AA5741"/>
    <w:rsid w:val="00AA5F03"/>
    <w:rsid w:val="00AA6B63"/>
    <w:rsid w:val="00AA75E1"/>
    <w:rsid w:val="00AA7A95"/>
    <w:rsid w:val="00AA7C6B"/>
    <w:rsid w:val="00AA7DF1"/>
    <w:rsid w:val="00AB0605"/>
    <w:rsid w:val="00AB1FCC"/>
    <w:rsid w:val="00AB36AE"/>
    <w:rsid w:val="00AB39DA"/>
    <w:rsid w:val="00AB509C"/>
    <w:rsid w:val="00AB51A3"/>
    <w:rsid w:val="00AB564F"/>
    <w:rsid w:val="00AB5733"/>
    <w:rsid w:val="00AB5D17"/>
    <w:rsid w:val="00AB6014"/>
    <w:rsid w:val="00AB73D2"/>
    <w:rsid w:val="00AC0569"/>
    <w:rsid w:val="00AC0BAE"/>
    <w:rsid w:val="00AC1E11"/>
    <w:rsid w:val="00AC380B"/>
    <w:rsid w:val="00AC5DDE"/>
    <w:rsid w:val="00AD0A52"/>
    <w:rsid w:val="00AD18AA"/>
    <w:rsid w:val="00AD1FD6"/>
    <w:rsid w:val="00AD388C"/>
    <w:rsid w:val="00AD4ED5"/>
    <w:rsid w:val="00AE09F5"/>
    <w:rsid w:val="00AE0CFB"/>
    <w:rsid w:val="00AE10BB"/>
    <w:rsid w:val="00AE1888"/>
    <w:rsid w:val="00AE25D3"/>
    <w:rsid w:val="00AE2FB4"/>
    <w:rsid w:val="00AE3E1B"/>
    <w:rsid w:val="00AE64BB"/>
    <w:rsid w:val="00AE7078"/>
    <w:rsid w:val="00AE711A"/>
    <w:rsid w:val="00AE7551"/>
    <w:rsid w:val="00AF20C4"/>
    <w:rsid w:val="00AF2B8F"/>
    <w:rsid w:val="00AF4706"/>
    <w:rsid w:val="00AF51FA"/>
    <w:rsid w:val="00AF5D01"/>
    <w:rsid w:val="00AF738B"/>
    <w:rsid w:val="00AF7AAC"/>
    <w:rsid w:val="00B00B74"/>
    <w:rsid w:val="00B00F74"/>
    <w:rsid w:val="00B01672"/>
    <w:rsid w:val="00B02715"/>
    <w:rsid w:val="00B027C8"/>
    <w:rsid w:val="00B03291"/>
    <w:rsid w:val="00B05DFB"/>
    <w:rsid w:val="00B0674B"/>
    <w:rsid w:val="00B068FB"/>
    <w:rsid w:val="00B0745E"/>
    <w:rsid w:val="00B109E5"/>
    <w:rsid w:val="00B12C14"/>
    <w:rsid w:val="00B12D2F"/>
    <w:rsid w:val="00B12D8F"/>
    <w:rsid w:val="00B13801"/>
    <w:rsid w:val="00B13D02"/>
    <w:rsid w:val="00B1484E"/>
    <w:rsid w:val="00B156A5"/>
    <w:rsid w:val="00B15869"/>
    <w:rsid w:val="00B20359"/>
    <w:rsid w:val="00B2131F"/>
    <w:rsid w:val="00B22D69"/>
    <w:rsid w:val="00B23551"/>
    <w:rsid w:val="00B245D8"/>
    <w:rsid w:val="00B2660C"/>
    <w:rsid w:val="00B3229D"/>
    <w:rsid w:val="00B33DBE"/>
    <w:rsid w:val="00B359D1"/>
    <w:rsid w:val="00B36028"/>
    <w:rsid w:val="00B374F5"/>
    <w:rsid w:val="00B37922"/>
    <w:rsid w:val="00B4019C"/>
    <w:rsid w:val="00B4089C"/>
    <w:rsid w:val="00B41359"/>
    <w:rsid w:val="00B4169F"/>
    <w:rsid w:val="00B427D7"/>
    <w:rsid w:val="00B43590"/>
    <w:rsid w:val="00B4772A"/>
    <w:rsid w:val="00B477C3"/>
    <w:rsid w:val="00B50567"/>
    <w:rsid w:val="00B5128B"/>
    <w:rsid w:val="00B5277C"/>
    <w:rsid w:val="00B532F9"/>
    <w:rsid w:val="00B53B9B"/>
    <w:rsid w:val="00B54A0D"/>
    <w:rsid w:val="00B5563E"/>
    <w:rsid w:val="00B55BD5"/>
    <w:rsid w:val="00B56639"/>
    <w:rsid w:val="00B57271"/>
    <w:rsid w:val="00B574E7"/>
    <w:rsid w:val="00B5751A"/>
    <w:rsid w:val="00B60DAD"/>
    <w:rsid w:val="00B615A2"/>
    <w:rsid w:val="00B615BB"/>
    <w:rsid w:val="00B63008"/>
    <w:rsid w:val="00B63275"/>
    <w:rsid w:val="00B636A7"/>
    <w:rsid w:val="00B636FA"/>
    <w:rsid w:val="00B64D68"/>
    <w:rsid w:val="00B65801"/>
    <w:rsid w:val="00B66AC2"/>
    <w:rsid w:val="00B66C92"/>
    <w:rsid w:val="00B67A78"/>
    <w:rsid w:val="00B720A0"/>
    <w:rsid w:val="00B728A3"/>
    <w:rsid w:val="00B728B5"/>
    <w:rsid w:val="00B7378B"/>
    <w:rsid w:val="00B7487F"/>
    <w:rsid w:val="00B748D3"/>
    <w:rsid w:val="00B750B5"/>
    <w:rsid w:val="00B76491"/>
    <w:rsid w:val="00B76FFE"/>
    <w:rsid w:val="00B8049F"/>
    <w:rsid w:val="00B811A1"/>
    <w:rsid w:val="00B817F0"/>
    <w:rsid w:val="00B828CA"/>
    <w:rsid w:val="00B84F4B"/>
    <w:rsid w:val="00B8547F"/>
    <w:rsid w:val="00B87140"/>
    <w:rsid w:val="00B90043"/>
    <w:rsid w:val="00B9037A"/>
    <w:rsid w:val="00B90A17"/>
    <w:rsid w:val="00B92341"/>
    <w:rsid w:val="00B92D90"/>
    <w:rsid w:val="00B93567"/>
    <w:rsid w:val="00B94D56"/>
    <w:rsid w:val="00BA4617"/>
    <w:rsid w:val="00BA66AB"/>
    <w:rsid w:val="00BA765C"/>
    <w:rsid w:val="00BA7AE1"/>
    <w:rsid w:val="00BB06BE"/>
    <w:rsid w:val="00BB1262"/>
    <w:rsid w:val="00BB12F3"/>
    <w:rsid w:val="00BB2041"/>
    <w:rsid w:val="00BB3717"/>
    <w:rsid w:val="00BB3B61"/>
    <w:rsid w:val="00BB723C"/>
    <w:rsid w:val="00BB7BC0"/>
    <w:rsid w:val="00BC005E"/>
    <w:rsid w:val="00BC0189"/>
    <w:rsid w:val="00BC37A2"/>
    <w:rsid w:val="00BC38BE"/>
    <w:rsid w:val="00BC3FBB"/>
    <w:rsid w:val="00BC56A7"/>
    <w:rsid w:val="00BC5E63"/>
    <w:rsid w:val="00BC716A"/>
    <w:rsid w:val="00BC7A4B"/>
    <w:rsid w:val="00BC7C95"/>
    <w:rsid w:val="00BD1D40"/>
    <w:rsid w:val="00BD3B94"/>
    <w:rsid w:val="00BD514B"/>
    <w:rsid w:val="00BD5714"/>
    <w:rsid w:val="00BD60BF"/>
    <w:rsid w:val="00BD675E"/>
    <w:rsid w:val="00BE1E08"/>
    <w:rsid w:val="00BE2B6C"/>
    <w:rsid w:val="00BE3E6F"/>
    <w:rsid w:val="00BE5431"/>
    <w:rsid w:val="00BE66E1"/>
    <w:rsid w:val="00BF14EA"/>
    <w:rsid w:val="00BF161C"/>
    <w:rsid w:val="00BF17BE"/>
    <w:rsid w:val="00BF2AFB"/>
    <w:rsid w:val="00BF322D"/>
    <w:rsid w:val="00BF4952"/>
    <w:rsid w:val="00BF4C64"/>
    <w:rsid w:val="00BF503C"/>
    <w:rsid w:val="00BF7481"/>
    <w:rsid w:val="00BF7C21"/>
    <w:rsid w:val="00C009DF"/>
    <w:rsid w:val="00C01545"/>
    <w:rsid w:val="00C02335"/>
    <w:rsid w:val="00C02554"/>
    <w:rsid w:val="00C055EA"/>
    <w:rsid w:val="00C07142"/>
    <w:rsid w:val="00C074D8"/>
    <w:rsid w:val="00C118D5"/>
    <w:rsid w:val="00C12E1C"/>
    <w:rsid w:val="00C13FDD"/>
    <w:rsid w:val="00C140A8"/>
    <w:rsid w:val="00C14291"/>
    <w:rsid w:val="00C14BFC"/>
    <w:rsid w:val="00C16E65"/>
    <w:rsid w:val="00C21747"/>
    <w:rsid w:val="00C2190C"/>
    <w:rsid w:val="00C21D81"/>
    <w:rsid w:val="00C242F8"/>
    <w:rsid w:val="00C300E3"/>
    <w:rsid w:val="00C30DB0"/>
    <w:rsid w:val="00C3285F"/>
    <w:rsid w:val="00C3561C"/>
    <w:rsid w:val="00C3573E"/>
    <w:rsid w:val="00C36474"/>
    <w:rsid w:val="00C36819"/>
    <w:rsid w:val="00C375A4"/>
    <w:rsid w:val="00C376D6"/>
    <w:rsid w:val="00C42314"/>
    <w:rsid w:val="00C44060"/>
    <w:rsid w:val="00C44A48"/>
    <w:rsid w:val="00C44C87"/>
    <w:rsid w:val="00C46C26"/>
    <w:rsid w:val="00C47606"/>
    <w:rsid w:val="00C5058B"/>
    <w:rsid w:val="00C51205"/>
    <w:rsid w:val="00C528FE"/>
    <w:rsid w:val="00C52B2E"/>
    <w:rsid w:val="00C5658C"/>
    <w:rsid w:val="00C56733"/>
    <w:rsid w:val="00C60691"/>
    <w:rsid w:val="00C62A09"/>
    <w:rsid w:val="00C6302E"/>
    <w:rsid w:val="00C63231"/>
    <w:rsid w:val="00C650E5"/>
    <w:rsid w:val="00C706EC"/>
    <w:rsid w:val="00C707D9"/>
    <w:rsid w:val="00C71EE9"/>
    <w:rsid w:val="00C720A7"/>
    <w:rsid w:val="00C7351E"/>
    <w:rsid w:val="00C74733"/>
    <w:rsid w:val="00C74AB8"/>
    <w:rsid w:val="00C75072"/>
    <w:rsid w:val="00C76208"/>
    <w:rsid w:val="00C768BC"/>
    <w:rsid w:val="00C76B1C"/>
    <w:rsid w:val="00C77DA7"/>
    <w:rsid w:val="00C839B9"/>
    <w:rsid w:val="00C8472F"/>
    <w:rsid w:val="00C87577"/>
    <w:rsid w:val="00C8762B"/>
    <w:rsid w:val="00C90085"/>
    <w:rsid w:val="00C9018C"/>
    <w:rsid w:val="00C9036D"/>
    <w:rsid w:val="00C90E31"/>
    <w:rsid w:val="00C91110"/>
    <w:rsid w:val="00C9320C"/>
    <w:rsid w:val="00C941DD"/>
    <w:rsid w:val="00C9525E"/>
    <w:rsid w:val="00C95B4F"/>
    <w:rsid w:val="00C95FED"/>
    <w:rsid w:val="00C96CDC"/>
    <w:rsid w:val="00CA0C27"/>
    <w:rsid w:val="00CA1394"/>
    <w:rsid w:val="00CA1B68"/>
    <w:rsid w:val="00CA2E9A"/>
    <w:rsid w:val="00CA413F"/>
    <w:rsid w:val="00CA5F68"/>
    <w:rsid w:val="00CA62D9"/>
    <w:rsid w:val="00CA631C"/>
    <w:rsid w:val="00CA644C"/>
    <w:rsid w:val="00CA7E0E"/>
    <w:rsid w:val="00CB01CB"/>
    <w:rsid w:val="00CB1C2C"/>
    <w:rsid w:val="00CB41A5"/>
    <w:rsid w:val="00CB6A1D"/>
    <w:rsid w:val="00CB7441"/>
    <w:rsid w:val="00CB7E50"/>
    <w:rsid w:val="00CC0385"/>
    <w:rsid w:val="00CC4A57"/>
    <w:rsid w:val="00CC5671"/>
    <w:rsid w:val="00CC5A5E"/>
    <w:rsid w:val="00CD03F7"/>
    <w:rsid w:val="00CD1072"/>
    <w:rsid w:val="00CD16A5"/>
    <w:rsid w:val="00CD2B4A"/>
    <w:rsid w:val="00CD39F7"/>
    <w:rsid w:val="00CD565D"/>
    <w:rsid w:val="00CD58B6"/>
    <w:rsid w:val="00CD7F2A"/>
    <w:rsid w:val="00CE0972"/>
    <w:rsid w:val="00CE27EF"/>
    <w:rsid w:val="00CE6859"/>
    <w:rsid w:val="00CE7019"/>
    <w:rsid w:val="00CF0DF4"/>
    <w:rsid w:val="00CF0EC8"/>
    <w:rsid w:val="00CF1D3A"/>
    <w:rsid w:val="00CF256D"/>
    <w:rsid w:val="00CF2943"/>
    <w:rsid w:val="00CF39FD"/>
    <w:rsid w:val="00CF48FF"/>
    <w:rsid w:val="00D005C0"/>
    <w:rsid w:val="00D013B9"/>
    <w:rsid w:val="00D02A55"/>
    <w:rsid w:val="00D0335A"/>
    <w:rsid w:val="00D068F1"/>
    <w:rsid w:val="00D07CEB"/>
    <w:rsid w:val="00D10C81"/>
    <w:rsid w:val="00D14A28"/>
    <w:rsid w:val="00D159E3"/>
    <w:rsid w:val="00D163F2"/>
    <w:rsid w:val="00D17B90"/>
    <w:rsid w:val="00D218A2"/>
    <w:rsid w:val="00D22A14"/>
    <w:rsid w:val="00D25447"/>
    <w:rsid w:val="00D2583C"/>
    <w:rsid w:val="00D268CD"/>
    <w:rsid w:val="00D26E32"/>
    <w:rsid w:val="00D26EE7"/>
    <w:rsid w:val="00D3155B"/>
    <w:rsid w:val="00D31889"/>
    <w:rsid w:val="00D3228C"/>
    <w:rsid w:val="00D32802"/>
    <w:rsid w:val="00D33665"/>
    <w:rsid w:val="00D33912"/>
    <w:rsid w:val="00D35514"/>
    <w:rsid w:val="00D35984"/>
    <w:rsid w:val="00D363FE"/>
    <w:rsid w:val="00D40A3D"/>
    <w:rsid w:val="00D40E12"/>
    <w:rsid w:val="00D43636"/>
    <w:rsid w:val="00D43D01"/>
    <w:rsid w:val="00D455B5"/>
    <w:rsid w:val="00D45761"/>
    <w:rsid w:val="00D472FE"/>
    <w:rsid w:val="00D51584"/>
    <w:rsid w:val="00D51CFF"/>
    <w:rsid w:val="00D53254"/>
    <w:rsid w:val="00D55A5F"/>
    <w:rsid w:val="00D579F2"/>
    <w:rsid w:val="00D57E77"/>
    <w:rsid w:val="00D60B6C"/>
    <w:rsid w:val="00D6184C"/>
    <w:rsid w:val="00D62009"/>
    <w:rsid w:val="00D62C06"/>
    <w:rsid w:val="00D6599C"/>
    <w:rsid w:val="00D66B07"/>
    <w:rsid w:val="00D670FA"/>
    <w:rsid w:val="00D67703"/>
    <w:rsid w:val="00D70CDC"/>
    <w:rsid w:val="00D7125F"/>
    <w:rsid w:val="00D7182C"/>
    <w:rsid w:val="00D729FC"/>
    <w:rsid w:val="00D73A19"/>
    <w:rsid w:val="00D742A1"/>
    <w:rsid w:val="00D75D6E"/>
    <w:rsid w:val="00D75FAE"/>
    <w:rsid w:val="00D7671A"/>
    <w:rsid w:val="00D777DA"/>
    <w:rsid w:val="00D80496"/>
    <w:rsid w:val="00D806A5"/>
    <w:rsid w:val="00D82A74"/>
    <w:rsid w:val="00D83362"/>
    <w:rsid w:val="00D834F6"/>
    <w:rsid w:val="00D83A0D"/>
    <w:rsid w:val="00D84A15"/>
    <w:rsid w:val="00D85EC8"/>
    <w:rsid w:val="00D876AF"/>
    <w:rsid w:val="00D87B9F"/>
    <w:rsid w:val="00D87C9E"/>
    <w:rsid w:val="00D87FE8"/>
    <w:rsid w:val="00D9011B"/>
    <w:rsid w:val="00D93827"/>
    <w:rsid w:val="00D95088"/>
    <w:rsid w:val="00D953B8"/>
    <w:rsid w:val="00D972CD"/>
    <w:rsid w:val="00D979D2"/>
    <w:rsid w:val="00DA0864"/>
    <w:rsid w:val="00DA1C88"/>
    <w:rsid w:val="00DA1E91"/>
    <w:rsid w:val="00DA218C"/>
    <w:rsid w:val="00DA3D14"/>
    <w:rsid w:val="00DA41B7"/>
    <w:rsid w:val="00DA5ED8"/>
    <w:rsid w:val="00DA664B"/>
    <w:rsid w:val="00DB3510"/>
    <w:rsid w:val="00DB4242"/>
    <w:rsid w:val="00DB52E1"/>
    <w:rsid w:val="00DB5549"/>
    <w:rsid w:val="00DB632F"/>
    <w:rsid w:val="00DB7FC4"/>
    <w:rsid w:val="00DC0459"/>
    <w:rsid w:val="00DC0E84"/>
    <w:rsid w:val="00DC37D9"/>
    <w:rsid w:val="00DC657D"/>
    <w:rsid w:val="00DC6B2D"/>
    <w:rsid w:val="00DD005B"/>
    <w:rsid w:val="00DD23FE"/>
    <w:rsid w:val="00DD2834"/>
    <w:rsid w:val="00DD346F"/>
    <w:rsid w:val="00DD382F"/>
    <w:rsid w:val="00DD3D50"/>
    <w:rsid w:val="00DD3DFD"/>
    <w:rsid w:val="00DD3F45"/>
    <w:rsid w:val="00DD4115"/>
    <w:rsid w:val="00DD5A76"/>
    <w:rsid w:val="00DD712F"/>
    <w:rsid w:val="00DD7A10"/>
    <w:rsid w:val="00DE13CB"/>
    <w:rsid w:val="00DE1C24"/>
    <w:rsid w:val="00DE4A42"/>
    <w:rsid w:val="00DE5A51"/>
    <w:rsid w:val="00DE6CDF"/>
    <w:rsid w:val="00DF11E1"/>
    <w:rsid w:val="00DF143A"/>
    <w:rsid w:val="00DF2FB1"/>
    <w:rsid w:val="00DF4892"/>
    <w:rsid w:val="00DF5844"/>
    <w:rsid w:val="00DF61C8"/>
    <w:rsid w:val="00DF6AEC"/>
    <w:rsid w:val="00E0054D"/>
    <w:rsid w:val="00E00AD5"/>
    <w:rsid w:val="00E032F5"/>
    <w:rsid w:val="00E0650B"/>
    <w:rsid w:val="00E07C8C"/>
    <w:rsid w:val="00E10C0C"/>
    <w:rsid w:val="00E1192E"/>
    <w:rsid w:val="00E11CA9"/>
    <w:rsid w:val="00E14667"/>
    <w:rsid w:val="00E20A22"/>
    <w:rsid w:val="00E214ED"/>
    <w:rsid w:val="00E225CB"/>
    <w:rsid w:val="00E22DC3"/>
    <w:rsid w:val="00E243AE"/>
    <w:rsid w:val="00E25107"/>
    <w:rsid w:val="00E262BB"/>
    <w:rsid w:val="00E264C1"/>
    <w:rsid w:val="00E26FCC"/>
    <w:rsid w:val="00E271FF"/>
    <w:rsid w:val="00E2791A"/>
    <w:rsid w:val="00E27B6C"/>
    <w:rsid w:val="00E307AA"/>
    <w:rsid w:val="00E31D1E"/>
    <w:rsid w:val="00E31FF9"/>
    <w:rsid w:val="00E3202F"/>
    <w:rsid w:val="00E32C39"/>
    <w:rsid w:val="00E32F51"/>
    <w:rsid w:val="00E34F1D"/>
    <w:rsid w:val="00E36284"/>
    <w:rsid w:val="00E36C3B"/>
    <w:rsid w:val="00E413B5"/>
    <w:rsid w:val="00E43888"/>
    <w:rsid w:val="00E43E6B"/>
    <w:rsid w:val="00E45F5F"/>
    <w:rsid w:val="00E470B7"/>
    <w:rsid w:val="00E50B60"/>
    <w:rsid w:val="00E514BF"/>
    <w:rsid w:val="00E5158A"/>
    <w:rsid w:val="00E51CC4"/>
    <w:rsid w:val="00E521AD"/>
    <w:rsid w:val="00E530C9"/>
    <w:rsid w:val="00E53F36"/>
    <w:rsid w:val="00E53F4A"/>
    <w:rsid w:val="00E541DA"/>
    <w:rsid w:val="00E55885"/>
    <w:rsid w:val="00E60951"/>
    <w:rsid w:val="00E61928"/>
    <w:rsid w:val="00E62292"/>
    <w:rsid w:val="00E63806"/>
    <w:rsid w:val="00E63A55"/>
    <w:rsid w:val="00E63D2D"/>
    <w:rsid w:val="00E6460A"/>
    <w:rsid w:val="00E6460B"/>
    <w:rsid w:val="00E655E3"/>
    <w:rsid w:val="00E667E0"/>
    <w:rsid w:val="00E67F4F"/>
    <w:rsid w:val="00E734A6"/>
    <w:rsid w:val="00E74158"/>
    <w:rsid w:val="00E74864"/>
    <w:rsid w:val="00E7756D"/>
    <w:rsid w:val="00E81AB9"/>
    <w:rsid w:val="00E82B5F"/>
    <w:rsid w:val="00E83250"/>
    <w:rsid w:val="00E83B0E"/>
    <w:rsid w:val="00E83EB1"/>
    <w:rsid w:val="00E84005"/>
    <w:rsid w:val="00E843B6"/>
    <w:rsid w:val="00E84DD7"/>
    <w:rsid w:val="00E8697C"/>
    <w:rsid w:val="00E86D4D"/>
    <w:rsid w:val="00E8719B"/>
    <w:rsid w:val="00E874C0"/>
    <w:rsid w:val="00E91F41"/>
    <w:rsid w:val="00E9273E"/>
    <w:rsid w:val="00E9376C"/>
    <w:rsid w:val="00E93C29"/>
    <w:rsid w:val="00E9468E"/>
    <w:rsid w:val="00E957BB"/>
    <w:rsid w:val="00E95B73"/>
    <w:rsid w:val="00E95C8A"/>
    <w:rsid w:val="00E96BE8"/>
    <w:rsid w:val="00E96D06"/>
    <w:rsid w:val="00E97151"/>
    <w:rsid w:val="00E97819"/>
    <w:rsid w:val="00EA0A61"/>
    <w:rsid w:val="00EA0D22"/>
    <w:rsid w:val="00EA15FF"/>
    <w:rsid w:val="00EA29A7"/>
    <w:rsid w:val="00EA35EA"/>
    <w:rsid w:val="00EA4B9C"/>
    <w:rsid w:val="00EA51C9"/>
    <w:rsid w:val="00EA5B42"/>
    <w:rsid w:val="00EA5E19"/>
    <w:rsid w:val="00EA6FD9"/>
    <w:rsid w:val="00EB0E83"/>
    <w:rsid w:val="00EB1EE5"/>
    <w:rsid w:val="00EB240F"/>
    <w:rsid w:val="00EB497B"/>
    <w:rsid w:val="00EB4CFF"/>
    <w:rsid w:val="00EB5BD0"/>
    <w:rsid w:val="00EB6366"/>
    <w:rsid w:val="00EB6B96"/>
    <w:rsid w:val="00EB6CDD"/>
    <w:rsid w:val="00EB7107"/>
    <w:rsid w:val="00EC200B"/>
    <w:rsid w:val="00EC4201"/>
    <w:rsid w:val="00EC54BF"/>
    <w:rsid w:val="00EC59DE"/>
    <w:rsid w:val="00EC5ED2"/>
    <w:rsid w:val="00EC6F07"/>
    <w:rsid w:val="00EC727D"/>
    <w:rsid w:val="00ED0088"/>
    <w:rsid w:val="00ED078B"/>
    <w:rsid w:val="00ED5371"/>
    <w:rsid w:val="00ED6278"/>
    <w:rsid w:val="00ED6558"/>
    <w:rsid w:val="00ED6A54"/>
    <w:rsid w:val="00EE3833"/>
    <w:rsid w:val="00EE3D8C"/>
    <w:rsid w:val="00EE457C"/>
    <w:rsid w:val="00EE4EC6"/>
    <w:rsid w:val="00EE6BDB"/>
    <w:rsid w:val="00EE70CD"/>
    <w:rsid w:val="00EF2D89"/>
    <w:rsid w:val="00EF30B8"/>
    <w:rsid w:val="00EF78BA"/>
    <w:rsid w:val="00EF7ACC"/>
    <w:rsid w:val="00F003D7"/>
    <w:rsid w:val="00F00C84"/>
    <w:rsid w:val="00F013D3"/>
    <w:rsid w:val="00F01B22"/>
    <w:rsid w:val="00F040CD"/>
    <w:rsid w:val="00F05735"/>
    <w:rsid w:val="00F05802"/>
    <w:rsid w:val="00F0700F"/>
    <w:rsid w:val="00F108B3"/>
    <w:rsid w:val="00F11C31"/>
    <w:rsid w:val="00F122AC"/>
    <w:rsid w:val="00F12F41"/>
    <w:rsid w:val="00F1308A"/>
    <w:rsid w:val="00F14E5F"/>
    <w:rsid w:val="00F16B94"/>
    <w:rsid w:val="00F17FEB"/>
    <w:rsid w:val="00F210F6"/>
    <w:rsid w:val="00F2361E"/>
    <w:rsid w:val="00F24B43"/>
    <w:rsid w:val="00F26811"/>
    <w:rsid w:val="00F26CAB"/>
    <w:rsid w:val="00F2793D"/>
    <w:rsid w:val="00F3047E"/>
    <w:rsid w:val="00F3118A"/>
    <w:rsid w:val="00F31934"/>
    <w:rsid w:val="00F32172"/>
    <w:rsid w:val="00F3439F"/>
    <w:rsid w:val="00F346A2"/>
    <w:rsid w:val="00F3480A"/>
    <w:rsid w:val="00F34EA8"/>
    <w:rsid w:val="00F37C62"/>
    <w:rsid w:val="00F418A2"/>
    <w:rsid w:val="00F4516A"/>
    <w:rsid w:val="00F46262"/>
    <w:rsid w:val="00F47DF1"/>
    <w:rsid w:val="00F5188F"/>
    <w:rsid w:val="00F521E1"/>
    <w:rsid w:val="00F52374"/>
    <w:rsid w:val="00F54455"/>
    <w:rsid w:val="00F546EC"/>
    <w:rsid w:val="00F5524F"/>
    <w:rsid w:val="00F5749A"/>
    <w:rsid w:val="00F5790D"/>
    <w:rsid w:val="00F579AD"/>
    <w:rsid w:val="00F622B1"/>
    <w:rsid w:val="00F665A5"/>
    <w:rsid w:val="00F7160E"/>
    <w:rsid w:val="00F71B0F"/>
    <w:rsid w:val="00F72084"/>
    <w:rsid w:val="00F7265A"/>
    <w:rsid w:val="00F73F66"/>
    <w:rsid w:val="00F74348"/>
    <w:rsid w:val="00F745F7"/>
    <w:rsid w:val="00F74736"/>
    <w:rsid w:val="00F83A3D"/>
    <w:rsid w:val="00F85910"/>
    <w:rsid w:val="00F86901"/>
    <w:rsid w:val="00F872C3"/>
    <w:rsid w:val="00F900D8"/>
    <w:rsid w:val="00F90109"/>
    <w:rsid w:val="00F9179A"/>
    <w:rsid w:val="00F923B9"/>
    <w:rsid w:val="00F94A35"/>
    <w:rsid w:val="00F95006"/>
    <w:rsid w:val="00F95B81"/>
    <w:rsid w:val="00F96F69"/>
    <w:rsid w:val="00F97183"/>
    <w:rsid w:val="00F976E3"/>
    <w:rsid w:val="00F97B47"/>
    <w:rsid w:val="00FA1DF7"/>
    <w:rsid w:val="00FA267D"/>
    <w:rsid w:val="00FA2E9A"/>
    <w:rsid w:val="00FA5B92"/>
    <w:rsid w:val="00FA5D0B"/>
    <w:rsid w:val="00FA7118"/>
    <w:rsid w:val="00FB05C3"/>
    <w:rsid w:val="00FB4220"/>
    <w:rsid w:val="00FB65BE"/>
    <w:rsid w:val="00FB6EAE"/>
    <w:rsid w:val="00FC0672"/>
    <w:rsid w:val="00FC0729"/>
    <w:rsid w:val="00FC121E"/>
    <w:rsid w:val="00FC38F7"/>
    <w:rsid w:val="00FC3E36"/>
    <w:rsid w:val="00FC50A2"/>
    <w:rsid w:val="00FC57D6"/>
    <w:rsid w:val="00FC682E"/>
    <w:rsid w:val="00FC69FD"/>
    <w:rsid w:val="00FD1AA3"/>
    <w:rsid w:val="00FD1BE5"/>
    <w:rsid w:val="00FD2DA2"/>
    <w:rsid w:val="00FD4E4B"/>
    <w:rsid w:val="00FD694A"/>
    <w:rsid w:val="00FE0C93"/>
    <w:rsid w:val="00FE1350"/>
    <w:rsid w:val="00FE1B39"/>
    <w:rsid w:val="00FE2878"/>
    <w:rsid w:val="00FE3643"/>
    <w:rsid w:val="00FE4228"/>
    <w:rsid w:val="00FE4CF9"/>
    <w:rsid w:val="00FE554E"/>
    <w:rsid w:val="00FE62F0"/>
    <w:rsid w:val="00FE641E"/>
    <w:rsid w:val="00FE7880"/>
    <w:rsid w:val="00FF32B8"/>
    <w:rsid w:val="00FF45DD"/>
    <w:rsid w:val="00FF6782"/>
    <w:rsid w:val="00FF6B03"/>
    <w:rsid w:val="00FF7128"/>
    <w:rsid w:val="00FF72B2"/>
    <w:rsid w:val="00FF7BD8"/>
    <w:rsid w:val="085B80F7"/>
    <w:rsid w:val="167C299A"/>
    <w:rsid w:val="2D0D95AE"/>
    <w:rsid w:val="2D1772FC"/>
    <w:rsid w:val="3377A03C"/>
    <w:rsid w:val="38E9D2A5"/>
    <w:rsid w:val="3B95A3DF"/>
    <w:rsid w:val="49A7FF34"/>
    <w:rsid w:val="49F1D950"/>
    <w:rsid w:val="6B184C08"/>
    <w:rsid w:val="6BFA5971"/>
    <w:rsid w:val="7038E7D3"/>
    <w:rsid w:val="74235E9F"/>
    <w:rsid w:val="7839040F"/>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8CA85"/>
  <w15:chartTrackingRefBased/>
  <w15:docId w15:val="{83A4C0F7-6B95-144A-855B-6670F2EAB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9"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7"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qFormat/>
    <w:rsid w:val="000A55E3"/>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376C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6C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76C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6C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6C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6CA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6CA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6CA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6CA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6C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6C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76C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6C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6C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6C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6C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6C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6CA8"/>
    <w:rPr>
      <w:rFonts w:eastAsiaTheme="majorEastAsia" w:cstheme="majorBidi"/>
      <w:color w:val="272727" w:themeColor="text1" w:themeTint="D8"/>
    </w:rPr>
  </w:style>
  <w:style w:type="paragraph" w:styleId="Title">
    <w:name w:val="Title"/>
    <w:basedOn w:val="Normal"/>
    <w:next w:val="Normal"/>
    <w:link w:val="TitleChar"/>
    <w:uiPriority w:val="10"/>
    <w:qFormat/>
    <w:rsid w:val="00376CA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6C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6C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6C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6CA8"/>
    <w:pPr>
      <w:spacing w:before="160"/>
      <w:jc w:val="center"/>
    </w:pPr>
    <w:rPr>
      <w:i/>
      <w:iCs/>
      <w:color w:val="404040" w:themeColor="text1" w:themeTint="BF"/>
    </w:rPr>
  </w:style>
  <w:style w:type="character" w:customStyle="1" w:styleId="QuoteChar">
    <w:name w:val="Quote Char"/>
    <w:basedOn w:val="DefaultParagraphFont"/>
    <w:link w:val="Quote"/>
    <w:uiPriority w:val="29"/>
    <w:rsid w:val="00376CA8"/>
    <w:rPr>
      <w:i/>
      <w:iCs/>
      <w:color w:val="404040" w:themeColor="text1" w:themeTint="BF"/>
    </w:rPr>
  </w:style>
  <w:style w:type="paragraph" w:styleId="ListParagraph">
    <w:name w:val="List Paragraph"/>
    <w:basedOn w:val="Normal"/>
    <w:uiPriority w:val="34"/>
    <w:qFormat/>
    <w:rsid w:val="00376CA8"/>
    <w:pPr>
      <w:ind w:left="720"/>
      <w:contextualSpacing/>
    </w:pPr>
  </w:style>
  <w:style w:type="character" w:styleId="IntenseEmphasis">
    <w:name w:val="Intense Emphasis"/>
    <w:basedOn w:val="DefaultParagraphFont"/>
    <w:uiPriority w:val="21"/>
    <w:qFormat/>
    <w:rsid w:val="00376CA8"/>
    <w:rPr>
      <w:i/>
      <w:iCs/>
      <w:color w:val="0F4761" w:themeColor="accent1" w:themeShade="BF"/>
    </w:rPr>
  </w:style>
  <w:style w:type="paragraph" w:styleId="IntenseQuote">
    <w:name w:val="Intense Quote"/>
    <w:basedOn w:val="Normal"/>
    <w:next w:val="Normal"/>
    <w:link w:val="IntenseQuoteChar"/>
    <w:uiPriority w:val="30"/>
    <w:qFormat/>
    <w:rsid w:val="00376C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6CA8"/>
    <w:rPr>
      <w:i/>
      <w:iCs/>
      <w:color w:val="0F4761" w:themeColor="accent1" w:themeShade="BF"/>
    </w:rPr>
  </w:style>
  <w:style w:type="character" w:styleId="IntenseReference">
    <w:name w:val="Intense Reference"/>
    <w:basedOn w:val="DefaultParagraphFont"/>
    <w:uiPriority w:val="32"/>
    <w:qFormat/>
    <w:rsid w:val="00376CA8"/>
    <w:rPr>
      <w:b/>
      <w:bCs/>
      <w:smallCaps/>
      <w:color w:val="0F4761" w:themeColor="accent1" w:themeShade="BF"/>
      <w:spacing w:val="5"/>
    </w:rPr>
  </w:style>
  <w:style w:type="paragraph" w:customStyle="1" w:styleId="ThesisBody">
    <w:name w:val="Thesis Body"/>
    <w:next w:val="ThesisBodyIndent"/>
    <w:link w:val="ThesisBodyChar"/>
    <w:qFormat/>
    <w:rsid w:val="00BB3717"/>
    <w:pPr>
      <w:spacing w:before="320" w:after="320" w:line="360" w:lineRule="auto"/>
      <w:jc w:val="both"/>
    </w:pPr>
    <w:rPr>
      <w:kern w:val="0"/>
      <w:szCs w:val="22"/>
      <w:lang w:val="en-GB"/>
      <w14:ligatures w14:val="none"/>
    </w:rPr>
  </w:style>
  <w:style w:type="paragraph" w:customStyle="1" w:styleId="ThesisBodyIndent">
    <w:name w:val="Thesis Body Indent"/>
    <w:basedOn w:val="ThesisBody"/>
    <w:qFormat/>
    <w:rsid w:val="00BB3717"/>
    <w:pPr>
      <w:ind w:firstLine="425"/>
    </w:pPr>
  </w:style>
  <w:style w:type="paragraph" w:styleId="Header">
    <w:name w:val="header"/>
    <w:aliases w:val="Thesis Header"/>
    <w:basedOn w:val="Normal"/>
    <w:link w:val="HeaderChar"/>
    <w:uiPriority w:val="99"/>
    <w:rsid w:val="00BB3717"/>
    <w:pPr>
      <w:tabs>
        <w:tab w:val="center" w:pos="4513"/>
        <w:tab w:val="right" w:pos="9026"/>
      </w:tabs>
    </w:pPr>
  </w:style>
  <w:style w:type="character" w:customStyle="1" w:styleId="HeaderChar">
    <w:name w:val="Header Char"/>
    <w:aliases w:val="Thesis Header Char"/>
    <w:basedOn w:val="DefaultParagraphFont"/>
    <w:link w:val="Header"/>
    <w:uiPriority w:val="99"/>
    <w:rsid w:val="00BB3717"/>
    <w:rPr>
      <w:kern w:val="0"/>
      <w:sz w:val="22"/>
      <w:szCs w:val="22"/>
      <w:lang w:val="en-GB"/>
      <w14:ligatures w14:val="none"/>
    </w:rPr>
  </w:style>
  <w:style w:type="paragraph" w:styleId="Footer">
    <w:name w:val="footer"/>
    <w:aliases w:val="Thesis Footer"/>
    <w:basedOn w:val="ThesisBody"/>
    <w:link w:val="FooterChar"/>
    <w:uiPriority w:val="7"/>
    <w:qFormat/>
    <w:rsid w:val="00BB3717"/>
    <w:pPr>
      <w:tabs>
        <w:tab w:val="center" w:pos="4513"/>
        <w:tab w:val="right" w:pos="9026"/>
      </w:tabs>
      <w:spacing w:after="0" w:line="240" w:lineRule="auto"/>
    </w:pPr>
    <w:rPr>
      <w:sz w:val="22"/>
    </w:rPr>
  </w:style>
  <w:style w:type="character" w:customStyle="1" w:styleId="FooterChar">
    <w:name w:val="Footer Char"/>
    <w:aliases w:val="Thesis Footer Char"/>
    <w:basedOn w:val="DefaultParagraphFont"/>
    <w:link w:val="Footer"/>
    <w:uiPriority w:val="7"/>
    <w:rsid w:val="00BB3717"/>
    <w:rPr>
      <w:kern w:val="0"/>
      <w:sz w:val="22"/>
      <w:szCs w:val="22"/>
      <w:lang w:val="en-GB"/>
      <w14:ligatures w14:val="none"/>
    </w:rPr>
  </w:style>
  <w:style w:type="paragraph" w:customStyle="1" w:styleId="CoverHeading">
    <w:name w:val="Cover Heading"/>
    <w:link w:val="CoverHeadingChar"/>
    <w:uiPriority w:val="6"/>
    <w:qFormat/>
    <w:rsid w:val="00BB3717"/>
    <w:pPr>
      <w:spacing w:before="960" w:after="480" w:line="240" w:lineRule="auto"/>
    </w:pPr>
    <w:rPr>
      <w:rFonts w:asciiTheme="majorHAnsi" w:hAnsiTheme="majorHAnsi"/>
      <w:smallCaps/>
      <w:kern w:val="0"/>
      <w:sz w:val="32"/>
      <w:szCs w:val="22"/>
      <w:lang w:val="en-GB"/>
      <w14:ligatures w14:val="none"/>
    </w:rPr>
  </w:style>
  <w:style w:type="character" w:customStyle="1" w:styleId="CoverHeadingChar">
    <w:name w:val="Cover Heading Char"/>
    <w:basedOn w:val="DefaultParagraphFont"/>
    <w:link w:val="CoverHeading"/>
    <w:uiPriority w:val="6"/>
    <w:rsid w:val="00BB3717"/>
    <w:rPr>
      <w:rFonts w:asciiTheme="majorHAnsi" w:hAnsiTheme="majorHAnsi"/>
      <w:smallCaps/>
      <w:kern w:val="0"/>
      <w:sz w:val="32"/>
      <w:szCs w:val="22"/>
      <w:lang w:val="en-GB"/>
      <w14:ligatures w14:val="none"/>
    </w:rPr>
  </w:style>
  <w:style w:type="character" w:customStyle="1" w:styleId="ThesisBodyChar">
    <w:name w:val="Thesis Body Char"/>
    <w:basedOn w:val="DefaultParagraphFont"/>
    <w:link w:val="ThesisBody"/>
    <w:rsid w:val="00BB3717"/>
    <w:rPr>
      <w:kern w:val="0"/>
      <w:szCs w:val="22"/>
      <w:lang w:val="en-GB"/>
      <w14:ligatures w14:val="none"/>
    </w:rPr>
  </w:style>
  <w:style w:type="paragraph" w:styleId="TOC1">
    <w:name w:val="toc 1"/>
    <w:aliases w:val="Thesis Table of Contents Level 1"/>
    <w:basedOn w:val="Normal"/>
    <w:next w:val="Normal"/>
    <w:uiPriority w:val="39"/>
    <w:qFormat/>
    <w:rsid w:val="00F14E5F"/>
    <w:pPr>
      <w:spacing w:before="120"/>
    </w:pPr>
    <w:rPr>
      <w:rFonts w:asciiTheme="minorHAnsi" w:hAnsiTheme="minorHAnsi"/>
      <w:b/>
      <w:bCs/>
      <w:i/>
      <w:iCs/>
    </w:rPr>
  </w:style>
  <w:style w:type="paragraph" w:styleId="TOC2">
    <w:name w:val="toc 2"/>
    <w:aliases w:val="Thesis Table of Contents Level 2"/>
    <w:basedOn w:val="Normal"/>
    <w:next w:val="Normal"/>
    <w:uiPriority w:val="39"/>
    <w:qFormat/>
    <w:rsid w:val="005318A9"/>
    <w:pPr>
      <w:spacing w:before="120"/>
      <w:ind w:left="240"/>
    </w:pPr>
    <w:rPr>
      <w:rFonts w:asciiTheme="minorHAnsi" w:hAnsiTheme="minorHAnsi"/>
      <w:b/>
      <w:bCs/>
      <w:sz w:val="22"/>
      <w:szCs w:val="22"/>
    </w:rPr>
  </w:style>
  <w:style w:type="paragraph" w:styleId="TOC3">
    <w:name w:val="toc 3"/>
    <w:aliases w:val="Thesis Table of Contents Level 3"/>
    <w:basedOn w:val="Normal"/>
    <w:next w:val="Normal"/>
    <w:uiPriority w:val="39"/>
    <w:qFormat/>
    <w:rsid w:val="00B13801"/>
    <w:pPr>
      <w:ind w:left="480"/>
    </w:pPr>
    <w:rPr>
      <w:rFonts w:asciiTheme="minorHAnsi" w:hAnsiTheme="minorHAnsi"/>
      <w:sz w:val="20"/>
      <w:szCs w:val="20"/>
    </w:rPr>
  </w:style>
  <w:style w:type="character" w:styleId="Hyperlink">
    <w:name w:val="Hyperlink"/>
    <w:aliases w:val="Thesis Hyperlink"/>
    <w:basedOn w:val="DefaultParagraphFont"/>
    <w:uiPriority w:val="99"/>
    <w:qFormat/>
    <w:rsid w:val="00B13801"/>
    <w:rPr>
      <w:rFonts w:asciiTheme="minorHAnsi" w:hAnsiTheme="minorHAnsi"/>
      <w:color w:val="156082" w:themeColor="accent1"/>
      <w:sz w:val="24"/>
      <w:u w:val="none"/>
    </w:rPr>
  </w:style>
  <w:style w:type="paragraph" w:styleId="TOC4">
    <w:name w:val="toc 4"/>
    <w:aliases w:val="Thesis Table of Contents Level 4"/>
    <w:basedOn w:val="Normal"/>
    <w:next w:val="Normal"/>
    <w:uiPriority w:val="9"/>
    <w:qFormat/>
    <w:rsid w:val="00B13801"/>
    <w:pPr>
      <w:ind w:left="720"/>
    </w:pPr>
    <w:rPr>
      <w:rFonts w:asciiTheme="minorHAnsi" w:hAnsiTheme="minorHAnsi"/>
      <w:sz w:val="20"/>
      <w:szCs w:val="20"/>
    </w:rPr>
  </w:style>
  <w:style w:type="paragraph" w:customStyle="1" w:styleId="ThesisSection">
    <w:name w:val="Thesis Section"/>
    <w:next w:val="ThesisHeading"/>
    <w:link w:val="ThesisSectionChar"/>
    <w:uiPriority w:val="1"/>
    <w:qFormat/>
    <w:rsid w:val="00BB06BE"/>
    <w:pPr>
      <w:numPr>
        <w:numId w:val="1"/>
      </w:numPr>
      <w:spacing w:before="1920" w:after="960" w:line="360" w:lineRule="auto"/>
      <w:outlineLvl w:val="0"/>
    </w:pPr>
    <w:rPr>
      <w:rFonts w:ascii="Garamond" w:eastAsiaTheme="majorEastAsia" w:hAnsi="Garamond" w:cstheme="majorBidi"/>
      <w:smallCaps/>
      <w:spacing w:val="20"/>
      <w:kern w:val="56"/>
      <w:sz w:val="40"/>
      <w:szCs w:val="56"/>
      <w:lang w:val="en-GB"/>
      <w14:ligatures w14:val="none"/>
    </w:rPr>
  </w:style>
  <w:style w:type="character" w:customStyle="1" w:styleId="ThesisSectionChar">
    <w:name w:val="Thesis Section Char"/>
    <w:basedOn w:val="TitleChar"/>
    <w:link w:val="ThesisSection"/>
    <w:uiPriority w:val="1"/>
    <w:rsid w:val="00BB06BE"/>
    <w:rPr>
      <w:rFonts w:ascii="Garamond" w:eastAsiaTheme="majorEastAsia" w:hAnsi="Garamond" w:cstheme="majorBidi"/>
      <w:smallCaps/>
      <w:spacing w:val="20"/>
      <w:kern w:val="56"/>
      <w:sz w:val="40"/>
      <w:szCs w:val="56"/>
      <w:lang w:val="en-GB"/>
      <w14:ligatures w14:val="none"/>
    </w:rPr>
  </w:style>
  <w:style w:type="paragraph" w:customStyle="1" w:styleId="ThesisSubheading">
    <w:name w:val="Thesis Subheading"/>
    <w:basedOn w:val="ThesisHeading"/>
    <w:next w:val="ThesisBody"/>
    <w:link w:val="ThesisSubheadingChar"/>
    <w:uiPriority w:val="2"/>
    <w:qFormat/>
    <w:rsid w:val="00565AFD"/>
    <w:pPr>
      <w:numPr>
        <w:ilvl w:val="2"/>
      </w:numPr>
      <w:spacing w:before="640" w:after="320"/>
      <w:outlineLvl w:val="2"/>
    </w:pPr>
    <w:rPr>
      <w:smallCaps w:val="0"/>
      <w:sz w:val="28"/>
    </w:rPr>
  </w:style>
  <w:style w:type="paragraph" w:customStyle="1" w:styleId="ThesisHeading">
    <w:name w:val="Thesis Heading"/>
    <w:basedOn w:val="ThesisSection"/>
    <w:next w:val="ThesisBody"/>
    <w:link w:val="ThesisHeadingChar"/>
    <w:uiPriority w:val="2"/>
    <w:qFormat/>
    <w:rsid w:val="00565AFD"/>
    <w:pPr>
      <w:numPr>
        <w:ilvl w:val="1"/>
      </w:numPr>
      <w:spacing w:before="720" w:after="360"/>
      <w:outlineLvl w:val="1"/>
    </w:pPr>
    <w:rPr>
      <w:sz w:val="32"/>
    </w:rPr>
  </w:style>
  <w:style w:type="character" w:customStyle="1" w:styleId="ThesisHeadingChar">
    <w:name w:val="Thesis Heading Char"/>
    <w:basedOn w:val="DefaultParagraphFont"/>
    <w:link w:val="ThesisHeading"/>
    <w:uiPriority w:val="2"/>
    <w:rsid w:val="00565AFD"/>
    <w:rPr>
      <w:rFonts w:asciiTheme="majorHAnsi" w:eastAsiaTheme="majorEastAsia" w:hAnsiTheme="majorHAnsi" w:cstheme="majorBidi"/>
      <w:smallCaps/>
      <w:spacing w:val="20"/>
      <w:kern w:val="56"/>
      <w:sz w:val="32"/>
      <w:szCs w:val="56"/>
      <w:lang w:val="en-GB"/>
      <w14:ligatures w14:val="none"/>
    </w:rPr>
  </w:style>
  <w:style w:type="character" w:customStyle="1" w:styleId="ThesisSubheadingChar">
    <w:name w:val="Thesis Subheading Char"/>
    <w:basedOn w:val="ThesisHeadingChar"/>
    <w:link w:val="ThesisSubheading"/>
    <w:uiPriority w:val="2"/>
    <w:rsid w:val="00565AFD"/>
    <w:rPr>
      <w:rFonts w:asciiTheme="majorHAnsi" w:eastAsiaTheme="majorEastAsia" w:hAnsiTheme="majorHAnsi" w:cstheme="majorBidi"/>
      <w:smallCaps w:val="0"/>
      <w:spacing w:val="20"/>
      <w:kern w:val="56"/>
      <w:sz w:val="28"/>
      <w:szCs w:val="56"/>
      <w:lang w:val="en-GB"/>
      <w14:ligatures w14:val="none"/>
    </w:rPr>
  </w:style>
  <w:style w:type="paragraph" w:customStyle="1" w:styleId="ThesisSub-subheading">
    <w:name w:val="Thesis Sub-subheading"/>
    <w:basedOn w:val="ThesisSubheading"/>
    <w:next w:val="ThesisBody"/>
    <w:uiPriority w:val="2"/>
    <w:qFormat/>
    <w:rsid w:val="00F122AC"/>
    <w:pPr>
      <w:numPr>
        <w:ilvl w:val="0"/>
        <w:numId w:val="0"/>
      </w:numPr>
      <w:outlineLvl w:val="3"/>
    </w:pPr>
    <w:rPr>
      <w:spacing w:val="10"/>
      <w:sz w:val="26"/>
    </w:rPr>
  </w:style>
  <w:style w:type="paragraph" w:styleId="FootnoteText">
    <w:name w:val="footnote text"/>
    <w:basedOn w:val="Normal"/>
    <w:link w:val="FootnoteTextChar"/>
    <w:uiPriority w:val="99"/>
    <w:unhideWhenUsed/>
    <w:rsid w:val="000D6E89"/>
    <w:rPr>
      <w:kern w:val="2"/>
      <w:sz w:val="20"/>
      <w:szCs w:val="20"/>
      <w:lang w:val="nl-BE"/>
      <w14:ligatures w14:val="standardContextual"/>
    </w:rPr>
  </w:style>
  <w:style w:type="character" w:customStyle="1" w:styleId="FootnoteTextChar">
    <w:name w:val="Footnote Text Char"/>
    <w:basedOn w:val="DefaultParagraphFont"/>
    <w:link w:val="FootnoteText"/>
    <w:uiPriority w:val="99"/>
    <w:rsid w:val="000D6E89"/>
    <w:rPr>
      <w:sz w:val="20"/>
      <w:szCs w:val="20"/>
      <w:lang w:val="nl-BE"/>
    </w:rPr>
  </w:style>
  <w:style w:type="character" w:styleId="FootnoteReference">
    <w:name w:val="footnote reference"/>
    <w:basedOn w:val="DefaultParagraphFont"/>
    <w:uiPriority w:val="99"/>
    <w:semiHidden/>
    <w:unhideWhenUsed/>
    <w:rsid w:val="000D6E89"/>
    <w:rPr>
      <w:vertAlign w:val="superscript"/>
    </w:rPr>
  </w:style>
  <w:style w:type="character" w:styleId="CommentReference">
    <w:name w:val="annotation reference"/>
    <w:basedOn w:val="DefaultParagraphFont"/>
    <w:uiPriority w:val="99"/>
    <w:semiHidden/>
    <w:unhideWhenUsed/>
    <w:rsid w:val="007A4AC0"/>
    <w:rPr>
      <w:sz w:val="16"/>
      <w:szCs w:val="16"/>
    </w:rPr>
  </w:style>
  <w:style w:type="paragraph" w:styleId="CommentText">
    <w:name w:val="annotation text"/>
    <w:basedOn w:val="Normal"/>
    <w:link w:val="CommentTextChar"/>
    <w:uiPriority w:val="99"/>
    <w:unhideWhenUsed/>
    <w:rsid w:val="007A4AC0"/>
    <w:rPr>
      <w:kern w:val="2"/>
      <w:sz w:val="20"/>
      <w:szCs w:val="20"/>
      <w:lang w:val="nl-BE"/>
      <w14:ligatures w14:val="standardContextual"/>
    </w:rPr>
  </w:style>
  <w:style w:type="character" w:customStyle="1" w:styleId="CommentTextChar">
    <w:name w:val="Comment Text Char"/>
    <w:basedOn w:val="DefaultParagraphFont"/>
    <w:link w:val="CommentText"/>
    <w:uiPriority w:val="99"/>
    <w:rsid w:val="007A4AC0"/>
    <w:rPr>
      <w:sz w:val="20"/>
      <w:szCs w:val="20"/>
      <w:lang w:val="nl-BE"/>
    </w:rPr>
  </w:style>
  <w:style w:type="table" w:styleId="TableGrid">
    <w:name w:val="Table Grid"/>
    <w:basedOn w:val="TableNormal"/>
    <w:uiPriority w:val="39"/>
    <w:rsid w:val="007A4AC0"/>
    <w:pPr>
      <w:spacing w:after="0" w:line="240" w:lineRule="auto"/>
    </w:pPr>
    <w:rPr>
      <w:lang w:val="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11EC6"/>
    <w:rPr>
      <w:i/>
      <w:iCs/>
    </w:rPr>
  </w:style>
  <w:style w:type="character" w:styleId="PageNumber">
    <w:name w:val="page number"/>
    <w:basedOn w:val="DefaultParagraphFont"/>
    <w:uiPriority w:val="99"/>
    <w:semiHidden/>
    <w:unhideWhenUsed/>
    <w:rsid w:val="00350561"/>
  </w:style>
  <w:style w:type="paragraph" w:styleId="CommentSubject">
    <w:name w:val="annotation subject"/>
    <w:basedOn w:val="CommentText"/>
    <w:next w:val="CommentText"/>
    <w:link w:val="CommentSubjectChar"/>
    <w:uiPriority w:val="99"/>
    <w:semiHidden/>
    <w:unhideWhenUsed/>
    <w:rsid w:val="004E1096"/>
    <w:rPr>
      <w:b/>
      <w:bCs/>
      <w:kern w:val="0"/>
      <w:lang w:val="en-GB"/>
      <w14:ligatures w14:val="none"/>
    </w:rPr>
  </w:style>
  <w:style w:type="character" w:customStyle="1" w:styleId="CommentSubjectChar">
    <w:name w:val="Comment Subject Char"/>
    <w:basedOn w:val="CommentTextChar"/>
    <w:link w:val="CommentSubject"/>
    <w:uiPriority w:val="99"/>
    <w:semiHidden/>
    <w:rsid w:val="004E1096"/>
    <w:rPr>
      <w:b/>
      <w:bCs/>
      <w:kern w:val="0"/>
      <w:sz w:val="20"/>
      <w:szCs w:val="20"/>
      <w:lang w:val="en-GB"/>
      <w14:ligatures w14:val="none"/>
    </w:rPr>
  </w:style>
  <w:style w:type="paragraph" w:styleId="TOCHeading">
    <w:name w:val="TOC Heading"/>
    <w:basedOn w:val="Heading1"/>
    <w:next w:val="Normal"/>
    <w:uiPriority w:val="39"/>
    <w:unhideWhenUsed/>
    <w:qFormat/>
    <w:rsid w:val="00A877EB"/>
    <w:pPr>
      <w:spacing w:before="480" w:after="0" w:line="276" w:lineRule="auto"/>
      <w:outlineLvl w:val="9"/>
    </w:pPr>
    <w:rPr>
      <w:b/>
      <w:bCs/>
      <w:sz w:val="28"/>
      <w:szCs w:val="28"/>
      <w:lang w:val="en-US"/>
    </w:rPr>
  </w:style>
  <w:style w:type="paragraph" w:styleId="TOC5">
    <w:name w:val="toc 5"/>
    <w:basedOn w:val="Normal"/>
    <w:next w:val="Normal"/>
    <w:autoRedefine/>
    <w:uiPriority w:val="39"/>
    <w:unhideWhenUsed/>
    <w:rsid w:val="00A877EB"/>
    <w:pPr>
      <w:ind w:left="960"/>
    </w:pPr>
    <w:rPr>
      <w:rFonts w:asciiTheme="minorHAnsi" w:hAnsiTheme="minorHAnsi"/>
      <w:sz w:val="20"/>
      <w:szCs w:val="20"/>
    </w:rPr>
  </w:style>
  <w:style w:type="paragraph" w:styleId="TOC6">
    <w:name w:val="toc 6"/>
    <w:basedOn w:val="Normal"/>
    <w:next w:val="Normal"/>
    <w:autoRedefine/>
    <w:uiPriority w:val="39"/>
    <w:unhideWhenUsed/>
    <w:rsid w:val="00A877EB"/>
    <w:pPr>
      <w:ind w:left="1200"/>
    </w:pPr>
    <w:rPr>
      <w:rFonts w:asciiTheme="minorHAnsi" w:hAnsiTheme="minorHAnsi"/>
      <w:sz w:val="20"/>
      <w:szCs w:val="20"/>
    </w:rPr>
  </w:style>
  <w:style w:type="paragraph" w:styleId="TOC7">
    <w:name w:val="toc 7"/>
    <w:basedOn w:val="Normal"/>
    <w:next w:val="Normal"/>
    <w:autoRedefine/>
    <w:uiPriority w:val="39"/>
    <w:unhideWhenUsed/>
    <w:rsid w:val="00A877EB"/>
    <w:pPr>
      <w:ind w:left="1440"/>
    </w:pPr>
    <w:rPr>
      <w:rFonts w:asciiTheme="minorHAnsi" w:hAnsiTheme="minorHAnsi"/>
      <w:sz w:val="20"/>
      <w:szCs w:val="20"/>
    </w:rPr>
  </w:style>
  <w:style w:type="paragraph" w:styleId="TOC8">
    <w:name w:val="toc 8"/>
    <w:basedOn w:val="Normal"/>
    <w:next w:val="Normal"/>
    <w:autoRedefine/>
    <w:uiPriority w:val="39"/>
    <w:unhideWhenUsed/>
    <w:rsid w:val="00A877EB"/>
    <w:pPr>
      <w:ind w:left="1680"/>
    </w:pPr>
    <w:rPr>
      <w:rFonts w:asciiTheme="minorHAnsi" w:hAnsiTheme="minorHAnsi"/>
      <w:sz w:val="20"/>
      <w:szCs w:val="20"/>
    </w:rPr>
  </w:style>
  <w:style w:type="paragraph" w:styleId="TOC9">
    <w:name w:val="toc 9"/>
    <w:basedOn w:val="Normal"/>
    <w:next w:val="Normal"/>
    <w:autoRedefine/>
    <w:uiPriority w:val="39"/>
    <w:unhideWhenUsed/>
    <w:rsid w:val="00A877EB"/>
    <w:pPr>
      <w:ind w:left="1920"/>
    </w:pPr>
    <w:rPr>
      <w:rFonts w:asciiTheme="minorHAnsi" w:hAnsiTheme="minorHAnsi"/>
      <w:sz w:val="20"/>
      <w:szCs w:val="20"/>
    </w:rPr>
  </w:style>
  <w:style w:type="paragraph" w:styleId="NormalWeb">
    <w:name w:val="Normal (Web)"/>
    <w:basedOn w:val="Normal"/>
    <w:uiPriority w:val="99"/>
    <w:semiHidden/>
    <w:unhideWhenUsed/>
    <w:rsid w:val="006B0BBE"/>
  </w:style>
  <w:style w:type="table" w:styleId="PlainTable3">
    <w:name w:val="Plain Table 3"/>
    <w:basedOn w:val="TableNormal"/>
    <w:uiPriority w:val="43"/>
    <w:rsid w:val="009C188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0B162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35039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1B4E03"/>
    <w:rPr>
      <w:color w:val="605E5C"/>
      <w:shd w:val="clear" w:color="auto" w:fill="E1DFDD"/>
    </w:rPr>
  </w:style>
  <w:style w:type="paragraph" w:styleId="Caption">
    <w:name w:val="caption"/>
    <w:basedOn w:val="Normal"/>
    <w:next w:val="Normal"/>
    <w:uiPriority w:val="35"/>
    <w:unhideWhenUsed/>
    <w:qFormat/>
    <w:rsid w:val="00823661"/>
    <w:pPr>
      <w:spacing w:after="200"/>
    </w:pPr>
    <w:rPr>
      <w:i/>
      <w:iCs/>
      <w:color w:val="0E2841" w:themeColor="text2"/>
      <w:sz w:val="18"/>
      <w:szCs w:val="18"/>
    </w:rPr>
  </w:style>
  <w:style w:type="paragraph" w:styleId="NoSpacing">
    <w:name w:val="No Spacing"/>
    <w:uiPriority w:val="1"/>
    <w:qFormat/>
    <w:rsid w:val="003442CE"/>
    <w:pPr>
      <w:spacing w:after="0" w:line="240" w:lineRule="auto"/>
    </w:pPr>
    <w:rPr>
      <w:rFonts w:ascii="Times New Roman" w:eastAsia="Times New Roman" w:hAnsi="Times New Roman" w:cs="Times New Roman"/>
      <w:kern w:val="0"/>
      <w:lang w:eastAsia="en-GB"/>
      <w14:ligatures w14:val="none"/>
    </w:rPr>
  </w:style>
  <w:style w:type="character" w:styleId="SubtleEmphasis">
    <w:name w:val="Subtle Emphasis"/>
    <w:basedOn w:val="DefaultParagraphFont"/>
    <w:uiPriority w:val="19"/>
    <w:qFormat/>
    <w:rsid w:val="003442CE"/>
    <w:rPr>
      <w:i/>
      <w:iCs/>
      <w:color w:val="404040" w:themeColor="text1" w:themeTint="BF"/>
    </w:rPr>
  </w:style>
  <w:style w:type="character" w:customStyle="1" w:styleId="hoofdtitel">
    <w:name w:val="hoofdtitel"/>
    <w:uiPriority w:val="1"/>
    <w:rsid w:val="004B7501"/>
    <w:rPr>
      <w:rFonts w:ascii="Arial" w:hAnsi="Arial"/>
      <w:color w:val="31849B"/>
      <w:sz w:val="100"/>
    </w:rPr>
  </w:style>
  <w:style w:type="character" w:customStyle="1" w:styleId="subtitel">
    <w:name w:val="subtitel"/>
    <w:uiPriority w:val="1"/>
    <w:rsid w:val="004B7501"/>
    <w:rPr>
      <w:rFonts w:ascii="Arial" w:hAnsi="Arial"/>
      <w:color w:val="000000"/>
      <w:sz w:val="52"/>
    </w:rPr>
  </w:style>
  <w:style w:type="character" w:styleId="FollowedHyperlink">
    <w:name w:val="FollowedHyperlink"/>
    <w:basedOn w:val="DefaultParagraphFont"/>
    <w:uiPriority w:val="99"/>
    <w:semiHidden/>
    <w:unhideWhenUsed/>
    <w:rsid w:val="006A151B"/>
    <w:rPr>
      <w:color w:val="96607D" w:themeColor="followedHyperlink"/>
      <w:u w:val="single"/>
    </w:rPr>
  </w:style>
  <w:style w:type="character" w:styleId="Strong">
    <w:name w:val="Strong"/>
    <w:qFormat/>
    <w:rsid w:val="0019603C"/>
    <w:rPr>
      <w:b/>
      <w:bCs/>
    </w:rPr>
  </w:style>
  <w:style w:type="paragraph" w:styleId="TableofFigures">
    <w:name w:val="table of figures"/>
    <w:basedOn w:val="Normal"/>
    <w:next w:val="Normal"/>
    <w:uiPriority w:val="99"/>
    <w:unhideWhenUsed/>
    <w:rsid w:val="00C023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52877">
      <w:bodyDiv w:val="1"/>
      <w:marLeft w:val="0"/>
      <w:marRight w:val="0"/>
      <w:marTop w:val="0"/>
      <w:marBottom w:val="0"/>
      <w:divBdr>
        <w:top w:val="none" w:sz="0" w:space="0" w:color="auto"/>
        <w:left w:val="none" w:sz="0" w:space="0" w:color="auto"/>
        <w:bottom w:val="none" w:sz="0" w:space="0" w:color="auto"/>
        <w:right w:val="none" w:sz="0" w:space="0" w:color="auto"/>
      </w:divBdr>
    </w:div>
    <w:div w:id="61876824">
      <w:bodyDiv w:val="1"/>
      <w:marLeft w:val="0"/>
      <w:marRight w:val="0"/>
      <w:marTop w:val="0"/>
      <w:marBottom w:val="0"/>
      <w:divBdr>
        <w:top w:val="none" w:sz="0" w:space="0" w:color="auto"/>
        <w:left w:val="none" w:sz="0" w:space="0" w:color="auto"/>
        <w:bottom w:val="none" w:sz="0" w:space="0" w:color="auto"/>
        <w:right w:val="none" w:sz="0" w:space="0" w:color="auto"/>
      </w:divBdr>
    </w:div>
    <w:div w:id="88089021">
      <w:bodyDiv w:val="1"/>
      <w:marLeft w:val="0"/>
      <w:marRight w:val="0"/>
      <w:marTop w:val="0"/>
      <w:marBottom w:val="0"/>
      <w:divBdr>
        <w:top w:val="none" w:sz="0" w:space="0" w:color="auto"/>
        <w:left w:val="none" w:sz="0" w:space="0" w:color="auto"/>
        <w:bottom w:val="none" w:sz="0" w:space="0" w:color="auto"/>
        <w:right w:val="none" w:sz="0" w:space="0" w:color="auto"/>
      </w:divBdr>
    </w:div>
    <w:div w:id="118376391">
      <w:bodyDiv w:val="1"/>
      <w:marLeft w:val="0"/>
      <w:marRight w:val="0"/>
      <w:marTop w:val="0"/>
      <w:marBottom w:val="0"/>
      <w:divBdr>
        <w:top w:val="none" w:sz="0" w:space="0" w:color="auto"/>
        <w:left w:val="none" w:sz="0" w:space="0" w:color="auto"/>
        <w:bottom w:val="none" w:sz="0" w:space="0" w:color="auto"/>
        <w:right w:val="none" w:sz="0" w:space="0" w:color="auto"/>
      </w:divBdr>
    </w:div>
    <w:div w:id="138309977">
      <w:bodyDiv w:val="1"/>
      <w:marLeft w:val="0"/>
      <w:marRight w:val="0"/>
      <w:marTop w:val="0"/>
      <w:marBottom w:val="0"/>
      <w:divBdr>
        <w:top w:val="none" w:sz="0" w:space="0" w:color="auto"/>
        <w:left w:val="none" w:sz="0" w:space="0" w:color="auto"/>
        <w:bottom w:val="none" w:sz="0" w:space="0" w:color="auto"/>
        <w:right w:val="none" w:sz="0" w:space="0" w:color="auto"/>
      </w:divBdr>
    </w:div>
    <w:div w:id="148640030">
      <w:bodyDiv w:val="1"/>
      <w:marLeft w:val="0"/>
      <w:marRight w:val="0"/>
      <w:marTop w:val="0"/>
      <w:marBottom w:val="0"/>
      <w:divBdr>
        <w:top w:val="none" w:sz="0" w:space="0" w:color="auto"/>
        <w:left w:val="none" w:sz="0" w:space="0" w:color="auto"/>
        <w:bottom w:val="none" w:sz="0" w:space="0" w:color="auto"/>
        <w:right w:val="none" w:sz="0" w:space="0" w:color="auto"/>
      </w:divBdr>
    </w:div>
    <w:div w:id="166484579">
      <w:bodyDiv w:val="1"/>
      <w:marLeft w:val="0"/>
      <w:marRight w:val="0"/>
      <w:marTop w:val="0"/>
      <w:marBottom w:val="0"/>
      <w:divBdr>
        <w:top w:val="none" w:sz="0" w:space="0" w:color="auto"/>
        <w:left w:val="none" w:sz="0" w:space="0" w:color="auto"/>
        <w:bottom w:val="none" w:sz="0" w:space="0" w:color="auto"/>
        <w:right w:val="none" w:sz="0" w:space="0" w:color="auto"/>
      </w:divBdr>
    </w:div>
    <w:div w:id="175199020">
      <w:bodyDiv w:val="1"/>
      <w:marLeft w:val="0"/>
      <w:marRight w:val="0"/>
      <w:marTop w:val="0"/>
      <w:marBottom w:val="0"/>
      <w:divBdr>
        <w:top w:val="none" w:sz="0" w:space="0" w:color="auto"/>
        <w:left w:val="none" w:sz="0" w:space="0" w:color="auto"/>
        <w:bottom w:val="none" w:sz="0" w:space="0" w:color="auto"/>
        <w:right w:val="none" w:sz="0" w:space="0" w:color="auto"/>
      </w:divBdr>
      <w:divsChild>
        <w:div w:id="1311253120">
          <w:marLeft w:val="0"/>
          <w:marRight w:val="0"/>
          <w:marTop w:val="0"/>
          <w:marBottom w:val="0"/>
          <w:divBdr>
            <w:top w:val="none" w:sz="0" w:space="0" w:color="auto"/>
            <w:left w:val="none" w:sz="0" w:space="0" w:color="auto"/>
            <w:bottom w:val="none" w:sz="0" w:space="0" w:color="auto"/>
            <w:right w:val="none" w:sz="0" w:space="0" w:color="auto"/>
          </w:divBdr>
          <w:divsChild>
            <w:div w:id="2020153631">
              <w:marLeft w:val="0"/>
              <w:marRight w:val="0"/>
              <w:marTop w:val="0"/>
              <w:marBottom w:val="0"/>
              <w:divBdr>
                <w:top w:val="none" w:sz="0" w:space="0" w:color="auto"/>
                <w:left w:val="none" w:sz="0" w:space="0" w:color="auto"/>
                <w:bottom w:val="none" w:sz="0" w:space="0" w:color="auto"/>
                <w:right w:val="none" w:sz="0" w:space="0" w:color="auto"/>
              </w:divBdr>
              <w:divsChild>
                <w:div w:id="1758332308">
                  <w:marLeft w:val="0"/>
                  <w:marRight w:val="0"/>
                  <w:marTop w:val="0"/>
                  <w:marBottom w:val="0"/>
                  <w:divBdr>
                    <w:top w:val="none" w:sz="0" w:space="0" w:color="auto"/>
                    <w:left w:val="none" w:sz="0" w:space="0" w:color="auto"/>
                    <w:bottom w:val="none" w:sz="0" w:space="0" w:color="auto"/>
                    <w:right w:val="none" w:sz="0" w:space="0" w:color="auto"/>
                  </w:divBdr>
                  <w:divsChild>
                    <w:div w:id="155803005">
                      <w:marLeft w:val="0"/>
                      <w:marRight w:val="0"/>
                      <w:marTop w:val="0"/>
                      <w:marBottom w:val="0"/>
                      <w:divBdr>
                        <w:top w:val="none" w:sz="0" w:space="0" w:color="auto"/>
                        <w:left w:val="none" w:sz="0" w:space="0" w:color="auto"/>
                        <w:bottom w:val="none" w:sz="0" w:space="0" w:color="auto"/>
                        <w:right w:val="none" w:sz="0" w:space="0" w:color="auto"/>
                      </w:divBdr>
                      <w:divsChild>
                        <w:div w:id="1684162261">
                          <w:marLeft w:val="0"/>
                          <w:marRight w:val="0"/>
                          <w:marTop w:val="0"/>
                          <w:marBottom w:val="0"/>
                          <w:divBdr>
                            <w:top w:val="none" w:sz="0" w:space="0" w:color="auto"/>
                            <w:left w:val="none" w:sz="0" w:space="0" w:color="auto"/>
                            <w:bottom w:val="none" w:sz="0" w:space="0" w:color="auto"/>
                            <w:right w:val="none" w:sz="0" w:space="0" w:color="auto"/>
                          </w:divBdr>
                          <w:divsChild>
                            <w:div w:id="1244685835">
                              <w:marLeft w:val="0"/>
                              <w:marRight w:val="0"/>
                              <w:marTop w:val="0"/>
                              <w:marBottom w:val="0"/>
                              <w:divBdr>
                                <w:top w:val="none" w:sz="0" w:space="0" w:color="auto"/>
                                <w:left w:val="none" w:sz="0" w:space="0" w:color="auto"/>
                                <w:bottom w:val="none" w:sz="0" w:space="0" w:color="auto"/>
                                <w:right w:val="none" w:sz="0" w:space="0" w:color="auto"/>
                              </w:divBdr>
                              <w:divsChild>
                                <w:div w:id="1099451733">
                                  <w:marLeft w:val="0"/>
                                  <w:marRight w:val="0"/>
                                  <w:marTop w:val="0"/>
                                  <w:marBottom w:val="0"/>
                                  <w:divBdr>
                                    <w:top w:val="none" w:sz="0" w:space="0" w:color="auto"/>
                                    <w:left w:val="none" w:sz="0" w:space="0" w:color="auto"/>
                                    <w:bottom w:val="none" w:sz="0" w:space="0" w:color="auto"/>
                                    <w:right w:val="none" w:sz="0" w:space="0" w:color="auto"/>
                                  </w:divBdr>
                                  <w:divsChild>
                                    <w:div w:id="34387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609717">
                      <w:marLeft w:val="0"/>
                      <w:marRight w:val="0"/>
                      <w:marTop w:val="0"/>
                      <w:marBottom w:val="0"/>
                      <w:divBdr>
                        <w:top w:val="none" w:sz="0" w:space="0" w:color="auto"/>
                        <w:left w:val="none" w:sz="0" w:space="0" w:color="auto"/>
                        <w:bottom w:val="none" w:sz="0" w:space="0" w:color="auto"/>
                        <w:right w:val="none" w:sz="0" w:space="0" w:color="auto"/>
                      </w:divBdr>
                      <w:divsChild>
                        <w:div w:id="434637206">
                          <w:marLeft w:val="0"/>
                          <w:marRight w:val="0"/>
                          <w:marTop w:val="0"/>
                          <w:marBottom w:val="0"/>
                          <w:divBdr>
                            <w:top w:val="none" w:sz="0" w:space="0" w:color="auto"/>
                            <w:left w:val="none" w:sz="0" w:space="0" w:color="auto"/>
                            <w:bottom w:val="none" w:sz="0" w:space="0" w:color="auto"/>
                            <w:right w:val="none" w:sz="0" w:space="0" w:color="auto"/>
                          </w:divBdr>
                          <w:divsChild>
                            <w:div w:id="1639411103">
                              <w:marLeft w:val="0"/>
                              <w:marRight w:val="0"/>
                              <w:marTop w:val="0"/>
                              <w:marBottom w:val="0"/>
                              <w:divBdr>
                                <w:top w:val="none" w:sz="0" w:space="0" w:color="auto"/>
                                <w:left w:val="none" w:sz="0" w:space="0" w:color="auto"/>
                                <w:bottom w:val="none" w:sz="0" w:space="0" w:color="auto"/>
                                <w:right w:val="none" w:sz="0" w:space="0" w:color="auto"/>
                              </w:divBdr>
                              <w:divsChild>
                                <w:div w:id="41047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168">
      <w:bodyDiv w:val="1"/>
      <w:marLeft w:val="0"/>
      <w:marRight w:val="0"/>
      <w:marTop w:val="0"/>
      <w:marBottom w:val="0"/>
      <w:divBdr>
        <w:top w:val="none" w:sz="0" w:space="0" w:color="auto"/>
        <w:left w:val="none" w:sz="0" w:space="0" w:color="auto"/>
        <w:bottom w:val="none" w:sz="0" w:space="0" w:color="auto"/>
        <w:right w:val="none" w:sz="0" w:space="0" w:color="auto"/>
      </w:divBdr>
    </w:div>
    <w:div w:id="192116923">
      <w:bodyDiv w:val="1"/>
      <w:marLeft w:val="0"/>
      <w:marRight w:val="0"/>
      <w:marTop w:val="0"/>
      <w:marBottom w:val="0"/>
      <w:divBdr>
        <w:top w:val="none" w:sz="0" w:space="0" w:color="auto"/>
        <w:left w:val="none" w:sz="0" w:space="0" w:color="auto"/>
        <w:bottom w:val="none" w:sz="0" w:space="0" w:color="auto"/>
        <w:right w:val="none" w:sz="0" w:space="0" w:color="auto"/>
      </w:divBdr>
    </w:div>
    <w:div w:id="212497676">
      <w:bodyDiv w:val="1"/>
      <w:marLeft w:val="0"/>
      <w:marRight w:val="0"/>
      <w:marTop w:val="0"/>
      <w:marBottom w:val="0"/>
      <w:divBdr>
        <w:top w:val="none" w:sz="0" w:space="0" w:color="auto"/>
        <w:left w:val="none" w:sz="0" w:space="0" w:color="auto"/>
        <w:bottom w:val="none" w:sz="0" w:space="0" w:color="auto"/>
        <w:right w:val="none" w:sz="0" w:space="0" w:color="auto"/>
      </w:divBdr>
    </w:div>
    <w:div w:id="220870894">
      <w:bodyDiv w:val="1"/>
      <w:marLeft w:val="0"/>
      <w:marRight w:val="0"/>
      <w:marTop w:val="0"/>
      <w:marBottom w:val="0"/>
      <w:divBdr>
        <w:top w:val="none" w:sz="0" w:space="0" w:color="auto"/>
        <w:left w:val="none" w:sz="0" w:space="0" w:color="auto"/>
        <w:bottom w:val="none" w:sz="0" w:space="0" w:color="auto"/>
        <w:right w:val="none" w:sz="0" w:space="0" w:color="auto"/>
      </w:divBdr>
    </w:div>
    <w:div w:id="239828585">
      <w:bodyDiv w:val="1"/>
      <w:marLeft w:val="0"/>
      <w:marRight w:val="0"/>
      <w:marTop w:val="0"/>
      <w:marBottom w:val="0"/>
      <w:divBdr>
        <w:top w:val="none" w:sz="0" w:space="0" w:color="auto"/>
        <w:left w:val="none" w:sz="0" w:space="0" w:color="auto"/>
        <w:bottom w:val="none" w:sz="0" w:space="0" w:color="auto"/>
        <w:right w:val="none" w:sz="0" w:space="0" w:color="auto"/>
      </w:divBdr>
    </w:div>
    <w:div w:id="247274918">
      <w:bodyDiv w:val="1"/>
      <w:marLeft w:val="0"/>
      <w:marRight w:val="0"/>
      <w:marTop w:val="0"/>
      <w:marBottom w:val="0"/>
      <w:divBdr>
        <w:top w:val="none" w:sz="0" w:space="0" w:color="auto"/>
        <w:left w:val="none" w:sz="0" w:space="0" w:color="auto"/>
        <w:bottom w:val="none" w:sz="0" w:space="0" w:color="auto"/>
        <w:right w:val="none" w:sz="0" w:space="0" w:color="auto"/>
      </w:divBdr>
    </w:div>
    <w:div w:id="261228572">
      <w:bodyDiv w:val="1"/>
      <w:marLeft w:val="0"/>
      <w:marRight w:val="0"/>
      <w:marTop w:val="0"/>
      <w:marBottom w:val="0"/>
      <w:divBdr>
        <w:top w:val="none" w:sz="0" w:space="0" w:color="auto"/>
        <w:left w:val="none" w:sz="0" w:space="0" w:color="auto"/>
        <w:bottom w:val="none" w:sz="0" w:space="0" w:color="auto"/>
        <w:right w:val="none" w:sz="0" w:space="0" w:color="auto"/>
      </w:divBdr>
    </w:div>
    <w:div w:id="268198433">
      <w:bodyDiv w:val="1"/>
      <w:marLeft w:val="0"/>
      <w:marRight w:val="0"/>
      <w:marTop w:val="0"/>
      <w:marBottom w:val="0"/>
      <w:divBdr>
        <w:top w:val="none" w:sz="0" w:space="0" w:color="auto"/>
        <w:left w:val="none" w:sz="0" w:space="0" w:color="auto"/>
        <w:bottom w:val="none" w:sz="0" w:space="0" w:color="auto"/>
        <w:right w:val="none" w:sz="0" w:space="0" w:color="auto"/>
      </w:divBdr>
    </w:div>
    <w:div w:id="274140528">
      <w:bodyDiv w:val="1"/>
      <w:marLeft w:val="0"/>
      <w:marRight w:val="0"/>
      <w:marTop w:val="0"/>
      <w:marBottom w:val="0"/>
      <w:divBdr>
        <w:top w:val="none" w:sz="0" w:space="0" w:color="auto"/>
        <w:left w:val="none" w:sz="0" w:space="0" w:color="auto"/>
        <w:bottom w:val="none" w:sz="0" w:space="0" w:color="auto"/>
        <w:right w:val="none" w:sz="0" w:space="0" w:color="auto"/>
      </w:divBdr>
    </w:div>
    <w:div w:id="314720340">
      <w:bodyDiv w:val="1"/>
      <w:marLeft w:val="0"/>
      <w:marRight w:val="0"/>
      <w:marTop w:val="0"/>
      <w:marBottom w:val="0"/>
      <w:divBdr>
        <w:top w:val="none" w:sz="0" w:space="0" w:color="auto"/>
        <w:left w:val="none" w:sz="0" w:space="0" w:color="auto"/>
        <w:bottom w:val="none" w:sz="0" w:space="0" w:color="auto"/>
        <w:right w:val="none" w:sz="0" w:space="0" w:color="auto"/>
      </w:divBdr>
    </w:div>
    <w:div w:id="326597834">
      <w:bodyDiv w:val="1"/>
      <w:marLeft w:val="0"/>
      <w:marRight w:val="0"/>
      <w:marTop w:val="0"/>
      <w:marBottom w:val="0"/>
      <w:divBdr>
        <w:top w:val="none" w:sz="0" w:space="0" w:color="auto"/>
        <w:left w:val="none" w:sz="0" w:space="0" w:color="auto"/>
        <w:bottom w:val="none" w:sz="0" w:space="0" w:color="auto"/>
        <w:right w:val="none" w:sz="0" w:space="0" w:color="auto"/>
      </w:divBdr>
      <w:divsChild>
        <w:div w:id="1603563798">
          <w:marLeft w:val="0"/>
          <w:marRight w:val="0"/>
          <w:marTop w:val="0"/>
          <w:marBottom w:val="48"/>
          <w:divBdr>
            <w:top w:val="none" w:sz="0" w:space="0" w:color="auto"/>
            <w:left w:val="none" w:sz="0" w:space="0" w:color="auto"/>
            <w:bottom w:val="none" w:sz="0" w:space="0" w:color="auto"/>
            <w:right w:val="none" w:sz="0" w:space="0" w:color="auto"/>
          </w:divBdr>
          <w:divsChild>
            <w:div w:id="257449206">
              <w:marLeft w:val="0"/>
              <w:marRight w:val="0"/>
              <w:marTop w:val="0"/>
              <w:marBottom w:val="0"/>
              <w:divBdr>
                <w:top w:val="none" w:sz="0" w:space="0" w:color="auto"/>
                <w:left w:val="none" w:sz="0" w:space="0" w:color="auto"/>
                <w:bottom w:val="none" w:sz="0" w:space="0" w:color="auto"/>
                <w:right w:val="none" w:sz="0" w:space="0" w:color="auto"/>
              </w:divBdr>
              <w:divsChild>
                <w:div w:id="824274071">
                  <w:marLeft w:val="0"/>
                  <w:marRight w:val="0"/>
                  <w:marTop w:val="0"/>
                  <w:marBottom w:val="0"/>
                  <w:divBdr>
                    <w:top w:val="none" w:sz="0" w:space="0" w:color="auto"/>
                    <w:left w:val="none" w:sz="0" w:space="0" w:color="auto"/>
                    <w:bottom w:val="none" w:sz="0" w:space="0" w:color="auto"/>
                    <w:right w:val="none" w:sz="0" w:space="0" w:color="auto"/>
                  </w:divBdr>
                  <w:divsChild>
                    <w:div w:id="802622683">
                      <w:marLeft w:val="0"/>
                      <w:marRight w:val="0"/>
                      <w:marTop w:val="0"/>
                      <w:marBottom w:val="0"/>
                      <w:divBdr>
                        <w:top w:val="none" w:sz="0" w:space="0" w:color="auto"/>
                        <w:left w:val="none" w:sz="0" w:space="0" w:color="auto"/>
                        <w:bottom w:val="none" w:sz="0" w:space="0" w:color="auto"/>
                        <w:right w:val="none" w:sz="0" w:space="0" w:color="auto"/>
                      </w:divBdr>
                      <w:divsChild>
                        <w:div w:id="25363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1587485">
      <w:bodyDiv w:val="1"/>
      <w:marLeft w:val="0"/>
      <w:marRight w:val="0"/>
      <w:marTop w:val="0"/>
      <w:marBottom w:val="0"/>
      <w:divBdr>
        <w:top w:val="none" w:sz="0" w:space="0" w:color="auto"/>
        <w:left w:val="none" w:sz="0" w:space="0" w:color="auto"/>
        <w:bottom w:val="none" w:sz="0" w:space="0" w:color="auto"/>
        <w:right w:val="none" w:sz="0" w:space="0" w:color="auto"/>
      </w:divBdr>
      <w:divsChild>
        <w:div w:id="1178814993">
          <w:marLeft w:val="480"/>
          <w:marRight w:val="0"/>
          <w:marTop w:val="0"/>
          <w:marBottom w:val="0"/>
          <w:divBdr>
            <w:top w:val="none" w:sz="0" w:space="0" w:color="auto"/>
            <w:left w:val="none" w:sz="0" w:space="0" w:color="auto"/>
            <w:bottom w:val="none" w:sz="0" w:space="0" w:color="auto"/>
            <w:right w:val="none" w:sz="0" w:space="0" w:color="auto"/>
          </w:divBdr>
          <w:divsChild>
            <w:div w:id="1895507239">
              <w:marLeft w:val="0"/>
              <w:marRight w:val="0"/>
              <w:marTop w:val="0"/>
              <w:marBottom w:val="240"/>
              <w:divBdr>
                <w:top w:val="none" w:sz="0" w:space="0" w:color="auto"/>
                <w:left w:val="none" w:sz="0" w:space="0" w:color="auto"/>
                <w:bottom w:val="none" w:sz="0" w:space="0" w:color="auto"/>
                <w:right w:val="none" w:sz="0" w:space="0" w:color="auto"/>
              </w:divBdr>
            </w:div>
            <w:div w:id="1623151581">
              <w:marLeft w:val="0"/>
              <w:marRight w:val="0"/>
              <w:marTop w:val="0"/>
              <w:marBottom w:val="240"/>
              <w:divBdr>
                <w:top w:val="none" w:sz="0" w:space="0" w:color="auto"/>
                <w:left w:val="none" w:sz="0" w:space="0" w:color="auto"/>
                <w:bottom w:val="none" w:sz="0" w:space="0" w:color="auto"/>
                <w:right w:val="none" w:sz="0" w:space="0" w:color="auto"/>
              </w:divBdr>
            </w:div>
            <w:div w:id="1737826152">
              <w:marLeft w:val="0"/>
              <w:marRight w:val="0"/>
              <w:marTop w:val="0"/>
              <w:marBottom w:val="240"/>
              <w:divBdr>
                <w:top w:val="none" w:sz="0" w:space="0" w:color="auto"/>
                <w:left w:val="none" w:sz="0" w:space="0" w:color="auto"/>
                <w:bottom w:val="none" w:sz="0" w:space="0" w:color="auto"/>
                <w:right w:val="none" w:sz="0" w:space="0" w:color="auto"/>
              </w:divBdr>
            </w:div>
            <w:div w:id="1478063238">
              <w:marLeft w:val="0"/>
              <w:marRight w:val="0"/>
              <w:marTop w:val="0"/>
              <w:marBottom w:val="240"/>
              <w:divBdr>
                <w:top w:val="none" w:sz="0" w:space="0" w:color="auto"/>
                <w:left w:val="none" w:sz="0" w:space="0" w:color="auto"/>
                <w:bottom w:val="none" w:sz="0" w:space="0" w:color="auto"/>
                <w:right w:val="none" w:sz="0" w:space="0" w:color="auto"/>
              </w:divBdr>
            </w:div>
            <w:div w:id="1972514574">
              <w:marLeft w:val="0"/>
              <w:marRight w:val="0"/>
              <w:marTop w:val="0"/>
              <w:marBottom w:val="240"/>
              <w:divBdr>
                <w:top w:val="none" w:sz="0" w:space="0" w:color="auto"/>
                <w:left w:val="none" w:sz="0" w:space="0" w:color="auto"/>
                <w:bottom w:val="none" w:sz="0" w:space="0" w:color="auto"/>
                <w:right w:val="none" w:sz="0" w:space="0" w:color="auto"/>
              </w:divBdr>
            </w:div>
            <w:div w:id="1237084840">
              <w:marLeft w:val="0"/>
              <w:marRight w:val="0"/>
              <w:marTop w:val="0"/>
              <w:marBottom w:val="240"/>
              <w:divBdr>
                <w:top w:val="none" w:sz="0" w:space="0" w:color="auto"/>
                <w:left w:val="none" w:sz="0" w:space="0" w:color="auto"/>
                <w:bottom w:val="none" w:sz="0" w:space="0" w:color="auto"/>
                <w:right w:val="none" w:sz="0" w:space="0" w:color="auto"/>
              </w:divBdr>
            </w:div>
            <w:div w:id="1540361458">
              <w:marLeft w:val="0"/>
              <w:marRight w:val="0"/>
              <w:marTop w:val="0"/>
              <w:marBottom w:val="240"/>
              <w:divBdr>
                <w:top w:val="none" w:sz="0" w:space="0" w:color="auto"/>
                <w:left w:val="none" w:sz="0" w:space="0" w:color="auto"/>
                <w:bottom w:val="none" w:sz="0" w:space="0" w:color="auto"/>
                <w:right w:val="none" w:sz="0" w:space="0" w:color="auto"/>
              </w:divBdr>
            </w:div>
            <w:div w:id="719403695">
              <w:marLeft w:val="0"/>
              <w:marRight w:val="0"/>
              <w:marTop w:val="0"/>
              <w:marBottom w:val="240"/>
              <w:divBdr>
                <w:top w:val="none" w:sz="0" w:space="0" w:color="auto"/>
                <w:left w:val="none" w:sz="0" w:space="0" w:color="auto"/>
                <w:bottom w:val="none" w:sz="0" w:space="0" w:color="auto"/>
                <w:right w:val="none" w:sz="0" w:space="0" w:color="auto"/>
              </w:divBdr>
            </w:div>
            <w:div w:id="1758138956">
              <w:marLeft w:val="0"/>
              <w:marRight w:val="0"/>
              <w:marTop w:val="0"/>
              <w:marBottom w:val="240"/>
              <w:divBdr>
                <w:top w:val="none" w:sz="0" w:space="0" w:color="auto"/>
                <w:left w:val="none" w:sz="0" w:space="0" w:color="auto"/>
                <w:bottom w:val="none" w:sz="0" w:space="0" w:color="auto"/>
                <w:right w:val="none" w:sz="0" w:space="0" w:color="auto"/>
              </w:divBdr>
            </w:div>
            <w:div w:id="80029289">
              <w:marLeft w:val="0"/>
              <w:marRight w:val="0"/>
              <w:marTop w:val="0"/>
              <w:marBottom w:val="240"/>
              <w:divBdr>
                <w:top w:val="none" w:sz="0" w:space="0" w:color="auto"/>
                <w:left w:val="none" w:sz="0" w:space="0" w:color="auto"/>
                <w:bottom w:val="none" w:sz="0" w:space="0" w:color="auto"/>
                <w:right w:val="none" w:sz="0" w:space="0" w:color="auto"/>
              </w:divBdr>
            </w:div>
            <w:div w:id="562059662">
              <w:marLeft w:val="0"/>
              <w:marRight w:val="0"/>
              <w:marTop w:val="0"/>
              <w:marBottom w:val="240"/>
              <w:divBdr>
                <w:top w:val="none" w:sz="0" w:space="0" w:color="auto"/>
                <w:left w:val="none" w:sz="0" w:space="0" w:color="auto"/>
                <w:bottom w:val="none" w:sz="0" w:space="0" w:color="auto"/>
                <w:right w:val="none" w:sz="0" w:space="0" w:color="auto"/>
              </w:divBdr>
            </w:div>
            <w:div w:id="1126050469">
              <w:marLeft w:val="0"/>
              <w:marRight w:val="0"/>
              <w:marTop w:val="0"/>
              <w:marBottom w:val="240"/>
              <w:divBdr>
                <w:top w:val="none" w:sz="0" w:space="0" w:color="auto"/>
                <w:left w:val="none" w:sz="0" w:space="0" w:color="auto"/>
                <w:bottom w:val="none" w:sz="0" w:space="0" w:color="auto"/>
                <w:right w:val="none" w:sz="0" w:space="0" w:color="auto"/>
              </w:divBdr>
            </w:div>
            <w:div w:id="267861017">
              <w:marLeft w:val="0"/>
              <w:marRight w:val="0"/>
              <w:marTop w:val="0"/>
              <w:marBottom w:val="240"/>
              <w:divBdr>
                <w:top w:val="none" w:sz="0" w:space="0" w:color="auto"/>
                <w:left w:val="none" w:sz="0" w:space="0" w:color="auto"/>
                <w:bottom w:val="none" w:sz="0" w:space="0" w:color="auto"/>
                <w:right w:val="none" w:sz="0" w:space="0" w:color="auto"/>
              </w:divBdr>
            </w:div>
            <w:div w:id="655571781">
              <w:marLeft w:val="0"/>
              <w:marRight w:val="0"/>
              <w:marTop w:val="0"/>
              <w:marBottom w:val="240"/>
              <w:divBdr>
                <w:top w:val="none" w:sz="0" w:space="0" w:color="auto"/>
                <w:left w:val="none" w:sz="0" w:space="0" w:color="auto"/>
                <w:bottom w:val="none" w:sz="0" w:space="0" w:color="auto"/>
                <w:right w:val="none" w:sz="0" w:space="0" w:color="auto"/>
              </w:divBdr>
            </w:div>
            <w:div w:id="1869954462">
              <w:marLeft w:val="0"/>
              <w:marRight w:val="0"/>
              <w:marTop w:val="0"/>
              <w:marBottom w:val="240"/>
              <w:divBdr>
                <w:top w:val="none" w:sz="0" w:space="0" w:color="auto"/>
                <w:left w:val="none" w:sz="0" w:space="0" w:color="auto"/>
                <w:bottom w:val="none" w:sz="0" w:space="0" w:color="auto"/>
                <w:right w:val="none" w:sz="0" w:space="0" w:color="auto"/>
              </w:divBdr>
            </w:div>
            <w:div w:id="1927035653">
              <w:marLeft w:val="0"/>
              <w:marRight w:val="0"/>
              <w:marTop w:val="0"/>
              <w:marBottom w:val="240"/>
              <w:divBdr>
                <w:top w:val="none" w:sz="0" w:space="0" w:color="auto"/>
                <w:left w:val="none" w:sz="0" w:space="0" w:color="auto"/>
                <w:bottom w:val="none" w:sz="0" w:space="0" w:color="auto"/>
                <w:right w:val="none" w:sz="0" w:space="0" w:color="auto"/>
              </w:divBdr>
            </w:div>
            <w:div w:id="1391735759">
              <w:marLeft w:val="0"/>
              <w:marRight w:val="0"/>
              <w:marTop w:val="0"/>
              <w:marBottom w:val="240"/>
              <w:divBdr>
                <w:top w:val="none" w:sz="0" w:space="0" w:color="auto"/>
                <w:left w:val="none" w:sz="0" w:space="0" w:color="auto"/>
                <w:bottom w:val="none" w:sz="0" w:space="0" w:color="auto"/>
                <w:right w:val="none" w:sz="0" w:space="0" w:color="auto"/>
              </w:divBdr>
            </w:div>
            <w:div w:id="917864380">
              <w:marLeft w:val="0"/>
              <w:marRight w:val="0"/>
              <w:marTop w:val="0"/>
              <w:marBottom w:val="240"/>
              <w:divBdr>
                <w:top w:val="none" w:sz="0" w:space="0" w:color="auto"/>
                <w:left w:val="none" w:sz="0" w:space="0" w:color="auto"/>
                <w:bottom w:val="none" w:sz="0" w:space="0" w:color="auto"/>
                <w:right w:val="none" w:sz="0" w:space="0" w:color="auto"/>
              </w:divBdr>
            </w:div>
            <w:div w:id="1847137580">
              <w:marLeft w:val="0"/>
              <w:marRight w:val="0"/>
              <w:marTop w:val="0"/>
              <w:marBottom w:val="240"/>
              <w:divBdr>
                <w:top w:val="none" w:sz="0" w:space="0" w:color="auto"/>
                <w:left w:val="none" w:sz="0" w:space="0" w:color="auto"/>
                <w:bottom w:val="none" w:sz="0" w:space="0" w:color="auto"/>
                <w:right w:val="none" w:sz="0" w:space="0" w:color="auto"/>
              </w:divBdr>
            </w:div>
            <w:div w:id="960379472">
              <w:marLeft w:val="0"/>
              <w:marRight w:val="0"/>
              <w:marTop w:val="0"/>
              <w:marBottom w:val="240"/>
              <w:divBdr>
                <w:top w:val="none" w:sz="0" w:space="0" w:color="auto"/>
                <w:left w:val="none" w:sz="0" w:space="0" w:color="auto"/>
                <w:bottom w:val="none" w:sz="0" w:space="0" w:color="auto"/>
                <w:right w:val="none" w:sz="0" w:space="0" w:color="auto"/>
              </w:divBdr>
            </w:div>
            <w:div w:id="408431685">
              <w:marLeft w:val="0"/>
              <w:marRight w:val="0"/>
              <w:marTop w:val="0"/>
              <w:marBottom w:val="240"/>
              <w:divBdr>
                <w:top w:val="none" w:sz="0" w:space="0" w:color="auto"/>
                <w:left w:val="none" w:sz="0" w:space="0" w:color="auto"/>
                <w:bottom w:val="none" w:sz="0" w:space="0" w:color="auto"/>
                <w:right w:val="none" w:sz="0" w:space="0" w:color="auto"/>
              </w:divBdr>
            </w:div>
            <w:div w:id="1724911692">
              <w:marLeft w:val="0"/>
              <w:marRight w:val="0"/>
              <w:marTop w:val="0"/>
              <w:marBottom w:val="240"/>
              <w:divBdr>
                <w:top w:val="none" w:sz="0" w:space="0" w:color="auto"/>
                <w:left w:val="none" w:sz="0" w:space="0" w:color="auto"/>
                <w:bottom w:val="none" w:sz="0" w:space="0" w:color="auto"/>
                <w:right w:val="none" w:sz="0" w:space="0" w:color="auto"/>
              </w:divBdr>
            </w:div>
            <w:div w:id="1183787916">
              <w:marLeft w:val="0"/>
              <w:marRight w:val="0"/>
              <w:marTop w:val="0"/>
              <w:marBottom w:val="240"/>
              <w:divBdr>
                <w:top w:val="none" w:sz="0" w:space="0" w:color="auto"/>
                <w:left w:val="none" w:sz="0" w:space="0" w:color="auto"/>
                <w:bottom w:val="none" w:sz="0" w:space="0" w:color="auto"/>
                <w:right w:val="none" w:sz="0" w:space="0" w:color="auto"/>
              </w:divBdr>
            </w:div>
            <w:div w:id="863833084">
              <w:marLeft w:val="0"/>
              <w:marRight w:val="0"/>
              <w:marTop w:val="0"/>
              <w:marBottom w:val="240"/>
              <w:divBdr>
                <w:top w:val="none" w:sz="0" w:space="0" w:color="auto"/>
                <w:left w:val="none" w:sz="0" w:space="0" w:color="auto"/>
                <w:bottom w:val="none" w:sz="0" w:space="0" w:color="auto"/>
                <w:right w:val="none" w:sz="0" w:space="0" w:color="auto"/>
              </w:divBdr>
            </w:div>
            <w:div w:id="1269121457">
              <w:marLeft w:val="0"/>
              <w:marRight w:val="0"/>
              <w:marTop w:val="0"/>
              <w:marBottom w:val="240"/>
              <w:divBdr>
                <w:top w:val="none" w:sz="0" w:space="0" w:color="auto"/>
                <w:left w:val="none" w:sz="0" w:space="0" w:color="auto"/>
                <w:bottom w:val="none" w:sz="0" w:space="0" w:color="auto"/>
                <w:right w:val="none" w:sz="0" w:space="0" w:color="auto"/>
              </w:divBdr>
            </w:div>
            <w:div w:id="873153295">
              <w:marLeft w:val="0"/>
              <w:marRight w:val="0"/>
              <w:marTop w:val="0"/>
              <w:marBottom w:val="240"/>
              <w:divBdr>
                <w:top w:val="none" w:sz="0" w:space="0" w:color="auto"/>
                <w:left w:val="none" w:sz="0" w:space="0" w:color="auto"/>
                <w:bottom w:val="none" w:sz="0" w:space="0" w:color="auto"/>
                <w:right w:val="none" w:sz="0" w:space="0" w:color="auto"/>
              </w:divBdr>
            </w:div>
            <w:div w:id="1097020031">
              <w:marLeft w:val="0"/>
              <w:marRight w:val="0"/>
              <w:marTop w:val="0"/>
              <w:marBottom w:val="240"/>
              <w:divBdr>
                <w:top w:val="none" w:sz="0" w:space="0" w:color="auto"/>
                <w:left w:val="none" w:sz="0" w:space="0" w:color="auto"/>
                <w:bottom w:val="none" w:sz="0" w:space="0" w:color="auto"/>
                <w:right w:val="none" w:sz="0" w:space="0" w:color="auto"/>
              </w:divBdr>
            </w:div>
            <w:div w:id="1519276214">
              <w:marLeft w:val="0"/>
              <w:marRight w:val="0"/>
              <w:marTop w:val="0"/>
              <w:marBottom w:val="240"/>
              <w:divBdr>
                <w:top w:val="none" w:sz="0" w:space="0" w:color="auto"/>
                <w:left w:val="none" w:sz="0" w:space="0" w:color="auto"/>
                <w:bottom w:val="none" w:sz="0" w:space="0" w:color="auto"/>
                <w:right w:val="none" w:sz="0" w:space="0" w:color="auto"/>
              </w:divBdr>
            </w:div>
            <w:div w:id="2094276877">
              <w:marLeft w:val="0"/>
              <w:marRight w:val="0"/>
              <w:marTop w:val="0"/>
              <w:marBottom w:val="240"/>
              <w:divBdr>
                <w:top w:val="none" w:sz="0" w:space="0" w:color="auto"/>
                <w:left w:val="none" w:sz="0" w:space="0" w:color="auto"/>
                <w:bottom w:val="none" w:sz="0" w:space="0" w:color="auto"/>
                <w:right w:val="none" w:sz="0" w:space="0" w:color="auto"/>
              </w:divBdr>
            </w:div>
            <w:div w:id="2092005619">
              <w:marLeft w:val="0"/>
              <w:marRight w:val="0"/>
              <w:marTop w:val="0"/>
              <w:marBottom w:val="240"/>
              <w:divBdr>
                <w:top w:val="none" w:sz="0" w:space="0" w:color="auto"/>
                <w:left w:val="none" w:sz="0" w:space="0" w:color="auto"/>
                <w:bottom w:val="none" w:sz="0" w:space="0" w:color="auto"/>
                <w:right w:val="none" w:sz="0" w:space="0" w:color="auto"/>
              </w:divBdr>
            </w:div>
            <w:div w:id="926233315">
              <w:marLeft w:val="0"/>
              <w:marRight w:val="0"/>
              <w:marTop w:val="0"/>
              <w:marBottom w:val="240"/>
              <w:divBdr>
                <w:top w:val="none" w:sz="0" w:space="0" w:color="auto"/>
                <w:left w:val="none" w:sz="0" w:space="0" w:color="auto"/>
                <w:bottom w:val="none" w:sz="0" w:space="0" w:color="auto"/>
                <w:right w:val="none" w:sz="0" w:space="0" w:color="auto"/>
              </w:divBdr>
            </w:div>
            <w:div w:id="1190490586">
              <w:marLeft w:val="0"/>
              <w:marRight w:val="0"/>
              <w:marTop w:val="0"/>
              <w:marBottom w:val="240"/>
              <w:divBdr>
                <w:top w:val="none" w:sz="0" w:space="0" w:color="auto"/>
                <w:left w:val="none" w:sz="0" w:space="0" w:color="auto"/>
                <w:bottom w:val="none" w:sz="0" w:space="0" w:color="auto"/>
                <w:right w:val="none" w:sz="0" w:space="0" w:color="auto"/>
              </w:divBdr>
            </w:div>
            <w:div w:id="1412309939">
              <w:marLeft w:val="0"/>
              <w:marRight w:val="0"/>
              <w:marTop w:val="0"/>
              <w:marBottom w:val="240"/>
              <w:divBdr>
                <w:top w:val="none" w:sz="0" w:space="0" w:color="auto"/>
                <w:left w:val="none" w:sz="0" w:space="0" w:color="auto"/>
                <w:bottom w:val="none" w:sz="0" w:space="0" w:color="auto"/>
                <w:right w:val="none" w:sz="0" w:space="0" w:color="auto"/>
              </w:divBdr>
            </w:div>
            <w:div w:id="324822339">
              <w:marLeft w:val="0"/>
              <w:marRight w:val="0"/>
              <w:marTop w:val="0"/>
              <w:marBottom w:val="240"/>
              <w:divBdr>
                <w:top w:val="none" w:sz="0" w:space="0" w:color="auto"/>
                <w:left w:val="none" w:sz="0" w:space="0" w:color="auto"/>
                <w:bottom w:val="none" w:sz="0" w:space="0" w:color="auto"/>
                <w:right w:val="none" w:sz="0" w:space="0" w:color="auto"/>
              </w:divBdr>
            </w:div>
            <w:div w:id="1573153278">
              <w:marLeft w:val="0"/>
              <w:marRight w:val="0"/>
              <w:marTop w:val="0"/>
              <w:marBottom w:val="240"/>
              <w:divBdr>
                <w:top w:val="none" w:sz="0" w:space="0" w:color="auto"/>
                <w:left w:val="none" w:sz="0" w:space="0" w:color="auto"/>
                <w:bottom w:val="none" w:sz="0" w:space="0" w:color="auto"/>
                <w:right w:val="none" w:sz="0" w:space="0" w:color="auto"/>
              </w:divBdr>
            </w:div>
            <w:div w:id="1711687297">
              <w:marLeft w:val="0"/>
              <w:marRight w:val="0"/>
              <w:marTop w:val="0"/>
              <w:marBottom w:val="240"/>
              <w:divBdr>
                <w:top w:val="none" w:sz="0" w:space="0" w:color="auto"/>
                <w:left w:val="none" w:sz="0" w:space="0" w:color="auto"/>
                <w:bottom w:val="none" w:sz="0" w:space="0" w:color="auto"/>
                <w:right w:val="none" w:sz="0" w:space="0" w:color="auto"/>
              </w:divBdr>
            </w:div>
            <w:div w:id="1798912928">
              <w:marLeft w:val="0"/>
              <w:marRight w:val="0"/>
              <w:marTop w:val="0"/>
              <w:marBottom w:val="240"/>
              <w:divBdr>
                <w:top w:val="none" w:sz="0" w:space="0" w:color="auto"/>
                <w:left w:val="none" w:sz="0" w:space="0" w:color="auto"/>
                <w:bottom w:val="none" w:sz="0" w:space="0" w:color="auto"/>
                <w:right w:val="none" w:sz="0" w:space="0" w:color="auto"/>
              </w:divBdr>
            </w:div>
            <w:div w:id="1930037789">
              <w:marLeft w:val="0"/>
              <w:marRight w:val="0"/>
              <w:marTop w:val="0"/>
              <w:marBottom w:val="240"/>
              <w:divBdr>
                <w:top w:val="none" w:sz="0" w:space="0" w:color="auto"/>
                <w:left w:val="none" w:sz="0" w:space="0" w:color="auto"/>
                <w:bottom w:val="none" w:sz="0" w:space="0" w:color="auto"/>
                <w:right w:val="none" w:sz="0" w:space="0" w:color="auto"/>
              </w:divBdr>
            </w:div>
            <w:div w:id="2017531713">
              <w:marLeft w:val="0"/>
              <w:marRight w:val="0"/>
              <w:marTop w:val="0"/>
              <w:marBottom w:val="240"/>
              <w:divBdr>
                <w:top w:val="none" w:sz="0" w:space="0" w:color="auto"/>
                <w:left w:val="none" w:sz="0" w:space="0" w:color="auto"/>
                <w:bottom w:val="none" w:sz="0" w:space="0" w:color="auto"/>
                <w:right w:val="none" w:sz="0" w:space="0" w:color="auto"/>
              </w:divBdr>
            </w:div>
            <w:div w:id="625743625">
              <w:marLeft w:val="0"/>
              <w:marRight w:val="0"/>
              <w:marTop w:val="0"/>
              <w:marBottom w:val="240"/>
              <w:divBdr>
                <w:top w:val="none" w:sz="0" w:space="0" w:color="auto"/>
                <w:left w:val="none" w:sz="0" w:space="0" w:color="auto"/>
                <w:bottom w:val="none" w:sz="0" w:space="0" w:color="auto"/>
                <w:right w:val="none" w:sz="0" w:space="0" w:color="auto"/>
              </w:divBdr>
            </w:div>
            <w:div w:id="1364284993">
              <w:marLeft w:val="0"/>
              <w:marRight w:val="0"/>
              <w:marTop w:val="0"/>
              <w:marBottom w:val="240"/>
              <w:divBdr>
                <w:top w:val="none" w:sz="0" w:space="0" w:color="auto"/>
                <w:left w:val="none" w:sz="0" w:space="0" w:color="auto"/>
                <w:bottom w:val="none" w:sz="0" w:space="0" w:color="auto"/>
                <w:right w:val="none" w:sz="0" w:space="0" w:color="auto"/>
              </w:divBdr>
            </w:div>
            <w:div w:id="672802888">
              <w:marLeft w:val="0"/>
              <w:marRight w:val="0"/>
              <w:marTop w:val="0"/>
              <w:marBottom w:val="240"/>
              <w:divBdr>
                <w:top w:val="none" w:sz="0" w:space="0" w:color="auto"/>
                <w:left w:val="none" w:sz="0" w:space="0" w:color="auto"/>
                <w:bottom w:val="none" w:sz="0" w:space="0" w:color="auto"/>
                <w:right w:val="none" w:sz="0" w:space="0" w:color="auto"/>
              </w:divBdr>
            </w:div>
            <w:div w:id="1728994343">
              <w:marLeft w:val="0"/>
              <w:marRight w:val="0"/>
              <w:marTop w:val="0"/>
              <w:marBottom w:val="240"/>
              <w:divBdr>
                <w:top w:val="none" w:sz="0" w:space="0" w:color="auto"/>
                <w:left w:val="none" w:sz="0" w:space="0" w:color="auto"/>
                <w:bottom w:val="none" w:sz="0" w:space="0" w:color="auto"/>
                <w:right w:val="none" w:sz="0" w:space="0" w:color="auto"/>
              </w:divBdr>
            </w:div>
            <w:div w:id="1958025051">
              <w:marLeft w:val="0"/>
              <w:marRight w:val="0"/>
              <w:marTop w:val="0"/>
              <w:marBottom w:val="240"/>
              <w:divBdr>
                <w:top w:val="none" w:sz="0" w:space="0" w:color="auto"/>
                <w:left w:val="none" w:sz="0" w:space="0" w:color="auto"/>
                <w:bottom w:val="none" w:sz="0" w:space="0" w:color="auto"/>
                <w:right w:val="none" w:sz="0" w:space="0" w:color="auto"/>
              </w:divBdr>
            </w:div>
            <w:div w:id="14843070">
              <w:marLeft w:val="0"/>
              <w:marRight w:val="0"/>
              <w:marTop w:val="0"/>
              <w:marBottom w:val="240"/>
              <w:divBdr>
                <w:top w:val="none" w:sz="0" w:space="0" w:color="auto"/>
                <w:left w:val="none" w:sz="0" w:space="0" w:color="auto"/>
                <w:bottom w:val="none" w:sz="0" w:space="0" w:color="auto"/>
                <w:right w:val="none" w:sz="0" w:space="0" w:color="auto"/>
              </w:divBdr>
            </w:div>
            <w:div w:id="1068503748">
              <w:marLeft w:val="0"/>
              <w:marRight w:val="0"/>
              <w:marTop w:val="0"/>
              <w:marBottom w:val="240"/>
              <w:divBdr>
                <w:top w:val="none" w:sz="0" w:space="0" w:color="auto"/>
                <w:left w:val="none" w:sz="0" w:space="0" w:color="auto"/>
                <w:bottom w:val="none" w:sz="0" w:space="0" w:color="auto"/>
                <w:right w:val="none" w:sz="0" w:space="0" w:color="auto"/>
              </w:divBdr>
            </w:div>
            <w:div w:id="1770344606">
              <w:marLeft w:val="0"/>
              <w:marRight w:val="0"/>
              <w:marTop w:val="0"/>
              <w:marBottom w:val="240"/>
              <w:divBdr>
                <w:top w:val="none" w:sz="0" w:space="0" w:color="auto"/>
                <w:left w:val="none" w:sz="0" w:space="0" w:color="auto"/>
                <w:bottom w:val="none" w:sz="0" w:space="0" w:color="auto"/>
                <w:right w:val="none" w:sz="0" w:space="0" w:color="auto"/>
              </w:divBdr>
            </w:div>
            <w:div w:id="1746993255">
              <w:marLeft w:val="0"/>
              <w:marRight w:val="0"/>
              <w:marTop w:val="0"/>
              <w:marBottom w:val="240"/>
              <w:divBdr>
                <w:top w:val="none" w:sz="0" w:space="0" w:color="auto"/>
                <w:left w:val="none" w:sz="0" w:space="0" w:color="auto"/>
                <w:bottom w:val="none" w:sz="0" w:space="0" w:color="auto"/>
                <w:right w:val="none" w:sz="0" w:space="0" w:color="auto"/>
              </w:divBdr>
            </w:div>
            <w:div w:id="105934198">
              <w:marLeft w:val="0"/>
              <w:marRight w:val="0"/>
              <w:marTop w:val="0"/>
              <w:marBottom w:val="240"/>
              <w:divBdr>
                <w:top w:val="none" w:sz="0" w:space="0" w:color="auto"/>
                <w:left w:val="none" w:sz="0" w:space="0" w:color="auto"/>
                <w:bottom w:val="none" w:sz="0" w:space="0" w:color="auto"/>
                <w:right w:val="none" w:sz="0" w:space="0" w:color="auto"/>
              </w:divBdr>
            </w:div>
            <w:div w:id="1934046491">
              <w:marLeft w:val="0"/>
              <w:marRight w:val="0"/>
              <w:marTop w:val="0"/>
              <w:marBottom w:val="240"/>
              <w:divBdr>
                <w:top w:val="none" w:sz="0" w:space="0" w:color="auto"/>
                <w:left w:val="none" w:sz="0" w:space="0" w:color="auto"/>
                <w:bottom w:val="none" w:sz="0" w:space="0" w:color="auto"/>
                <w:right w:val="none" w:sz="0" w:space="0" w:color="auto"/>
              </w:divBdr>
            </w:div>
            <w:div w:id="1970163473">
              <w:marLeft w:val="0"/>
              <w:marRight w:val="0"/>
              <w:marTop w:val="0"/>
              <w:marBottom w:val="240"/>
              <w:divBdr>
                <w:top w:val="none" w:sz="0" w:space="0" w:color="auto"/>
                <w:left w:val="none" w:sz="0" w:space="0" w:color="auto"/>
                <w:bottom w:val="none" w:sz="0" w:space="0" w:color="auto"/>
                <w:right w:val="none" w:sz="0" w:space="0" w:color="auto"/>
              </w:divBdr>
            </w:div>
            <w:div w:id="1370956361">
              <w:marLeft w:val="0"/>
              <w:marRight w:val="0"/>
              <w:marTop w:val="0"/>
              <w:marBottom w:val="240"/>
              <w:divBdr>
                <w:top w:val="none" w:sz="0" w:space="0" w:color="auto"/>
                <w:left w:val="none" w:sz="0" w:space="0" w:color="auto"/>
                <w:bottom w:val="none" w:sz="0" w:space="0" w:color="auto"/>
                <w:right w:val="none" w:sz="0" w:space="0" w:color="auto"/>
              </w:divBdr>
            </w:div>
            <w:div w:id="1702822044">
              <w:marLeft w:val="0"/>
              <w:marRight w:val="0"/>
              <w:marTop w:val="0"/>
              <w:marBottom w:val="240"/>
              <w:divBdr>
                <w:top w:val="none" w:sz="0" w:space="0" w:color="auto"/>
                <w:left w:val="none" w:sz="0" w:space="0" w:color="auto"/>
                <w:bottom w:val="none" w:sz="0" w:space="0" w:color="auto"/>
                <w:right w:val="none" w:sz="0" w:space="0" w:color="auto"/>
              </w:divBdr>
            </w:div>
            <w:div w:id="1855724121">
              <w:marLeft w:val="0"/>
              <w:marRight w:val="0"/>
              <w:marTop w:val="0"/>
              <w:marBottom w:val="240"/>
              <w:divBdr>
                <w:top w:val="none" w:sz="0" w:space="0" w:color="auto"/>
                <w:left w:val="none" w:sz="0" w:space="0" w:color="auto"/>
                <w:bottom w:val="none" w:sz="0" w:space="0" w:color="auto"/>
                <w:right w:val="none" w:sz="0" w:space="0" w:color="auto"/>
              </w:divBdr>
            </w:div>
            <w:div w:id="1636058870">
              <w:marLeft w:val="0"/>
              <w:marRight w:val="0"/>
              <w:marTop w:val="0"/>
              <w:marBottom w:val="240"/>
              <w:divBdr>
                <w:top w:val="none" w:sz="0" w:space="0" w:color="auto"/>
                <w:left w:val="none" w:sz="0" w:space="0" w:color="auto"/>
                <w:bottom w:val="none" w:sz="0" w:space="0" w:color="auto"/>
                <w:right w:val="none" w:sz="0" w:space="0" w:color="auto"/>
              </w:divBdr>
            </w:div>
            <w:div w:id="1966545930">
              <w:marLeft w:val="0"/>
              <w:marRight w:val="0"/>
              <w:marTop w:val="0"/>
              <w:marBottom w:val="240"/>
              <w:divBdr>
                <w:top w:val="none" w:sz="0" w:space="0" w:color="auto"/>
                <w:left w:val="none" w:sz="0" w:space="0" w:color="auto"/>
                <w:bottom w:val="none" w:sz="0" w:space="0" w:color="auto"/>
                <w:right w:val="none" w:sz="0" w:space="0" w:color="auto"/>
              </w:divBdr>
            </w:div>
            <w:div w:id="1071851005">
              <w:marLeft w:val="0"/>
              <w:marRight w:val="0"/>
              <w:marTop w:val="0"/>
              <w:marBottom w:val="240"/>
              <w:divBdr>
                <w:top w:val="none" w:sz="0" w:space="0" w:color="auto"/>
                <w:left w:val="none" w:sz="0" w:space="0" w:color="auto"/>
                <w:bottom w:val="none" w:sz="0" w:space="0" w:color="auto"/>
                <w:right w:val="none" w:sz="0" w:space="0" w:color="auto"/>
              </w:divBdr>
            </w:div>
            <w:div w:id="2139100325">
              <w:marLeft w:val="0"/>
              <w:marRight w:val="0"/>
              <w:marTop w:val="0"/>
              <w:marBottom w:val="240"/>
              <w:divBdr>
                <w:top w:val="none" w:sz="0" w:space="0" w:color="auto"/>
                <w:left w:val="none" w:sz="0" w:space="0" w:color="auto"/>
                <w:bottom w:val="none" w:sz="0" w:space="0" w:color="auto"/>
                <w:right w:val="none" w:sz="0" w:space="0" w:color="auto"/>
              </w:divBdr>
            </w:div>
            <w:div w:id="212354979">
              <w:marLeft w:val="0"/>
              <w:marRight w:val="0"/>
              <w:marTop w:val="0"/>
              <w:marBottom w:val="240"/>
              <w:divBdr>
                <w:top w:val="none" w:sz="0" w:space="0" w:color="auto"/>
                <w:left w:val="none" w:sz="0" w:space="0" w:color="auto"/>
                <w:bottom w:val="none" w:sz="0" w:space="0" w:color="auto"/>
                <w:right w:val="none" w:sz="0" w:space="0" w:color="auto"/>
              </w:divBdr>
            </w:div>
            <w:div w:id="1529758568">
              <w:marLeft w:val="0"/>
              <w:marRight w:val="0"/>
              <w:marTop w:val="0"/>
              <w:marBottom w:val="240"/>
              <w:divBdr>
                <w:top w:val="none" w:sz="0" w:space="0" w:color="auto"/>
                <w:left w:val="none" w:sz="0" w:space="0" w:color="auto"/>
                <w:bottom w:val="none" w:sz="0" w:space="0" w:color="auto"/>
                <w:right w:val="none" w:sz="0" w:space="0" w:color="auto"/>
              </w:divBdr>
            </w:div>
            <w:div w:id="2039314899">
              <w:marLeft w:val="0"/>
              <w:marRight w:val="0"/>
              <w:marTop w:val="0"/>
              <w:marBottom w:val="240"/>
              <w:divBdr>
                <w:top w:val="none" w:sz="0" w:space="0" w:color="auto"/>
                <w:left w:val="none" w:sz="0" w:space="0" w:color="auto"/>
                <w:bottom w:val="none" w:sz="0" w:space="0" w:color="auto"/>
                <w:right w:val="none" w:sz="0" w:space="0" w:color="auto"/>
              </w:divBdr>
            </w:div>
            <w:div w:id="1161626259">
              <w:marLeft w:val="0"/>
              <w:marRight w:val="0"/>
              <w:marTop w:val="0"/>
              <w:marBottom w:val="240"/>
              <w:divBdr>
                <w:top w:val="none" w:sz="0" w:space="0" w:color="auto"/>
                <w:left w:val="none" w:sz="0" w:space="0" w:color="auto"/>
                <w:bottom w:val="none" w:sz="0" w:space="0" w:color="auto"/>
                <w:right w:val="none" w:sz="0" w:space="0" w:color="auto"/>
              </w:divBdr>
            </w:div>
            <w:div w:id="1441872910">
              <w:marLeft w:val="0"/>
              <w:marRight w:val="0"/>
              <w:marTop w:val="0"/>
              <w:marBottom w:val="240"/>
              <w:divBdr>
                <w:top w:val="none" w:sz="0" w:space="0" w:color="auto"/>
                <w:left w:val="none" w:sz="0" w:space="0" w:color="auto"/>
                <w:bottom w:val="none" w:sz="0" w:space="0" w:color="auto"/>
                <w:right w:val="none" w:sz="0" w:space="0" w:color="auto"/>
              </w:divBdr>
            </w:div>
            <w:div w:id="113015354">
              <w:marLeft w:val="0"/>
              <w:marRight w:val="0"/>
              <w:marTop w:val="0"/>
              <w:marBottom w:val="240"/>
              <w:divBdr>
                <w:top w:val="none" w:sz="0" w:space="0" w:color="auto"/>
                <w:left w:val="none" w:sz="0" w:space="0" w:color="auto"/>
                <w:bottom w:val="none" w:sz="0" w:space="0" w:color="auto"/>
                <w:right w:val="none" w:sz="0" w:space="0" w:color="auto"/>
              </w:divBdr>
            </w:div>
            <w:div w:id="786702567">
              <w:marLeft w:val="0"/>
              <w:marRight w:val="0"/>
              <w:marTop w:val="0"/>
              <w:marBottom w:val="240"/>
              <w:divBdr>
                <w:top w:val="none" w:sz="0" w:space="0" w:color="auto"/>
                <w:left w:val="none" w:sz="0" w:space="0" w:color="auto"/>
                <w:bottom w:val="none" w:sz="0" w:space="0" w:color="auto"/>
                <w:right w:val="none" w:sz="0" w:space="0" w:color="auto"/>
              </w:divBdr>
            </w:div>
            <w:div w:id="1653177851">
              <w:marLeft w:val="0"/>
              <w:marRight w:val="0"/>
              <w:marTop w:val="0"/>
              <w:marBottom w:val="240"/>
              <w:divBdr>
                <w:top w:val="none" w:sz="0" w:space="0" w:color="auto"/>
                <w:left w:val="none" w:sz="0" w:space="0" w:color="auto"/>
                <w:bottom w:val="none" w:sz="0" w:space="0" w:color="auto"/>
                <w:right w:val="none" w:sz="0" w:space="0" w:color="auto"/>
              </w:divBdr>
            </w:div>
            <w:div w:id="1100490922">
              <w:marLeft w:val="0"/>
              <w:marRight w:val="0"/>
              <w:marTop w:val="0"/>
              <w:marBottom w:val="240"/>
              <w:divBdr>
                <w:top w:val="none" w:sz="0" w:space="0" w:color="auto"/>
                <w:left w:val="none" w:sz="0" w:space="0" w:color="auto"/>
                <w:bottom w:val="none" w:sz="0" w:space="0" w:color="auto"/>
                <w:right w:val="none" w:sz="0" w:space="0" w:color="auto"/>
              </w:divBdr>
            </w:div>
            <w:div w:id="148904370">
              <w:marLeft w:val="0"/>
              <w:marRight w:val="0"/>
              <w:marTop w:val="0"/>
              <w:marBottom w:val="240"/>
              <w:divBdr>
                <w:top w:val="none" w:sz="0" w:space="0" w:color="auto"/>
                <w:left w:val="none" w:sz="0" w:space="0" w:color="auto"/>
                <w:bottom w:val="none" w:sz="0" w:space="0" w:color="auto"/>
                <w:right w:val="none" w:sz="0" w:space="0" w:color="auto"/>
              </w:divBdr>
            </w:div>
            <w:div w:id="1397706536">
              <w:marLeft w:val="0"/>
              <w:marRight w:val="0"/>
              <w:marTop w:val="0"/>
              <w:marBottom w:val="240"/>
              <w:divBdr>
                <w:top w:val="none" w:sz="0" w:space="0" w:color="auto"/>
                <w:left w:val="none" w:sz="0" w:space="0" w:color="auto"/>
                <w:bottom w:val="none" w:sz="0" w:space="0" w:color="auto"/>
                <w:right w:val="none" w:sz="0" w:space="0" w:color="auto"/>
              </w:divBdr>
            </w:div>
            <w:div w:id="1115442378">
              <w:marLeft w:val="0"/>
              <w:marRight w:val="0"/>
              <w:marTop w:val="0"/>
              <w:marBottom w:val="240"/>
              <w:divBdr>
                <w:top w:val="none" w:sz="0" w:space="0" w:color="auto"/>
                <w:left w:val="none" w:sz="0" w:space="0" w:color="auto"/>
                <w:bottom w:val="none" w:sz="0" w:space="0" w:color="auto"/>
                <w:right w:val="none" w:sz="0" w:space="0" w:color="auto"/>
              </w:divBdr>
            </w:div>
            <w:div w:id="2007127806">
              <w:marLeft w:val="0"/>
              <w:marRight w:val="0"/>
              <w:marTop w:val="0"/>
              <w:marBottom w:val="240"/>
              <w:divBdr>
                <w:top w:val="none" w:sz="0" w:space="0" w:color="auto"/>
                <w:left w:val="none" w:sz="0" w:space="0" w:color="auto"/>
                <w:bottom w:val="none" w:sz="0" w:space="0" w:color="auto"/>
                <w:right w:val="none" w:sz="0" w:space="0" w:color="auto"/>
              </w:divBdr>
            </w:div>
            <w:div w:id="1845895782">
              <w:marLeft w:val="0"/>
              <w:marRight w:val="0"/>
              <w:marTop w:val="0"/>
              <w:marBottom w:val="240"/>
              <w:divBdr>
                <w:top w:val="none" w:sz="0" w:space="0" w:color="auto"/>
                <w:left w:val="none" w:sz="0" w:space="0" w:color="auto"/>
                <w:bottom w:val="none" w:sz="0" w:space="0" w:color="auto"/>
                <w:right w:val="none" w:sz="0" w:space="0" w:color="auto"/>
              </w:divBdr>
            </w:div>
            <w:div w:id="912161240">
              <w:marLeft w:val="0"/>
              <w:marRight w:val="0"/>
              <w:marTop w:val="0"/>
              <w:marBottom w:val="240"/>
              <w:divBdr>
                <w:top w:val="none" w:sz="0" w:space="0" w:color="auto"/>
                <w:left w:val="none" w:sz="0" w:space="0" w:color="auto"/>
                <w:bottom w:val="none" w:sz="0" w:space="0" w:color="auto"/>
                <w:right w:val="none" w:sz="0" w:space="0" w:color="auto"/>
              </w:divBdr>
            </w:div>
            <w:div w:id="1944877923">
              <w:marLeft w:val="0"/>
              <w:marRight w:val="0"/>
              <w:marTop w:val="0"/>
              <w:marBottom w:val="240"/>
              <w:divBdr>
                <w:top w:val="none" w:sz="0" w:space="0" w:color="auto"/>
                <w:left w:val="none" w:sz="0" w:space="0" w:color="auto"/>
                <w:bottom w:val="none" w:sz="0" w:space="0" w:color="auto"/>
                <w:right w:val="none" w:sz="0" w:space="0" w:color="auto"/>
              </w:divBdr>
            </w:div>
            <w:div w:id="1103458741">
              <w:marLeft w:val="0"/>
              <w:marRight w:val="0"/>
              <w:marTop w:val="0"/>
              <w:marBottom w:val="240"/>
              <w:divBdr>
                <w:top w:val="none" w:sz="0" w:space="0" w:color="auto"/>
                <w:left w:val="none" w:sz="0" w:space="0" w:color="auto"/>
                <w:bottom w:val="none" w:sz="0" w:space="0" w:color="auto"/>
                <w:right w:val="none" w:sz="0" w:space="0" w:color="auto"/>
              </w:divBdr>
            </w:div>
            <w:div w:id="1168638418">
              <w:marLeft w:val="0"/>
              <w:marRight w:val="0"/>
              <w:marTop w:val="0"/>
              <w:marBottom w:val="240"/>
              <w:divBdr>
                <w:top w:val="none" w:sz="0" w:space="0" w:color="auto"/>
                <w:left w:val="none" w:sz="0" w:space="0" w:color="auto"/>
                <w:bottom w:val="none" w:sz="0" w:space="0" w:color="auto"/>
                <w:right w:val="none" w:sz="0" w:space="0" w:color="auto"/>
              </w:divBdr>
            </w:div>
            <w:div w:id="1371490159">
              <w:marLeft w:val="0"/>
              <w:marRight w:val="0"/>
              <w:marTop w:val="0"/>
              <w:marBottom w:val="240"/>
              <w:divBdr>
                <w:top w:val="none" w:sz="0" w:space="0" w:color="auto"/>
                <w:left w:val="none" w:sz="0" w:space="0" w:color="auto"/>
                <w:bottom w:val="none" w:sz="0" w:space="0" w:color="auto"/>
                <w:right w:val="none" w:sz="0" w:space="0" w:color="auto"/>
              </w:divBdr>
            </w:div>
            <w:div w:id="168570820">
              <w:marLeft w:val="0"/>
              <w:marRight w:val="0"/>
              <w:marTop w:val="0"/>
              <w:marBottom w:val="240"/>
              <w:divBdr>
                <w:top w:val="none" w:sz="0" w:space="0" w:color="auto"/>
                <w:left w:val="none" w:sz="0" w:space="0" w:color="auto"/>
                <w:bottom w:val="none" w:sz="0" w:space="0" w:color="auto"/>
                <w:right w:val="none" w:sz="0" w:space="0" w:color="auto"/>
              </w:divBdr>
            </w:div>
            <w:div w:id="1990933976">
              <w:marLeft w:val="0"/>
              <w:marRight w:val="0"/>
              <w:marTop w:val="0"/>
              <w:marBottom w:val="240"/>
              <w:divBdr>
                <w:top w:val="none" w:sz="0" w:space="0" w:color="auto"/>
                <w:left w:val="none" w:sz="0" w:space="0" w:color="auto"/>
                <w:bottom w:val="none" w:sz="0" w:space="0" w:color="auto"/>
                <w:right w:val="none" w:sz="0" w:space="0" w:color="auto"/>
              </w:divBdr>
            </w:div>
            <w:div w:id="365378333">
              <w:marLeft w:val="0"/>
              <w:marRight w:val="0"/>
              <w:marTop w:val="0"/>
              <w:marBottom w:val="240"/>
              <w:divBdr>
                <w:top w:val="none" w:sz="0" w:space="0" w:color="auto"/>
                <w:left w:val="none" w:sz="0" w:space="0" w:color="auto"/>
                <w:bottom w:val="none" w:sz="0" w:space="0" w:color="auto"/>
                <w:right w:val="none" w:sz="0" w:space="0" w:color="auto"/>
              </w:divBdr>
            </w:div>
            <w:div w:id="1361395515">
              <w:marLeft w:val="0"/>
              <w:marRight w:val="0"/>
              <w:marTop w:val="0"/>
              <w:marBottom w:val="240"/>
              <w:divBdr>
                <w:top w:val="none" w:sz="0" w:space="0" w:color="auto"/>
                <w:left w:val="none" w:sz="0" w:space="0" w:color="auto"/>
                <w:bottom w:val="none" w:sz="0" w:space="0" w:color="auto"/>
                <w:right w:val="none" w:sz="0" w:space="0" w:color="auto"/>
              </w:divBdr>
            </w:div>
            <w:div w:id="1250194791">
              <w:marLeft w:val="0"/>
              <w:marRight w:val="0"/>
              <w:marTop w:val="0"/>
              <w:marBottom w:val="240"/>
              <w:divBdr>
                <w:top w:val="none" w:sz="0" w:space="0" w:color="auto"/>
                <w:left w:val="none" w:sz="0" w:space="0" w:color="auto"/>
                <w:bottom w:val="none" w:sz="0" w:space="0" w:color="auto"/>
                <w:right w:val="none" w:sz="0" w:space="0" w:color="auto"/>
              </w:divBdr>
            </w:div>
            <w:div w:id="372734569">
              <w:marLeft w:val="0"/>
              <w:marRight w:val="0"/>
              <w:marTop w:val="0"/>
              <w:marBottom w:val="240"/>
              <w:divBdr>
                <w:top w:val="none" w:sz="0" w:space="0" w:color="auto"/>
                <w:left w:val="none" w:sz="0" w:space="0" w:color="auto"/>
                <w:bottom w:val="none" w:sz="0" w:space="0" w:color="auto"/>
                <w:right w:val="none" w:sz="0" w:space="0" w:color="auto"/>
              </w:divBdr>
            </w:div>
            <w:div w:id="1211266583">
              <w:marLeft w:val="0"/>
              <w:marRight w:val="0"/>
              <w:marTop w:val="0"/>
              <w:marBottom w:val="240"/>
              <w:divBdr>
                <w:top w:val="none" w:sz="0" w:space="0" w:color="auto"/>
                <w:left w:val="none" w:sz="0" w:space="0" w:color="auto"/>
                <w:bottom w:val="none" w:sz="0" w:space="0" w:color="auto"/>
                <w:right w:val="none" w:sz="0" w:space="0" w:color="auto"/>
              </w:divBdr>
            </w:div>
            <w:div w:id="208030679">
              <w:marLeft w:val="0"/>
              <w:marRight w:val="0"/>
              <w:marTop w:val="0"/>
              <w:marBottom w:val="240"/>
              <w:divBdr>
                <w:top w:val="none" w:sz="0" w:space="0" w:color="auto"/>
                <w:left w:val="none" w:sz="0" w:space="0" w:color="auto"/>
                <w:bottom w:val="none" w:sz="0" w:space="0" w:color="auto"/>
                <w:right w:val="none" w:sz="0" w:space="0" w:color="auto"/>
              </w:divBdr>
            </w:div>
            <w:div w:id="435559342">
              <w:marLeft w:val="0"/>
              <w:marRight w:val="0"/>
              <w:marTop w:val="0"/>
              <w:marBottom w:val="240"/>
              <w:divBdr>
                <w:top w:val="none" w:sz="0" w:space="0" w:color="auto"/>
                <w:left w:val="none" w:sz="0" w:space="0" w:color="auto"/>
                <w:bottom w:val="none" w:sz="0" w:space="0" w:color="auto"/>
                <w:right w:val="none" w:sz="0" w:space="0" w:color="auto"/>
              </w:divBdr>
            </w:div>
            <w:div w:id="2138526402">
              <w:marLeft w:val="0"/>
              <w:marRight w:val="0"/>
              <w:marTop w:val="0"/>
              <w:marBottom w:val="240"/>
              <w:divBdr>
                <w:top w:val="none" w:sz="0" w:space="0" w:color="auto"/>
                <w:left w:val="none" w:sz="0" w:space="0" w:color="auto"/>
                <w:bottom w:val="none" w:sz="0" w:space="0" w:color="auto"/>
                <w:right w:val="none" w:sz="0" w:space="0" w:color="auto"/>
              </w:divBdr>
            </w:div>
            <w:div w:id="1793357856">
              <w:marLeft w:val="0"/>
              <w:marRight w:val="0"/>
              <w:marTop w:val="0"/>
              <w:marBottom w:val="240"/>
              <w:divBdr>
                <w:top w:val="none" w:sz="0" w:space="0" w:color="auto"/>
                <w:left w:val="none" w:sz="0" w:space="0" w:color="auto"/>
                <w:bottom w:val="none" w:sz="0" w:space="0" w:color="auto"/>
                <w:right w:val="none" w:sz="0" w:space="0" w:color="auto"/>
              </w:divBdr>
            </w:div>
            <w:div w:id="1665458">
              <w:marLeft w:val="0"/>
              <w:marRight w:val="0"/>
              <w:marTop w:val="0"/>
              <w:marBottom w:val="240"/>
              <w:divBdr>
                <w:top w:val="none" w:sz="0" w:space="0" w:color="auto"/>
                <w:left w:val="none" w:sz="0" w:space="0" w:color="auto"/>
                <w:bottom w:val="none" w:sz="0" w:space="0" w:color="auto"/>
                <w:right w:val="none" w:sz="0" w:space="0" w:color="auto"/>
              </w:divBdr>
            </w:div>
            <w:div w:id="2081713050">
              <w:marLeft w:val="0"/>
              <w:marRight w:val="0"/>
              <w:marTop w:val="0"/>
              <w:marBottom w:val="240"/>
              <w:divBdr>
                <w:top w:val="none" w:sz="0" w:space="0" w:color="auto"/>
                <w:left w:val="none" w:sz="0" w:space="0" w:color="auto"/>
                <w:bottom w:val="none" w:sz="0" w:space="0" w:color="auto"/>
                <w:right w:val="none" w:sz="0" w:space="0" w:color="auto"/>
              </w:divBdr>
            </w:div>
            <w:div w:id="289094610">
              <w:marLeft w:val="0"/>
              <w:marRight w:val="0"/>
              <w:marTop w:val="0"/>
              <w:marBottom w:val="240"/>
              <w:divBdr>
                <w:top w:val="none" w:sz="0" w:space="0" w:color="auto"/>
                <w:left w:val="none" w:sz="0" w:space="0" w:color="auto"/>
                <w:bottom w:val="none" w:sz="0" w:space="0" w:color="auto"/>
                <w:right w:val="none" w:sz="0" w:space="0" w:color="auto"/>
              </w:divBdr>
            </w:div>
            <w:div w:id="16200719">
              <w:marLeft w:val="0"/>
              <w:marRight w:val="0"/>
              <w:marTop w:val="0"/>
              <w:marBottom w:val="240"/>
              <w:divBdr>
                <w:top w:val="none" w:sz="0" w:space="0" w:color="auto"/>
                <w:left w:val="none" w:sz="0" w:space="0" w:color="auto"/>
                <w:bottom w:val="none" w:sz="0" w:space="0" w:color="auto"/>
                <w:right w:val="none" w:sz="0" w:space="0" w:color="auto"/>
              </w:divBdr>
            </w:div>
            <w:div w:id="1100640631">
              <w:marLeft w:val="0"/>
              <w:marRight w:val="0"/>
              <w:marTop w:val="0"/>
              <w:marBottom w:val="240"/>
              <w:divBdr>
                <w:top w:val="none" w:sz="0" w:space="0" w:color="auto"/>
                <w:left w:val="none" w:sz="0" w:space="0" w:color="auto"/>
                <w:bottom w:val="none" w:sz="0" w:space="0" w:color="auto"/>
                <w:right w:val="none" w:sz="0" w:space="0" w:color="auto"/>
              </w:divBdr>
            </w:div>
            <w:div w:id="55249033">
              <w:marLeft w:val="0"/>
              <w:marRight w:val="0"/>
              <w:marTop w:val="0"/>
              <w:marBottom w:val="240"/>
              <w:divBdr>
                <w:top w:val="none" w:sz="0" w:space="0" w:color="auto"/>
                <w:left w:val="none" w:sz="0" w:space="0" w:color="auto"/>
                <w:bottom w:val="none" w:sz="0" w:space="0" w:color="auto"/>
                <w:right w:val="none" w:sz="0" w:space="0" w:color="auto"/>
              </w:divBdr>
            </w:div>
            <w:div w:id="210850669">
              <w:marLeft w:val="0"/>
              <w:marRight w:val="0"/>
              <w:marTop w:val="0"/>
              <w:marBottom w:val="240"/>
              <w:divBdr>
                <w:top w:val="none" w:sz="0" w:space="0" w:color="auto"/>
                <w:left w:val="none" w:sz="0" w:space="0" w:color="auto"/>
                <w:bottom w:val="none" w:sz="0" w:space="0" w:color="auto"/>
                <w:right w:val="none" w:sz="0" w:space="0" w:color="auto"/>
              </w:divBdr>
            </w:div>
            <w:div w:id="584385894">
              <w:marLeft w:val="0"/>
              <w:marRight w:val="0"/>
              <w:marTop w:val="0"/>
              <w:marBottom w:val="240"/>
              <w:divBdr>
                <w:top w:val="none" w:sz="0" w:space="0" w:color="auto"/>
                <w:left w:val="none" w:sz="0" w:space="0" w:color="auto"/>
                <w:bottom w:val="none" w:sz="0" w:space="0" w:color="auto"/>
                <w:right w:val="none" w:sz="0" w:space="0" w:color="auto"/>
              </w:divBdr>
            </w:div>
            <w:div w:id="571237365">
              <w:marLeft w:val="0"/>
              <w:marRight w:val="0"/>
              <w:marTop w:val="0"/>
              <w:marBottom w:val="240"/>
              <w:divBdr>
                <w:top w:val="none" w:sz="0" w:space="0" w:color="auto"/>
                <w:left w:val="none" w:sz="0" w:space="0" w:color="auto"/>
                <w:bottom w:val="none" w:sz="0" w:space="0" w:color="auto"/>
                <w:right w:val="none" w:sz="0" w:space="0" w:color="auto"/>
              </w:divBdr>
            </w:div>
            <w:div w:id="1267269749">
              <w:marLeft w:val="0"/>
              <w:marRight w:val="0"/>
              <w:marTop w:val="0"/>
              <w:marBottom w:val="240"/>
              <w:divBdr>
                <w:top w:val="none" w:sz="0" w:space="0" w:color="auto"/>
                <w:left w:val="none" w:sz="0" w:space="0" w:color="auto"/>
                <w:bottom w:val="none" w:sz="0" w:space="0" w:color="auto"/>
                <w:right w:val="none" w:sz="0" w:space="0" w:color="auto"/>
              </w:divBdr>
            </w:div>
            <w:div w:id="501550502">
              <w:marLeft w:val="0"/>
              <w:marRight w:val="0"/>
              <w:marTop w:val="0"/>
              <w:marBottom w:val="240"/>
              <w:divBdr>
                <w:top w:val="none" w:sz="0" w:space="0" w:color="auto"/>
                <w:left w:val="none" w:sz="0" w:space="0" w:color="auto"/>
                <w:bottom w:val="none" w:sz="0" w:space="0" w:color="auto"/>
                <w:right w:val="none" w:sz="0" w:space="0" w:color="auto"/>
              </w:divBdr>
            </w:div>
            <w:div w:id="786385629">
              <w:marLeft w:val="0"/>
              <w:marRight w:val="0"/>
              <w:marTop w:val="0"/>
              <w:marBottom w:val="240"/>
              <w:divBdr>
                <w:top w:val="none" w:sz="0" w:space="0" w:color="auto"/>
                <w:left w:val="none" w:sz="0" w:space="0" w:color="auto"/>
                <w:bottom w:val="none" w:sz="0" w:space="0" w:color="auto"/>
                <w:right w:val="none" w:sz="0" w:space="0" w:color="auto"/>
              </w:divBdr>
            </w:div>
            <w:div w:id="253902954">
              <w:marLeft w:val="0"/>
              <w:marRight w:val="0"/>
              <w:marTop w:val="0"/>
              <w:marBottom w:val="240"/>
              <w:divBdr>
                <w:top w:val="none" w:sz="0" w:space="0" w:color="auto"/>
                <w:left w:val="none" w:sz="0" w:space="0" w:color="auto"/>
                <w:bottom w:val="none" w:sz="0" w:space="0" w:color="auto"/>
                <w:right w:val="none" w:sz="0" w:space="0" w:color="auto"/>
              </w:divBdr>
            </w:div>
            <w:div w:id="1122575584">
              <w:marLeft w:val="0"/>
              <w:marRight w:val="0"/>
              <w:marTop w:val="0"/>
              <w:marBottom w:val="240"/>
              <w:divBdr>
                <w:top w:val="none" w:sz="0" w:space="0" w:color="auto"/>
                <w:left w:val="none" w:sz="0" w:space="0" w:color="auto"/>
                <w:bottom w:val="none" w:sz="0" w:space="0" w:color="auto"/>
                <w:right w:val="none" w:sz="0" w:space="0" w:color="auto"/>
              </w:divBdr>
            </w:div>
            <w:div w:id="1049652212">
              <w:marLeft w:val="0"/>
              <w:marRight w:val="0"/>
              <w:marTop w:val="0"/>
              <w:marBottom w:val="240"/>
              <w:divBdr>
                <w:top w:val="none" w:sz="0" w:space="0" w:color="auto"/>
                <w:left w:val="none" w:sz="0" w:space="0" w:color="auto"/>
                <w:bottom w:val="none" w:sz="0" w:space="0" w:color="auto"/>
                <w:right w:val="none" w:sz="0" w:space="0" w:color="auto"/>
              </w:divBdr>
            </w:div>
            <w:div w:id="714504655">
              <w:marLeft w:val="0"/>
              <w:marRight w:val="0"/>
              <w:marTop w:val="0"/>
              <w:marBottom w:val="240"/>
              <w:divBdr>
                <w:top w:val="none" w:sz="0" w:space="0" w:color="auto"/>
                <w:left w:val="none" w:sz="0" w:space="0" w:color="auto"/>
                <w:bottom w:val="none" w:sz="0" w:space="0" w:color="auto"/>
                <w:right w:val="none" w:sz="0" w:space="0" w:color="auto"/>
              </w:divBdr>
            </w:div>
            <w:div w:id="642541099">
              <w:marLeft w:val="0"/>
              <w:marRight w:val="0"/>
              <w:marTop w:val="0"/>
              <w:marBottom w:val="240"/>
              <w:divBdr>
                <w:top w:val="none" w:sz="0" w:space="0" w:color="auto"/>
                <w:left w:val="none" w:sz="0" w:space="0" w:color="auto"/>
                <w:bottom w:val="none" w:sz="0" w:space="0" w:color="auto"/>
                <w:right w:val="none" w:sz="0" w:space="0" w:color="auto"/>
              </w:divBdr>
            </w:div>
            <w:div w:id="509682947">
              <w:marLeft w:val="0"/>
              <w:marRight w:val="0"/>
              <w:marTop w:val="0"/>
              <w:marBottom w:val="240"/>
              <w:divBdr>
                <w:top w:val="none" w:sz="0" w:space="0" w:color="auto"/>
                <w:left w:val="none" w:sz="0" w:space="0" w:color="auto"/>
                <w:bottom w:val="none" w:sz="0" w:space="0" w:color="auto"/>
                <w:right w:val="none" w:sz="0" w:space="0" w:color="auto"/>
              </w:divBdr>
            </w:div>
            <w:div w:id="28072438">
              <w:marLeft w:val="0"/>
              <w:marRight w:val="0"/>
              <w:marTop w:val="0"/>
              <w:marBottom w:val="240"/>
              <w:divBdr>
                <w:top w:val="none" w:sz="0" w:space="0" w:color="auto"/>
                <w:left w:val="none" w:sz="0" w:space="0" w:color="auto"/>
                <w:bottom w:val="none" w:sz="0" w:space="0" w:color="auto"/>
                <w:right w:val="none" w:sz="0" w:space="0" w:color="auto"/>
              </w:divBdr>
            </w:div>
            <w:div w:id="1497650477">
              <w:marLeft w:val="0"/>
              <w:marRight w:val="0"/>
              <w:marTop w:val="0"/>
              <w:marBottom w:val="240"/>
              <w:divBdr>
                <w:top w:val="none" w:sz="0" w:space="0" w:color="auto"/>
                <w:left w:val="none" w:sz="0" w:space="0" w:color="auto"/>
                <w:bottom w:val="none" w:sz="0" w:space="0" w:color="auto"/>
                <w:right w:val="none" w:sz="0" w:space="0" w:color="auto"/>
              </w:divBdr>
            </w:div>
            <w:div w:id="1317875212">
              <w:marLeft w:val="0"/>
              <w:marRight w:val="0"/>
              <w:marTop w:val="0"/>
              <w:marBottom w:val="240"/>
              <w:divBdr>
                <w:top w:val="none" w:sz="0" w:space="0" w:color="auto"/>
                <w:left w:val="none" w:sz="0" w:space="0" w:color="auto"/>
                <w:bottom w:val="none" w:sz="0" w:space="0" w:color="auto"/>
                <w:right w:val="none" w:sz="0" w:space="0" w:color="auto"/>
              </w:divBdr>
            </w:div>
            <w:div w:id="463501063">
              <w:marLeft w:val="0"/>
              <w:marRight w:val="0"/>
              <w:marTop w:val="0"/>
              <w:marBottom w:val="240"/>
              <w:divBdr>
                <w:top w:val="none" w:sz="0" w:space="0" w:color="auto"/>
                <w:left w:val="none" w:sz="0" w:space="0" w:color="auto"/>
                <w:bottom w:val="none" w:sz="0" w:space="0" w:color="auto"/>
                <w:right w:val="none" w:sz="0" w:space="0" w:color="auto"/>
              </w:divBdr>
            </w:div>
            <w:div w:id="184362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348143">
      <w:bodyDiv w:val="1"/>
      <w:marLeft w:val="0"/>
      <w:marRight w:val="0"/>
      <w:marTop w:val="0"/>
      <w:marBottom w:val="0"/>
      <w:divBdr>
        <w:top w:val="none" w:sz="0" w:space="0" w:color="auto"/>
        <w:left w:val="none" w:sz="0" w:space="0" w:color="auto"/>
        <w:bottom w:val="none" w:sz="0" w:space="0" w:color="auto"/>
        <w:right w:val="none" w:sz="0" w:space="0" w:color="auto"/>
      </w:divBdr>
    </w:div>
    <w:div w:id="376047861">
      <w:bodyDiv w:val="1"/>
      <w:marLeft w:val="0"/>
      <w:marRight w:val="0"/>
      <w:marTop w:val="0"/>
      <w:marBottom w:val="0"/>
      <w:divBdr>
        <w:top w:val="none" w:sz="0" w:space="0" w:color="auto"/>
        <w:left w:val="none" w:sz="0" w:space="0" w:color="auto"/>
        <w:bottom w:val="none" w:sz="0" w:space="0" w:color="auto"/>
        <w:right w:val="none" w:sz="0" w:space="0" w:color="auto"/>
      </w:divBdr>
    </w:div>
    <w:div w:id="390619617">
      <w:bodyDiv w:val="1"/>
      <w:marLeft w:val="0"/>
      <w:marRight w:val="0"/>
      <w:marTop w:val="0"/>
      <w:marBottom w:val="0"/>
      <w:divBdr>
        <w:top w:val="none" w:sz="0" w:space="0" w:color="auto"/>
        <w:left w:val="none" w:sz="0" w:space="0" w:color="auto"/>
        <w:bottom w:val="none" w:sz="0" w:space="0" w:color="auto"/>
        <w:right w:val="none" w:sz="0" w:space="0" w:color="auto"/>
      </w:divBdr>
    </w:div>
    <w:div w:id="398670108">
      <w:bodyDiv w:val="1"/>
      <w:marLeft w:val="0"/>
      <w:marRight w:val="0"/>
      <w:marTop w:val="0"/>
      <w:marBottom w:val="0"/>
      <w:divBdr>
        <w:top w:val="none" w:sz="0" w:space="0" w:color="auto"/>
        <w:left w:val="none" w:sz="0" w:space="0" w:color="auto"/>
        <w:bottom w:val="none" w:sz="0" w:space="0" w:color="auto"/>
        <w:right w:val="none" w:sz="0" w:space="0" w:color="auto"/>
      </w:divBdr>
    </w:div>
    <w:div w:id="446126636">
      <w:bodyDiv w:val="1"/>
      <w:marLeft w:val="0"/>
      <w:marRight w:val="0"/>
      <w:marTop w:val="0"/>
      <w:marBottom w:val="0"/>
      <w:divBdr>
        <w:top w:val="none" w:sz="0" w:space="0" w:color="auto"/>
        <w:left w:val="none" w:sz="0" w:space="0" w:color="auto"/>
        <w:bottom w:val="none" w:sz="0" w:space="0" w:color="auto"/>
        <w:right w:val="none" w:sz="0" w:space="0" w:color="auto"/>
      </w:divBdr>
    </w:div>
    <w:div w:id="446587550">
      <w:bodyDiv w:val="1"/>
      <w:marLeft w:val="0"/>
      <w:marRight w:val="0"/>
      <w:marTop w:val="0"/>
      <w:marBottom w:val="0"/>
      <w:divBdr>
        <w:top w:val="none" w:sz="0" w:space="0" w:color="auto"/>
        <w:left w:val="none" w:sz="0" w:space="0" w:color="auto"/>
        <w:bottom w:val="none" w:sz="0" w:space="0" w:color="auto"/>
        <w:right w:val="none" w:sz="0" w:space="0" w:color="auto"/>
      </w:divBdr>
      <w:divsChild>
        <w:div w:id="100926989">
          <w:marLeft w:val="0"/>
          <w:marRight w:val="0"/>
          <w:marTop w:val="0"/>
          <w:marBottom w:val="0"/>
          <w:divBdr>
            <w:top w:val="none" w:sz="0" w:space="0" w:color="auto"/>
            <w:left w:val="none" w:sz="0" w:space="0" w:color="auto"/>
            <w:bottom w:val="none" w:sz="0" w:space="0" w:color="auto"/>
            <w:right w:val="none" w:sz="0" w:space="0" w:color="auto"/>
          </w:divBdr>
          <w:divsChild>
            <w:div w:id="877010412">
              <w:marLeft w:val="0"/>
              <w:marRight w:val="0"/>
              <w:marTop w:val="0"/>
              <w:marBottom w:val="0"/>
              <w:divBdr>
                <w:top w:val="none" w:sz="0" w:space="0" w:color="auto"/>
                <w:left w:val="none" w:sz="0" w:space="0" w:color="auto"/>
                <w:bottom w:val="none" w:sz="0" w:space="0" w:color="auto"/>
                <w:right w:val="none" w:sz="0" w:space="0" w:color="auto"/>
              </w:divBdr>
              <w:divsChild>
                <w:div w:id="54094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980720">
      <w:bodyDiv w:val="1"/>
      <w:marLeft w:val="0"/>
      <w:marRight w:val="0"/>
      <w:marTop w:val="0"/>
      <w:marBottom w:val="0"/>
      <w:divBdr>
        <w:top w:val="none" w:sz="0" w:space="0" w:color="auto"/>
        <w:left w:val="none" w:sz="0" w:space="0" w:color="auto"/>
        <w:bottom w:val="none" w:sz="0" w:space="0" w:color="auto"/>
        <w:right w:val="none" w:sz="0" w:space="0" w:color="auto"/>
      </w:divBdr>
      <w:divsChild>
        <w:div w:id="2018576996">
          <w:marLeft w:val="0"/>
          <w:marRight w:val="0"/>
          <w:marTop w:val="0"/>
          <w:marBottom w:val="0"/>
          <w:divBdr>
            <w:top w:val="none" w:sz="0" w:space="0" w:color="auto"/>
            <w:left w:val="none" w:sz="0" w:space="0" w:color="auto"/>
            <w:bottom w:val="none" w:sz="0" w:space="0" w:color="auto"/>
            <w:right w:val="none" w:sz="0" w:space="0" w:color="auto"/>
          </w:divBdr>
          <w:divsChild>
            <w:div w:id="621108247">
              <w:marLeft w:val="0"/>
              <w:marRight w:val="0"/>
              <w:marTop w:val="0"/>
              <w:marBottom w:val="0"/>
              <w:divBdr>
                <w:top w:val="none" w:sz="0" w:space="0" w:color="auto"/>
                <w:left w:val="none" w:sz="0" w:space="0" w:color="auto"/>
                <w:bottom w:val="none" w:sz="0" w:space="0" w:color="auto"/>
                <w:right w:val="none" w:sz="0" w:space="0" w:color="auto"/>
              </w:divBdr>
              <w:divsChild>
                <w:div w:id="1221594854">
                  <w:marLeft w:val="0"/>
                  <w:marRight w:val="0"/>
                  <w:marTop w:val="0"/>
                  <w:marBottom w:val="0"/>
                  <w:divBdr>
                    <w:top w:val="none" w:sz="0" w:space="0" w:color="auto"/>
                    <w:left w:val="none" w:sz="0" w:space="0" w:color="auto"/>
                    <w:bottom w:val="none" w:sz="0" w:space="0" w:color="auto"/>
                    <w:right w:val="none" w:sz="0" w:space="0" w:color="auto"/>
                  </w:divBdr>
                  <w:divsChild>
                    <w:div w:id="874271971">
                      <w:marLeft w:val="0"/>
                      <w:marRight w:val="0"/>
                      <w:marTop w:val="0"/>
                      <w:marBottom w:val="0"/>
                      <w:divBdr>
                        <w:top w:val="none" w:sz="0" w:space="0" w:color="auto"/>
                        <w:left w:val="none" w:sz="0" w:space="0" w:color="auto"/>
                        <w:bottom w:val="none" w:sz="0" w:space="0" w:color="auto"/>
                        <w:right w:val="none" w:sz="0" w:space="0" w:color="auto"/>
                      </w:divBdr>
                      <w:divsChild>
                        <w:div w:id="676008616">
                          <w:marLeft w:val="0"/>
                          <w:marRight w:val="0"/>
                          <w:marTop w:val="0"/>
                          <w:marBottom w:val="0"/>
                          <w:divBdr>
                            <w:top w:val="none" w:sz="0" w:space="0" w:color="auto"/>
                            <w:left w:val="none" w:sz="0" w:space="0" w:color="auto"/>
                            <w:bottom w:val="none" w:sz="0" w:space="0" w:color="auto"/>
                            <w:right w:val="none" w:sz="0" w:space="0" w:color="auto"/>
                          </w:divBdr>
                          <w:divsChild>
                            <w:div w:id="1046950740">
                              <w:marLeft w:val="0"/>
                              <w:marRight w:val="0"/>
                              <w:marTop w:val="0"/>
                              <w:marBottom w:val="0"/>
                              <w:divBdr>
                                <w:top w:val="none" w:sz="0" w:space="0" w:color="auto"/>
                                <w:left w:val="none" w:sz="0" w:space="0" w:color="auto"/>
                                <w:bottom w:val="none" w:sz="0" w:space="0" w:color="auto"/>
                                <w:right w:val="none" w:sz="0" w:space="0" w:color="auto"/>
                              </w:divBdr>
                              <w:divsChild>
                                <w:div w:id="125390828">
                                  <w:marLeft w:val="0"/>
                                  <w:marRight w:val="0"/>
                                  <w:marTop w:val="0"/>
                                  <w:marBottom w:val="0"/>
                                  <w:divBdr>
                                    <w:top w:val="none" w:sz="0" w:space="0" w:color="auto"/>
                                    <w:left w:val="none" w:sz="0" w:space="0" w:color="auto"/>
                                    <w:bottom w:val="none" w:sz="0" w:space="0" w:color="auto"/>
                                    <w:right w:val="none" w:sz="0" w:space="0" w:color="auto"/>
                                  </w:divBdr>
                                  <w:divsChild>
                                    <w:div w:id="158526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765473">
                      <w:marLeft w:val="0"/>
                      <w:marRight w:val="0"/>
                      <w:marTop w:val="0"/>
                      <w:marBottom w:val="0"/>
                      <w:divBdr>
                        <w:top w:val="none" w:sz="0" w:space="0" w:color="auto"/>
                        <w:left w:val="none" w:sz="0" w:space="0" w:color="auto"/>
                        <w:bottom w:val="none" w:sz="0" w:space="0" w:color="auto"/>
                        <w:right w:val="none" w:sz="0" w:space="0" w:color="auto"/>
                      </w:divBdr>
                      <w:divsChild>
                        <w:div w:id="609119458">
                          <w:marLeft w:val="0"/>
                          <w:marRight w:val="0"/>
                          <w:marTop w:val="0"/>
                          <w:marBottom w:val="0"/>
                          <w:divBdr>
                            <w:top w:val="none" w:sz="0" w:space="0" w:color="auto"/>
                            <w:left w:val="none" w:sz="0" w:space="0" w:color="auto"/>
                            <w:bottom w:val="none" w:sz="0" w:space="0" w:color="auto"/>
                            <w:right w:val="none" w:sz="0" w:space="0" w:color="auto"/>
                          </w:divBdr>
                          <w:divsChild>
                            <w:div w:id="1432775228">
                              <w:marLeft w:val="0"/>
                              <w:marRight w:val="0"/>
                              <w:marTop w:val="0"/>
                              <w:marBottom w:val="0"/>
                              <w:divBdr>
                                <w:top w:val="none" w:sz="0" w:space="0" w:color="auto"/>
                                <w:left w:val="none" w:sz="0" w:space="0" w:color="auto"/>
                                <w:bottom w:val="none" w:sz="0" w:space="0" w:color="auto"/>
                                <w:right w:val="none" w:sz="0" w:space="0" w:color="auto"/>
                              </w:divBdr>
                              <w:divsChild>
                                <w:div w:id="39979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5804173">
      <w:bodyDiv w:val="1"/>
      <w:marLeft w:val="0"/>
      <w:marRight w:val="0"/>
      <w:marTop w:val="0"/>
      <w:marBottom w:val="0"/>
      <w:divBdr>
        <w:top w:val="none" w:sz="0" w:space="0" w:color="auto"/>
        <w:left w:val="none" w:sz="0" w:space="0" w:color="auto"/>
        <w:bottom w:val="none" w:sz="0" w:space="0" w:color="auto"/>
        <w:right w:val="none" w:sz="0" w:space="0" w:color="auto"/>
      </w:divBdr>
    </w:div>
    <w:div w:id="461967410">
      <w:bodyDiv w:val="1"/>
      <w:marLeft w:val="0"/>
      <w:marRight w:val="0"/>
      <w:marTop w:val="0"/>
      <w:marBottom w:val="0"/>
      <w:divBdr>
        <w:top w:val="none" w:sz="0" w:space="0" w:color="auto"/>
        <w:left w:val="none" w:sz="0" w:space="0" w:color="auto"/>
        <w:bottom w:val="none" w:sz="0" w:space="0" w:color="auto"/>
        <w:right w:val="none" w:sz="0" w:space="0" w:color="auto"/>
      </w:divBdr>
    </w:div>
    <w:div w:id="464663176">
      <w:bodyDiv w:val="1"/>
      <w:marLeft w:val="0"/>
      <w:marRight w:val="0"/>
      <w:marTop w:val="0"/>
      <w:marBottom w:val="0"/>
      <w:divBdr>
        <w:top w:val="none" w:sz="0" w:space="0" w:color="auto"/>
        <w:left w:val="none" w:sz="0" w:space="0" w:color="auto"/>
        <w:bottom w:val="none" w:sz="0" w:space="0" w:color="auto"/>
        <w:right w:val="none" w:sz="0" w:space="0" w:color="auto"/>
      </w:divBdr>
    </w:div>
    <w:div w:id="465391249">
      <w:bodyDiv w:val="1"/>
      <w:marLeft w:val="0"/>
      <w:marRight w:val="0"/>
      <w:marTop w:val="0"/>
      <w:marBottom w:val="0"/>
      <w:divBdr>
        <w:top w:val="none" w:sz="0" w:space="0" w:color="auto"/>
        <w:left w:val="none" w:sz="0" w:space="0" w:color="auto"/>
        <w:bottom w:val="none" w:sz="0" w:space="0" w:color="auto"/>
        <w:right w:val="none" w:sz="0" w:space="0" w:color="auto"/>
      </w:divBdr>
      <w:divsChild>
        <w:div w:id="300115305">
          <w:marLeft w:val="0"/>
          <w:marRight w:val="0"/>
          <w:marTop w:val="0"/>
          <w:marBottom w:val="48"/>
          <w:divBdr>
            <w:top w:val="none" w:sz="0" w:space="0" w:color="auto"/>
            <w:left w:val="none" w:sz="0" w:space="0" w:color="auto"/>
            <w:bottom w:val="none" w:sz="0" w:space="0" w:color="auto"/>
            <w:right w:val="none" w:sz="0" w:space="0" w:color="auto"/>
          </w:divBdr>
          <w:divsChild>
            <w:div w:id="690646664">
              <w:marLeft w:val="0"/>
              <w:marRight w:val="0"/>
              <w:marTop w:val="0"/>
              <w:marBottom w:val="0"/>
              <w:divBdr>
                <w:top w:val="none" w:sz="0" w:space="0" w:color="auto"/>
                <w:left w:val="none" w:sz="0" w:space="0" w:color="auto"/>
                <w:bottom w:val="none" w:sz="0" w:space="0" w:color="auto"/>
                <w:right w:val="none" w:sz="0" w:space="0" w:color="auto"/>
              </w:divBdr>
              <w:divsChild>
                <w:div w:id="553925717">
                  <w:marLeft w:val="0"/>
                  <w:marRight w:val="0"/>
                  <w:marTop w:val="0"/>
                  <w:marBottom w:val="0"/>
                  <w:divBdr>
                    <w:top w:val="none" w:sz="0" w:space="0" w:color="auto"/>
                    <w:left w:val="none" w:sz="0" w:space="0" w:color="auto"/>
                    <w:bottom w:val="none" w:sz="0" w:space="0" w:color="auto"/>
                    <w:right w:val="none" w:sz="0" w:space="0" w:color="auto"/>
                  </w:divBdr>
                  <w:divsChild>
                    <w:div w:id="695695499">
                      <w:marLeft w:val="0"/>
                      <w:marRight w:val="0"/>
                      <w:marTop w:val="0"/>
                      <w:marBottom w:val="0"/>
                      <w:divBdr>
                        <w:top w:val="none" w:sz="0" w:space="0" w:color="auto"/>
                        <w:left w:val="none" w:sz="0" w:space="0" w:color="auto"/>
                        <w:bottom w:val="none" w:sz="0" w:space="0" w:color="auto"/>
                        <w:right w:val="none" w:sz="0" w:space="0" w:color="auto"/>
                      </w:divBdr>
                      <w:divsChild>
                        <w:div w:id="211609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1407949">
      <w:bodyDiv w:val="1"/>
      <w:marLeft w:val="0"/>
      <w:marRight w:val="0"/>
      <w:marTop w:val="0"/>
      <w:marBottom w:val="0"/>
      <w:divBdr>
        <w:top w:val="none" w:sz="0" w:space="0" w:color="auto"/>
        <w:left w:val="none" w:sz="0" w:space="0" w:color="auto"/>
        <w:bottom w:val="none" w:sz="0" w:space="0" w:color="auto"/>
        <w:right w:val="none" w:sz="0" w:space="0" w:color="auto"/>
      </w:divBdr>
    </w:div>
    <w:div w:id="472020415">
      <w:bodyDiv w:val="1"/>
      <w:marLeft w:val="0"/>
      <w:marRight w:val="0"/>
      <w:marTop w:val="0"/>
      <w:marBottom w:val="0"/>
      <w:divBdr>
        <w:top w:val="none" w:sz="0" w:space="0" w:color="auto"/>
        <w:left w:val="none" w:sz="0" w:space="0" w:color="auto"/>
        <w:bottom w:val="none" w:sz="0" w:space="0" w:color="auto"/>
        <w:right w:val="none" w:sz="0" w:space="0" w:color="auto"/>
      </w:divBdr>
    </w:div>
    <w:div w:id="485166888">
      <w:bodyDiv w:val="1"/>
      <w:marLeft w:val="0"/>
      <w:marRight w:val="0"/>
      <w:marTop w:val="0"/>
      <w:marBottom w:val="0"/>
      <w:divBdr>
        <w:top w:val="none" w:sz="0" w:space="0" w:color="auto"/>
        <w:left w:val="none" w:sz="0" w:space="0" w:color="auto"/>
        <w:bottom w:val="none" w:sz="0" w:space="0" w:color="auto"/>
        <w:right w:val="none" w:sz="0" w:space="0" w:color="auto"/>
      </w:divBdr>
    </w:div>
    <w:div w:id="492647632">
      <w:bodyDiv w:val="1"/>
      <w:marLeft w:val="0"/>
      <w:marRight w:val="0"/>
      <w:marTop w:val="0"/>
      <w:marBottom w:val="0"/>
      <w:divBdr>
        <w:top w:val="none" w:sz="0" w:space="0" w:color="auto"/>
        <w:left w:val="none" w:sz="0" w:space="0" w:color="auto"/>
        <w:bottom w:val="none" w:sz="0" w:space="0" w:color="auto"/>
        <w:right w:val="none" w:sz="0" w:space="0" w:color="auto"/>
      </w:divBdr>
    </w:div>
    <w:div w:id="502277913">
      <w:bodyDiv w:val="1"/>
      <w:marLeft w:val="0"/>
      <w:marRight w:val="0"/>
      <w:marTop w:val="0"/>
      <w:marBottom w:val="0"/>
      <w:divBdr>
        <w:top w:val="none" w:sz="0" w:space="0" w:color="auto"/>
        <w:left w:val="none" w:sz="0" w:space="0" w:color="auto"/>
        <w:bottom w:val="none" w:sz="0" w:space="0" w:color="auto"/>
        <w:right w:val="none" w:sz="0" w:space="0" w:color="auto"/>
      </w:divBdr>
    </w:div>
    <w:div w:id="517742054">
      <w:bodyDiv w:val="1"/>
      <w:marLeft w:val="0"/>
      <w:marRight w:val="0"/>
      <w:marTop w:val="0"/>
      <w:marBottom w:val="0"/>
      <w:divBdr>
        <w:top w:val="none" w:sz="0" w:space="0" w:color="auto"/>
        <w:left w:val="none" w:sz="0" w:space="0" w:color="auto"/>
        <w:bottom w:val="none" w:sz="0" w:space="0" w:color="auto"/>
        <w:right w:val="none" w:sz="0" w:space="0" w:color="auto"/>
      </w:divBdr>
    </w:div>
    <w:div w:id="530067391">
      <w:bodyDiv w:val="1"/>
      <w:marLeft w:val="0"/>
      <w:marRight w:val="0"/>
      <w:marTop w:val="0"/>
      <w:marBottom w:val="0"/>
      <w:divBdr>
        <w:top w:val="none" w:sz="0" w:space="0" w:color="auto"/>
        <w:left w:val="none" w:sz="0" w:space="0" w:color="auto"/>
        <w:bottom w:val="none" w:sz="0" w:space="0" w:color="auto"/>
        <w:right w:val="none" w:sz="0" w:space="0" w:color="auto"/>
      </w:divBdr>
      <w:divsChild>
        <w:div w:id="2059864412">
          <w:marLeft w:val="0"/>
          <w:marRight w:val="0"/>
          <w:marTop w:val="0"/>
          <w:marBottom w:val="0"/>
          <w:divBdr>
            <w:top w:val="none" w:sz="0" w:space="0" w:color="auto"/>
            <w:left w:val="none" w:sz="0" w:space="0" w:color="auto"/>
            <w:bottom w:val="none" w:sz="0" w:space="0" w:color="auto"/>
            <w:right w:val="none" w:sz="0" w:space="0" w:color="auto"/>
          </w:divBdr>
          <w:divsChild>
            <w:div w:id="1949655387">
              <w:marLeft w:val="0"/>
              <w:marRight w:val="0"/>
              <w:marTop w:val="0"/>
              <w:marBottom w:val="0"/>
              <w:divBdr>
                <w:top w:val="none" w:sz="0" w:space="0" w:color="auto"/>
                <w:left w:val="none" w:sz="0" w:space="0" w:color="auto"/>
                <w:bottom w:val="none" w:sz="0" w:space="0" w:color="auto"/>
                <w:right w:val="none" w:sz="0" w:space="0" w:color="auto"/>
              </w:divBdr>
              <w:divsChild>
                <w:div w:id="484248930">
                  <w:marLeft w:val="0"/>
                  <w:marRight w:val="0"/>
                  <w:marTop w:val="0"/>
                  <w:marBottom w:val="0"/>
                  <w:divBdr>
                    <w:top w:val="none" w:sz="0" w:space="0" w:color="auto"/>
                    <w:left w:val="none" w:sz="0" w:space="0" w:color="auto"/>
                    <w:bottom w:val="none" w:sz="0" w:space="0" w:color="auto"/>
                    <w:right w:val="none" w:sz="0" w:space="0" w:color="auto"/>
                  </w:divBdr>
                  <w:divsChild>
                    <w:div w:id="1883130506">
                      <w:marLeft w:val="0"/>
                      <w:marRight w:val="0"/>
                      <w:marTop w:val="0"/>
                      <w:marBottom w:val="0"/>
                      <w:divBdr>
                        <w:top w:val="none" w:sz="0" w:space="0" w:color="auto"/>
                        <w:left w:val="none" w:sz="0" w:space="0" w:color="auto"/>
                        <w:bottom w:val="none" w:sz="0" w:space="0" w:color="auto"/>
                        <w:right w:val="none" w:sz="0" w:space="0" w:color="auto"/>
                      </w:divBdr>
                      <w:divsChild>
                        <w:div w:id="1120487962">
                          <w:marLeft w:val="0"/>
                          <w:marRight w:val="0"/>
                          <w:marTop w:val="0"/>
                          <w:marBottom w:val="0"/>
                          <w:divBdr>
                            <w:top w:val="none" w:sz="0" w:space="0" w:color="auto"/>
                            <w:left w:val="none" w:sz="0" w:space="0" w:color="auto"/>
                            <w:bottom w:val="none" w:sz="0" w:space="0" w:color="auto"/>
                            <w:right w:val="none" w:sz="0" w:space="0" w:color="auto"/>
                          </w:divBdr>
                          <w:divsChild>
                            <w:div w:id="1633754876">
                              <w:marLeft w:val="0"/>
                              <w:marRight w:val="0"/>
                              <w:marTop w:val="0"/>
                              <w:marBottom w:val="0"/>
                              <w:divBdr>
                                <w:top w:val="none" w:sz="0" w:space="0" w:color="auto"/>
                                <w:left w:val="none" w:sz="0" w:space="0" w:color="auto"/>
                                <w:bottom w:val="none" w:sz="0" w:space="0" w:color="auto"/>
                                <w:right w:val="none" w:sz="0" w:space="0" w:color="auto"/>
                              </w:divBdr>
                              <w:divsChild>
                                <w:div w:id="491485255">
                                  <w:marLeft w:val="0"/>
                                  <w:marRight w:val="0"/>
                                  <w:marTop w:val="0"/>
                                  <w:marBottom w:val="0"/>
                                  <w:divBdr>
                                    <w:top w:val="none" w:sz="0" w:space="0" w:color="auto"/>
                                    <w:left w:val="none" w:sz="0" w:space="0" w:color="auto"/>
                                    <w:bottom w:val="none" w:sz="0" w:space="0" w:color="auto"/>
                                    <w:right w:val="none" w:sz="0" w:space="0" w:color="auto"/>
                                  </w:divBdr>
                                  <w:divsChild>
                                    <w:div w:id="1146973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97283">
                      <w:marLeft w:val="0"/>
                      <w:marRight w:val="0"/>
                      <w:marTop w:val="0"/>
                      <w:marBottom w:val="0"/>
                      <w:divBdr>
                        <w:top w:val="none" w:sz="0" w:space="0" w:color="auto"/>
                        <w:left w:val="none" w:sz="0" w:space="0" w:color="auto"/>
                        <w:bottom w:val="none" w:sz="0" w:space="0" w:color="auto"/>
                        <w:right w:val="none" w:sz="0" w:space="0" w:color="auto"/>
                      </w:divBdr>
                      <w:divsChild>
                        <w:div w:id="1096486149">
                          <w:marLeft w:val="0"/>
                          <w:marRight w:val="0"/>
                          <w:marTop w:val="0"/>
                          <w:marBottom w:val="0"/>
                          <w:divBdr>
                            <w:top w:val="none" w:sz="0" w:space="0" w:color="auto"/>
                            <w:left w:val="none" w:sz="0" w:space="0" w:color="auto"/>
                            <w:bottom w:val="none" w:sz="0" w:space="0" w:color="auto"/>
                            <w:right w:val="none" w:sz="0" w:space="0" w:color="auto"/>
                          </w:divBdr>
                          <w:divsChild>
                            <w:div w:id="2115855882">
                              <w:marLeft w:val="0"/>
                              <w:marRight w:val="0"/>
                              <w:marTop w:val="0"/>
                              <w:marBottom w:val="0"/>
                              <w:divBdr>
                                <w:top w:val="none" w:sz="0" w:space="0" w:color="auto"/>
                                <w:left w:val="none" w:sz="0" w:space="0" w:color="auto"/>
                                <w:bottom w:val="none" w:sz="0" w:space="0" w:color="auto"/>
                                <w:right w:val="none" w:sz="0" w:space="0" w:color="auto"/>
                              </w:divBdr>
                              <w:divsChild>
                                <w:div w:id="77432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3294892">
      <w:bodyDiv w:val="1"/>
      <w:marLeft w:val="0"/>
      <w:marRight w:val="0"/>
      <w:marTop w:val="0"/>
      <w:marBottom w:val="0"/>
      <w:divBdr>
        <w:top w:val="none" w:sz="0" w:space="0" w:color="auto"/>
        <w:left w:val="none" w:sz="0" w:space="0" w:color="auto"/>
        <w:bottom w:val="none" w:sz="0" w:space="0" w:color="auto"/>
        <w:right w:val="none" w:sz="0" w:space="0" w:color="auto"/>
      </w:divBdr>
    </w:div>
    <w:div w:id="556013589">
      <w:bodyDiv w:val="1"/>
      <w:marLeft w:val="0"/>
      <w:marRight w:val="0"/>
      <w:marTop w:val="0"/>
      <w:marBottom w:val="0"/>
      <w:divBdr>
        <w:top w:val="none" w:sz="0" w:space="0" w:color="auto"/>
        <w:left w:val="none" w:sz="0" w:space="0" w:color="auto"/>
        <w:bottom w:val="none" w:sz="0" w:space="0" w:color="auto"/>
        <w:right w:val="none" w:sz="0" w:space="0" w:color="auto"/>
      </w:divBdr>
      <w:divsChild>
        <w:div w:id="1559125403">
          <w:marLeft w:val="480"/>
          <w:marRight w:val="0"/>
          <w:marTop w:val="0"/>
          <w:marBottom w:val="0"/>
          <w:divBdr>
            <w:top w:val="none" w:sz="0" w:space="0" w:color="auto"/>
            <w:left w:val="none" w:sz="0" w:space="0" w:color="auto"/>
            <w:bottom w:val="none" w:sz="0" w:space="0" w:color="auto"/>
            <w:right w:val="none" w:sz="0" w:space="0" w:color="auto"/>
          </w:divBdr>
          <w:divsChild>
            <w:div w:id="110719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483166">
      <w:bodyDiv w:val="1"/>
      <w:marLeft w:val="0"/>
      <w:marRight w:val="0"/>
      <w:marTop w:val="0"/>
      <w:marBottom w:val="0"/>
      <w:divBdr>
        <w:top w:val="none" w:sz="0" w:space="0" w:color="auto"/>
        <w:left w:val="none" w:sz="0" w:space="0" w:color="auto"/>
        <w:bottom w:val="none" w:sz="0" w:space="0" w:color="auto"/>
        <w:right w:val="none" w:sz="0" w:space="0" w:color="auto"/>
      </w:divBdr>
      <w:divsChild>
        <w:div w:id="1482649629">
          <w:marLeft w:val="0"/>
          <w:marRight w:val="0"/>
          <w:marTop w:val="0"/>
          <w:marBottom w:val="0"/>
          <w:divBdr>
            <w:top w:val="none" w:sz="0" w:space="0" w:color="auto"/>
            <w:left w:val="none" w:sz="0" w:space="0" w:color="auto"/>
            <w:bottom w:val="none" w:sz="0" w:space="0" w:color="auto"/>
            <w:right w:val="none" w:sz="0" w:space="0" w:color="auto"/>
          </w:divBdr>
          <w:divsChild>
            <w:div w:id="126742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016519">
      <w:bodyDiv w:val="1"/>
      <w:marLeft w:val="0"/>
      <w:marRight w:val="0"/>
      <w:marTop w:val="0"/>
      <w:marBottom w:val="0"/>
      <w:divBdr>
        <w:top w:val="none" w:sz="0" w:space="0" w:color="auto"/>
        <w:left w:val="none" w:sz="0" w:space="0" w:color="auto"/>
        <w:bottom w:val="none" w:sz="0" w:space="0" w:color="auto"/>
        <w:right w:val="none" w:sz="0" w:space="0" w:color="auto"/>
      </w:divBdr>
      <w:divsChild>
        <w:div w:id="1095519735">
          <w:marLeft w:val="480"/>
          <w:marRight w:val="0"/>
          <w:marTop w:val="0"/>
          <w:marBottom w:val="0"/>
          <w:divBdr>
            <w:top w:val="none" w:sz="0" w:space="0" w:color="auto"/>
            <w:left w:val="none" w:sz="0" w:space="0" w:color="auto"/>
            <w:bottom w:val="none" w:sz="0" w:space="0" w:color="auto"/>
            <w:right w:val="none" w:sz="0" w:space="0" w:color="auto"/>
          </w:divBdr>
          <w:divsChild>
            <w:div w:id="44223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021915">
      <w:bodyDiv w:val="1"/>
      <w:marLeft w:val="0"/>
      <w:marRight w:val="0"/>
      <w:marTop w:val="0"/>
      <w:marBottom w:val="0"/>
      <w:divBdr>
        <w:top w:val="none" w:sz="0" w:space="0" w:color="auto"/>
        <w:left w:val="none" w:sz="0" w:space="0" w:color="auto"/>
        <w:bottom w:val="none" w:sz="0" w:space="0" w:color="auto"/>
        <w:right w:val="none" w:sz="0" w:space="0" w:color="auto"/>
      </w:divBdr>
      <w:divsChild>
        <w:div w:id="773329365">
          <w:marLeft w:val="0"/>
          <w:marRight w:val="0"/>
          <w:marTop w:val="0"/>
          <w:marBottom w:val="48"/>
          <w:divBdr>
            <w:top w:val="none" w:sz="0" w:space="0" w:color="auto"/>
            <w:left w:val="none" w:sz="0" w:space="0" w:color="auto"/>
            <w:bottom w:val="none" w:sz="0" w:space="0" w:color="auto"/>
            <w:right w:val="none" w:sz="0" w:space="0" w:color="auto"/>
          </w:divBdr>
          <w:divsChild>
            <w:div w:id="165903763">
              <w:marLeft w:val="0"/>
              <w:marRight w:val="0"/>
              <w:marTop w:val="0"/>
              <w:marBottom w:val="0"/>
              <w:divBdr>
                <w:top w:val="none" w:sz="0" w:space="0" w:color="auto"/>
                <w:left w:val="none" w:sz="0" w:space="0" w:color="auto"/>
                <w:bottom w:val="none" w:sz="0" w:space="0" w:color="auto"/>
                <w:right w:val="none" w:sz="0" w:space="0" w:color="auto"/>
              </w:divBdr>
              <w:divsChild>
                <w:div w:id="1458378337">
                  <w:marLeft w:val="0"/>
                  <w:marRight w:val="0"/>
                  <w:marTop w:val="0"/>
                  <w:marBottom w:val="0"/>
                  <w:divBdr>
                    <w:top w:val="none" w:sz="0" w:space="0" w:color="auto"/>
                    <w:left w:val="none" w:sz="0" w:space="0" w:color="auto"/>
                    <w:bottom w:val="none" w:sz="0" w:space="0" w:color="auto"/>
                    <w:right w:val="none" w:sz="0" w:space="0" w:color="auto"/>
                  </w:divBdr>
                  <w:divsChild>
                    <w:div w:id="1418936527">
                      <w:marLeft w:val="0"/>
                      <w:marRight w:val="0"/>
                      <w:marTop w:val="0"/>
                      <w:marBottom w:val="0"/>
                      <w:divBdr>
                        <w:top w:val="none" w:sz="0" w:space="0" w:color="auto"/>
                        <w:left w:val="none" w:sz="0" w:space="0" w:color="auto"/>
                        <w:bottom w:val="none" w:sz="0" w:space="0" w:color="auto"/>
                        <w:right w:val="none" w:sz="0" w:space="0" w:color="auto"/>
                      </w:divBdr>
                      <w:divsChild>
                        <w:div w:id="62824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5716618">
      <w:bodyDiv w:val="1"/>
      <w:marLeft w:val="0"/>
      <w:marRight w:val="0"/>
      <w:marTop w:val="0"/>
      <w:marBottom w:val="0"/>
      <w:divBdr>
        <w:top w:val="none" w:sz="0" w:space="0" w:color="auto"/>
        <w:left w:val="none" w:sz="0" w:space="0" w:color="auto"/>
        <w:bottom w:val="none" w:sz="0" w:space="0" w:color="auto"/>
        <w:right w:val="none" w:sz="0" w:space="0" w:color="auto"/>
      </w:divBdr>
    </w:div>
    <w:div w:id="661616848">
      <w:bodyDiv w:val="1"/>
      <w:marLeft w:val="0"/>
      <w:marRight w:val="0"/>
      <w:marTop w:val="0"/>
      <w:marBottom w:val="0"/>
      <w:divBdr>
        <w:top w:val="none" w:sz="0" w:space="0" w:color="auto"/>
        <w:left w:val="none" w:sz="0" w:space="0" w:color="auto"/>
        <w:bottom w:val="none" w:sz="0" w:space="0" w:color="auto"/>
        <w:right w:val="none" w:sz="0" w:space="0" w:color="auto"/>
      </w:divBdr>
    </w:div>
    <w:div w:id="679698675">
      <w:bodyDiv w:val="1"/>
      <w:marLeft w:val="0"/>
      <w:marRight w:val="0"/>
      <w:marTop w:val="0"/>
      <w:marBottom w:val="0"/>
      <w:divBdr>
        <w:top w:val="none" w:sz="0" w:space="0" w:color="auto"/>
        <w:left w:val="none" w:sz="0" w:space="0" w:color="auto"/>
        <w:bottom w:val="none" w:sz="0" w:space="0" w:color="auto"/>
        <w:right w:val="none" w:sz="0" w:space="0" w:color="auto"/>
      </w:divBdr>
    </w:div>
    <w:div w:id="704062202">
      <w:bodyDiv w:val="1"/>
      <w:marLeft w:val="0"/>
      <w:marRight w:val="0"/>
      <w:marTop w:val="0"/>
      <w:marBottom w:val="0"/>
      <w:divBdr>
        <w:top w:val="none" w:sz="0" w:space="0" w:color="auto"/>
        <w:left w:val="none" w:sz="0" w:space="0" w:color="auto"/>
        <w:bottom w:val="none" w:sz="0" w:space="0" w:color="auto"/>
        <w:right w:val="none" w:sz="0" w:space="0" w:color="auto"/>
      </w:divBdr>
    </w:div>
    <w:div w:id="743719364">
      <w:bodyDiv w:val="1"/>
      <w:marLeft w:val="0"/>
      <w:marRight w:val="0"/>
      <w:marTop w:val="0"/>
      <w:marBottom w:val="0"/>
      <w:divBdr>
        <w:top w:val="none" w:sz="0" w:space="0" w:color="auto"/>
        <w:left w:val="none" w:sz="0" w:space="0" w:color="auto"/>
        <w:bottom w:val="none" w:sz="0" w:space="0" w:color="auto"/>
        <w:right w:val="none" w:sz="0" w:space="0" w:color="auto"/>
      </w:divBdr>
      <w:divsChild>
        <w:div w:id="85078094">
          <w:marLeft w:val="0"/>
          <w:marRight w:val="0"/>
          <w:marTop w:val="0"/>
          <w:marBottom w:val="48"/>
          <w:divBdr>
            <w:top w:val="none" w:sz="0" w:space="0" w:color="auto"/>
            <w:left w:val="none" w:sz="0" w:space="0" w:color="auto"/>
            <w:bottom w:val="none" w:sz="0" w:space="0" w:color="auto"/>
            <w:right w:val="none" w:sz="0" w:space="0" w:color="auto"/>
          </w:divBdr>
          <w:divsChild>
            <w:div w:id="853693486">
              <w:marLeft w:val="0"/>
              <w:marRight w:val="0"/>
              <w:marTop w:val="0"/>
              <w:marBottom w:val="0"/>
              <w:divBdr>
                <w:top w:val="none" w:sz="0" w:space="0" w:color="auto"/>
                <w:left w:val="none" w:sz="0" w:space="0" w:color="auto"/>
                <w:bottom w:val="none" w:sz="0" w:space="0" w:color="auto"/>
                <w:right w:val="none" w:sz="0" w:space="0" w:color="auto"/>
              </w:divBdr>
              <w:divsChild>
                <w:div w:id="2051151181">
                  <w:marLeft w:val="0"/>
                  <w:marRight w:val="0"/>
                  <w:marTop w:val="0"/>
                  <w:marBottom w:val="0"/>
                  <w:divBdr>
                    <w:top w:val="none" w:sz="0" w:space="0" w:color="auto"/>
                    <w:left w:val="none" w:sz="0" w:space="0" w:color="auto"/>
                    <w:bottom w:val="none" w:sz="0" w:space="0" w:color="auto"/>
                    <w:right w:val="none" w:sz="0" w:space="0" w:color="auto"/>
                  </w:divBdr>
                  <w:divsChild>
                    <w:div w:id="108398519">
                      <w:marLeft w:val="0"/>
                      <w:marRight w:val="0"/>
                      <w:marTop w:val="0"/>
                      <w:marBottom w:val="0"/>
                      <w:divBdr>
                        <w:top w:val="none" w:sz="0" w:space="0" w:color="auto"/>
                        <w:left w:val="none" w:sz="0" w:space="0" w:color="auto"/>
                        <w:bottom w:val="none" w:sz="0" w:space="0" w:color="auto"/>
                        <w:right w:val="none" w:sz="0" w:space="0" w:color="auto"/>
                      </w:divBdr>
                      <w:divsChild>
                        <w:div w:id="2134668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2384966">
      <w:bodyDiv w:val="1"/>
      <w:marLeft w:val="0"/>
      <w:marRight w:val="0"/>
      <w:marTop w:val="0"/>
      <w:marBottom w:val="0"/>
      <w:divBdr>
        <w:top w:val="none" w:sz="0" w:space="0" w:color="auto"/>
        <w:left w:val="none" w:sz="0" w:space="0" w:color="auto"/>
        <w:bottom w:val="none" w:sz="0" w:space="0" w:color="auto"/>
        <w:right w:val="none" w:sz="0" w:space="0" w:color="auto"/>
      </w:divBdr>
      <w:divsChild>
        <w:div w:id="1732191279">
          <w:marLeft w:val="0"/>
          <w:marRight w:val="0"/>
          <w:marTop w:val="0"/>
          <w:marBottom w:val="48"/>
          <w:divBdr>
            <w:top w:val="none" w:sz="0" w:space="0" w:color="auto"/>
            <w:left w:val="none" w:sz="0" w:space="0" w:color="auto"/>
            <w:bottom w:val="none" w:sz="0" w:space="0" w:color="auto"/>
            <w:right w:val="none" w:sz="0" w:space="0" w:color="auto"/>
          </w:divBdr>
          <w:divsChild>
            <w:div w:id="1789424771">
              <w:marLeft w:val="0"/>
              <w:marRight w:val="0"/>
              <w:marTop w:val="0"/>
              <w:marBottom w:val="0"/>
              <w:divBdr>
                <w:top w:val="none" w:sz="0" w:space="0" w:color="auto"/>
                <w:left w:val="none" w:sz="0" w:space="0" w:color="auto"/>
                <w:bottom w:val="none" w:sz="0" w:space="0" w:color="auto"/>
                <w:right w:val="none" w:sz="0" w:space="0" w:color="auto"/>
              </w:divBdr>
              <w:divsChild>
                <w:div w:id="1132676217">
                  <w:marLeft w:val="0"/>
                  <w:marRight w:val="0"/>
                  <w:marTop w:val="0"/>
                  <w:marBottom w:val="0"/>
                  <w:divBdr>
                    <w:top w:val="none" w:sz="0" w:space="0" w:color="auto"/>
                    <w:left w:val="none" w:sz="0" w:space="0" w:color="auto"/>
                    <w:bottom w:val="none" w:sz="0" w:space="0" w:color="auto"/>
                    <w:right w:val="none" w:sz="0" w:space="0" w:color="auto"/>
                  </w:divBdr>
                  <w:divsChild>
                    <w:div w:id="2033996063">
                      <w:marLeft w:val="0"/>
                      <w:marRight w:val="0"/>
                      <w:marTop w:val="0"/>
                      <w:marBottom w:val="0"/>
                      <w:divBdr>
                        <w:top w:val="none" w:sz="0" w:space="0" w:color="auto"/>
                        <w:left w:val="none" w:sz="0" w:space="0" w:color="auto"/>
                        <w:bottom w:val="none" w:sz="0" w:space="0" w:color="auto"/>
                        <w:right w:val="none" w:sz="0" w:space="0" w:color="auto"/>
                      </w:divBdr>
                      <w:divsChild>
                        <w:div w:id="92191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7605334">
      <w:bodyDiv w:val="1"/>
      <w:marLeft w:val="0"/>
      <w:marRight w:val="0"/>
      <w:marTop w:val="0"/>
      <w:marBottom w:val="0"/>
      <w:divBdr>
        <w:top w:val="none" w:sz="0" w:space="0" w:color="auto"/>
        <w:left w:val="none" w:sz="0" w:space="0" w:color="auto"/>
        <w:bottom w:val="none" w:sz="0" w:space="0" w:color="auto"/>
        <w:right w:val="none" w:sz="0" w:space="0" w:color="auto"/>
      </w:divBdr>
    </w:div>
    <w:div w:id="786506954">
      <w:bodyDiv w:val="1"/>
      <w:marLeft w:val="0"/>
      <w:marRight w:val="0"/>
      <w:marTop w:val="0"/>
      <w:marBottom w:val="0"/>
      <w:divBdr>
        <w:top w:val="none" w:sz="0" w:space="0" w:color="auto"/>
        <w:left w:val="none" w:sz="0" w:space="0" w:color="auto"/>
        <w:bottom w:val="none" w:sz="0" w:space="0" w:color="auto"/>
        <w:right w:val="none" w:sz="0" w:space="0" w:color="auto"/>
      </w:divBdr>
    </w:div>
    <w:div w:id="803430654">
      <w:bodyDiv w:val="1"/>
      <w:marLeft w:val="0"/>
      <w:marRight w:val="0"/>
      <w:marTop w:val="0"/>
      <w:marBottom w:val="0"/>
      <w:divBdr>
        <w:top w:val="none" w:sz="0" w:space="0" w:color="auto"/>
        <w:left w:val="none" w:sz="0" w:space="0" w:color="auto"/>
        <w:bottom w:val="none" w:sz="0" w:space="0" w:color="auto"/>
        <w:right w:val="none" w:sz="0" w:space="0" w:color="auto"/>
      </w:divBdr>
    </w:div>
    <w:div w:id="809059825">
      <w:bodyDiv w:val="1"/>
      <w:marLeft w:val="0"/>
      <w:marRight w:val="0"/>
      <w:marTop w:val="0"/>
      <w:marBottom w:val="0"/>
      <w:divBdr>
        <w:top w:val="none" w:sz="0" w:space="0" w:color="auto"/>
        <w:left w:val="none" w:sz="0" w:space="0" w:color="auto"/>
        <w:bottom w:val="none" w:sz="0" w:space="0" w:color="auto"/>
        <w:right w:val="none" w:sz="0" w:space="0" w:color="auto"/>
      </w:divBdr>
      <w:divsChild>
        <w:div w:id="981469743">
          <w:marLeft w:val="0"/>
          <w:marRight w:val="0"/>
          <w:marTop w:val="0"/>
          <w:marBottom w:val="48"/>
          <w:divBdr>
            <w:top w:val="none" w:sz="0" w:space="0" w:color="auto"/>
            <w:left w:val="none" w:sz="0" w:space="0" w:color="auto"/>
            <w:bottom w:val="none" w:sz="0" w:space="0" w:color="auto"/>
            <w:right w:val="none" w:sz="0" w:space="0" w:color="auto"/>
          </w:divBdr>
          <w:divsChild>
            <w:div w:id="1188173730">
              <w:marLeft w:val="0"/>
              <w:marRight w:val="0"/>
              <w:marTop w:val="0"/>
              <w:marBottom w:val="0"/>
              <w:divBdr>
                <w:top w:val="none" w:sz="0" w:space="0" w:color="auto"/>
                <w:left w:val="none" w:sz="0" w:space="0" w:color="auto"/>
                <w:bottom w:val="none" w:sz="0" w:space="0" w:color="auto"/>
                <w:right w:val="none" w:sz="0" w:space="0" w:color="auto"/>
              </w:divBdr>
              <w:divsChild>
                <w:div w:id="1360742977">
                  <w:marLeft w:val="0"/>
                  <w:marRight w:val="0"/>
                  <w:marTop w:val="0"/>
                  <w:marBottom w:val="0"/>
                  <w:divBdr>
                    <w:top w:val="none" w:sz="0" w:space="0" w:color="auto"/>
                    <w:left w:val="none" w:sz="0" w:space="0" w:color="auto"/>
                    <w:bottom w:val="none" w:sz="0" w:space="0" w:color="auto"/>
                    <w:right w:val="none" w:sz="0" w:space="0" w:color="auto"/>
                  </w:divBdr>
                  <w:divsChild>
                    <w:div w:id="1594780508">
                      <w:marLeft w:val="0"/>
                      <w:marRight w:val="0"/>
                      <w:marTop w:val="0"/>
                      <w:marBottom w:val="0"/>
                      <w:divBdr>
                        <w:top w:val="none" w:sz="0" w:space="0" w:color="auto"/>
                        <w:left w:val="none" w:sz="0" w:space="0" w:color="auto"/>
                        <w:bottom w:val="none" w:sz="0" w:space="0" w:color="auto"/>
                        <w:right w:val="none" w:sz="0" w:space="0" w:color="auto"/>
                      </w:divBdr>
                      <w:divsChild>
                        <w:div w:id="45779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094">
      <w:bodyDiv w:val="1"/>
      <w:marLeft w:val="0"/>
      <w:marRight w:val="0"/>
      <w:marTop w:val="0"/>
      <w:marBottom w:val="0"/>
      <w:divBdr>
        <w:top w:val="none" w:sz="0" w:space="0" w:color="auto"/>
        <w:left w:val="none" w:sz="0" w:space="0" w:color="auto"/>
        <w:bottom w:val="none" w:sz="0" w:space="0" w:color="auto"/>
        <w:right w:val="none" w:sz="0" w:space="0" w:color="auto"/>
      </w:divBdr>
    </w:div>
    <w:div w:id="835343540">
      <w:bodyDiv w:val="1"/>
      <w:marLeft w:val="0"/>
      <w:marRight w:val="0"/>
      <w:marTop w:val="0"/>
      <w:marBottom w:val="0"/>
      <w:divBdr>
        <w:top w:val="none" w:sz="0" w:space="0" w:color="auto"/>
        <w:left w:val="none" w:sz="0" w:space="0" w:color="auto"/>
        <w:bottom w:val="none" w:sz="0" w:space="0" w:color="auto"/>
        <w:right w:val="none" w:sz="0" w:space="0" w:color="auto"/>
      </w:divBdr>
    </w:div>
    <w:div w:id="861405624">
      <w:bodyDiv w:val="1"/>
      <w:marLeft w:val="0"/>
      <w:marRight w:val="0"/>
      <w:marTop w:val="0"/>
      <w:marBottom w:val="0"/>
      <w:divBdr>
        <w:top w:val="none" w:sz="0" w:space="0" w:color="auto"/>
        <w:left w:val="none" w:sz="0" w:space="0" w:color="auto"/>
        <w:bottom w:val="none" w:sz="0" w:space="0" w:color="auto"/>
        <w:right w:val="none" w:sz="0" w:space="0" w:color="auto"/>
      </w:divBdr>
    </w:div>
    <w:div w:id="869269783">
      <w:bodyDiv w:val="1"/>
      <w:marLeft w:val="0"/>
      <w:marRight w:val="0"/>
      <w:marTop w:val="0"/>
      <w:marBottom w:val="0"/>
      <w:divBdr>
        <w:top w:val="none" w:sz="0" w:space="0" w:color="auto"/>
        <w:left w:val="none" w:sz="0" w:space="0" w:color="auto"/>
        <w:bottom w:val="none" w:sz="0" w:space="0" w:color="auto"/>
        <w:right w:val="none" w:sz="0" w:space="0" w:color="auto"/>
      </w:divBdr>
    </w:div>
    <w:div w:id="877351798">
      <w:bodyDiv w:val="1"/>
      <w:marLeft w:val="0"/>
      <w:marRight w:val="0"/>
      <w:marTop w:val="0"/>
      <w:marBottom w:val="0"/>
      <w:divBdr>
        <w:top w:val="none" w:sz="0" w:space="0" w:color="auto"/>
        <w:left w:val="none" w:sz="0" w:space="0" w:color="auto"/>
        <w:bottom w:val="none" w:sz="0" w:space="0" w:color="auto"/>
        <w:right w:val="none" w:sz="0" w:space="0" w:color="auto"/>
      </w:divBdr>
    </w:div>
    <w:div w:id="878859185">
      <w:bodyDiv w:val="1"/>
      <w:marLeft w:val="0"/>
      <w:marRight w:val="0"/>
      <w:marTop w:val="0"/>
      <w:marBottom w:val="0"/>
      <w:divBdr>
        <w:top w:val="none" w:sz="0" w:space="0" w:color="auto"/>
        <w:left w:val="none" w:sz="0" w:space="0" w:color="auto"/>
        <w:bottom w:val="none" w:sz="0" w:space="0" w:color="auto"/>
        <w:right w:val="none" w:sz="0" w:space="0" w:color="auto"/>
      </w:divBdr>
    </w:div>
    <w:div w:id="884831008">
      <w:bodyDiv w:val="1"/>
      <w:marLeft w:val="0"/>
      <w:marRight w:val="0"/>
      <w:marTop w:val="0"/>
      <w:marBottom w:val="0"/>
      <w:divBdr>
        <w:top w:val="none" w:sz="0" w:space="0" w:color="auto"/>
        <w:left w:val="none" w:sz="0" w:space="0" w:color="auto"/>
        <w:bottom w:val="none" w:sz="0" w:space="0" w:color="auto"/>
        <w:right w:val="none" w:sz="0" w:space="0" w:color="auto"/>
      </w:divBdr>
      <w:divsChild>
        <w:div w:id="1156915470">
          <w:marLeft w:val="0"/>
          <w:marRight w:val="0"/>
          <w:marTop w:val="0"/>
          <w:marBottom w:val="48"/>
          <w:divBdr>
            <w:top w:val="none" w:sz="0" w:space="0" w:color="auto"/>
            <w:left w:val="none" w:sz="0" w:space="0" w:color="auto"/>
            <w:bottom w:val="none" w:sz="0" w:space="0" w:color="auto"/>
            <w:right w:val="none" w:sz="0" w:space="0" w:color="auto"/>
          </w:divBdr>
          <w:divsChild>
            <w:div w:id="615020984">
              <w:marLeft w:val="0"/>
              <w:marRight w:val="0"/>
              <w:marTop w:val="0"/>
              <w:marBottom w:val="0"/>
              <w:divBdr>
                <w:top w:val="none" w:sz="0" w:space="0" w:color="auto"/>
                <w:left w:val="none" w:sz="0" w:space="0" w:color="auto"/>
                <w:bottom w:val="none" w:sz="0" w:space="0" w:color="auto"/>
                <w:right w:val="none" w:sz="0" w:space="0" w:color="auto"/>
              </w:divBdr>
              <w:divsChild>
                <w:div w:id="967080426">
                  <w:marLeft w:val="0"/>
                  <w:marRight w:val="0"/>
                  <w:marTop w:val="0"/>
                  <w:marBottom w:val="0"/>
                  <w:divBdr>
                    <w:top w:val="none" w:sz="0" w:space="0" w:color="auto"/>
                    <w:left w:val="none" w:sz="0" w:space="0" w:color="auto"/>
                    <w:bottom w:val="none" w:sz="0" w:space="0" w:color="auto"/>
                    <w:right w:val="none" w:sz="0" w:space="0" w:color="auto"/>
                  </w:divBdr>
                  <w:divsChild>
                    <w:div w:id="1906916928">
                      <w:marLeft w:val="0"/>
                      <w:marRight w:val="0"/>
                      <w:marTop w:val="0"/>
                      <w:marBottom w:val="0"/>
                      <w:divBdr>
                        <w:top w:val="none" w:sz="0" w:space="0" w:color="auto"/>
                        <w:left w:val="none" w:sz="0" w:space="0" w:color="auto"/>
                        <w:bottom w:val="none" w:sz="0" w:space="0" w:color="auto"/>
                        <w:right w:val="none" w:sz="0" w:space="0" w:color="auto"/>
                      </w:divBdr>
                      <w:divsChild>
                        <w:div w:id="25771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083572">
      <w:bodyDiv w:val="1"/>
      <w:marLeft w:val="0"/>
      <w:marRight w:val="0"/>
      <w:marTop w:val="0"/>
      <w:marBottom w:val="0"/>
      <w:divBdr>
        <w:top w:val="none" w:sz="0" w:space="0" w:color="auto"/>
        <w:left w:val="none" w:sz="0" w:space="0" w:color="auto"/>
        <w:bottom w:val="none" w:sz="0" w:space="0" w:color="auto"/>
        <w:right w:val="none" w:sz="0" w:space="0" w:color="auto"/>
      </w:divBdr>
    </w:div>
    <w:div w:id="903905079">
      <w:bodyDiv w:val="1"/>
      <w:marLeft w:val="0"/>
      <w:marRight w:val="0"/>
      <w:marTop w:val="0"/>
      <w:marBottom w:val="0"/>
      <w:divBdr>
        <w:top w:val="none" w:sz="0" w:space="0" w:color="auto"/>
        <w:left w:val="none" w:sz="0" w:space="0" w:color="auto"/>
        <w:bottom w:val="none" w:sz="0" w:space="0" w:color="auto"/>
        <w:right w:val="none" w:sz="0" w:space="0" w:color="auto"/>
      </w:divBdr>
    </w:div>
    <w:div w:id="909388649">
      <w:bodyDiv w:val="1"/>
      <w:marLeft w:val="0"/>
      <w:marRight w:val="0"/>
      <w:marTop w:val="0"/>
      <w:marBottom w:val="0"/>
      <w:divBdr>
        <w:top w:val="none" w:sz="0" w:space="0" w:color="auto"/>
        <w:left w:val="none" w:sz="0" w:space="0" w:color="auto"/>
        <w:bottom w:val="none" w:sz="0" w:space="0" w:color="auto"/>
        <w:right w:val="none" w:sz="0" w:space="0" w:color="auto"/>
      </w:divBdr>
    </w:div>
    <w:div w:id="923341774">
      <w:bodyDiv w:val="1"/>
      <w:marLeft w:val="0"/>
      <w:marRight w:val="0"/>
      <w:marTop w:val="0"/>
      <w:marBottom w:val="0"/>
      <w:divBdr>
        <w:top w:val="none" w:sz="0" w:space="0" w:color="auto"/>
        <w:left w:val="none" w:sz="0" w:space="0" w:color="auto"/>
        <w:bottom w:val="none" w:sz="0" w:space="0" w:color="auto"/>
        <w:right w:val="none" w:sz="0" w:space="0" w:color="auto"/>
      </w:divBdr>
      <w:divsChild>
        <w:div w:id="2044161210">
          <w:marLeft w:val="0"/>
          <w:marRight w:val="0"/>
          <w:marTop w:val="0"/>
          <w:marBottom w:val="0"/>
          <w:divBdr>
            <w:top w:val="single" w:sz="2" w:space="0" w:color="auto"/>
            <w:left w:val="single" w:sz="2" w:space="0" w:color="auto"/>
            <w:bottom w:val="single" w:sz="2" w:space="0" w:color="auto"/>
            <w:right w:val="single" w:sz="2" w:space="0" w:color="auto"/>
          </w:divBdr>
          <w:divsChild>
            <w:div w:id="630282062">
              <w:marLeft w:val="0"/>
              <w:marRight w:val="0"/>
              <w:marTop w:val="0"/>
              <w:marBottom w:val="0"/>
              <w:divBdr>
                <w:top w:val="single" w:sz="2" w:space="0" w:color="auto"/>
                <w:left w:val="single" w:sz="2" w:space="0" w:color="auto"/>
                <w:bottom w:val="single" w:sz="2" w:space="0" w:color="auto"/>
                <w:right w:val="single" w:sz="2" w:space="0" w:color="auto"/>
              </w:divBdr>
              <w:divsChild>
                <w:div w:id="209191397">
                  <w:marLeft w:val="0"/>
                  <w:marRight w:val="0"/>
                  <w:marTop w:val="0"/>
                  <w:marBottom w:val="0"/>
                  <w:divBdr>
                    <w:top w:val="single" w:sz="2" w:space="0" w:color="auto"/>
                    <w:left w:val="single" w:sz="2" w:space="0" w:color="auto"/>
                    <w:bottom w:val="single" w:sz="2" w:space="0" w:color="auto"/>
                    <w:right w:val="single" w:sz="2" w:space="0" w:color="auto"/>
                  </w:divBdr>
                  <w:divsChild>
                    <w:div w:id="625740387">
                      <w:marLeft w:val="0"/>
                      <w:marRight w:val="0"/>
                      <w:marTop w:val="0"/>
                      <w:marBottom w:val="0"/>
                      <w:divBdr>
                        <w:top w:val="single" w:sz="2" w:space="0" w:color="auto"/>
                        <w:left w:val="single" w:sz="2" w:space="0" w:color="auto"/>
                        <w:bottom w:val="single" w:sz="2" w:space="0" w:color="auto"/>
                        <w:right w:val="single" w:sz="2" w:space="0" w:color="auto"/>
                      </w:divBdr>
                      <w:divsChild>
                        <w:div w:id="933312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640663">
      <w:bodyDiv w:val="1"/>
      <w:marLeft w:val="0"/>
      <w:marRight w:val="0"/>
      <w:marTop w:val="0"/>
      <w:marBottom w:val="0"/>
      <w:divBdr>
        <w:top w:val="none" w:sz="0" w:space="0" w:color="auto"/>
        <w:left w:val="none" w:sz="0" w:space="0" w:color="auto"/>
        <w:bottom w:val="none" w:sz="0" w:space="0" w:color="auto"/>
        <w:right w:val="none" w:sz="0" w:space="0" w:color="auto"/>
      </w:divBdr>
    </w:div>
    <w:div w:id="970357468">
      <w:bodyDiv w:val="1"/>
      <w:marLeft w:val="0"/>
      <w:marRight w:val="0"/>
      <w:marTop w:val="0"/>
      <w:marBottom w:val="0"/>
      <w:divBdr>
        <w:top w:val="none" w:sz="0" w:space="0" w:color="auto"/>
        <w:left w:val="none" w:sz="0" w:space="0" w:color="auto"/>
        <w:bottom w:val="none" w:sz="0" w:space="0" w:color="auto"/>
        <w:right w:val="none" w:sz="0" w:space="0" w:color="auto"/>
      </w:divBdr>
    </w:div>
    <w:div w:id="1033190249">
      <w:bodyDiv w:val="1"/>
      <w:marLeft w:val="0"/>
      <w:marRight w:val="0"/>
      <w:marTop w:val="0"/>
      <w:marBottom w:val="0"/>
      <w:divBdr>
        <w:top w:val="none" w:sz="0" w:space="0" w:color="auto"/>
        <w:left w:val="none" w:sz="0" w:space="0" w:color="auto"/>
        <w:bottom w:val="none" w:sz="0" w:space="0" w:color="auto"/>
        <w:right w:val="none" w:sz="0" w:space="0" w:color="auto"/>
      </w:divBdr>
    </w:div>
    <w:div w:id="1038162657">
      <w:bodyDiv w:val="1"/>
      <w:marLeft w:val="0"/>
      <w:marRight w:val="0"/>
      <w:marTop w:val="0"/>
      <w:marBottom w:val="0"/>
      <w:divBdr>
        <w:top w:val="none" w:sz="0" w:space="0" w:color="auto"/>
        <w:left w:val="none" w:sz="0" w:space="0" w:color="auto"/>
        <w:bottom w:val="none" w:sz="0" w:space="0" w:color="auto"/>
        <w:right w:val="none" w:sz="0" w:space="0" w:color="auto"/>
      </w:divBdr>
    </w:div>
    <w:div w:id="1050686305">
      <w:bodyDiv w:val="1"/>
      <w:marLeft w:val="0"/>
      <w:marRight w:val="0"/>
      <w:marTop w:val="0"/>
      <w:marBottom w:val="0"/>
      <w:divBdr>
        <w:top w:val="none" w:sz="0" w:space="0" w:color="auto"/>
        <w:left w:val="none" w:sz="0" w:space="0" w:color="auto"/>
        <w:bottom w:val="none" w:sz="0" w:space="0" w:color="auto"/>
        <w:right w:val="none" w:sz="0" w:space="0" w:color="auto"/>
      </w:divBdr>
      <w:divsChild>
        <w:div w:id="997273138">
          <w:marLeft w:val="0"/>
          <w:marRight w:val="0"/>
          <w:marTop w:val="0"/>
          <w:marBottom w:val="48"/>
          <w:divBdr>
            <w:top w:val="none" w:sz="0" w:space="0" w:color="auto"/>
            <w:left w:val="none" w:sz="0" w:space="0" w:color="auto"/>
            <w:bottom w:val="none" w:sz="0" w:space="0" w:color="auto"/>
            <w:right w:val="none" w:sz="0" w:space="0" w:color="auto"/>
          </w:divBdr>
          <w:divsChild>
            <w:div w:id="1100639568">
              <w:marLeft w:val="0"/>
              <w:marRight w:val="0"/>
              <w:marTop w:val="0"/>
              <w:marBottom w:val="0"/>
              <w:divBdr>
                <w:top w:val="none" w:sz="0" w:space="0" w:color="auto"/>
                <w:left w:val="none" w:sz="0" w:space="0" w:color="auto"/>
                <w:bottom w:val="none" w:sz="0" w:space="0" w:color="auto"/>
                <w:right w:val="none" w:sz="0" w:space="0" w:color="auto"/>
              </w:divBdr>
              <w:divsChild>
                <w:div w:id="1002660202">
                  <w:marLeft w:val="0"/>
                  <w:marRight w:val="0"/>
                  <w:marTop w:val="0"/>
                  <w:marBottom w:val="0"/>
                  <w:divBdr>
                    <w:top w:val="none" w:sz="0" w:space="0" w:color="auto"/>
                    <w:left w:val="none" w:sz="0" w:space="0" w:color="auto"/>
                    <w:bottom w:val="none" w:sz="0" w:space="0" w:color="auto"/>
                    <w:right w:val="none" w:sz="0" w:space="0" w:color="auto"/>
                  </w:divBdr>
                  <w:divsChild>
                    <w:div w:id="1921675493">
                      <w:marLeft w:val="0"/>
                      <w:marRight w:val="0"/>
                      <w:marTop w:val="0"/>
                      <w:marBottom w:val="0"/>
                      <w:divBdr>
                        <w:top w:val="none" w:sz="0" w:space="0" w:color="auto"/>
                        <w:left w:val="none" w:sz="0" w:space="0" w:color="auto"/>
                        <w:bottom w:val="none" w:sz="0" w:space="0" w:color="auto"/>
                        <w:right w:val="none" w:sz="0" w:space="0" w:color="auto"/>
                      </w:divBdr>
                      <w:divsChild>
                        <w:div w:id="13865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990561">
      <w:bodyDiv w:val="1"/>
      <w:marLeft w:val="0"/>
      <w:marRight w:val="0"/>
      <w:marTop w:val="0"/>
      <w:marBottom w:val="0"/>
      <w:divBdr>
        <w:top w:val="none" w:sz="0" w:space="0" w:color="auto"/>
        <w:left w:val="none" w:sz="0" w:space="0" w:color="auto"/>
        <w:bottom w:val="none" w:sz="0" w:space="0" w:color="auto"/>
        <w:right w:val="none" w:sz="0" w:space="0" w:color="auto"/>
      </w:divBdr>
    </w:div>
    <w:div w:id="1070422718">
      <w:bodyDiv w:val="1"/>
      <w:marLeft w:val="0"/>
      <w:marRight w:val="0"/>
      <w:marTop w:val="0"/>
      <w:marBottom w:val="0"/>
      <w:divBdr>
        <w:top w:val="none" w:sz="0" w:space="0" w:color="auto"/>
        <w:left w:val="none" w:sz="0" w:space="0" w:color="auto"/>
        <w:bottom w:val="none" w:sz="0" w:space="0" w:color="auto"/>
        <w:right w:val="none" w:sz="0" w:space="0" w:color="auto"/>
      </w:divBdr>
    </w:div>
    <w:div w:id="1075933634">
      <w:bodyDiv w:val="1"/>
      <w:marLeft w:val="0"/>
      <w:marRight w:val="0"/>
      <w:marTop w:val="0"/>
      <w:marBottom w:val="0"/>
      <w:divBdr>
        <w:top w:val="none" w:sz="0" w:space="0" w:color="auto"/>
        <w:left w:val="none" w:sz="0" w:space="0" w:color="auto"/>
        <w:bottom w:val="none" w:sz="0" w:space="0" w:color="auto"/>
        <w:right w:val="none" w:sz="0" w:space="0" w:color="auto"/>
      </w:divBdr>
    </w:div>
    <w:div w:id="1078014422">
      <w:bodyDiv w:val="1"/>
      <w:marLeft w:val="0"/>
      <w:marRight w:val="0"/>
      <w:marTop w:val="0"/>
      <w:marBottom w:val="0"/>
      <w:divBdr>
        <w:top w:val="none" w:sz="0" w:space="0" w:color="auto"/>
        <w:left w:val="none" w:sz="0" w:space="0" w:color="auto"/>
        <w:bottom w:val="none" w:sz="0" w:space="0" w:color="auto"/>
        <w:right w:val="none" w:sz="0" w:space="0" w:color="auto"/>
      </w:divBdr>
    </w:div>
    <w:div w:id="1120955585">
      <w:bodyDiv w:val="1"/>
      <w:marLeft w:val="0"/>
      <w:marRight w:val="0"/>
      <w:marTop w:val="0"/>
      <w:marBottom w:val="0"/>
      <w:divBdr>
        <w:top w:val="none" w:sz="0" w:space="0" w:color="auto"/>
        <w:left w:val="none" w:sz="0" w:space="0" w:color="auto"/>
        <w:bottom w:val="none" w:sz="0" w:space="0" w:color="auto"/>
        <w:right w:val="none" w:sz="0" w:space="0" w:color="auto"/>
      </w:divBdr>
      <w:divsChild>
        <w:div w:id="645086297">
          <w:marLeft w:val="0"/>
          <w:marRight w:val="0"/>
          <w:marTop w:val="0"/>
          <w:marBottom w:val="0"/>
          <w:divBdr>
            <w:top w:val="none" w:sz="0" w:space="0" w:color="auto"/>
            <w:left w:val="none" w:sz="0" w:space="0" w:color="auto"/>
            <w:bottom w:val="none" w:sz="0" w:space="0" w:color="auto"/>
            <w:right w:val="none" w:sz="0" w:space="0" w:color="auto"/>
          </w:divBdr>
          <w:divsChild>
            <w:div w:id="937181767">
              <w:marLeft w:val="0"/>
              <w:marRight w:val="0"/>
              <w:marTop w:val="0"/>
              <w:marBottom w:val="0"/>
              <w:divBdr>
                <w:top w:val="none" w:sz="0" w:space="0" w:color="auto"/>
                <w:left w:val="none" w:sz="0" w:space="0" w:color="auto"/>
                <w:bottom w:val="none" w:sz="0" w:space="0" w:color="auto"/>
                <w:right w:val="none" w:sz="0" w:space="0" w:color="auto"/>
              </w:divBdr>
              <w:divsChild>
                <w:div w:id="616446151">
                  <w:marLeft w:val="0"/>
                  <w:marRight w:val="0"/>
                  <w:marTop w:val="0"/>
                  <w:marBottom w:val="0"/>
                  <w:divBdr>
                    <w:top w:val="none" w:sz="0" w:space="0" w:color="auto"/>
                    <w:left w:val="none" w:sz="0" w:space="0" w:color="auto"/>
                    <w:bottom w:val="none" w:sz="0" w:space="0" w:color="auto"/>
                    <w:right w:val="none" w:sz="0" w:space="0" w:color="auto"/>
                  </w:divBdr>
                  <w:divsChild>
                    <w:div w:id="854462094">
                      <w:marLeft w:val="0"/>
                      <w:marRight w:val="0"/>
                      <w:marTop w:val="0"/>
                      <w:marBottom w:val="0"/>
                      <w:divBdr>
                        <w:top w:val="none" w:sz="0" w:space="0" w:color="auto"/>
                        <w:left w:val="none" w:sz="0" w:space="0" w:color="auto"/>
                        <w:bottom w:val="none" w:sz="0" w:space="0" w:color="auto"/>
                        <w:right w:val="none" w:sz="0" w:space="0" w:color="auto"/>
                      </w:divBdr>
                      <w:divsChild>
                        <w:div w:id="1138378425">
                          <w:marLeft w:val="0"/>
                          <w:marRight w:val="0"/>
                          <w:marTop w:val="0"/>
                          <w:marBottom w:val="0"/>
                          <w:divBdr>
                            <w:top w:val="none" w:sz="0" w:space="0" w:color="auto"/>
                            <w:left w:val="none" w:sz="0" w:space="0" w:color="auto"/>
                            <w:bottom w:val="none" w:sz="0" w:space="0" w:color="auto"/>
                            <w:right w:val="none" w:sz="0" w:space="0" w:color="auto"/>
                          </w:divBdr>
                          <w:divsChild>
                            <w:div w:id="1354452005">
                              <w:marLeft w:val="0"/>
                              <w:marRight w:val="0"/>
                              <w:marTop w:val="0"/>
                              <w:marBottom w:val="0"/>
                              <w:divBdr>
                                <w:top w:val="none" w:sz="0" w:space="0" w:color="auto"/>
                                <w:left w:val="none" w:sz="0" w:space="0" w:color="auto"/>
                                <w:bottom w:val="none" w:sz="0" w:space="0" w:color="auto"/>
                                <w:right w:val="none" w:sz="0" w:space="0" w:color="auto"/>
                              </w:divBdr>
                              <w:divsChild>
                                <w:div w:id="1855917129">
                                  <w:marLeft w:val="0"/>
                                  <w:marRight w:val="0"/>
                                  <w:marTop w:val="0"/>
                                  <w:marBottom w:val="0"/>
                                  <w:divBdr>
                                    <w:top w:val="none" w:sz="0" w:space="0" w:color="auto"/>
                                    <w:left w:val="none" w:sz="0" w:space="0" w:color="auto"/>
                                    <w:bottom w:val="none" w:sz="0" w:space="0" w:color="auto"/>
                                    <w:right w:val="none" w:sz="0" w:space="0" w:color="auto"/>
                                  </w:divBdr>
                                  <w:divsChild>
                                    <w:div w:id="134624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8714">
                      <w:marLeft w:val="0"/>
                      <w:marRight w:val="0"/>
                      <w:marTop w:val="0"/>
                      <w:marBottom w:val="0"/>
                      <w:divBdr>
                        <w:top w:val="none" w:sz="0" w:space="0" w:color="auto"/>
                        <w:left w:val="none" w:sz="0" w:space="0" w:color="auto"/>
                        <w:bottom w:val="none" w:sz="0" w:space="0" w:color="auto"/>
                        <w:right w:val="none" w:sz="0" w:space="0" w:color="auto"/>
                      </w:divBdr>
                      <w:divsChild>
                        <w:div w:id="714887777">
                          <w:marLeft w:val="0"/>
                          <w:marRight w:val="0"/>
                          <w:marTop w:val="0"/>
                          <w:marBottom w:val="0"/>
                          <w:divBdr>
                            <w:top w:val="none" w:sz="0" w:space="0" w:color="auto"/>
                            <w:left w:val="none" w:sz="0" w:space="0" w:color="auto"/>
                            <w:bottom w:val="none" w:sz="0" w:space="0" w:color="auto"/>
                            <w:right w:val="none" w:sz="0" w:space="0" w:color="auto"/>
                          </w:divBdr>
                          <w:divsChild>
                            <w:div w:id="1802721330">
                              <w:marLeft w:val="0"/>
                              <w:marRight w:val="0"/>
                              <w:marTop w:val="0"/>
                              <w:marBottom w:val="0"/>
                              <w:divBdr>
                                <w:top w:val="none" w:sz="0" w:space="0" w:color="auto"/>
                                <w:left w:val="none" w:sz="0" w:space="0" w:color="auto"/>
                                <w:bottom w:val="none" w:sz="0" w:space="0" w:color="auto"/>
                                <w:right w:val="none" w:sz="0" w:space="0" w:color="auto"/>
                              </w:divBdr>
                              <w:divsChild>
                                <w:div w:id="155531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0903049">
      <w:bodyDiv w:val="1"/>
      <w:marLeft w:val="0"/>
      <w:marRight w:val="0"/>
      <w:marTop w:val="0"/>
      <w:marBottom w:val="0"/>
      <w:divBdr>
        <w:top w:val="none" w:sz="0" w:space="0" w:color="auto"/>
        <w:left w:val="none" w:sz="0" w:space="0" w:color="auto"/>
        <w:bottom w:val="none" w:sz="0" w:space="0" w:color="auto"/>
        <w:right w:val="none" w:sz="0" w:space="0" w:color="auto"/>
      </w:divBdr>
      <w:divsChild>
        <w:div w:id="11422153">
          <w:marLeft w:val="480"/>
          <w:marRight w:val="0"/>
          <w:marTop w:val="0"/>
          <w:marBottom w:val="0"/>
          <w:divBdr>
            <w:top w:val="none" w:sz="0" w:space="0" w:color="auto"/>
            <w:left w:val="none" w:sz="0" w:space="0" w:color="auto"/>
            <w:bottom w:val="none" w:sz="0" w:space="0" w:color="auto"/>
            <w:right w:val="none" w:sz="0" w:space="0" w:color="auto"/>
          </w:divBdr>
          <w:divsChild>
            <w:div w:id="72059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570786">
      <w:bodyDiv w:val="1"/>
      <w:marLeft w:val="0"/>
      <w:marRight w:val="0"/>
      <w:marTop w:val="0"/>
      <w:marBottom w:val="0"/>
      <w:divBdr>
        <w:top w:val="none" w:sz="0" w:space="0" w:color="auto"/>
        <w:left w:val="none" w:sz="0" w:space="0" w:color="auto"/>
        <w:bottom w:val="none" w:sz="0" w:space="0" w:color="auto"/>
        <w:right w:val="none" w:sz="0" w:space="0" w:color="auto"/>
      </w:divBdr>
    </w:div>
    <w:div w:id="1178617568">
      <w:bodyDiv w:val="1"/>
      <w:marLeft w:val="0"/>
      <w:marRight w:val="0"/>
      <w:marTop w:val="0"/>
      <w:marBottom w:val="0"/>
      <w:divBdr>
        <w:top w:val="none" w:sz="0" w:space="0" w:color="auto"/>
        <w:left w:val="none" w:sz="0" w:space="0" w:color="auto"/>
        <w:bottom w:val="none" w:sz="0" w:space="0" w:color="auto"/>
        <w:right w:val="none" w:sz="0" w:space="0" w:color="auto"/>
      </w:divBdr>
    </w:div>
    <w:div w:id="1198398869">
      <w:bodyDiv w:val="1"/>
      <w:marLeft w:val="0"/>
      <w:marRight w:val="0"/>
      <w:marTop w:val="0"/>
      <w:marBottom w:val="0"/>
      <w:divBdr>
        <w:top w:val="none" w:sz="0" w:space="0" w:color="auto"/>
        <w:left w:val="none" w:sz="0" w:space="0" w:color="auto"/>
        <w:bottom w:val="none" w:sz="0" w:space="0" w:color="auto"/>
        <w:right w:val="none" w:sz="0" w:space="0" w:color="auto"/>
      </w:divBdr>
    </w:div>
    <w:div w:id="1212577803">
      <w:bodyDiv w:val="1"/>
      <w:marLeft w:val="0"/>
      <w:marRight w:val="0"/>
      <w:marTop w:val="0"/>
      <w:marBottom w:val="0"/>
      <w:divBdr>
        <w:top w:val="none" w:sz="0" w:space="0" w:color="auto"/>
        <w:left w:val="none" w:sz="0" w:space="0" w:color="auto"/>
        <w:bottom w:val="none" w:sz="0" w:space="0" w:color="auto"/>
        <w:right w:val="none" w:sz="0" w:space="0" w:color="auto"/>
      </w:divBdr>
      <w:divsChild>
        <w:div w:id="1778060250">
          <w:marLeft w:val="480"/>
          <w:marRight w:val="0"/>
          <w:marTop w:val="0"/>
          <w:marBottom w:val="0"/>
          <w:divBdr>
            <w:top w:val="none" w:sz="0" w:space="0" w:color="auto"/>
            <w:left w:val="none" w:sz="0" w:space="0" w:color="auto"/>
            <w:bottom w:val="none" w:sz="0" w:space="0" w:color="auto"/>
            <w:right w:val="none" w:sz="0" w:space="0" w:color="auto"/>
          </w:divBdr>
          <w:divsChild>
            <w:div w:id="50478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86284">
      <w:bodyDiv w:val="1"/>
      <w:marLeft w:val="0"/>
      <w:marRight w:val="0"/>
      <w:marTop w:val="0"/>
      <w:marBottom w:val="0"/>
      <w:divBdr>
        <w:top w:val="none" w:sz="0" w:space="0" w:color="auto"/>
        <w:left w:val="none" w:sz="0" w:space="0" w:color="auto"/>
        <w:bottom w:val="none" w:sz="0" w:space="0" w:color="auto"/>
        <w:right w:val="none" w:sz="0" w:space="0" w:color="auto"/>
      </w:divBdr>
    </w:div>
    <w:div w:id="1231967235">
      <w:bodyDiv w:val="1"/>
      <w:marLeft w:val="0"/>
      <w:marRight w:val="0"/>
      <w:marTop w:val="0"/>
      <w:marBottom w:val="0"/>
      <w:divBdr>
        <w:top w:val="none" w:sz="0" w:space="0" w:color="auto"/>
        <w:left w:val="none" w:sz="0" w:space="0" w:color="auto"/>
        <w:bottom w:val="none" w:sz="0" w:space="0" w:color="auto"/>
        <w:right w:val="none" w:sz="0" w:space="0" w:color="auto"/>
      </w:divBdr>
    </w:div>
    <w:div w:id="1236234246">
      <w:bodyDiv w:val="1"/>
      <w:marLeft w:val="0"/>
      <w:marRight w:val="0"/>
      <w:marTop w:val="0"/>
      <w:marBottom w:val="0"/>
      <w:divBdr>
        <w:top w:val="none" w:sz="0" w:space="0" w:color="auto"/>
        <w:left w:val="none" w:sz="0" w:space="0" w:color="auto"/>
        <w:bottom w:val="none" w:sz="0" w:space="0" w:color="auto"/>
        <w:right w:val="none" w:sz="0" w:space="0" w:color="auto"/>
      </w:divBdr>
      <w:divsChild>
        <w:div w:id="448667295">
          <w:marLeft w:val="480"/>
          <w:marRight w:val="0"/>
          <w:marTop w:val="0"/>
          <w:marBottom w:val="0"/>
          <w:divBdr>
            <w:top w:val="none" w:sz="0" w:space="0" w:color="auto"/>
            <w:left w:val="none" w:sz="0" w:space="0" w:color="auto"/>
            <w:bottom w:val="none" w:sz="0" w:space="0" w:color="auto"/>
            <w:right w:val="none" w:sz="0" w:space="0" w:color="auto"/>
          </w:divBdr>
          <w:divsChild>
            <w:div w:id="143655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695034">
      <w:bodyDiv w:val="1"/>
      <w:marLeft w:val="0"/>
      <w:marRight w:val="0"/>
      <w:marTop w:val="0"/>
      <w:marBottom w:val="0"/>
      <w:divBdr>
        <w:top w:val="none" w:sz="0" w:space="0" w:color="auto"/>
        <w:left w:val="none" w:sz="0" w:space="0" w:color="auto"/>
        <w:bottom w:val="none" w:sz="0" w:space="0" w:color="auto"/>
        <w:right w:val="none" w:sz="0" w:space="0" w:color="auto"/>
      </w:divBdr>
      <w:divsChild>
        <w:div w:id="1488327490">
          <w:marLeft w:val="0"/>
          <w:marRight w:val="0"/>
          <w:marTop w:val="0"/>
          <w:marBottom w:val="0"/>
          <w:divBdr>
            <w:top w:val="none" w:sz="0" w:space="0" w:color="auto"/>
            <w:left w:val="none" w:sz="0" w:space="0" w:color="auto"/>
            <w:bottom w:val="none" w:sz="0" w:space="0" w:color="auto"/>
            <w:right w:val="none" w:sz="0" w:space="0" w:color="auto"/>
          </w:divBdr>
          <w:divsChild>
            <w:div w:id="174804322">
              <w:marLeft w:val="0"/>
              <w:marRight w:val="0"/>
              <w:marTop w:val="0"/>
              <w:marBottom w:val="0"/>
              <w:divBdr>
                <w:top w:val="none" w:sz="0" w:space="0" w:color="auto"/>
                <w:left w:val="none" w:sz="0" w:space="0" w:color="auto"/>
                <w:bottom w:val="none" w:sz="0" w:space="0" w:color="auto"/>
                <w:right w:val="none" w:sz="0" w:space="0" w:color="auto"/>
              </w:divBdr>
              <w:divsChild>
                <w:div w:id="9175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532317">
      <w:bodyDiv w:val="1"/>
      <w:marLeft w:val="0"/>
      <w:marRight w:val="0"/>
      <w:marTop w:val="0"/>
      <w:marBottom w:val="0"/>
      <w:divBdr>
        <w:top w:val="none" w:sz="0" w:space="0" w:color="auto"/>
        <w:left w:val="none" w:sz="0" w:space="0" w:color="auto"/>
        <w:bottom w:val="none" w:sz="0" w:space="0" w:color="auto"/>
        <w:right w:val="none" w:sz="0" w:space="0" w:color="auto"/>
      </w:divBdr>
    </w:div>
    <w:div w:id="1298992846">
      <w:bodyDiv w:val="1"/>
      <w:marLeft w:val="0"/>
      <w:marRight w:val="0"/>
      <w:marTop w:val="0"/>
      <w:marBottom w:val="0"/>
      <w:divBdr>
        <w:top w:val="none" w:sz="0" w:space="0" w:color="auto"/>
        <w:left w:val="none" w:sz="0" w:space="0" w:color="auto"/>
        <w:bottom w:val="none" w:sz="0" w:space="0" w:color="auto"/>
        <w:right w:val="none" w:sz="0" w:space="0" w:color="auto"/>
      </w:divBdr>
    </w:div>
    <w:div w:id="1299146944">
      <w:bodyDiv w:val="1"/>
      <w:marLeft w:val="0"/>
      <w:marRight w:val="0"/>
      <w:marTop w:val="0"/>
      <w:marBottom w:val="0"/>
      <w:divBdr>
        <w:top w:val="none" w:sz="0" w:space="0" w:color="auto"/>
        <w:left w:val="none" w:sz="0" w:space="0" w:color="auto"/>
        <w:bottom w:val="none" w:sz="0" w:space="0" w:color="auto"/>
        <w:right w:val="none" w:sz="0" w:space="0" w:color="auto"/>
      </w:divBdr>
      <w:divsChild>
        <w:div w:id="986276906">
          <w:marLeft w:val="480"/>
          <w:marRight w:val="0"/>
          <w:marTop w:val="0"/>
          <w:marBottom w:val="0"/>
          <w:divBdr>
            <w:top w:val="none" w:sz="0" w:space="0" w:color="auto"/>
            <w:left w:val="none" w:sz="0" w:space="0" w:color="auto"/>
            <w:bottom w:val="none" w:sz="0" w:space="0" w:color="auto"/>
            <w:right w:val="none" w:sz="0" w:space="0" w:color="auto"/>
          </w:divBdr>
          <w:divsChild>
            <w:div w:id="74294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302361">
      <w:bodyDiv w:val="1"/>
      <w:marLeft w:val="0"/>
      <w:marRight w:val="0"/>
      <w:marTop w:val="0"/>
      <w:marBottom w:val="0"/>
      <w:divBdr>
        <w:top w:val="none" w:sz="0" w:space="0" w:color="auto"/>
        <w:left w:val="none" w:sz="0" w:space="0" w:color="auto"/>
        <w:bottom w:val="none" w:sz="0" w:space="0" w:color="auto"/>
        <w:right w:val="none" w:sz="0" w:space="0" w:color="auto"/>
      </w:divBdr>
    </w:div>
    <w:div w:id="1322348068">
      <w:bodyDiv w:val="1"/>
      <w:marLeft w:val="0"/>
      <w:marRight w:val="0"/>
      <w:marTop w:val="0"/>
      <w:marBottom w:val="0"/>
      <w:divBdr>
        <w:top w:val="none" w:sz="0" w:space="0" w:color="auto"/>
        <w:left w:val="none" w:sz="0" w:space="0" w:color="auto"/>
        <w:bottom w:val="none" w:sz="0" w:space="0" w:color="auto"/>
        <w:right w:val="none" w:sz="0" w:space="0" w:color="auto"/>
      </w:divBdr>
      <w:divsChild>
        <w:div w:id="1025643757">
          <w:marLeft w:val="0"/>
          <w:marRight w:val="0"/>
          <w:marTop w:val="0"/>
          <w:marBottom w:val="48"/>
          <w:divBdr>
            <w:top w:val="none" w:sz="0" w:space="0" w:color="auto"/>
            <w:left w:val="none" w:sz="0" w:space="0" w:color="auto"/>
            <w:bottom w:val="none" w:sz="0" w:space="0" w:color="auto"/>
            <w:right w:val="none" w:sz="0" w:space="0" w:color="auto"/>
          </w:divBdr>
          <w:divsChild>
            <w:div w:id="958487833">
              <w:marLeft w:val="0"/>
              <w:marRight w:val="0"/>
              <w:marTop w:val="0"/>
              <w:marBottom w:val="0"/>
              <w:divBdr>
                <w:top w:val="none" w:sz="0" w:space="0" w:color="auto"/>
                <w:left w:val="none" w:sz="0" w:space="0" w:color="auto"/>
                <w:bottom w:val="none" w:sz="0" w:space="0" w:color="auto"/>
                <w:right w:val="none" w:sz="0" w:space="0" w:color="auto"/>
              </w:divBdr>
              <w:divsChild>
                <w:div w:id="517352175">
                  <w:marLeft w:val="0"/>
                  <w:marRight w:val="0"/>
                  <w:marTop w:val="0"/>
                  <w:marBottom w:val="0"/>
                  <w:divBdr>
                    <w:top w:val="none" w:sz="0" w:space="0" w:color="auto"/>
                    <w:left w:val="none" w:sz="0" w:space="0" w:color="auto"/>
                    <w:bottom w:val="none" w:sz="0" w:space="0" w:color="auto"/>
                    <w:right w:val="none" w:sz="0" w:space="0" w:color="auto"/>
                  </w:divBdr>
                  <w:divsChild>
                    <w:div w:id="835344207">
                      <w:marLeft w:val="0"/>
                      <w:marRight w:val="0"/>
                      <w:marTop w:val="0"/>
                      <w:marBottom w:val="0"/>
                      <w:divBdr>
                        <w:top w:val="none" w:sz="0" w:space="0" w:color="auto"/>
                        <w:left w:val="none" w:sz="0" w:space="0" w:color="auto"/>
                        <w:bottom w:val="none" w:sz="0" w:space="0" w:color="auto"/>
                        <w:right w:val="none" w:sz="0" w:space="0" w:color="auto"/>
                      </w:divBdr>
                      <w:divsChild>
                        <w:div w:id="62881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3416472">
      <w:bodyDiv w:val="1"/>
      <w:marLeft w:val="0"/>
      <w:marRight w:val="0"/>
      <w:marTop w:val="0"/>
      <w:marBottom w:val="0"/>
      <w:divBdr>
        <w:top w:val="none" w:sz="0" w:space="0" w:color="auto"/>
        <w:left w:val="none" w:sz="0" w:space="0" w:color="auto"/>
        <w:bottom w:val="none" w:sz="0" w:space="0" w:color="auto"/>
        <w:right w:val="none" w:sz="0" w:space="0" w:color="auto"/>
      </w:divBdr>
      <w:divsChild>
        <w:div w:id="2068213469">
          <w:marLeft w:val="0"/>
          <w:marRight w:val="0"/>
          <w:marTop w:val="0"/>
          <w:marBottom w:val="0"/>
          <w:divBdr>
            <w:top w:val="none" w:sz="0" w:space="0" w:color="auto"/>
            <w:left w:val="none" w:sz="0" w:space="0" w:color="auto"/>
            <w:bottom w:val="none" w:sz="0" w:space="0" w:color="auto"/>
            <w:right w:val="none" w:sz="0" w:space="0" w:color="auto"/>
          </w:divBdr>
          <w:divsChild>
            <w:div w:id="149206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542141">
      <w:bodyDiv w:val="1"/>
      <w:marLeft w:val="0"/>
      <w:marRight w:val="0"/>
      <w:marTop w:val="0"/>
      <w:marBottom w:val="0"/>
      <w:divBdr>
        <w:top w:val="none" w:sz="0" w:space="0" w:color="auto"/>
        <w:left w:val="none" w:sz="0" w:space="0" w:color="auto"/>
        <w:bottom w:val="none" w:sz="0" w:space="0" w:color="auto"/>
        <w:right w:val="none" w:sz="0" w:space="0" w:color="auto"/>
      </w:divBdr>
    </w:div>
    <w:div w:id="1357736400">
      <w:bodyDiv w:val="1"/>
      <w:marLeft w:val="0"/>
      <w:marRight w:val="0"/>
      <w:marTop w:val="0"/>
      <w:marBottom w:val="0"/>
      <w:divBdr>
        <w:top w:val="none" w:sz="0" w:space="0" w:color="auto"/>
        <w:left w:val="none" w:sz="0" w:space="0" w:color="auto"/>
        <w:bottom w:val="none" w:sz="0" w:space="0" w:color="auto"/>
        <w:right w:val="none" w:sz="0" w:space="0" w:color="auto"/>
      </w:divBdr>
    </w:div>
    <w:div w:id="1363290484">
      <w:bodyDiv w:val="1"/>
      <w:marLeft w:val="0"/>
      <w:marRight w:val="0"/>
      <w:marTop w:val="0"/>
      <w:marBottom w:val="0"/>
      <w:divBdr>
        <w:top w:val="none" w:sz="0" w:space="0" w:color="auto"/>
        <w:left w:val="none" w:sz="0" w:space="0" w:color="auto"/>
        <w:bottom w:val="none" w:sz="0" w:space="0" w:color="auto"/>
        <w:right w:val="none" w:sz="0" w:space="0" w:color="auto"/>
      </w:divBdr>
      <w:divsChild>
        <w:div w:id="771898591">
          <w:marLeft w:val="480"/>
          <w:marRight w:val="0"/>
          <w:marTop w:val="0"/>
          <w:marBottom w:val="0"/>
          <w:divBdr>
            <w:top w:val="none" w:sz="0" w:space="0" w:color="auto"/>
            <w:left w:val="none" w:sz="0" w:space="0" w:color="auto"/>
            <w:bottom w:val="none" w:sz="0" w:space="0" w:color="auto"/>
            <w:right w:val="none" w:sz="0" w:space="0" w:color="auto"/>
          </w:divBdr>
          <w:divsChild>
            <w:div w:id="1208495010">
              <w:marLeft w:val="0"/>
              <w:marRight w:val="0"/>
              <w:marTop w:val="0"/>
              <w:marBottom w:val="240"/>
              <w:divBdr>
                <w:top w:val="none" w:sz="0" w:space="0" w:color="auto"/>
                <w:left w:val="none" w:sz="0" w:space="0" w:color="auto"/>
                <w:bottom w:val="none" w:sz="0" w:space="0" w:color="auto"/>
                <w:right w:val="none" w:sz="0" w:space="0" w:color="auto"/>
              </w:divBdr>
            </w:div>
            <w:div w:id="1989282815">
              <w:marLeft w:val="0"/>
              <w:marRight w:val="0"/>
              <w:marTop w:val="0"/>
              <w:marBottom w:val="240"/>
              <w:divBdr>
                <w:top w:val="none" w:sz="0" w:space="0" w:color="auto"/>
                <w:left w:val="none" w:sz="0" w:space="0" w:color="auto"/>
                <w:bottom w:val="none" w:sz="0" w:space="0" w:color="auto"/>
                <w:right w:val="none" w:sz="0" w:space="0" w:color="auto"/>
              </w:divBdr>
            </w:div>
            <w:div w:id="1273323637">
              <w:marLeft w:val="0"/>
              <w:marRight w:val="0"/>
              <w:marTop w:val="0"/>
              <w:marBottom w:val="240"/>
              <w:divBdr>
                <w:top w:val="none" w:sz="0" w:space="0" w:color="auto"/>
                <w:left w:val="none" w:sz="0" w:space="0" w:color="auto"/>
                <w:bottom w:val="none" w:sz="0" w:space="0" w:color="auto"/>
                <w:right w:val="none" w:sz="0" w:space="0" w:color="auto"/>
              </w:divBdr>
            </w:div>
            <w:div w:id="69206065">
              <w:marLeft w:val="0"/>
              <w:marRight w:val="0"/>
              <w:marTop w:val="0"/>
              <w:marBottom w:val="240"/>
              <w:divBdr>
                <w:top w:val="none" w:sz="0" w:space="0" w:color="auto"/>
                <w:left w:val="none" w:sz="0" w:space="0" w:color="auto"/>
                <w:bottom w:val="none" w:sz="0" w:space="0" w:color="auto"/>
                <w:right w:val="none" w:sz="0" w:space="0" w:color="auto"/>
              </w:divBdr>
            </w:div>
            <w:div w:id="1720739547">
              <w:marLeft w:val="0"/>
              <w:marRight w:val="0"/>
              <w:marTop w:val="0"/>
              <w:marBottom w:val="240"/>
              <w:divBdr>
                <w:top w:val="none" w:sz="0" w:space="0" w:color="auto"/>
                <w:left w:val="none" w:sz="0" w:space="0" w:color="auto"/>
                <w:bottom w:val="none" w:sz="0" w:space="0" w:color="auto"/>
                <w:right w:val="none" w:sz="0" w:space="0" w:color="auto"/>
              </w:divBdr>
            </w:div>
            <w:div w:id="55863886">
              <w:marLeft w:val="0"/>
              <w:marRight w:val="0"/>
              <w:marTop w:val="0"/>
              <w:marBottom w:val="240"/>
              <w:divBdr>
                <w:top w:val="none" w:sz="0" w:space="0" w:color="auto"/>
                <w:left w:val="none" w:sz="0" w:space="0" w:color="auto"/>
                <w:bottom w:val="none" w:sz="0" w:space="0" w:color="auto"/>
                <w:right w:val="none" w:sz="0" w:space="0" w:color="auto"/>
              </w:divBdr>
            </w:div>
            <w:div w:id="1249001585">
              <w:marLeft w:val="0"/>
              <w:marRight w:val="0"/>
              <w:marTop w:val="0"/>
              <w:marBottom w:val="240"/>
              <w:divBdr>
                <w:top w:val="none" w:sz="0" w:space="0" w:color="auto"/>
                <w:left w:val="none" w:sz="0" w:space="0" w:color="auto"/>
                <w:bottom w:val="none" w:sz="0" w:space="0" w:color="auto"/>
                <w:right w:val="none" w:sz="0" w:space="0" w:color="auto"/>
              </w:divBdr>
            </w:div>
            <w:div w:id="1441802142">
              <w:marLeft w:val="0"/>
              <w:marRight w:val="0"/>
              <w:marTop w:val="0"/>
              <w:marBottom w:val="240"/>
              <w:divBdr>
                <w:top w:val="none" w:sz="0" w:space="0" w:color="auto"/>
                <w:left w:val="none" w:sz="0" w:space="0" w:color="auto"/>
                <w:bottom w:val="none" w:sz="0" w:space="0" w:color="auto"/>
                <w:right w:val="none" w:sz="0" w:space="0" w:color="auto"/>
              </w:divBdr>
            </w:div>
            <w:div w:id="1528593489">
              <w:marLeft w:val="0"/>
              <w:marRight w:val="0"/>
              <w:marTop w:val="0"/>
              <w:marBottom w:val="240"/>
              <w:divBdr>
                <w:top w:val="none" w:sz="0" w:space="0" w:color="auto"/>
                <w:left w:val="none" w:sz="0" w:space="0" w:color="auto"/>
                <w:bottom w:val="none" w:sz="0" w:space="0" w:color="auto"/>
                <w:right w:val="none" w:sz="0" w:space="0" w:color="auto"/>
              </w:divBdr>
            </w:div>
            <w:div w:id="1552418333">
              <w:marLeft w:val="0"/>
              <w:marRight w:val="0"/>
              <w:marTop w:val="0"/>
              <w:marBottom w:val="240"/>
              <w:divBdr>
                <w:top w:val="none" w:sz="0" w:space="0" w:color="auto"/>
                <w:left w:val="none" w:sz="0" w:space="0" w:color="auto"/>
                <w:bottom w:val="none" w:sz="0" w:space="0" w:color="auto"/>
                <w:right w:val="none" w:sz="0" w:space="0" w:color="auto"/>
              </w:divBdr>
            </w:div>
            <w:div w:id="2133791275">
              <w:marLeft w:val="0"/>
              <w:marRight w:val="0"/>
              <w:marTop w:val="0"/>
              <w:marBottom w:val="240"/>
              <w:divBdr>
                <w:top w:val="none" w:sz="0" w:space="0" w:color="auto"/>
                <w:left w:val="none" w:sz="0" w:space="0" w:color="auto"/>
                <w:bottom w:val="none" w:sz="0" w:space="0" w:color="auto"/>
                <w:right w:val="none" w:sz="0" w:space="0" w:color="auto"/>
              </w:divBdr>
            </w:div>
            <w:div w:id="2072387550">
              <w:marLeft w:val="0"/>
              <w:marRight w:val="0"/>
              <w:marTop w:val="0"/>
              <w:marBottom w:val="240"/>
              <w:divBdr>
                <w:top w:val="none" w:sz="0" w:space="0" w:color="auto"/>
                <w:left w:val="none" w:sz="0" w:space="0" w:color="auto"/>
                <w:bottom w:val="none" w:sz="0" w:space="0" w:color="auto"/>
                <w:right w:val="none" w:sz="0" w:space="0" w:color="auto"/>
              </w:divBdr>
            </w:div>
            <w:div w:id="646323738">
              <w:marLeft w:val="0"/>
              <w:marRight w:val="0"/>
              <w:marTop w:val="0"/>
              <w:marBottom w:val="240"/>
              <w:divBdr>
                <w:top w:val="none" w:sz="0" w:space="0" w:color="auto"/>
                <w:left w:val="none" w:sz="0" w:space="0" w:color="auto"/>
                <w:bottom w:val="none" w:sz="0" w:space="0" w:color="auto"/>
                <w:right w:val="none" w:sz="0" w:space="0" w:color="auto"/>
              </w:divBdr>
            </w:div>
            <w:div w:id="1659729298">
              <w:marLeft w:val="0"/>
              <w:marRight w:val="0"/>
              <w:marTop w:val="0"/>
              <w:marBottom w:val="240"/>
              <w:divBdr>
                <w:top w:val="none" w:sz="0" w:space="0" w:color="auto"/>
                <w:left w:val="none" w:sz="0" w:space="0" w:color="auto"/>
                <w:bottom w:val="none" w:sz="0" w:space="0" w:color="auto"/>
                <w:right w:val="none" w:sz="0" w:space="0" w:color="auto"/>
              </w:divBdr>
            </w:div>
            <w:div w:id="404301894">
              <w:marLeft w:val="0"/>
              <w:marRight w:val="0"/>
              <w:marTop w:val="0"/>
              <w:marBottom w:val="240"/>
              <w:divBdr>
                <w:top w:val="none" w:sz="0" w:space="0" w:color="auto"/>
                <w:left w:val="none" w:sz="0" w:space="0" w:color="auto"/>
                <w:bottom w:val="none" w:sz="0" w:space="0" w:color="auto"/>
                <w:right w:val="none" w:sz="0" w:space="0" w:color="auto"/>
              </w:divBdr>
            </w:div>
            <w:div w:id="599876978">
              <w:marLeft w:val="0"/>
              <w:marRight w:val="0"/>
              <w:marTop w:val="0"/>
              <w:marBottom w:val="240"/>
              <w:divBdr>
                <w:top w:val="none" w:sz="0" w:space="0" w:color="auto"/>
                <w:left w:val="none" w:sz="0" w:space="0" w:color="auto"/>
                <w:bottom w:val="none" w:sz="0" w:space="0" w:color="auto"/>
                <w:right w:val="none" w:sz="0" w:space="0" w:color="auto"/>
              </w:divBdr>
            </w:div>
            <w:div w:id="2012560562">
              <w:marLeft w:val="0"/>
              <w:marRight w:val="0"/>
              <w:marTop w:val="0"/>
              <w:marBottom w:val="240"/>
              <w:divBdr>
                <w:top w:val="none" w:sz="0" w:space="0" w:color="auto"/>
                <w:left w:val="none" w:sz="0" w:space="0" w:color="auto"/>
                <w:bottom w:val="none" w:sz="0" w:space="0" w:color="auto"/>
                <w:right w:val="none" w:sz="0" w:space="0" w:color="auto"/>
              </w:divBdr>
            </w:div>
            <w:div w:id="371610883">
              <w:marLeft w:val="0"/>
              <w:marRight w:val="0"/>
              <w:marTop w:val="0"/>
              <w:marBottom w:val="240"/>
              <w:divBdr>
                <w:top w:val="none" w:sz="0" w:space="0" w:color="auto"/>
                <w:left w:val="none" w:sz="0" w:space="0" w:color="auto"/>
                <w:bottom w:val="none" w:sz="0" w:space="0" w:color="auto"/>
                <w:right w:val="none" w:sz="0" w:space="0" w:color="auto"/>
              </w:divBdr>
            </w:div>
            <w:div w:id="2096781431">
              <w:marLeft w:val="0"/>
              <w:marRight w:val="0"/>
              <w:marTop w:val="0"/>
              <w:marBottom w:val="240"/>
              <w:divBdr>
                <w:top w:val="none" w:sz="0" w:space="0" w:color="auto"/>
                <w:left w:val="none" w:sz="0" w:space="0" w:color="auto"/>
                <w:bottom w:val="none" w:sz="0" w:space="0" w:color="auto"/>
                <w:right w:val="none" w:sz="0" w:space="0" w:color="auto"/>
              </w:divBdr>
            </w:div>
            <w:div w:id="1589459351">
              <w:marLeft w:val="0"/>
              <w:marRight w:val="0"/>
              <w:marTop w:val="0"/>
              <w:marBottom w:val="240"/>
              <w:divBdr>
                <w:top w:val="none" w:sz="0" w:space="0" w:color="auto"/>
                <w:left w:val="none" w:sz="0" w:space="0" w:color="auto"/>
                <w:bottom w:val="none" w:sz="0" w:space="0" w:color="auto"/>
                <w:right w:val="none" w:sz="0" w:space="0" w:color="auto"/>
              </w:divBdr>
            </w:div>
            <w:div w:id="1582252510">
              <w:marLeft w:val="0"/>
              <w:marRight w:val="0"/>
              <w:marTop w:val="0"/>
              <w:marBottom w:val="240"/>
              <w:divBdr>
                <w:top w:val="none" w:sz="0" w:space="0" w:color="auto"/>
                <w:left w:val="none" w:sz="0" w:space="0" w:color="auto"/>
                <w:bottom w:val="none" w:sz="0" w:space="0" w:color="auto"/>
                <w:right w:val="none" w:sz="0" w:space="0" w:color="auto"/>
              </w:divBdr>
            </w:div>
            <w:div w:id="2048097431">
              <w:marLeft w:val="0"/>
              <w:marRight w:val="0"/>
              <w:marTop w:val="0"/>
              <w:marBottom w:val="240"/>
              <w:divBdr>
                <w:top w:val="none" w:sz="0" w:space="0" w:color="auto"/>
                <w:left w:val="none" w:sz="0" w:space="0" w:color="auto"/>
                <w:bottom w:val="none" w:sz="0" w:space="0" w:color="auto"/>
                <w:right w:val="none" w:sz="0" w:space="0" w:color="auto"/>
              </w:divBdr>
            </w:div>
            <w:div w:id="1543250156">
              <w:marLeft w:val="0"/>
              <w:marRight w:val="0"/>
              <w:marTop w:val="0"/>
              <w:marBottom w:val="240"/>
              <w:divBdr>
                <w:top w:val="none" w:sz="0" w:space="0" w:color="auto"/>
                <w:left w:val="none" w:sz="0" w:space="0" w:color="auto"/>
                <w:bottom w:val="none" w:sz="0" w:space="0" w:color="auto"/>
                <w:right w:val="none" w:sz="0" w:space="0" w:color="auto"/>
              </w:divBdr>
            </w:div>
            <w:div w:id="376007903">
              <w:marLeft w:val="0"/>
              <w:marRight w:val="0"/>
              <w:marTop w:val="0"/>
              <w:marBottom w:val="240"/>
              <w:divBdr>
                <w:top w:val="none" w:sz="0" w:space="0" w:color="auto"/>
                <w:left w:val="none" w:sz="0" w:space="0" w:color="auto"/>
                <w:bottom w:val="none" w:sz="0" w:space="0" w:color="auto"/>
                <w:right w:val="none" w:sz="0" w:space="0" w:color="auto"/>
              </w:divBdr>
            </w:div>
            <w:div w:id="1319266655">
              <w:marLeft w:val="0"/>
              <w:marRight w:val="0"/>
              <w:marTop w:val="0"/>
              <w:marBottom w:val="240"/>
              <w:divBdr>
                <w:top w:val="none" w:sz="0" w:space="0" w:color="auto"/>
                <w:left w:val="none" w:sz="0" w:space="0" w:color="auto"/>
                <w:bottom w:val="none" w:sz="0" w:space="0" w:color="auto"/>
                <w:right w:val="none" w:sz="0" w:space="0" w:color="auto"/>
              </w:divBdr>
            </w:div>
            <w:div w:id="109204488">
              <w:marLeft w:val="0"/>
              <w:marRight w:val="0"/>
              <w:marTop w:val="0"/>
              <w:marBottom w:val="240"/>
              <w:divBdr>
                <w:top w:val="none" w:sz="0" w:space="0" w:color="auto"/>
                <w:left w:val="none" w:sz="0" w:space="0" w:color="auto"/>
                <w:bottom w:val="none" w:sz="0" w:space="0" w:color="auto"/>
                <w:right w:val="none" w:sz="0" w:space="0" w:color="auto"/>
              </w:divBdr>
            </w:div>
            <w:div w:id="1629161964">
              <w:marLeft w:val="0"/>
              <w:marRight w:val="0"/>
              <w:marTop w:val="0"/>
              <w:marBottom w:val="240"/>
              <w:divBdr>
                <w:top w:val="none" w:sz="0" w:space="0" w:color="auto"/>
                <w:left w:val="none" w:sz="0" w:space="0" w:color="auto"/>
                <w:bottom w:val="none" w:sz="0" w:space="0" w:color="auto"/>
                <w:right w:val="none" w:sz="0" w:space="0" w:color="auto"/>
              </w:divBdr>
            </w:div>
            <w:div w:id="467402831">
              <w:marLeft w:val="0"/>
              <w:marRight w:val="0"/>
              <w:marTop w:val="0"/>
              <w:marBottom w:val="240"/>
              <w:divBdr>
                <w:top w:val="none" w:sz="0" w:space="0" w:color="auto"/>
                <w:left w:val="none" w:sz="0" w:space="0" w:color="auto"/>
                <w:bottom w:val="none" w:sz="0" w:space="0" w:color="auto"/>
                <w:right w:val="none" w:sz="0" w:space="0" w:color="auto"/>
              </w:divBdr>
            </w:div>
            <w:div w:id="1839075383">
              <w:marLeft w:val="0"/>
              <w:marRight w:val="0"/>
              <w:marTop w:val="0"/>
              <w:marBottom w:val="240"/>
              <w:divBdr>
                <w:top w:val="none" w:sz="0" w:space="0" w:color="auto"/>
                <w:left w:val="none" w:sz="0" w:space="0" w:color="auto"/>
                <w:bottom w:val="none" w:sz="0" w:space="0" w:color="auto"/>
                <w:right w:val="none" w:sz="0" w:space="0" w:color="auto"/>
              </w:divBdr>
            </w:div>
            <w:div w:id="519050567">
              <w:marLeft w:val="0"/>
              <w:marRight w:val="0"/>
              <w:marTop w:val="0"/>
              <w:marBottom w:val="240"/>
              <w:divBdr>
                <w:top w:val="none" w:sz="0" w:space="0" w:color="auto"/>
                <w:left w:val="none" w:sz="0" w:space="0" w:color="auto"/>
                <w:bottom w:val="none" w:sz="0" w:space="0" w:color="auto"/>
                <w:right w:val="none" w:sz="0" w:space="0" w:color="auto"/>
              </w:divBdr>
            </w:div>
            <w:div w:id="1143473306">
              <w:marLeft w:val="0"/>
              <w:marRight w:val="0"/>
              <w:marTop w:val="0"/>
              <w:marBottom w:val="240"/>
              <w:divBdr>
                <w:top w:val="none" w:sz="0" w:space="0" w:color="auto"/>
                <w:left w:val="none" w:sz="0" w:space="0" w:color="auto"/>
                <w:bottom w:val="none" w:sz="0" w:space="0" w:color="auto"/>
                <w:right w:val="none" w:sz="0" w:space="0" w:color="auto"/>
              </w:divBdr>
            </w:div>
            <w:div w:id="421265530">
              <w:marLeft w:val="0"/>
              <w:marRight w:val="0"/>
              <w:marTop w:val="0"/>
              <w:marBottom w:val="240"/>
              <w:divBdr>
                <w:top w:val="none" w:sz="0" w:space="0" w:color="auto"/>
                <w:left w:val="none" w:sz="0" w:space="0" w:color="auto"/>
                <w:bottom w:val="none" w:sz="0" w:space="0" w:color="auto"/>
                <w:right w:val="none" w:sz="0" w:space="0" w:color="auto"/>
              </w:divBdr>
            </w:div>
            <w:div w:id="1181820506">
              <w:marLeft w:val="0"/>
              <w:marRight w:val="0"/>
              <w:marTop w:val="0"/>
              <w:marBottom w:val="240"/>
              <w:divBdr>
                <w:top w:val="none" w:sz="0" w:space="0" w:color="auto"/>
                <w:left w:val="none" w:sz="0" w:space="0" w:color="auto"/>
                <w:bottom w:val="none" w:sz="0" w:space="0" w:color="auto"/>
                <w:right w:val="none" w:sz="0" w:space="0" w:color="auto"/>
              </w:divBdr>
            </w:div>
            <w:div w:id="1387342062">
              <w:marLeft w:val="0"/>
              <w:marRight w:val="0"/>
              <w:marTop w:val="0"/>
              <w:marBottom w:val="240"/>
              <w:divBdr>
                <w:top w:val="none" w:sz="0" w:space="0" w:color="auto"/>
                <w:left w:val="none" w:sz="0" w:space="0" w:color="auto"/>
                <w:bottom w:val="none" w:sz="0" w:space="0" w:color="auto"/>
                <w:right w:val="none" w:sz="0" w:space="0" w:color="auto"/>
              </w:divBdr>
            </w:div>
            <w:div w:id="1379277770">
              <w:marLeft w:val="0"/>
              <w:marRight w:val="0"/>
              <w:marTop w:val="0"/>
              <w:marBottom w:val="240"/>
              <w:divBdr>
                <w:top w:val="none" w:sz="0" w:space="0" w:color="auto"/>
                <w:left w:val="none" w:sz="0" w:space="0" w:color="auto"/>
                <w:bottom w:val="none" w:sz="0" w:space="0" w:color="auto"/>
                <w:right w:val="none" w:sz="0" w:space="0" w:color="auto"/>
              </w:divBdr>
            </w:div>
            <w:div w:id="451746796">
              <w:marLeft w:val="0"/>
              <w:marRight w:val="0"/>
              <w:marTop w:val="0"/>
              <w:marBottom w:val="240"/>
              <w:divBdr>
                <w:top w:val="none" w:sz="0" w:space="0" w:color="auto"/>
                <w:left w:val="none" w:sz="0" w:space="0" w:color="auto"/>
                <w:bottom w:val="none" w:sz="0" w:space="0" w:color="auto"/>
                <w:right w:val="none" w:sz="0" w:space="0" w:color="auto"/>
              </w:divBdr>
            </w:div>
            <w:div w:id="1190528822">
              <w:marLeft w:val="0"/>
              <w:marRight w:val="0"/>
              <w:marTop w:val="0"/>
              <w:marBottom w:val="240"/>
              <w:divBdr>
                <w:top w:val="none" w:sz="0" w:space="0" w:color="auto"/>
                <w:left w:val="none" w:sz="0" w:space="0" w:color="auto"/>
                <w:bottom w:val="none" w:sz="0" w:space="0" w:color="auto"/>
                <w:right w:val="none" w:sz="0" w:space="0" w:color="auto"/>
              </w:divBdr>
            </w:div>
            <w:div w:id="679046824">
              <w:marLeft w:val="0"/>
              <w:marRight w:val="0"/>
              <w:marTop w:val="0"/>
              <w:marBottom w:val="240"/>
              <w:divBdr>
                <w:top w:val="none" w:sz="0" w:space="0" w:color="auto"/>
                <w:left w:val="none" w:sz="0" w:space="0" w:color="auto"/>
                <w:bottom w:val="none" w:sz="0" w:space="0" w:color="auto"/>
                <w:right w:val="none" w:sz="0" w:space="0" w:color="auto"/>
              </w:divBdr>
            </w:div>
            <w:div w:id="954411210">
              <w:marLeft w:val="0"/>
              <w:marRight w:val="0"/>
              <w:marTop w:val="0"/>
              <w:marBottom w:val="240"/>
              <w:divBdr>
                <w:top w:val="none" w:sz="0" w:space="0" w:color="auto"/>
                <w:left w:val="none" w:sz="0" w:space="0" w:color="auto"/>
                <w:bottom w:val="none" w:sz="0" w:space="0" w:color="auto"/>
                <w:right w:val="none" w:sz="0" w:space="0" w:color="auto"/>
              </w:divBdr>
            </w:div>
            <w:div w:id="1491291029">
              <w:marLeft w:val="0"/>
              <w:marRight w:val="0"/>
              <w:marTop w:val="0"/>
              <w:marBottom w:val="240"/>
              <w:divBdr>
                <w:top w:val="none" w:sz="0" w:space="0" w:color="auto"/>
                <w:left w:val="none" w:sz="0" w:space="0" w:color="auto"/>
                <w:bottom w:val="none" w:sz="0" w:space="0" w:color="auto"/>
                <w:right w:val="none" w:sz="0" w:space="0" w:color="auto"/>
              </w:divBdr>
            </w:div>
            <w:div w:id="843401150">
              <w:marLeft w:val="0"/>
              <w:marRight w:val="0"/>
              <w:marTop w:val="0"/>
              <w:marBottom w:val="240"/>
              <w:divBdr>
                <w:top w:val="none" w:sz="0" w:space="0" w:color="auto"/>
                <w:left w:val="none" w:sz="0" w:space="0" w:color="auto"/>
                <w:bottom w:val="none" w:sz="0" w:space="0" w:color="auto"/>
                <w:right w:val="none" w:sz="0" w:space="0" w:color="auto"/>
              </w:divBdr>
            </w:div>
            <w:div w:id="1374966698">
              <w:marLeft w:val="0"/>
              <w:marRight w:val="0"/>
              <w:marTop w:val="0"/>
              <w:marBottom w:val="240"/>
              <w:divBdr>
                <w:top w:val="none" w:sz="0" w:space="0" w:color="auto"/>
                <w:left w:val="none" w:sz="0" w:space="0" w:color="auto"/>
                <w:bottom w:val="none" w:sz="0" w:space="0" w:color="auto"/>
                <w:right w:val="none" w:sz="0" w:space="0" w:color="auto"/>
              </w:divBdr>
            </w:div>
            <w:div w:id="1294797613">
              <w:marLeft w:val="0"/>
              <w:marRight w:val="0"/>
              <w:marTop w:val="0"/>
              <w:marBottom w:val="240"/>
              <w:divBdr>
                <w:top w:val="none" w:sz="0" w:space="0" w:color="auto"/>
                <w:left w:val="none" w:sz="0" w:space="0" w:color="auto"/>
                <w:bottom w:val="none" w:sz="0" w:space="0" w:color="auto"/>
                <w:right w:val="none" w:sz="0" w:space="0" w:color="auto"/>
              </w:divBdr>
            </w:div>
            <w:div w:id="1423990187">
              <w:marLeft w:val="0"/>
              <w:marRight w:val="0"/>
              <w:marTop w:val="0"/>
              <w:marBottom w:val="240"/>
              <w:divBdr>
                <w:top w:val="none" w:sz="0" w:space="0" w:color="auto"/>
                <w:left w:val="none" w:sz="0" w:space="0" w:color="auto"/>
                <w:bottom w:val="none" w:sz="0" w:space="0" w:color="auto"/>
                <w:right w:val="none" w:sz="0" w:space="0" w:color="auto"/>
              </w:divBdr>
            </w:div>
            <w:div w:id="2088837506">
              <w:marLeft w:val="0"/>
              <w:marRight w:val="0"/>
              <w:marTop w:val="0"/>
              <w:marBottom w:val="240"/>
              <w:divBdr>
                <w:top w:val="none" w:sz="0" w:space="0" w:color="auto"/>
                <w:left w:val="none" w:sz="0" w:space="0" w:color="auto"/>
                <w:bottom w:val="none" w:sz="0" w:space="0" w:color="auto"/>
                <w:right w:val="none" w:sz="0" w:space="0" w:color="auto"/>
              </w:divBdr>
            </w:div>
            <w:div w:id="436216670">
              <w:marLeft w:val="0"/>
              <w:marRight w:val="0"/>
              <w:marTop w:val="0"/>
              <w:marBottom w:val="240"/>
              <w:divBdr>
                <w:top w:val="none" w:sz="0" w:space="0" w:color="auto"/>
                <w:left w:val="none" w:sz="0" w:space="0" w:color="auto"/>
                <w:bottom w:val="none" w:sz="0" w:space="0" w:color="auto"/>
                <w:right w:val="none" w:sz="0" w:space="0" w:color="auto"/>
              </w:divBdr>
            </w:div>
            <w:div w:id="1697196798">
              <w:marLeft w:val="0"/>
              <w:marRight w:val="0"/>
              <w:marTop w:val="0"/>
              <w:marBottom w:val="240"/>
              <w:divBdr>
                <w:top w:val="none" w:sz="0" w:space="0" w:color="auto"/>
                <w:left w:val="none" w:sz="0" w:space="0" w:color="auto"/>
                <w:bottom w:val="none" w:sz="0" w:space="0" w:color="auto"/>
                <w:right w:val="none" w:sz="0" w:space="0" w:color="auto"/>
              </w:divBdr>
            </w:div>
            <w:div w:id="2043633045">
              <w:marLeft w:val="0"/>
              <w:marRight w:val="0"/>
              <w:marTop w:val="0"/>
              <w:marBottom w:val="240"/>
              <w:divBdr>
                <w:top w:val="none" w:sz="0" w:space="0" w:color="auto"/>
                <w:left w:val="none" w:sz="0" w:space="0" w:color="auto"/>
                <w:bottom w:val="none" w:sz="0" w:space="0" w:color="auto"/>
                <w:right w:val="none" w:sz="0" w:space="0" w:color="auto"/>
              </w:divBdr>
            </w:div>
            <w:div w:id="1153327532">
              <w:marLeft w:val="0"/>
              <w:marRight w:val="0"/>
              <w:marTop w:val="0"/>
              <w:marBottom w:val="240"/>
              <w:divBdr>
                <w:top w:val="none" w:sz="0" w:space="0" w:color="auto"/>
                <w:left w:val="none" w:sz="0" w:space="0" w:color="auto"/>
                <w:bottom w:val="none" w:sz="0" w:space="0" w:color="auto"/>
                <w:right w:val="none" w:sz="0" w:space="0" w:color="auto"/>
              </w:divBdr>
            </w:div>
            <w:div w:id="937174772">
              <w:marLeft w:val="0"/>
              <w:marRight w:val="0"/>
              <w:marTop w:val="0"/>
              <w:marBottom w:val="240"/>
              <w:divBdr>
                <w:top w:val="none" w:sz="0" w:space="0" w:color="auto"/>
                <w:left w:val="none" w:sz="0" w:space="0" w:color="auto"/>
                <w:bottom w:val="none" w:sz="0" w:space="0" w:color="auto"/>
                <w:right w:val="none" w:sz="0" w:space="0" w:color="auto"/>
              </w:divBdr>
            </w:div>
            <w:div w:id="1791506674">
              <w:marLeft w:val="0"/>
              <w:marRight w:val="0"/>
              <w:marTop w:val="0"/>
              <w:marBottom w:val="240"/>
              <w:divBdr>
                <w:top w:val="none" w:sz="0" w:space="0" w:color="auto"/>
                <w:left w:val="none" w:sz="0" w:space="0" w:color="auto"/>
                <w:bottom w:val="none" w:sz="0" w:space="0" w:color="auto"/>
                <w:right w:val="none" w:sz="0" w:space="0" w:color="auto"/>
              </w:divBdr>
            </w:div>
            <w:div w:id="697899313">
              <w:marLeft w:val="0"/>
              <w:marRight w:val="0"/>
              <w:marTop w:val="0"/>
              <w:marBottom w:val="240"/>
              <w:divBdr>
                <w:top w:val="none" w:sz="0" w:space="0" w:color="auto"/>
                <w:left w:val="none" w:sz="0" w:space="0" w:color="auto"/>
                <w:bottom w:val="none" w:sz="0" w:space="0" w:color="auto"/>
                <w:right w:val="none" w:sz="0" w:space="0" w:color="auto"/>
              </w:divBdr>
            </w:div>
            <w:div w:id="1802380228">
              <w:marLeft w:val="0"/>
              <w:marRight w:val="0"/>
              <w:marTop w:val="0"/>
              <w:marBottom w:val="240"/>
              <w:divBdr>
                <w:top w:val="none" w:sz="0" w:space="0" w:color="auto"/>
                <w:left w:val="none" w:sz="0" w:space="0" w:color="auto"/>
                <w:bottom w:val="none" w:sz="0" w:space="0" w:color="auto"/>
                <w:right w:val="none" w:sz="0" w:space="0" w:color="auto"/>
              </w:divBdr>
            </w:div>
            <w:div w:id="759566711">
              <w:marLeft w:val="0"/>
              <w:marRight w:val="0"/>
              <w:marTop w:val="0"/>
              <w:marBottom w:val="240"/>
              <w:divBdr>
                <w:top w:val="none" w:sz="0" w:space="0" w:color="auto"/>
                <w:left w:val="none" w:sz="0" w:space="0" w:color="auto"/>
                <w:bottom w:val="none" w:sz="0" w:space="0" w:color="auto"/>
                <w:right w:val="none" w:sz="0" w:space="0" w:color="auto"/>
              </w:divBdr>
            </w:div>
            <w:div w:id="306596383">
              <w:marLeft w:val="0"/>
              <w:marRight w:val="0"/>
              <w:marTop w:val="0"/>
              <w:marBottom w:val="240"/>
              <w:divBdr>
                <w:top w:val="none" w:sz="0" w:space="0" w:color="auto"/>
                <w:left w:val="none" w:sz="0" w:space="0" w:color="auto"/>
                <w:bottom w:val="none" w:sz="0" w:space="0" w:color="auto"/>
                <w:right w:val="none" w:sz="0" w:space="0" w:color="auto"/>
              </w:divBdr>
            </w:div>
            <w:div w:id="694159882">
              <w:marLeft w:val="0"/>
              <w:marRight w:val="0"/>
              <w:marTop w:val="0"/>
              <w:marBottom w:val="240"/>
              <w:divBdr>
                <w:top w:val="none" w:sz="0" w:space="0" w:color="auto"/>
                <w:left w:val="none" w:sz="0" w:space="0" w:color="auto"/>
                <w:bottom w:val="none" w:sz="0" w:space="0" w:color="auto"/>
                <w:right w:val="none" w:sz="0" w:space="0" w:color="auto"/>
              </w:divBdr>
            </w:div>
            <w:div w:id="698628148">
              <w:marLeft w:val="0"/>
              <w:marRight w:val="0"/>
              <w:marTop w:val="0"/>
              <w:marBottom w:val="240"/>
              <w:divBdr>
                <w:top w:val="none" w:sz="0" w:space="0" w:color="auto"/>
                <w:left w:val="none" w:sz="0" w:space="0" w:color="auto"/>
                <w:bottom w:val="none" w:sz="0" w:space="0" w:color="auto"/>
                <w:right w:val="none" w:sz="0" w:space="0" w:color="auto"/>
              </w:divBdr>
            </w:div>
            <w:div w:id="1164323615">
              <w:marLeft w:val="0"/>
              <w:marRight w:val="0"/>
              <w:marTop w:val="0"/>
              <w:marBottom w:val="240"/>
              <w:divBdr>
                <w:top w:val="none" w:sz="0" w:space="0" w:color="auto"/>
                <w:left w:val="none" w:sz="0" w:space="0" w:color="auto"/>
                <w:bottom w:val="none" w:sz="0" w:space="0" w:color="auto"/>
                <w:right w:val="none" w:sz="0" w:space="0" w:color="auto"/>
              </w:divBdr>
            </w:div>
            <w:div w:id="1603949815">
              <w:marLeft w:val="0"/>
              <w:marRight w:val="0"/>
              <w:marTop w:val="0"/>
              <w:marBottom w:val="240"/>
              <w:divBdr>
                <w:top w:val="none" w:sz="0" w:space="0" w:color="auto"/>
                <w:left w:val="none" w:sz="0" w:space="0" w:color="auto"/>
                <w:bottom w:val="none" w:sz="0" w:space="0" w:color="auto"/>
                <w:right w:val="none" w:sz="0" w:space="0" w:color="auto"/>
              </w:divBdr>
            </w:div>
            <w:div w:id="465051946">
              <w:marLeft w:val="0"/>
              <w:marRight w:val="0"/>
              <w:marTop w:val="0"/>
              <w:marBottom w:val="240"/>
              <w:divBdr>
                <w:top w:val="none" w:sz="0" w:space="0" w:color="auto"/>
                <w:left w:val="none" w:sz="0" w:space="0" w:color="auto"/>
                <w:bottom w:val="none" w:sz="0" w:space="0" w:color="auto"/>
                <w:right w:val="none" w:sz="0" w:space="0" w:color="auto"/>
              </w:divBdr>
            </w:div>
            <w:div w:id="1557081933">
              <w:marLeft w:val="0"/>
              <w:marRight w:val="0"/>
              <w:marTop w:val="0"/>
              <w:marBottom w:val="240"/>
              <w:divBdr>
                <w:top w:val="none" w:sz="0" w:space="0" w:color="auto"/>
                <w:left w:val="none" w:sz="0" w:space="0" w:color="auto"/>
                <w:bottom w:val="none" w:sz="0" w:space="0" w:color="auto"/>
                <w:right w:val="none" w:sz="0" w:space="0" w:color="auto"/>
              </w:divBdr>
            </w:div>
            <w:div w:id="999189854">
              <w:marLeft w:val="0"/>
              <w:marRight w:val="0"/>
              <w:marTop w:val="0"/>
              <w:marBottom w:val="240"/>
              <w:divBdr>
                <w:top w:val="none" w:sz="0" w:space="0" w:color="auto"/>
                <w:left w:val="none" w:sz="0" w:space="0" w:color="auto"/>
                <w:bottom w:val="none" w:sz="0" w:space="0" w:color="auto"/>
                <w:right w:val="none" w:sz="0" w:space="0" w:color="auto"/>
              </w:divBdr>
            </w:div>
            <w:div w:id="1769546945">
              <w:marLeft w:val="0"/>
              <w:marRight w:val="0"/>
              <w:marTop w:val="0"/>
              <w:marBottom w:val="240"/>
              <w:divBdr>
                <w:top w:val="none" w:sz="0" w:space="0" w:color="auto"/>
                <w:left w:val="none" w:sz="0" w:space="0" w:color="auto"/>
                <w:bottom w:val="none" w:sz="0" w:space="0" w:color="auto"/>
                <w:right w:val="none" w:sz="0" w:space="0" w:color="auto"/>
              </w:divBdr>
            </w:div>
            <w:div w:id="321666097">
              <w:marLeft w:val="0"/>
              <w:marRight w:val="0"/>
              <w:marTop w:val="0"/>
              <w:marBottom w:val="240"/>
              <w:divBdr>
                <w:top w:val="none" w:sz="0" w:space="0" w:color="auto"/>
                <w:left w:val="none" w:sz="0" w:space="0" w:color="auto"/>
                <w:bottom w:val="none" w:sz="0" w:space="0" w:color="auto"/>
                <w:right w:val="none" w:sz="0" w:space="0" w:color="auto"/>
              </w:divBdr>
            </w:div>
            <w:div w:id="1110782167">
              <w:marLeft w:val="0"/>
              <w:marRight w:val="0"/>
              <w:marTop w:val="0"/>
              <w:marBottom w:val="240"/>
              <w:divBdr>
                <w:top w:val="none" w:sz="0" w:space="0" w:color="auto"/>
                <w:left w:val="none" w:sz="0" w:space="0" w:color="auto"/>
                <w:bottom w:val="none" w:sz="0" w:space="0" w:color="auto"/>
                <w:right w:val="none" w:sz="0" w:space="0" w:color="auto"/>
              </w:divBdr>
            </w:div>
            <w:div w:id="769007870">
              <w:marLeft w:val="0"/>
              <w:marRight w:val="0"/>
              <w:marTop w:val="0"/>
              <w:marBottom w:val="240"/>
              <w:divBdr>
                <w:top w:val="none" w:sz="0" w:space="0" w:color="auto"/>
                <w:left w:val="none" w:sz="0" w:space="0" w:color="auto"/>
                <w:bottom w:val="none" w:sz="0" w:space="0" w:color="auto"/>
                <w:right w:val="none" w:sz="0" w:space="0" w:color="auto"/>
              </w:divBdr>
            </w:div>
            <w:div w:id="1261522723">
              <w:marLeft w:val="0"/>
              <w:marRight w:val="0"/>
              <w:marTop w:val="0"/>
              <w:marBottom w:val="240"/>
              <w:divBdr>
                <w:top w:val="none" w:sz="0" w:space="0" w:color="auto"/>
                <w:left w:val="none" w:sz="0" w:space="0" w:color="auto"/>
                <w:bottom w:val="none" w:sz="0" w:space="0" w:color="auto"/>
                <w:right w:val="none" w:sz="0" w:space="0" w:color="auto"/>
              </w:divBdr>
            </w:div>
            <w:div w:id="120340740">
              <w:marLeft w:val="0"/>
              <w:marRight w:val="0"/>
              <w:marTop w:val="0"/>
              <w:marBottom w:val="240"/>
              <w:divBdr>
                <w:top w:val="none" w:sz="0" w:space="0" w:color="auto"/>
                <w:left w:val="none" w:sz="0" w:space="0" w:color="auto"/>
                <w:bottom w:val="none" w:sz="0" w:space="0" w:color="auto"/>
                <w:right w:val="none" w:sz="0" w:space="0" w:color="auto"/>
              </w:divBdr>
            </w:div>
            <w:div w:id="1193032344">
              <w:marLeft w:val="0"/>
              <w:marRight w:val="0"/>
              <w:marTop w:val="0"/>
              <w:marBottom w:val="240"/>
              <w:divBdr>
                <w:top w:val="none" w:sz="0" w:space="0" w:color="auto"/>
                <w:left w:val="none" w:sz="0" w:space="0" w:color="auto"/>
                <w:bottom w:val="none" w:sz="0" w:space="0" w:color="auto"/>
                <w:right w:val="none" w:sz="0" w:space="0" w:color="auto"/>
              </w:divBdr>
            </w:div>
            <w:div w:id="5909587">
              <w:marLeft w:val="0"/>
              <w:marRight w:val="0"/>
              <w:marTop w:val="0"/>
              <w:marBottom w:val="240"/>
              <w:divBdr>
                <w:top w:val="none" w:sz="0" w:space="0" w:color="auto"/>
                <w:left w:val="none" w:sz="0" w:space="0" w:color="auto"/>
                <w:bottom w:val="none" w:sz="0" w:space="0" w:color="auto"/>
                <w:right w:val="none" w:sz="0" w:space="0" w:color="auto"/>
              </w:divBdr>
            </w:div>
            <w:div w:id="319388036">
              <w:marLeft w:val="0"/>
              <w:marRight w:val="0"/>
              <w:marTop w:val="0"/>
              <w:marBottom w:val="240"/>
              <w:divBdr>
                <w:top w:val="none" w:sz="0" w:space="0" w:color="auto"/>
                <w:left w:val="none" w:sz="0" w:space="0" w:color="auto"/>
                <w:bottom w:val="none" w:sz="0" w:space="0" w:color="auto"/>
                <w:right w:val="none" w:sz="0" w:space="0" w:color="auto"/>
              </w:divBdr>
            </w:div>
            <w:div w:id="1570192202">
              <w:marLeft w:val="0"/>
              <w:marRight w:val="0"/>
              <w:marTop w:val="0"/>
              <w:marBottom w:val="240"/>
              <w:divBdr>
                <w:top w:val="none" w:sz="0" w:space="0" w:color="auto"/>
                <w:left w:val="none" w:sz="0" w:space="0" w:color="auto"/>
                <w:bottom w:val="none" w:sz="0" w:space="0" w:color="auto"/>
                <w:right w:val="none" w:sz="0" w:space="0" w:color="auto"/>
              </w:divBdr>
            </w:div>
            <w:div w:id="306593262">
              <w:marLeft w:val="0"/>
              <w:marRight w:val="0"/>
              <w:marTop w:val="0"/>
              <w:marBottom w:val="240"/>
              <w:divBdr>
                <w:top w:val="none" w:sz="0" w:space="0" w:color="auto"/>
                <w:left w:val="none" w:sz="0" w:space="0" w:color="auto"/>
                <w:bottom w:val="none" w:sz="0" w:space="0" w:color="auto"/>
                <w:right w:val="none" w:sz="0" w:space="0" w:color="auto"/>
              </w:divBdr>
            </w:div>
            <w:div w:id="2119987378">
              <w:marLeft w:val="0"/>
              <w:marRight w:val="0"/>
              <w:marTop w:val="0"/>
              <w:marBottom w:val="240"/>
              <w:divBdr>
                <w:top w:val="none" w:sz="0" w:space="0" w:color="auto"/>
                <w:left w:val="none" w:sz="0" w:space="0" w:color="auto"/>
                <w:bottom w:val="none" w:sz="0" w:space="0" w:color="auto"/>
                <w:right w:val="none" w:sz="0" w:space="0" w:color="auto"/>
              </w:divBdr>
            </w:div>
            <w:div w:id="2147116473">
              <w:marLeft w:val="0"/>
              <w:marRight w:val="0"/>
              <w:marTop w:val="0"/>
              <w:marBottom w:val="240"/>
              <w:divBdr>
                <w:top w:val="none" w:sz="0" w:space="0" w:color="auto"/>
                <w:left w:val="none" w:sz="0" w:space="0" w:color="auto"/>
                <w:bottom w:val="none" w:sz="0" w:space="0" w:color="auto"/>
                <w:right w:val="none" w:sz="0" w:space="0" w:color="auto"/>
              </w:divBdr>
            </w:div>
            <w:div w:id="529144547">
              <w:marLeft w:val="0"/>
              <w:marRight w:val="0"/>
              <w:marTop w:val="0"/>
              <w:marBottom w:val="240"/>
              <w:divBdr>
                <w:top w:val="none" w:sz="0" w:space="0" w:color="auto"/>
                <w:left w:val="none" w:sz="0" w:space="0" w:color="auto"/>
                <w:bottom w:val="none" w:sz="0" w:space="0" w:color="auto"/>
                <w:right w:val="none" w:sz="0" w:space="0" w:color="auto"/>
              </w:divBdr>
            </w:div>
            <w:div w:id="425661047">
              <w:marLeft w:val="0"/>
              <w:marRight w:val="0"/>
              <w:marTop w:val="0"/>
              <w:marBottom w:val="240"/>
              <w:divBdr>
                <w:top w:val="none" w:sz="0" w:space="0" w:color="auto"/>
                <w:left w:val="none" w:sz="0" w:space="0" w:color="auto"/>
                <w:bottom w:val="none" w:sz="0" w:space="0" w:color="auto"/>
                <w:right w:val="none" w:sz="0" w:space="0" w:color="auto"/>
              </w:divBdr>
            </w:div>
            <w:div w:id="1685325417">
              <w:marLeft w:val="0"/>
              <w:marRight w:val="0"/>
              <w:marTop w:val="0"/>
              <w:marBottom w:val="240"/>
              <w:divBdr>
                <w:top w:val="none" w:sz="0" w:space="0" w:color="auto"/>
                <w:left w:val="none" w:sz="0" w:space="0" w:color="auto"/>
                <w:bottom w:val="none" w:sz="0" w:space="0" w:color="auto"/>
                <w:right w:val="none" w:sz="0" w:space="0" w:color="auto"/>
              </w:divBdr>
            </w:div>
            <w:div w:id="1803620222">
              <w:marLeft w:val="0"/>
              <w:marRight w:val="0"/>
              <w:marTop w:val="0"/>
              <w:marBottom w:val="240"/>
              <w:divBdr>
                <w:top w:val="none" w:sz="0" w:space="0" w:color="auto"/>
                <w:left w:val="none" w:sz="0" w:space="0" w:color="auto"/>
                <w:bottom w:val="none" w:sz="0" w:space="0" w:color="auto"/>
                <w:right w:val="none" w:sz="0" w:space="0" w:color="auto"/>
              </w:divBdr>
            </w:div>
            <w:div w:id="1604915338">
              <w:marLeft w:val="0"/>
              <w:marRight w:val="0"/>
              <w:marTop w:val="0"/>
              <w:marBottom w:val="240"/>
              <w:divBdr>
                <w:top w:val="none" w:sz="0" w:space="0" w:color="auto"/>
                <w:left w:val="none" w:sz="0" w:space="0" w:color="auto"/>
                <w:bottom w:val="none" w:sz="0" w:space="0" w:color="auto"/>
                <w:right w:val="none" w:sz="0" w:space="0" w:color="auto"/>
              </w:divBdr>
            </w:div>
            <w:div w:id="2011715138">
              <w:marLeft w:val="0"/>
              <w:marRight w:val="0"/>
              <w:marTop w:val="0"/>
              <w:marBottom w:val="240"/>
              <w:divBdr>
                <w:top w:val="none" w:sz="0" w:space="0" w:color="auto"/>
                <w:left w:val="none" w:sz="0" w:space="0" w:color="auto"/>
                <w:bottom w:val="none" w:sz="0" w:space="0" w:color="auto"/>
                <w:right w:val="none" w:sz="0" w:space="0" w:color="auto"/>
              </w:divBdr>
            </w:div>
            <w:div w:id="1133790264">
              <w:marLeft w:val="0"/>
              <w:marRight w:val="0"/>
              <w:marTop w:val="0"/>
              <w:marBottom w:val="240"/>
              <w:divBdr>
                <w:top w:val="none" w:sz="0" w:space="0" w:color="auto"/>
                <w:left w:val="none" w:sz="0" w:space="0" w:color="auto"/>
                <w:bottom w:val="none" w:sz="0" w:space="0" w:color="auto"/>
                <w:right w:val="none" w:sz="0" w:space="0" w:color="auto"/>
              </w:divBdr>
            </w:div>
            <w:div w:id="689137758">
              <w:marLeft w:val="0"/>
              <w:marRight w:val="0"/>
              <w:marTop w:val="0"/>
              <w:marBottom w:val="240"/>
              <w:divBdr>
                <w:top w:val="none" w:sz="0" w:space="0" w:color="auto"/>
                <w:left w:val="none" w:sz="0" w:space="0" w:color="auto"/>
                <w:bottom w:val="none" w:sz="0" w:space="0" w:color="auto"/>
                <w:right w:val="none" w:sz="0" w:space="0" w:color="auto"/>
              </w:divBdr>
            </w:div>
            <w:div w:id="2032682668">
              <w:marLeft w:val="0"/>
              <w:marRight w:val="0"/>
              <w:marTop w:val="0"/>
              <w:marBottom w:val="240"/>
              <w:divBdr>
                <w:top w:val="none" w:sz="0" w:space="0" w:color="auto"/>
                <w:left w:val="none" w:sz="0" w:space="0" w:color="auto"/>
                <w:bottom w:val="none" w:sz="0" w:space="0" w:color="auto"/>
                <w:right w:val="none" w:sz="0" w:space="0" w:color="auto"/>
              </w:divBdr>
            </w:div>
            <w:div w:id="1221937703">
              <w:marLeft w:val="0"/>
              <w:marRight w:val="0"/>
              <w:marTop w:val="0"/>
              <w:marBottom w:val="240"/>
              <w:divBdr>
                <w:top w:val="none" w:sz="0" w:space="0" w:color="auto"/>
                <w:left w:val="none" w:sz="0" w:space="0" w:color="auto"/>
                <w:bottom w:val="none" w:sz="0" w:space="0" w:color="auto"/>
                <w:right w:val="none" w:sz="0" w:space="0" w:color="auto"/>
              </w:divBdr>
            </w:div>
            <w:div w:id="1219629752">
              <w:marLeft w:val="0"/>
              <w:marRight w:val="0"/>
              <w:marTop w:val="0"/>
              <w:marBottom w:val="240"/>
              <w:divBdr>
                <w:top w:val="none" w:sz="0" w:space="0" w:color="auto"/>
                <w:left w:val="none" w:sz="0" w:space="0" w:color="auto"/>
                <w:bottom w:val="none" w:sz="0" w:space="0" w:color="auto"/>
                <w:right w:val="none" w:sz="0" w:space="0" w:color="auto"/>
              </w:divBdr>
            </w:div>
            <w:div w:id="827674783">
              <w:marLeft w:val="0"/>
              <w:marRight w:val="0"/>
              <w:marTop w:val="0"/>
              <w:marBottom w:val="240"/>
              <w:divBdr>
                <w:top w:val="none" w:sz="0" w:space="0" w:color="auto"/>
                <w:left w:val="none" w:sz="0" w:space="0" w:color="auto"/>
                <w:bottom w:val="none" w:sz="0" w:space="0" w:color="auto"/>
                <w:right w:val="none" w:sz="0" w:space="0" w:color="auto"/>
              </w:divBdr>
            </w:div>
            <w:div w:id="185559543">
              <w:marLeft w:val="0"/>
              <w:marRight w:val="0"/>
              <w:marTop w:val="0"/>
              <w:marBottom w:val="240"/>
              <w:divBdr>
                <w:top w:val="none" w:sz="0" w:space="0" w:color="auto"/>
                <w:left w:val="none" w:sz="0" w:space="0" w:color="auto"/>
                <w:bottom w:val="none" w:sz="0" w:space="0" w:color="auto"/>
                <w:right w:val="none" w:sz="0" w:space="0" w:color="auto"/>
              </w:divBdr>
            </w:div>
            <w:div w:id="1540506217">
              <w:marLeft w:val="0"/>
              <w:marRight w:val="0"/>
              <w:marTop w:val="0"/>
              <w:marBottom w:val="240"/>
              <w:divBdr>
                <w:top w:val="none" w:sz="0" w:space="0" w:color="auto"/>
                <w:left w:val="none" w:sz="0" w:space="0" w:color="auto"/>
                <w:bottom w:val="none" w:sz="0" w:space="0" w:color="auto"/>
                <w:right w:val="none" w:sz="0" w:space="0" w:color="auto"/>
              </w:divBdr>
            </w:div>
            <w:div w:id="1294486539">
              <w:marLeft w:val="0"/>
              <w:marRight w:val="0"/>
              <w:marTop w:val="0"/>
              <w:marBottom w:val="240"/>
              <w:divBdr>
                <w:top w:val="none" w:sz="0" w:space="0" w:color="auto"/>
                <w:left w:val="none" w:sz="0" w:space="0" w:color="auto"/>
                <w:bottom w:val="none" w:sz="0" w:space="0" w:color="auto"/>
                <w:right w:val="none" w:sz="0" w:space="0" w:color="auto"/>
              </w:divBdr>
            </w:div>
            <w:div w:id="1533226227">
              <w:marLeft w:val="0"/>
              <w:marRight w:val="0"/>
              <w:marTop w:val="0"/>
              <w:marBottom w:val="240"/>
              <w:divBdr>
                <w:top w:val="none" w:sz="0" w:space="0" w:color="auto"/>
                <w:left w:val="none" w:sz="0" w:space="0" w:color="auto"/>
                <w:bottom w:val="none" w:sz="0" w:space="0" w:color="auto"/>
                <w:right w:val="none" w:sz="0" w:space="0" w:color="auto"/>
              </w:divBdr>
            </w:div>
            <w:div w:id="111872686">
              <w:marLeft w:val="0"/>
              <w:marRight w:val="0"/>
              <w:marTop w:val="0"/>
              <w:marBottom w:val="240"/>
              <w:divBdr>
                <w:top w:val="none" w:sz="0" w:space="0" w:color="auto"/>
                <w:left w:val="none" w:sz="0" w:space="0" w:color="auto"/>
                <w:bottom w:val="none" w:sz="0" w:space="0" w:color="auto"/>
                <w:right w:val="none" w:sz="0" w:space="0" w:color="auto"/>
              </w:divBdr>
            </w:div>
            <w:div w:id="973103824">
              <w:marLeft w:val="0"/>
              <w:marRight w:val="0"/>
              <w:marTop w:val="0"/>
              <w:marBottom w:val="240"/>
              <w:divBdr>
                <w:top w:val="none" w:sz="0" w:space="0" w:color="auto"/>
                <w:left w:val="none" w:sz="0" w:space="0" w:color="auto"/>
                <w:bottom w:val="none" w:sz="0" w:space="0" w:color="auto"/>
                <w:right w:val="none" w:sz="0" w:space="0" w:color="auto"/>
              </w:divBdr>
            </w:div>
            <w:div w:id="1711807006">
              <w:marLeft w:val="0"/>
              <w:marRight w:val="0"/>
              <w:marTop w:val="0"/>
              <w:marBottom w:val="240"/>
              <w:divBdr>
                <w:top w:val="none" w:sz="0" w:space="0" w:color="auto"/>
                <w:left w:val="none" w:sz="0" w:space="0" w:color="auto"/>
                <w:bottom w:val="none" w:sz="0" w:space="0" w:color="auto"/>
                <w:right w:val="none" w:sz="0" w:space="0" w:color="auto"/>
              </w:divBdr>
            </w:div>
            <w:div w:id="271744428">
              <w:marLeft w:val="0"/>
              <w:marRight w:val="0"/>
              <w:marTop w:val="0"/>
              <w:marBottom w:val="240"/>
              <w:divBdr>
                <w:top w:val="none" w:sz="0" w:space="0" w:color="auto"/>
                <w:left w:val="none" w:sz="0" w:space="0" w:color="auto"/>
                <w:bottom w:val="none" w:sz="0" w:space="0" w:color="auto"/>
                <w:right w:val="none" w:sz="0" w:space="0" w:color="auto"/>
              </w:divBdr>
            </w:div>
            <w:div w:id="1595090921">
              <w:marLeft w:val="0"/>
              <w:marRight w:val="0"/>
              <w:marTop w:val="0"/>
              <w:marBottom w:val="240"/>
              <w:divBdr>
                <w:top w:val="none" w:sz="0" w:space="0" w:color="auto"/>
                <w:left w:val="none" w:sz="0" w:space="0" w:color="auto"/>
                <w:bottom w:val="none" w:sz="0" w:space="0" w:color="auto"/>
                <w:right w:val="none" w:sz="0" w:space="0" w:color="auto"/>
              </w:divBdr>
            </w:div>
            <w:div w:id="737870933">
              <w:marLeft w:val="0"/>
              <w:marRight w:val="0"/>
              <w:marTop w:val="0"/>
              <w:marBottom w:val="240"/>
              <w:divBdr>
                <w:top w:val="none" w:sz="0" w:space="0" w:color="auto"/>
                <w:left w:val="none" w:sz="0" w:space="0" w:color="auto"/>
                <w:bottom w:val="none" w:sz="0" w:space="0" w:color="auto"/>
                <w:right w:val="none" w:sz="0" w:space="0" w:color="auto"/>
              </w:divBdr>
            </w:div>
            <w:div w:id="1103459684">
              <w:marLeft w:val="0"/>
              <w:marRight w:val="0"/>
              <w:marTop w:val="0"/>
              <w:marBottom w:val="240"/>
              <w:divBdr>
                <w:top w:val="none" w:sz="0" w:space="0" w:color="auto"/>
                <w:left w:val="none" w:sz="0" w:space="0" w:color="auto"/>
                <w:bottom w:val="none" w:sz="0" w:space="0" w:color="auto"/>
                <w:right w:val="none" w:sz="0" w:space="0" w:color="auto"/>
              </w:divBdr>
            </w:div>
            <w:div w:id="436291505">
              <w:marLeft w:val="0"/>
              <w:marRight w:val="0"/>
              <w:marTop w:val="0"/>
              <w:marBottom w:val="240"/>
              <w:divBdr>
                <w:top w:val="none" w:sz="0" w:space="0" w:color="auto"/>
                <w:left w:val="none" w:sz="0" w:space="0" w:color="auto"/>
                <w:bottom w:val="none" w:sz="0" w:space="0" w:color="auto"/>
                <w:right w:val="none" w:sz="0" w:space="0" w:color="auto"/>
              </w:divBdr>
            </w:div>
            <w:div w:id="1857381675">
              <w:marLeft w:val="0"/>
              <w:marRight w:val="0"/>
              <w:marTop w:val="0"/>
              <w:marBottom w:val="240"/>
              <w:divBdr>
                <w:top w:val="none" w:sz="0" w:space="0" w:color="auto"/>
                <w:left w:val="none" w:sz="0" w:space="0" w:color="auto"/>
                <w:bottom w:val="none" w:sz="0" w:space="0" w:color="auto"/>
                <w:right w:val="none" w:sz="0" w:space="0" w:color="auto"/>
              </w:divBdr>
            </w:div>
            <w:div w:id="1425146759">
              <w:marLeft w:val="0"/>
              <w:marRight w:val="0"/>
              <w:marTop w:val="0"/>
              <w:marBottom w:val="240"/>
              <w:divBdr>
                <w:top w:val="none" w:sz="0" w:space="0" w:color="auto"/>
                <w:left w:val="none" w:sz="0" w:space="0" w:color="auto"/>
                <w:bottom w:val="none" w:sz="0" w:space="0" w:color="auto"/>
                <w:right w:val="none" w:sz="0" w:space="0" w:color="auto"/>
              </w:divBdr>
            </w:div>
            <w:div w:id="1455560080">
              <w:marLeft w:val="0"/>
              <w:marRight w:val="0"/>
              <w:marTop w:val="0"/>
              <w:marBottom w:val="240"/>
              <w:divBdr>
                <w:top w:val="none" w:sz="0" w:space="0" w:color="auto"/>
                <w:left w:val="none" w:sz="0" w:space="0" w:color="auto"/>
                <w:bottom w:val="none" w:sz="0" w:space="0" w:color="auto"/>
                <w:right w:val="none" w:sz="0" w:space="0" w:color="auto"/>
              </w:divBdr>
            </w:div>
            <w:div w:id="1002589102">
              <w:marLeft w:val="0"/>
              <w:marRight w:val="0"/>
              <w:marTop w:val="0"/>
              <w:marBottom w:val="240"/>
              <w:divBdr>
                <w:top w:val="none" w:sz="0" w:space="0" w:color="auto"/>
                <w:left w:val="none" w:sz="0" w:space="0" w:color="auto"/>
                <w:bottom w:val="none" w:sz="0" w:space="0" w:color="auto"/>
                <w:right w:val="none" w:sz="0" w:space="0" w:color="auto"/>
              </w:divBdr>
            </w:div>
            <w:div w:id="2069065366">
              <w:marLeft w:val="0"/>
              <w:marRight w:val="0"/>
              <w:marTop w:val="0"/>
              <w:marBottom w:val="240"/>
              <w:divBdr>
                <w:top w:val="none" w:sz="0" w:space="0" w:color="auto"/>
                <w:left w:val="none" w:sz="0" w:space="0" w:color="auto"/>
                <w:bottom w:val="none" w:sz="0" w:space="0" w:color="auto"/>
                <w:right w:val="none" w:sz="0" w:space="0" w:color="auto"/>
              </w:divBdr>
            </w:div>
            <w:div w:id="626737535">
              <w:marLeft w:val="0"/>
              <w:marRight w:val="0"/>
              <w:marTop w:val="0"/>
              <w:marBottom w:val="240"/>
              <w:divBdr>
                <w:top w:val="none" w:sz="0" w:space="0" w:color="auto"/>
                <w:left w:val="none" w:sz="0" w:space="0" w:color="auto"/>
                <w:bottom w:val="none" w:sz="0" w:space="0" w:color="auto"/>
                <w:right w:val="none" w:sz="0" w:space="0" w:color="auto"/>
              </w:divBdr>
            </w:div>
            <w:div w:id="1179082705">
              <w:marLeft w:val="0"/>
              <w:marRight w:val="0"/>
              <w:marTop w:val="0"/>
              <w:marBottom w:val="240"/>
              <w:divBdr>
                <w:top w:val="none" w:sz="0" w:space="0" w:color="auto"/>
                <w:left w:val="none" w:sz="0" w:space="0" w:color="auto"/>
                <w:bottom w:val="none" w:sz="0" w:space="0" w:color="auto"/>
                <w:right w:val="none" w:sz="0" w:space="0" w:color="auto"/>
              </w:divBdr>
            </w:div>
            <w:div w:id="2115321571">
              <w:marLeft w:val="0"/>
              <w:marRight w:val="0"/>
              <w:marTop w:val="0"/>
              <w:marBottom w:val="240"/>
              <w:divBdr>
                <w:top w:val="none" w:sz="0" w:space="0" w:color="auto"/>
                <w:left w:val="none" w:sz="0" w:space="0" w:color="auto"/>
                <w:bottom w:val="none" w:sz="0" w:space="0" w:color="auto"/>
                <w:right w:val="none" w:sz="0" w:space="0" w:color="auto"/>
              </w:divBdr>
            </w:div>
            <w:div w:id="719476962">
              <w:marLeft w:val="0"/>
              <w:marRight w:val="0"/>
              <w:marTop w:val="0"/>
              <w:marBottom w:val="240"/>
              <w:divBdr>
                <w:top w:val="none" w:sz="0" w:space="0" w:color="auto"/>
                <w:left w:val="none" w:sz="0" w:space="0" w:color="auto"/>
                <w:bottom w:val="none" w:sz="0" w:space="0" w:color="auto"/>
                <w:right w:val="none" w:sz="0" w:space="0" w:color="auto"/>
              </w:divBdr>
            </w:div>
            <w:div w:id="1903321323">
              <w:marLeft w:val="0"/>
              <w:marRight w:val="0"/>
              <w:marTop w:val="0"/>
              <w:marBottom w:val="240"/>
              <w:divBdr>
                <w:top w:val="none" w:sz="0" w:space="0" w:color="auto"/>
                <w:left w:val="none" w:sz="0" w:space="0" w:color="auto"/>
                <w:bottom w:val="none" w:sz="0" w:space="0" w:color="auto"/>
                <w:right w:val="none" w:sz="0" w:space="0" w:color="auto"/>
              </w:divBdr>
            </w:div>
            <w:div w:id="1211499977">
              <w:marLeft w:val="0"/>
              <w:marRight w:val="0"/>
              <w:marTop w:val="0"/>
              <w:marBottom w:val="240"/>
              <w:divBdr>
                <w:top w:val="none" w:sz="0" w:space="0" w:color="auto"/>
                <w:left w:val="none" w:sz="0" w:space="0" w:color="auto"/>
                <w:bottom w:val="none" w:sz="0" w:space="0" w:color="auto"/>
                <w:right w:val="none" w:sz="0" w:space="0" w:color="auto"/>
              </w:divBdr>
            </w:div>
            <w:div w:id="7058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8785">
      <w:bodyDiv w:val="1"/>
      <w:marLeft w:val="0"/>
      <w:marRight w:val="0"/>
      <w:marTop w:val="0"/>
      <w:marBottom w:val="0"/>
      <w:divBdr>
        <w:top w:val="none" w:sz="0" w:space="0" w:color="auto"/>
        <w:left w:val="none" w:sz="0" w:space="0" w:color="auto"/>
        <w:bottom w:val="none" w:sz="0" w:space="0" w:color="auto"/>
        <w:right w:val="none" w:sz="0" w:space="0" w:color="auto"/>
      </w:divBdr>
    </w:div>
    <w:div w:id="1379278528">
      <w:bodyDiv w:val="1"/>
      <w:marLeft w:val="0"/>
      <w:marRight w:val="0"/>
      <w:marTop w:val="0"/>
      <w:marBottom w:val="0"/>
      <w:divBdr>
        <w:top w:val="none" w:sz="0" w:space="0" w:color="auto"/>
        <w:left w:val="none" w:sz="0" w:space="0" w:color="auto"/>
        <w:bottom w:val="none" w:sz="0" w:space="0" w:color="auto"/>
        <w:right w:val="none" w:sz="0" w:space="0" w:color="auto"/>
      </w:divBdr>
    </w:div>
    <w:div w:id="1401059393">
      <w:bodyDiv w:val="1"/>
      <w:marLeft w:val="0"/>
      <w:marRight w:val="0"/>
      <w:marTop w:val="0"/>
      <w:marBottom w:val="0"/>
      <w:divBdr>
        <w:top w:val="none" w:sz="0" w:space="0" w:color="auto"/>
        <w:left w:val="none" w:sz="0" w:space="0" w:color="auto"/>
        <w:bottom w:val="none" w:sz="0" w:space="0" w:color="auto"/>
        <w:right w:val="none" w:sz="0" w:space="0" w:color="auto"/>
      </w:divBdr>
    </w:div>
    <w:div w:id="1404835091">
      <w:bodyDiv w:val="1"/>
      <w:marLeft w:val="0"/>
      <w:marRight w:val="0"/>
      <w:marTop w:val="0"/>
      <w:marBottom w:val="0"/>
      <w:divBdr>
        <w:top w:val="none" w:sz="0" w:space="0" w:color="auto"/>
        <w:left w:val="none" w:sz="0" w:space="0" w:color="auto"/>
        <w:bottom w:val="none" w:sz="0" w:space="0" w:color="auto"/>
        <w:right w:val="none" w:sz="0" w:space="0" w:color="auto"/>
      </w:divBdr>
    </w:div>
    <w:div w:id="1418867871">
      <w:bodyDiv w:val="1"/>
      <w:marLeft w:val="0"/>
      <w:marRight w:val="0"/>
      <w:marTop w:val="0"/>
      <w:marBottom w:val="0"/>
      <w:divBdr>
        <w:top w:val="none" w:sz="0" w:space="0" w:color="auto"/>
        <w:left w:val="none" w:sz="0" w:space="0" w:color="auto"/>
        <w:bottom w:val="none" w:sz="0" w:space="0" w:color="auto"/>
        <w:right w:val="none" w:sz="0" w:space="0" w:color="auto"/>
      </w:divBdr>
    </w:div>
    <w:div w:id="1438673315">
      <w:bodyDiv w:val="1"/>
      <w:marLeft w:val="0"/>
      <w:marRight w:val="0"/>
      <w:marTop w:val="0"/>
      <w:marBottom w:val="0"/>
      <w:divBdr>
        <w:top w:val="none" w:sz="0" w:space="0" w:color="auto"/>
        <w:left w:val="none" w:sz="0" w:space="0" w:color="auto"/>
        <w:bottom w:val="none" w:sz="0" w:space="0" w:color="auto"/>
        <w:right w:val="none" w:sz="0" w:space="0" w:color="auto"/>
      </w:divBdr>
    </w:div>
    <w:div w:id="1442604492">
      <w:bodyDiv w:val="1"/>
      <w:marLeft w:val="0"/>
      <w:marRight w:val="0"/>
      <w:marTop w:val="0"/>
      <w:marBottom w:val="0"/>
      <w:divBdr>
        <w:top w:val="none" w:sz="0" w:space="0" w:color="auto"/>
        <w:left w:val="none" w:sz="0" w:space="0" w:color="auto"/>
        <w:bottom w:val="none" w:sz="0" w:space="0" w:color="auto"/>
        <w:right w:val="none" w:sz="0" w:space="0" w:color="auto"/>
      </w:divBdr>
    </w:div>
    <w:div w:id="1446653234">
      <w:bodyDiv w:val="1"/>
      <w:marLeft w:val="0"/>
      <w:marRight w:val="0"/>
      <w:marTop w:val="0"/>
      <w:marBottom w:val="0"/>
      <w:divBdr>
        <w:top w:val="none" w:sz="0" w:space="0" w:color="auto"/>
        <w:left w:val="none" w:sz="0" w:space="0" w:color="auto"/>
        <w:bottom w:val="none" w:sz="0" w:space="0" w:color="auto"/>
        <w:right w:val="none" w:sz="0" w:space="0" w:color="auto"/>
      </w:divBdr>
    </w:div>
    <w:div w:id="1452047570">
      <w:bodyDiv w:val="1"/>
      <w:marLeft w:val="0"/>
      <w:marRight w:val="0"/>
      <w:marTop w:val="0"/>
      <w:marBottom w:val="0"/>
      <w:divBdr>
        <w:top w:val="none" w:sz="0" w:space="0" w:color="auto"/>
        <w:left w:val="none" w:sz="0" w:space="0" w:color="auto"/>
        <w:bottom w:val="none" w:sz="0" w:space="0" w:color="auto"/>
        <w:right w:val="none" w:sz="0" w:space="0" w:color="auto"/>
      </w:divBdr>
    </w:div>
    <w:div w:id="1489830465">
      <w:bodyDiv w:val="1"/>
      <w:marLeft w:val="0"/>
      <w:marRight w:val="0"/>
      <w:marTop w:val="0"/>
      <w:marBottom w:val="0"/>
      <w:divBdr>
        <w:top w:val="none" w:sz="0" w:space="0" w:color="auto"/>
        <w:left w:val="none" w:sz="0" w:space="0" w:color="auto"/>
        <w:bottom w:val="none" w:sz="0" w:space="0" w:color="auto"/>
        <w:right w:val="none" w:sz="0" w:space="0" w:color="auto"/>
      </w:divBdr>
    </w:div>
    <w:div w:id="1537933939">
      <w:bodyDiv w:val="1"/>
      <w:marLeft w:val="0"/>
      <w:marRight w:val="0"/>
      <w:marTop w:val="0"/>
      <w:marBottom w:val="0"/>
      <w:divBdr>
        <w:top w:val="none" w:sz="0" w:space="0" w:color="auto"/>
        <w:left w:val="none" w:sz="0" w:space="0" w:color="auto"/>
        <w:bottom w:val="none" w:sz="0" w:space="0" w:color="auto"/>
        <w:right w:val="none" w:sz="0" w:space="0" w:color="auto"/>
      </w:divBdr>
    </w:div>
    <w:div w:id="1625040196">
      <w:bodyDiv w:val="1"/>
      <w:marLeft w:val="0"/>
      <w:marRight w:val="0"/>
      <w:marTop w:val="0"/>
      <w:marBottom w:val="0"/>
      <w:divBdr>
        <w:top w:val="none" w:sz="0" w:space="0" w:color="auto"/>
        <w:left w:val="none" w:sz="0" w:space="0" w:color="auto"/>
        <w:bottom w:val="none" w:sz="0" w:space="0" w:color="auto"/>
        <w:right w:val="none" w:sz="0" w:space="0" w:color="auto"/>
      </w:divBdr>
    </w:div>
    <w:div w:id="1626887215">
      <w:bodyDiv w:val="1"/>
      <w:marLeft w:val="0"/>
      <w:marRight w:val="0"/>
      <w:marTop w:val="0"/>
      <w:marBottom w:val="0"/>
      <w:divBdr>
        <w:top w:val="none" w:sz="0" w:space="0" w:color="auto"/>
        <w:left w:val="none" w:sz="0" w:space="0" w:color="auto"/>
        <w:bottom w:val="none" w:sz="0" w:space="0" w:color="auto"/>
        <w:right w:val="none" w:sz="0" w:space="0" w:color="auto"/>
      </w:divBdr>
    </w:div>
    <w:div w:id="1631473028">
      <w:bodyDiv w:val="1"/>
      <w:marLeft w:val="0"/>
      <w:marRight w:val="0"/>
      <w:marTop w:val="0"/>
      <w:marBottom w:val="0"/>
      <w:divBdr>
        <w:top w:val="none" w:sz="0" w:space="0" w:color="auto"/>
        <w:left w:val="none" w:sz="0" w:space="0" w:color="auto"/>
        <w:bottom w:val="none" w:sz="0" w:space="0" w:color="auto"/>
        <w:right w:val="none" w:sz="0" w:space="0" w:color="auto"/>
      </w:divBdr>
      <w:divsChild>
        <w:div w:id="1327978268">
          <w:marLeft w:val="0"/>
          <w:marRight w:val="0"/>
          <w:marTop w:val="0"/>
          <w:marBottom w:val="48"/>
          <w:divBdr>
            <w:top w:val="none" w:sz="0" w:space="0" w:color="auto"/>
            <w:left w:val="none" w:sz="0" w:space="0" w:color="auto"/>
            <w:bottom w:val="none" w:sz="0" w:space="0" w:color="auto"/>
            <w:right w:val="none" w:sz="0" w:space="0" w:color="auto"/>
          </w:divBdr>
          <w:divsChild>
            <w:div w:id="1756780329">
              <w:marLeft w:val="0"/>
              <w:marRight w:val="0"/>
              <w:marTop w:val="0"/>
              <w:marBottom w:val="0"/>
              <w:divBdr>
                <w:top w:val="none" w:sz="0" w:space="0" w:color="auto"/>
                <w:left w:val="none" w:sz="0" w:space="0" w:color="auto"/>
                <w:bottom w:val="none" w:sz="0" w:space="0" w:color="auto"/>
                <w:right w:val="none" w:sz="0" w:space="0" w:color="auto"/>
              </w:divBdr>
              <w:divsChild>
                <w:div w:id="27998622">
                  <w:marLeft w:val="0"/>
                  <w:marRight w:val="0"/>
                  <w:marTop w:val="0"/>
                  <w:marBottom w:val="0"/>
                  <w:divBdr>
                    <w:top w:val="none" w:sz="0" w:space="0" w:color="auto"/>
                    <w:left w:val="none" w:sz="0" w:space="0" w:color="auto"/>
                    <w:bottom w:val="none" w:sz="0" w:space="0" w:color="auto"/>
                    <w:right w:val="none" w:sz="0" w:space="0" w:color="auto"/>
                  </w:divBdr>
                  <w:divsChild>
                    <w:div w:id="2028484648">
                      <w:marLeft w:val="0"/>
                      <w:marRight w:val="0"/>
                      <w:marTop w:val="0"/>
                      <w:marBottom w:val="0"/>
                      <w:divBdr>
                        <w:top w:val="none" w:sz="0" w:space="0" w:color="auto"/>
                        <w:left w:val="none" w:sz="0" w:space="0" w:color="auto"/>
                        <w:bottom w:val="none" w:sz="0" w:space="0" w:color="auto"/>
                        <w:right w:val="none" w:sz="0" w:space="0" w:color="auto"/>
                      </w:divBdr>
                      <w:divsChild>
                        <w:div w:id="32343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3827370">
      <w:bodyDiv w:val="1"/>
      <w:marLeft w:val="0"/>
      <w:marRight w:val="0"/>
      <w:marTop w:val="0"/>
      <w:marBottom w:val="0"/>
      <w:divBdr>
        <w:top w:val="none" w:sz="0" w:space="0" w:color="auto"/>
        <w:left w:val="none" w:sz="0" w:space="0" w:color="auto"/>
        <w:bottom w:val="none" w:sz="0" w:space="0" w:color="auto"/>
        <w:right w:val="none" w:sz="0" w:space="0" w:color="auto"/>
      </w:divBdr>
    </w:div>
    <w:div w:id="1655596555">
      <w:bodyDiv w:val="1"/>
      <w:marLeft w:val="0"/>
      <w:marRight w:val="0"/>
      <w:marTop w:val="0"/>
      <w:marBottom w:val="0"/>
      <w:divBdr>
        <w:top w:val="none" w:sz="0" w:space="0" w:color="auto"/>
        <w:left w:val="none" w:sz="0" w:space="0" w:color="auto"/>
        <w:bottom w:val="none" w:sz="0" w:space="0" w:color="auto"/>
        <w:right w:val="none" w:sz="0" w:space="0" w:color="auto"/>
      </w:divBdr>
    </w:div>
    <w:div w:id="1656908474">
      <w:bodyDiv w:val="1"/>
      <w:marLeft w:val="0"/>
      <w:marRight w:val="0"/>
      <w:marTop w:val="0"/>
      <w:marBottom w:val="0"/>
      <w:divBdr>
        <w:top w:val="none" w:sz="0" w:space="0" w:color="auto"/>
        <w:left w:val="none" w:sz="0" w:space="0" w:color="auto"/>
        <w:bottom w:val="none" w:sz="0" w:space="0" w:color="auto"/>
        <w:right w:val="none" w:sz="0" w:space="0" w:color="auto"/>
      </w:divBdr>
    </w:div>
    <w:div w:id="1696496561">
      <w:bodyDiv w:val="1"/>
      <w:marLeft w:val="0"/>
      <w:marRight w:val="0"/>
      <w:marTop w:val="0"/>
      <w:marBottom w:val="0"/>
      <w:divBdr>
        <w:top w:val="none" w:sz="0" w:space="0" w:color="auto"/>
        <w:left w:val="none" w:sz="0" w:space="0" w:color="auto"/>
        <w:bottom w:val="none" w:sz="0" w:space="0" w:color="auto"/>
        <w:right w:val="none" w:sz="0" w:space="0" w:color="auto"/>
      </w:divBdr>
    </w:div>
    <w:div w:id="1726098060">
      <w:bodyDiv w:val="1"/>
      <w:marLeft w:val="0"/>
      <w:marRight w:val="0"/>
      <w:marTop w:val="0"/>
      <w:marBottom w:val="0"/>
      <w:divBdr>
        <w:top w:val="none" w:sz="0" w:space="0" w:color="auto"/>
        <w:left w:val="none" w:sz="0" w:space="0" w:color="auto"/>
        <w:bottom w:val="none" w:sz="0" w:space="0" w:color="auto"/>
        <w:right w:val="none" w:sz="0" w:space="0" w:color="auto"/>
      </w:divBdr>
    </w:div>
    <w:div w:id="1726905651">
      <w:bodyDiv w:val="1"/>
      <w:marLeft w:val="0"/>
      <w:marRight w:val="0"/>
      <w:marTop w:val="0"/>
      <w:marBottom w:val="0"/>
      <w:divBdr>
        <w:top w:val="none" w:sz="0" w:space="0" w:color="auto"/>
        <w:left w:val="none" w:sz="0" w:space="0" w:color="auto"/>
        <w:bottom w:val="none" w:sz="0" w:space="0" w:color="auto"/>
        <w:right w:val="none" w:sz="0" w:space="0" w:color="auto"/>
      </w:divBdr>
    </w:div>
    <w:div w:id="1745644185">
      <w:bodyDiv w:val="1"/>
      <w:marLeft w:val="0"/>
      <w:marRight w:val="0"/>
      <w:marTop w:val="0"/>
      <w:marBottom w:val="0"/>
      <w:divBdr>
        <w:top w:val="none" w:sz="0" w:space="0" w:color="auto"/>
        <w:left w:val="none" w:sz="0" w:space="0" w:color="auto"/>
        <w:bottom w:val="none" w:sz="0" w:space="0" w:color="auto"/>
        <w:right w:val="none" w:sz="0" w:space="0" w:color="auto"/>
      </w:divBdr>
    </w:div>
    <w:div w:id="1788625660">
      <w:bodyDiv w:val="1"/>
      <w:marLeft w:val="0"/>
      <w:marRight w:val="0"/>
      <w:marTop w:val="0"/>
      <w:marBottom w:val="0"/>
      <w:divBdr>
        <w:top w:val="none" w:sz="0" w:space="0" w:color="auto"/>
        <w:left w:val="none" w:sz="0" w:space="0" w:color="auto"/>
        <w:bottom w:val="none" w:sz="0" w:space="0" w:color="auto"/>
        <w:right w:val="none" w:sz="0" w:space="0" w:color="auto"/>
      </w:divBdr>
    </w:div>
    <w:div w:id="1838154861">
      <w:bodyDiv w:val="1"/>
      <w:marLeft w:val="0"/>
      <w:marRight w:val="0"/>
      <w:marTop w:val="0"/>
      <w:marBottom w:val="0"/>
      <w:divBdr>
        <w:top w:val="none" w:sz="0" w:space="0" w:color="auto"/>
        <w:left w:val="none" w:sz="0" w:space="0" w:color="auto"/>
        <w:bottom w:val="none" w:sz="0" w:space="0" w:color="auto"/>
        <w:right w:val="none" w:sz="0" w:space="0" w:color="auto"/>
      </w:divBdr>
      <w:divsChild>
        <w:div w:id="907227426">
          <w:marLeft w:val="0"/>
          <w:marRight w:val="0"/>
          <w:marTop w:val="0"/>
          <w:marBottom w:val="0"/>
          <w:divBdr>
            <w:top w:val="single" w:sz="2" w:space="0" w:color="auto"/>
            <w:left w:val="single" w:sz="2" w:space="0" w:color="auto"/>
            <w:bottom w:val="single" w:sz="2" w:space="0" w:color="auto"/>
            <w:right w:val="single" w:sz="2" w:space="0" w:color="auto"/>
          </w:divBdr>
          <w:divsChild>
            <w:div w:id="979335962">
              <w:marLeft w:val="0"/>
              <w:marRight w:val="0"/>
              <w:marTop w:val="0"/>
              <w:marBottom w:val="0"/>
              <w:divBdr>
                <w:top w:val="single" w:sz="2" w:space="0" w:color="auto"/>
                <w:left w:val="single" w:sz="2" w:space="0" w:color="auto"/>
                <w:bottom w:val="single" w:sz="2" w:space="0" w:color="auto"/>
                <w:right w:val="single" w:sz="2" w:space="0" w:color="auto"/>
              </w:divBdr>
              <w:divsChild>
                <w:div w:id="552469199">
                  <w:marLeft w:val="0"/>
                  <w:marRight w:val="0"/>
                  <w:marTop w:val="0"/>
                  <w:marBottom w:val="0"/>
                  <w:divBdr>
                    <w:top w:val="single" w:sz="2" w:space="0" w:color="auto"/>
                    <w:left w:val="single" w:sz="2" w:space="0" w:color="auto"/>
                    <w:bottom w:val="single" w:sz="2" w:space="0" w:color="auto"/>
                    <w:right w:val="single" w:sz="2" w:space="0" w:color="auto"/>
                  </w:divBdr>
                  <w:divsChild>
                    <w:div w:id="1808545440">
                      <w:marLeft w:val="0"/>
                      <w:marRight w:val="0"/>
                      <w:marTop w:val="0"/>
                      <w:marBottom w:val="0"/>
                      <w:divBdr>
                        <w:top w:val="single" w:sz="2" w:space="0" w:color="auto"/>
                        <w:left w:val="single" w:sz="2" w:space="0" w:color="auto"/>
                        <w:bottom w:val="single" w:sz="2" w:space="0" w:color="auto"/>
                        <w:right w:val="single" w:sz="2" w:space="0" w:color="auto"/>
                      </w:divBdr>
                      <w:divsChild>
                        <w:div w:id="3780185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2332713">
      <w:bodyDiv w:val="1"/>
      <w:marLeft w:val="0"/>
      <w:marRight w:val="0"/>
      <w:marTop w:val="0"/>
      <w:marBottom w:val="0"/>
      <w:divBdr>
        <w:top w:val="none" w:sz="0" w:space="0" w:color="auto"/>
        <w:left w:val="none" w:sz="0" w:space="0" w:color="auto"/>
        <w:bottom w:val="none" w:sz="0" w:space="0" w:color="auto"/>
        <w:right w:val="none" w:sz="0" w:space="0" w:color="auto"/>
      </w:divBdr>
    </w:div>
    <w:div w:id="1896620399">
      <w:bodyDiv w:val="1"/>
      <w:marLeft w:val="0"/>
      <w:marRight w:val="0"/>
      <w:marTop w:val="0"/>
      <w:marBottom w:val="0"/>
      <w:divBdr>
        <w:top w:val="none" w:sz="0" w:space="0" w:color="auto"/>
        <w:left w:val="none" w:sz="0" w:space="0" w:color="auto"/>
        <w:bottom w:val="none" w:sz="0" w:space="0" w:color="auto"/>
        <w:right w:val="none" w:sz="0" w:space="0" w:color="auto"/>
      </w:divBdr>
      <w:divsChild>
        <w:div w:id="94635915">
          <w:marLeft w:val="480"/>
          <w:marRight w:val="0"/>
          <w:marTop w:val="0"/>
          <w:marBottom w:val="0"/>
          <w:divBdr>
            <w:top w:val="none" w:sz="0" w:space="0" w:color="auto"/>
            <w:left w:val="none" w:sz="0" w:space="0" w:color="auto"/>
            <w:bottom w:val="none" w:sz="0" w:space="0" w:color="auto"/>
            <w:right w:val="none" w:sz="0" w:space="0" w:color="auto"/>
          </w:divBdr>
          <w:divsChild>
            <w:div w:id="38699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692491">
      <w:bodyDiv w:val="1"/>
      <w:marLeft w:val="0"/>
      <w:marRight w:val="0"/>
      <w:marTop w:val="0"/>
      <w:marBottom w:val="0"/>
      <w:divBdr>
        <w:top w:val="none" w:sz="0" w:space="0" w:color="auto"/>
        <w:left w:val="none" w:sz="0" w:space="0" w:color="auto"/>
        <w:bottom w:val="none" w:sz="0" w:space="0" w:color="auto"/>
        <w:right w:val="none" w:sz="0" w:space="0" w:color="auto"/>
      </w:divBdr>
      <w:divsChild>
        <w:div w:id="1266763357">
          <w:marLeft w:val="0"/>
          <w:marRight w:val="0"/>
          <w:marTop w:val="0"/>
          <w:marBottom w:val="0"/>
          <w:divBdr>
            <w:top w:val="none" w:sz="0" w:space="0" w:color="auto"/>
            <w:left w:val="none" w:sz="0" w:space="0" w:color="auto"/>
            <w:bottom w:val="none" w:sz="0" w:space="0" w:color="auto"/>
            <w:right w:val="none" w:sz="0" w:space="0" w:color="auto"/>
          </w:divBdr>
          <w:divsChild>
            <w:div w:id="760296297">
              <w:marLeft w:val="0"/>
              <w:marRight w:val="0"/>
              <w:marTop w:val="0"/>
              <w:marBottom w:val="0"/>
              <w:divBdr>
                <w:top w:val="none" w:sz="0" w:space="0" w:color="auto"/>
                <w:left w:val="none" w:sz="0" w:space="0" w:color="auto"/>
                <w:bottom w:val="none" w:sz="0" w:space="0" w:color="auto"/>
                <w:right w:val="none" w:sz="0" w:space="0" w:color="auto"/>
              </w:divBdr>
              <w:divsChild>
                <w:div w:id="101634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989672">
      <w:bodyDiv w:val="1"/>
      <w:marLeft w:val="0"/>
      <w:marRight w:val="0"/>
      <w:marTop w:val="0"/>
      <w:marBottom w:val="0"/>
      <w:divBdr>
        <w:top w:val="none" w:sz="0" w:space="0" w:color="auto"/>
        <w:left w:val="none" w:sz="0" w:space="0" w:color="auto"/>
        <w:bottom w:val="none" w:sz="0" w:space="0" w:color="auto"/>
        <w:right w:val="none" w:sz="0" w:space="0" w:color="auto"/>
      </w:divBdr>
    </w:div>
    <w:div w:id="1948350150">
      <w:bodyDiv w:val="1"/>
      <w:marLeft w:val="0"/>
      <w:marRight w:val="0"/>
      <w:marTop w:val="0"/>
      <w:marBottom w:val="0"/>
      <w:divBdr>
        <w:top w:val="none" w:sz="0" w:space="0" w:color="auto"/>
        <w:left w:val="none" w:sz="0" w:space="0" w:color="auto"/>
        <w:bottom w:val="none" w:sz="0" w:space="0" w:color="auto"/>
        <w:right w:val="none" w:sz="0" w:space="0" w:color="auto"/>
      </w:divBdr>
      <w:divsChild>
        <w:div w:id="508761599">
          <w:marLeft w:val="0"/>
          <w:marRight w:val="0"/>
          <w:marTop w:val="0"/>
          <w:marBottom w:val="0"/>
          <w:divBdr>
            <w:top w:val="none" w:sz="0" w:space="0" w:color="auto"/>
            <w:left w:val="none" w:sz="0" w:space="0" w:color="auto"/>
            <w:bottom w:val="none" w:sz="0" w:space="0" w:color="auto"/>
            <w:right w:val="none" w:sz="0" w:space="0" w:color="auto"/>
          </w:divBdr>
          <w:divsChild>
            <w:div w:id="1737162956">
              <w:marLeft w:val="0"/>
              <w:marRight w:val="0"/>
              <w:marTop w:val="0"/>
              <w:marBottom w:val="0"/>
              <w:divBdr>
                <w:top w:val="none" w:sz="0" w:space="0" w:color="auto"/>
                <w:left w:val="none" w:sz="0" w:space="0" w:color="auto"/>
                <w:bottom w:val="none" w:sz="0" w:space="0" w:color="auto"/>
                <w:right w:val="none" w:sz="0" w:space="0" w:color="auto"/>
              </w:divBdr>
              <w:divsChild>
                <w:div w:id="204813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231091">
      <w:bodyDiv w:val="1"/>
      <w:marLeft w:val="0"/>
      <w:marRight w:val="0"/>
      <w:marTop w:val="0"/>
      <w:marBottom w:val="0"/>
      <w:divBdr>
        <w:top w:val="none" w:sz="0" w:space="0" w:color="auto"/>
        <w:left w:val="none" w:sz="0" w:space="0" w:color="auto"/>
        <w:bottom w:val="none" w:sz="0" w:space="0" w:color="auto"/>
        <w:right w:val="none" w:sz="0" w:space="0" w:color="auto"/>
      </w:divBdr>
      <w:divsChild>
        <w:div w:id="684333598">
          <w:marLeft w:val="480"/>
          <w:marRight w:val="0"/>
          <w:marTop w:val="0"/>
          <w:marBottom w:val="0"/>
          <w:divBdr>
            <w:top w:val="none" w:sz="0" w:space="0" w:color="auto"/>
            <w:left w:val="none" w:sz="0" w:space="0" w:color="auto"/>
            <w:bottom w:val="none" w:sz="0" w:space="0" w:color="auto"/>
            <w:right w:val="none" w:sz="0" w:space="0" w:color="auto"/>
          </w:divBdr>
          <w:divsChild>
            <w:div w:id="985013735">
              <w:marLeft w:val="0"/>
              <w:marRight w:val="0"/>
              <w:marTop w:val="0"/>
              <w:marBottom w:val="240"/>
              <w:divBdr>
                <w:top w:val="none" w:sz="0" w:space="0" w:color="auto"/>
                <w:left w:val="none" w:sz="0" w:space="0" w:color="auto"/>
                <w:bottom w:val="none" w:sz="0" w:space="0" w:color="auto"/>
                <w:right w:val="none" w:sz="0" w:space="0" w:color="auto"/>
              </w:divBdr>
            </w:div>
            <w:div w:id="1134981126">
              <w:marLeft w:val="0"/>
              <w:marRight w:val="0"/>
              <w:marTop w:val="0"/>
              <w:marBottom w:val="240"/>
              <w:divBdr>
                <w:top w:val="none" w:sz="0" w:space="0" w:color="auto"/>
                <w:left w:val="none" w:sz="0" w:space="0" w:color="auto"/>
                <w:bottom w:val="none" w:sz="0" w:space="0" w:color="auto"/>
                <w:right w:val="none" w:sz="0" w:space="0" w:color="auto"/>
              </w:divBdr>
            </w:div>
            <w:div w:id="1372926026">
              <w:marLeft w:val="0"/>
              <w:marRight w:val="0"/>
              <w:marTop w:val="0"/>
              <w:marBottom w:val="240"/>
              <w:divBdr>
                <w:top w:val="none" w:sz="0" w:space="0" w:color="auto"/>
                <w:left w:val="none" w:sz="0" w:space="0" w:color="auto"/>
                <w:bottom w:val="none" w:sz="0" w:space="0" w:color="auto"/>
                <w:right w:val="none" w:sz="0" w:space="0" w:color="auto"/>
              </w:divBdr>
            </w:div>
            <w:div w:id="709652434">
              <w:marLeft w:val="0"/>
              <w:marRight w:val="0"/>
              <w:marTop w:val="0"/>
              <w:marBottom w:val="240"/>
              <w:divBdr>
                <w:top w:val="none" w:sz="0" w:space="0" w:color="auto"/>
                <w:left w:val="none" w:sz="0" w:space="0" w:color="auto"/>
                <w:bottom w:val="none" w:sz="0" w:space="0" w:color="auto"/>
                <w:right w:val="none" w:sz="0" w:space="0" w:color="auto"/>
              </w:divBdr>
            </w:div>
            <w:div w:id="58670693">
              <w:marLeft w:val="0"/>
              <w:marRight w:val="0"/>
              <w:marTop w:val="0"/>
              <w:marBottom w:val="240"/>
              <w:divBdr>
                <w:top w:val="none" w:sz="0" w:space="0" w:color="auto"/>
                <w:left w:val="none" w:sz="0" w:space="0" w:color="auto"/>
                <w:bottom w:val="none" w:sz="0" w:space="0" w:color="auto"/>
                <w:right w:val="none" w:sz="0" w:space="0" w:color="auto"/>
              </w:divBdr>
            </w:div>
            <w:div w:id="1116874433">
              <w:marLeft w:val="0"/>
              <w:marRight w:val="0"/>
              <w:marTop w:val="0"/>
              <w:marBottom w:val="240"/>
              <w:divBdr>
                <w:top w:val="none" w:sz="0" w:space="0" w:color="auto"/>
                <w:left w:val="none" w:sz="0" w:space="0" w:color="auto"/>
                <w:bottom w:val="none" w:sz="0" w:space="0" w:color="auto"/>
                <w:right w:val="none" w:sz="0" w:space="0" w:color="auto"/>
              </w:divBdr>
            </w:div>
            <w:div w:id="1008630442">
              <w:marLeft w:val="0"/>
              <w:marRight w:val="0"/>
              <w:marTop w:val="0"/>
              <w:marBottom w:val="240"/>
              <w:divBdr>
                <w:top w:val="none" w:sz="0" w:space="0" w:color="auto"/>
                <w:left w:val="none" w:sz="0" w:space="0" w:color="auto"/>
                <w:bottom w:val="none" w:sz="0" w:space="0" w:color="auto"/>
                <w:right w:val="none" w:sz="0" w:space="0" w:color="auto"/>
              </w:divBdr>
            </w:div>
            <w:div w:id="2135249132">
              <w:marLeft w:val="0"/>
              <w:marRight w:val="0"/>
              <w:marTop w:val="0"/>
              <w:marBottom w:val="240"/>
              <w:divBdr>
                <w:top w:val="none" w:sz="0" w:space="0" w:color="auto"/>
                <w:left w:val="none" w:sz="0" w:space="0" w:color="auto"/>
                <w:bottom w:val="none" w:sz="0" w:space="0" w:color="auto"/>
                <w:right w:val="none" w:sz="0" w:space="0" w:color="auto"/>
              </w:divBdr>
            </w:div>
            <w:div w:id="381949150">
              <w:marLeft w:val="0"/>
              <w:marRight w:val="0"/>
              <w:marTop w:val="0"/>
              <w:marBottom w:val="240"/>
              <w:divBdr>
                <w:top w:val="none" w:sz="0" w:space="0" w:color="auto"/>
                <w:left w:val="none" w:sz="0" w:space="0" w:color="auto"/>
                <w:bottom w:val="none" w:sz="0" w:space="0" w:color="auto"/>
                <w:right w:val="none" w:sz="0" w:space="0" w:color="auto"/>
              </w:divBdr>
            </w:div>
            <w:div w:id="108747199">
              <w:marLeft w:val="0"/>
              <w:marRight w:val="0"/>
              <w:marTop w:val="0"/>
              <w:marBottom w:val="240"/>
              <w:divBdr>
                <w:top w:val="none" w:sz="0" w:space="0" w:color="auto"/>
                <w:left w:val="none" w:sz="0" w:space="0" w:color="auto"/>
                <w:bottom w:val="none" w:sz="0" w:space="0" w:color="auto"/>
                <w:right w:val="none" w:sz="0" w:space="0" w:color="auto"/>
              </w:divBdr>
            </w:div>
            <w:div w:id="598491700">
              <w:marLeft w:val="0"/>
              <w:marRight w:val="0"/>
              <w:marTop w:val="0"/>
              <w:marBottom w:val="240"/>
              <w:divBdr>
                <w:top w:val="none" w:sz="0" w:space="0" w:color="auto"/>
                <w:left w:val="none" w:sz="0" w:space="0" w:color="auto"/>
                <w:bottom w:val="none" w:sz="0" w:space="0" w:color="auto"/>
                <w:right w:val="none" w:sz="0" w:space="0" w:color="auto"/>
              </w:divBdr>
            </w:div>
            <w:div w:id="1501772611">
              <w:marLeft w:val="0"/>
              <w:marRight w:val="0"/>
              <w:marTop w:val="0"/>
              <w:marBottom w:val="240"/>
              <w:divBdr>
                <w:top w:val="none" w:sz="0" w:space="0" w:color="auto"/>
                <w:left w:val="none" w:sz="0" w:space="0" w:color="auto"/>
                <w:bottom w:val="none" w:sz="0" w:space="0" w:color="auto"/>
                <w:right w:val="none" w:sz="0" w:space="0" w:color="auto"/>
              </w:divBdr>
            </w:div>
            <w:div w:id="489178035">
              <w:marLeft w:val="0"/>
              <w:marRight w:val="0"/>
              <w:marTop w:val="0"/>
              <w:marBottom w:val="240"/>
              <w:divBdr>
                <w:top w:val="none" w:sz="0" w:space="0" w:color="auto"/>
                <w:left w:val="none" w:sz="0" w:space="0" w:color="auto"/>
                <w:bottom w:val="none" w:sz="0" w:space="0" w:color="auto"/>
                <w:right w:val="none" w:sz="0" w:space="0" w:color="auto"/>
              </w:divBdr>
            </w:div>
            <w:div w:id="1312980660">
              <w:marLeft w:val="0"/>
              <w:marRight w:val="0"/>
              <w:marTop w:val="0"/>
              <w:marBottom w:val="240"/>
              <w:divBdr>
                <w:top w:val="none" w:sz="0" w:space="0" w:color="auto"/>
                <w:left w:val="none" w:sz="0" w:space="0" w:color="auto"/>
                <w:bottom w:val="none" w:sz="0" w:space="0" w:color="auto"/>
                <w:right w:val="none" w:sz="0" w:space="0" w:color="auto"/>
              </w:divBdr>
            </w:div>
            <w:div w:id="1934822082">
              <w:marLeft w:val="0"/>
              <w:marRight w:val="0"/>
              <w:marTop w:val="0"/>
              <w:marBottom w:val="240"/>
              <w:divBdr>
                <w:top w:val="none" w:sz="0" w:space="0" w:color="auto"/>
                <w:left w:val="none" w:sz="0" w:space="0" w:color="auto"/>
                <w:bottom w:val="none" w:sz="0" w:space="0" w:color="auto"/>
                <w:right w:val="none" w:sz="0" w:space="0" w:color="auto"/>
              </w:divBdr>
            </w:div>
            <w:div w:id="837773369">
              <w:marLeft w:val="0"/>
              <w:marRight w:val="0"/>
              <w:marTop w:val="0"/>
              <w:marBottom w:val="240"/>
              <w:divBdr>
                <w:top w:val="none" w:sz="0" w:space="0" w:color="auto"/>
                <w:left w:val="none" w:sz="0" w:space="0" w:color="auto"/>
                <w:bottom w:val="none" w:sz="0" w:space="0" w:color="auto"/>
                <w:right w:val="none" w:sz="0" w:space="0" w:color="auto"/>
              </w:divBdr>
            </w:div>
            <w:div w:id="2081517278">
              <w:marLeft w:val="0"/>
              <w:marRight w:val="0"/>
              <w:marTop w:val="0"/>
              <w:marBottom w:val="240"/>
              <w:divBdr>
                <w:top w:val="none" w:sz="0" w:space="0" w:color="auto"/>
                <w:left w:val="none" w:sz="0" w:space="0" w:color="auto"/>
                <w:bottom w:val="none" w:sz="0" w:space="0" w:color="auto"/>
                <w:right w:val="none" w:sz="0" w:space="0" w:color="auto"/>
              </w:divBdr>
            </w:div>
            <w:div w:id="1507745055">
              <w:marLeft w:val="0"/>
              <w:marRight w:val="0"/>
              <w:marTop w:val="0"/>
              <w:marBottom w:val="240"/>
              <w:divBdr>
                <w:top w:val="none" w:sz="0" w:space="0" w:color="auto"/>
                <w:left w:val="none" w:sz="0" w:space="0" w:color="auto"/>
                <w:bottom w:val="none" w:sz="0" w:space="0" w:color="auto"/>
                <w:right w:val="none" w:sz="0" w:space="0" w:color="auto"/>
              </w:divBdr>
            </w:div>
            <w:div w:id="418453829">
              <w:marLeft w:val="0"/>
              <w:marRight w:val="0"/>
              <w:marTop w:val="0"/>
              <w:marBottom w:val="240"/>
              <w:divBdr>
                <w:top w:val="none" w:sz="0" w:space="0" w:color="auto"/>
                <w:left w:val="none" w:sz="0" w:space="0" w:color="auto"/>
                <w:bottom w:val="none" w:sz="0" w:space="0" w:color="auto"/>
                <w:right w:val="none" w:sz="0" w:space="0" w:color="auto"/>
              </w:divBdr>
            </w:div>
            <w:div w:id="1913469409">
              <w:marLeft w:val="0"/>
              <w:marRight w:val="0"/>
              <w:marTop w:val="0"/>
              <w:marBottom w:val="240"/>
              <w:divBdr>
                <w:top w:val="none" w:sz="0" w:space="0" w:color="auto"/>
                <w:left w:val="none" w:sz="0" w:space="0" w:color="auto"/>
                <w:bottom w:val="none" w:sz="0" w:space="0" w:color="auto"/>
                <w:right w:val="none" w:sz="0" w:space="0" w:color="auto"/>
              </w:divBdr>
            </w:div>
            <w:div w:id="166989145">
              <w:marLeft w:val="0"/>
              <w:marRight w:val="0"/>
              <w:marTop w:val="0"/>
              <w:marBottom w:val="240"/>
              <w:divBdr>
                <w:top w:val="none" w:sz="0" w:space="0" w:color="auto"/>
                <w:left w:val="none" w:sz="0" w:space="0" w:color="auto"/>
                <w:bottom w:val="none" w:sz="0" w:space="0" w:color="auto"/>
                <w:right w:val="none" w:sz="0" w:space="0" w:color="auto"/>
              </w:divBdr>
            </w:div>
            <w:div w:id="628819585">
              <w:marLeft w:val="0"/>
              <w:marRight w:val="0"/>
              <w:marTop w:val="0"/>
              <w:marBottom w:val="240"/>
              <w:divBdr>
                <w:top w:val="none" w:sz="0" w:space="0" w:color="auto"/>
                <w:left w:val="none" w:sz="0" w:space="0" w:color="auto"/>
                <w:bottom w:val="none" w:sz="0" w:space="0" w:color="auto"/>
                <w:right w:val="none" w:sz="0" w:space="0" w:color="auto"/>
              </w:divBdr>
            </w:div>
            <w:div w:id="313608899">
              <w:marLeft w:val="0"/>
              <w:marRight w:val="0"/>
              <w:marTop w:val="0"/>
              <w:marBottom w:val="240"/>
              <w:divBdr>
                <w:top w:val="none" w:sz="0" w:space="0" w:color="auto"/>
                <w:left w:val="none" w:sz="0" w:space="0" w:color="auto"/>
                <w:bottom w:val="none" w:sz="0" w:space="0" w:color="auto"/>
                <w:right w:val="none" w:sz="0" w:space="0" w:color="auto"/>
              </w:divBdr>
            </w:div>
            <w:div w:id="1054818318">
              <w:marLeft w:val="0"/>
              <w:marRight w:val="0"/>
              <w:marTop w:val="0"/>
              <w:marBottom w:val="240"/>
              <w:divBdr>
                <w:top w:val="none" w:sz="0" w:space="0" w:color="auto"/>
                <w:left w:val="none" w:sz="0" w:space="0" w:color="auto"/>
                <w:bottom w:val="none" w:sz="0" w:space="0" w:color="auto"/>
                <w:right w:val="none" w:sz="0" w:space="0" w:color="auto"/>
              </w:divBdr>
            </w:div>
            <w:div w:id="2083797491">
              <w:marLeft w:val="0"/>
              <w:marRight w:val="0"/>
              <w:marTop w:val="0"/>
              <w:marBottom w:val="240"/>
              <w:divBdr>
                <w:top w:val="none" w:sz="0" w:space="0" w:color="auto"/>
                <w:left w:val="none" w:sz="0" w:space="0" w:color="auto"/>
                <w:bottom w:val="none" w:sz="0" w:space="0" w:color="auto"/>
                <w:right w:val="none" w:sz="0" w:space="0" w:color="auto"/>
              </w:divBdr>
            </w:div>
            <w:div w:id="941765932">
              <w:marLeft w:val="0"/>
              <w:marRight w:val="0"/>
              <w:marTop w:val="0"/>
              <w:marBottom w:val="240"/>
              <w:divBdr>
                <w:top w:val="none" w:sz="0" w:space="0" w:color="auto"/>
                <w:left w:val="none" w:sz="0" w:space="0" w:color="auto"/>
                <w:bottom w:val="none" w:sz="0" w:space="0" w:color="auto"/>
                <w:right w:val="none" w:sz="0" w:space="0" w:color="auto"/>
              </w:divBdr>
            </w:div>
            <w:div w:id="2103062713">
              <w:marLeft w:val="0"/>
              <w:marRight w:val="0"/>
              <w:marTop w:val="0"/>
              <w:marBottom w:val="240"/>
              <w:divBdr>
                <w:top w:val="none" w:sz="0" w:space="0" w:color="auto"/>
                <w:left w:val="none" w:sz="0" w:space="0" w:color="auto"/>
                <w:bottom w:val="none" w:sz="0" w:space="0" w:color="auto"/>
                <w:right w:val="none" w:sz="0" w:space="0" w:color="auto"/>
              </w:divBdr>
            </w:div>
            <w:div w:id="1277373882">
              <w:marLeft w:val="0"/>
              <w:marRight w:val="0"/>
              <w:marTop w:val="0"/>
              <w:marBottom w:val="240"/>
              <w:divBdr>
                <w:top w:val="none" w:sz="0" w:space="0" w:color="auto"/>
                <w:left w:val="none" w:sz="0" w:space="0" w:color="auto"/>
                <w:bottom w:val="none" w:sz="0" w:space="0" w:color="auto"/>
                <w:right w:val="none" w:sz="0" w:space="0" w:color="auto"/>
              </w:divBdr>
            </w:div>
            <w:div w:id="1250117245">
              <w:marLeft w:val="0"/>
              <w:marRight w:val="0"/>
              <w:marTop w:val="0"/>
              <w:marBottom w:val="240"/>
              <w:divBdr>
                <w:top w:val="none" w:sz="0" w:space="0" w:color="auto"/>
                <w:left w:val="none" w:sz="0" w:space="0" w:color="auto"/>
                <w:bottom w:val="none" w:sz="0" w:space="0" w:color="auto"/>
                <w:right w:val="none" w:sz="0" w:space="0" w:color="auto"/>
              </w:divBdr>
            </w:div>
            <w:div w:id="885485725">
              <w:marLeft w:val="0"/>
              <w:marRight w:val="0"/>
              <w:marTop w:val="0"/>
              <w:marBottom w:val="240"/>
              <w:divBdr>
                <w:top w:val="none" w:sz="0" w:space="0" w:color="auto"/>
                <w:left w:val="none" w:sz="0" w:space="0" w:color="auto"/>
                <w:bottom w:val="none" w:sz="0" w:space="0" w:color="auto"/>
                <w:right w:val="none" w:sz="0" w:space="0" w:color="auto"/>
              </w:divBdr>
            </w:div>
            <w:div w:id="1748572633">
              <w:marLeft w:val="0"/>
              <w:marRight w:val="0"/>
              <w:marTop w:val="0"/>
              <w:marBottom w:val="240"/>
              <w:divBdr>
                <w:top w:val="none" w:sz="0" w:space="0" w:color="auto"/>
                <w:left w:val="none" w:sz="0" w:space="0" w:color="auto"/>
                <w:bottom w:val="none" w:sz="0" w:space="0" w:color="auto"/>
                <w:right w:val="none" w:sz="0" w:space="0" w:color="auto"/>
              </w:divBdr>
            </w:div>
            <w:div w:id="671028477">
              <w:marLeft w:val="0"/>
              <w:marRight w:val="0"/>
              <w:marTop w:val="0"/>
              <w:marBottom w:val="240"/>
              <w:divBdr>
                <w:top w:val="none" w:sz="0" w:space="0" w:color="auto"/>
                <w:left w:val="none" w:sz="0" w:space="0" w:color="auto"/>
                <w:bottom w:val="none" w:sz="0" w:space="0" w:color="auto"/>
                <w:right w:val="none" w:sz="0" w:space="0" w:color="auto"/>
              </w:divBdr>
            </w:div>
            <w:div w:id="1193879744">
              <w:marLeft w:val="0"/>
              <w:marRight w:val="0"/>
              <w:marTop w:val="0"/>
              <w:marBottom w:val="240"/>
              <w:divBdr>
                <w:top w:val="none" w:sz="0" w:space="0" w:color="auto"/>
                <w:left w:val="none" w:sz="0" w:space="0" w:color="auto"/>
                <w:bottom w:val="none" w:sz="0" w:space="0" w:color="auto"/>
                <w:right w:val="none" w:sz="0" w:space="0" w:color="auto"/>
              </w:divBdr>
            </w:div>
            <w:div w:id="1810169896">
              <w:marLeft w:val="0"/>
              <w:marRight w:val="0"/>
              <w:marTop w:val="0"/>
              <w:marBottom w:val="240"/>
              <w:divBdr>
                <w:top w:val="none" w:sz="0" w:space="0" w:color="auto"/>
                <w:left w:val="none" w:sz="0" w:space="0" w:color="auto"/>
                <w:bottom w:val="none" w:sz="0" w:space="0" w:color="auto"/>
                <w:right w:val="none" w:sz="0" w:space="0" w:color="auto"/>
              </w:divBdr>
            </w:div>
            <w:div w:id="2009600973">
              <w:marLeft w:val="0"/>
              <w:marRight w:val="0"/>
              <w:marTop w:val="0"/>
              <w:marBottom w:val="240"/>
              <w:divBdr>
                <w:top w:val="none" w:sz="0" w:space="0" w:color="auto"/>
                <w:left w:val="none" w:sz="0" w:space="0" w:color="auto"/>
                <w:bottom w:val="none" w:sz="0" w:space="0" w:color="auto"/>
                <w:right w:val="none" w:sz="0" w:space="0" w:color="auto"/>
              </w:divBdr>
            </w:div>
            <w:div w:id="1008680661">
              <w:marLeft w:val="0"/>
              <w:marRight w:val="0"/>
              <w:marTop w:val="0"/>
              <w:marBottom w:val="240"/>
              <w:divBdr>
                <w:top w:val="none" w:sz="0" w:space="0" w:color="auto"/>
                <w:left w:val="none" w:sz="0" w:space="0" w:color="auto"/>
                <w:bottom w:val="none" w:sz="0" w:space="0" w:color="auto"/>
                <w:right w:val="none" w:sz="0" w:space="0" w:color="auto"/>
              </w:divBdr>
            </w:div>
            <w:div w:id="2135755864">
              <w:marLeft w:val="0"/>
              <w:marRight w:val="0"/>
              <w:marTop w:val="0"/>
              <w:marBottom w:val="240"/>
              <w:divBdr>
                <w:top w:val="none" w:sz="0" w:space="0" w:color="auto"/>
                <w:left w:val="none" w:sz="0" w:space="0" w:color="auto"/>
                <w:bottom w:val="none" w:sz="0" w:space="0" w:color="auto"/>
                <w:right w:val="none" w:sz="0" w:space="0" w:color="auto"/>
              </w:divBdr>
            </w:div>
            <w:div w:id="403256848">
              <w:marLeft w:val="0"/>
              <w:marRight w:val="0"/>
              <w:marTop w:val="0"/>
              <w:marBottom w:val="240"/>
              <w:divBdr>
                <w:top w:val="none" w:sz="0" w:space="0" w:color="auto"/>
                <w:left w:val="none" w:sz="0" w:space="0" w:color="auto"/>
                <w:bottom w:val="none" w:sz="0" w:space="0" w:color="auto"/>
                <w:right w:val="none" w:sz="0" w:space="0" w:color="auto"/>
              </w:divBdr>
            </w:div>
            <w:div w:id="416483780">
              <w:marLeft w:val="0"/>
              <w:marRight w:val="0"/>
              <w:marTop w:val="0"/>
              <w:marBottom w:val="240"/>
              <w:divBdr>
                <w:top w:val="none" w:sz="0" w:space="0" w:color="auto"/>
                <w:left w:val="none" w:sz="0" w:space="0" w:color="auto"/>
                <w:bottom w:val="none" w:sz="0" w:space="0" w:color="auto"/>
                <w:right w:val="none" w:sz="0" w:space="0" w:color="auto"/>
              </w:divBdr>
            </w:div>
            <w:div w:id="687367300">
              <w:marLeft w:val="0"/>
              <w:marRight w:val="0"/>
              <w:marTop w:val="0"/>
              <w:marBottom w:val="240"/>
              <w:divBdr>
                <w:top w:val="none" w:sz="0" w:space="0" w:color="auto"/>
                <w:left w:val="none" w:sz="0" w:space="0" w:color="auto"/>
                <w:bottom w:val="none" w:sz="0" w:space="0" w:color="auto"/>
                <w:right w:val="none" w:sz="0" w:space="0" w:color="auto"/>
              </w:divBdr>
            </w:div>
            <w:div w:id="1318337894">
              <w:marLeft w:val="0"/>
              <w:marRight w:val="0"/>
              <w:marTop w:val="0"/>
              <w:marBottom w:val="240"/>
              <w:divBdr>
                <w:top w:val="none" w:sz="0" w:space="0" w:color="auto"/>
                <w:left w:val="none" w:sz="0" w:space="0" w:color="auto"/>
                <w:bottom w:val="none" w:sz="0" w:space="0" w:color="auto"/>
                <w:right w:val="none" w:sz="0" w:space="0" w:color="auto"/>
              </w:divBdr>
            </w:div>
            <w:div w:id="126705917">
              <w:marLeft w:val="0"/>
              <w:marRight w:val="0"/>
              <w:marTop w:val="0"/>
              <w:marBottom w:val="240"/>
              <w:divBdr>
                <w:top w:val="none" w:sz="0" w:space="0" w:color="auto"/>
                <w:left w:val="none" w:sz="0" w:space="0" w:color="auto"/>
                <w:bottom w:val="none" w:sz="0" w:space="0" w:color="auto"/>
                <w:right w:val="none" w:sz="0" w:space="0" w:color="auto"/>
              </w:divBdr>
            </w:div>
            <w:div w:id="2061399497">
              <w:marLeft w:val="0"/>
              <w:marRight w:val="0"/>
              <w:marTop w:val="0"/>
              <w:marBottom w:val="240"/>
              <w:divBdr>
                <w:top w:val="none" w:sz="0" w:space="0" w:color="auto"/>
                <w:left w:val="none" w:sz="0" w:space="0" w:color="auto"/>
                <w:bottom w:val="none" w:sz="0" w:space="0" w:color="auto"/>
                <w:right w:val="none" w:sz="0" w:space="0" w:color="auto"/>
              </w:divBdr>
            </w:div>
            <w:div w:id="1420759467">
              <w:marLeft w:val="0"/>
              <w:marRight w:val="0"/>
              <w:marTop w:val="0"/>
              <w:marBottom w:val="240"/>
              <w:divBdr>
                <w:top w:val="none" w:sz="0" w:space="0" w:color="auto"/>
                <w:left w:val="none" w:sz="0" w:space="0" w:color="auto"/>
                <w:bottom w:val="none" w:sz="0" w:space="0" w:color="auto"/>
                <w:right w:val="none" w:sz="0" w:space="0" w:color="auto"/>
              </w:divBdr>
            </w:div>
            <w:div w:id="1712538877">
              <w:marLeft w:val="0"/>
              <w:marRight w:val="0"/>
              <w:marTop w:val="0"/>
              <w:marBottom w:val="240"/>
              <w:divBdr>
                <w:top w:val="none" w:sz="0" w:space="0" w:color="auto"/>
                <w:left w:val="none" w:sz="0" w:space="0" w:color="auto"/>
                <w:bottom w:val="none" w:sz="0" w:space="0" w:color="auto"/>
                <w:right w:val="none" w:sz="0" w:space="0" w:color="auto"/>
              </w:divBdr>
            </w:div>
            <w:div w:id="847134150">
              <w:marLeft w:val="0"/>
              <w:marRight w:val="0"/>
              <w:marTop w:val="0"/>
              <w:marBottom w:val="240"/>
              <w:divBdr>
                <w:top w:val="none" w:sz="0" w:space="0" w:color="auto"/>
                <w:left w:val="none" w:sz="0" w:space="0" w:color="auto"/>
                <w:bottom w:val="none" w:sz="0" w:space="0" w:color="auto"/>
                <w:right w:val="none" w:sz="0" w:space="0" w:color="auto"/>
              </w:divBdr>
            </w:div>
            <w:div w:id="1848791351">
              <w:marLeft w:val="0"/>
              <w:marRight w:val="0"/>
              <w:marTop w:val="0"/>
              <w:marBottom w:val="240"/>
              <w:divBdr>
                <w:top w:val="none" w:sz="0" w:space="0" w:color="auto"/>
                <w:left w:val="none" w:sz="0" w:space="0" w:color="auto"/>
                <w:bottom w:val="none" w:sz="0" w:space="0" w:color="auto"/>
                <w:right w:val="none" w:sz="0" w:space="0" w:color="auto"/>
              </w:divBdr>
            </w:div>
            <w:div w:id="1366901798">
              <w:marLeft w:val="0"/>
              <w:marRight w:val="0"/>
              <w:marTop w:val="0"/>
              <w:marBottom w:val="240"/>
              <w:divBdr>
                <w:top w:val="none" w:sz="0" w:space="0" w:color="auto"/>
                <w:left w:val="none" w:sz="0" w:space="0" w:color="auto"/>
                <w:bottom w:val="none" w:sz="0" w:space="0" w:color="auto"/>
                <w:right w:val="none" w:sz="0" w:space="0" w:color="auto"/>
              </w:divBdr>
            </w:div>
            <w:div w:id="333843858">
              <w:marLeft w:val="0"/>
              <w:marRight w:val="0"/>
              <w:marTop w:val="0"/>
              <w:marBottom w:val="240"/>
              <w:divBdr>
                <w:top w:val="none" w:sz="0" w:space="0" w:color="auto"/>
                <w:left w:val="none" w:sz="0" w:space="0" w:color="auto"/>
                <w:bottom w:val="none" w:sz="0" w:space="0" w:color="auto"/>
                <w:right w:val="none" w:sz="0" w:space="0" w:color="auto"/>
              </w:divBdr>
            </w:div>
            <w:div w:id="721750119">
              <w:marLeft w:val="0"/>
              <w:marRight w:val="0"/>
              <w:marTop w:val="0"/>
              <w:marBottom w:val="240"/>
              <w:divBdr>
                <w:top w:val="none" w:sz="0" w:space="0" w:color="auto"/>
                <w:left w:val="none" w:sz="0" w:space="0" w:color="auto"/>
                <w:bottom w:val="none" w:sz="0" w:space="0" w:color="auto"/>
                <w:right w:val="none" w:sz="0" w:space="0" w:color="auto"/>
              </w:divBdr>
            </w:div>
            <w:div w:id="1646816966">
              <w:marLeft w:val="0"/>
              <w:marRight w:val="0"/>
              <w:marTop w:val="0"/>
              <w:marBottom w:val="240"/>
              <w:divBdr>
                <w:top w:val="none" w:sz="0" w:space="0" w:color="auto"/>
                <w:left w:val="none" w:sz="0" w:space="0" w:color="auto"/>
                <w:bottom w:val="none" w:sz="0" w:space="0" w:color="auto"/>
                <w:right w:val="none" w:sz="0" w:space="0" w:color="auto"/>
              </w:divBdr>
            </w:div>
            <w:div w:id="1316644648">
              <w:marLeft w:val="0"/>
              <w:marRight w:val="0"/>
              <w:marTop w:val="0"/>
              <w:marBottom w:val="240"/>
              <w:divBdr>
                <w:top w:val="none" w:sz="0" w:space="0" w:color="auto"/>
                <w:left w:val="none" w:sz="0" w:space="0" w:color="auto"/>
                <w:bottom w:val="none" w:sz="0" w:space="0" w:color="auto"/>
                <w:right w:val="none" w:sz="0" w:space="0" w:color="auto"/>
              </w:divBdr>
            </w:div>
            <w:div w:id="282927874">
              <w:marLeft w:val="0"/>
              <w:marRight w:val="0"/>
              <w:marTop w:val="0"/>
              <w:marBottom w:val="240"/>
              <w:divBdr>
                <w:top w:val="none" w:sz="0" w:space="0" w:color="auto"/>
                <w:left w:val="none" w:sz="0" w:space="0" w:color="auto"/>
                <w:bottom w:val="none" w:sz="0" w:space="0" w:color="auto"/>
                <w:right w:val="none" w:sz="0" w:space="0" w:color="auto"/>
              </w:divBdr>
            </w:div>
            <w:div w:id="229080304">
              <w:marLeft w:val="0"/>
              <w:marRight w:val="0"/>
              <w:marTop w:val="0"/>
              <w:marBottom w:val="240"/>
              <w:divBdr>
                <w:top w:val="none" w:sz="0" w:space="0" w:color="auto"/>
                <w:left w:val="none" w:sz="0" w:space="0" w:color="auto"/>
                <w:bottom w:val="none" w:sz="0" w:space="0" w:color="auto"/>
                <w:right w:val="none" w:sz="0" w:space="0" w:color="auto"/>
              </w:divBdr>
            </w:div>
            <w:div w:id="643586540">
              <w:marLeft w:val="0"/>
              <w:marRight w:val="0"/>
              <w:marTop w:val="0"/>
              <w:marBottom w:val="240"/>
              <w:divBdr>
                <w:top w:val="none" w:sz="0" w:space="0" w:color="auto"/>
                <w:left w:val="none" w:sz="0" w:space="0" w:color="auto"/>
                <w:bottom w:val="none" w:sz="0" w:space="0" w:color="auto"/>
                <w:right w:val="none" w:sz="0" w:space="0" w:color="auto"/>
              </w:divBdr>
            </w:div>
            <w:div w:id="1703164199">
              <w:marLeft w:val="0"/>
              <w:marRight w:val="0"/>
              <w:marTop w:val="0"/>
              <w:marBottom w:val="240"/>
              <w:divBdr>
                <w:top w:val="none" w:sz="0" w:space="0" w:color="auto"/>
                <w:left w:val="none" w:sz="0" w:space="0" w:color="auto"/>
                <w:bottom w:val="none" w:sz="0" w:space="0" w:color="auto"/>
                <w:right w:val="none" w:sz="0" w:space="0" w:color="auto"/>
              </w:divBdr>
            </w:div>
            <w:div w:id="928925609">
              <w:marLeft w:val="0"/>
              <w:marRight w:val="0"/>
              <w:marTop w:val="0"/>
              <w:marBottom w:val="240"/>
              <w:divBdr>
                <w:top w:val="none" w:sz="0" w:space="0" w:color="auto"/>
                <w:left w:val="none" w:sz="0" w:space="0" w:color="auto"/>
                <w:bottom w:val="none" w:sz="0" w:space="0" w:color="auto"/>
                <w:right w:val="none" w:sz="0" w:space="0" w:color="auto"/>
              </w:divBdr>
            </w:div>
            <w:div w:id="701521462">
              <w:marLeft w:val="0"/>
              <w:marRight w:val="0"/>
              <w:marTop w:val="0"/>
              <w:marBottom w:val="240"/>
              <w:divBdr>
                <w:top w:val="none" w:sz="0" w:space="0" w:color="auto"/>
                <w:left w:val="none" w:sz="0" w:space="0" w:color="auto"/>
                <w:bottom w:val="none" w:sz="0" w:space="0" w:color="auto"/>
                <w:right w:val="none" w:sz="0" w:space="0" w:color="auto"/>
              </w:divBdr>
            </w:div>
            <w:div w:id="1580672807">
              <w:marLeft w:val="0"/>
              <w:marRight w:val="0"/>
              <w:marTop w:val="0"/>
              <w:marBottom w:val="240"/>
              <w:divBdr>
                <w:top w:val="none" w:sz="0" w:space="0" w:color="auto"/>
                <w:left w:val="none" w:sz="0" w:space="0" w:color="auto"/>
                <w:bottom w:val="none" w:sz="0" w:space="0" w:color="auto"/>
                <w:right w:val="none" w:sz="0" w:space="0" w:color="auto"/>
              </w:divBdr>
            </w:div>
            <w:div w:id="519440851">
              <w:marLeft w:val="0"/>
              <w:marRight w:val="0"/>
              <w:marTop w:val="0"/>
              <w:marBottom w:val="240"/>
              <w:divBdr>
                <w:top w:val="none" w:sz="0" w:space="0" w:color="auto"/>
                <w:left w:val="none" w:sz="0" w:space="0" w:color="auto"/>
                <w:bottom w:val="none" w:sz="0" w:space="0" w:color="auto"/>
                <w:right w:val="none" w:sz="0" w:space="0" w:color="auto"/>
              </w:divBdr>
            </w:div>
            <w:div w:id="1865628383">
              <w:marLeft w:val="0"/>
              <w:marRight w:val="0"/>
              <w:marTop w:val="0"/>
              <w:marBottom w:val="240"/>
              <w:divBdr>
                <w:top w:val="none" w:sz="0" w:space="0" w:color="auto"/>
                <w:left w:val="none" w:sz="0" w:space="0" w:color="auto"/>
                <w:bottom w:val="none" w:sz="0" w:space="0" w:color="auto"/>
                <w:right w:val="none" w:sz="0" w:space="0" w:color="auto"/>
              </w:divBdr>
            </w:div>
            <w:div w:id="339626967">
              <w:marLeft w:val="0"/>
              <w:marRight w:val="0"/>
              <w:marTop w:val="0"/>
              <w:marBottom w:val="240"/>
              <w:divBdr>
                <w:top w:val="none" w:sz="0" w:space="0" w:color="auto"/>
                <w:left w:val="none" w:sz="0" w:space="0" w:color="auto"/>
                <w:bottom w:val="none" w:sz="0" w:space="0" w:color="auto"/>
                <w:right w:val="none" w:sz="0" w:space="0" w:color="auto"/>
              </w:divBdr>
            </w:div>
            <w:div w:id="526406312">
              <w:marLeft w:val="0"/>
              <w:marRight w:val="0"/>
              <w:marTop w:val="0"/>
              <w:marBottom w:val="240"/>
              <w:divBdr>
                <w:top w:val="none" w:sz="0" w:space="0" w:color="auto"/>
                <w:left w:val="none" w:sz="0" w:space="0" w:color="auto"/>
                <w:bottom w:val="none" w:sz="0" w:space="0" w:color="auto"/>
                <w:right w:val="none" w:sz="0" w:space="0" w:color="auto"/>
              </w:divBdr>
            </w:div>
            <w:div w:id="333578573">
              <w:marLeft w:val="0"/>
              <w:marRight w:val="0"/>
              <w:marTop w:val="0"/>
              <w:marBottom w:val="240"/>
              <w:divBdr>
                <w:top w:val="none" w:sz="0" w:space="0" w:color="auto"/>
                <w:left w:val="none" w:sz="0" w:space="0" w:color="auto"/>
                <w:bottom w:val="none" w:sz="0" w:space="0" w:color="auto"/>
                <w:right w:val="none" w:sz="0" w:space="0" w:color="auto"/>
              </w:divBdr>
            </w:div>
            <w:div w:id="1658612250">
              <w:marLeft w:val="0"/>
              <w:marRight w:val="0"/>
              <w:marTop w:val="0"/>
              <w:marBottom w:val="240"/>
              <w:divBdr>
                <w:top w:val="none" w:sz="0" w:space="0" w:color="auto"/>
                <w:left w:val="none" w:sz="0" w:space="0" w:color="auto"/>
                <w:bottom w:val="none" w:sz="0" w:space="0" w:color="auto"/>
                <w:right w:val="none" w:sz="0" w:space="0" w:color="auto"/>
              </w:divBdr>
            </w:div>
            <w:div w:id="269171247">
              <w:marLeft w:val="0"/>
              <w:marRight w:val="0"/>
              <w:marTop w:val="0"/>
              <w:marBottom w:val="240"/>
              <w:divBdr>
                <w:top w:val="none" w:sz="0" w:space="0" w:color="auto"/>
                <w:left w:val="none" w:sz="0" w:space="0" w:color="auto"/>
                <w:bottom w:val="none" w:sz="0" w:space="0" w:color="auto"/>
                <w:right w:val="none" w:sz="0" w:space="0" w:color="auto"/>
              </w:divBdr>
            </w:div>
            <w:div w:id="1028681241">
              <w:marLeft w:val="0"/>
              <w:marRight w:val="0"/>
              <w:marTop w:val="0"/>
              <w:marBottom w:val="240"/>
              <w:divBdr>
                <w:top w:val="none" w:sz="0" w:space="0" w:color="auto"/>
                <w:left w:val="none" w:sz="0" w:space="0" w:color="auto"/>
                <w:bottom w:val="none" w:sz="0" w:space="0" w:color="auto"/>
                <w:right w:val="none" w:sz="0" w:space="0" w:color="auto"/>
              </w:divBdr>
            </w:div>
            <w:div w:id="1564563887">
              <w:marLeft w:val="0"/>
              <w:marRight w:val="0"/>
              <w:marTop w:val="0"/>
              <w:marBottom w:val="240"/>
              <w:divBdr>
                <w:top w:val="none" w:sz="0" w:space="0" w:color="auto"/>
                <w:left w:val="none" w:sz="0" w:space="0" w:color="auto"/>
                <w:bottom w:val="none" w:sz="0" w:space="0" w:color="auto"/>
                <w:right w:val="none" w:sz="0" w:space="0" w:color="auto"/>
              </w:divBdr>
            </w:div>
            <w:div w:id="762186391">
              <w:marLeft w:val="0"/>
              <w:marRight w:val="0"/>
              <w:marTop w:val="0"/>
              <w:marBottom w:val="240"/>
              <w:divBdr>
                <w:top w:val="none" w:sz="0" w:space="0" w:color="auto"/>
                <w:left w:val="none" w:sz="0" w:space="0" w:color="auto"/>
                <w:bottom w:val="none" w:sz="0" w:space="0" w:color="auto"/>
                <w:right w:val="none" w:sz="0" w:space="0" w:color="auto"/>
              </w:divBdr>
            </w:div>
            <w:div w:id="1364788471">
              <w:marLeft w:val="0"/>
              <w:marRight w:val="0"/>
              <w:marTop w:val="0"/>
              <w:marBottom w:val="240"/>
              <w:divBdr>
                <w:top w:val="none" w:sz="0" w:space="0" w:color="auto"/>
                <w:left w:val="none" w:sz="0" w:space="0" w:color="auto"/>
                <w:bottom w:val="none" w:sz="0" w:space="0" w:color="auto"/>
                <w:right w:val="none" w:sz="0" w:space="0" w:color="auto"/>
              </w:divBdr>
            </w:div>
            <w:div w:id="1868525469">
              <w:marLeft w:val="0"/>
              <w:marRight w:val="0"/>
              <w:marTop w:val="0"/>
              <w:marBottom w:val="240"/>
              <w:divBdr>
                <w:top w:val="none" w:sz="0" w:space="0" w:color="auto"/>
                <w:left w:val="none" w:sz="0" w:space="0" w:color="auto"/>
                <w:bottom w:val="none" w:sz="0" w:space="0" w:color="auto"/>
                <w:right w:val="none" w:sz="0" w:space="0" w:color="auto"/>
              </w:divBdr>
            </w:div>
            <w:div w:id="157155584">
              <w:marLeft w:val="0"/>
              <w:marRight w:val="0"/>
              <w:marTop w:val="0"/>
              <w:marBottom w:val="240"/>
              <w:divBdr>
                <w:top w:val="none" w:sz="0" w:space="0" w:color="auto"/>
                <w:left w:val="none" w:sz="0" w:space="0" w:color="auto"/>
                <w:bottom w:val="none" w:sz="0" w:space="0" w:color="auto"/>
                <w:right w:val="none" w:sz="0" w:space="0" w:color="auto"/>
              </w:divBdr>
            </w:div>
            <w:div w:id="1537547791">
              <w:marLeft w:val="0"/>
              <w:marRight w:val="0"/>
              <w:marTop w:val="0"/>
              <w:marBottom w:val="240"/>
              <w:divBdr>
                <w:top w:val="none" w:sz="0" w:space="0" w:color="auto"/>
                <w:left w:val="none" w:sz="0" w:space="0" w:color="auto"/>
                <w:bottom w:val="none" w:sz="0" w:space="0" w:color="auto"/>
                <w:right w:val="none" w:sz="0" w:space="0" w:color="auto"/>
              </w:divBdr>
            </w:div>
            <w:div w:id="1122848259">
              <w:marLeft w:val="0"/>
              <w:marRight w:val="0"/>
              <w:marTop w:val="0"/>
              <w:marBottom w:val="240"/>
              <w:divBdr>
                <w:top w:val="none" w:sz="0" w:space="0" w:color="auto"/>
                <w:left w:val="none" w:sz="0" w:space="0" w:color="auto"/>
                <w:bottom w:val="none" w:sz="0" w:space="0" w:color="auto"/>
                <w:right w:val="none" w:sz="0" w:space="0" w:color="auto"/>
              </w:divBdr>
            </w:div>
            <w:div w:id="1449277223">
              <w:marLeft w:val="0"/>
              <w:marRight w:val="0"/>
              <w:marTop w:val="0"/>
              <w:marBottom w:val="240"/>
              <w:divBdr>
                <w:top w:val="none" w:sz="0" w:space="0" w:color="auto"/>
                <w:left w:val="none" w:sz="0" w:space="0" w:color="auto"/>
                <w:bottom w:val="none" w:sz="0" w:space="0" w:color="auto"/>
                <w:right w:val="none" w:sz="0" w:space="0" w:color="auto"/>
              </w:divBdr>
            </w:div>
            <w:div w:id="1512137039">
              <w:marLeft w:val="0"/>
              <w:marRight w:val="0"/>
              <w:marTop w:val="0"/>
              <w:marBottom w:val="240"/>
              <w:divBdr>
                <w:top w:val="none" w:sz="0" w:space="0" w:color="auto"/>
                <w:left w:val="none" w:sz="0" w:space="0" w:color="auto"/>
                <w:bottom w:val="none" w:sz="0" w:space="0" w:color="auto"/>
                <w:right w:val="none" w:sz="0" w:space="0" w:color="auto"/>
              </w:divBdr>
            </w:div>
            <w:div w:id="1180043731">
              <w:marLeft w:val="0"/>
              <w:marRight w:val="0"/>
              <w:marTop w:val="0"/>
              <w:marBottom w:val="240"/>
              <w:divBdr>
                <w:top w:val="none" w:sz="0" w:space="0" w:color="auto"/>
                <w:left w:val="none" w:sz="0" w:space="0" w:color="auto"/>
                <w:bottom w:val="none" w:sz="0" w:space="0" w:color="auto"/>
                <w:right w:val="none" w:sz="0" w:space="0" w:color="auto"/>
              </w:divBdr>
            </w:div>
            <w:div w:id="1626621750">
              <w:marLeft w:val="0"/>
              <w:marRight w:val="0"/>
              <w:marTop w:val="0"/>
              <w:marBottom w:val="240"/>
              <w:divBdr>
                <w:top w:val="none" w:sz="0" w:space="0" w:color="auto"/>
                <w:left w:val="none" w:sz="0" w:space="0" w:color="auto"/>
                <w:bottom w:val="none" w:sz="0" w:space="0" w:color="auto"/>
                <w:right w:val="none" w:sz="0" w:space="0" w:color="auto"/>
              </w:divBdr>
            </w:div>
            <w:div w:id="195972739">
              <w:marLeft w:val="0"/>
              <w:marRight w:val="0"/>
              <w:marTop w:val="0"/>
              <w:marBottom w:val="240"/>
              <w:divBdr>
                <w:top w:val="none" w:sz="0" w:space="0" w:color="auto"/>
                <w:left w:val="none" w:sz="0" w:space="0" w:color="auto"/>
                <w:bottom w:val="none" w:sz="0" w:space="0" w:color="auto"/>
                <w:right w:val="none" w:sz="0" w:space="0" w:color="auto"/>
              </w:divBdr>
            </w:div>
            <w:div w:id="294528822">
              <w:marLeft w:val="0"/>
              <w:marRight w:val="0"/>
              <w:marTop w:val="0"/>
              <w:marBottom w:val="240"/>
              <w:divBdr>
                <w:top w:val="none" w:sz="0" w:space="0" w:color="auto"/>
                <w:left w:val="none" w:sz="0" w:space="0" w:color="auto"/>
                <w:bottom w:val="none" w:sz="0" w:space="0" w:color="auto"/>
                <w:right w:val="none" w:sz="0" w:space="0" w:color="auto"/>
              </w:divBdr>
            </w:div>
            <w:div w:id="1654409933">
              <w:marLeft w:val="0"/>
              <w:marRight w:val="0"/>
              <w:marTop w:val="0"/>
              <w:marBottom w:val="240"/>
              <w:divBdr>
                <w:top w:val="none" w:sz="0" w:space="0" w:color="auto"/>
                <w:left w:val="none" w:sz="0" w:space="0" w:color="auto"/>
                <w:bottom w:val="none" w:sz="0" w:space="0" w:color="auto"/>
                <w:right w:val="none" w:sz="0" w:space="0" w:color="auto"/>
              </w:divBdr>
            </w:div>
            <w:div w:id="1117219009">
              <w:marLeft w:val="0"/>
              <w:marRight w:val="0"/>
              <w:marTop w:val="0"/>
              <w:marBottom w:val="240"/>
              <w:divBdr>
                <w:top w:val="none" w:sz="0" w:space="0" w:color="auto"/>
                <w:left w:val="none" w:sz="0" w:space="0" w:color="auto"/>
                <w:bottom w:val="none" w:sz="0" w:space="0" w:color="auto"/>
                <w:right w:val="none" w:sz="0" w:space="0" w:color="auto"/>
              </w:divBdr>
            </w:div>
            <w:div w:id="1405909620">
              <w:marLeft w:val="0"/>
              <w:marRight w:val="0"/>
              <w:marTop w:val="0"/>
              <w:marBottom w:val="240"/>
              <w:divBdr>
                <w:top w:val="none" w:sz="0" w:space="0" w:color="auto"/>
                <w:left w:val="none" w:sz="0" w:space="0" w:color="auto"/>
                <w:bottom w:val="none" w:sz="0" w:space="0" w:color="auto"/>
                <w:right w:val="none" w:sz="0" w:space="0" w:color="auto"/>
              </w:divBdr>
            </w:div>
            <w:div w:id="1881673599">
              <w:marLeft w:val="0"/>
              <w:marRight w:val="0"/>
              <w:marTop w:val="0"/>
              <w:marBottom w:val="240"/>
              <w:divBdr>
                <w:top w:val="none" w:sz="0" w:space="0" w:color="auto"/>
                <w:left w:val="none" w:sz="0" w:space="0" w:color="auto"/>
                <w:bottom w:val="none" w:sz="0" w:space="0" w:color="auto"/>
                <w:right w:val="none" w:sz="0" w:space="0" w:color="auto"/>
              </w:divBdr>
            </w:div>
            <w:div w:id="78259971">
              <w:marLeft w:val="0"/>
              <w:marRight w:val="0"/>
              <w:marTop w:val="0"/>
              <w:marBottom w:val="240"/>
              <w:divBdr>
                <w:top w:val="none" w:sz="0" w:space="0" w:color="auto"/>
                <w:left w:val="none" w:sz="0" w:space="0" w:color="auto"/>
                <w:bottom w:val="none" w:sz="0" w:space="0" w:color="auto"/>
                <w:right w:val="none" w:sz="0" w:space="0" w:color="auto"/>
              </w:divBdr>
            </w:div>
            <w:div w:id="842163689">
              <w:marLeft w:val="0"/>
              <w:marRight w:val="0"/>
              <w:marTop w:val="0"/>
              <w:marBottom w:val="240"/>
              <w:divBdr>
                <w:top w:val="none" w:sz="0" w:space="0" w:color="auto"/>
                <w:left w:val="none" w:sz="0" w:space="0" w:color="auto"/>
                <w:bottom w:val="none" w:sz="0" w:space="0" w:color="auto"/>
                <w:right w:val="none" w:sz="0" w:space="0" w:color="auto"/>
              </w:divBdr>
            </w:div>
            <w:div w:id="1156723173">
              <w:marLeft w:val="0"/>
              <w:marRight w:val="0"/>
              <w:marTop w:val="0"/>
              <w:marBottom w:val="240"/>
              <w:divBdr>
                <w:top w:val="none" w:sz="0" w:space="0" w:color="auto"/>
                <w:left w:val="none" w:sz="0" w:space="0" w:color="auto"/>
                <w:bottom w:val="none" w:sz="0" w:space="0" w:color="auto"/>
                <w:right w:val="none" w:sz="0" w:space="0" w:color="auto"/>
              </w:divBdr>
            </w:div>
            <w:div w:id="986323023">
              <w:marLeft w:val="0"/>
              <w:marRight w:val="0"/>
              <w:marTop w:val="0"/>
              <w:marBottom w:val="240"/>
              <w:divBdr>
                <w:top w:val="none" w:sz="0" w:space="0" w:color="auto"/>
                <w:left w:val="none" w:sz="0" w:space="0" w:color="auto"/>
                <w:bottom w:val="none" w:sz="0" w:space="0" w:color="auto"/>
                <w:right w:val="none" w:sz="0" w:space="0" w:color="auto"/>
              </w:divBdr>
            </w:div>
            <w:div w:id="323750892">
              <w:marLeft w:val="0"/>
              <w:marRight w:val="0"/>
              <w:marTop w:val="0"/>
              <w:marBottom w:val="240"/>
              <w:divBdr>
                <w:top w:val="none" w:sz="0" w:space="0" w:color="auto"/>
                <w:left w:val="none" w:sz="0" w:space="0" w:color="auto"/>
                <w:bottom w:val="none" w:sz="0" w:space="0" w:color="auto"/>
                <w:right w:val="none" w:sz="0" w:space="0" w:color="auto"/>
              </w:divBdr>
            </w:div>
            <w:div w:id="1792435781">
              <w:marLeft w:val="0"/>
              <w:marRight w:val="0"/>
              <w:marTop w:val="0"/>
              <w:marBottom w:val="240"/>
              <w:divBdr>
                <w:top w:val="none" w:sz="0" w:space="0" w:color="auto"/>
                <w:left w:val="none" w:sz="0" w:space="0" w:color="auto"/>
                <w:bottom w:val="none" w:sz="0" w:space="0" w:color="auto"/>
                <w:right w:val="none" w:sz="0" w:space="0" w:color="auto"/>
              </w:divBdr>
            </w:div>
            <w:div w:id="189493302">
              <w:marLeft w:val="0"/>
              <w:marRight w:val="0"/>
              <w:marTop w:val="0"/>
              <w:marBottom w:val="240"/>
              <w:divBdr>
                <w:top w:val="none" w:sz="0" w:space="0" w:color="auto"/>
                <w:left w:val="none" w:sz="0" w:space="0" w:color="auto"/>
                <w:bottom w:val="none" w:sz="0" w:space="0" w:color="auto"/>
                <w:right w:val="none" w:sz="0" w:space="0" w:color="auto"/>
              </w:divBdr>
            </w:div>
            <w:div w:id="2086032515">
              <w:marLeft w:val="0"/>
              <w:marRight w:val="0"/>
              <w:marTop w:val="0"/>
              <w:marBottom w:val="240"/>
              <w:divBdr>
                <w:top w:val="none" w:sz="0" w:space="0" w:color="auto"/>
                <w:left w:val="none" w:sz="0" w:space="0" w:color="auto"/>
                <w:bottom w:val="none" w:sz="0" w:space="0" w:color="auto"/>
                <w:right w:val="none" w:sz="0" w:space="0" w:color="auto"/>
              </w:divBdr>
            </w:div>
            <w:div w:id="929235902">
              <w:marLeft w:val="0"/>
              <w:marRight w:val="0"/>
              <w:marTop w:val="0"/>
              <w:marBottom w:val="240"/>
              <w:divBdr>
                <w:top w:val="none" w:sz="0" w:space="0" w:color="auto"/>
                <w:left w:val="none" w:sz="0" w:space="0" w:color="auto"/>
                <w:bottom w:val="none" w:sz="0" w:space="0" w:color="auto"/>
                <w:right w:val="none" w:sz="0" w:space="0" w:color="auto"/>
              </w:divBdr>
            </w:div>
            <w:div w:id="354769864">
              <w:marLeft w:val="0"/>
              <w:marRight w:val="0"/>
              <w:marTop w:val="0"/>
              <w:marBottom w:val="240"/>
              <w:divBdr>
                <w:top w:val="none" w:sz="0" w:space="0" w:color="auto"/>
                <w:left w:val="none" w:sz="0" w:space="0" w:color="auto"/>
                <w:bottom w:val="none" w:sz="0" w:space="0" w:color="auto"/>
                <w:right w:val="none" w:sz="0" w:space="0" w:color="auto"/>
              </w:divBdr>
            </w:div>
            <w:div w:id="703095991">
              <w:marLeft w:val="0"/>
              <w:marRight w:val="0"/>
              <w:marTop w:val="0"/>
              <w:marBottom w:val="240"/>
              <w:divBdr>
                <w:top w:val="none" w:sz="0" w:space="0" w:color="auto"/>
                <w:left w:val="none" w:sz="0" w:space="0" w:color="auto"/>
                <w:bottom w:val="none" w:sz="0" w:space="0" w:color="auto"/>
                <w:right w:val="none" w:sz="0" w:space="0" w:color="auto"/>
              </w:divBdr>
            </w:div>
            <w:div w:id="1951662226">
              <w:marLeft w:val="0"/>
              <w:marRight w:val="0"/>
              <w:marTop w:val="0"/>
              <w:marBottom w:val="240"/>
              <w:divBdr>
                <w:top w:val="none" w:sz="0" w:space="0" w:color="auto"/>
                <w:left w:val="none" w:sz="0" w:space="0" w:color="auto"/>
                <w:bottom w:val="none" w:sz="0" w:space="0" w:color="auto"/>
                <w:right w:val="none" w:sz="0" w:space="0" w:color="auto"/>
              </w:divBdr>
            </w:div>
            <w:div w:id="1637682429">
              <w:marLeft w:val="0"/>
              <w:marRight w:val="0"/>
              <w:marTop w:val="0"/>
              <w:marBottom w:val="240"/>
              <w:divBdr>
                <w:top w:val="none" w:sz="0" w:space="0" w:color="auto"/>
                <w:left w:val="none" w:sz="0" w:space="0" w:color="auto"/>
                <w:bottom w:val="none" w:sz="0" w:space="0" w:color="auto"/>
                <w:right w:val="none" w:sz="0" w:space="0" w:color="auto"/>
              </w:divBdr>
            </w:div>
            <w:div w:id="1204486532">
              <w:marLeft w:val="0"/>
              <w:marRight w:val="0"/>
              <w:marTop w:val="0"/>
              <w:marBottom w:val="240"/>
              <w:divBdr>
                <w:top w:val="none" w:sz="0" w:space="0" w:color="auto"/>
                <w:left w:val="none" w:sz="0" w:space="0" w:color="auto"/>
                <w:bottom w:val="none" w:sz="0" w:space="0" w:color="auto"/>
                <w:right w:val="none" w:sz="0" w:space="0" w:color="auto"/>
              </w:divBdr>
            </w:div>
            <w:div w:id="867066291">
              <w:marLeft w:val="0"/>
              <w:marRight w:val="0"/>
              <w:marTop w:val="0"/>
              <w:marBottom w:val="240"/>
              <w:divBdr>
                <w:top w:val="none" w:sz="0" w:space="0" w:color="auto"/>
                <w:left w:val="none" w:sz="0" w:space="0" w:color="auto"/>
                <w:bottom w:val="none" w:sz="0" w:space="0" w:color="auto"/>
                <w:right w:val="none" w:sz="0" w:space="0" w:color="auto"/>
              </w:divBdr>
            </w:div>
            <w:div w:id="1046879871">
              <w:marLeft w:val="0"/>
              <w:marRight w:val="0"/>
              <w:marTop w:val="0"/>
              <w:marBottom w:val="240"/>
              <w:divBdr>
                <w:top w:val="none" w:sz="0" w:space="0" w:color="auto"/>
                <w:left w:val="none" w:sz="0" w:space="0" w:color="auto"/>
                <w:bottom w:val="none" w:sz="0" w:space="0" w:color="auto"/>
                <w:right w:val="none" w:sz="0" w:space="0" w:color="auto"/>
              </w:divBdr>
            </w:div>
            <w:div w:id="103038827">
              <w:marLeft w:val="0"/>
              <w:marRight w:val="0"/>
              <w:marTop w:val="0"/>
              <w:marBottom w:val="240"/>
              <w:divBdr>
                <w:top w:val="none" w:sz="0" w:space="0" w:color="auto"/>
                <w:left w:val="none" w:sz="0" w:space="0" w:color="auto"/>
                <w:bottom w:val="none" w:sz="0" w:space="0" w:color="auto"/>
                <w:right w:val="none" w:sz="0" w:space="0" w:color="auto"/>
              </w:divBdr>
            </w:div>
            <w:div w:id="429088388">
              <w:marLeft w:val="0"/>
              <w:marRight w:val="0"/>
              <w:marTop w:val="0"/>
              <w:marBottom w:val="240"/>
              <w:divBdr>
                <w:top w:val="none" w:sz="0" w:space="0" w:color="auto"/>
                <w:left w:val="none" w:sz="0" w:space="0" w:color="auto"/>
                <w:bottom w:val="none" w:sz="0" w:space="0" w:color="auto"/>
                <w:right w:val="none" w:sz="0" w:space="0" w:color="auto"/>
              </w:divBdr>
            </w:div>
            <w:div w:id="378088541">
              <w:marLeft w:val="0"/>
              <w:marRight w:val="0"/>
              <w:marTop w:val="0"/>
              <w:marBottom w:val="240"/>
              <w:divBdr>
                <w:top w:val="none" w:sz="0" w:space="0" w:color="auto"/>
                <w:left w:val="none" w:sz="0" w:space="0" w:color="auto"/>
                <w:bottom w:val="none" w:sz="0" w:space="0" w:color="auto"/>
                <w:right w:val="none" w:sz="0" w:space="0" w:color="auto"/>
              </w:divBdr>
            </w:div>
            <w:div w:id="192354568">
              <w:marLeft w:val="0"/>
              <w:marRight w:val="0"/>
              <w:marTop w:val="0"/>
              <w:marBottom w:val="240"/>
              <w:divBdr>
                <w:top w:val="none" w:sz="0" w:space="0" w:color="auto"/>
                <w:left w:val="none" w:sz="0" w:space="0" w:color="auto"/>
                <w:bottom w:val="none" w:sz="0" w:space="0" w:color="auto"/>
                <w:right w:val="none" w:sz="0" w:space="0" w:color="auto"/>
              </w:divBdr>
            </w:div>
            <w:div w:id="1695643664">
              <w:marLeft w:val="0"/>
              <w:marRight w:val="0"/>
              <w:marTop w:val="0"/>
              <w:marBottom w:val="240"/>
              <w:divBdr>
                <w:top w:val="none" w:sz="0" w:space="0" w:color="auto"/>
                <w:left w:val="none" w:sz="0" w:space="0" w:color="auto"/>
                <w:bottom w:val="none" w:sz="0" w:space="0" w:color="auto"/>
                <w:right w:val="none" w:sz="0" w:space="0" w:color="auto"/>
              </w:divBdr>
            </w:div>
            <w:div w:id="750539019">
              <w:marLeft w:val="0"/>
              <w:marRight w:val="0"/>
              <w:marTop w:val="0"/>
              <w:marBottom w:val="240"/>
              <w:divBdr>
                <w:top w:val="none" w:sz="0" w:space="0" w:color="auto"/>
                <w:left w:val="none" w:sz="0" w:space="0" w:color="auto"/>
                <w:bottom w:val="none" w:sz="0" w:space="0" w:color="auto"/>
                <w:right w:val="none" w:sz="0" w:space="0" w:color="auto"/>
              </w:divBdr>
            </w:div>
            <w:div w:id="761949113">
              <w:marLeft w:val="0"/>
              <w:marRight w:val="0"/>
              <w:marTop w:val="0"/>
              <w:marBottom w:val="240"/>
              <w:divBdr>
                <w:top w:val="none" w:sz="0" w:space="0" w:color="auto"/>
                <w:left w:val="none" w:sz="0" w:space="0" w:color="auto"/>
                <w:bottom w:val="none" w:sz="0" w:space="0" w:color="auto"/>
                <w:right w:val="none" w:sz="0" w:space="0" w:color="auto"/>
              </w:divBdr>
            </w:div>
            <w:div w:id="954482956">
              <w:marLeft w:val="0"/>
              <w:marRight w:val="0"/>
              <w:marTop w:val="0"/>
              <w:marBottom w:val="240"/>
              <w:divBdr>
                <w:top w:val="none" w:sz="0" w:space="0" w:color="auto"/>
                <w:left w:val="none" w:sz="0" w:space="0" w:color="auto"/>
                <w:bottom w:val="none" w:sz="0" w:space="0" w:color="auto"/>
                <w:right w:val="none" w:sz="0" w:space="0" w:color="auto"/>
              </w:divBdr>
            </w:div>
            <w:div w:id="2073654760">
              <w:marLeft w:val="0"/>
              <w:marRight w:val="0"/>
              <w:marTop w:val="0"/>
              <w:marBottom w:val="240"/>
              <w:divBdr>
                <w:top w:val="none" w:sz="0" w:space="0" w:color="auto"/>
                <w:left w:val="none" w:sz="0" w:space="0" w:color="auto"/>
                <w:bottom w:val="none" w:sz="0" w:space="0" w:color="auto"/>
                <w:right w:val="none" w:sz="0" w:space="0" w:color="auto"/>
              </w:divBdr>
            </w:div>
            <w:div w:id="1636447694">
              <w:marLeft w:val="0"/>
              <w:marRight w:val="0"/>
              <w:marTop w:val="0"/>
              <w:marBottom w:val="240"/>
              <w:divBdr>
                <w:top w:val="none" w:sz="0" w:space="0" w:color="auto"/>
                <w:left w:val="none" w:sz="0" w:space="0" w:color="auto"/>
                <w:bottom w:val="none" w:sz="0" w:space="0" w:color="auto"/>
                <w:right w:val="none" w:sz="0" w:space="0" w:color="auto"/>
              </w:divBdr>
            </w:div>
            <w:div w:id="1076785232">
              <w:marLeft w:val="0"/>
              <w:marRight w:val="0"/>
              <w:marTop w:val="0"/>
              <w:marBottom w:val="240"/>
              <w:divBdr>
                <w:top w:val="none" w:sz="0" w:space="0" w:color="auto"/>
                <w:left w:val="none" w:sz="0" w:space="0" w:color="auto"/>
                <w:bottom w:val="none" w:sz="0" w:space="0" w:color="auto"/>
                <w:right w:val="none" w:sz="0" w:space="0" w:color="auto"/>
              </w:divBdr>
            </w:div>
            <w:div w:id="1743866702">
              <w:marLeft w:val="0"/>
              <w:marRight w:val="0"/>
              <w:marTop w:val="0"/>
              <w:marBottom w:val="240"/>
              <w:divBdr>
                <w:top w:val="none" w:sz="0" w:space="0" w:color="auto"/>
                <w:left w:val="none" w:sz="0" w:space="0" w:color="auto"/>
                <w:bottom w:val="none" w:sz="0" w:space="0" w:color="auto"/>
                <w:right w:val="none" w:sz="0" w:space="0" w:color="auto"/>
              </w:divBdr>
            </w:div>
            <w:div w:id="361983330">
              <w:marLeft w:val="0"/>
              <w:marRight w:val="0"/>
              <w:marTop w:val="0"/>
              <w:marBottom w:val="240"/>
              <w:divBdr>
                <w:top w:val="none" w:sz="0" w:space="0" w:color="auto"/>
                <w:left w:val="none" w:sz="0" w:space="0" w:color="auto"/>
                <w:bottom w:val="none" w:sz="0" w:space="0" w:color="auto"/>
                <w:right w:val="none" w:sz="0" w:space="0" w:color="auto"/>
              </w:divBdr>
            </w:div>
            <w:div w:id="1736704510">
              <w:marLeft w:val="0"/>
              <w:marRight w:val="0"/>
              <w:marTop w:val="0"/>
              <w:marBottom w:val="240"/>
              <w:divBdr>
                <w:top w:val="none" w:sz="0" w:space="0" w:color="auto"/>
                <w:left w:val="none" w:sz="0" w:space="0" w:color="auto"/>
                <w:bottom w:val="none" w:sz="0" w:space="0" w:color="auto"/>
                <w:right w:val="none" w:sz="0" w:space="0" w:color="auto"/>
              </w:divBdr>
            </w:div>
            <w:div w:id="2055079670">
              <w:marLeft w:val="0"/>
              <w:marRight w:val="0"/>
              <w:marTop w:val="0"/>
              <w:marBottom w:val="240"/>
              <w:divBdr>
                <w:top w:val="none" w:sz="0" w:space="0" w:color="auto"/>
                <w:left w:val="none" w:sz="0" w:space="0" w:color="auto"/>
                <w:bottom w:val="none" w:sz="0" w:space="0" w:color="auto"/>
                <w:right w:val="none" w:sz="0" w:space="0" w:color="auto"/>
              </w:divBdr>
            </w:div>
            <w:div w:id="619843421">
              <w:marLeft w:val="0"/>
              <w:marRight w:val="0"/>
              <w:marTop w:val="0"/>
              <w:marBottom w:val="240"/>
              <w:divBdr>
                <w:top w:val="none" w:sz="0" w:space="0" w:color="auto"/>
                <w:left w:val="none" w:sz="0" w:space="0" w:color="auto"/>
                <w:bottom w:val="none" w:sz="0" w:space="0" w:color="auto"/>
                <w:right w:val="none" w:sz="0" w:space="0" w:color="auto"/>
              </w:divBdr>
            </w:div>
            <w:div w:id="1812137406">
              <w:marLeft w:val="0"/>
              <w:marRight w:val="0"/>
              <w:marTop w:val="0"/>
              <w:marBottom w:val="240"/>
              <w:divBdr>
                <w:top w:val="none" w:sz="0" w:space="0" w:color="auto"/>
                <w:left w:val="none" w:sz="0" w:space="0" w:color="auto"/>
                <w:bottom w:val="none" w:sz="0" w:space="0" w:color="auto"/>
                <w:right w:val="none" w:sz="0" w:space="0" w:color="auto"/>
              </w:divBdr>
            </w:div>
            <w:div w:id="1630014808">
              <w:marLeft w:val="0"/>
              <w:marRight w:val="0"/>
              <w:marTop w:val="0"/>
              <w:marBottom w:val="240"/>
              <w:divBdr>
                <w:top w:val="none" w:sz="0" w:space="0" w:color="auto"/>
                <w:left w:val="none" w:sz="0" w:space="0" w:color="auto"/>
                <w:bottom w:val="none" w:sz="0" w:space="0" w:color="auto"/>
                <w:right w:val="none" w:sz="0" w:space="0" w:color="auto"/>
              </w:divBdr>
            </w:div>
            <w:div w:id="1778795427">
              <w:marLeft w:val="0"/>
              <w:marRight w:val="0"/>
              <w:marTop w:val="0"/>
              <w:marBottom w:val="240"/>
              <w:divBdr>
                <w:top w:val="none" w:sz="0" w:space="0" w:color="auto"/>
                <w:left w:val="none" w:sz="0" w:space="0" w:color="auto"/>
                <w:bottom w:val="none" w:sz="0" w:space="0" w:color="auto"/>
                <w:right w:val="none" w:sz="0" w:space="0" w:color="auto"/>
              </w:divBdr>
            </w:div>
            <w:div w:id="1575117400">
              <w:marLeft w:val="0"/>
              <w:marRight w:val="0"/>
              <w:marTop w:val="0"/>
              <w:marBottom w:val="240"/>
              <w:divBdr>
                <w:top w:val="none" w:sz="0" w:space="0" w:color="auto"/>
                <w:left w:val="none" w:sz="0" w:space="0" w:color="auto"/>
                <w:bottom w:val="none" w:sz="0" w:space="0" w:color="auto"/>
                <w:right w:val="none" w:sz="0" w:space="0" w:color="auto"/>
              </w:divBdr>
            </w:div>
            <w:div w:id="2123917296">
              <w:marLeft w:val="0"/>
              <w:marRight w:val="0"/>
              <w:marTop w:val="0"/>
              <w:marBottom w:val="240"/>
              <w:divBdr>
                <w:top w:val="none" w:sz="0" w:space="0" w:color="auto"/>
                <w:left w:val="none" w:sz="0" w:space="0" w:color="auto"/>
                <w:bottom w:val="none" w:sz="0" w:space="0" w:color="auto"/>
                <w:right w:val="none" w:sz="0" w:space="0" w:color="auto"/>
              </w:divBdr>
            </w:div>
            <w:div w:id="2041278334">
              <w:marLeft w:val="0"/>
              <w:marRight w:val="0"/>
              <w:marTop w:val="0"/>
              <w:marBottom w:val="240"/>
              <w:divBdr>
                <w:top w:val="none" w:sz="0" w:space="0" w:color="auto"/>
                <w:left w:val="none" w:sz="0" w:space="0" w:color="auto"/>
                <w:bottom w:val="none" w:sz="0" w:space="0" w:color="auto"/>
                <w:right w:val="none" w:sz="0" w:space="0" w:color="auto"/>
              </w:divBdr>
            </w:div>
            <w:div w:id="1547525349">
              <w:marLeft w:val="0"/>
              <w:marRight w:val="0"/>
              <w:marTop w:val="0"/>
              <w:marBottom w:val="240"/>
              <w:divBdr>
                <w:top w:val="none" w:sz="0" w:space="0" w:color="auto"/>
                <w:left w:val="none" w:sz="0" w:space="0" w:color="auto"/>
                <w:bottom w:val="none" w:sz="0" w:space="0" w:color="auto"/>
                <w:right w:val="none" w:sz="0" w:space="0" w:color="auto"/>
              </w:divBdr>
            </w:div>
            <w:div w:id="1425568360">
              <w:marLeft w:val="0"/>
              <w:marRight w:val="0"/>
              <w:marTop w:val="0"/>
              <w:marBottom w:val="240"/>
              <w:divBdr>
                <w:top w:val="none" w:sz="0" w:space="0" w:color="auto"/>
                <w:left w:val="none" w:sz="0" w:space="0" w:color="auto"/>
                <w:bottom w:val="none" w:sz="0" w:space="0" w:color="auto"/>
                <w:right w:val="none" w:sz="0" w:space="0" w:color="auto"/>
              </w:divBdr>
            </w:div>
            <w:div w:id="460153364">
              <w:marLeft w:val="0"/>
              <w:marRight w:val="0"/>
              <w:marTop w:val="0"/>
              <w:marBottom w:val="240"/>
              <w:divBdr>
                <w:top w:val="none" w:sz="0" w:space="0" w:color="auto"/>
                <w:left w:val="none" w:sz="0" w:space="0" w:color="auto"/>
                <w:bottom w:val="none" w:sz="0" w:space="0" w:color="auto"/>
                <w:right w:val="none" w:sz="0" w:space="0" w:color="auto"/>
              </w:divBdr>
            </w:div>
            <w:div w:id="1094935370">
              <w:marLeft w:val="0"/>
              <w:marRight w:val="0"/>
              <w:marTop w:val="0"/>
              <w:marBottom w:val="240"/>
              <w:divBdr>
                <w:top w:val="none" w:sz="0" w:space="0" w:color="auto"/>
                <w:left w:val="none" w:sz="0" w:space="0" w:color="auto"/>
                <w:bottom w:val="none" w:sz="0" w:space="0" w:color="auto"/>
                <w:right w:val="none" w:sz="0" w:space="0" w:color="auto"/>
              </w:divBdr>
            </w:div>
            <w:div w:id="1046638573">
              <w:marLeft w:val="0"/>
              <w:marRight w:val="0"/>
              <w:marTop w:val="0"/>
              <w:marBottom w:val="240"/>
              <w:divBdr>
                <w:top w:val="none" w:sz="0" w:space="0" w:color="auto"/>
                <w:left w:val="none" w:sz="0" w:space="0" w:color="auto"/>
                <w:bottom w:val="none" w:sz="0" w:space="0" w:color="auto"/>
                <w:right w:val="none" w:sz="0" w:space="0" w:color="auto"/>
              </w:divBdr>
            </w:div>
            <w:div w:id="184459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923932">
      <w:bodyDiv w:val="1"/>
      <w:marLeft w:val="0"/>
      <w:marRight w:val="0"/>
      <w:marTop w:val="0"/>
      <w:marBottom w:val="0"/>
      <w:divBdr>
        <w:top w:val="none" w:sz="0" w:space="0" w:color="auto"/>
        <w:left w:val="none" w:sz="0" w:space="0" w:color="auto"/>
        <w:bottom w:val="none" w:sz="0" w:space="0" w:color="auto"/>
        <w:right w:val="none" w:sz="0" w:space="0" w:color="auto"/>
      </w:divBdr>
    </w:div>
    <w:div w:id="1988976185">
      <w:bodyDiv w:val="1"/>
      <w:marLeft w:val="0"/>
      <w:marRight w:val="0"/>
      <w:marTop w:val="0"/>
      <w:marBottom w:val="0"/>
      <w:divBdr>
        <w:top w:val="none" w:sz="0" w:space="0" w:color="auto"/>
        <w:left w:val="none" w:sz="0" w:space="0" w:color="auto"/>
        <w:bottom w:val="none" w:sz="0" w:space="0" w:color="auto"/>
        <w:right w:val="none" w:sz="0" w:space="0" w:color="auto"/>
      </w:divBdr>
    </w:div>
    <w:div w:id="1993875227">
      <w:bodyDiv w:val="1"/>
      <w:marLeft w:val="0"/>
      <w:marRight w:val="0"/>
      <w:marTop w:val="0"/>
      <w:marBottom w:val="0"/>
      <w:divBdr>
        <w:top w:val="none" w:sz="0" w:space="0" w:color="auto"/>
        <w:left w:val="none" w:sz="0" w:space="0" w:color="auto"/>
        <w:bottom w:val="none" w:sz="0" w:space="0" w:color="auto"/>
        <w:right w:val="none" w:sz="0" w:space="0" w:color="auto"/>
      </w:divBdr>
    </w:div>
    <w:div w:id="2037270201">
      <w:bodyDiv w:val="1"/>
      <w:marLeft w:val="0"/>
      <w:marRight w:val="0"/>
      <w:marTop w:val="0"/>
      <w:marBottom w:val="0"/>
      <w:divBdr>
        <w:top w:val="none" w:sz="0" w:space="0" w:color="auto"/>
        <w:left w:val="none" w:sz="0" w:space="0" w:color="auto"/>
        <w:bottom w:val="none" w:sz="0" w:space="0" w:color="auto"/>
        <w:right w:val="none" w:sz="0" w:space="0" w:color="auto"/>
      </w:divBdr>
    </w:div>
    <w:div w:id="2059477854">
      <w:bodyDiv w:val="1"/>
      <w:marLeft w:val="0"/>
      <w:marRight w:val="0"/>
      <w:marTop w:val="0"/>
      <w:marBottom w:val="0"/>
      <w:divBdr>
        <w:top w:val="none" w:sz="0" w:space="0" w:color="auto"/>
        <w:left w:val="none" w:sz="0" w:space="0" w:color="auto"/>
        <w:bottom w:val="none" w:sz="0" w:space="0" w:color="auto"/>
        <w:right w:val="none" w:sz="0" w:space="0" w:color="auto"/>
      </w:divBdr>
      <w:divsChild>
        <w:div w:id="59209436">
          <w:marLeft w:val="480"/>
          <w:marRight w:val="0"/>
          <w:marTop w:val="0"/>
          <w:marBottom w:val="0"/>
          <w:divBdr>
            <w:top w:val="none" w:sz="0" w:space="0" w:color="auto"/>
            <w:left w:val="none" w:sz="0" w:space="0" w:color="auto"/>
            <w:bottom w:val="none" w:sz="0" w:space="0" w:color="auto"/>
            <w:right w:val="none" w:sz="0" w:space="0" w:color="auto"/>
          </w:divBdr>
          <w:divsChild>
            <w:div w:id="49299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519788">
      <w:bodyDiv w:val="1"/>
      <w:marLeft w:val="0"/>
      <w:marRight w:val="0"/>
      <w:marTop w:val="0"/>
      <w:marBottom w:val="0"/>
      <w:divBdr>
        <w:top w:val="none" w:sz="0" w:space="0" w:color="auto"/>
        <w:left w:val="none" w:sz="0" w:space="0" w:color="auto"/>
        <w:bottom w:val="none" w:sz="0" w:space="0" w:color="auto"/>
        <w:right w:val="none" w:sz="0" w:space="0" w:color="auto"/>
      </w:divBdr>
    </w:div>
    <w:div w:id="2062436847">
      <w:bodyDiv w:val="1"/>
      <w:marLeft w:val="0"/>
      <w:marRight w:val="0"/>
      <w:marTop w:val="0"/>
      <w:marBottom w:val="0"/>
      <w:divBdr>
        <w:top w:val="none" w:sz="0" w:space="0" w:color="auto"/>
        <w:left w:val="none" w:sz="0" w:space="0" w:color="auto"/>
        <w:bottom w:val="none" w:sz="0" w:space="0" w:color="auto"/>
        <w:right w:val="none" w:sz="0" w:space="0" w:color="auto"/>
      </w:divBdr>
      <w:divsChild>
        <w:div w:id="312219629">
          <w:marLeft w:val="480"/>
          <w:marRight w:val="0"/>
          <w:marTop w:val="0"/>
          <w:marBottom w:val="0"/>
          <w:divBdr>
            <w:top w:val="none" w:sz="0" w:space="0" w:color="auto"/>
            <w:left w:val="none" w:sz="0" w:space="0" w:color="auto"/>
            <w:bottom w:val="none" w:sz="0" w:space="0" w:color="auto"/>
            <w:right w:val="none" w:sz="0" w:space="0" w:color="auto"/>
          </w:divBdr>
          <w:divsChild>
            <w:div w:id="756830833">
              <w:marLeft w:val="0"/>
              <w:marRight w:val="0"/>
              <w:marTop w:val="0"/>
              <w:marBottom w:val="240"/>
              <w:divBdr>
                <w:top w:val="none" w:sz="0" w:space="0" w:color="auto"/>
                <w:left w:val="none" w:sz="0" w:space="0" w:color="auto"/>
                <w:bottom w:val="none" w:sz="0" w:space="0" w:color="auto"/>
                <w:right w:val="none" w:sz="0" w:space="0" w:color="auto"/>
              </w:divBdr>
            </w:div>
            <w:div w:id="1627539181">
              <w:marLeft w:val="0"/>
              <w:marRight w:val="0"/>
              <w:marTop w:val="0"/>
              <w:marBottom w:val="240"/>
              <w:divBdr>
                <w:top w:val="none" w:sz="0" w:space="0" w:color="auto"/>
                <w:left w:val="none" w:sz="0" w:space="0" w:color="auto"/>
                <w:bottom w:val="none" w:sz="0" w:space="0" w:color="auto"/>
                <w:right w:val="none" w:sz="0" w:space="0" w:color="auto"/>
              </w:divBdr>
            </w:div>
            <w:div w:id="2135054873">
              <w:marLeft w:val="0"/>
              <w:marRight w:val="0"/>
              <w:marTop w:val="0"/>
              <w:marBottom w:val="240"/>
              <w:divBdr>
                <w:top w:val="none" w:sz="0" w:space="0" w:color="auto"/>
                <w:left w:val="none" w:sz="0" w:space="0" w:color="auto"/>
                <w:bottom w:val="none" w:sz="0" w:space="0" w:color="auto"/>
                <w:right w:val="none" w:sz="0" w:space="0" w:color="auto"/>
              </w:divBdr>
            </w:div>
            <w:div w:id="29501435">
              <w:marLeft w:val="0"/>
              <w:marRight w:val="0"/>
              <w:marTop w:val="0"/>
              <w:marBottom w:val="240"/>
              <w:divBdr>
                <w:top w:val="none" w:sz="0" w:space="0" w:color="auto"/>
                <w:left w:val="none" w:sz="0" w:space="0" w:color="auto"/>
                <w:bottom w:val="none" w:sz="0" w:space="0" w:color="auto"/>
                <w:right w:val="none" w:sz="0" w:space="0" w:color="auto"/>
              </w:divBdr>
            </w:div>
            <w:div w:id="1845824084">
              <w:marLeft w:val="0"/>
              <w:marRight w:val="0"/>
              <w:marTop w:val="0"/>
              <w:marBottom w:val="240"/>
              <w:divBdr>
                <w:top w:val="none" w:sz="0" w:space="0" w:color="auto"/>
                <w:left w:val="none" w:sz="0" w:space="0" w:color="auto"/>
                <w:bottom w:val="none" w:sz="0" w:space="0" w:color="auto"/>
                <w:right w:val="none" w:sz="0" w:space="0" w:color="auto"/>
              </w:divBdr>
            </w:div>
            <w:div w:id="851450881">
              <w:marLeft w:val="0"/>
              <w:marRight w:val="0"/>
              <w:marTop w:val="0"/>
              <w:marBottom w:val="240"/>
              <w:divBdr>
                <w:top w:val="none" w:sz="0" w:space="0" w:color="auto"/>
                <w:left w:val="none" w:sz="0" w:space="0" w:color="auto"/>
                <w:bottom w:val="none" w:sz="0" w:space="0" w:color="auto"/>
                <w:right w:val="none" w:sz="0" w:space="0" w:color="auto"/>
              </w:divBdr>
            </w:div>
            <w:div w:id="1948544276">
              <w:marLeft w:val="0"/>
              <w:marRight w:val="0"/>
              <w:marTop w:val="0"/>
              <w:marBottom w:val="240"/>
              <w:divBdr>
                <w:top w:val="none" w:sz="0" w:space="0" w:color="auto"/>
                <w:left w:val="none" w:sz="0" w:space="0" w:color="auto"/>
                <w:bottom w:val="none" w:sz="0" w:space="0" w:color="auto"/>
                <w:right w:val="none" w:sz="0" w:space="0" w:color="auto"/>
              </w:divBdr>
            </w:div>
            <w:div w:id="968319592">
              <w:marLeft w:val="0"/>
              <w:marRight w:val="0"/>
              <w:marTop w:val="0"/>
              <w:marBottom w:val="240"/>
              <w:divBdr>
                <w:top w:val="none" w:sz="0" w:space="0" w:color="auto"/>
                <w:left w:val="none" w:sz="0" w:space="0" w:color="auto"/>
                <w:bottom w:val="none" w:sz="0" w:space="0" w:color="auto"/>
                <w:right w:val="none" w:sz="0" w:space="0" w:color="auto"/>
              </w:divBdr>
            </w:div>
            <w:div w:id="1563557983">
              <w:marLeft w:val="0"/>
              <w:marRight w:val="0"/>
              <w:marTop w:val="0"/>
              <w:marBottom w:val="240"/>
              <w:divBdr>
                <w:top w:val="none" w:sz="0" w:space="0" w:color="auto"/>
                <w:left w:val="none" w:sz="0" w:space="0" w:color="auto"/>
                <w:bottom w:val="none" w:sz="0" w:space="0" w:color="auto"/>
                <w:right w:val="none" w:sz="0" w:space="0" w:color="auto"/>
              </w:divBdr>
            </w:div>
            <w:div w:id="971641217">
              <w:marLeft w:val="0"/>
              <w:marRight w:val="0"/>
              <w:marTop w:val="0"/>
              <w:marBottom w:val="240"/>
              <w:divBdr>
                <w:top w:val="none" w:sz="0" w:space="0" w:color="auto"/>
                <w:left w:val="none" w:sz="0" w:space="0" w:color="auto"/>
                <w:bottom w:val="none" w:sz="0" w:space="0" w:color="auto"/>
                <w:right w:val="none" w:sz="0" w:space="0" w:color="auto"/>
              </w:divBdr>
            </w:div>
            <w:div w:id="74983028">
              <w:marLeft w:val="0"/>
              <w:marRight w:val="0"/>
              <w:marTop w:val="0"/>
              <w:marBottom w:val="240"/>
              <w:divBdr>
                <w:top w:val="none" w:sz="0" w:space="0" w:color="auto"/>
                <w:left w:val="none" w:sz="0" w:space="0" w:color="auto"/>
                <w:bottom w:val="none" w:sz="0" w:space="0" w:color="auto"/>
                <w:right w:val="none" w:sz="0" w:space="0" w:color="auto"/>
              </w:divBdr>
            </w:div>
            <w:div w:id="1271426698">
              <w:marLeft w:val="0"/>
              <w:marRight w:val="0"/>
              <w:marTop w:val="0"/>
              <w:marBottom w:val="240"/>
              <w:divBdr>
                <w:top w:val="none" w:sz="0" w:space="0" w:color="auto"/>
                <w:left w:val="none" w:sz="0" w:space="0" w:color="auto"/>
                <w:bottom w:val="none" w:sz="0" w:space="0" w:color="auto"/>
                <w:right w:val="none" w:sz="0" w:space="0" w:color="auto"/>
              </w:divBdr>
            </w:div>
            <w:div w:id="1613635456">
              <w:marLeft w:val="0"/>
              <w:marRight w:val="0"/>
              <w:marTop w:val="0"/>
              <w:marBottom w:val="240"/>
              <w:divBdr>
                <w:top w:val="none" w:sz="0" w:space="0" w:color="auto"/>
                <w:left w:val="none" w:sz="0" w:space="0" w:color="auto"/>
                <w:bottom w:val="none" w:sz="0" w:space="0" w:color="auto"/>
                <w:right w:val="none" w:sz="0" w:space="0" w:color="auto"/>
              </w:divBdr>
            </w:div>
            <w:div w:id="299263402">
              <w:marLeft w:val="0"/>
              <w:marRight w:val="0"/>
              <w:marTop w:val="0"/>
              <w:marBottom w:val="240"/>
              <w:divBdr>
                <w:top w:val="none" w:sz="0" w:space="0" w:color="auto"/>
                <w:left w:val="none" w:sz="0" w:space="0" w:color="auto"/>
                <w:bottom w:val="none" w:sz="0" w:space="0" w:color="auto"/>
                <w:right w:val="none" w:sz="0" w:space="0" w:color="auto"/>
              </w:divBdr>
            </w:div>
            <w:div w:id="1449202900">
              <w:marLeft w:val="0"/>
              <w:marRight w:val="0"/>
              <w:marTop w:val="0"/>
              <w:marBottom w:val="240"/>
              <w:divBdr>
                <w:top w:val="none" w:sz="0" w:space="0" w:color="auto"/>
                <w:left w:val="none" w:sz="0" w:space="0" w:color="auto"/>
                <w:bottom w:val="none" w:sz="0" w:space="0" w:color="auto"/>
                <w:right w:val="none" w:sz="0" w:space="0" w:color="auto"/>
              </w:divBdr>
            </w:div>
            <w:div w:id="632061244">
              <w:marLeft w:val="0"/>
              <w:marRight w:val="0"/>
              <w:marTop w:val="0"/>
              <w:marBottom w:val="240"/>
              <w:divBdr>
                <w:top w:val="none" w:sz="0" w:space="0" w:color="auto"/>
                <w:left w:val="none" w:sz="0" w:space="0" w:color="auto"/>
                <w:bottom w:val="none" w:sz="0" w:space="0" w:color="auto"/>
                <w:right w:val="none" w:sz="0" w:space="0" w:color="auto"/>
              </w:divBdr>
            </w:div>
            <w:div w:id="309478525">
              <w:marLeft w:val="0"/>
              <w:marRight w:val="0"/>
              <w:marTop w:val="0"/>
              <w:marBottom w:val="240"/>
              <w:divBdr>
                <w:top w:val="none" w:sz="0" w:space="0" w:color="auto"/>
                <w:left w:val="none" w:sz="0" w:space="0" w:color="auto"/>
                <w:bottom w:val="none" w:sz="0" w:space="0" w:color="auto"/>
                <w:right w:val="none" w:sz="0" w:space="0" w:color="auto"/>
              </w:divBdr>
            </w:div>
            <w:div w:id="357505849">
              <w:marLeft w:val="0"/>
              <w:marRight w:val="0"/>
              <w:marTop w:val="0"/>
              <w:marBottom w:val="240"/>
              <w:divBdr>
                <w:top w:val="none" w:sz="0" w:space="0" w:color="auto"/>
                <w:left w:val="none" w:sz="0" w:space="0" w:color="auto"/>
                <w:bottom w:val="none" w:sz="0" w:space="0" w:color="auto"/>
                <w:right w:val="none" w:sz="0" w:space="0" w:color="auto"/>
              </w:divBdr>
            </w:div>
            <w:div w:id="1809318387">
              <w:marLeft w:val="0"/>
              <w:marRight w:val="0"/>
              <w:marTop w:val="0"/>
              <w:marBottom w:val="240"/>
              <w:divBdr>
                <w:top w:val="none" w:sz="0" w:space="0" w:color="auto"/>
                <w:left w:val="none" w:sz="0" w:space="0" w:color="auto"/>
                <w:bottom w:val="none" w:sz="0" w:space="0" w:color="auto"/>
                <w:right w:val="none" w:sz="0" w:space="0" w:color="auto"/>
              </w:divBdr>
            </w:div>
            <w:div w:id="1549997456">
              <w:marLeft w:val="0"/>
              <w:marRight w:val="0"/>
              <w:marTop w:val="0"/>
              <w:marBottom w:val="240"/>
              <w:divBdr>
                <w:top w:val="none" w:sz="0" w:space="0" w:color="auto"/>
                <w:left w:val="none" w:sz="0" w:space="0" w:color="auto"/>
                <w:bottom w:val="none" w:sz="0" w:space="0" w:color="auto"/>
                <w:right w:val="none" w:sz="0" w:space="0" w:color="auto"/>
              </w:divBdr>
            </w:div>
            <w:div w:id="902717900">
              <w:marLeft w:val="0"/>
              <w:marRight w:val="0"/>
              <w:marTop w:val="0"/>
              <w:marBottom w:val="240"/>
              <w:divBdr>
                <w:top w:val="none" w:sz="0" w:space="0" w:color="auto"/>
                <w:left w:val="none" w:sz="0" w:space="0" w:color="auto"/>
                <w:bottom w:val="none" w:sz="0" w:space="0" w:color="auto"/>
                <w:right w:val="none" w:sz="0" w:space="0" w:color="auto"/>
              </w:divBdr>
            </w:div>
            <w:div w:id="1960867444">
              <w:marLeft w:val="0"/>
              <w:marRight w:val="0"/>
              <w:marTop w:val="0"/>
              <w:marBottom w:val="240"/>
              <w:divBdr>
                <w:top w:val="none" w:sz="0" w:space="0" w:color="auto"/>
                <w:left w:val="none" w:sz="0" w:space="0" w:color="auto"/>
                <w:bottom w:val="none" w:sz="0" w:space="0" w:color="auto"/>
                <w:right w:val="none" w:sz="0" w:space="0" w:color="auto"/>
              </w:divBdr>
            </w:div>
            <w:div w:id="1930039476">
              <w:marLeft w:val="0"/>
              <w:marRight w:val="0"/>
              <w:marTop w:val="0"/>
              <w:marBottom w:val="240"/>
              <w:divBdr>
                <w:top w:val="none" w:sz="0" w:space="0" w:color="auto"/>
                <w:left w:val="none" w:sz="0" w:space="0" w:color="auto"/>
                <w:bottom w:val="none" w:sz="0" w:space="0" w:color="auto"/>
                <w:right w:val="none" w:sz="0" w:space="0" w:color="auto"/>
              </w:divBdr>
            </w:div>
            <w:div w:id="1714883721">
              <w:marLeft w:val="0"/>
              <w:marRight w:val="0"/>
              <w:marTop w:val="0"/>
              <w:marBottom w:val="240"/>
              <w:divBdr>
                <w:top w:val="none" w:sz="0" w:space="0" w:color="auto"/>
                <w:left w:val="none" w:sz="0" w:space="0" w:color="auto"/>
                <w:bottom w:val="none" w:sz="0" w:space="0" w:color="auto"/>
                <w:right w:val="none" w:sz="0" w:space="0" w:color="auto"/>
              </w:divBdr>
            </w:div>
            <w:div w:id="27609147">
              <w:marLeft w:val="0"/>
              <w:marRight w:val="0"/>
              <w:marTop w:val="0"/>
              <w:marBottom w:val="240"/>
              <w:divBdr>
                <w:top w:val="none" w:sz="0" w:space="0" w:color="auto"/>
                <w:left w:val="none" w:sz="0" w:space="0" w:color="auto"/>
                <w:bottom w:val="none" w:sz="0" w:space="0" w:color="auto"/>
                <w:right w:val="none" w:sz="0" w:space="0" w:color="auto"/>
              </w:divBdr>
            </w:div>
            <w:div w:id="584388911">
              <w:marLeft w:val="0"/>
              <w:marRight w:val="0"/>
              <w:marTop w:val="0"/>
              <w:marBottom w:val="240"/>
              <w:divBdr>
                <w:top w:val="none" w:sz="0" w:space="0" w:color="auto"/>
                <w:left w:val="none" w:sz="0" w:space="0" w:color="auto"/>
                <w:bottom w:val="none" w:sz="0" w:space="0" w:color="auto"/>
                <w:right w:val="none" w:sz="0" w:space="0" w:color="auto"/>
              </w:divBdr>
            </w:div>
            <w:div w:id="919825010">
              <w:marLeft w:val="0"/>
              <w:marRight w:val="0"/>
              <w:marTop w:val="0"/>
              <w:marBottom w:val="240"/>
              <w:divBdr>
                <w:top w:val="none" w:sz="0" w:space="0" w:color="auto"/>
                <w:left w:val="none" w:sz="0" w:space="0" w:color="auto"/>
                <w:bottom w:val="none" w:sz="0" w:space="0" w:color="auto"/>
                <w:right w:val="none" w:sz="0" w:space="0" w:color="auto"/>
              </w:divBdr>
            </w:div>
            <w:div w:id="834224317">
              <w:marLeft w:val="0"/>
              <w:marRight w:val="0"/>
              <w:marTop w:val="0"/>
              <w:marBottom w:val="240"/>
              <w:divBdr>
                <w:top w:val="none" w:sz="0" w:space="0" w:color="auto"/>
                <w:left w:val="none" w:sz="0" w:space="0" w:color="auto"/>
                <w:bottom w:val="none" w:sz="0" w:space="0" w:color="auto"/>
                <w:right w:val="none" w:sz="0" w:space="0" w:color="auto"/>
              </w:divBdr>
            </w:div>
            <w:div w:id="934628727">
              <w:marLeft w:val="0"/>
              <w:marRight w:val="0"/>
              <w:marTop w:val="0"/>
              <w:marBottom w:val="240"/>
              <w:divBdr>
                <w:top w:val="none" w:sz="0" w:space="0" w:color="auto"/>
                <w:left w:val="none" w:sz="0" w:space="0" w:color="auto"/>
                <w:bottom w:val="none" w:sz="0" w:space="0" w:color="auto"/>
                <w:right w:val="none" w:sz="0" w:space="0" w:color="auto"/>
              </w:divBdr>
            </w:div>
            <w:div w:id="5863904">
              <w:marLeft w:val="0"/>
              <w:marRight w:val="0"/>
              <w:marTop w:val="0"/>
              <w:marBottom w:val="240"/>
              <w:divBdr>
                <w:top w:val="none" w:sz="0" w:space="0" w:color="auto"/>
                <w:left w:val="none" w:sz="0" w:space="0" w:color="auto"/>
                <w:bottom w:val="none" w:sz="0" w:space="0" w:color="auto"/>
                <w:right w:val="none" w:sz="0" w:space="0" w:color="auto"/>
              </w:divBdr>
            </w:div>
            <w:div w:id="1110003725">
              <w:marLeft w:val="0"/>
              <w:marRight w:val="0"/>
              <w:marTop w:val="0"/>
              <w:marBottom w:val="240"/>
              <w:divBdr>
                <w:top w:val="none" w:sz="0" w:space="0" w:color="auto"/>
                <w:left w:val="none" w:sz="0" w:space="0" w:color="auto"/>
                <w:bottom w:val="none" w:sz="0" w:space="0" w:color="auto"/>
                <w:right w:val="none" w:sz="0" w:space="0" w:color="auto"/>
              </w:divBdr>
            </w:div>
            <w:div w:id="633868786">
              <w:marLeft w:val="0"/>
              <w:marRight w:val="0"/>
              <w:marTop w:val="0"/>
              <w:marBottom w:val="240"/>
              <w:divBdr>
                <w:top w:val="none" w:sz="0" w:space="0" w:color="auto"/>
                <w:left w:val="none" w:sz="0" w:space="0" w:color="auto"/>
                <w:bottom w:val="none" w:sz="0" w:space="0" w:color="auto"/>
                <w:right w:val="none" w:sz="0" w:space="0" w:color="auto"/>
              </w:divBdr>
            </w:div>
            <w:div w:id="105393880">
              <w:marLeft w:val="0"/>
              <w:marRight w:val="0"/>
              <w:marTop w:val="0"/>
              <w:marBottom w:val="240"/>
              <w:divBdr>
                <w:top w:val="none" w:sz="0" w:space="0" w:color="auto"/>
                <w:left w:val="none" w:sz="0" w:space="0" w:color="auto"/>
                <w:bottom w:val="none" w:sz="0" w:space="0" w:color="auto"/>
                <w:right w:val="none" w:sz="0" w:space="0" w:color="auto"/>
              </w:divBdr>
            </w:div>
            <w:div w:id="519009796">
              <w:marLeft w:val="0"/>
              <w:marRight w:val="0"/>
              <w:marTop w:val="0"/>
              <w:marBottom w:val="240"/>
              <w:divBdr>
                <w:top w:val="none" w:sz="0" w:space="0" w:color="auto"/>
                <w:left w:val="none" w:sz="0" w:space="0" w:color="auto"/>
                <w:bottom w:val="none" w:sz="0" w:space="0" w:color="auto"/>
                <w:right w:val="none" w:sz="0" w:space="0" w:color="auto"/>
              </w:divBdr>
            </w:div>
            <w:div w:id="431366531">
              <w:marLeft w:val="0"/>
              <w:marRight w:val="0"/>
              <w:marTop w:val="0"/>
              <w:marBottom w:val="240"/>
              <w:divBdr>
                <w:top w:val="none" w:sz="0" w:space="0" w:color="auto"/>
                <w:left w:val="none" w:sz="0" w:space="0" w:color="auto"/>
                <w:bottom w:val="none" w:sz="0" w:space="0" w:color="auto"/>
                <w:right w:val="none" w:sz="0" w:space="0" w:color="auto"/>
              </w:divBdr>
            </w:div>
            <w:div w:id="694430312">
              <w:marLeft w:val="0"/>
              <w:marRight w:val="0"/>
              <w:marTop w:val="0"/>
              <w:marBottom w:val="240"/>
              <w:divBdr>
                <w:top w:val="none" w:sz="0" w:space="0" w:color="auto"/>
                <w:left w:val="none" w:sz="0" w:space="0" w:color="auto"/>
                <w:bottom w:val="none" w:sz="0" w:space="0" w:color="auto"/>
                <w:right w:val="none" w:sz="0" w:space="0" w:color="auto"/>
              </w:divBdr>
            </w:div>
            <w:div w:id="1802654775">
              <w:marLeft w:val="0"/>
              <w:marRight w:val="0"/>
              <w:marTop w:val="0"/>
              <w:marBottom w:val="240"/>
              <w:divBdr>
                <w:top w:val="none" w:sz="0" w:space="0" w:color="auto"/>
                <w:left w:val="none" w:sz="0" w:space="0" w:color="auto"/>
                <w:bottom w:val="none" w:sz="0" w:space="0" w:color="auto"/>
                <w:right w:val="none" w:sz="0" w:space="0" w:color="auto"/>
              </w:divBdr>
            </w:div>
            <w:div w:id="1722828981">
              <w:marLeft w:val="0"/>
              <w:marRight w:val="0"/>
              <w:marTop w:val="0"/>
              <w:marBottom w:val="240"/>
              <w:divBdr>
                <w:top w:val="none" w:sz="0" w:space="0" w:color="auto"/>
                <w:left w:val="none" w:sz="0" w:space="0" w:color="auto"/>
                <w:bottom w:val="none" w:sz="0" w:space="0" w:color="auto"/>
                <w:right w:val="none" w:sz="0" w:space="0" w:color="auto"/>
              </w:divBdr>
            </w:div>
            <w:div w:id="1391031992">
              <w:marLeft w:val="0"/>
              <w:marRight w:val="0"/>
              <w:marTop w:val="0"/>
              <w:marBottom w:val="240"/>
              <w:divBdr>
                <w:top w:val="none" w:sz="0" w:space="0" w:color="auto"/>
                <w:left w:val="none" w:sz="0" w:space="0" w:color="auto"/>
                <w:bottom w:val="none" w:sz="0" w:space="0" w:color="auto"/>
                <w:right w:val="none" w:sz="0" w:space="0" w:color="auto"/>
              </w:divBdr>
            </w:div>
            <w:div w:id="316763959">
              <w:marLeft w:val="0"/>
              <w:marRight w:val="0"/>
              <w:marTop w:val="0"/>
              <w:marBottom w:val="240"/>
              <w:divBdr>
                <w:top w:val="none" w:sz="0" w:space="0" w:color="auto"/>
                <w:left w:val="none" w:sz="0" w:space="0" w:color="auto"/>
                <w:bottom w:val="none" w:sz="0" w:space="0" w:color="auto"/>
                <w:right w:val="none" w:sz="0" w:space="0" w:color="auto"/>
              </w:divBdr>
            </w:div>
            <w:div w:id="1192037787">
              <w:marLeft w:val="0"/>
              <w:marRight w:val="0"/>
              <w:marTop w:val="0"/>
              <w:marBottom w:val="240"/>
              <w:divBdr>
                <w:top w:val="none" w:sz="0" w:space="0" w:color="auto"/>
                <w:left w:val="none" w:sz="0" w:space="0" w:color="auto"/>
                <w:bottom w:val="none" w:sz="0" w:space="0" w:color="auto"/>
                <w:right w:val="none" w:sz="0" w:space="0" w:color="auto"/>
              </w:divBdr>
            </w:div>
            <w:div w:id="16543000">
              <w:marLeft w:val="0"/>
              <w:marRight w:val="0"/>
              <w:marTop w:val="0"/>
              <w:marBottom w:val="240"/>
              <w:divBdr>
                <w:top w:val="none" w:sz="0" w:space="0" w:color="auto"/>
                <w:left w:val="none" w:sz="0" w:space="0" w:color="auto"/>
                <w:bottom w:val="none" w:sz="0" w:space="0" w:color="auto"/>
                <w:right w:val="none" w:sz="0" w:space="0" w:color="auto"/>
              </w:divBdr>
            </w:div>
            <w:div w:id="1702125913">
              <w:marLeft w:val="0"/>
              <w:marRight w:val="0"/>
              <w:marTop w:val="0"/>
              <w:marBottom w:val="240"/>
              <w:divBdr>
                <w:top w:val="none" w:sz="0" w:space="0" w:color="auto"/>
                <w:left w:val="none" w:sz="0" w:space="0" w:color="auto"/>
                <w:bottom w:val="none" w:sz="0" w:space="0" w:color="auto"/>
                <w:right w:val="none" w:sz="0" w:space="0" w:color="auto"/>
              </w:divBdr>
            </w:div>
            <w:div w:id="1046487303">
              <w:marLeft w:val="0"/>
              <w:marRight w:val="0"/>
              <w:marTop w:val="0"/>
              <w:marBottom w:val="240"/>
              <w:divBdr>
                <w:top w:val="none" w:sz="0" w:space="0" w:color="auto"/>
                <w:left w:val="none" w:sz="0" w:space="0" w:color="auto"/>
                <w:bottom w:val="none" w:sz="0" w:space="0" w:color="auto"/>
                <w:right w:val="none" w:sz="0" w:space="0" w:color="auto"/>
              </w:divBdr>
            </w:div>
            <w:div w:id="745033035">
              <w:marLeft w:val="0"/>
              <w:marRight w:val="0"/>
              <w:marTop w:val="0"/>
              <w:marBottom w:val="240"/>
              <w:divBdr>
                <w:top w:val="none" w:sz="0" w:space="0" w:color="auto"/>
                <w:left w:val="none" w:sz="0" w:space="0" w:color="auto"/>
                <w:bottom w:val="none" w:sz="0" w:space="0" w:color="auto"/>
                <w:right w:val="none" w:sz="0" w:space="0" w:color="auto"/>
              </w:divBdr>
            </w:div>
            <w:div w:id="1387534611">
              <w:marLeft w:val="0"/>
              <w:marRight w:val="0"/>
              <w:marTop w:val="0"/>
              <w:marBottom w:val="240"/>
              <w:divBdr>
                <w:top w:val="none" w:sz="0" w:space="0" w:color="auto"/>
                <w:left w:val="none" w:sz="0" w:space="0" w:color="auto"/>
                <w:bottom w:val="none" w:sz="0" w:space="0" w:color="auto"/>
                <w:right w:val="none" w:sz="0" w:space="0" w:color="auto"/>
              </w:divBdr>
            </w:div>
            <w:div w:id="1809590995">
              <w:marLeft w:val="0"/>
              <w:marRight w:val="0"/>
              <w:marTop w:val="0"/>
              <w:marBottom w:val="240"/>
              <w:divBdr>
                <w:top w:val="none" w:sz="0" w:space="0" w:color="auto"/>
                <w:left w:val="none" w:sz="0" w:space="0" w:color="auto"/>
                <w:bottom w:val="none" w:sz="0" w:space="0" w:color="auto"/>
                <w:right w:val="none" w:sz="0" w:space="0" w:color="auto"/>
              </w:divBdr>
            </w:div>
            <w:div w:id="1845707073">
              <w:marLeft w:val="0"/>
              <w:marRight w:val="0"/>
              <w:marTop w:val="0"/>
              <w:marBottom w:val="240"/>
              <w:divBdr>
                <w:top w:val="none" w:sz="0" w:space="0" w:color="auto"/>
                <w:left w:val="none" w:sz="0" w:space="0" w:color="auto"/>
                <w:bottom w:val="none" w:sz="0" w:space="0" w:color="auto"/>
                <w:right w:val="none" w:sz="0" w:space="0" w:color="auto"/>
              </w:divBdr>
            </w:div>
            <w:div w:id="133522796">
              <w:marLeft w:val="0"/>
              <w:marRight w:val="0"/>
              <w:marTop w:val="0"/>
              <w:marBottom w:val="240"/>
              <w:divBdr>
                <w:top w:val="none" w:sz="0" w:space="0" w:color="auto"/>
                <w:left w:val="none" w:sz="0" w:space="0" w:color="auto"/>
                <w:bottom w:val="none" w:sz="0" w:space="0" w:color="auto"/>
                <w:right w:val="none" w:sz="0" w:space="0" w:color="auto"/>
              </w:divBdr>
            </w:div>
            <w:div w:id="17630099">
              <w:marLeft w:val="0"/>
              <w:marRight w:val="0"/>
              <w:marTop w:val="0"/>
              <w:marBottom w:val="240"/>
              <w:divBdr>
                <w:top w:val="none" w:sz="0" w:space="0" w:color="auto"/>
                <w:left w:val="none" w:sz="0" w:space="0" w:color="auto"/>
                <w:bottom w:val="none" w:sz="0" w:space="0" w:color="auto"/>
                <w:right w:val="none" w:sz="0" w:space="0" w:color="auto"/>
              </w:divBdr>
            </w:div>
            <w:div w:id="595788352">
              <w:marLeft w:val="0"/>
              <w:marRight w:val="0"/>
              <w:marTop w:val="0"/>
              <w:marBottom w:val="240"/>
              <w:divBdr>
                <w:top w:val="none" w:sz="0" w:space="0" w:color="auto"/>
                <w:left w:val="none" w:sz="0" w:space="0" w:color="auto"/>
                <w:bottom w:val="none" w:sz="0" w:space="0" w:color="auto"/>
                <w:right w:val="none" w:sz="0" w:space="0" w:color="auto"/>
              </w:divBdr>
            </w:div>
            <w:div w:id="1280377212">
              <w:marLeft w:val="0"/>
              <w:marRight w:val="0"/>
              <w:marTop w:val="0"/>
              <w:marBottom w:val="240"/>
              <w:divBdr>
                <w:top w:val="none" w:sz="0" w:space="0" w:color="auto"/>
                <w:left w:val="none" w:sz="0" w:space="0" w:color="auto"/>
                <w:bottom w:val="none" w:sz="0" w:space="0" w:color="auto"/>
                <w:right w:val="none" w:sz="0" w:space="0" w:color="auto"/>
              </w:divBdr>
            </w:div>
            <w:div w:id="1961762990">
              <w:marLeft w:val="0"/>
              <w:marRight w:val="0"/>
              <w:marTop w:val="0"/>
              <w:marBottom w:val="240"/>
              <w:divBdr>
                <w:top w:val="none" w:sz="0" w:space="0" w:color="auto"/>
                <w:left w:val="none" w:sz="0" w:space="0" w:color="auto"/>
                <w:bottom w:val="none" w:sz="0" w:space="0" w:color="auto"/>
                <w:right w:val="none" w:sz="0" w:space="0" w:color="auto"/>
              </w:divBdr>
            </w:div>
            <w:div w:id="903638237">
              <w:marLeft w:val="0"/>
              <w:marRight w:val="0"/>
              <w:marTop w:val="0"/>
              <w:marBottom w:val="240"/>
              <w:divBdr>
                <w:top w:val="none" w:sz="0" w:space="0" w:color="auto"/>
                <w:left w:val="none" w:sz="0" w:space="0" w:color="auto"/>
                <w:bottom w:val="none" w:sz="0" w:space="0" w:color="auto"/>
                <w:right w:val="none" w:sz="0" w:space="0" w:color="auto"/>
              </w:divBdr>
            </w:div>
            <w:div w:id="326714425">
              <w:marLeft w:val="0"/>
              <w:marRight w:val="0"/>
              <w:marTop w:val="0"/>
              <w:marBottom w:val="240"/>
              <w:divBdr>
                <w:top w:val="none" w:sz="0" w:space="0" w:color="auto"/>
                <w:left w:val="none" w:sz="0" w:space="0" w:color="auto"/>
                <w:bottom w:val="none" w:sz="0" w:space="0" w:color="auto"/>
                <w:right w:val="none" w:sz="0" w:space="0" w:color="auto"/>
              </w:divBdr>
            </w:div>
            <w:div w:id="1415736872">
              <w:marLeft w:val="0"/>
              <w:marRight w:val="0"/>
              <w:marTop w:val="0"/>
              <w:marBottom w:val="240"/>
              <w:divBdr>
                <w:top w:val="none" w:sz="0" w:space="0" w:color="auto"/>
                <w:left w:val="none" w:sz="0" w:space="0" w:color="auto"/>
                <w:bottom w:val="none" w:sz="0" w:space="0" w:color="auto"/>
                <w:right w:val="none" w:sz="0" w:space="0" w:color="auto"/>
              </w:divBdr>
            </w:div>
            <w:div w:id="287200760">
              <w:marLeft w:val="0"/>
              <w:marRight w:val="0"/>
              <w:marTop w:val="0"/>
              <w:marBottom w:val="240"/>
              <w:divBdr>
                <w:top w:val="none" w:sz="0" w:space="0" w:color="auto"/>
                <w:left w:val="none" w:sz="0" w:space="0" w:color="auto"/>
                <w:bottom w:val="none" w:sz="0" w:space="0" w:color="auto"/>
                <w:right w:val="none" w:sz="0" w:space="0" w:color="auto"/>
              </w:divBdr>
            </w:div>
            <w:div w:id="798256762">
              <w:marLeft w:val="0"/>
              <w:marRight w:val="0"/>
              <w:marTop w:val="0"/>
              <w:marBottom w:val="240"/>
              <w:divBdr>
                <w:top w:val="none" w:sz="0" w:space="0" w:color="auto"/>
                <w:left w:val="none" w:sz="0" w:space="0" w:color="auto"/>
                <w:bottom w:val="none" w:sz="0" w:space="0" w:color="auto"/>
                <w:right w:val="none" w:sz="0" w:space="0" w:color="auto"/>
              </w:divBdr>
            </w:div>
            <w:div w:id="1415472503">
              <w:marLeft w:val="0"/>
              <w:marRight w:val="0"/>
              <w:marTop w:val="0"/>
              <w:marBottom w:val="240"/>
              <w:divBdr>
                <w:top w:val="none" w:sz="0" w:space="0" w:color="auto"/>
                <w:left w:val="none" w:sz="0" w:space="0" w:color="auto"/>
                <w:bottom w:val="none" w:sz="0" w:space="0" w:color="auto"/>
                <w:right w:val="none" w:sz="0" w:space="0" w:color="auto"/>
              </w:divBdr>
            </w:div>
            <w:div w:id="922832668">
              <w:marLeft w:val="0"/>
              <w:marRight w:val="0"/>
              <w:marTop w:val="0"/>
              <w:marBottom w:val="240"/>
              <w:divBdr>
                <w:top w:val="none" w:sz="0" w:space="0" w:color="auto"/>
                <w:left w:val="none" w:sz="0" w:space="0" w:color="auto"/>
                <w:bottom w:val="none" w:sz="0" w:space="0" w:color="auto"/>
                <w:right w:val="none" w:sz="0" w:space="0" w:color="auto"/>
              </w:divBdr>
            </w:div>
            <w:div w:id="252664378">
              <w:marLeft w:val="0"/>
              <w:marRight w:val="0"/>
              <w:marTop w:val="0"/>
              <w:marBottom w:val="240"/>
              <w:divBdr>
                <w:top w:val="none" w:sz="0" w:space="0" w:color="auto"/>
                <w:left w:val="none" w:sz="0" w:space="0" w:color="auto"/>
                <w:bottom w:val="none" w:sz="0" w:space="0" w:color="auto"/>
                <w:right w:val="none" w:sz="0" w:space="0" w:color="auto"/>
              </w:divBdr>
            </w:div>
            <w:div w:id="184098913">
              <w:marLeft w:val="0"/>
              <w:marRight w:val="0"/>
              <w:marTop w:val="0"/>
              <w:marBottom w:val="240"/>
              <w:divBdr>
                <w:top w:val="none" w:sz="0" w:space="0" w:color="auto"/>
                <w:left w:val="none" w:sz="0" w:space="0" w:color="auto"/>
                <w:bottom w:val="none" w:sz="0" w:space="0" w:color="auto"/>
                <w:right w:val="none" w:sz="0" w:space="0" w:color="auto"/>
              </w:divBdr>
            </w:div>
            <w:div w:id="897470674">
              <w:marLeft w:val="0"/>
              <w:marRight w:val="0"/>
              <w:marTop w:val="0"/>
              <w:marBottom w:val="240"/>
              <w:divBdr>
                <w:top w:val="none" w:sz="0" w:space="0" w:color="auto"/>
                <w:left w:val="none" w:sz="0" w:space="0" w:color="auto"/>
                <w:bottom w:val="none" w:sz="0" w:space="0" w:color="auto"/>
                <w:right w:val="none" w:sz="0" w:space="0" w:color="auto"/>
              </w:divBdr>
            </w:div>
            <w:div w:id="562982925">
              <w:marLeft w:val="0"/>
              <w:marRight w:val="0"/>
              <w:marTop w:val="0"/>
              <w:marBottom w:val="240"/>
              <w:divBdr>
                <w:top w:val="none" w:sz="0" w:space="0" w:color="auto"/>
                <w:left w:val="none" w:sz="0" w:space="0" w:color="auto"/>
                <w:bottom w:val="none" w:sz="0" w:space="0" w:color="auto"/>
                <w:right w:val="none" w:sz="0" w:space="0" w:color="auto"/>
              </w:divBdr>
            </w:div>
            <w:div w:id="1376927880">
              <w:marLeft w:val="0"/>
              <w:marRight w:val="0"/>
              <w:marTop w:val="0"/>
              <w:marBottom w:val="240"/>
              <w:divBdr>
                <w:top w:val="none" w:sz="0" w:space="0" w:color="auto"/>
                <w:left w:val="none" w:sz="0" w:space="0" w:color="auto"/>
                <w:bottom w:val="none" w:sz="0" w:space="0" w:color="auto"/>
                <w:right w:val="none" w:sz="0" w:space="0" w:color="auto"/>
              </w:divBdr>
            </w:div>
            <w:div w:id="1094206063">
              <w:marLeft w:val="0"/>
              <w:marRight w:val="0"/>
              <w:marTop w:val="0"/>
              <w:marBottom w:val="240"/>
              <w:divBdr>
                <w:top w:val="none" w:sz="0" w:space="0" w:color="auto"/>
                <w:left w:val="none" w:sz="0" w:space="0" w:color="auto"/>
                <w:bottom w:val="none" w:sz="0" w:space="0" w:color="auto"/>
                <w:right w:val="none" w:sz="0" w:space="0" w:color="auto"/>
              </w:divBdr>
            </w:div>
            <w:div w:id="1114442790">
              <w:marLeft w:val="0"/>
              <w:marRight w:val="0"/>
              <w:marTop w:val="0"/>
              <w:marBottom w:val="240"/>
              <w:divBdr>
                <w:top w:val="none" w:sz="0" w:space="0" w:color="auto"/>
                <w:left w:val="none" w:sz="0" w:space="0" w:color="auto"/>
                <w:bottom w:val="none" w:sz="0" w:space="0" w:color="auto"/>
                <w:right w:val="none" w:sz="0" w:space="0" w:color="auto"/>
              </w:divBdr>
            </w:div>
            <w:div w:id="292833308">
              <w:marLeft w:val="0"/>
              <w:marRight w:val="0"/>
              <w:marTop w:val="0"/>
              <w:marBottom w:val="240"/>
              <w:divBdr>
                <w:top w:val="none" w:sz="0" w:space="0" w:color="auto"/>
                <w:left w:val="none" w:sz="0" w:space="0" w:color="auto"/>
                <w:bottom w:val="none" w:sz="0" w:space="0" w:color="auto"/>
                <w:right w:val="none" w:sz="0" w:space="0" w:color="auto"/>
              </w:divBdr>
            </w:div>
            <w:div w:id="1696224654">
              <w:marLeft w:val="0"/>
              <w:marRight w:val="0"/>
              <w:marTop w:val="0"/>
              <w:marBottom w:val="240"/>
              <w:divBdr>
                <w:top w:val="none" w:sz="0" w:space="0" w:color="auto"/>
                <w:left w:val="none" w:sz="0" w:space="0" w:color="auto"/>
                <w:bottom w:val="none" w:sz="0" w:space="0" w:color="auto"/>
                <w:right w:val="none" w:sz="0" w:space="0" w:color="auto"/>
              </w:divBdr>
            </w:div>
            <w:div w:id="1004864374">
              <w:marLeft w:val="0"/>
              <w:marRight w:val="0"/>
              <w:marTop w:val="0"/>
              <w:marBottom w:val="240"/>
              <w:divBdr>
                <w:top w:val="none" w:sz="0" w:space="0" w:color="auto"/>
                <w:left w:val="none" w:sz="0" w:space="0" w:color="auto"/>
                <w:bottom w:val="none" w:sz="0" w:space="0" w:color="auto"/>
                <w:right w:val="none" w:sz="0" w:space="0" w:color="auto"/>
              </w:divBdr>
            </w:div>
            <w:div w:id="1047529742">
              <w:marLeft w:val="0"/>
              <w:marRight w:val="0"/>
              <w:marTop w:val="0"/>
              <w:marBottom w:val="240"/>
              <w:divBdr>
                <w:top w:val="none" w:sz="0" w:space="0" w:color="auto"/>
                <w:left w:val="none" w:sz="0" w:space="0" w:color="auto"/>
                <w:bottom w:val="none" w:sz="0" w:space="0" w:color="auto"/>
                <w:right w:val="none" w:sz="0" w:space="0" w:color="auto"/>
              </w:divBdr>
            </w:div>
            <w:div w:id="1832521497">
              <w:marLeft w:val="0"/>
              <w:marRight w:val="0"/>
              <w:marTop w:val="0"/>
              <w:marBottom w:val="240"/>
              <w:divBdr>
                <w:top w:val="none" w:sz="0" w:space="0" w:color="auto"/>
                <w:left w:val="none" w:sz="0" w:space="0" w:color="auto"/>
                <w:bottom w:val="none" w:sz="0" w:space="0" w:color="auto"/>
                <w:right w:val="none" w:sz="0" w:space="0" w:color="auto"/>
              </w:divBdr>
            </w:div>
            <w:div w:id="752893012">
              <w:marLeft w:val="0"/>
              <w:marRight w:val="0"/>
              <w:marTop w:val="0"/>
              <w:marBottom w:val="240"/>
              <w:divBdr>
                <w:top w:val="none" w:sz="0" w:space="0" w:color="auto"/>
                <w:left w:val="none" w:sz="0" w:space="0" w:color="auto"/>
                <w:bottom w:val="none" w:sz="0" w:space="0" w:color="auto"/>
                <w:right w:val="none" w:sz="0" w:space="0" w:color="auto"/>
              </w:divBdr>
            </w:div>
            <w:div w:id="1776292295">
              <w:marLeft w:val="0"/>
              <w:marRight w:val="0"/>
              <w:marTop w:val="0"/>
              <w:marBottom w:val="240"/>
              <w:divBdr>
                <w:top w:val="none" w:sz="0" w:space="0" w:color="auto"/>
                <w:left w:val="none" w:sz="0" w:space="0" w:color="auto"/>
                <w:bottom w:val="none" w:sz="0" w:space="0" w:color="auto"/>
                <w:right w:val="none" w:sz="0" w:space="0" w:color="auto"/>
              </w:divBdr>
            </w:div>
            <w:div w:id="255334019">
              <w:marLeft w:val="0"/>
              <w:marRight w:val="0"/>
              <w:marTop w:val="0"/>
              <w:marBottom w:val="240"/>
              <w:divBdr>
                <w:top w:val="none" w:sz="0" w:space="0" w:color="auto"/>
                <w:left w:val="none" w:sz="0" w:space="0" w:color="auto"/>
                <w:bottom w:val="none" w:sz="0" w:space="0" w:color="auto"/>
                <w:right w:val="none" w:sz="0" w:space="0" w:color="auto"/>
              </w:divBdr>
            </w:div>
            <w:div w:id="740912951">
              <w:marLeft w:val="0"/>
              <w:marRight w:val="0"/>
              <w:marTop w:val="0"/>
              <w:marBottom w:val="240"/>
              <w:divBdr>
                <w:top w:val="none" w:sz="0" w:space="0" w:color="auto"/>
                <w:left w:val="none" w:sz="0" w:space="0" w:color="auto"/>
                <w:bottom w:val="none" w:sz="0" w:space="0" w:color="auto"/>
                <w:right w:val="none" w:sz="0" w:space="0" w:color="auto"/>
              </w:divBdr>
            </w:div>
            <w:div w:id="945189606">
              <w:marLeft w:val="0"/>
              <w:marRight w:val="0"/>
              <w:marTop w:val="0"/>
              <w:marBottom w:val="240"/>
              <w:divBdr>
                <w:top w:val="none" w:sz="0" w:space="0" w:color="auto"/>
                <w:left w:val="none" w:sz="0" w:space="0" w:color="auto"/>
                <w:bottom w:val="none" w:sz="0" w:space="0" w:color="auto"/>
                <w:right w:val="none" w:sz="0" w:space="0" w:color="auto"/>
              </w:divBdr>
            </w:div>
            <w:div w:id="2052456522">
              <w:marLeft w:val="0"/>
              <w:marRight w:val="0"/>
              <w:marTop w:val="0"/>
              <w:marBottom w:val="240"/>
              <w:divBdr>
                <w:top w:val="none" w:sz="0" w:space="0" w:color="auto"/>
                <w:left w:val="none" w:sz="0" w:space="0" w:color="auto"/>
                <w:bottom w:val="none" w:sz="0" w:space="0" w:color="auto"/>
                <w:right w:val="none" w:sz="0" w:space="0" w:color="auto"/>
              </w:divBdr>
            </w:div>
            <w:div w:id="761612079">
              <w:marLeft w:val="0"/>
              <w:marRight w:val="0"/>
              <w:marTop w:val="0"/>
              <w:marBottom w:val="240"/>
              <w:divBdr>
                <w:top w:val="none" w:sz="0" w:space="0" w:color="auto"/>
                <w:left w:val="none" w:sz="0" w:space="0" w:color="auto"/>
                <w:bottom w:val="none" w:sz="0" w:space="0" w:color="auto"/>
                <w:right w:val="none" w:sz="0" w:space="0" w:color="auto"/>
              </w:divBdr>
            </w:div>
            <w:div w:id="2084519262">
              <w:marLeft w:val="0"/>
              <w:marRight w:val="0"/>
              <w:marTop w:val="0"/>
              <w:marBottom w:val="240"/>
              <w:divBdr>
                <w:top w:val="none" w:sz="0" w:space="0" w:color="auto"/>
                <w:left w:val="none" w:sz="0" w:space="0" w:color="auto"/>
                <w:bottom w:val="none" w:sz="0" w:space="0" w:color="auto"/>
                <w:right w:val="none" w:sz="0" w:space="0" w:color="auto"/>
              </w:divBdr>
            </w:div>
            <w:div w:id="1526282488">
              <w:marLeft w:val="0"/>
              <w:marRight w:val="0"/>
              <w:marTop w:val="0"/>
              <w:marBottom w:val="240"/>
              <w:divBdr>
                <w:top w:val="none" w:sz="0" w:space="0" w:color="auto"/>
                <w:left w:val="none" w:sz="0" w:space="0" w:color="auto"/>
                <w:bottom w:val="none" w:sz="0" w:space="0" w:color="auto"/>
                <w:right w:val="none" w:sz="0" w:space="0" w:color="auto"/>
              </w:divBdr>
            </w:div>
            <w:div w:id="733697640">
              <w:marLeft w:val="0"/>
              <w:marRight w:val="0"/>
              <w:marTop w:val="0"/>
              <w:marBottom w:val="240"/>
              <w:divBdr>
                <w:top w:val="none" w:sz="0" w:space="0" w:color="auto"/>
                <w:left w:val="none" w:sz="0" w:space="0" w:color="auto"/>
                <w:bottom w:val="none" w:sz="0" w:space="0" w:color="auto"/>
                <w:right w:val="none" w:sz="0" w:space="0" w:color="auto"/>
              </w:divBdr>
            </w:div>
            <w:div w:id="2012290654">
              <w:marLeft w:val="0"/>
              <w:marRight w:val="0"/>
              <w:marTop w:val="0"/>
              <w:marBottom w:val="240"/>
              <w:divBdr>
                <w:top w:val="none" w:sz="0" w:space="0" w:color="auto"/>
                <w:left w:val="none" w:sz="0" w:space="0" w:color="auto"/>
                <w:bottom w:val="none" w:sz="0" w:space="0" w:color="auto"/>
                <w:right w:val="none" w:sz="0" w:space="0" w:color="auto"/>
              </w:divBdr>
            </w:div>
            <w:div w:id="336270762">
              <w:marLeft w:val="0"/>
              <w:marRight w:val="0"/>
              <w:marTop w:val="0"/>
              <w:marBottom w:val="240"/>
              <w:divBdr>
                <w:top w:val="none" w:sz="0" w:space="0" w:color="auto"/>
                <w:left w:val="none" w:sz="0" w:space="0" w:color="auto"/>
                <w:bottom w:val="none" w:sz="0" w:space="0" w:color="auto"/>
                <w:right w:val="none" w:sz="0" w:space="0" w:color="auto"/>
              </w:divBdr>
            </w:div>
            <w:div w:id="561331729">
              <w:marLeft w:val="0"/>
              <w:marRight w:val="0"/>
              <w:marTop w:val="0"/>
              <w:marBottom w:val="240"/>
              <w:divBdr>
                <w:top w:val="none" w:sz="0" w:space="0" w:color="auto"/>
                <w:left w:val="none" w:sz="0" w:space="0" w:color="auto"/>
                <w:bottom w:val="none" w:sz="0" w:space="0" w:color="auto"/>
                <w:right w:val="none" w:sz="0" w:space="0" w:color="auto"/>
              </w:divBdr>
            </w:div>
            <w:div w:id="1061638908">
              <w:marLeft w:val="0"/>
              <w:marRight w:val="0"/>
              <w:marTop w:val="0"/>
              <w:marBottom w:val="240"/>
              <w:divBdr>
                <w:top w:val="none" w:sz="0" w:space="0" w:color="auto"/>
                <w:left w:val="none" w:sz="0" w:space="0" w:color="auto"/>
                <w:bottom w:val="none" w:sz="0" w:space="0" w:color="auto"/>
                <w:right w:val="none" w:sz="0" w:space="0" w:color="auto"/>
              </w:divBdr>
            </w:div>
            <w:div w:id="731076559">
              <w:marLeft w:val="0"/>
              <w:marRight w:val="0"/>
              <w:marTop w:val="0"/>
              <w:marBottom w:val="240"/>
              <w:divBdr>
                <w:top w:val="none" w:sz="0" w:space="0" w:color="auto"/>
                <w:left w:val="none" w:sz="0" w:space="0" w:color="auto"/>
                <w:bottom w:val="none" w:sz="0" w:space="0" w:color="auto"/>
                <w:right w:val="none" w:sz="0" w:space="0" w:color="auto"/>
              </w:divBdr>
            </w:div>
            <w:div w:id="1411392542">
              <w:marLeft w:val="0"/>
              <w:marRight w:val="0"/>
              <w:marTop w:val="0"/>
              <w:marBottom w:val="240"/>
              <w:divBdr>
                <w:top w:val="none" w:sz="0" w:space="0" w:color="auto"/>
                <w:left w:val="none" w:sz="0" w:space="0" w:color="auto"/>
                <w:bottom w:val="none" w:sz="0" w:space="0" w:color="auto"/>
                <w:right w:val="none" w:sz="0" w:space="0" w:color="auto"/>
              </w:divBdr>
            </w:div>
            <w:div w:id="700322463">
              <w:marLeft w:val="0"/>
              <w:marRight w:val="0"/>
              <w:marTop w:val="0"/>
              <w:marBottom w:val="240"/>
              <w:divBdr>
                <w:top w:val="none" w:sz="0" w:space="0" w:color="auto"/>
                <w:left w:val="none" w:sz="0" w:space="0" w:color="auto"/>
                <w:bottom w:val="none" w:sz="0" w:space="0" w:color="auto"/>
                <w:right w:val="none" w:sz="0" w:space="0" w:color="auto"/>
              </w:divBdr>
            </w:div>
            <w:div w:id="2097901218">
              <w:marLeft w:val="0"/>
              <w:marRight w:val="0"/>
              <w:marTop w:val="0"/>
              <w:marBottom w:val="240"/>
              <w:divBdr>
                <w:top w:val="none" w:sz="0" w:space="0" w:color="auto"/>
                <w:left w:val="none" w:sz="0" w:space="0" w:color="auto"/>
                <w:bottom w:val="none" w:sz="0" w:space="0" w:color="auto"/>
                <w:right w:val="none" w:sz="0" w:space="0" w:color="auto"/>
              </w:divBdr>
            </w:div>
            <w:div w:id="1972901904">
              <w:marLeft w:val="0"/>
              <w:marRight w:val="0"/>
              <w:marTop w:val="0"/>
              <w:marBottom w:val="240"/>
              <w:divBdr>
                <w:top w:val="none" w:sz="0" w:space="0" w:color="auto"/>
                <w:left w:val="none" w:sz="0" w:space="0" w:color="auto"/>
                <w:bottom w:val="none" w:sz="0" w:space="0" w:color="auto"/>
                <w:right w:val="none" w:sz="0" w:space="0" w:color="auto"/>
              </w:divBdr>
            </w:div>
            <w:div w:id="437605893">
              <w:marLeft w:val="0"/>
              <w:marRight w:val="0"/>
              <w:marTop w:val="0"/>
              <w:marBottom w:val="240"/>
              <w:divBdr>
                <w:top w:val="none" w:sz="0" w:space="0" w:color="auto"/>
                <w:left w:val="none" w:sz="0" w:space="0" w:color="auto"/>
                <w:bottom w:val="none" w:sz="0" w:space="0" w:color="auto"/>
                <w:right w:val="none" w:sz="0" w:space="0" w:color="auto"/>
              </w:divBdr>
            </w:div>
            <w:div w:id="491802485">
              <w:marLeft w:val="0"/>
              <w:marRight w:val="0"/>
              <w:marTop w:val="0"/>
              <w:marBottom w:val="240"/>
              <w:divBdr>
                <w:top w:val="none" w:sz="0" w:space="0" w:color="auto"/>
                <w:left w:val="none" w:sz="0" w:space="0" w:color="auto"/>
                <w:bottom w:val="none" w:sz="0" w:space="0" w:color="auto"/>
                <w:right w:val="none" w:sz="0" w:space="0" w:color="auto"/>
              </w:divBdr>
            </w:div>
            <w:div w:id="1674186353">
              <w:marLeft w:val="0"/>
              <w:marRight w:val="0"/>
              <w:marTop w:val="0"/>
              <w:marBottom w:val="240"/>
              <w:divBdr>
                <w:top w:val="none" w:sz="0" w:space="0" w:color="auto"/>
                <w:left w:val="none" w:sz="0" w:space="0" w:color="auto"/>
                <w:bottom w:val="none" w:sz="0" w:space="0" w:color="auto"/>
                <w:right w:val="none" w:sz="0" w:space="0" w:color="auto"/>
              </w:divBdr>
            </w:div>
            <w:div w:id="33971404">
              <w:marLeft w:val="0"/>
              <w:marRight w:val="0"/>
              <w:marTop w:val="0"/>
              <w:marBottom w:val="240"/>
              <w:divBdr>
                <w:top w:val="none" w:sz="0" w:space="0" w:color="auto"/>
                <w:left w:val="none" w:sz="0" w:space="0" w:color="auto"/>
                <w:bottom w:val="none" w:sz="0" w:space="0" w:color="auto"/>
                <w:right w:val="none" w:sz="0" w:space="0" w:color="auto"/>
              </w:divBdr>
            </w:div>
            <w:div w:id="271939003">
              <w:marLeft w:val="0"/>
              <w:marRight w:val="0"/>
              <w:marTop w:val="0"/>
              <w:marBottom w:val="240"/>
              <w:divBdr>
                <w:top w:val="none" w:sz="0" w:space="0" w:color="auto"/>
                <w:left w:val="none" w:sz="0" w:space="0" w:color="auto"/>
                <w:bottom w:val="none" w:sz="0" w:space="0" w:color="auto"/>
                <w:right w:val="none" w:sz="0" w:space="0" w:color="auto"/>
              </w:divBdr>
            </w:div>
            <w:div w:id="1078557534">
              <w:marLeft w:val="0"/>
              <w:marRight w:val="0"/>
              <w:marTop w:val="0"/>
              <w:marBottom w:val="240"/>
              <w:divBdr>
                <w:top w:val="none" w:sz="0" w:space="0" w:color="auto"/>
                <w:left w:val="none" w:sz="0" w:space="0" w:color="auto"/>
                <w:bottom w:val="none" w:sz="0" w:space="0" w:color="auto"/>
                <w:right w:val="none" w:sz="0" w:space="0" w:color="auto"/>
              </w:divBdr>
            </w:div>
            <w:div w:id="1640768555">
              <w:marLeft w:val="0"/>
              <w:marRight w:val="0"/>
              <w:marTop w:val="0"/>
              <w:marBottom w:val="240"/>
              <w:divBdr>
                <w:top w:val="none" w:sz="0" w:space="0" w:color="auto"/>
                <w:left w:val="none" w:sz="0" w:space="0" w:color="auto"/>
                <w:bottom w:val="none" w:sz="0" w:space="0" w:color="auto"/>
                <w:right w:val="none" w:sz="0" w:space="0" w:color="auto"/>
              </w:divBdr>
            </w:div>
            <w:div w:id="513345678">
              <w:marLeft w:val="0"/>
              <w:marRight w:val="0"/>
              <w:marTop w:val="0"/>
              <w:marBottom w:val="240"/>
              <w:divBdr>
                <w:top w:val="none" w:sz="0" w:space="0" w:color="auto"/>
                <w:left w:val="none" w:sz="0" w:space="0" w:color="auto"/>
                <w:bottom w:val="none" w:sz="0" w:space="0" w:color="auto"/>
                <w:right w:val="none" w:sz="0" w:space="0" w:color="auto"/>
              </w:divBdr>
            </w:div>
            <w:div w:id="978732457">
              <w:marLeft w:val="0"/>
              <w:marRight w:val="0"/>
              <w:marTop w:val="0"/>
              <w:marBottom w:val="240"/>
              <w:divBdr>
                <w:top w:val="none" w:sz="0" w:space="0" w:color="auto"/>
                <w:left w:val="none" w:sz="0" w:space="0" w:color="auto"/>
                <w:bottom w:val="none" w:sz="0" w:space="0" w:color="auto"/>
                <w:right w:val="none" w:sz="0" w:space="0" w:color="auto"/>
              </w:divBdr>
            </w:div>
            <w:div w:id="97064396">
              <w:marLeft w:val="0"/>
              <w:marRight w:val="0"/>
              <w:marTop w:val="0"/>
              <w:marBottom w:val="240"/>
              <w:divBdr>
                <w:top w:val="none" w:sz="0" w:space="0" w:color="auto"/>
                <w:left w:val="none" w:sz="0" w:space="0" w:color="auto"/>
                <w:bottom w:val="none" w:sz="0" w:space="0" w:color="auto"/>
                <w:right w:val="none" w:sz="0" w:space="0" w:color="auto"/>
              </w:divBdr>
            </w:div>
            <w:div w:id="1288662955">
              <w:marLeft w:val="0"/>
              <w:marRight w:val="0"/>
              <w:marTop w:val="0"/>
              <w:marBottom w:val="240"/>
              <w:divBdr>
                <w:top w:val="none" w:sz="0" w:space="0" w:color="auto"/>
                <w:left w:val="none" w:sz="0" w:space="0" w:color="auto"/>
                <w:bottom w:val="none" w:sz="0" w:space="0" w:color="auto"/>
                <w:right w:val="none" w:sz="0" w:space="0" w:color="auto"/>
              </w:divBdr>
            </w:div>
            <w:div w:id="475147185">
              <w:marLeft w:val="0"/>
              <w:marRight w:val="0"/>
              <w:marTop w:val="0"/>
              <w:marBottom w:val="240"/>
              <w:divBdr>
                <w:top w:val="none" w:sz="0" w:space="0" w:color="auto"/>
                <w:left w:val="none" w:sz="0" w:space="0" w:color="auto"/>
                <w:bottom w:val="none" w:sz="0" w:space="0" w:color="auto"/>
                <w:right w:val="none" w:sz="0" w:space="0" w:color="auto"/>
              </w:divBdr>
            </w:div>
            <w:div w:id="741638084">
              <w:marLeft w:val="0"/>
              <w:marRight w:val="0"/>
              <w:marTop w:val="0"/>
              <w:marBottom w:val="240"/>
              <w:divBdr>
                <w:top w:val="none" w:sz="0" w:space="0" w:color="auto"/>
                <w:left w:val="none" w:sz="0" w:space="0" w:color="auto"/>
                <w:bottom w:val="none" w:sz="0" w:space="0" w:color="auto"/>
                <w:right w:val="none" w:sz="0" w:space="0" w:color="auto"/>
              </w:divBdr>
            </w:div>
            <w:div w:id="703093292">
              <w:marLeft w:val="0"/>
              <w:marRight w:val="0"/>
              <w:marTop w:val="0"/>
              <w:marBottom w:val="240"/>
              <w:divBdr>
                <w:top w:val="none" w:sz="0" w:space="0" w:color="auto"/>
                <w:left w:val="none" w:sz="0" w:space="0" w:color="auto"/>
                <w:bottom w:val="none" w:sz="0" w:space="0" w:color="auto"/>
                <w:right w:val="none" w:sz="0" w:space="0" w:color="auto"/>
              </w:divBdr>
            </w:div>
            <w:div w:id="1860045481">
              <w:marLeft w:val="0"/>
              <w:marRight w:val="0"/>
              <w:marTop w:val="0"/>
              <w:marBottom w:val="240"/>
              <w:divBdr>
                <w:top w:val="none" w:sz="0" w:space="0" w:color="auto"/>
                <w:left w:val="none" w:sz="0" w:space="0" w:color="auto"/>
                <w:bottom w:val="none" w:sz="0" w:space="0" w:color="auto"/>
                <w:right w:val="none" w:sz="0" w:space="0" w:color="auto"/>
              </w:divBdr>
            </w:div>
            <w:div w:id="131026936">
              <w:marLeft w:val="0"/>
              <w:marRight w:val="0"/>
              <w:marTop w:val="0"/>
              <w:marBottom w:val="240"/>
              <w:divBdr>
                <w:top w:val="none" w:sz="0" w:space="0" w:color="auto"/>
                <w:left w:val="none" w:sz="0" w:space="0" w:color="auto"/>
                <w:bottom w:val="none" w:sz="0" w:space="0" w:color="auto"/>
                <w:right w:val="none" w:sz="0" w:space="0" w:color="auto"/>
              </w:divBdr>
            </w:div>
            <w:div w:id="1781753931">
              <w:marLeft w:val="0"/>
              <w:marRight w:val="0"/>
              <w:marTop w:val="0"/>
              <w:marBottom w:val="240"/>
              <w:divBdr>
                <w:top w:val="none" w:sz="0" w:space="0" w:color="auto"/>
                <w:left w:val="none" w:sz="0" w:space="0" w:color="auto"/>
                <w:bottom w:val="none" w:sz="0" w:space="0" w:color="auto"/>
                <w:right w:val="none" w:sz="0" w:space="0" w:color="auto"/>
              </w:divBdr>
            </w:div>
            <w:div w:id="493179248">
              <w:marLeft w:val="0"/>
              <w:marRight w:val="0"/>
              <w:marTop w:val="0"/>
              <w:marBottom w:val="240"/>
              <w:divBdr>
                <w:top w:val="none" w:sz="0" w:space="0" w:color="auto"/>
                <w:left w:val="none" w:sz="0" w:space="0" w:color="auto"/>
                <w:bottom w:val="none" w:sz="0" w:space="0" w:color="auto"/>
                <w:right w:val="none" w:sz="0" w:space="0" w:color="auto"/>
              </w:divBdr>
            </w:div>
            <w:div w:id="1705983985">
              <w:marLeft w:val="0"/>
              <w:marRight w:val="0"/>
              <w:marTop w:val="0"/>
              <w:marBottom w:val="240"/>
              <w:divBdr>
                <w:top w:val="none" w:sz="0" w:space="0" w:color="auto"/>
                <w:left w:val="none" w:sz="0" w:space="0" w:color="auto"/>
                <w:bottom w:val="none" w:sz="0" w:space="0" w:color="auto"/>
                <w:right w:val="none" w:sz="0" w:space="0" w:color="auto"/>
              </w:divBdr>
            </w:div>
            <w:div w:id="432361456">
              <w:marLeft w:val="0"/>
              <w:marRight w:val="0"/>
              <w:marTop w:val="0"/>
              <w:marBottom w:val="240"/>
              <w:divBdr>
                <w:top w:val="none" w:sz="0" w:space="0" w:color="auto"/>
                <w:left w:val="none" w:sz="0" w:space="0" w:color="auto"/>
                <w:bottom w:val="none" w:sz="0" w:space="0" w:color="auto"/>
                <w:right w:val="none" w:sz="0" w:space="0" w:color="auto"/>
              </w:divBdr>
            </w:div>
            <w:div w:id="1432165379">
              <w:marLeft w:val="0"/>
              <w:marRight w:val="0"/>
              <w:marTop w:val="0"/>
              <w:marBottom w:val="240"/>
              <w:divBdr>
                <w:top w:val="none" w:sz="0" w:space="0" w:color="auto"/>
                <w:left w:val="none" w:sz="0" w:space="0" w:color="auto"/>
                <w:bottom w:val="none" w:sz="0" w:space="0" w:color="auto"/>
                <w:right w:val="none" w:sz="0" w:space="0" w:color="auto"/>
              </w:divBdr>
            </w:div>
            <w:div w:id="838159203">
              <w:marLeft w:val="0"/>
              <w:marRight w:val="0"/>
              <w:marTop w:val="0"/>
              <w:marBottom w:val="240"/>
              <w:divBdr>
                <w:top w:val="none" w:sz="0" w:space="0" w:color="auto"/>
                <w:left w:val="none" w:sz="0" w:space="0" w:color="auto"/>
                <w:bottom w:val="none" w:sz="0" w:space="0" w:color="auto"/>
                <w:right w:val="none" w:sz="0" w:space="0" w:color="auto"/>
              </w:divBdr>
            </w:div>
            <w:div w:id="1177843503">
              <w:marLeft w:val="0"/>
              <w:marRight w:val="0"/>
              <w:marTop w:val="0"/>
              <w:marBottom w:val="240"/>
              <w:divBdr>
                <w:top w:val="none" w:sz="0" w:space="0" w:color="auto"/>
                <w:left w:val="none" w:sz="0" w:space="0" w:color="auto"/>
                <w:bottom w:val="none" w:sz="0" w:space="0" w:color="auto"/>
                <w:right w:val="none" w:sz="0" w:space="0" w:color="auto"/>
              </w:divBdr>
            </w:div>
            <w:div w:id="1709211088">
              <w:marLeft w:val="0"/>
              <w:marRight w:val="0"/>
              <w:marTop w:val="0"/>
              <w:marBottom w:val="240"/>
              <w:divBdr>
                <w:top w:val="none" w:sz="0" w:space="0" w:color="auto"/>
                <w:left w:val="none" w:sz="0" w:space="0" w:color="auto"/>
                <w:bottom w:val="none" w:sz="0" w:space="0" w:color="auto"/>
                <w:right w:val="none" w:sz="0" w:space="0" w:color="auto"/>
              </w:divBdr>
            </w:div>
            <w:div w:id="1343045966">
              <w:marLeft w:val="0"/>
              <w:marRight w:val="0"/>
              <w:marTop w:val="0"/>
              <w:marBottom w:val="240"/>
              <w:divBdr>
                <w:top w:val="none" w:sz="0" w:space="0" w:color="auto"/>
                <w:left w:val="none" w:sz="0" w:space="0" w:color="auto"/>
                <w:bottom w:val="none" w:sz="0" w:space="0" w:color="auto"/>
                <w:right w:val="none" w:sz="0" w:space="0" w:color="auto"/>
              </w:divBdr>
            </w:div>
            <w:div w:id="1734624683">
              <w:marLeft w:val="0"/>
              <w:marRight w:val="0"/>
              <w:marTop w:val="0"/>
              <w:marBottom w:val="240"/>
              <w:divBdr>
                <w:top w:val="none" w:sz="0" w:space="0" w:color="auto"/>
                <w:left w:val="none" w:sz="0" w:space="0" w:color="auto"/>
                <w:bottom w:val="none" w:sz="0" w:space="0" w:color="auto"/>
                <w:right w:val="none" w:sz="0" w:space="0" w:color="auto"/>
              </w:divBdr>
            </w:div>
            <w:div w:id="1335376443">
              <w:marLeft w:val="0"/>
              <w:marRight w:val="0"/>
              <w:marTop w:val="0"/>
              <w:marBottom w:val="240"/>
              <w:divBdr>
                <w:top w:val="none" w:sz="0" w:space="0" w:color="auto"/>
                <w:left w:val="none" w:sz="0" w:space="0" w:color="auto"/>
                <w:bottom w:val="none" w:sz="0" w:space="0" w:color="auto"/>
                <w:right w:val="none" w:sz="0" w:space="0" w:color="auto"/>
              </w:divBdr>
            </w:div>
            <w:div w:id="141580265">
              <w:marLeft w:val="0"/>
              <w:marRight w:val="0"/>
              <w:marTop w:val="0"/>
              <w:marBottom w:val="240"/>
              <w:divBdr>
                <w:top w:val="none" w:sz="0" w:space="0" w:color="auto"/>
                <w:left w:val="none" w:sz="0" w:space="0" w:color="auto"/>
                <w:bottom w:val="none" w:sz="0" w:space="0" w:color="auto"/>
                <w:right w:val="none" w:sz="0" w:space="0" w:color="auto"/>
              </w:divBdr>
            </w:div>
            <w:div w:id="698435395">
              <w:marLeft w:val="0"/>
              <w:marRight w:val="0"/>
              <w:marTop w:val="0"/>
              <w:marBottom w:val="240"/>
              <w:divBdr>
                <w:top w:val="none" w:sz="0" w:space="0" w:color="auto"/>
                <w:left w:val="none" w:sz="0" w:space="0" w:color="auto"/>
                <w:bottom w:val="none" w:sz="0" w:space="0" w:color="auto"/>
                <w:right w:val="none" w:sz="0" w:space="0" w:color="auto"/>
              </w:divBdr>
            </w:div>
            <w:div w:id="1978487518">
              <w:marLeft w:val="0"/>
              <w:marRight w:val="0"/>
              <w:marTop w:val="0"/>
              <w:marBottom w:val="240"/>
              <w:divBdr>
                <w:top w:val="none" w:sz="0" w:space="0" w:color="auto"/>
                <w:left w:val="none" w:sz="0" w:space="0" w:color="auto"/>
                <w:bottom w:val="none" w:sz="0" w:space="0" w:color="auto"/>
                <w:right w:val="none" w:sz="0" w:space="0" w:color="auto"/>
              </w:divBdr>
            </w:div>
            <w:div w:id="680666199">
              <w:marLeft w:val="0"/>
              <w:marRight w:val="0"/>
              <w:marTop w:val="0"/>
              <w:marBottom w:val="240"/>
              <w:divBdr>
                <w:top w:val="none" w:sz="0" w:space="0" w:color="auto"/>
                <w:left w:val="none" w:sz="0" w:space="0" w:color="auto"/>
                <w:bottom w:val="none" w:sz="0" w:space="0" w:color="auto"/>
                <w:right w:val="none" w:sz="0" w:space="0" w:color="auto"/>
              </w:divBdr>
            </w:div>
            <w:div w:id="934165268">
              <w:marLeft w:val="0"/>
              <w:marRight w:val="0"/>
              <w:marTop w:val="0"/>
              <w:marBottom w:val="240"/>
              <w:divBdr>
                <w:top w:val="none" w:sz="0" w:space="0" w:color="auto"/>
                <w:left w:val="none" w:sz="0" w:space="0" w:color="auto"/>
                <w:bottom w:val="none" w:sz="0" w:space="0" w:color="auto"/>
                <w:right w:val="none" w:sz="0" w:space="0" w:color="auto"/>
              </w:divBdr>
            </w:div>
            <w:div w:id="194971028">
              <w:marLeft w:val="0"/>
              <w:marRight w:val="0"/>
              <w:marTop w:val="0"/>
              <w:marBottom w:val="240"/>
              <w:divBdr>
                <w:top w:val="none" w:sz="0" w:space="0" w:color="auto"/>
                <w:left w:val="none" w:sz="0" w:space="0" w:color="auto"/>
                <w:bottom w:val="none" w:sz="0" w:space="0" w:color="auto"/>
                <w:right w:val="none" w:sz="0" w:space="0" w:color="auto"/>
              </w:divBdr>
            </w:div>
            <w:div w:id="244188090">
              <w:marLeft w:val="0"/>
              <w:marRight w:val="0"/>
              <w:marTop w:val="0"/>
              <w:marBottom w:val="240"/>
              <w:divBdr>
                <w:top w:val="none" w:sz="0" w:space="0" w:color="auto"/>
                <w:left w:val="none" w:sz="0" w:space="0" w:color="auto"/>
                <w:bottom w:val="none" w:sz="0" w:space="0" w:color="auto"/>
                <w:right w:val="none" w:sz="0" w:space="0" w:color="auto"/>
              </w:divBdr>
            </w:div>
            <w:div w:id="2062362410">
              <w:marLeft w:val="0"/>
              <w:marRight w:val="0"/>
              <w:marTop w:val="0"/>
              <w:marBottom w:val="240"/>
              <w:divBdr>
                <w:top w:val="none" w:sz="0" w:space="0" w:color="auto"/>
                <w:left w:val="none" w:sz="0" w:space="0" w:color="auto"/>
                <w:bottom w:val="none" w:sz="0" w:space="0" w:color="auto"/>
                <w:right w:val="none" w:sz="0" w:space="0" w:color="auto"/>
              </w:divBdr>
            </w:div>
            <w:div w:id="429010916">
              <w:marLeft w:val="0"/>
              <w:marRight w:val="0"/>
              <w:marTop w:val="0"/>
              <w:marBottom w:val="240"/>
              <w:divBdr>
                <w:top w:val="none" w:sz="0" w:space="0" w:color="auto"/>
                <w:left w:val="none" w:sz="0" w:space="0" w:color="auto"/>
                <w:bottom w:val="none" w:sz="0" w:space="0" w:color="auto"/>
                <w:right w:val="none" w:sz="0" w:space="0" w:color="auto"/>
              </w:divBdr>
            </w:div>
            <w:div w:id="116740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414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hyperlink" Target="https://id.erfgoed.net/erfgoedobjecten/7057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hart" Target="charts/chart1.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g"/><Relationship Id="rId23" Type="http://schemas.openxmlformats.org/officeDocument/2006/relationships/image" Target="media/image10.png"/><Relationship Id="rId28" Type="http://schemas.openxmlformats.org/officeDocument/2006/relationships/hyperlink" Target="https://gtb.ivdnt.org/iWDB/search?actie=article&amp;wdb=MNW&amp;id=29080&amp;lemmodern=minstreel&amp;domein=0&amp;conc=true" TargetMode="External"/><Relationship Id="rId10" Type="http://schemas.openxmlformats.org/officeDocument/2006/relationships/header" Target="header2.xml"/><Relationship Id="rId19" Type="http://schemas.openxmlformats.org/officeDocument/2006/relationships/image" Target="media/image6.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image" Target="media/image14.emf"/></Relationships>
</file>

<file path=word/_rels/footnotes.xml.rels><?xml version="1.0" encoding="UTF-8" standalone="yes"?>
<Relationships xmlns="http://schemas.openxmlformats.org/package/2006/relationships"><Relationship Id="rId2" Type="http://schemas.openxmlformats.org/officeDocument/2006/relationships/hyperlink" Target="https://id.erfgoed.net/erfgoedobjecten/70574" TargetMode="External"/><Relationship Id="rId1" Type="http://schemas.openxmlformats.org/officeDocument/2006/relationships/hyperlink" Target="https://gtb.ivdnt.org/iWDB/search?actie=article&amp;wdb=MNW&amp;id=29080&amp;lemmodern=minstreel&amp;domein=0&amp;conc=true"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kuleuven-my.sharepoint.com/personal/janneke_dekeersmaecker_student_kuleuven_be/Documents/rekeningen%20kopie%202.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'[rekeningen kopie 2.xlsx]Sheet6'!$I$17</c:f>
              <c:strCache>
                <c:ptCount val="1"/>
                <c:pt idx="0">
                  <c:v>eigen hofhouding</c:v>
                </c:pt>
              </c:strCache>
            </c:strRef>
          </c:tx>
          <c:spPr>
            <a:solidFill>
              <a:schemeClr val="dk1">
                <a:tint val="885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'[rekeningen kopie 2.xlsx]Sheet6'!$H$18:$H$21</c:f>
              <c:strCache>
                <c:ptCount val="4"/>
                <c:pt idx="0">
                  <c:v>Beheer</c:v>
                </c:pt>
                <c:pt idx="1">
                  <c:v>Johanna</c:v>
                </c:pt>
                <c:pt idx="2">
                  <c:v>Wenceslas</c:v>
                </c:pt>
                <c:pt idx="3">
                  <c:v>Samen</c:v>
                </c:pt>
              </c:strCache>
            </c:strRef>
          </c:cat>
          <c:val>
            <c:numRef>
              <c:f>'[rekeningen kopie 2.xlsx]Sheet6'!$I$18:$I$21</c:f>
              <c:numCache>
                <c:formatCode>General</c:formatCode>
                <c:ptCount val="4"/>
                <c:pt idx="0">
                  <c:v>1</c:v>
                </c:pt>
                <c:pt idx="1">
                  <c:v>4</c:v>
                </c:pt>
                <c:pt idx="2">
                  <c:v>15</c:v>
                </c:pt>
                <c:pt idx="3">
                  <c:v>4</c:v>
                </c:pt>
              </c:numCache>
            </c:numRef>
          </c:val>
          <c:extLst>
            <c:ext xmlns:c16="http://schemas.microsoft.com/office/drawing/2014/chart" uri="{C3380CC4-5D6E-409C-BE32-E72D297353CC}">
              <c16:uniqueId val="{00000000-F20E-E34C-8E38-A2A38529A3A6}"/>
            </c:ext>
          </c:extLst>
        </c:ser>
        <c:ser>
          <c:idx val="1"/>
          <c:order val="1"/>
          <c:tx>
            <c:strRef>
              <c:f>'[rekeningen kopie 2.xlsx]Sheet6'!$J$17</c:f>
              <c:strCache>
                <c:ptCount val="1"/>
                <c:pt idx="0">
                  <c:v>inkomend entertainment</c:v>
                </c:pt>
              </c:strCache>
            </c:strRef>
          </c:tx>
          <c:spPr>
            <a:solidFill>
              <a:schemeClr val="dk1">
                <a:tint val="5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'[rekeningen kopie 2.xlsx]Sheet6'!$H$18:$H$21</c:f>
              <c:strCache>
                <c:ptCount val="4"/>
                <c:pt idx="0">
                  <c:v>Beheer</c:v>
                </c:pt>
                <c:pt idx="1">
                  <c:v>Johanna</c:v>
                </c:pt>
                <c:pt idx="2">
                  <c:v>Wenceslas</c:v>
                </c:pt>
                <c:pt idx="3">
                  <c:v>Samen</c:v>
                </c:pt>
              </c:strCache>
            </c:strRef>
          </c:cat>
          <c:val>
            <c:numRef>
              <c:f>'[rekeningen kopie 2.xlsx]Sheet6'!$J$18:$J$21</c:f>
              <c:numCache>
                <c:formatCode>General</c:formatCode>
                <c:ptCount val="4"/>
                <c:pt idx="0">
                  <c:v>3</c:v>
                </c:pt>
                <c:pt idx="1">
                  <c:v>10</c:v>
                </c:pt>
                <c:pt idx="2">
                  <c:v>23</c:v>
                </c:pt>
                <c:pt idx="3">
                  <c:v>2</c:v>
                </c:pt>
              </c:numCache>
            </c:numRef>
          </c:val>
          <c:extLst>
            <c:ext xmlns:c16="http://schemas.microsoft.com/office/drawing/2014/chart" uri="{C3380CC4-5D6E-409C-BE32-E72D297353CC}">
              <c16:uniqueId val="{00000001-F20E-E34C-8E38-A2A38529A3A6}"/>
            </c:ext>
          </c:extLst>
        </c:ser>
        <c:ser>
          <c:idx val="2"/>
          <c:order val="2"/>
          <c:tx>
            <c:strRef>
              <c:f>'[rekeningen kopie 2.xlsx]Sheet6'!$K$17</c:f>
              <c:strCache>
                <c:ptCount val="1"/>
                <c:pt idx="0">
                  <c:v>uitgaand entertainment</c:v>
                </c:pt>
              </c:strCache>
            </c:strRef>
          </c:tx>
          <c:spPr>
            <a:solidFill>
              <a:schemeClr val="dk1">
                <a:tint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B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'[rekeningen kopie 2.xlsx]Sheet6'!$H$18:$H$21</c:f>
              <c:strCache>
                <c:ptCount val="4"/>
                <c:pt idx="0">
                  <c:v>Beheer</c:v>
                </c:pt>
                <c:pt idx="1">
                  <c:v>Johanna</c:v>
                </c:pt>
                <c:pt idx="2">
                  <c:v>Wenceslas</c:v>
                </c:pt>
                <c:pt idx="3">
                  <c:v>Samen</c:v>
                </c:pt>
              </c:strCache>
            </c:strRef>
          </c:cat>
          <c:val>
            <c:numRef>
              <c:f>'[rekeningen kopie 2.xlsx]Sheet6'!$K$18:$K$21</c:f>
              <c:numCache>
                <c:formatCode>General</c:formatCode>
                <c:ptCount val="4"/>
                <c:pt idx="0">
                  <c:v>1</c:v>
                </c:pt>
                <c:pt idx="1">
                  <c:v>4</c:v>
                </c:pt>
                <c:pt idx="2">
                  <c:v>1</c:v>
                </c:pt>
              </c:numCache>
            </c:numRef>
          </c:val>
          <c:extLst>
            <c:ext xmlns:c16="http://schemas.microsoft.com/office/drawing/2014/chart" uri="{C3380CC4-5D6E-409C-BE32-E72D297353CC}">
              <c16:uniqueId val="{00000002-F20E-E34C-8E38-A2A38529A3A6}"/>
            </c:ext>
          </c:extLst>
        </c:ser>
        <c:dLbls>
          <c:dLblPos val="outEnd"/>
          <c:showLegendKey val="0"/>
          <c:showVal val="1"/>
          <c:showCatName val="0"/>
          <c:showSerName val="0"/>
          <c:showPercent val="0"/>
          <c:showBubbleSize val="0"/>
        </c:dLbls>
        <c:gapWidth val="219"/>
        <c:overlap val="-27"/>
        <c:axId val="2011394224"/>
        <c:axId val="2011395936"/>
      </c:barChart>
      <c:catAx>
        <c:axId val="20113942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BE"/>
          </a:p>
        </c:txPr>
        <c:crossAx val="2011395936"/>
        <c:crosses val="autoZero"/>
        <c:auto val="1"/>
        <c:lblAlgn val="ctr"/>
        <c:lblOffset val="100"/>
        <c:noMultiLvlLbl val="0"/>
      </c:catAx>
      <c:valAx>
        <c:axId val="201139593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BE"/>
          </a:p>
        </c:txPr>
        <c:crossAx val="201139422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B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BE"/>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E0B90501-B59E-C44D-B053-19362FA21810}">
  <we:reference id="wa200010725" version="1.0.0.1" store="en-US" storeType="OMEX"/>
  <we:alternateReferences>
    <we:reference id="wa200010725" version="1.0.0.1" store="en-US" storeType="OMEX"/>
  </we:alternateReferences>
  <we:properties>
    <we:property name="claude.fileId" value="&quot;cab389f5-67ea-4214-bb8c-036bc2f19f4b&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132C5731-A032-CD4E-928C-E56D11BC0B34}">
  <we:reference id="wa200010453" version="1.0.0.1" store="en-US" storeType="OMEX"/>
  <we:alternateReferences>
    <we:reference id="WA200010453" version="1.0.0.1" store="" storeType="OMEX"/>
  </we:alternateReferences>
  <we:properties>
    <we:property name="claude.fileId" value="&quot;2471590b-45cd-4762-903f-ee8fc844a7d4&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159456-85AA-2143-BFB2-DC40066BB2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110</Pages>
  <Words>34467</Words>
  <Characters>188884</Characters>
  <Application>Microsoft Office Word</Application>
  <DocSecurity>0</DocSecurity>
  <Lines>3434</Lines>
  <Paragraphs>709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Janneke De Keersmaecker</dc:creator>
  <cp:keywords/>
  <dc:description/>
  <cp:lastModifiedBy>Janneke De Keersmaecker</cp:lastModifiedBy>
  <cp:revision>4</cp:revision>
  <cp:lastPrinted>2026-09-23T13:39:00Z</cp:lastPrinted>
  <dcterms:created xsi:type="dcterms:W3CDTF">2026-09-23T13:39:00Z</dcterms:created>
  <dcterms:modified xsi:type="dcterms:W3CDTF">2026-10-04T17:10:00Z</dcterms:modified>
</cp:coreProperties>
</file>